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宋体" w:hAnsi="宋体" w:eastAsia="宋体" w:cs="宋体"/>
          <w:b/>
          <w:bCs/>
          <w:sz w:val="32"/>
          <w:szCs w:val="32"/>
          <w:lang w:val="en-US"/>
        </w:rPr>
      </w:pPr>
      <w:r>
        <w:rPr>
          <w:rFonts w:hint="eastAsia" w:ascii="宋体" w:hAnsi="宋体" w:eastAsia="宋体" w:cs="宋体"/>
          <w:b/>
          <w:bCs/>
          <w:sz w:val="32"/>
          <w:szCs w:val="32"/>
        </w:rPr>
        <w:t>项目编号：</w:t>
      </w:r>
      <w:r>
        <w:rPr>
          <w:rFonts w:hint="default" w:ascii="宋体" w:hAnsi="宋体" w:eastAsia="宋体" w:cs="宋体"/>
          <w:b/>
          <w:bCs/>
          <w:sz w:val="32"/>
          <w:szCs w:val="32"/>
          <w:lang w:val="en-US" w:eastAsia="zh-CN"/>
        </w:rPr>
        <w:t>ZMZB2022XAWL-140R</w:t>
      </w:r>
    </w:p>
    <w:p>
      <w:pPr>
        <w:jc w:val="center"/>
        <w:rPr>
          <w:rFonts w:hint="eastAsia" w:ascii="宋体" w:hAnsi="宋体" w:eastAsia="宋体" w:cs="宋体"/>
          <w:sz w:val="44"/>
          <w:szCs w:val="44"/>
        </w:rPr>
      </w:pPr>
    </w:p>
    <w:p>
      <w:pPr>
        <w:jc w:val="both"/>
        <w:rPr>
          <w:rFonts w:hint="eastAsia" w:ascii="宋体" w:hAnsi="宋体" w:eastAsia="宋体" w:cs="宋体"/>
          <w:sz w:val="52"/>
          <w:szCs w:val="52"/>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西安文理学院</w:t>
      </w:r>
    </w:p>
    <w:p>
      <w:pPr>
        <w:jc w:val="center"/>
        <w:rPr>
          <w:rFonts w:hint="eastAsia" w:ascii="宋体" w:hAnsi="宋体" w:eastAsia="宋体" w:cs="宋体"/>
          <w:b/>
          <w:bCs/>
          <w:sz w:val="56"/>
          <w:szCs w:val="56"/>
        </w:rPr>
      </w:pPr>
      <w:r>
        <w:rPr>
          <w:rFonts w:hint="eastAsia" w:ascii="宋体" w:hAnsi="宋体" w:eastAsia="宋体" w:cs="宋体"/>
          <w:b/>
          <w:bCs/>
          <w:sz w:val="56"/>
          <w:szCs w:val="56"/>
          <w:lang w:eastAsia="zh-CN"/>
        </w:rPr>
        <w:t>图书馆中央空调改造项目（二次）</w:t>
      </w:r>
    </w:p>
    <w:p>
      <w:pPr>
        <w:jc w:val="center"/>
        <w:rPr>
          <w:rFonts w:hint="eastAsia" w:ascii="宋体" w:hAnsi="宋体" w:eastAsia="宋体" w:cs="宋体"/>
          <w:b/>
          <w:bCs/>
          <w:sz w:val="56"/>
          <w:szCs w:val="56"/>
        </w:rPr>
      </w:pPr>
    </w:p>
    <w:p>
      <w:pPr>
        <w:jc w:val="center"/>
        <w:rPr>
          <w:rFonts w:hint="eastAsia" w:ascii="宋体" w:hAnsi="宋体" w:eastAsia="宋体" w:cs="宋体"/>
          <w:b/>
          <w:bCs/>
          <w:sz w:val="72"/>
          <w:szCs w:val="72"/>
        </w:rPr>
      </w:pPr>
      <w:r>
        <w:rPr>
          <w:rFonts w:hint="eastAsia" w:ascii="宋体" w:hAnsi="宋体" w:eastAsia="宋体" w:cs="宋体"/>
          <w:b/>
          <w:bCs/>
          <w:sz w:val="56"/>
          <w:szCs w:val="56"/>
        </w:rPr>
        <w:t>招标文件</w:t>
      </w: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656" w:firstLineChars="200"/>
        <w:jc w:val="center"/>
        <w:rPr>
          <w:rFonts w:hint="eastAsia" w:ascii="宋体" w:hAnsi="宋体" w:eastAsia="宋体" w:cs="宋体"/>
          <w:sz w:val="32"/>
          <w:szCs w:val="32"/>
        </w:rPr>
      </w:pPr>
    </w:p>
    <w:p>
      <w:pPr>
        <w:spacing w:line="560" w:lineRule="exact"/>
        <w:ind w:firstLine="656" w:firstLineChars="200"/>
        <w:jc w:val="center"/>
        <w:rPr>
          <w:rFonts w:hint="eastAsia" w:ascii="宋体" w:hAnsi="宋体" w:eastAsia="宋体" w:cs="宋体"/>
          <w:sz w:val="32"/>
          <w:szCs w:val="32"/>
        </w:rPr>
      </w:pPr>
    </w:p>
    <w:p>
      <w:pPr>
        <w:spacing w:line="560" w:lineRule="exact"/>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陕西卓佲项目管理有限公司</w:t>
      </w:r>
    </w:p>
    <w:p>
      <w:pPr>
        <w:spacing w:line="560" w:lineRule="exact"/>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 </w:instrText>
      </w:r>
      <w:r>
        <w:rPr>
          <w:rFonts w:hint="eastAsia" w:ascii="宋体" w:hAnsi="宋体" w:eastAsia="宋体" w:cs="宋体"/>
          <w:sz w:val="32"/>
          <w:szCs w:val="32"/>
        </w:rPr>
        <w:fldChar w:fldCharType="separate"/>
      </w:r>
      <w:r>
        <w:rPr>
          <w:rFonts w:hint="eastAsia" w:ascii="宋体" w:hAnsi="宋体" w:eastAsia="宋体" w:cs="宋体"/>
          <w:sz w:val="32"/>
          <w:szCs w:val="32"/>
        </w:rPr>
        <w:t>2022年8月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cs="Times New Roman"/>
          <w:sz w:val="21"/>
          <w:szCs w:val="24"/>
          <w:lang w:val="en-US" w:eastAsia="zh-CN" w:bidi="ar-SA"/>
        </w:rPr>
        <w:id w:val="147473170"/>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bookmarkStart w:id="0" w:name="_Toc100219612"/>
          <w:r>
            <w:rPr>
              <w:rFonts w:ascii="宋体" w:hAnsi="宋体" w:eastAsia="宋体"/>
              <w:sz w:val="36"/>
              <w:szCs w:val="44"/>
            </w:rPr>
            <w:t>目录</w:t>
          </w:r>
        </w:p>
        <w:p>
          <w:pPr>
            <w:pStyle w:val="26"/>
            <w:keepNext w:val="0"/>
            <w:keepLines w:val="0"/>
            <w:pageBreakBefore w:val="0"/>
            <w:widowControl/>
            <w:tabs>
              <w:tab w:val="right" w:leader="dot" w:pos="8868"/>
            </w:tabs>
            <w:kinsoku/>
            <w:wordWrap/>
            <w:overflowPunct/>
            <w:topLinePunct w:val="0"/>
            <w:autoSpaceDE/>
            <w:autoSpaceDN/>
            <w:bidi w:val="0"/>
            <w:adjustRightInd/>
            <w:snapToGrid/>
            <w:spacing w:before="0" w:beforeLines="0" w:after="0" w:afterLines="0"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_Toc6948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_Toc6948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keepNext w:val="0"/>
            <w:keepLines w:val="0"/>
            <w:pageBreakBefore w:val="0"/>
            <w:widowControl/>
            <w:tabs>
              <w:tab w:val="right" w:leader="dot" w:pos="8868"/>
            </w:tabs>
            <w:kinsoku/>
            <w:wordWrap/>
            <w:overflowPunct/>
            <w:topLinePunct w:val="0"/>
            <w:autoSpaceDE/>
            <w:autoSpaceDN/>
            <w:bidi w:val="0"/>
            <w:adjustRightInd/>
            <w:snapToGrid/>
            <w:spacing w:before="0" w:beforeLines="0" w:after="0" w:afterLines="0"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_Toc26908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_Toc26908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_Toc22763 </w:instrText>
          </w:r>
          <w:r>
            <w:rPr>
              <w:rFonts w:hint="eastAsia" w:ascii="宋体" w:hAnsi="宋体" w:eastAsia="宋体" w:cs="宋体"/>
              <w:sz w:val="24"/>
              <w:szCs w:val="24"/>
            </w:rPr>
            <w:fldChar w:fldCharType="separate"/>
          </w:r>
          <w:r>
            <w:rPr>
              <w:rFonts w:hint="eastAsia" w:ascii="宋体" w:hAnsi="宋体" w:eastAsia="宋体" w:cs="宋体"/>
              <w:sz w:val="24"/>
              <w:szCs w:val="24"/>
            </w:rPr>
            <w:t>〖前附表〗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_Toc22763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_Toc4932 </w:instrText>
          </w:r>
          <w:r>
            <w:rPr>
              <w:rFonts w:hint="eastAsia" w:ascii="宋体" w:hAnsi="宋体" w:eastAsia="宋体" w:cs="宋体"/>
              <w:sz w:val="24"/>
              <w:szCs w:val="24"/>
            </w:rPr>
            <w:fldChar w:fldCharType="separate"/>
          </w:r>
          <w:r>
            <w:rPr>
              <w:rFonts w:hint="eastAsia" w:ascii="宋体" w:hAnsi="宋体" w:eastAsia="宋体" w:cs="宋体"/>
              <w:sz w:val="24"/>
              <w:szCs w:val="24"/>
            </w:rPr>
            <w:t>一、有关定义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_Toc4932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_Toc16922 </w:instrText>
          </w:r>
          <w:r>
            <w:rPr>
              <w:rFonts w:hint="eastAsia" w:ascii="宋体" w:hAnsi="宋体" w:eastAsia="宋体" w:cs="宋体"/>
              <w:sz w:val="24"/>
              <w:szCs w:val="24"/>
            </w:rPr>
            <w:fldChar w:fldCharType="separate"/>
          </w:r>
          <w:r>
            <w:rPr>
              <w:rFonts w:hint="eastAsia" w:ascii="宋体" w:hAnsi="宋体" w:eastAsia="宋体" w:cs="宋体"/>
              <w:sz w:val="24"/>
              <w:szCs w:val="24"/>
            </w:rPr>
            <w:t>二、供应商注意事项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_Toc16922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_Toc27237 </w:instrText>
          </w:r>
          <w:r>
            <w:rPr>
              <w:rFonts w:hint="eastAsia" w:ascii="宋体" w:hAnsi="宋体" w:eastAsia="宋体" w:cs="宋体"/>
              <w:sz w:val="24"/>
              <w:szCs w:val="24"/>
            </w:rPr>
            <w:fldChar w:fldCharType="separate"/>
          </w:r>
          <w:r>
            <w:rPr>
              <w:rFonts w:hint="eastAsia" w:ascii="宋体" w:hAnsi="宋体" w:eastAsia="宋体" w:cs="宋体"/>
              <w:sz w:val="24"/>
              <w:szCs w:val="24"/>
            </w:rPr>
            <w:t>三、招标文件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_Toc27237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_Toc10188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_Toc10188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_Toc3761 </w:instrText>
          </w:r>
          <w:r>
            <w:rPr>
              <w:rFonts w:hint="eastAsia" w:ascii="宋体" w:hAnsi="宋体" w:eastAsia="宋体" w:cs="宋体"/>
              <w:sz w:val="24"/>
              <w:szCs w:val="24"/>
            </w:rPr>
            <w:fldChar w:fldCharType="separate"/>
          </w:r>
          <w:r>
            <w:rPr>
              <w:rFonts w:hint="eastAsia" w:ascii="宋体" w:hAnsi="宋体" w:eastAsia="宋体" w:cs="宋体"/>
              <w:sz w:val="24"/>
              <w:szCs w:val="24"/>
            </w:rPr>
            <w:t>五、开标程序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_Toc3761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_Toc30439 </w:instrText>
          </w:r>
          <w:r>
            <w:rPr>
              <w:rFonts w:hint="eastAsia" w:ascii="宋体" w:hAnsi="宋体" w:eastAsia="宋体" w:cs="宋体"/>
              <w:sz w:val="24"/>
              <w:szCs w:val="24"/>
            </w:rPr>
            <w:fldChar w:fldCharType="separate"/>
          </w:r>
          <w:r>
            <w:rPr>
              <w:rFonts w:hint="eastAsia" w:ascii="宋体" w:hAnsi="宋体" w:eastAsia="宋体" w:cs="宋体"/>
              <w:sz w:val="24"/>
              <w:szCs w:val="24"/>
            </w:rPr>
            <w:t>六、资格审查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_Toc30439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_Toc14597 </w:instrText>
          </w:r>
          <w:r>
            <w:rPr>
              <w:rFonts w:hint="eastAsia" w:ascii="宋体" w:hAnsi="宋体" w:eastAsia="宋体" w:cs="宋体"/>
              <w:sz w:val="24"/>
              <w:szCs w:val="24"/>
            </w:rPr>
            <w:fldChar w:fldCharType="separate"/>
          </w:r>
          <w:r>
            <w:rPr>
              <w:rFonts w:hint="eastAsia" w:ascii="宋体" w:hAnsi="宋体" w:eastAsia="宋体" w:cs="宋体"/>
              <w:sz w:val="24"/>
              <w:szCs w:val="24"/>
            </w:rPr>
            <w:t>七、评审方法和程序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_Toc14597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_Toc19995 </w:instrText>
          </w:r>
          <w:r>
            <w:rPr>
              <w:rFonts w:hint="eastAsia" w:ascii="宋体" w:hAnsi="宋体" w:eastAsia="宋体" w:cs="宋体"/>
              <w:sz w:val="24"/>
              <w:szCs w:val="24"/>
            </w:rPr>
            <w:fldChar w:fldCharType="separate"/>
          </w:r>
          <w:r>
            <w:rPr>
              <w:rFonts w:hint="eastAsia" w:ascii="宋体" w:hAnsi="宋体" w:eastAsia="宋体" w:cs="宋体"/>
              <w:sz w:val="24"/>
              <w:szCs w:val="24"/>
            </w:rPr>
            <w:t>八、中标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_Toc19995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_Toc22898 </w:instrText>
          </w:r>
          <w:r>
            <w:rPr>
              <w:rFonts w:hint="eastAsia" w:ascii="宋体" w:hAnsi="宋体" w:eastAsia="宋体" w:cs="宋体"/>
              <w:sz w:val="24"/>
              <w:szCs w:val="24"/>
            </w:rPr>
            <w:fldChar w:fldCharType="separate"/>
          </w:r>
          <w:r>
            <w:rPr>
              <w:rFonts w:hint="eastAsia" w:ascii="宋体" w:hAnsi="宋体" w:eastAsia="宋体" w:cs="宋体"/>
              <w:sz w:val="24"/>
              <w:szCs w:val="24"/>
            </w:rPr>
            <w:t>九、合同签订、履行及验收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_Toc22898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 </w:instrText>
          </w:r>
          <w:r>
            <w:rPr>
              <w:rFonts w:hint="eastAsia" w:ascii="宋体" w:hAnsi="宋体" w:eastAsia="宋体" w:cs="宋体"/>
              <w:sz w:val="24"/>
              <w:szCs w:val="24"/>
            </w:rPr>
            <w:fldChar w:fldCharType="separate"/>
          </w:r>
          <w:r>
            <w:rPr>
              <w:rFonts w:hint="eastAsia" w:ascii="宋体" w:hAnsi="宋体" w:eastAsia="宋体" w:cs="宋体"/>
              <w:sz w:val="24"/>
              <w:szCs w:val="24"/>
            </w:rPr>
            <w:t>十、废标及重新招标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keepNext w:val="0"/>
            <w:keepLines w:val="0"/>
            <w:pageBreakBefore w:val="0"/>
            <w:widowControl/>
            <w:tabs>
              <w:tab w:val="right" w:leader="dot" w:pos="8868"/>
            </w:tabs>
            <w:kinsoku/>
            <w:wordWrap/>
            <w:overflowPunct/>
            <w:topLinePunct w:val="0"/>
            <w:autoSpaceDE/>
            <w:autoSpaceDN/>
            <w:bidi w:val="0"/>
            <w:adjustRightInd/>
            <w:snapToGrid/>
            <w:spacing w:before="0" w:beforeLines="0" w:after="0" w:afterLines="0"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_Toc29421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keepNext w:val="0"/>
            <w:keepLines w:val="0"/>
            <w:pageBreakBefore w:val="0"/>
            <w:widowControl/>
            <w:tabs>
              <w:tab w:val="right" w:leader="dot" w:pos="8868"/>
            </w:tabs>
            <w:kinsoku/>
            <w:wordWrap/>
            <w:overflowPunct/>
            <w:topLinePunct w:val="0"/>
            <w:autoSpaceDE/>
            <w:autoSpaceDN/>
            <w:bidi w:val="0"/>
            <w:adjustRightInd/>
            <w:snapToGrid/>
            <w:spacing w:before="0" w:beforeLines="0" w:after="0" w:afterLines="0"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_Toc22170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_Toc22170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keepNext w:val="0"/>
            <w:keepLines w:val="0"/>
            <w:pageBreakBefore w:val="0"/>
            <w:widowControl/>
            <w:tabs>
              <w:tab w:val="right" w:leader="dot" w:pos="8868"/>
            </w:tabs>
            <w:kinsoku/>
            <w:wordWrap/>
            <w:overflowPunct/>
            <w:topLinePunct w:val="0"/>
            <w:autoSpaceDE/>
            <w:autoSpaceDN/>
            <w:bidi w:val="0"/>
            <w:adjustRightInd/>
            <w:snapToGrid/>
            <w:spacing w:before="0" w:beforeLines="0" w:after="0" w:afterLines="0"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_Toc26007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投标文件构成及格式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_Toc26007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_Toc4804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_Toc4804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_Toc9283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第二部分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_Toc9283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_Toc28259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_Toc28259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第四部分  供应商概况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_Toc30494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第五部分  供应商参加政府采购活动承诺书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_Toc30494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_Toc16071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商务和</w:t>
          </w:r>
          <w:r>
            <w:rPr>
              <w:rFonts w:hint="eastAsia" w:ascii="宋体" w:hAnsi="宋体" w:eastAsia="宋体" w:cs="宋体"/>
              <w:sz w:val="24"/>
              <w:szCs w:val="24"/>
              <w:lang w:eastAsia="zh-CN"/>
            </w:rPr>
            <w:t>技术</w:t>
          </w:r>
          <w:r>
            <w:rPr>
              <w:rFonts w:hint="eastAsia" w:ascii="宋体" w:hAnsi="宋体" w:eastAsia="宋体" w:cs="宋体"/>
              <w:sz w:val="24"/>
              <w:szCs w:val="24"/>
            </w:rPr>
            <w:t>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_Toc16071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_Toc15529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w:t>
          </w:r>
          <w:r>
            <w:rPr>
              <w:rFonts w:hint="eastAsia" w:ascii="宋体" w:hAnsi="宋体" w:eastAsia="宋体" w:cs="宋体"/>
              <w:sz w:val="24"/>
              <w:szCs w:val="24"/>
              <w:lang w:eastAsia="zh-CN"/>
            </w:rPr>
            <w:t>技术与</w:t>
          </w:r>
          <w:r>
            <w:rPr>
              <w:rFonts w:hint="eastAsia" w:ascii="宋体" w:hAnsi="宋体" w:eastAsia="宋体" w:cs="宋体"/>
              <w:sz w:val="24"/>
              <w:szCs w:val="24"/>
              <w:lang w:val="en-US" w:eastAsia="zh-CN"/>
            </w:rPr>
            <w:t>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_Toc15529 \h </w:instrText>
          </w:r>
          <w:r>
            <w:rPr>
              <w:rFonts w:hint="eastAsia" w:ascii="宋体" w:hAnsi="宋体" w:eastAsia="宋体" w:cs="宋体"/>
              <w:sz w:val="24"/>
              <w:szCs w:val="24"/>
            </w:rPr>
            <w:fldChar w:fldCharType="separate"/>
          </w:r>
          <w:r>
            <w:rPr>
              <w:rFonts w:hint="eastAsia" w:ascii="宋体" w:hAnsi="宋体" w:eastAsia="宋体" w:cs="宋体"/>
              <w:sz w:val="24"/>
              <w:szCs w:val="24"/>
            </w:rPr>
            <w:t>92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_Toc5406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bidi="ar-SA"/>
            </w:rPr>
            <w:t>第七部分  服务承诺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_Toc5406 \h </w:instrText>
          </w:r>
          <w:r>
            <w:rPr>
              <w:rFonts w:hint="eastAsia" w:ascii="宋体" w:hAnsi="宋体" w:eastAsia="宋体" w:cs="宋体"/>
              <w:sz w:val="24"/>
              <w:szCs w:val="24"/>
            </w:rPr>
            <w:fldChar w:fldCharType="separate"/>
          </w:r>
          <w:r>
            <w:rPr>
              <w:rFonts w:hint="eastAsia" w:ascii="宋体" w:hAnsi="宋体" w:eastAsia="宋体" w:cs="宋体"/>
              <w:sz w:val="24"/>
              <w:szCs w:val="24"/>
            </w:rPr>
            <w:t>93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_Toc25439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业绩一览表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_Toc25439 \h </w:instrText>
          </w:r>
          <w:r>
            <w:rPr>
              <w:rFonts w:hint="eastAsia" w:ascii="宋体" w:hAnsi="宋体" w:eastAsia="宋体" w:cs="宋体"/>
              <w:sz w:val="24"/>
              <w:szCs w:val="24"/>
            </w:rPr>
            <w:fldChar w:fldCharType="separate"/>
          </w:r>
          <w:r>
            <w:rPr>
              <w:rFonts w:hint="eastAsia" w:ascii="宋体" w:hAnsi="宋体" w:eastAsia="宋体" w:cs="宋体"/>
              <w:sz w:val="24"/>
              <w:szCs w:val="24"/>
            </w:rPr>
            <w:t>94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8868"/>
            </w:tabs>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_Toc18413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九</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认为有必要说明的其他问题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_Toc18413 \h </w:instrText>
          </w:r>
          <w:r>
            <w:rPr>
              <w:rFonts w:hint="eastAsia" w:ascii="宋体" w:hAnsi="宋体" w:eastAsia="宋体" w:cs="宋体"/>
              <w:sz w:val="24"/>
              <w:szCs w:val="24"/>
            </w:rPr>
            <w:fldChar w:fldCharType="separate"/>
          </w:r>
          <w:r>
            <w:rPr>
              <w:rFonts w:hint="eastAsia" w:ascii="宋体" w:hAnsi="宋体" w:eastAsia="宋体" w:cs="宋体"/>
              <w:sz w:val="24"/>
              <w:szCs w:val="24"/>
            </w:rPr>
            <w:t>95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rPr>
              <w:rFonts w:hint="eastAsia" w:ascii="宋体" w:hAnsi="宋体" w:eastAsia="宋体" w:cs="宋体"/>
            </w:rPr>
          </w:pPr>
          <w:r>
            <w:rPr>
              <w:rFonts w:hint="eastAsia" w:ascii="宋体" w:hAnsi="宋体" w:eastAsia="宋体" w:cs="宋体"/>
              <w:sz w:val="24"/>
              <w:szCs w:val="24"/>
            </w:rPr>
            <w:fldChar w:fldCharType="end"/>
          </w:r>
          <w:bookmarkStart w:id="1" w:name="_Toc6948"/>
        </w:p>
      </w:sdtContent>
    </w:sdt>
    <w:p>
      <w:pPr>
        <w:pStyle w:val="4"/>
        <w:tabs>
          <w:tab w:val="center" w:pos="4158"/>
          <w:tab w:val="left" w:pos="6761"/>
        </w:tabs>
        <w:jc w:val="left"/>
        <w:rPr>
          <w:rFonts w:hint="eastAsia" w:ascii="宋体" w:hAnsi="宋体" w:eastAsia="宋体" w:cs="宋体"/>
          <w:lang w:eastAsia="zh-CN"/>
        </w:rPr>
      </w:pPr>
      <w:r>
        <w:rPr>
          <w:rFonts w:hint="eastAsia" w:ascii="宋体" w:hAnsi="宋体" w:eastAsia="宋体" w:cs="宋体"/>
          <w:lang w:eastAsia="zh-CN"/>
        </w:rPr>
        <w:tab/>
      </w:r>
      <w:r>
        <w:rPr>
          <w:rFonts w:hint="eastAsia" w:ascii="宋体" w:hAnsi="宋体" w:eastAsia="宋体" w:cs="宋体"/>
        </w:rPr>
        <w:t>第一章  投标邀请函</w:t>
      </w:r>
      <w:bookmarkEnd w:id="0"/>
      <w:bookmarkEnd w:id="1"/>
      <w:r>
        <w:rPr>
          <w:rFonts w:hint="eastAsia" w:ascii="宋体" w:hAnsi="宋体" w:eastAsia="宋体" w:cs="宋体"/>
          <w:lang w:eastAsia="zh-CN"/>
        </w:rPr>
        <w:tab/>
      </w:r>
    </w:p>
    <w:p>
      <w:pPr>
        <w:pStyle w:val="9"/>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Chars="-348" w:right="0" w:rightChars="0" w:firstLine="864" w:firstLineChars="300"/>
        <w:jc w:val="left"/>
        <w:textAlignment w:val="baseline"/>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项目概况</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noWrap w:val="0"/>
            <w:vAlign w:val="top"/>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eastAsia="宋体" w:cs="宋体"/>
                <w:b w:val="0"/>
                <w:bCs w:val="0"/>
                <w:sz w:val="28"/>
                <w:szCs w:val="28"/>
                <w:lang w:val="en-US" w:eastAsia="zh-CN" w:bidi="ar-SA"/>
              </w:rPr>
              <w:t>图书馆中央空调改造项目</w:t>
            </w:r>
            <w:r>
              <w:rPr>
                <w:rFonts w:hint="eastAsia" w:ascii="宋体" w:hAnsi="宋体" w:eastAsia="宋体" w:cs="宋体"/>
                <w:b w:val="0"/>
                <w:bCs w:val="0"/>
                <w:sz w:val="28"/>
                <w:szCs w:val="28"/>
                <w:lang w:val="en-US" w:eastAsia="zh-CN" w:bidi="ar-SA"/>
              </w:rPr>
              <w:t>招标项目</w:t>
            </w:r>
            <w:r>
              <w:rPr>
                <w:rFonts w:hint="eastAsia" w:eastAsia="宋体" w:cs="宋体"/>
                <w:b w:val="0"/>
                <w:bCs w:val="0"/>
                <w:sz w:val="28"/>
                <w:szCs w:val="28"/>
                <w:lang w:val="en-US" w:eastAsia="zh-CN" w:bidi="ar-SA"/>
              </w:rPr>
              <w:t>（二次）</w:t>
            </w:r>
            <w:r>
              <w:rPr>
                <w:rFonts w:hint="eastAsia" w:ascii="宋体" w:hAnsi="宋体" w:eastAsia="宋体" w:cs="宋体"/>
                <w:b w:val="0"/>
                <w:bCs w:val="0"/>
                <w:sz w:val="28"/>
                <w:szCs w:val="28"/>
                <w:lang w:val="en-US" w:eastAsia="zh-CN" w:bidi="ar-SA"/>
              </w:rPr>
              <w:t>的潜在投标人应在全国公共资源交易平台（陕西省·西安市）网站〖首页〉电子交易平台〉陕西政府采购交易系统〉企业端〗获取招标文件，并于2022年</w:t>
            </w:r>
            <w:r>
              <w:rPr>
                <w:rFonts w:hint="eastAsia" w:eastAsia="宋体" w:cs="宋体"/>
                <w:b w:val="0"/>
                <w:bCs w:val="0"/>
                <w:sz w:val="28"/>
                <w:szCs w:val="28"/>
                <w:lang w:val="en-US" w:eastAsia="zh-CN" w:bidi="ar-SA"/>
              </w:rPr>
              <w:t>09</w:t>
            </w:r>
            <w:r>
              <w:rPr>
                <w:rFonts w:hint="eastAsia" w:ascii="宋体" w:hAnsi="宋体" w:eastAsia="宋体" w:cs="宋体"/>
                <w:b w:val="0"/>
                <w:bCs w:val="0"/>
                <w:sz w:val="28"/>
                <w:szCs w:val="28"/>
                <w:lang w:val="en-US" w:eastAsia="zh-CN" w:bidi="ar-SA"/>
              </w:rPr>
              <w:t>月</w:t>
            </w:r>
            <w:r>
              <w:rPr>
                <w:rFonts w:hint="eastAsia" w:eastAsia="宋体" w:cs="宋体"/>
                <w:b w:val="0"/>
                <w:bCs w:val="0"/>
                <w:sz w:val="28"/>
                <w:szCs w:val="28"/>
                <w:lang w:val="en-US" w:eastAsia="zh-CN" w:bidi="ar-SA"/>
              </w:rPr>
              <w:t>06</w:t>
            </w:r>
            <w:r>
              <w:rPr>
                <w:rFonts w:hint="eastAsia" w:ascii="宋体" w:hAnsi="宋体" w:eastAsia="宋体" w:cs="宋体"/>
                <w:b w:val="0"/>
                <w:bCs w:val="0"/>
                <w:sz w:val="28"/>
                <w:szCs w:val="28"/>
                <w:lang w:val="en-US" w:eastAsia="zh-CN" w:bidi="ar-SA"/>
              </w:rPr>
              <w:t xml:space="preserve">日 </w:t>
            </w:r>
            <w:r>
              <w:rPr>
                <w:rFonts w:hint="eastAsia" w:eastAsia="宋体" w:cs="宋体"/>
                <w:b w:val="0"/>
                <w:bCs w:val="0"/>
                <w:sz w:val="28"/>
                <w:szCs w:val="28"/>
                <w:lang w:val="en-US" w:eastAsia="zh-CN" w:bidi="ar-SA"/>
              </w:rPr>
              <w:t>09</w:t>
            </w:r>
            <w:r>
              <w:rPr>
                <w:rFonts w:hint="eastAsia" w:ascii="宋体" w:hAnsi="宋体" w:eastAsia="宋体" w:cs="宋体"/>
                <w:b w:val="0"/>
                <w:bCs w:val="0"/>
                <w:sz w:val="28"/>
                <w:szCs w:val="28"/>
                <w:lang w:val="en-US" w:eastAsia="zh-CN" w:bidi="ar-SA"/>
              </w:rPr>
              <w:t>时</w:t>
            </w:r>
            <w:r>
              <w:rPr>
                <w:rFonts w:hint="eastAsia" w:eastAsia="宋体" w:cs="宋体"/>
                <w:b w:val="0"/>
                <w:bCs w:val="0"/>
                <w:sz w:val="28"/>
                <w:szCs w:val="28"/>
                <w:lang w:val="en-US" w:eastAsia="zh-CN" w:bidi="ar-SA"/>
              </w:rPr>
              <w:t>3</w:t>
            </w:r>
            <w:r>
              <w:rPr>
                <w:rFonts w:hint="eastAsia" w:ascii="宋体" w:hAnsi="宋体" w:eastAsia="宋体" w:cs="宋体"/>
                <w:b w:val="0"/>
                <w:bCs w:val="0"/>
                <w:sz w:val="28"/>
                <w:szCs w:val="28"/>
                <w:lang w:val="en-US" w:eastAsia="zh-CN" w:bidi="ar-SA"/>
              </w:rPr>
              <w:t>0分（北京时间）前递交投标文件。</w:t>
            </w:r>
          </w:p>
        </w:tc>
      </w:tr>
    </w:tbl>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一、项目基本情况</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项目编号：ZMZB2022XAWL-140R</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项目名称：图书馆中央空调改造项目(二次)</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采购方式：公开招标</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预算金额：2,350,000.00元</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采购需求：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合同包1(图书馆中央空调改造项目):</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合同包预算金额：2,350,000.00元</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合同包最高限价：2,350,000.00元</w:t>
      </w:r>
    </w:p>
    <w:tbl>
      <w:tblPr>
        <w:tblStyle w:val="35"/>
        <w:tblW w:w="96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3"/>
        <w:gridCol w:w="922"/>
        <w:gridCol w:w="1836"/>
        <w:gridCol w:w="1143"/>
        <w:gridCol w:w="1650"/>
        <w:gridCol w:w="1519"/>
        <w:gridCol w:w="14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83" w:hRule="atLeast"/>
          <w:tblHeader/>
        </w:trPr>
        <w:tc>
          <w:tcPr>
            <w:tcW w:w="1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品目号</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品目名称</w:t>
            </w:r>
          </w:p>
        </w:tc>
        <w:tc>
          <w:tcPr>
            <w:tcW w:w="18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采购标的</w:t>
            </w:r>
          </w:p>
        </w:tc>
        <w:tc>
          <w:tcPr>
            <w:tcW w:w="11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数量</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（单位）</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技术规格、参数及要求</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品目预算</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(元)</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最高限价</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1" w:hRule="atLeast"/>
        </w:trPr>
        <w:tc>
          <w:tcPr>
            <w:tcW w:w="1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1-1</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通风机</w:t>
            </w:r>
          </w:p>
        </w:tc>
        <w:tc>
          <w:tcPr>
            <w:tcW w:w="18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西安文理学院图书馆中央空调改造项目</w:t>
            </w:r>
          </w:p>
        </w:tc>
        <w:tc>
          <w:tcPr>
            <w:tcW w:w="11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1(套)</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详见采购文件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2350000.00</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2350000.00</w:t>
            </w:r>
          </w:p>
        </w:tc>
      </w:tr>
    </w:tbl>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本合同包不接受联合体投标</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合同履行期限：自合同签订后30个日历日</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二、申请人的资格要求：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1.满足《中华人民共和国政府采购法》第二十二条规定;</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2.落实政府采购政策需满足的资格要求：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合同包1(图书馆中央空调改造项目)落实政府采购政策需满足的资格要求如下:</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（1）《政府采购促进中小企业发展管理办法》（财库〔2020〕46号）； </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（2）《财政部 司法部关于政府采购支持监狱企业发展有关问题的通知》（财库〔2014〕68号）；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（3）《国务院办公厅关于建立政府强制采购节能产品制度的通知》（国办发〔2007〕51号）；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（4）《财政部 国家发展改革委关于印发〈节能产品政府采购实施意见〉的通知》（财库〔2004〕185号）；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（5）《财政部环保总局关于环境标志产品政府采购实施的意见》（财库〔2006〕90号）；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（6）《三部门联合发布关于促进残疾人就业政府采购政策的通知》（财库〔2017〕141号）；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（7）《财政部 发展改革委 生态环境部 市场监管总局关于调整优化节能产品、环境标志产品政府采购执行机制的通知》（财库〔2019〕9号）；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（8）陕西省财政厅关于印发《陕西省中小企业政府采购信用融资办法》（陕财办采〔2018〕23号）。</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3.本项目的特定资格要求：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合同包1(图书馆中央空调改造项目)特定资格要求如下:</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（3）具有履行合同所必需的设备和专业技术能力的书面声明；</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（4）税收缴纳证明：提供2021年9月以来至少一个月的纳税证明或完税证明，依法免税的单位应提供相关证明材料； </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（5）社会保障资金缴纳证明：提供2021年9月以来至少一个月的社会保障资金缴存单据或社保机构开具的社会保险参保缴费情况证明。依法不需要缴纳社会保障资金的供应商应提供相关文件证明；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（6）参加政府采购活动前3年内在经营活动中没有重大违法记录的书面声明；</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（7）非法定代表人参加投标的，须提供法定代表人委托授权书及被授权人身份证，法定代表人参加投标时,只需提供法定代表人身份证； </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8）供应商应具备机电工程施工总承包三级及以上资质或建筑机电安装工程专业承包三级及以上资质，且具有合格有效的安全生产许可证；拟派项目负责人需具备机电安装专业二级（含二级）以上注册建造师证书及安全考核合格证；</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（9）本项目不接受联合体投标。</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三、获取招标文件</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时间：2022年08月16日至2022年08月23日，每天上午00:00:00至12:00:00，下午12:00:00至23:59:59（北京时间,法定节假日除外）</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地点：全国公共资源交易平台（陕西省·西安市）网站〖首页〉电子交易平台〉陕西政府采购交易系统〉企业端〗。</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方式：在线获取</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售价：免费获取</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四、提交投标文件截止时间、开标时间和地点</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时间： 2022年09月06日 09时30分00秒 （北京时间）</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提交投标文件地点：全国公共资源交易平台（陕西省·西安市）网站〖首页〉电子交易</w:t>
      </w:r>
      <w:bookmarkStart w:id="163" w:name="_GoBack"/>
      <w:bookmarkEnd w:id="163"/>
      <w:r>
        <w:rPr>
          <w:rFonts w:hint="eastAsia" w:ascii="宋体" w:hAnsi="宋体" w:eastAsia="宋体" w:cs="宋体"/>
          <w:b w:val="0"/>
          <w:bCs w:val="0"/>
          <w:sz w:val="28"/>
          <w:szCs w:val="28"/>
          <w:lang w:val="en-US" w:eastAsia="zh-CN" w:bidi="ar-SA"/>
        </w:rPr>
        <w:t>平台〉陕西政府采购交易系统〉企业端〗，在线提交。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开标地点：西安市未央区文景北路16号白桦林国际B座三层313室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五、公告期限</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自本公告发布之日起5个工作日。</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六、其他补充事宜</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3）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（4）请供应商务必及时下载项目招标文件并做好各份,否则会影响投标文件编制及后续投标活动。</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（5）按照陕西省财政厅《关于政府采购供应商注册登记有关事项的通知》中的要求,供应商应通过陕西省政府采购网(http:〃www.ccgp shaanxi.gov.cn/)注册登记,加入陕西省政府采购供应商库 。 </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（6）制作电子投标文件（*.SXSTF）需要使用专用制作工具。软件下载及操作说明详见西安市公共资源交易平台〖首页·〉服务指南·〉下载专区〗中的《政府采购项目投标文件制作软件及操作手册》。</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（8）本项目将采用“不见面开标”形式。操作说明详见平台〖首页·〉服务指南·〉下载专区〗中的《西安公共资源交易不见面开标大厅供应商操作手册》。</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七、对本次招标提出询问，请按以下方式联系。</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1.采购人信息</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名称：西安文理学院（本级）</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地址：西安市雁塔区科技六路1号</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联系方式：门老师 029-88258528</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2.采购代理机构信息</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名称：陕西卓佲项目管理有限公司</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地址：西安市雁塔区科技路10号华奥大厦A座20层2002室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联系方式：029-88440695</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3.项目联系方式</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项目联系人：杜华龙 董菊莉 米文佳 张倩</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电话：029-88440695</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陕西卓佲项目管理有限公司</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2022年0</w:t>
      </w:r>
      <w:r>
        <w:rPr>
          <w:rFonts w:hint="eastAsia" w:eastAsia="宋体" w:cs="宋体"/>
          <w:b w:val="0"/>
          <w:bCs w:val="0"/>
          <w:sz w:val="28"/>
          <w:szCs w:val="28"/>
          <w:lang w:val="en-US" w:eastAsia="zh-CN" w:bidi="ar-SA"/>
        </w:rPr>
        <w:t>8</w:t>
      </w:r>
      <w:r>
        <w:rPr>
          <w:rFonts w:hint="eastAsia" w:ascii="宋体" w:hAnsi="宋体" w:eastAsia="宋体" w:cs="宋体"/>
          <w:b w:val="0"/>
          <w:bCs w:val="0"/>
          <w:sz w:val="28"/>
          <w:szCs w:val="28"/>
          <w:lang w:val="en-US" w:eastAsia="zh-CN" w:bidi="ar-SA"/>
        </w:rPr>
        <w:t>月</w:t>
      </w:r>
      <w:r>
        <w:rPr>
          <w:rFonts w:hint="eastAsia" w:eastAsia="宋体" w:cs="宋体"/>
          <w:b w:val="0"/>
          <w:bCs w:val="0"/>
          <w:sz w:val="28"/>
          <w:szCs w:val="28"/>
          <w:lang w:val="en-US" w:eastAsia="zh-CN" w:bidi="ar-SA"/>
        </w:rPr>
        <w:t>16</w:t>
      </w:r>
      <w:r>
        <w:rPr>
          <w:rFonts w:hint="eastAsia" w:ascii="宋体" w:hAnsi="宋体" w:eastAsia="宋体" w:cs="宋体"/>
          <w:b w:val="0"/>
          <w:bCs w:val="0"/>
          <w:sz w:val="28"/>
          <w:szCs w:val="28"/>
          <w:lang w:val="en-US" w:eastAsia="zh-CN" w:bidi="ar-SA"/>
        </w:rPr>
        <w:t>日</w:t>
      </w:r>
    </w:p>
    <w:p>
      <w:pPr>
        <w:spacing w:line="560" w:lineRule="exact"/>
        <w:ind w:firstLine="656" w:firstLineChars="200"/>
        <w:jc w:val="both"/>
        <w:rPr>
          <w:rFonts w:hint="eastAsia" w:ascii="宋体" w:hAnsi="宋体" w:eastAsia="宋体" w:cs="宋体"/>
          <w:sz w:val="32"/>
          <w:szCs w:val="32"/>
          <w:lang w:eastAsia="zh-CN"/>
        </w:rPr>
      </w:pPr>
      <w:bookmarkStart w:id="2" w:name="_Toc97563329"/>
      <w:bookmarkStart w:id="3" w:name="_Toc534656414"/>
      <w:bookmarkStart w:id="4" w:name="_Toc533363235"/>
      <w:bookmarkStart w:id="5" w:name="_Toc534656409"/>
      <w:bookmarkStart w:id="6" w:name="_Toc498349068"/>
      <w:bookmarkStart w:id="7" w:name="_Toc445407251"/>
      <w:bookmarkStart w:id="8" w:name="_Toc533363262"/>
      <w:bookmarkStart w:id="9" w:name="_Toc100219613"/>
      <w:r>
        <w:rPr>
          <w:rFonts w:hint="eastAsia" w:ascii="宋体" w:hAnsi="宋体" w:eastAsia="宋体" w:cs="宋体"/>
          <w:sz w:val="32"/>
          <w:szCs w:val="32"/>
        </w:rPr>
        <w:br w:type="page"/>
      </w:r>
    </w:p>
    <w:p>
      <w:pPr>
        <w:pStyle w:val="4"/>
        <w:spacing w:line="240" w:lineRule="auto"/>
        <w:rPr>
          <w:rFonts w:hint="eastAsia" w:ascii="宋体" w:hAnsi="宋体" w:eastAsia="宋体" w:cs="宋体"/>
        </w:rPr>
      </w:pPr>
      <w:bookmarkStart w:id="10" w:name="_Toc26908"/>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0"/>
    </w:p>
    <w:p>
      <w:pPr>
        <w:pStyle w:val="5"/>
        <w:spacing w:line="240" w:lineRule="auto"/>
        <w:jc w:val="left"/>
        <w:outlineLvl w:val="1"/>
        <w:rPr>
          <w:rFonts w:hint="eastAsia" w:ascii="宋体" w:hAnsi="宋体" w:eastAsia="宋体" w:cs="宋体"/>
          <w:sz w:val="28"/>
          <w:szCs w:val="28"/>
        </w:rPr>
      </w:pPr>
      <w:bookmarkStart w:id="11" w:name="_Toc22763"/>
      <w:r>
        <w:rPr>
          <w:rFonts w:hint="eastAsia" w:ascii="宋体" w:hAnsi="宋体" w:eastAsia="宋体" w:cs="宋体"/>
          <w:sz w:val="28"/>
          <w:szCs w:val="28"/>
        </w:rPr>
        <w:t>〖前附表〗</w:t>
      </w:r>
      <w:bookmarkEnd w:id="11"/>
    </w:p>
    <w:tbl>
      <w:tblPr>
        <w:tblStyle w:val="36"/>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402" w:type="dxa"/>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lang w:eastAsia="zh-CN"/>
              </w:rPr>
              <w:t>西安文理学院图书馆中央空调改造项目（二次）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pPr>
              <w:jc w:val="center"/>
              <w:rPr>
                <w:rFonts w:hint="default" w:ascii="宋体" w:hAnsi="宋体" w:eastAsia="宋体" w:cs="宋体"/>
                <w:sz w:val="28"/>
                <w:szCs w:val="28"/>
                <w:lang w:val="en-US"/>
              </w:rPr>
            </w:pPr>
            <w:r>
              <w:rPr>
                <w:rFonts w:hint="default" w:ascii="宋体" w:hAnsi="宋体" w:eastAsia="宋体" w:cs="宋体"/>
                <w:sz w:val="28"/>
                <w:szCs w:val="28"/>
                <w:lang w:val="en-US" w:eastAsia="zh-CN"/>
              </w:rPr>
              <w:t>ZMZB2022XAWL-140R</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预算执行书编号</w:t>
            </w:r>
          </w:p>
        </w:tc>
        <w:tc>
          <w:tcPr>
            <w:tcW w:w="4490"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highlight w:val="none"/>
                <w:lang w:eastAsia="zh-CN"/>
              </w:rPr>
              <w:t>政采</w:t>
            </w:r>
            <w:r>
              <w:rPr>
                <w:rFonts w:hint="eastAsia" w:ascii="宋体" w:hAnsi="宋体" w:eastAsia="宋体" w:cs="宋体"/>
                <w:sz w:val="28"/>
                <w:szCs w:val="28"/>
                <w:highlight w:val="none"/>
                <w:lang w:val="en-US" w:eastAsia="zh-CN"/>
              </w:rPr>
              <w:t>-西安市-2022-03517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是否预留份额</w:t>
            </w:r>
          </w:p>
          <w:p>
            <w:pPr>
              <w:jc w:val="center"/>
              <w:rPr>
                <w:rFonts w:hint="eastAsia"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pPr>
              <w:jc w:val="center"/>
              <w:rPr>
                <w:rFonts w:hint="eastAsia" w:ascii="宋体" w:hAnsi="宋体" w:eastAsia="宋体" w:cs="宋体"/>
                <w:sz w:val="28"/>
                <w:szCs w:val="28"/>
              </w:rPr>
            </w:pPr>
            <w:sdt>
              <w:sdtPr>
                <w:rPr>
                  <w:rFonts w:hint="eastAsia" w:ascii="宋体" w:hAnsi="宋体" w:eastAsia="宋体" w:cs="宋体"/>
                  <w:sz w:val="28"/>
                  <w:szCs w:val="28"/>
                </w:rPr>
                <w:id w:val="2139916130"/>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2072024220"/>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lang w:eastAsia="zh-CN"/>
              </w:rPr>
              <w:t>2350000.00</w:t>
            </w:r>
            <w:r>
              <w:rPr>
                <w:rFonts w:hint="eastAsia" w:ascii="宋体" w:hAnsi="宋体" w:eastAsia="宋体" w:cs="宋体"/>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sz w:val="28"/>
                <w:szCs w:val="28"/>
              </w:rPr>
            </w:pP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lang w:eastAsia="zh-CN"/>
              </w:rPr>
              <w:t>2350000.00</w:t>
            </w:r>
            <w:r>
              <w:rPr>
                <w:rFonts w:hint="eastAsia" w:ascii="宋体" w:hAnsi="宋体" w:eastAsia="宋体" w:cs="宋体"/>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pPr>
              <w:jc w:val="center"/>
              <w:rPr>
                <w:rFonts w:hint="eastAsia"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3402" w:type="dxa"/>
            <w:shd w:val="clear" w:color="auto" w:fill="auto"/>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是否允许进口产品</w:t>
            </w:r>
          </w:p>
        </w:tc>
        <w:tc>
          <w:tcPr>
            <w:tcW w:w="4490" w:type="dxa"/>
            <w:shd w:val="clear" w:color="auto" w:fill="auto"/>
            <w:vAlign w:val="center"/>
          </w:tcPr>
          <w:p>
            <w:pPr>
              <w:jc w:val="center"/>
              <w:rPr>
                <w:rFonts w:hint="eastAsia" w:eastAsia="宋体"/>
                <w:lang w:eastAsia="zh-CN"/>
              </w:rPr>
            </w:pPr>
            <w:sdt>
              <w:sdtPr>
                <w:rPr>
                  <w:rFonts w:hint="eastAsia" w:ascii="宋体" w:hAnsi="宋体" w:eastAsia="宋体" w:cs="宋体"/>
                  <w:sz w:val="28"/>
                  <w:szCs w:val="28"/>
                </w:rPr>
                <w:id w:val="14857025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履约保证金</w:t>
            </w:r>
          </w:p>
        </w:tc>
        <w:tc>
          <w:tcPr>
            <w:tcW w:w="4490"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3402" w:type="dxa"/>
            <w:shd w:val="clear" w:color="auto" w:fill="auto"/>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投标文件份数</w:t>
            </w:r>
          </w:p>
        </w:tc>
        <w:tc>
          <w:tcPr>
            <w:tcW w:w="4490" w:type="dxa"/>
            <w:shd w:val="clear" w:color="auto" w:fill="auto"/>
            <w:vAlign w:val="center"/>
          </w:tcPr>
          <w:p>
            <w:pPr>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政府采购信息发布媒体</w:t>
            </w:r>
          </w:p>
          <w:p>
            <w:pPr>
              <w:jc w:val="center"/>
              <w:rPr>
                <w:rFonts w:hint="eastAsia"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pPr>
              <w:rPr>
                <w:rFonts w:hint="eastAsia"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pPr>
              <w:rPr>
                <w:rFonts w:hint="eastAsia"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1．受理单位：西安市财政局政府采购管理处</w:t>
            </w:r>
          </w:p>
          <w:p>
            <w:pPr>
              <w:jc w:val="both"/>
              <w:rPr>
                <w:rFonts w:hint="eastAsia" w:ascii="宋体" w:hAnsi="宋体" w:eastAsia="宋体" w:cs="宋体"/>
                <w:sz w:val="28"/>
                <w:szCs w:val="28"/>
              </w:rPr>
            </w:pPr>
            <w:r>
              <w:rPr>
                <w:rFonts w:hint="eastAsia" w:ascii="宋体" w:hAnsi="宋体" w:eastAsia="宋体" w:cs="宋体"/>
                <w:sz w:val="28"/>
                <w:szCs w:val="28"/>
              </w:rPr>
              <w:t>2．联系电话：029-89821846</w:t>
            </w:r>
          </w:p>
          <w:p>
            <w:pPr>
              <w:jc w:val="both"/>
              <w:rPr>
                <w:rFonts w:hint="eastAsia" w:ascii="宋体" w:hAnsi="宋体" w:eastAsia="宋体" w:cs="宋体"/>
                <w:sz w:val="28"/>
                <w:szCs w:val="28"/>
              </w:rPr>
            </w:pPr>
            <w:r>
              <w:rPr>
                <w:rFonts w:hint="eastAsia" w:ascii="宋体" w:hAnsi="宋体" w:eastAsia="宋体" w:cs="宋体"/>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pPr>
              <w:jc w:val="both"/>
              <w:rPr>
                <w:rFonts w:hint="eastAsia"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bidi="ar-SA"/>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pPr>
              <w:jc w:val="both"/>
              <w:rPr>
                <w:rFonts w:hint="eastAsia" w:ascii="宋体" w:hAnsi="宋体" w:eastAsia="宋体" w:cs="宋体"/>
                <w:sz w:val="28"/>
                <w:szCs w:val="28"/>
              </w:rPr>
            </w:pPr>
            <w:r>
              <w:rPr>
                <w:rFonts w:hint="eastAsia" w:ascii="宋体" w:hAnsi="宋体" w:eastAsia="宋体" w:cs="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pPr>
              <w:jc w:val="both"/>
              <w:rPr>
                <w:rFonts w:hint="eastAsia"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lang w:eastAsia="zh-CN"/>
              </w:rPr>
              <w:t>中标</w:t>
            </w:r>
            <w:r>
              <w:rPr>
                <w:rFonts w:hint="eastAsia" w:ascii="宋体" w:hAnsi="宋体" w:eastAsia="宋体" w:cs="宋体"/>
                <w:sz w:val="28"/>
                <w:szCs w:val="28"/>
              </w:rPr>
              <w:t xml:space="preserve">供应商可登录【全国公共资源交易平台（陕西省•西安市）】网站〖首页〉电子交易平台〉企业端〗后，在〖我的项目/项目流程〗模块中点击下载“中标（成交）通知书”。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国泰新点软件股份有限公司</w:t>
            </w:r>
          </w:p>
          <w:p>
            <w:pPr>
              <w:rPr>
                <w:rFonts w:hint="eastAsia" w:ascii="宋体" w:hAnsi="宋体" w:eastAsia="宋体" w:cs="宋体"/>
                <w:sz w:val="28"/>
                <w:szCs w:val="28"/>
              </w:rPr>
            </w:pPr>
            <w:r>
              <w:rPr>
                <w:rFonts w:hint="eastAsia" w:ascii="宋体" w:hAnsi="宋体" w:eastAsia="宋体" w:cs="宋体"/>
                <w:sz w:val="28"/>
                <w:szCs w:val="28"/>
              </w:rPr>
              <w:t>1．技术支持热线：400-998-0000/400-928-0095</w:t>
            </w:r>
          </w:p>
          <w:p>
            <w:pPr>
              <w:rPr>
                <w:rFonts w:hint="eastAsia" w:ascii="宋体" w:hAnsi="宋体" w:eastAsia="宋体" w:cs="宋体"/>
                <w:sz w:val="28"/>
                <w:szCs w:val="28"/>
              </w:rPr>
            </w:pPr>
            <w:r>
              <w:rPr>
                <w:rFonts w:hint="eastAsia" w:ascii="宋体" w:hAnsi="宋体" w:eastAsia="宋体" w:cs="宋体"/>
                <w:sz w:val="28"/>
                <w:szCs w:val="28"/>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3402" w:type="dxa"/>
            <w:shd w:val="clear" w:color="auto" w:fill="auto"/>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CA业务网点</w:t>
            </w:r>
          </w:p>
        </w:tc>
        <w:tc>
          <w:tcPr>
            <w:tcW w:w="4490" w:type="dxa"/>
            <w:shd w:val="clear" w:color="auto" w:fill="auto"/>
            <w:vAlign w:val="center"/>
          </w:tcPr>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陕西省数字证书认证中心股份有限公司</w:t>
            </w:r>
          </w:p>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网点1：西安市高新三路信息港大厦1楼客服中心</w:t>
            </w:r>
          </w:p>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客服电话：4006-369-888</w:t>
            </w:r>
          </w:p>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网点2：西安市长安北路14号省体育公寓B座一楼</w:t>
            </w:r>
          </w:p>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咨询电话：029-88661241</w:t>
            </w:r>
          </w:p>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网点3：西安市文景北路16号白桦林国际B座2楼11#窗口</w:t>
            </w:r>
          </w:p>
          <w:p>
            <w:pPr>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21</w:t>
            </w:r>
          </w:p>
        </w:tc>
        <w:tc>
          <w:tcPr>
            <w:tcW w:w="3402"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代理服务费</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w:t>
            </w:r>
            <w:r>
              <w:rPr>
                <w:rFonts w:hint="eastAsia" w:ascii="宋体" w:hAnsi="宋体" w:eastAsia="宋体" w:cs="宋体"/>
                <w:sz w:val="28"/>
                <w:szCs w:val="28"/>
                <w:lang w:eastAsia="zh-CN"/>
              </w:rPr>
              <w:t>下浮</w:t>
            </w:r>
            <w:r>
              <w:rPr>
                <w:rFonts w:hint="eastAsia" w:ascii="宋体" w:hAnsi="宋体" w:eastAsia="宋体" w:cs="宋体"/>
                <w:sz w:val="28"/>
                <w:szCs w:val="28"/>
                <w:lang w:val="en-US" w:eastAsia="zh-CN"/>
              </w:rPr>
              <w:t>20%</w:t>
            </w:r>
            <w:r>
              <w:rPr>
                <w:rFonts w:hint="eastAsia" w:ascii="宋体" w:hAnsi="宋体" w:eastAsia="宋体" w:cs="宋体"/>
                <w:sz w:val="28"/>
                <w:szCs w:val="28"/>
              </w:rPr>
              <w:t>收取。</w:t>
            </w:r>
          </w:p>
          <w:p>
            <w:pPr>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3402"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所属行业</w:t>
            </w:r>
          </w:p>
        </w:tc>
        <w:tc>
          <w:tcPr>
            <w:tcW w:w="4490" w:type="dxa"/>
            <w:shd w:val="clear" w:color="auto" w:fill="auto"/>
            <w:vAlign w:val="center"/>
          </w:tcPr>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工业</w:t>
            </w:r>
          </w:p>
        </w:tc>
      </w:tr>
    </w:tbl>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br w:type="page"/>
      </w:r>
    </w:p>
    <w:p>
      <w:pPr>
        <w:pStyle w:val="6"/>
        <w:outlineLvl w:val="1"/>
        <w:rPr>
          <w:rFonts w:hint="eastAsia" w:ascii="宋体" w:hAnsi="宋体" w:eastAsia="宋体" w:cs="宋体"/>
          <w:b/>
          <w:bCs/>
          <w:sz w:val="28"/>
          <w:szCs w:val="28"/>
        </w:rPr>
      </w:pPr>
      <w:bookmarkStart w:id="12" w:name="_Toc4932"/>
      <w:r>
        <w:rPr>
          <w:rFonts w:hint="eastAsia" w:ascii="宋体" w:hAnsi="宋体" w:eastAsia="宋体" w:cs="宋体"/>
          <w:b/>
          <w:bCs/>
          <w:sz w:val="28"/>
          <w:szCs w:val="28"/>
        </w:rPr>
        <w:t>一、有关定义</w:t>
      </w:r>
      <w:bookmarkEnd w:id="12"/>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pPr>
        <w:spacing w:line="560" w:lineRule="exact"/>
        <w:ind w:firstLine="576" w:firstLineChars="200"/>
        <w:rPr>
          <w:rFonts w:hint="eastAsia"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http://sxggzyjy.xa.gov.cn/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spacing w:line="560" w:lineRule="exact"/>
        <w:ind w:firstLine="576" w:firstLineChars="200"/>
        <w:rPr>
          <w:rFonts w:hint="eastAsia"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"http://www.sxggzyjy.cn:9002/TPBidder/memberLogin"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http://www.sxggzyjy.cn:9002/TPBidder/memberLogin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pStyle w:val="6"/>
        <w:outlineLvl w:val="1"/>
        <w:rPr>
          <w:rFonts w:hint="eastAsia" w:ascii="宋体" w:hAnsi="宋体" w:eastAsia="宋体" w:cs="宋体"/>
          <w:b/>
          <w:bCs/>
          <w:sz w:val="28"/>
          <w:szCs w:val="28"/>
        </w:rPr>
      </w:pPr>
      <w:bookmarkStart w:id="13" w:name="_Toc16922"/>
      <w:r>
        <w:rPr>
          <w:rFonts w:hint="eastAsia" w:ascii="宋体" w:hAnsi="宋体" w:eastAsia="宋体" w:cs="宋体"/>
          <w:b/>
          <w:bCs/>
          <w:sz w:val="28"/>
          <w:szCs w:val="28"/>
        </w:rPr>
        <w:t>二、供应商注意事项</w:t>
      </w:r>
      <w:bookmarkEnd w:id="13"/>
    </w:p>
    <w:p>
      <w:pPr>
        <w:pStyle w:val="100"/>
        <w:bidi w:val="0"/>
        <w:rPr>
          <w:rFonts w:hint="eastAsia"/>
          <w:b/>
          <w:bCs/>
          <w:sz w:val="28"/>
          <w:szCs w:val="28"/>
        </w:rPr>
      </w:pPr>
      <w:bookmarkStart w:id="14" w:name="_Toc21146"/>
      <w:r>
        <w:rPr>
          <w:rFonts w:hint="eastAsia"/>
          <w:b/>
          <w:bCs/>
          <w:sz w:val="28"/>
          <w:szCs w:val="28"/>
        </w:rPr>
        <w:t>（一）供应商投标流程</w:t>
      </w:r>
      <w:bookmarkEnd w:id="1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w:t>
      </w:r>
      <w:r>
        <w:rPr>
          <w:rFonts w:hint="eastAsia" w:ascii="宋体" w:hAnsi="宋体" w:eastAsia="宋体" w:cs="宋体"/>
          <w:sz w:val="28"/>
          <w:szCs w:val="28"/>
          <w:lang w:val="en-US" w:eastAsia="zh-CN"/>
        </w:rPr>
        <w:t>陕西CA、深圳CA、西部CA、北京CA四家数字证书公司</w:t>
      </w:r>
      <w:r>
        <w:rPr>
          <w:rFonts w:hint="eastAsia" w:ascii="宋体" w:hAnsi="宋体" w:eastAsia="宋体" w:cs="宋体"/>
          <w:sz w:val="28"/>
          <w:szCs w:val="28"/>
        </w:rPr>
        <w:t>）负责。</w:t>
      </w:r>
    </w:p>
    <w:p>
      <w:pPr>
        <w:widowControl w:val="0"/>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http://</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"http://www.snca.com.cn/channel/show/27.html"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www.snca.com.cn/channel/show/27.html</w:t>
      </w:r>
      <w:r>
        <w:rPr>
          <w:rStyle w:val="46"/>
          <w:rFonts w:hint="eastAsia" w:ascii="宋体" w:hAnsi="宋体" w:eastAsia="宋体" w:cs="宋体"/>
          <w:color w:val="auto"/>
          <w:sz w:val="28"/>
          <w:szCs w:val="28"/>
          <w:u w:val="none"/>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76" w:firstLineChars="200"/>
        <w:jc w:val="both"/>
        <w:outlineLvl w:val="9"/>
        <w:rPr>
          <w:rFonts w:hint="eastAsia"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100"/>
        <w:bidi w:val="0"/>
        <w:rPr>
          <w:rFonts w:hint="eastAsia"/>
          <w:b/>
          <w:bCs/>
          <w:sz w:val="28"/>
          <w:szCs w:val="28"/>
        </w:rPr>
      </w:pPr>
      <w:bookmarkStart w:id="15" w:name="_Toc18855"/>
      <w:r>
        <w:rPr>
          <w:rFonts w:hint="eastAsia"/>
          <w:b/>
          <w:bCs/>
          <w:sz w:val="28"/>
          <w:szCs w:val="28"/>
        </w:rPr>
        <w:t>（二）关于询问、质疑和投诉</w:t>
      </w:r>
      <w:bookmarkEnd w:id="15"/>
    </w:p>
    <w:p>
      <w:pPr>
        <w:pStyle w:val="100"/>
        <w:bidi w:val="0"/>
        <w:rPr>
          <w:rFonts w:hint="eastAsia" w:ascii="宋体" w:hAnsi="宋体" w:eastAsia="宋体" w:cs="宋体"/>
          <w:sz w:val="28"/>
          <w:szCs w:val="28"/>
        </w:rPr>
      </w:pPr>
      <w:bookmarkStart w:id="16" w:name="_Toc25855"/>
      <w:r>
        <w:rPr>
          <w:rFonts w:hint="eastAsia" w:ascii="宋体" w:hAnsi="宋体" w:eastAsia="宋体" w:cs="宋体"/>
          <w:sz w:val="28"/>
          <w:szCs w:val="28"/>
        </w:rPr>
        <w:t>1．询问</w:t>
      </w:r>
      <w:bookmarkEnd w:id="1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100"/>
        <w:bidi w:val="0"/>
        <w:rPr>
          <w:rFonts w:hint="eastAsia"/>
          <w:sz w:val="28"/>
          <w:szCs w:val="28"/>
        </w:rPr>
      </w:pPr>
      <w:bookmarkStart w:id="17" w:name="_Toc7787"/>
      <w:r>
        <w:rPr>
          <w:rFonts w:hint="eastAsia"/>
          <w:sz w:val="28"/>
          <w:szCs w:val="28"/>
        </w:rPr>
        <w:t>2．质疑</w:t>
      </w:r>
      <w:bookmarkEnd w:id="1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（2）质疑方式：</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76" w:firstLineChars="200"/>
        <w:outlineLvl w:val="9"/>
        <w:rPr>
          <w:rFonts w:hint="eastAsia" w:ascii="宋体" w:hAnsi="宋体" w:eastAsia="宋体" w:cs="宋体"/>
          <w:sz w:val="28"/>
          <w:szCs w:val="28"/>
        </w:rPr>
      </w:pPr>
      <w:r>
        <w:rPr>
          <w:rFonts w:hint="eastAsia" w:ascii="宋体" w:hAnsi="宋体" w:eastAsia="宋体" w:cs="宋体"/>
          <w:sz w:val="28"/>
          <w:szCs w:val="28"/>
        </w:rPr>
        <w:t>质疑函范本地址：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"http://download.ccgp.gov.cn/2018/zhiyihanfanben.zip"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http://download.ccgp.gov.cn/2018/zhiyihanfanben.zip</w:t>
      </w:r>
      <w:r>
        <w:rPr>
          <w:rStyle w:val="46"/>
          <w:rFonts w:hint="eastAsia" w:ascii="宋体" w:hAnsi="宋体" w:eastAsia="宋体" w:cs="宋体"/>
          <w:color w:val="auto"/>
          <w:sz w:val="28"/>
          <w:szCs w:val="28"/>
          <w:u w:val="none"/>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100"/>
        <w:bidi w:val="0"/>
        <w:rPr>
          <w:rFonts w:hint="eastAsia" w:ascii="宋体" w:hAnsi="宋体" w:eastAsia="宋体" w:cs="宋体"/>
          <w:sz w:val="28"/>
          <w:szCs w:val="28"/>
        </w:rPr>
      </w:pPr>
      <w:bookmarkStart w:id="18" w:name="_Toc26875"/>
      <w:r>
        <w:rPr>
          <w:rFonts w:hint="eastAsia" w:ascii="宋体" w:hAnsi="宋体" w:eastAsia="宋体" w:cs="宋体"/>
          <w:sz w:val="28"/>
          <w:szCs w:val="28"/>
        </w:rPr>
        <w:t>3．投诉</w:t>
      </w:r>
      <w:bookmarkEnd w:id="1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"http://download.ccgp.gov.cn/2018/tousushufanben.zip" </w:instrText>
      </w:r>
      <w:r>
        <w:rPr>
          <w:rFonts w:hint="eastAsia" w:ascii="宋体" w:hAnsi="宋体" w:eastAsia="宋体" w:cs="宋体"/>
          <w:sz w:val="28"/>
          <w:szCs w:val="28"/>
        </w:rPr>
        <w:fldChar w:fldCharType="separate"/>
      </w:r>
      <w:r>
        <w:rPr>
          <w:rStyle w:val="46"/>
          <w:rFonts w:hint="eastAsia" w:ascii="宋体" w:hAnsi="宋体" w:eastAsia="宋体" w:cs="宋体"/>
          <w:sz w:val="28"/>
          <w:szCs w:val="28"/>
        </w:rPr>
        <w:t>http://download.ccgp.gov.cn/2018/tousushufanben.zip</w:t>
      </w:r>
      <w:r>
        <w:rPr>
          <w:rStyle w:val="46"/>
          <w:rFonts w:hint="eastAsia" w:ascii="宋体" w:hAnsi="宋体" w:eastAsia="宋体" w:cs="宋体"/>
          <w:sz w:val="28"/>
          <w:szCs w:val="28"/>
        </w:rPr>
        <w:fldChar w:fldCharType="end"/>
      </w:r>
    </w:p>
    <w:p>
      <w:pPr>
        <w:pStyle w:val="100"/>
        <w:bidi w:val="0"/>
        <w:rPr>
          <w:rFonts w:hint="eastAsia" w:ascii="宋体" w:hAnsi="宋体" w:eastAsia="宋体" w:cs="宋体"/>
          <w:sz w:val="28"/>
          <w:szCs w:val="28"/>
        </w:rPr>
      </w:pPr>
      <w:bookmarkStart w:id="19" w:name="_Toc6468"/>
      <w:r>
        <w:rPr>
          <w:rFonts w:hint="eastAsia" w:ascii="宋体" w:hAnsi="宋体" w:eastAsia="宋体" w:cs="宋体"/>
          <w:sz w:val="28"/>
          <w:szCs w:val="28"/>
        </w:rPr>
        <w:t>4．恶意质疑、投诉的法律后果</w:t>
      </w:r>
      <w:bookmarkEnd w:id="1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100"/>
        <w:bidi w:val="0"/>
        <w:rPr>
          <w:rFonts w:hint="eastAsia"/>
          <w:b/>
          <w:bCs/>
          <w:sz w:val="28"/>
          <w:szCs w:val="28"/>
        </w:rPr>
      </w:pPr>
      <w:bookmarkStart w:id="20" w:name="_Toc15150"/>
      <w:r>
        <w:rPr>
          <w:rFonts w:hint="eastAsia"/>
          <w:b/>
          <w:bCs/>
          <w:sz w:val="28"/>
          <w:szCs w:val="28"/>
        </w:rPr>
        <w:t>（三）关于保证金</w:t>
      </w:r>
      <w:bookmarkEnd w:id="20"/>
    </w:p>
    <w:p>
      <w:pPr>
        <w:pStyle w:val="100"/>
        <w:bidi w:val="0"/>
        <w:rPr>
          <w:rFonts w:hint="eastAsia"/>
          <w:sz w:val="28"/>
          <w:szCs w:val="28"/>
        </w:rPr>
      </w:pPr>
      <w:bookmarkStart w:id="21" w:name="_Toc21776"/>
      <w:r>
        <w:rPr>
          <w:rFonts w:hint="eastAsia"/>
          <w:sz w:val="28"/>
          <w:szCs w:val="28"/>
        </w:rPr>
        <w:t>1．西安市政府采购信用担保及信用融资政策</w:t>
      </w:r>
      <w:bookmarkEnd w:id="2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《实施方案》链接地址：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"http://xaczj.xa.gov.cn/zfcg/cgfg/5db90552fd850863a9e4594d.html"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http://xaczj.xa.gov.cn/zfcg/cgfg/5db90552fd850863a9e4594d.html</w:t>
      </w:r>
      <w:r>
        <w:rPr>
          <w:rStyle w:val="46"/>
          <w:rFonts w:hint="eastAsia" w:ascii="宋体" w:hAnsi="宋体" w:eastAsia="宋体" w:cs="宋体"/>
          <w:color w:val="auto"/>
          <w:sz w:val="28"/>
          <w:szCs w:val="28"/>
          <w:u w:val="none"/>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《合作机构名单》链接地址：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"http://xaczj.xa.gov.cn/zfcg/cgfg/5db9054565cbd804f69e97e0.html"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http://xaczj.xa.gov.cn/zfcg/cgfg/5db9054565cbd804f69e97e0.html</w:t>
      </w:r>
      <w:r>
        <w:rPr>
          <w:rStyle w:val="46"/>
          <w:rFonts w:hint="eastAsia" w:ascii="宋体" w:hAnsi="宋体" w:eastAsia="宋体" w:cs="宋体"/>
          <w:color w:val="auto"/>
          <w:sz w:val="28"/>
          <w:szCs w:val="28"/>
          <w:u w:val="none"/>
        </w:rPr>
        <w:fldChar w:fldCharType="end"/>
      </w:r>
    </w:p>
    <w:p>
      <w:pPr>
        <w:pStyle w:val="100"/>
        <w:bidi w:val="0"/>
        <w:rPr>
          <w:rFonts w:hint="eastAsia"/>
          <w:sz w:val="28"/>
          <w:szCs w:val="28"/>
        </w:rPr>
      </w:pPr>
      <w:bookmarkStart w:id="22" w:name="_Toc184"/>
      <w:r>
        <w:rPr>
          <w:rFonts w:hint="eastAsia"/>
          <w:sz w:val="28"/>
          <w:szCs w:val="28"/>
        </w:rPr>
        <w:t>2．投标保证金</w:t>
      </w:r>
      <w:bookmarkEnd w:id="2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pPr>
        <w:pStyle w:val="100"/>
        <w:bidi w:val="0"/>
        <w:rPr>
          <w:rFonts w:hint="eastAsia"/>
          <w:sz w:val="28"/>
          <w:szCs w:val="28"/>
        </w:rPr>
      </w:pPr>
      <w:bookmarkStart w:id="23" w:name="_Toc26947"/>
      <w:r>
        <w:rPr>
          <w:rFonts w:hint="eastAsia"/>
          <w:sz w:val="28"/>
          <w:szCs w:val="28"/>
        </w:rPr>
        <w:t>3．履约保证金</w:t>
      </w:r>
      <w:bookmarkEnd w:id="23"/>
    </w:p>
    <w:p>
      <w:pPr>
        <w:spacing w:line="560" w:lineRule="exact"/>
        <w:ind w:firstLine="576" w:firstLineChars="200"/>
        <w:jc w:val="both"/>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无</w:t>
      </w:r>
    </w:p>
    <w:p>
      <w:pPr>
        <w:pStyle w:val="100"/>
        <w:bidi w:val="0"/>
        <w:rPr>
          <w:rFonts w:hint="eastAsia"/>
          <w:b/>
          <w:bCs/>
          <w:sz w:val="28"/>
          <w:szCs w:val="28"/>
        </w:rPr>
      </w:pPr>
      <w:bookmarkStart w:id="24" w:name="_Toc9929"/>
      <w:r>
        <w:rPr>
          <w:rFonts w:hint="eastAsia"/>
          <w:b/>
          <w:bCs/>
          <w:sz w:val="28"/>
          <w:szCs w:val="28"/>
        </w:rPr>
        <w:t>（四）关于联合体</w:t>
      </w:r>
      <w:bookmarkEnd w:id="2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联合体投标无效，本项目不 接受联合体投标</w:t>
      </w:r>
    </w:p>
    <w:p>
      <w:pPr>
        <w:pStyle w:val="100"/>
        <w:bidi w:val="0"/>
        <w:rPr>
          <w:rFonts w:hint="eastAsia"/>
          <w:b/>
          <w:bCs/>
          <w:sz w:val="28"/>
          <w:szCs w:val="28"/>
        </w:rPr>
      </w:pPr>
      <w:bookmarkStart w:id="25" w:name="_Toc7087"/>
      <w:r>
        <w:rPr>
          <w:rFonts w:hint="eastAsia"/>
          <w:b/>
          <w:bCs/>
          <w:sz w:val="28"/>
          <w:szCs w:val="28"/>
        </w:rPr>
        <w:t>（五）关于进口产品</w:t>
      </w:r>
      <w:bookmarkEnd w:id="25"/>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0"/>
        <w:bidi w:val="0"/>
        <w:rPr>
          <w:rFonts w:hint="eastAsia"/>
          <w:b/>
          <w:bCs/>
          <w:sz w:val="28"/>
          <w:szCs w:val="28"/>
        </w:rPr>
      </w:pPr>
      <w:bookmarkStart w:id="26" w:name="_Toc15301"/>
      <w:r>
        <w:rPr>
          <w:rFonts w:hint="eastAsia"/>
          <w:b/>
          <w:bCs/>
          <w:sz w:val="28"/>
          <w:szCs w:val="28"/>
        </w:rPr>
        <w:t>（六）关于政府采购政策</w:t>
      </w:r>
      <w:bookmarkEnd w:id="26"/>
    </w:p>
    <w:p>
      <w:pPr>
        <w:pStyle w:val="100"/>
        <w:bidi w:val="0"/>
        <w:ind w:left="0" w:leftChars="0" w:firstLine="0" w:firstLineChars="0"/>
        <w:rPr>
          <w:rFonts w:hint="eastAsia"/>
          <w:sz w:val="28"/>
          <w:szCs w:val="28"/>
        </w:rPr>
      </w:pPr>
      <w:bookmarkStart w:id="27" w:name="_Toc2460"/>
      <w:r>
        <w:rPr>
          <w:rFonts w:hint="eastAsia"/>
          <w:sz w:val="28"/>
          <w:szCs w:val="28"/>
        </w:rPr>
        <w:t>1．对中小企业、监狱企业、残疾人福利性单位的优惠政策</w:t>
      </w:r>
      <w:bookmarkEnd w:id="2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w:t>
      </w: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0"/>
        <w:bidi w:val="0"/>
        <w:ind w:left="0" w:leftChars="0" w:firstLine="0" w:firstLineChars="0"/>
        <w:rPr>
          <w:rFonts w:hint="eastAsia"/>
          <w:sz w:val="28"/>
          <w:szCs w:val="28"/>
        </w:rPr>
      </w:pPr>
      <w:bookmarkStart w:id="28" w:name="_Toc22143"/>
      <w:r>
        <w:rPr>
          <w:rFonts w:hint="eastAsia"/>
          <w:sz w:val="28"/>
          <w:szCs w:val="28"/>
        </w:rPr>
        <w:t>2．节能、环保产品采购政策</w:t>
      </w:r>
      <w:bookmarkEnd w:id="2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100"/>
        <w:bidi w:val="0"/>
        <w:rPr>
          <w:rFonts w:hint="eastAsia"/>
          <w:sz w:val="28"/>
          <w:szCs w:val="28"/>
        </w:rPr>
      </w:pPr>
      <w:bookmarkStart w:id="29" w:name="_Toc19090"/>
      <w:r>
        <w:rPr>
          <w:rFonts w:hint="eastAsia"/>
          <w:sz w:val="28"/>
          <w:szCs w:val="28"/>
        </w:rPr>
        <w:t>3．陕西省中小企业政府采购信用融资办法</w:t>
      </w:r>
      <w:bookmarkEnd w:id="2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76" w:firstLineChars="200"/>
        <w:outlineLvl w:val="9"/>
        <w:rPr>
          <w:rFonts w:hint="eastAsia" w:ascii="宋体" w:hAnsi="宋体" w:eastAsia="宋体" w:cs="宋体"/>
          <w:sz w:val="28"/>
          <w:szCs w:val="28"/>
        </w:rPr>
      </w:pPr>
      <w:r>
        <w:rPr>
          <w:rFonts w:hint="eastAsia" w:ascii="宋体" w:hAnsi="宋体" w:eastAsia="宋体" w:cs="宋体"/>
          <w:sz w:val="28"/>
          <w:szCs w:val="28"/>
        </w:rPr>
        <w:t>链接地址：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"http://www.ccgp-shaanxi.gov.cn/zcdservice/zcd/shanxi/article/zcdt/1390497710741917696"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http://www.ccgp-shaanxi.gov.cn/zcdservice/zcd/shanxi/article/zcdt/1390497710741917696</w:t>
      </w:r>
      <w:r>
        <w:rPr>
          <w:rStyle w:val="46"/>
          <w:rFonts w:hint="eastAsia" w:ascii="宋体" w:hAnsi="宋体" w:eastAsia="宋体" w:cs="宋体"/>
          <w:color w:val="auto"/>
          <w:sz w:val="28"/>
          <w:szCs w:val="28"/>
          <w:u w:val="none"/>
        </w:rPr>
        <w:fldChar w:fldCharType="end"/>
      </w:r>
    </w:p>
    <w:p>
      <w:pPr>
        <w:pStyle w:val="100"/>
        <w:bidi w:val="0"/>
        <w:rPr>
          <w:rFonts w:hint="eastAsia"/>
          <w:b/>
          <w:bCs/>
          <w:sz w:val="28"/>
          <w:szCs w:val="28"/>
        </w:rPr>
      </w:pPr>
      <w:bookmarkStart w:id="30" w:name="_Toc9302"/>
      <w:r>
        <w:rPr>
          <w:rFonts w:hint="eastAsia"/>
          <w:b/>
          <w:bCs/>
          <w:sz w:val="28"/>
          <w:szCs w:val="28"/>
        </w:rPr>
        <w:t>（七）关于现场踏勘和集中答疑</w:t>
      </w:r>
      <w:bookmarkEnd w:id="3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100"/>
        <w:bidi w:val="0"/>
        <w:rPr>
          <w:rFonts w:hint="eastAsia"/>
          <w:b/>
          <w:bCs/>
          <w:sz w:val="28"/>
          <w:szCs w:val="28"/>
        </w:rPr>
      </w:pPr>
      <w:bookmarkStart w:id="31" w:name="_Toc25219"/>
      <w:r>
        <w:rPr>
          <w:rFonts w:hint="eastAsia"/>
          <w:b/>
          <w:bCs/>
          <w:sz w:val="28"/>
          <w:szCs w:val="28"/>
        </w:rPr>
        <w:t>（八）关于同一品牌产品的处理</w:t>
      </w:r>
      <w:bookmarkEnd w:id="3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0"/>
        <w:bidi w:val="0"/>
        <w:rPr>
          <w:rFonts w:hint="eastAsia"/>
          <w:b/>
          <w:bCs/>
          <w:sz w:val="28"/>
          <w:szCs w:val="28"/>
        </w:rPr>
      </w:pPr>
      <w:bookmarkStart w:id="32" w:name="_Toc15678"/>
      <w:r>
        <w:rPr>
          <w:rFonts w:hint="eastAsia"/>
          <w:b/>
          <w:bCs/>
          <w:sz w:val="28"/>
          <w:szCs w:val="28"/>
        </w:rPr>
        <w:t>（九）关于知识产权和保密事项</w:t>
      </w:r>
      <w:bookmarkEnd w:id="3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100"/>
        <w:bidi w:val="0"/>
        <w:rPr>
          <w:rFonts w:hint="eastAsia"/>
          <w:b/>
          <w:bCs/>
          <w:sz w:val="28"/>
          <w:szCs w:val="28"/>
        </w:rPr>
      </w:pPr>
      <w:bookmarkStart w:id="33" w:name="_Toc17978"/>
      <w:r>
        <w:rPr>
          <w:rFonts w:hint="eastAsia"/>
          <w:b/>
          <w:bCs/>
          <w:sz w:val="28"/>
          <w:szCs w:val="28"/>
        </w:rPr>
        <w:t>（十）关于信用记录的查询和使用</w:t>
      </w:r>
      <w:bookmarkEnd w:id="3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"https://www.creditchina.gov.cn"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https://www.creditchina.gov.cn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http://www.ccgp.gov.cn/）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100"/>
        <w:bidi w:val="0"/>
        <w:rPr>
          <w:rFonts w:hint="eastAsia"/>
          <w:b/>
          <w:bCs/>
          <w:sz w:val="28"/>
          <w:szCs w:val="28"/>
        </w:rPr>
      </w:pPr>
      <w:bookmarkStart w:id="34" w:name="_Toc5362"/>
      <w:r>
        <w:rPr>
          <w:rFonts w:hint="eastAsia"/>
          <w:b/>
          <w:bCs/>
          <w:sz w:val="28"/>
          <w:szCs w:val="28"/>
        </w:rPr>
        <w:t>（十一）其他重要事项</w:t>
      </w:r>
      <w:bookmarkEnd w:id="3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2．供应商的投标费用自理。</w:t>
      </w:r>
    </w:p>
    <w:p>
      <w:pPr>
        <w:pStyle w:val="6"/>
        <w:ind w:left="0" w:leftChars="0" w:firstLine="0" w:firstLineChars="0"/>
        <w:outlineLvl w:val="1"/>
        <w:rPr>
          <w:rFonts w:hint="eastAsia" w:ascii="宋体" w:hAnsi="宋体" w:eastAsia="宋体" w:cs="宋体"/>
          <w:sz w:val="28"/>
          <w:szCs w:val="28"/>
        </w:rPr>
      </w:pPr>
      <w:bookmarkStart w:id="35" w:name="_Toc27237"/>
      <w:r>
        <w:rPr>
          <w:rFonts w:hint="eastAsia" w:ascii="宋体" w:hAnsi="宋体" w:eastAsia="宋体" w:cs="宋体"/>
          <w:sz w:val="28"/>
          <w:szCs w:val="28"/>
        </w:rPr>
        <w:t>三、招标文件</w:t>
      </w:r>
      <w:bookmarkEnd w:id="35"/>
    </w:p>
    <w:p>
      <w:pPr>
        <w:pStyle w:val="100"/>
        <w:bidi w:val="0"/>
        <w:rPr>
          <w:rFonts w:hint="eastAsia"/>
          <w:b/>
          <w:bCs/>
          <w:sz w:val="28"/>
          <w:szCs w:val="28"/>
        </w:rPr>
      </w:pPr>
      <w:bookmarkStart w:id="36" w:name="_Toc23274"/>
      <w:r>
        <w:rPr>
          <w:rFonts w:hint="eastAsia"/>
          <w:b/>
          <w:bCs/>
          <w:sz w:val="28"/>
          <w:szCs w:val="28"/>
        </w:rPr>
        <w:t>（一）招标文件的解释权</w:t>
      </w:r>
      <w:bookmarkEnd w:id="3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100"/>
        <w:bidi w:val="0"/>
        <w:rPr>
          <w:rFonts w:hint="eastAsia"/>
          <w:b/>
          <w:bCs/>
          <w:sz w:val="28"/>
          <w:szCs w:val="28"/>
        </w:rPr>
      </w:pPr>
      <w:bookmarkStart w:id="37" w:name="_Toc30024"/>
      <w:r>
        <w:rPr>
          <w:rFonts w:hint="eastAsia"/>
          <w:b/>
          <w:bCs/>
          <w:sz w:val="28"/>
          <w:szCs w:val="28"/>
        </w:rPr>
        <w:t>（二）招标文件主要内容</w:t>
      </w:r>
      <w:bookmarkEnd w:id="3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76" w:firstLineChars="200"/>
        <w:jc w:val="both"/>
        <w:outlineLvl w:val="9"/>
        <w:rPr>
          <w:rFonts w:hint="eastAsia" w:ascii="宋体" w:hAnsi="宋体" w:eastAsia="宋体" w:cs="宋体"/>
          <w:sz w:val="32"/>
          <w:szCs w:val="32"/>
        </w:rPr>
      </w:pPr>
      <w:r>
        <w:rPr>
          <w:rFonts w:hint="eastAsia" w:ascii="宋体" w:hAnsi="宋体" w:eastAsia="宋体" w:cs="宋体"/>
          <w:sz w:val="28"/>
          <w:szCs w:val="28"/>
        </w:rPr>
        <w:t>第5章  投标文件构成及格式</w:t>
      </w:r>
    </w:p>
    <w:p>
      <w:pPr>
        <w:pStyle w:val="100"/>
        <w:bidi w:val="0"/>
        <w:rPr>
          <w:rFonts w:hint="eastAsia"/>
          <w:b/>
          <w:bCs/>
          <w:sz w:val="28"/>
          <w:szCs w:val="28"/>
        </w:rPr>
      </w:pPr>
      <w:bookmarkStart w:id="38" w:name="_Toc26313"/>
      <w:r>
        <w:rPr>
          <w:rFonts w:hint="eastAsia"/>
          <w:b/>
          <w:bCs/>
          <w:sz w:val="28"/>
          <w:szCs w:val="28"/>
        </w:rPr>
        <w:t>（三）招标文件的检查及阅读</w:t>
      </w:r>
      <w:bookmarkEnd w:id="3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100"/>
        <w:bidi w:val="0"/>
        <w:rPr>
          <w:rFonts w:hint="eastAsia"/>
          <w:b/>
          <w:bCs/>
          <w:sz w:val="28"/>
          <w:szCs w:val="28"/>
        </w:rPr>
      </w:pPr>
      <w:bookmarkStart w:id="39" w:name="_Toc5096"/>
      <w:r>
        <w:rPr>
          <w:rFonts w:hint="eastAsia"/>
          <w:b/>
          <w:bCs/>
          <w:sz w:val="28"/>
          <w:szCs w:val="28"/>
        </w:rPr>
        <w:t>（四）招标文件的修改、澄清</w:t>
      </w:r>
      <w:bookmarkEnd w:id="3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76" w:firstLineChars="200"/>
        <w:jc w:val="left"/>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陕西省政府采购网</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http://www.ccgp-shaanxi.gov.cn/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"http://xa.sxggzyjy.cn/"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全国公共资源交易网（陕西省·西安市）</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http://sxggzyjy.xa.gov.cn/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pPr>
        <w:pStyle w:val="6"/>
        <w:ind w:left="0" w:leftChars="0" w:firstLine="0" w:firstLineChars="0"/>
        <w:outlineLvl w:val="1"/>
        <w:rPr>
          <w:rFonts w:hint="eastAsia" w:ascii="宋体" w:hAnsi="宋体" w:eastAsia="宋体" w:cs="宋体"/>
          <w:sz w:val="28"/>
          <w:szCs w:val="28"/>
        </w:rPr>
      </w:pPr>
      <w:bookmarkStart w:id="40" w:name="_Toc10188"/>
      <w:r>
        <w:rPr>
          <w:rFonts w:hint="eastAsia" w:ascii="宋体" w:hAnsi="宋体" w:eastAsia="宋体" w:cs="宋体"/>
          <w:sz w:val="28"/>
          <w:szCs w:val="28"/>
        </w:rPr>
        <w:t>四、投标文件</w:t>
      </w:r>
      <w:bookmarkEnd w:id="40"/>
    </w:p>
    <w:p>
      <w:pPr>
        <w:pStyle w:val="100"/>
        <w:bidi w:val="0"/>
        <w:rPr>
          <w:rFonts w:hint="eastAsia"/>
          <w:b/>
          <w:bCs/>
          <w:sz w:val="28"/>
          <w:szCs w:val="28"/>
        </w:rPr>
      </w:pPr>
      <w:bookmarkStart w:id="41" w:name="_Toc19870"/>
      <w:r>
        <w:rPr>
          <w:rFonts w:hint="eastAsia"/>
          <w:b/>
          <w:bCs/>
          <w:sz w:val="28"/>
          <w:szCs w:val="28"/>
        </w:rPr>
        <w:t>（一）投标文件的式样</w:t>
      </w:r>
      <w:bookmarkEnd w:id="41"/>
    </w:p>
    <w:p>
      <w:pPr>
        <w:pStyle w:val="100"/>
        <w:bidi w:val="0"/>
        <w:ind w:left="0" w:leftChars="0" w:firstLine="0" w:firstLineChars="0"/>
        <w:rPr>
          <w:rFonts w:hint="eastAsia"/>
          <w:sz w:val="28"/>
          <w:szCs w:val="28"/>
        </w:rPr>
      </w:pPr>
      <w:bookmarkStart w:id="42" w:name="_Toc23111"/>
      <w:r>
        <w:rPr>
          <w:rFonts w:hint="eastAsia"/>
          <w:sz w:val="28"/>
          <w:szCs w:val="28"/>
        </w:rPr>
        <w:t>1．组成及格式</w:t>
      </w:r>
      <w:bookmarkEnd w:id="4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100"/>
        <w:bidi w:val="0"/>
        <w:ind w:left="0" w:leftChars="0" w:firstLine="0" w:firstLineChars="0"/>
        <w:rPr>
          <w:rFonts w:hint="eastAsia"/>
          <w:sz w:val="28"/>
          <w:szCs w:val="28"/>
        </w:rPr>
      </w:pPr>
      <w:bookmarkStart w:id="43" w:name="_Toc4658"/>
      <w:r>
        <w:rPr>
          <w:rFonts w:hint="eastAsia"/>
          <w:sz w:val="28"/>
          <w:szCs w:val="28"/>
        </w:rPr>
        <w:t>2．语言</w:t>
      </w:r>
      <w:bookmarkEnd w:id="4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100"/>
        <w:bidi w:val="0"/>
        <w:ind w:left="0" w:leftChars="0" w:firstLine="0" w:firstLineChars="0"/>
        <w:rPr>
          <w:rFonts w:hint="eastAsia"/>
          <w:sz w:val="28"/>
          <w:szCs w:val="28"/>
        </w:rPr>
      </w:pPr>
      <w:bookmarkStart w:id="44" w:name="_Toc3436"/>
      <w:r>
        <w:rPr>
          <w:rFonts w:hint="eastAsia"/>
          <w:sz w:val="28"/>
          <w:szCs w:val="28"/>
        </w:rPr>
        <w:t>3．计量单位</w:t>
      </w:r>
      <w:bookmarkEnd w:id="4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100"/>
        <w:bidi w:val="0"/>
        <w:rPr>
          <w:rFonts w:hint="eastAsia"/>
          <w:b/>
          <w:bCs/>
          <w:sz w:val="28"/>
          <w:szCs w:val="28"/>
        </w:rPr>
      </w:pPr>
      <w:bookmarkStart w:id="45" w:name="_Toc15553"/>
      <w:r>
        <w:rPr>
          <w:rFonts w:hint="eastAsia"/>
          <w:b/>
          <w:bCs/>
          <w:sz w:val="28"/>
          <w:szCs w:val="28"/>
        </w:rPr>
        <w:t>（二）投标文件的有效期</w:t>
      </w:r>
      <w:bookmarkEnd w:id="45"/>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100"/>
        <w:bidi w:val="0"/>
        <w:rPr>
          <w:rFonts w:hint="eastAsia"/>
          <w:b/>
          <w:bCs/>
          <w:sz w:val="28"/>
          <w:szCs w:val="28"/>
        </w:rPr>
      </w:pPr>
      <w:bookmarkStart w:id="46" w:name="_Toc28137"/>
      <w:r>
        <w:rPr>
          <w:rFonts w:hint="eastAsia"/>
          <w:b/>
          <w:bCs/>
          <w:sz w:val="28"/>
          <w:szCs w:val="28"/>
        </w:rPr>
        <w:t>（三）投标报价</w:t>
      </w:r>
      <w:bookmarkEnd w:id="4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100"/>
        <w:bidi w:val="0"/>
        <w:rPr>
          <w:rFonts w:hint="eastAsia"/>
          <w:b/>
          <w:bCs/>
          <w:sz w:val="28"/>
          <w:szCs w:val="28"/>
        </w:rPr>
      </w:pPr>
      <w:bookmarkStart w:id="47" w:name="_Toc30313"/>
      <w:r>
        <w:rPr>
          <w:rFonts w:hint="eastAsia"/>
          <w:b/>
          <w:bCs/>
          <w:sz w:val="28"/>
          <w:szCs w:val="28"/>
        </w:rPr>
        <w:t>（四）投标文件的制作和签章</w:t>
      </w:r>
      <w:bookmarkEnd w:id="4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链接地址：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"http://sxggzyjy.xa.gov.cn/fwzn/004003/20181115/4d59c184-e8f6-4d5a-a416-c2f6b0601e66.html" </w:instrText>
      </w:r>
      <w:r>
        <w:rPr>
          <w:rFonts w:hint="eastAsia" w:ascii="宋体" w:hAnsi="宋体" w:eastAsia="宋体" w:cs="宋体"/>
          <w:sz w:val="28"/>
          <w:szCs w:val="28"/>
        </w:rPr>
        <w:fldChar w:fldCharType="separate"/>
      </w:r>
      <w:r>
        <w:rPr>
          <w:rStyle w:val="46"/>
          <w:rFonts w:hint="eastAsia" w:ascii="宋体" w:hAnsi="宋体" w:eastAsia="宋体" w:cs="宋体"/>
          <w:sz w:val="28"/>
          <w:szCs w:val="28"/>
        </w:rPr>
        <w:t>http://sxggzyjy.xa.gov.cn/fwzn/004003/20181115/4d59c184-e8f6-4d5a-a416-c2f6b0601e66.html</w:t>
      </w:r>
      <w:r>
        <w:rPr>
          <w:rStyle w:val="46"/>
          <w:rFonts w:hint="eastAsia" w:ascii="宋体" w:hAnsi="宋体" w:eastAsia="宋体" w:cs="宋体"/>
          <w:sz w:val="28"/>
          <w:szCs w:val="28"/>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0"/>
        <w:bidi w:val="0"/>
        <w:rPr>
          <w:rFonts w:hint="eastAsia"/>
          <w:b/>
          <w:bCs/>
          <w:sz w:val="28"/>
          <w:szCs w:val="28"/>
        </w:rPr>
      </w:pPr>
      <w:bookmarkStart w:id="48" w:name="_Toc15534"/>
      <w:r>
        <w:rPr>
          <w:rFonts w:hint="eastAsia"/>
          <w:b/>
          <w:bCs/>
          <w:sz w:val="28"/>
          <w:szCs w:val="28"/>
        </w:rPr>
        <w:t>（五）投标文件的加密和提交</w:t>
      </w:r>
      <w:bookmarkEnd w:id="4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100"/>
        <w:bidi w:val="0"/>
        <w:rPr>
          <w:rFonts w:hint="eastAsia"/>
          <w:b/>
          <w:bCs/>
          <w:sz w:val="28"/>
          <w:szCs w:val="28"/>
        </w:rPr>
      </w:pPr>
      <w:bookmarkStart w:id="49" w:name="_Toc28545"/>
      <w:r>
        <w:rPr>
          <w:rFonts w:hint="eastAsia"/>
          <w:b/>
          <w:bCs/>
          <w:sz w:val="28"/>
          <w:szCs w:val="28"/>
        </w:rPr>
        <w:t>（六）投标文件的补充、修改和撤回</w:t>
      </w:r>
      <w:bookmarkEnd w:id="4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0"/>
        <w:bidi w:val="0"/>
        <w:rPr>
          <w:rFonts w:hint="eastAsia"/>
          <w:b/>
          <w:bCs/>
          <w:sz w:val="28"/>
          <w:szCs w:val="28"/>
        </w:rPr>
      </w:pPr>
      <w:bookmarkStart w:id="50" w:name="_Toc5968"/>
      <w:r>
        <w:rPr>
          <w:rFonts w:hint="eastAsia"/>
          <w:b/>
          <w:bCs/>
          <w:sz w:val="28"/>
          <w:szCs w:val="28"/>
        </w:rPr>
        <w:t>（七）关于投标文件的雷同性分析</w:t>
      </w:r>
      <w:bookmarkEnd w:id="5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100"/>
        <w:bidi w:val="0"/>
        <w:rPr>
          <w:rFonts w:hint="eastAsia"/>
          <w:b/>
          <w:bCs/>
          <w:sz w:val="28"/>
          <w:szCs w:val="28"/>
        </w:rPr>
      </w:pPr>
      <w:bookmarkStart w:id="51" w:name="_Toc11132"/>
      <w:r>
        <w:rPr>
          <w:rFonts w:hint="eastAsia"/>
          <w:b/>
          <w:bCs/>
          <w:sz w:val="28"/>
          <w:szCs w:val="28"/>
        </w:rPr>
        <w:t>（八）投标文件被拒绝接收的情形</w:t>
      </w:r>
      <w:bookmarkEnd w:id="5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2．逾期提交电子投标文件的。</w:t>
      </w:r>
    </w:p>
    <w:p>
      <w:pPr>
        <w:pStyle w:val="6"/>
        <w:ind w:left="0" w:leftChars="0" w:firstLine="0" w:firstLineChars="0"/>
        <w:outlineLvl w:val="1"/>
        <w:rPr>
          <w:rFonts w:hint="eastAsia" w:ascii="宋体" w:hAnsi="宋体" w:eastAsia="宋体" w:cs="宋体"/>
          <w:sz w:val="28"/>
          <w:szCs w:val="28"/>
        </w:rPr>
      </w:pPr>
      <w:bookmarkStart w:id="52" w:name="_Toc3761"/>
      <w:r>
        <w:rPr>
          <w:rFonts w:hint="eastAsia" w:ascii="宋体" w:hAnsi="宋体" w:eastAsia="宋体" w:cs="宋体"/>
          <w:sz w:val="28"/>
          <w:szCs w:val="28"/>
        </w:rPr>
        <w:t>五、开标程序</w:t>
      </w:r>
      <w:bookmarkEnd w:id="5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pPr>
        <w:spacing w:line="560" w:lineRule="exact"/>
        <w:ind w:firstLine="576" w:firstLineChars="200"/>
        <w:outlineLvl w:val="9"/>
        <w:rPr>
          <w:rFonts w:hint="eastAsia" w:ascii="宋体" w:hAnsi="宋体" w:eastAsia="宋体" w:cs="宋体"/>
          <w:sz w:val="28"/>
          <w:szCs w:val="28"/>
        </w:rPr>
      </w:pPr>
      <w:r>
        <w:rPr>
          <w:rFonts w:hint="eastAsia" w:ascii="宋体" w:hAnsi="宋体" w:eastAsia="宋体" w:cs="宋体"/>
          <w:sz w:val="28"/>
          <w:szCs w:val="28"/>
        </w:rPr>
        <w:t>链接地址：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"http://sxggzyjy.xa.gov.cn/fwzn/004003/20200426/bc8b2c1e-abe2-4168-913c-68ff93345faf.html"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http://sxggzyjy.xa.gov.cn/fwzn/004003/20200426/bc8b2c1e-abe2-4168-913c-68ff93345faf.html</w:t>
      </w:r>
      <w:r>
        <w:rPr>
          <w:rStyle w:val="46"/>
          <w:rFonts w:hint="eastAsia" w:ascii="宋体" w:hAnsi="宋体" w:eastAsia="宋体" w:cs="宋体"/>
          <w:color w:val="auto"/>
          <w:sz w:val="28"/>
          <w:szCs w:val="28"/>
          <w:u w:val="none"/>
        </w:rPr>
        <w:fldChar w:fldCharType="end"/>
      </w:r>
    </w:p>
    <w:p>
      <w:pPr>
        <w:pStyle w:val="100"/>
        <w:bidi w:val="0"/>
        <w:rPr>
          <w:rFonts w:hint="eastAsia"/>
          <w:b/>
          <w:bCs/>
          <w:sz w:val="28"/>
          <w:szCs w:val="28"/>
        </w:rPr>
      </w:pPr>
      <w:bookmarkStart w:id="53" w:name="_Toc15581"/>
      <w:r>
        <w:rPr>
          <w:rFonts w:hint="eastAsia"/>
          <w:b/>
          <w:bCs/>
          <w:sz w:val="28"/>
          <w:szCs w:val="28"/>
        </w:rPr>
        <w:t>（</w:t>
      </w:r>
      <w:r>
        <w:rPr>
          <w:rFonts w:hint="eastAsia"/>
          <w:b/>
          <w:bCs/>
          <w:sz w:val="28"/>
          <w:szCs w:val="28"/>
          <w:lang w:eastAsia="zh-CN"/>
        </w:rPr>
        <w:t>一</w:t>
      </w:r>
      <w:r>
        <w:rPr>
          <w:rFonts w:hint="eastAsia"/>
          <w:b/>
          <w:bCs/>
          <w:sz w:val="28"/>
          <w:szCs w:val="28"/>
        </w:rPr>
        <w:t>）开标环节投标文件视为无效的情形</w:t>
      </w:r>
      <w:bookmarkEnd w:id="5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100"/>
        <w:bidi w:val="0"/>
        <w:rPr>
          <w:rFonts w:hint="eastAsia"/>
          <w:b/>
          <w:bCs/>
          <w:sz w:val="28"/>
          <w:szCs w:val="28"/>
        </w:rPr>
      </w:pPr>
      <w:bookmarkStart w:id="54" w:name="_Toc4756"/>
      <w:r>
        <w:rPr>
          <w:rFonts w:hint="eastAsia"/>
          <w:b/>
          <w:bCs/>
          <w:sz w:val="28"/>
          <w:szCs w:val="28"/>
        </w:rPr>
        <w:t>（</w:t>
      </w:r>
      <w:r>
        <w:rPr>
          <w:rFonts w:hint="eastAsia"/>
          <w:b/>
          <w:bCs/>
          <w:sz w:val="28"/>
          <w:szCs w:val="28"/>
          <w:lang w:eastAsia="zh-CN"/>
        </w:rPr>
        <w:t>二</w:t>
      </w:r>
      <w:r>
        <w:rPr>
          <w:rFonts w:hint="eastAsia"/>
          <w:b/>
          <w:bCs/>
          <w:sz w:val="28"/>
          <w:szCs w:val="28"/>
        </w:rPr>
        <w:t>）突发状况的应急处置</w:t>
      </w:r>
      <w:bookmarkEnd w:id="5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6"/>
        <w:ind w:left="0" w:leftChars="0" w:firstLine="0" w:firstLineChars="0"/>
        <w:outlineLvl w:val="1"/>
        <w:rPr>
          <w:rFonts w:hint="eastAsia" w:ascii="宋体" w:hAnsi="宋体" w:eastAsia="宋体" w:cs="宋体"/>
          <w:sz w:val="28"/>
          <w:szCs w:val="28"/>
        </w:rPr>
      </w:pPr>
      <w:bookmarkStart w:id="55" w:name="_Toc30439"/>
      <w:r>
        <w:rPr>
          <w:rFonts w:hint="eastAsia" w:ascii="宋体" w:hAnsi="宋体" w:eastAsia="宋体" w:cs="宋体"/>
          <w:sz w:val="28"/>
          <w:szCs w:val="28"/>
        </w:rPr>
        <w:t>六、资格审查</w:t>
      </w:r>
      <w:bookmarkEnd w:id="55"/>
    </w:p>
    <w:p>
      <w:pPr>
        <w:spacing w:line="560" w:lineRule="exact"/>
        <w:ind w:firstLine="576"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开标结束后，依据法律法规和招标文件的规定，对投标文件中的资格证明文件等进行审查，以确保供应商是否具备相应资格。</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76" w:firstLineChars="200"/>
        <w:jc w:val="both"/>
        <w:rPr>
          <w:rFonts w:hint="eastAsia" w:ascii="宋体" w:hAnsi="宋体" w:eastAsia="宋体" w:cs="宋体"/>
          <w:sz w:val="32"/>
          <w:szCs w:val="32"/>
        </w:rPr>
      </w:pPr>
      <w:r>
        <w:rPr>
          <w:rFonts w:hint="eastAsia" w:ascii="宋体" w:hAnsi="宋体" w:eastAsia="宋体" w:cs="宋体"/>
          <w:sz w:val="28"/>
          <w:szCs w:val="28"/>
        </w:rPr>
        <w:t>合格供应商不足3家的，不得评标。</w:t>
      </w:r>
    </w:p>
    <w:p>
      <w:pPr>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rPr>
          <w:rFonts w:hint="eastAsia" w:ascii="宋体" w:hAnsi="宋体" w:eastAsia="宋体" w:cs="宋体"/>
          <w:sz w:val="28"/>
          <w:szCs w:val="28"/>
        </w:rPr>
      </w:pPr>
      <w:r>
        <w:rPr>
          <w:rFonts w:hint="eastAsia" w:ascii="宋体" w:hAnsi="宋体" w:eastAsia="宋体" w:cs="宋体"/>
          <w:sz w:val="28"/>
          <w:szCs w:val="28"/>
        </w:rPr>
        <w:t>〖资格性审查表〗</w:t>
      </w:r>
    </w:p>
    <w:tbl>
      <w:tblPr>
        <w:tblStyle w:val="3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569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资格项</w:t>
            </w:r>
          </w:p>
        </w:tc>
        <w:tc>
          <w:tcPr>
            <w:tcW w:w="569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一</w:t>
            </w:r>
          </w:p>
        </w:tc>
        <w:tc>
          <w:tcPr>
            <w:tcW w:w="8032" w:type="dxa"/>
            <w:gridSpan w:val="2"/>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有效的主体资格证明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财务状况证明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履行合同书面声明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336" w:type="dxa"/>
            <w:vAlign w:val="center"/>
          </w:tcPr>
          <w:p>
            <w:pPr>
              <w:jc w:val="center"/>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税收缴纳证明</w:t>
            </w:r>
          </w:p>
          <w:p>
            <w:pPr>
              <w:jc w:val="center"/>
              <w:rPr>
                <w:rFonts w:hint="eastAsia" w:ascii="宋体" w:hAnsi="宋体" w:eastAsia="宋体" w:cs="宋体"/>
                <w:sz w:val="28"/>
                <w:szCs w:val="28"/>
              </w:rPr>
            </w:pP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提供2021年9月以来至少一个月的纳税证明或完税证明，依法免税的单位应提供相关证明材料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社会保障资金缴纳证明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rPr>
              <w:t>提供2021年9月以来至少一个月的社会保障资金缴存单据或社保机构开具的社会保险参保缴费情况证明。依法不需要缴纳社会保障资金的供应商应提供相关文件证明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2336" w:type="dxa"/>
            <w:vAlign w:val="center"/>
          </w:tcPr>
          <w:p>
            <w:pPr>
              <w:jc w:val="center"/>
              <w:rPr>
                <w:rFonts w:hint="eastAsia" w:ascii="宋体" w:hAnsi="宋体" w:eastAsia="宋体" w:cs="宋体"/>
                <w:sz w:val="28"/>
                <w:szCs w:val="28"/>
                <w:lang w:val="en-US" w:eastAsia="zh-CN" w:bidi="ar-SA"/>
              </w:rPr>
            </w:pPr>
            <w:r>
              <w:rPr>
                <w:rFonts w:hint="eastAsia" w:ascii="宋体" w:hAnsi="宋体" w:eastAsia="宋体" w:cs="宋体"/>
                <w:sz w:val="28"/>
                <w:szCs w:val="28"/>
              </w:rPr>
              <w:t>无重大违法记录声明</w:t>
            </w:r>
          </w:p>
        </w:tc>
        <w:tc>
          <w:tcPr>
            <w:tcW w:w="5696" w:type="dxa"/>
            <w:vAlign w:val="center"/>
          </w:tcPr>
          <w:p>
            <w:pPr>
              <w:jc w:val="both"/>
              <w:rPr>
                <w:rFonts w:hint="eastAsia" w:ascii="宋体" w:hAnsi="宋体" w:eastAsia="宋体" w:cs="宋体"/>
                <w:sz w:val="28"/>
                <w:szCs w:val="28"/>
                <w:lang w:val="en-US" w:eastAsia="zh-CN" w:bidi="ar-SA"/>
              </w:rPr>
            </w:pPr>
            <w:r>
              <w:rPr>
                <w:rFonts w:hint="default" w:ascii="宋体" w:hAnsi="宋体" w:eastAsia="宋体" w:cs="宋体"/>
                <w:sz w:val="28"/>
                <w:szCs w:val="28"/>
                <w:lang w:val="en-US" w:eastAsia="zh-CN"/>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法定代表人委托授权书</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rPr>
              <w:t>非法定代表人参加投标的，须提供法定代表人委托授权书及被授权人身份证，法定代表人参加投标时,只需提供法定代表人身份证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lang w:val="en-US" w:eastAsia="zh-CN"/>
              </w:rPr>
              <w:t>机电工程施工总承包</w:t>
            </w:r>
            <w:r>
              <w:rPr>
                <w:rFonts w:hint="default" w:ascii="宋体" w:hAnsi="宋体" w:eastAsia="宋体" w:cs="宋体"/>
                <w:sz w:val="28"/>
                <w:szCs w:val="28"/>
                <w:lang w:val="en-US" w:eastAsia="zh-CN"/>
              </w:rPr>
              <w:t>二</w:t>
            </w:r>
            <w:r>
              <w:rPr>
                <w:rFonts w:hint="eastAsia" w:ascii="宋体" w:hAnsi="宋体" w:eastAsia="宋体" w:cs="宋体"/>
                <w:sz w:val="28"/>
                <w:szCs w:val="28"/>
                <w:lang w:val="en-US" w:eastAsia="zh-CN"/>
              </w:rPr>
              <w:t>级及以上资质或建筑机电安装工程专业承包</w:t>
            </w:r>
            <w:r>
              <w:rPr>
                <w:rFonts w:hint="default" w:ascii="宋体" w:hAnsi="宋体" w:eastAsia="宋体" w:cs="宋体"/>
                <w:sz w:val="28"/>
                <w:szCs w:val="28"/>
                <w:lang w:val="en-US" w:eastAsia="zh-CN"/>
              </w:rPr>
              <w:t>二</w:t>
            </w:r>
            <w:r>
              <w:rPr>
                <w:rFonts w:hint="eastAsia" w:ascii="宋体" w:hAnsi="宋体" w:eastAsia="宋体" w:cs="宋体"/>
                <w:sz w:val="28"/>
                <w:szCs w:val="28"/>
                <w:lang w:val="en-US" w:eastAsia="zh-CN"/>
              </w:rPr>
              <w:t>级及以上资质</w:t>
            </w:r>
            <w:r>
              <w:rPr>
                <w:rFonts w:hint="default" w:ascii="宋体" w:hAnsi="宋体" w:eastAsia="宋体" w:cs="宋体"/>
                <w:sz w:val="28"/>
                <w:szCs w:val="28"/>
                <w:lang w:val="en-US" w:eastAsia="zh-CN"/>
              </w:rPr>
              <w:t>，且具有合格有效的安全生产许可证</w:t>
            </w:r>
            <w:r>
              <w:rPr>
                <w:rFonts w:hint="eastAsia" w:ascii="宋体" w:hAnsi="宋体" w:eastAsia="宋体" w:cs="宋体"/>
                <w:sz w:val="28"/>
                <w:szCs w:val="28"/>
                <w:lang w:val="en-US" w:eastAsia="zh-CN"/>
              </w:rPr>
              <w:t>等</w:t>
            </w:r>
          </w:p>
        </w:tc>
        <w:tc>
          <w:tcPr>
            <w:tcW w:w="5696" w:type="dxa"/>
            <w:vAlign w:val="center"/>
          </w:tcPr>
          <w:p>
            <w:pPr>
              <w:jc w:val="both"/>
              <w:rPr>
                <w:rFonts w:hint="default" w:ascii="宋体" w:hAnsi="宋体" w:eastAsia="宋体" w:cs="宋体"/>
                <w:sz w:val="28"/>
                <w:szCs w:val="28"/>
                <w:lang w:val="en-US" w:eastAsia="zh-CN"/>
              </w:rPr>
            </w:pPr>
            <w:r>
              <w:rPr>
                <w:rFonts w:hint="eastAsia" w:ascii="宋体" w:hAnsi="宋体" w:eastAsia="宋体" w:cs="宋体"/>
                <w:sz w:val="28"/>
                <w:szCs w:val="28"/>
                <w:highlight w:val="none"/>
                <w:lang w:val="en-US" w:eastAsia="zh-CN" w:bidi="ar-SA"/>
              </w:rPr>
              <w:t>供应商应具备机电工程施工总承包三级及以上资质或建筑机电安装工程专业承包三级及以上资质，且具有合格有效的安全生产许可证；拟派项目负责人需具备机电安装专业二级（含二级）以上注册建造师证书及安全考核合格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1"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336" w:type="dxa"/>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联合体</w:t>
            </w:r>
          </w:p>
        </w:tc>
        <w:tc>
          <w:tcPr>
            <w:tcW w:w="5696" w:type="dxa"/>
            <w:vAlign w:val="center"/>
          </w:tcPr>
          <w:p>
            <w:pPr>
              <w:jc w:val="both"/>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本项目不接受联合体投标</w:t>
            </w:r>
          </w:p>
        </w:tc>
      </w:tr>
    </w:tbl>
    <w:p>
      <w:pPr>
        <w:pStyle w:val="6"/>
        <w:outlineLvl w:val="1"/>
        <w:rPr>
          <w:rFonts w:hint="eastAsia" w:ascii="宋体" w:hAnsi="宋体" w:eastAsia="宋体" w:cs="宋体"/>
          <w:sz w:val="28"/>
          <w:szCs w:val="28"/>
        </w:rPr>
      </w:pPr>
      <w:bookmarkStart w:id="56" w:name="_Toc14597"/>
      <w:r>
        <w:rPr>
          <w:rFonts w:hint="eastAsia" w:ascii="宋体" w:hAnsi="宋体" w:eastAsia="宋体" w:cs="宋体"/>
          <w:sz w:val="28"/>
          <w:szCs w:val="28"/>
        </w:rPr>
        <w:t>七、评审方法和程序</w:t>
      </w:r>
      <w:bookmarkEnd w:id="56"/>
    </w:p>
    <w:p>
      <w:pPr>
        <w:pStyle w:val="100"/>
        <w:bidi w:val="0"/>
        <w:rPr>
          <w:rFonts w:hint="eastAsia"/>
          <w:b/>
          <w:bCs/>
          <w:sz w:val="28"/>
          <w:szCs w:val="28"/>
        </w:rPr>
      </w:pPr>
      <w:bookmarkStart w:id="57" w:name="_Toc14369"/>
      <w:r>
        <w:rPr>
          <w:rFonts w:hint="eastAsia"/>
          <w:b/>
          <w:bCs/>
          <w:sz w:val="28"/>
          <w:szCs w:val="28"/>
        </w:rPr>
        <w:t>（一）评标方法</w:t>
      </w:r>
      <w:bookmarkEnd w:id="5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100"/>
        <w:bidi w:val="0"/>
        <w:rPr>
          <w:rFonts w:hint="eastAsia"/>
          <w:b/>
          <w:bCs/>
          <w:sz w:val="28"/>
          <w:szCs w:val="28"/>
        </w:rPr>
      </w:pPr>
      <w:bookmarkStart w:id="58" w:name="_Toc15322"/>
      <w:r>
        <w:rPr>
          <w:rFonts w:hint="eastAsia"/>
          <w:b/>
          <w:bCs/>
          <w:sz w:val="28"/>
          <w:szCs w:val="28"/>
        </w:rPr>
        <w:t>（二）评标程序</w:t>
      </w:r>
      <w:bookmarkEnd w:id="58"/>
    </w:p>
    <w:p>
      <w:pPr>
        <w:pStyle w:val="100"/>
        <w:bidi w:val="0"/>
        <w:rPr>
          <w:rFonts w:hint="eastAsia"/>
          <w:sz w:val="28"/>
          <w:szCs w:val="28"/>
        </w:rPr>
      </w:pPr>
      <w:bookmarkStart w:id="59" w:name="_Toc19236"/>
      <w:r>
        <w:rPr>
          <w:rFonts w:hint="eastAsia"/>
          <w:sz w:val="28"/>
          <w:szCs w:val="28"/>
        </w:rPr>
        <w:t>1．组建评标委员会</w:t>
      </w:r>
      <w:bookmarkEnd w:id="5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100"/>
        <w:bidi w:val="0"/>
        <w:rPr>
          <w:rFonts w:hint="eastAsia"/>
          <w:sz w:val="28"/>
          <w:szCs w:val="28"/>
        </w:rPr>
      </w:pPr>
      <w:bookmarkStart w:id="60" w:name="_Toc1683"/>
      <w:r>
        <w:rPr>
          <w:rFonts w:hint="eastAsia"/>
          <w:sz w:val="28"/>
          <w:szCs w:val="28"/>
        </w:rPr>
        <w:t>2．投标文件的符合性审查</w:t>
      </w:r>
      <w:bookmarkEnd w:id="6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outlineLvl w:val="9"/>
        <w:rPr>
          <w:rFonts w:hint="eastAsia" w:ascii="宋体" w:hAnsi="宋体" w:eastAsia="宋体" w:cs="宋体"/>
          <w:sz w:val="28"/>
          <w:szCs w:val="28"/>
        </w:rPr>
      </w:pPr>
      <w:r>
        <w:rPr>
          <w:rFonts w:hint="eastAsia" w:ascii="宋体" w:hAnsi="宋体" w:eastAsia="宋体" w:cs="宋体"/>
          <w:sz w:val="28"/>
          <w:szCs w:val="28"/>
        </w:rPr>
        <w:t>〖符合性审查表〗</w:t>
      </w:r>
    </w:p>
    <w:tbl>
      <w:tblPr>
        <w:tblStyle w:val="3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392" w:type="dxa"/>
            <w:tcBorders>
              <w:top w:val="single" w:color="auto" w:sz="2" w:space="0"/>
            </w:tcBorders>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rPr>
              <w:t>投标报价是否超过预算或最高限价</w:t>
            </w:r>
          </w:p>
        </w:tc>
        <w:tc>
          <w:tcPr>
            <w:tcW w:w="5498" w:type="dxa"/>
            <w:tcBorders>
              <w:top w:val="single" w:color="auto" w:sz="2" w:space="0"/>
            </w:tcBorders>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rPr>
              <w:t>投标报价</w:t>
            </w:r>
            <w:r>
              <w:rPr>
                <w:rFonts w:hint="eastAsia" w:ascii="宋体" w:hAnsi="宋体" w:eastAsia="宋体" w:cs="宋体"/>
                <w:sz w:val="28"/>
                <w:szCs w:val="28"/>
                <w:lang w:eastAsia="zh-CN"/>
              </w:rPr>
              <w:t>未</w:t>
            </w:r>
            <w:r>
              <w:rPr>
                <w:rFonts w:hint="eastAsia" w:ascii="宋体" w:hAnsi="宋体" w:eastAsia="宋体" w:cs="宋体"/>
                <w:sz w:val="28"/>
                <w:szCs w:val="28"/>
              </w:rPr>
              <w:t>超过预算或最高限价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392" w:type="dxa"/>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lang w:eastAsia="zh-CN"/>
              </w:rPr>
              <w:t>交付工期</w:t>
            </w:r>
            <w:r>
              <w:rPr>
                <w:rFonts w:hint="eastAsia" w:ascii="宋体" w:hAnsi="宋体" w:eastAsia="宋体" w:cs="宋体"/>
                <w:sz w:val="28"/>
                <w:szCs w:val="28"/>
              </w:rPr>
              <w:t>是否满足招标文件要求</w:t>
            </w:r>
          </w:p>
        </w:tc>
        <w:tc>
          <w:tcPr>
            <w:tcW w:w="5498" w:type="dxa"/>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lang w:eastAsia="zh-CN"/>
              </w:rPr>
              <w:t>交付工期</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392" w:type="dxa"/>
            <w:vAlign w:val="center"/>
          </w:tcPr>
          <w:p>
            <w:pPr>
              <w:spacing w:line="560" w:lineRule="exact"/>
              <w:jc w:val="center"/>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质保期</w:t>
            </w:r>
            <w:r>
              <w:rPr>
                <w:rFonts w:hint="eastAsia" w:ascii="宋体" w:hAnsi="宋体" w:eastAsia="宋体" w:cs="宋体"/>
                <w:sz w:val="28"/>
                <w:szCs w:val="28"/>
              </w:rPr>
              <w:t>是否满足招标文件要求</w:t>
            </w:r>
          </w:p>
        </w:tc>
        <w:tc>
          <w:tcPr>
            <w:tcW w:w="5498" w:type="dxa"/>
            <w:vAlign w:val="center"/>
          </w:tcPr>
          <w:p>
            <w:pPr>
              <w:jc w:val="both"/>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质保期</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392" w:type="dxa"/>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lang w:val="en-US" w:eastAsia="zh-CN"/>
              </w:rPr>
              <w:t>数量、签署、盖章、装订</w:t>
            </w:r>
            <w:r>
              <w:rPr>
                <w:rFonts w:hint="eastAsia" w:ascii="宋体" w:hAnsi="宋体" w:eastAsia="宋体" w:cs="宋体"/>
                <w:sz w:val="28"/>
                <w:szCs w:val="28"/>
              </w:rPr>
              <w:t>是否满足招标文件要求</w:t>
            </w:r>
          </w:p>
        </w:tc>
        <w:tc>
          <w:tcPr>
            <w:tcW w:w="5498" w:type="dxa"/>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lang w:val="en-US" w:eastAsia="zh-CN"/>
              </w:rPr>
              <w:t>数量、签署、盖章、装订</w:t>
            </w:r>
            <w:r>
              <w:rPr>
                <w:rFonts w:hint="eastAsia" w:ascii="宋体" w:hAnsi="宋体" w:eastAsia="宋体" w:cs="宋体"/>
                <w:sz w:val="28"/>
                <w:szCs w:val="28"/>
              </w:rPr>
              <w:t>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392" w:type="dxa"/>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rPr>
              <w:t>符合招标文件的要求</w:t>
            </w:r>
          </w:p>
        </w:tc>
      </w:tr>
    </w:tbl>
    <w:p>
      <w:pPr>
        <w:pStyle w:val="100"/>
        <w:bidi w:val="0"/>
        <w:rPr>
          <w:rFonts w:hint="eastAsia"/>
          <w:sz w:val="28"/>
          <w:szCs w:val="28"/>
        </w:rPr>
      </w:pPr>
      <w:bookmarkStart w:id="61" w:name="_Toc11857"/>
      <w:r>
        <w:rPr>
          <w:rFonts w:hint="eastAsia"/>
          <w:sz w:val="28"/>
          <w:szCs w:val="28"/>
        </w:rPr>
        <w:t>3．综合比较与评价</w:t>
      </w:r>
      <w:bookmarkEnd w:id="6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outlineLvl w:val="9"/>
        <w:rPr>
          <w:rFonts w:hint="eastAsia" w:ascii="宋体" w:hAnsi="宋体" w:eastAsia="宋体" w:cs="宋体"/>
          <w:sz w:val="28"/>
          <w:szCs w:val="28"/>
        </w:rPr>
      </w:pPr>
      <w:r>
        <w:rPr>
          <w:rFonts w:hint="eastAsia" w:ascii="宋体" w:hAnsi="宋体" w:eastAsia="宋体" w:cs="宋体"/>
          <w:sz w:val="28"/>
          <w:szCs w:val="28"/>
        </w:rPr>
        <w:br w:type="page"/>
      </w:r>
    </w:p>
    <w:p>
      <w:pPr>
        <w:spacing w:line="560" w:lineRule="exact"/>
        <w:jc w:val="both"/>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〖评审要素及分值一览表〗</w:t>
      </w:r>
    </w:p>
    <w:p>
      <w:pPr>
        <w:pStyle w:val="7"/>
        <w:numPr>
          <w:ilvl w:val="3"/>
          <w:numId w:val="0"/>
        </w:numPr>
        <w:ind w:leftChars="0"/>
        <w:rPr>
          <w:rFonts w:hint="eastAsia" w:eastAsia="宋体"/>
          <w:lang w:eastAsia="zh-CN"/>
        </w:rPr>
      </w:pPr>
      <w:r>
        <w:rPr>
          <w:rFonts w:hint="eastAsia" w:eastAsia="宋体"/>
          <w:lang w:eastAsia="zh-CN"/>
        </w:rPr>
        <w:t>评分标准：</w:t>
      </w:r>
    </w:p>
    <w:tbl>
      <w:tblPr>
        <w:tblStyle w:val="35"/>
        <w:tblW w:w="0" w:type="auto"/>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018"/>
        <w:gridCol w:w="572"/>
        <w:gridCol w:w="530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31" w:type="dxa"/>
            <w:vAlign w:val="center"/>
          </w:tcPr>
          <w:p>
            <w:pPr>
              <w:spacing w:line="400" w:lineRule="exact"/>
              <w:rPr>
                <w:rFonts w:ascii="宋体" w:hAnsi="宋体" w:cs="宋体"/>
                <w:b/>
                <w:bCs/>
                <w:sz w:val="24"/>
                <w:szCs w:val="24"/>
              </w:rPr>
            </w:pPr>
            <w:bookmarkStart w:id="62" w:name="_Toc10025"/>
            <w:r>
              <w:rPr>
                <w:rFonts w:hint="eastAsia" w:ascii="宋体" w:hAnsi="宋体" w:cs="宋体"/>
                <w:b/>
                <w:bCs/>
                <w:sz w:val="24"/>
                <w:szCs w:val="24"/>
              </w:rPr>
              <w:t>序号</w:t>
            </w:r>
          </w:p>
        </w:tc>
        <w:tc>
          <w:tcPr>
            <w:tcW w:w="1018" w:type="dxa"/>
            <w:vAlign w:val="center"/>
          </w:tcPr>
          <w:p>
            <w:pPr>
              <w:spacing w:line="400" w:lineRule="exact"/>
              <w:ind w:firstLine="28"/>
              <w:rPr>
                <w:rFonts w:ascii="宋体" w:hAnsi="宋体" w:cs="宋体"/>
                <w:b/>
                <w:bCs/>
                <w:sz w:val="24"/>
                <w:szCs w:val="24"/>
              </w:rPr>
            </w:pPr>
            <w:r>
              <w:rPr>
                <w:rFonts w:hint="eastAsia" w:ascii="宋体" w:hAnsi="宋体" w:cs="宋体"/>
                <w:b/>
                <w:bCs/>
                <w:sz w:val="24"/>
                <w:szCs w:val="24"/>
              </w:rPr>
              <w:t>评分因素及权重</w:t>
            </w:r>
          </w:p>
        </w:tc>
        <w:tc>
          <w:tcPr>
            <w:tcW w:w="572" w:type="dxa"/>
            <w:vAlign w:val="center"/>
          </w:tcPr>
          <w:p>
            <w:pPr>
              <w:spacing w:line="400" w:lineRule="exact"/>
              <w:ind w:firstLine="28"/>
              <w:jc w:val="center"/>
              <w:rPr>
                <w:rFonts w:ascii="宋体" w:hAnsi="宋体" w:cs="宋体"/>
                <w:b/>
                <w:bCs/>
                <w:sz w:val="24"/>
                <w:szCs w:val="24"/>
              </w:rPr>
            </w:pPr>
            <w:r>
              <w:rPr>
                <w:rFonts w:hint="eastAsia" w:ascii="宋体" w:hAnsi="宋体" w:cs="宋体"/>
                <w:b/>
                <w:bCs/>
                <w:sz w:val="24"/>
                <w:szCs w:val="24"/>
              </w:rPr>
              <w:t>分值</w:t>
            </w:r>
          </w:p>
        </w:tc>
        <w:tc>
          <w:tcPr>
            <w:tcW w:w="5305" w:type="dxa"/>
            <w:vAlign w:val="center"/>
          </w:tcPr>
          <w:p>
            <w:pPr>
              <w:spacing w:line="400" w:lineRule="exact"/>
              <w:ind w:firstLine="28"/>
              <w:jc w:val="center"/>
              <w:rPr>
                <w:rFonts w:ascii="宋体" w:hAnsi="宋体" w:cs="宋体"/>
                <w:b/>
                <w:bCs/>
                <w:sz w:val="24"/>
                <w:szCs w:val="24"/>
              </w:rPr>
            </w:pPr>
            <w:r>
              <w:rPr>
                <w:rFonts w:hint="eastAsia" w:ascii="宋体" w:hAnsi="宋体" w:cs="宋体"/>
                <w:b/>
                <w:bCs/>
                <w:sz w:val="24"/>
                <w:szCs w:val="24"/>
              </w:rPr>
              <w:t>评分标准</w:t>
            </w:r>
          </w:p>
        </w:tc>
        <w:tc>
          <w:tcPr>
            <w:tcW w:w="1550" w:type="dxa"/>
            <w:vAlign w:val="center"/>
          </w:tcPr>
          <w:p>
            <w:pPr>
              <w:spacing w:line="400" w:lineRule="exact"/>
              <w:jc w:val="center"/>
              <w:rPr>
                <w:rFonts w:ascii="宋体" w:hAnsi="宋体" w:cs="宋体"/>
                <w:b/>
                <w:bCs/>
                <w:sz w:val="24"/>
                <w:szCs w:val="24"/>
              </w:rPr>
            </w:pPr>
            <w:r>
              <w:rPr>
                <w:rFonts w:hint="eastAsia" w:ascii="宋体" w:hAnsi="宋体" w:cs="宋体"/>
                <w:b/>
                <w:bCs/>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trPr>
        <w:tc>
          <w:tcPr>
            <w:tcW w:w="431" w:type="dxa"/>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1</w:t>
            </w:r>
          </w:p>
        </w:tc>
        <w:tc>
          <w:tcPr>
            <w:tcW w:w="1018" w:type="dxa"/>
            <w:vAlign w:val="center"/>
          </w:tcPr>
          <w:p>
            <w:pPr>
              <w:spacing w:line="360" w:lineRule="auto"/>
              <w:ind w:firstLine="28"/>
              <w:jc w:val="center"/>
              <w:rPr>
                <w:rFonts w:ascii="宋体" w:hAnsi="宋体" w:cs="宋体"/>
                <w:sz w:val="24"/>
                <w:szCs w:val="24"/>
              </w:rPr>
            </w:pPr>
            <w:r>
              <w:rPr>
                <w:rFonts w:hint="eastAsia" w:ascii="宋体" w:hAnsi="宋体" w:cs="宋体"/>
                <w:sz w:val="24"/>
                <w:szCs w:val="24"/>
              </w:rPr>
              <w:t>报价30%</w:t>
            </w:r>
          </w:p>
        </w:tc>
        <w:tc>
          <w:tcPr>
            <w:tcW w:w="572" w:type="dxa"/>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30</w:t>
            </w:r>
          </w:p>
        </w:tc>
        <w:tc>
          <w:tcPr>
            <w:tcW w:w="5305" w:type="dxa"/>
            <w:vAlign w:val="center"/>
          </w:tcPr>
          <w:p>
            <w:pPr>
              <w:rPr>
                <w:rFonts w:ascii="宋体" w:hAnsi="宋体" w:cs="宋体"/>
                <w:kern w:val="0"/>
                <w:sz w:val="24"/>
                <w:szCs w:val="24"/>
              </w:rPr>
            </w:pPr>
            <w:r>
              <w:rPr>
                <w:rFonts w:hint="eastAsia" w:ascii="宋体" w:hAnsi="宋体" w:cs="宋体"/>
                <w:kern w:val="0"/>
                <w:sz w:val="24"/>
                <w:szCs w:val="24"/>
              </w:rPr>
              <w:t>经初审合格的投标文件，其投标报价为有效投标价。</w:t>
            </w:r>
          </w:p>
          <w:p>
            <w:pPr>
              <w:rPr>
                <w:rFonts w:ascii="宋体" w:hAnsi="宋体" w:cs="宋体"/>
                <w:kern w:val="0"/>
                <w:sz w:val="24"/>
                <w:szCs w:val="24"/>
              </w:rPr>
            </w:pPr>
            <w:r>
              <w:rPr>
                <w:rFonts w:hint="eastAsia" w:ascii="宋体" w:hAnsi="宋体" w:cs="宋体"/>
                <w:kern w:val="0"/>
                <w:sz w:val="24"/>
                <w:szCs w:val="24"/>
              </w:rPr>
              <w:t>评标基准价：即满足招标文件要求且最终报价最低的投标报价为评标基准价。</w:t>
            </w:r>
          </w:p>
          <w:p>
            <w:pPr>
              <w:spacing w:line="400" w:lineRule="exact"/>
              <w:rPr>
                <w:rFonts w:ascii="宋体" w:hAnsi="宋体" w:cs="宋体"/>
                <w:sz w:val="24"/>
                <w:szCs w:val="24"/>
              </w:rPr>
            </w:pPr>
            <w:r>
              <w:rPr>
                <w:rFonts w:hint="eastAsia" w:ascii="宋体" w:hAnsi="宋体" w:cs="宋体"/>
                <w:kern w:val="0"/>
                <w:sz w:val="24"/>
                <w:szCs w:val="24"/>
              </w:rPr>
              <w:t>其他投标人的价格分统一按照下列公式计算。投标报价得分=(评标基准价／投标报价)×30</w:t>
            </w:r>
          </w:p>
        </w:tc>
        <w:tc>
          <w:tcPr>
            <w:tcW w:w="1550" w:type="dxa"/>
            <w:vAlign w:val="center"/>
          </w:tcPr>
          <w:p>
            <w:pPr>
              <w:spacing w:line="400" w:lineRule="exact"/>
              <w:ind w:left="-38"/>
              <w:rPr>
                <w:rFonts w:ascii="宋体" w:hAnsi="宋体" w:cs="宋体"/>
                <w:sz w:val="24"/>
                <w:szCs w:val="24"/>
              </w:rPr>
            </w:pPr>
          </w:p>
          <w:p>
            <w:pPr>
              <w:rPr>
                <w:rFonts w:ascii="宋体" w:hAnsi="宋体" w:cs="宋体"/>
                <w:sz w:val="24"/>
                <w:szCs w:val="24"/>
              </w:rPr>
            </w:pPr>
            <w:r>
              <w:rPr>
                <w:rFonts w:hint="eastAsia" w:ascii="宋体" w:hAnsi="宋体" w:cs="宋体"/>
                <w:sz w:val="24"/>
                <w:szCs w:val="24"/>
              </w:rPr>
              <w:t>政策性优惠详见下列评审标准备注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1" w:type="dxa"/>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2</w:t>
            </w:r>
          </w:p>
        </w:tc>
        <w:tc>
          <w:tcPr>
            <w:tcW w:w="1018" w:type="dxa"/>
            <w:vAlign w:val="center"/>
          </w:tcPr>
          <w:p>
            <w:pPr>
              <w:spacing w:line="400" w:lineRule="exact"/>
              <w:jc w:val="left"/>
              <w:rPr>
                <w:rFonts w:ascii="宋体" w:hAnsi="宋体" w:cs="宋体"/>
                <w:sz w:val="24"/>
                <w:szCs w:val="24"/>
              </w:rPr>
            </w:pPr>
            <w:r>
              <w:rPr>
                <w:rFonts w:hint="eastAsia" w:ascii="宋体" w:hAnsi="宋体" w:cs="宋体"/>
                <w:sz w:val="24"/>
                <w:szCs w:val="24"/>
              </w:rPr>
              <w:t>技术参数30%</w:t>
            </w:r>
          </w:p>
        </w:tc>
        <w:tc>
          <w:tcPr>
            <w:tcW w:w="572" w:type="dxa"/>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30</w:t>
            </w:r>
          </w:p>
        </w:tc>
        <w:tc>
          <w:tcPr>
            <w:tcW w:w="5305" w:type="dxa"/>
            <w:vAlign w:val="center"/>
          </w:tcPr>
          <w:p>
            <w:pPr>
              <w:spacing w:line="400" w:lineRule="exact"/>
              <w:jc w:val="left"/>
            </w:pPr>
            <w:r>
              <w:rPr>
                <w:rFonts w:hint="eastAsia"/>
              </w:rPr>
              <w:t>根据供应商提供的技术偏离表及技术指标（参数）的相应的证明材料（包括但不限于产品彩页、测试报告和功能截图等技术支持性文件（资料），并经评审专家审定方可得分。</w:t>
            </w:r>
          </w:p>
          <w:p>
            <w:pPr>
              <w:spacing w:line="400" w:lineRule="exact"/>
              <w:jc w:val="left"/>
            </w:pPr>
            <w:r>
              <w:rPr>
                <w:rFonts w:hint="eastAsia"/>
              </w:rPr>
              <w:t>1、基本分（25分）：完全符合、响应磋商文件要求，没有负偏离的计25分；★参数负偏离一项扣</w:t>
            </w:r>
            <w:r>
              <w:rPr>
                <w:rFonts w:hint="eastAsia"/>
                <w:lang w:val="en-US" w:eastAsia="zh-CN"/>
              </w:rPr>
              <w:t>2</w:t>
            </w:r>
            <w:r>
              <w:rPr>
                <w:rFonts w:hint="eastAsia"/>
              </w:rPr>
              <w:t>分，</w:t>
            </w:r>
            <w:r>
              <w:rPr>
                <w:rFonts w:hint="eastAsia"/>
                <w:lang w:eastAsia="zh-CN"/>
              </w:rPr>
              <w:t>其他</w:t>
            </w:r>
            <w:r>
              <w:rPr>
                <w:rFonts w:hint="eastAsia"/>
              </w:rPr>
              <w:t>参数负偏离一项扣</w:t>
            </w:r>
            <w:r>
              <w:rPr>
                <w:rFonts w:hint="eastAsia"/>
                <w:lang w:val="en-US" w:eastAsia="zh-CN"/>
              </w:rPr>
              <w:t>1</w:t>
            </w:r>
            <w:r>
              <w:rPr>
                <w:rFonts w:hint="eastAsia"/>
              </w:rPr>
              <w:t>分</w:t>
            </w:r>
            <w:r>
              <w:rPr>
                <w:rFonts w:hint="eastAsia"/>
                <w:lang w:eastAsia="zh-CN"/>
              </w:rPr>
              <w:t>，</w:t>
            </w:r>
            <w:r>
              <w:rPr>
                <w:rFonts w:hint="eastAsia"/>
              </w:rPr>
              <w:t>扣完为止，</w:t>
            </w:r>
          </w:p>
          <w:p>
            <w:pPr>
              <w:spacing w:line="400" w:lineRule="exact"/>
              <w:jc w:val="left"/>
            </w:pPr>
            <w:r>
              <w:rPr>
                <w:rFonts w:hint="eastAsia"/>
              </w:rPr>
              <w:t>2、加分（最高加5分）：基本分的基础上，投标产品主要技术指标、参数经评审专家认定优于竞争性磋商文件规定的相应技术指标、参数，并且有实质性能提升的，根据响应程度进行相应加分，参数每有一项优于加1分，正偏离参数最多加5分。优于指标须有佐证材料，否则不予加分。</w:t>
            </w:r>
          </w:p>
          <w:p>
            <w:pPr>
              <w:pStyle w:val="2"/>
            </w:pPr>
          </w:p>
        </w:tc>
        <w:tc>
          <w:tcPr>
            <w:tcW w:w="1550" w:type="dxa"/>
            <w:vAlign w:val="center"/>
          </w:tcPr>
          <w:p>
            <w:pPr>
              <w:rPr>
                <w:rFonts w:ascii="宋体" w:hAnsi="宋体" w:cs="宋体"/>
                <w:sz w:val="24"/>
                <w:szCs w:val="24"/>
              </w:rPr>
            </w:pPr>
            <w:r>
              <w:rPr>
                <w:rFonts w:hint="eastAsia" w:ascii="宋体" w:hAnsi="宋体" w:cs="宋体"/>
                <w:kern w:val="0"/>
                <w:sz w:val="24"/>
                <w:szCs w:val="24"/>
              </w:rPr>
              <w:t>供应商需尽可能多的提供相关的功能证明材料对技术指标予以佐证，自行承担因材料提供不全导致技术参数被视为负偏离的风险。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1" w:type="dxa"/>
            <w:vMerge w:val="restart"/>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3</w:t>
            </w:r>
          </w:p>
        </w:tc>
        <w:tc>
          <w:tcPr>
            <w:tcW w:w="1018" w:type="dxa"/>
            <w:vMerge w:val="restart"/>
            <w:vAlign w:val="center"/>
          </w:tcPr>
          <w:p>
            <w:pPr>
              <w:spacing w:line="400" w:lineRule="exact"/>
              <w:jc w:val="center"/>
              <w:rPr>
                <w:rFonts w:ascii="宋体" w:hAnsi="宋体" w:cs="宋体"/>
                <w:sz w:val="24"/>
                <w:szCs w:val="24"/>
              </w:rPr>
            </w:pPr>
            <w:r>
              <w:rPr>
                <w:rFonts w:hint="eastAsia" w:ascii="宋体" w:hAnsi="宋体" w:cs="宋体"/>
                <w:sz w:val="24"/>
                <w:szCs w:val="24"/>
              </w:rPr>
              <w:t>质量</w:t>
            </w:r>
          </w:p>
          <w:p>
            <w:pPr>
              <w:spacing w:line="400" w:lineRule="exact"/>
              <w:jc w:val="center"/>
              <w:rPr>
                <w:rFonts w:ascii="宋体" w:hAnsi="宋体" w:cs="宋体"/>
                <w:sz w:val="24"/>
                <w:szCs w:val="24"/>
              </w:rPr>
            </w:pPr>
            <w:r>
              <w:rPr>
                <w:rFonts w:hint="eastAsia" w:ascii="宋体" w:hAnsi="宋体" w:cs="宋体"/>
                <w:sz w:val="24"/>
                <w:szCs w:val="24"/>
              </w:rPr>
              <w:t>保证</w:t>
            </w:r>
          </w:p>
          <w:p>
            <w:pPr>
              <w:spacing w:line="400" w:lineRule="exact"/>
              <w:jc w:val="center"/>
              <w:rPr>
                <w:rFonts w:ascii="宋体" w:hAnsi="宋体" w:cs="宋体"/>
                <w:sz w:val="24"/>
                <w:szCs w:val="24"/>
              </w:rPr>
            </w:pPr>
            <w:r>
              <w:rPr>
                <w:rFonts w:hint="eastAsia" w:ascii="宋体" w:hAnsi="宋体" w:cs="宋体"/>
                <w:sz w:val="24"/>
                <w:szCs w:val="24"/>
              </w:rPr>
              <w:t>8%</w:t>
            </w:r>
          </w:p>
        </w:tc>
        <w:tc>
          <w:tcPr>
            <w:tcW w:w="572" w:type="dxa"/>
            <w:vAlign w:val="center"/>
          </w:tcPr>
          <w:p>
            <w:pPr>
              <w:spacing w:line="400" w:lineRule="exact"/>
              <w:jc w:val="left"/>
              <w:rPr>
                <w:rFonts w:ascii="宋体" w:hAnsi="宋体" w:cs="宋体"/>
                <w:sz w:val="24"/>
                <w:szCs w:val="24"/>
              </w:rPr>
            </w:pPr>
            <w:r>
              <w:rPr>
                <w:rFonts w:hint="eastAsia" w:ascii="宋体" w:hAnsi="宋体" w:cs="宋体"/>
                <w:sz w:val="24"/>
                <w:szCs w:val="24"/>
              </w:rPr>
              <w:t>4</w:t>
            </w:r>
          </w:p>
        </w:tc>
        <w:tc>
          <w:tcPr>
            <w:tcW w:w="5305" w:type="dxa"/>
            <w:vAlign w:val="center"/>
          </w:tcPr>
          <w:p>
            <w:pPr>
              <w:spacing w:line="400" w:lineRule="exact"/>
              <w:jc w:val="left"/>
              <w:rPr>
                <w:rFonts w:ascii="宋体" w:hAnsi="宋体" w:cs="宋体"/>
                <w:sz w:val="24"/>
                <w:szCs w:val="24"/>
              </w:rPr>
            </w:pPr>
            <w:r>
              <w:rPr>
                <w:rFonts w:hint="eastAsia" w:ascii="宋体" w:hAnsi="宋体" w:cs="宋体"/>
                <w:sz w:val="24"/>
                <w:szCs w:val="24"/>
              </w:rPr>
              <w:t>供应商所投设备生产技术成熟、工艺先进，设备性能稳定，具有良好的使用效果，质量保证完善、符合国内相关标准。证明材料的数量完整、供货保证时间详细、备品备件的种类齐全计2-4分；证明材料的数量不完整、供货保证时间不详细、备品备件的种类不齐全计0.1-2分。不提供以上证明材料不得分。</w:t>
            </w:r>
          </w:p>
        </w:tc>
        <w:tc>
          <w:tcPr>
            <w:tcW w:w="155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1" w:type="dxa"/>
            <w:vMerge w:val="continue"/>
            <w:vAlign w:val="center"/>
          </w:tcPr>
          <w:p>
            <w:pPr>
              <w:spacing w:line="400" w:lineRule="exact"/>
              <w:ind w:firstLine="28"/>
              <w:jc w:val="center"/>
              <w:rPr>
                <w:rFonts w:ascii="宋体" w:hAnsi="宋体" w:cs="宋体"/>
                <w:sz w:val="24"/>
                <w:szCs w:val="24"/>
              </w:rPr>
            </w:pPr>
          </w:p>
        </w:tc>
        <w:tc>
          <w:tcPr>
            <w:tcW w:w="1018" w:type="dxa"/>
            <w:vMerge w:val="continue"/>
            <w:vAlign w:val="center"/>
          </w:tcPr>
          <w:p>
            <w:pPr>
              <w:spacing w:line="400" w:lineRule="exact"/>
              <w:jc w:val="left"/>
              <w:rPr>
                <w:rFonts w:ascii="宋体" w:hAnsi="宋体" w:cs="宋体"/>
                <w:sz w:val="24"/>
                <w:szCs w:val="24"/>
              </w:rPr>
            </w:pPr>
          </w:p>
        </w:tc>
        <w:tc>
          <w:tcPr>
            <w:tcW w:w="572" w:type="dxa"/>
            <w:vAlign w:val="center"/>
          </w:tcPr>
          <w:p>
            <w:pPr>
              <w:spacing w:line="400" w:lineRule="exact"/>
              <w:jc w:val="left"/>
              <w:rPr>
                <w:rFonts w:ascii="宋体" w:hAnsi="宋体" w:cs="宋体"/>
                <w:sz w:val="24"/>
                <w:szCs w:val="24"/>
              </w:rPr>
            </w:pPr>
            <w:r>
              <w:rPr>
                <w:rFonts w:hint="eastAsia" w:ascii="宋体" w:hAnsi="宋体" w:cs="宋体"/>
                <w:sz w:val="24"/>
                <w:szCs w:val="24"/>
              </w:rPr>
              <w:t>4</w:t>
            </w:r>
          </w:p>
        </w:tc>
        <w:tc>
          <w:tcPr>
            <w:tcW w:w="5305" w:type="dxa"/>
            <w:vAlign w:val="center"/>
          </w:tcPr>
          <w:p>
            <w:pPr>
              <w:spacing w:line="400" w:lineRule="exact"/>
              <w:jc w:val="left"/>
              <w:rPr>
                <w:rFonts w:ascii="宋体" w:hAnsi="宋体" w:cs="宋体"/>
                <w:sz w:val="24"/>
                <w:szCs w:val="24"/>
              </w:rPr>
            </w:pPr>
            <w:r>
              <w:rPr>
                <w:rFonts w:ascii="宋体" w:hAnsi="宋体" w:cs="宋体"/>
                <w:sz w:val="24"/>
                <w:szCs w:val="24"/>
              </w:rPr>
              <w:t>根据供应商提供产品（螺杆冷冻机组</w:t>
            </w:r>
            <w:r>
              <w:rPr>
                <w:rFonts w:hint="eastAsia" w:ascii="宋体" w:hAnsi="宋体" w:cs="宋体"/>
                <w:sz w:val="24"/>
                <w:szCs w:val="24"/>
              </w:rPr>
              <w:t>、冷却水泵、冷冻水泵、组合式空调</w:t>
            </w:r>
            <w:r>
              <w:rPr>
                <w:rFonts w:ascii="宋体" w:hAnsi="宋体" w:cs="宋体"/>
                <w:sz w:val="24"/>
                <w:szCs w:val="24"/>
              </w:rPr>
              <w:t>等）来源渠道合法的证明文件（包括但不限于销售协议、代理证书、原厂授权等等）进行综合比较</w:t>
            </w:r>
            <w:r>
              <w:rPr>
                <w:rFonts w:hint="eastAsia" w:ascii="宋体" w:hAnsi="宋体" w:cs="宋体"/>
                <w:sz w:val="24"/>
                <w:szCs w:val="24"/>
                <w:highlight w:val="none"/>
              </w:rPr>
              <w:t>，</w:t>
            </w:r>
            <w:r>
              <w:rPr>
                <w:rFonts w:ascii="宋体" w:hAnsi="宋体" w:cs="宋体"/>
                <w:sz w:val="24"/>
                <w:szCs w:val="24"/>
              </w:rPr>
              <w:t>每个产品计</w:t>
            </w:r>
            <w:r>
              <w:rPr>
                <w:rFonts w:hint="eastAsia" w:ascii="宋体" w:hAnsi="宋体" w:cs="宋体"/>
                <w:sz w:val="24"/>
                <w:szCs w:val="24"/>
              </w:rPr>
              <w:t>1</w:t>
            </w:r>
            <w:r>
              <w:rPr>
                <w:rFonts w:ascii="宋体" w:hAnsi="宋体" w:cs="宋体"/>
                <w:sz w:val="24"/>
                <w:szCs w:val="24"/>
              </w:rPr>
              <w:t>分，最高计4分；未提供不计分。</w:t>
            </w:r>
          </w:p>
        </w:tc>
        <w:tc>
          <w:tcPr>
            <w:tcW w:w="155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1" w:type="dxa"/>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4</w:t>
            </w:r>
          </w:p>
        </w:tc>
        <w:tc>
          <w:tcPr>
            <w:tcW w:w="1018" w:type="dxa"/>
            <w:vAlign w:val="center"/>
          </w:tcPr>
          <w:p>
            <w:pPr>
              <w:spacing w:line="400" w:lineRule="exact"/>
              <w:jc w:val="center"/>
              <w:rPr>
                <w:rFonts w:ascii="宋体" w:hAnsi="宋体" w:cs="宋体"/>
                <w:sz w:val="24"/>
                <w:szCs w:val="24"/>
              </w:rPr>
            </w:pPr>
            <w:r>
              <w:rPr>
                <w:rFonts w:hint="eastAsia" w:ascii="宋体" w:hAnsi="宋体" w:cs="宋体"/>
                <w:sz w:val="24"/>
                <w:szCs w:val="24"/>
              </w:rPr>
              <w:t>实施方案10%</w:t>
            </w:r>
          </w:p>
        </w:tc>
        <w:tc>
          <w:tcPr>
            <w:tcW w:w="572" w:type="dxa"/>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10</w:t>
            </w:r>
          </w:p>
        </w:tc>
        <w:tc>
          <w:tcPr>
            <w:tcW w:w="5305" w:type="dxa"/>
            <w:vAlign w:val="center"/>
          </w:tcPr>
          <w:p>
            <w:pPr>
              <w:widowControl/>
              <w:spacing w:line="400" w:lineRule="exact"/>
              <w:jc w:val="left"/>
              <w:rPr>
                <w:rFonts w:ascii="宋体" w:hAnsi="宋体" w:cs="宋体"/>
                <w:sz w:val="24"/>
                <w:szCs w:val="24"/>
              </w:rPr>
            </w:pPr>
            <w:r>
              <w:rPr>
                <w:rFonts w:hint="eastAsia" w:ascii="宋体" w:hAnsi="宋体" w:cs="宋体"/>
                <w:sz w:val="24"/>
                <w:szCs w:val="24"/>
              </w:rPr>
              <w:t>具有完整的项目实施方案，包括项目总体实施方案、项目团队方案、项目应急预案、项目实施安全方案、系统安装调试方案</w:t>
            </w:r>
            <w:r>
              <w:rPr>
                <w:rFonts w:hint="eastAsia" w:ascii="宋体" w:hAnsi="宋体" w:cs="宋体"/>
                <w:sz w:val="24"/>
                <w:szCs w:val="24"/>
                <w:highlight w:val="none"/>
              </w:rPr>
              <w:t>，施工单位所用测试仪器仪表及测试方案（需包含第三方系统测试报告，保证项目顺利良好实施）、项</w:t>
            </w:r>
            <w:r>
              <w:rPr>
                <w:rFonts w:hint="eastAsia" w:ascii="宋体" w:hAnsi="宋体" w:cs="宋体"/>
                <w:sz w:val="24"/>
                <w:szCs w:val="24"/>
              </w:rPr>
              <w:t>目验收方案等内容。</w:t>
            </w:r>
          </w:p>
          <w:p>
            <w:pPr>
              <w:spacing w:line="400" w:lineRule="exact"/>
              <w:rPr>
                <w:rFonts w:ascii="宋体" w:hAnsi="宋体" w:cs="宋体"/>
                <w:sz w:val="24"/>
                <w:szCs w:val="24"/>
              </w:rPr>
            </w:pPr>
            <w:r>
              <w:rPr>
                <w:rFonts w:hint="eastAsia" w:ascii="宋体" w:hAnsi="宋体" w:cs="宋体"/>
                <w:sz w:val="24"/>
                <w:szCs w:val="24"/>
              </w:rPr>
              <w:t>方案内容齐全，各类措施健全，完全满足采购需求并符合本项目实施特点得7-10分；</w:t>
            </w:r>
          </w:p>
          <w:p>
            <w:pPr>
              <w:spacing w:line="400" w:lineRule="exact"/>
              <w:rPr>
                <w:rFonts w:ascii="宋体" w:hAnsi="宋体" w:cs="宋体"/>
                <w:sz w:val="24"/>
                <w:szCs w:val="24"/>
              </w:rPr>
            </w:pPr>
            <w:r>
              <w:rPr>
                <w:rFonts w:hint="eastAsia" w:ascii="宋体" w:hAnsi="宋体" w:cs="宋体"/>
                <w:sz w:val="24"/>
                <w:szCs w:val="24"/>
              </w:rPr>
              <w:t>方案内容基本齐全、各类措施基本完善，能够基本符合本项目实施特点的得3-7分；</w:t>
            </w:r>
          </w:p>
          <w:p>
            <w:pPr>
              <w:spacing w:line="400" w:lineRule="exact"/>
              <w:rPr>
                <w:rFonts w:ascii="宋体" w:hAnsi="宋体" w:cs="宋体"/>
                <w:kern w:val="0"/>
                <w:sz w:val="24"/>
                <w:szCs w:val="24"/>
              </w:rPr>
            </w:pPr>
            <w:r>
              <w:rPr>
                <w:rFonts w:hint="eastAsia" w:ascii="宋体" w:hAnsi="宋体" w:cs="宋体"/>
                <w:kern w:val="0"/>
                <w:sz w:val="24"/>
                <w:szCs w:val="24"/>
              </w:rPr>
              <w:t>方案内容及各类措施不够完善，不能满足本项目采购需求的得0.1-3分。未提供不计分。</w:t>
            </w:r>
          </w:p>
        </w:tc>
        <w:tc>
          <w:tcPr>
            <w:tcW w:w="155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431" w:type="dxa"/>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5</w:t>
            </w:r>
          </w:p>
        </w:tc>
        <w:tc>
          <w:tcPr>
            <w:tcW w:w="1018" w:type="dxa"/>
            <w:vAlign w:val="center"/>
          </w:tcPr>
          <w:p>
            <w:pPr>
              <w:jc w:val="center"/>
              <w:rPr>
                <w:rFonts w:ascii="宋体" w:hAnsi="宋体" w:cs="宋体"/>
                <w:kern w:val="0"/>
                <w:sz w:val="24"/>
                <w:szCs w:val="24"/>
              </w:rPr>
            </w:pPr>
            <w:r>
              <w:rPr>
                <w:rFonts w:hint="eastAsia" w:ascii="宋体" w:hAnsi="宋体" w:cs="宋体"/>
                <w:kern w:val="0"/>
                <w:sz w:val="24"/>
                <w:szCs w:val="24"/>
              </w:rPr>
              <w:t>培训方案</w:t>
            </w:r>
          </w:p>
          <w:p>
            <w:pPr>
              <w:jc w:val="center"/>
              <w:rPr>
                <w:rFonts w:ascii="宋体" w:hAnsi="宋体" w:cs="宋体"/>
                <w:kern w:val="0"/>
                <w:sz w:val="24"/>
                <w:szCs w:val="24"/>
              </w:rPr>
            </w:pPr>
            <w:r>
              <w:rPr>
                <w:rFonts w:hint="eastAsia" w:ascii="宋体" w:hAnsi="宋体" w:cs="宋体"/>
                <w:kern w:val="0"/>
                <w:sz w:val="24"/>
                <w:szCs w:val="24"/>
              </w:rPr>
              <w:t>7%</w:t>
            </w:r>
          </w:p>
        </w:tc>
        <w:tc>
          <w:tcPr>
            <w:tcW w:w="572" w:type="dxa"/>
            <w:vAlign w:val="center"/>
          </w:tcPr>
          <w:p>
            <w:pPr>
              <w:jc w:val="center"/>
              <w:rPr>
                <w:rFonts w:ascii="宋体" w:hAnsi="宋体" w:cs="宋体"/>
                <w:kern w:val="0"/>
                <w:sz w:val="24"/>
                <w:szCs w:val="24"/>
              </w:rPr>
            </w:pPr>
            <w:r>
              <w:rPr>
                <w:rFonts w:hint="eastAsia" w:ascii="宋体" w:hAnsi="宋体" w:cs="宋体"/>
                <w:kern w:val="0"/>
                <w:sz w:val="24"/>
                <w:szCs w:val="24"/>
              </w:rPr>
              <w:t>7</w:t>
            </w:r>
          </w:p>
        </w:tc>
        <w:tc>
          <w:tcPr>
            <w:tcW w:w="5305" w:type="dxa"/>
            <w:vAlign w:val="center"/>
          </w:tcPr>
          <w:p>
            <w:pPr>
              <w:spacing w:line="400" w:lineRule="exact"/>
              <w:rPr>
                <w:rFonts w:ascii="宋体" w:hAnsi="宋体" w:cs="宋体"/>
                <w:kern w:val="0"/>
                <w:sz w:val="24"/>
                <w:szCs w:val="24"/>
              </w:rPr>
            </w:pPr>
            <w:r>
              <w:rPr>
                <w:rFonts w:hint="eastAsia" w:ascii="宋体" w:hAnsi="宋体" w:cs="宋体"/>
                <w:kern w:val="0"/>
                <w:sz w:val="24"/>
                <w:szCs w:val="24"/>
              </w:rPr>
              <w:t>根据供应商提供的培训方案及培训效果保证措施等进行综合评分，</w:t>
            </w:r>
            <w:r>
              <w:rPr>
                <w:rFonts w:hint="eastAsia" w:ascii="宋体" w:hAnsi="宋体" w:cs="宋体"/>
                <w:kern w:val="0"/>
                <w:sz w:val="24"/>
                <w:szCs w:val="24"/>
                <w:lang w:eastAsia="zh-CN"/>
              </w:rPr>
              <w:t>需</w:t>
            </w:r>
            <w:r>
              <w:rPr>
                <w:rFonts w:hint="eastAsia" w:ascii="宋体" w:hAnsi="宋体" w:cs="宋体"/>
                <w:kern w:val="0"/>
                <w:sz w:val="24"/>
                <w:szCs w:val="24"/>
              </w:rPr>
              <w:t>制定培训课程计划表，列出每种培训的地点和时间、培训的内容、方式、次数</w:t>
            </w:r>
            <w:r>
              <w:rPr>
                <w:rFonts w:hint="eastAsia" w:ascii="宋体" w:hAnsi="宋体" w:cs="宋体"/>
                <w:kern w:val="0"/>
                <w:sz w:val="24"/>
                <w:szCs w:val="24"/>
                <w:lang w:eastAsia="zh-CN"/>
              </w:rPr>
              <w:t>、</w:t>
            </w:r>
            <w:r>
              <w:rPr>
                <w:rFonts w:hint="eastAsia"/>
                <w:lang w:eastAsia="zh-CN"/>
              </w:rPr>
              <w:t>授课老师的人数、专业及资质</w:t>
            </w:r>
            <w:r>
              <w:rPr>
                <w:rFonts w:hint="eastAsia" w:ascii="宋体" w:hAnsi="宋体" w:cs="宋体"/>
                <w:kern w:val="0"/>
                <w:sz w:val="24"/>
                <w:szCs w:val="24"/>
              </w:rPr>
              <w:t>等，培训内容应包括所提供产品的原理和技术性能、操作维护方法、安装调试、排除故障等各个方面，培训的具体日期及人数由</w:t>
            </w:r>
            <w:r>
              <w:rPr>
                <w:rFonts w:hint="eastAsia" w:ascii="宋体" w:hAnsi="宋体" w:cs="宋体"/>
                <w:kern w:val="0"/>
                <w:sz w:val="24"/>
                <w:szCs w:val="24"/>
                <w:lang w:eastAsia="zh-CN"/>
              </w:rPr>
              <w:t>采购人</w:t>
            </w:r>
            <w:r>
              <w:rPr>
                <w:rFonts w:hint="eastAsia" w:ascii="宋体" w:hAnsi="宋体" w:cs="宋体"/>
                <w:kern w:val="0"/>
                <w:sz w:val="24"/>
                <w:szCs w:val="24"/>
              </w:rPr>
              <w:t>确定。培训方案明确，方案完善、科学合理，针对性强、服务承诺明确，计4-7分，方案较完整、合理可行、特点和承诺不明确，计2-4分，方案内容不完整，响应有缺项，与实际需求不符，计0.1-2分；未提供不计分。</w:t>
            </w:r>
          </w:p>
        </w:tc>
        <w:tc>
          <w:tcPr>
            <w:tcW w:w="1550" w:type="dxa"/>
            <w:vAlign w:val="center"/>
          </w:tcPr>
          <w:p>
            <w:pPr>
              <w:spacing w:line="4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0" w:hRule="atLeast"/>
        </w:trPr>
        <w:tc>
          <w:tcPr>
            <w:tcW w:w="43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sz w:val="24"/>
                <w:szCs w:val="24"/>
              </w:rPr>
            </w:pPr>
            <w:r>
              <w:rPr>
                <w:rFonts w:hint="eastAsia" w:ascii="宋体" w:hAnsi="宋体" w:cs="宋体"/>
                <w:sz w:val="24"/>
                <w:szCs w:val="24"/>
              </w:rPr>
              <w:t>6</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售后服务</w:t>
            </w:r>
          </w:p>
          <w:p>
            <w:pPr>
              <w:jc w:val="center"/>
              <w:rPr>
                <w:rFonts w:ascii="宋体" w:hAnsi="宋体" w:cs="宋体"/>
                <w:kern w:val="0"/>
                <w:sz w:val="24"/>
                <w:szCs w:val="24"/>
              </w:rPr>
            </w:pPr>
            <w:r>
              <w:rPr>
                <w:rFonts w:hint="eastAsia" w:ascii="宋体" w:hAnsi="宋体" w:cs="宋体"/>
                <w:kern w:val="0"/>
                <w:sz w:val="24"/>
                <w:szCs w:val="24"/>
              </w:rPr>
              <w:t>8%</w:t>
            </w:r>
          </w:p>
        </w:tc>
        <w:tc>
          <w:tcPr>
            <w:tcW w:w="5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8</w:t>
            </w:r>
          </w:p>
        </w:tc>
        <w:tc>
          <w:tcPr>
            <w:tcW w:w="53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4"/>
                <w:szCs w:val="24"/>
              </w:rPr>
            </w:pPr>
            <w:r>
              <w:rPr>
                <w:rFonts w:hint="eastAsia" w:ascii="宋体" w:hAnsi="宋体" w:cs="宋体"/>
                <w:kern w:val="0"/>
                <w:sz w:val="24"/>
                <w:szCs w:val="24"/>
              </w:rPr>
              <w:t>针对本项目</w:t>
            </w:r>
            <w:r>
              <w:rPr>
                <w:rFonts w:hint="eastAsia"/>
                <w:lang w:eastAsia="zh-CN"/>
              </w:rPr>
              <w:t>须</w:t>
            </w:r>
            <w:r>
              <w:rPr>
                <w:rFonts w:hint="eastAsia" w:ascii="宋体" w:hAnsi="宋体" w:cs="宋体"/>
                <w:kern w:val="0"/>
                <w:sz w:val="24"/>
                <w:szCs w:val="24"/>
              </w:rPr>
              <w:t>有完整的售后服务方案及质保期外的质量保证和供应措施，制订本地化服务的承诺和应急方案（提供有效的办公场所证明），明确售后服务人员，有售后服务的优惠条件，有相应的物力、人力保障，能够保证产、供、销、售后服务正常运转</w:t>
            </w:r>
            <w:r>
              <w:rPr>
                <w:rFonts w:hint="eastAsia" w:ascii="宋体" w:hAnsi="宋体" w:cs="宋体"/>
                <w:kern w:val="0"/>
                <w:sz w:val="24"/>
                <w:szCs w:val="24"/>
                <w:lang w:eastAsia="zh-CN"/>
              </w:rPr>
              <w:t>。</w:t>
            </w:r>
            <w:r>
              <w:rPr>
                <w:rFonts w:hint="eastAsia" w:ascii="宋体" w:hAnsi="宋体" w:cs="宋体"/>
                <w:kern w:val="0"/>
                <w:sz w:val="24"/>
                <w:szCs w:val="24"/>
              </w:rPr>
              <w:t>有详细的在设备发生不同类型故障后的到达现场时间、解决故障时间、补救措施等方面的措施或方案，同时具有明确的承诺且符合实际</w:t>
            </w:r>
            <w:r>
              <w:rPr>
                <w:rFonts w:hint="eastAsia" w:ascii="宋体" w:hAnsi="宋体" w:cs="宋体"/>
                <w:kern w:val="0"/>
                <w:sz w:val="24"/>
                <w:szCs w:val="24"/>
                <w:lang w:eastAsia="zh-CN"/>
              </w:rPr>
              <w:t>的</w:t>
            </w:r>
            <w:r>
              <w:rPr>
                <w:rFonts w:hint="eastAsia" w:ascii="宋体" w:hAnsi="宋体" w:cs="宋体"/>
                <w:kern w:val="0"/>
                <w:sz w:val="24"/>
                <w:szCs w:val="24"/>
              </w:rPr>
              <w:t>需求，提供详细的售后服务方案及售后服务承诺等，方案充实详细、有质量保证承诺，计6-8分；有售后服务方案及完整的售后服务承诺，满足质保期内的服务要求，有售后服务的措施，计3-6分；售后服务方案不完整，没有针对本项目的售后服务承诺和具体措施，计0.1-3分；未提供不计分。</w:t>
            </w:r>
          </w:p>
        </w:tc>
        <w:tc>
          <w:tcPr>
            <w:tcW w:w="1550" w:type="dxa"/>
            <w:tcBorders>
              <w:top w:val="single" w:color="auto" w:sz="4" w:space="0"/>
              <w:left w:val="single" w:color="auto" w:sz="4" w:space="0"/>
              <w:bottom w:val="single" w:color="auto" w:sz="4" w:space="0"/>
              <w:right w:val="single" w:color="auto" w:sz="4" w:space="0"/>
            </w:tcBorders>
            <w:vAlign w:val="center"/>
          </w:tcPr>
          <w:p>
            <w:pPr>
              <w:spacing w:line="400" w:lineRule="exact"/>
              <w:ind w:left="-38"/>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7</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业绩</w:t>
            </w:r>
          </w:p>
          <w:p>
            <w:pPr>
              <w:jc w:val="center"/>
              <w:rPr>
                <w:rFonts w:ascii="宋体" w:hAnsi="宋体" w:cs="宋体"/>
                <w:sz w:val="24"/>
                <w:szCs w:val="24"/>
              </w:rPr>
            </w:pPr>
            <w:r>
              <w:rPr>
                <w:rFonts w:hint="eastAsia" w:ascii="宋体" w:hAnsi="宋体" w:cs="宋体"/>
                <w:sz w:val="24"/>
                <w:szCs w:val="24"/>
              </w:rPr>
              <w:t>5%</w:t>
            </w:r>
          </w:p>
        </w:tc>
        <w:tc>
          <w:tcPr>
            <w:tcW w:w="572" w:type="dxa"/>
            <w:tcBorders>
              <w:top w:val="single" w:color="auto" w:sz="4" w:space="0"/>
              <w:left w:val="single" w:color="auto" w:sz="4" w:space="0"/>
              <w:bottom w:val="single" w:color="auto" w:sz="4" w:space="0"/>
              <w:right w:val="single" w:color="auto" w:sz="4" w:space="0"/>
            </w:tcBorders>
            <w:vAlign w:val="center"/>
          </w:tcPr>
          <w:p>
            <w:pPr>
              <w:ind w:firstLine="28"/>
              <w:jc w:val="center"/>
              <w:rPr>
                <w:rFonts w:ascii="宋体" w:hAnsi="宋体" w:cs="宋体"/>
                <w:color w:val="000000"/>
                <w:sz w:val="24"/>
                <w:szCs w:val="24"/>
              </w:rPr>
            </w:pPr>
            <w:r>
              <w:rPr>
                <w:rFonts w:hint="eastAsia" w:ascii="宋体" w:hAnsi="宋体" w:cs="宋体"/>
                <w:color w:val="000000"/>
                <w:sz w:val="24"/>
                <w:szCs w:val="24"/>
              </w:rPr>
              <w:t>5</w:t>
            </w:r>
          </w:p>
        </w:tc>
        <w:tc>
          <w:tcPr>
            <w:tcW w:w="530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rPr>
                <w:rFonts w:ascii="宋体" w:hAnsi="宋体" w:cs="宋体"/>
                <w:sz w:val="24"/>
                <w:szCs w:val="24"/>
              </w:rPr>
            </w:pPr>
            <w:r>
              <w:rPr>
                <w:rFonts w:hint="eastAsia" w:ascii="宋体" w:hAnsi="宋体" w:cs="宋体"/>
                <w:sz w:val="24"/>
                <w:szCs w:val="24"/>
              </w:rPr>
              <w:t>根据投标人提供的2019年1月1日至今所投同</w:t>
            </w:r>
            <w:r>
              <w:rPr>
                <w:rFonts w:hint="eastAsia" w:ascii="宋体" w:hAnsi="宋体" w:cs="宋体"/>
                <w:sz w:val="24"/>
                <w:szCs w:val="24"/>
                <w:highlight w:val="none"/>
              </w:rPr>
              <w:t>类产品项目</w:t>
            </w:r>
            <w:r>
              <w:rPr>
                <w:rFonts w:hint="eastAsia" w:ascii="宋体" w:hAnsi="宋体" w:cs="宋体"/>
                <w:sz w:val="24"/>
                <w:szCs w:val="24"/>
              </w:rPr>
              <w:t>业绩（以合同签订日期为准，仅限投标人本身，提供合同复印件）进行评定，每份计1分，最高计5分。</w:t>
            </w:r>
          </w:p>
        </w:tc>
        <w:tc>
          <w:tcPr>
            <w:tcW w:w="1550"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cs="宋体"/>
                <w:sz w:val="24"/>
                <w:szCs w:val="24"/>
              </w:rPr>
            </w:pPr>
            <w:r>
              <w:rPr>
                <w:rFonts w:hint="eastAsia" w:ascii="宋体" w:hAnsi="宋体" w:cs="宋体"/>
                <w:sz w:val="24"/>
                <w:szCs w:val="24"/>
              </w:rPr>
              <w:t>（原件开标现场携带备查）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8</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节能环保2%</w:t>
            </w:r>
          </w:p>
        </w:tc>
        <w:tc>
          <w:tcPr>
            <w:tcW w:w="572" w:type="dxa"/>
            <w:tcBorders>
              <w:top w:val="single" w:color="auto" w:sz="4" w:space="0"/>
              <w:left w:val="single" w:color="auto" w:sz="4" w:space="0"/>
              <w:bottom w:val="single" w:color="auto" w:sz="4" w:space="0"/>
              <w:right w:val="single" w:color="auto" w:sz="4" w:space="0"/>
            </w:tcBorders>
            <w:vAlign w:val="center"/>
          </w:tcPr>
          <w:p>
            <w:pPr>
              <w:ind w:firstLine="28"/>
              <w:jc w:val="center"/>
              <w:rPr>
                <w:rFonts w:ascii="宋体" w:hAnsi="宋体" w:cs="宋体"/>
                <w:color w:val="000000"/>
                <w:sz w:val="24"/>
                <w:szCs w:val="24"/>
              </w:rPr>
            </w:pPr>
            <w:r>
              <w:rPr>
                <w:rFonts w:hint="eastAsia" w:ascii="宋体" w:hAnsi="宋体" w:cs="宋体"/>
                <w:color w:val="000000"/>
                <w:sz w:val="24"/>
                <w:szCs w:val="24"/>
              </w:rPr>
              <w:t>2</w:t>
            </w:r>
          </w:p>
        </w:tc>
        <w:tc>
          <w:tcPr>
            <w:tcW w:w="530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rPr>
                <w:rFonts w:ascii="宋体" w:hAnsi="宋体" w:cs="宋体"/>
                <w:sz w:val="24"/>
                <w:szCs w:val="24"/>
              </w:rPr>
            </w:pPr>
            <w:r>
              <w:rPr>
                <w:rFonts w:hint="eastAsia" w:ascii="宋体" w:hAnsi="宋体" w:cs="宋体"/>
                <w:sz w:val="24"/>
                <w:szCs w:val="24"/>
                <w:highlight w:val="none"/>
              </w:rPr>
              <w:t>投标人投标产品应为环保认证的</w:t>
            </w:r>
            <w:r>
              <w:rPr>
                <w:rFonts w:hint="eastAsia" w:ascii="宋体" w:hAnsi="宋体" w:cs="宋体"/>
                <w:sz w:val="24"/>
                <w:szCs w:val="24"/>
                <w:highlight w:val="none"/>
                <w:lang w:eastAsia="zh-CN"/>
              </w:rPr>
              <w:t>产品</w:t>
            </w:r>
            <w:r>
              <w:rPr>
                <w:rFonts w:hint="eastAsia" w:ascii="宋体" w:hAnsi="宋体" w:cs="宋体"/>
                <w:sz w:val="24"/>
                <w:szCs w:val="24"/>
                <w:highlight w:val="none"/>
              </w:rPr>
              <w:t>，需提供相关证明。每</w:t>
            </w:r>
            <w:r>
              <w:rPr>
                <w:rFonts w:hint="eastAsia" w:ascii="宋体" w:hAnsi="宋体" w:cs="宋体"/>
                <w:sz w:val="24"/>
                <w:szCs w:val="24"/>
                <w:highlight w:val="none"/>
                <w:lang w:eastAsia="zh-CN"/>
              </w:rPr>
              <w:t>一</w:t>
            </w:r>
            <w:r>
              <w:rPr>
                <w:rFonts w:hint="eastAsia" w:ascii="宋体" w:hAnsi="宋体" w:cs="宋体"/>
                <w:sz w:val="24"/>
                <w:szCs w:val="24"/>
                <w:highlight w:val="none"/>
              </w:rPr>
              <w:t>产品对应的</w:t>
            </w:r>
            <w:r>
              <w:rPr>
                <w:rFonts w:hint="eastAsia" w:ascii="宋体" w:hAnsi="宋体" w:cs="宋体"/>
                <w:sz w:val="24"/>
                <w:szCs w:val="24"/>
                <w:highlight w:val="none"/>
                <w:lang w:eastAsia="zh-CN"/>
              </w:rPr>
              <w:t>认证</w:t>
            </w:r>
            <w:r>
              <w:rPr>
                <w:rFonts w:hint="eastAsia" w:ascii="宋体" w:hAnsi="宋体" w:cs="宋体"/>
                <w:sz w:val="24"/>
                <w:szCs w:val="24"/>
                <w:highlight w:val="none"/>
              </w:rPr>
              <w:t>证书得0.5分，最多得2分。（以经国家确定的认证机构出具的、处于有效期内的证书为准。）</w:t>
            </w:r>
          </w:p>
        </w:tc>
        <w:tc>
          <w:tcPr>
            <w:tcW w:w="1550"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cs="宋体"/>
                <w:sz w:val="24"/>
                <w:szCs w:val="24"/>
              </w:rPr>
            </w:pPr>
          </w:p>
        </w:tc>
      </w:tr>
    </w:tbl>
    <w:p>
      <w:pPr>
        <w:rPr>
          <w:rFonts w:hint="eastAsia" w:ascii="宋体" w:hAnsi="宋体" w:eastAsia="宋体" w:cs="宋体"/>
          <w:b/>
          <w:bCs/>
          <w:sz w:val="24"/>
        </w:rPr>
      </w:pPr>
      <w:r>
        <w:rPr>
          <w:rFonts w:hint="eastAsia" w:ascii="宋体" w:hAnsi="宋体" w:eastAsia="宋体" w:cs="宋体"/>
          <w:b/>
          <w:bCs/>
          <w:sz w:val="24"/>
        </w:rPr>
        <w:t xml:space="preserve">评审标准备注： </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rPr>
      </w:pPr>
      <w:r>
        <w:rPr>
          <w:rFonts w:hint="eastAsia" w:ascii="宋体" w:hAnsi="宋体" w:eastAsia="宋体" w:cs="宋体"/>
          <w:sz w:val="24"/>
        </w:rPr>
        <w:t>1.对于非专门面向中小企业的项目、残疾人福利性单位的项目，对小型和微型企业、残疾人福利性单位产品的价格给予</w:t>
      </w:r>
      <w:r>
        <w:rPr>
          <w:rFonts w:hint="eastAsia" w:ascii="宋体" w:hAnsi="宋体" w:eastAsia="宋体" w:cs="宋体"/>
          <w:sz w:val="24"/>
          <w:lang w:val="en-US" w:eastAsia="zh-CN"/>
        </w:rPr>
        <w:t>10</w:t>
      </w:r>
      <w:r>
        <w:rPr>
          <w:rFonts w:hint="eastAsia" w:ascii="宋体" w:hAnsi="宋体" w:eastAsia="宋体" w:cs="宋体"/>
          <w:sz w:val="24"/>
        </w:rPr>
        <w:t>%的扣除，用扣除后的价格参与评审，残疾人福利性单位属于小型、微型企业的，不重复享受政策；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lang w:eastAsia="zh-CN"/>
        </w:rPr>
      </w:pPr>
      <w:r>
        <w:rPr>
          <w:rFonts w:hint="eastAsia" w:ascii="宋体" w:hAnsi="宋体" w:eastAsia="宋体" w:cs="宋体"/>
          <w:sz w:val="24"/>
        </w:rPr>
        <w:t>2.《关于政府采购支持监狱企业发展有关问题的通知》（财库[2014]68号）的规定，对监狱企业给予</w:t>
      </w:r>
      <w:r>
        <w:rPr>
          <w:rFonts w:hint="eastAsia" w:ascii="宋体" w:hAnsi="宋体" w:eastAsia="宋体" w:cs="宋体"/>
          <w:sz w:val="24"/>
          <w:lang w:val="en-US" w:eastAsia="zh-CN"/>
        </w:rPr>
        <w:t>10</w:t>
      </w:r>
      <w:r>
        <w:rPr>
          <w:rFonts w:hint="eastAsia" w:ascii="宋体" w:hAnsi="宋体" w:eastAsia="宋体" w:cs="宋体"/>
          <w:sz w:val="24"/>
        </w:rPr>
        <w:t>%的价格扣除，用扣除后的价格参与评审（提供由省级以上监狱管理局、戒毒管理局（含新疆生产建设兵团）出具的属于监狱企业的证明文件）</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lang w:eastAsia="zh-CN"/>
        </w:rPr>
      </w:pPr>
      <w:r>
        <w:rPr>
          <w:rFonts w:hint="eastAsia" w:ascii="宋体" w:hAnsi="宋体" w:eastAsia="宋体" w:cs="宋体"/>
          <w:sz w:val="24"/>
        </w:rPr>
        <w:t>3.节能环保产品以节能产品、环境标志产品认证证书为准</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rPr>
      </w:pPr>
      <w:r>
        <w:rPr>
          <w:rFonts w:hint="eastAsia" w:ascii="宋体" w:hAnsi="宋体" w:eastAsia="宋体" w:cs="宋体"/>
          <w:sz w:val="24"/>
        </w:rPr>
        <w:t>4.技术参数正偏离须在技术响应表中注明正偏离的理由和佐证材料的页码；</w:t>
      </w:r>
    </w:p>
    <w:p>
      <w:pPr>
        <w:pStyle w:val="34"/>
        <w:ind w:left="0" w:leftChars="0" w:firstLine="496" w:firstLineChars="200"/>
        <w:rPr>
          <w:rFonts w:hint="eastAsia" w:ascii="宋体" w:hAnsi="宋体" w:eastAsia="宋体" w:cs="宋体"/>
          <w:sz w:val="24"/>
          <w:lang w:eastAsia="zh-CN"/>
        </w:rPr>
      </w:pPr>
      <w:r>
        <w:rPr>
          <w:rFonts w:hint="eastAsia" w:ascii="宋体" w:hAnsi="宋体" w:eastAsia="宋体" w:cs="宋体"/>
          <w:sz w:val="24"/>
        </w:rPr>
        <w:t>5.评审指标出现漏项的最低得分为零分</w:t>
      </w:r>
      <w:r>
        <w:rPr>
          <w:rFonts w:hint="eastAsia" w:ascii="宋体" w:hAnsi="宋体" w:eastAsia="宋体" w:cs="宋体"/>
          <w:sz w:val="24"/>
          <w:lang w:eastAsia="zh-CN"/>
        </w:rPr>
        <w:t>；</w:t>
      </w:r>
    </w:p>
    <w:p>
      <w:pPr>
        <w:pStyle w:val="100"/>
        <w:bidi w:val="0"/>
        <w:rPr>
          <w:rFonts w:hint="eastAsia"/>
          <w:sz w:val="28"/>
          <w:szCs w:val="28"/>
        </w:rPr>
      </w:pPr>
      <w:r>
        <w:rPr>
          <w:rFonts w:hint="eastAsia"/>
          <w:sz w:val="28"/>
          <w:szCs w:val="28"/>
        </w:rPr>
        <w:t>4．推荐中标候选人</w:t>
      </w:r>
      <w:bookmarkEnd w:id="6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0"/>
        <w:bidi w:val="0"/>
        <w:rPr>
          <w:rFonts w:hint="eastAsia"/>
          <w:sz w:val="28"/>
          <w:szCs w:val="28"/>
        </w:rPr>
      </w:pPr>
      <w:bookmarkStart w:id="63" w:name="_Toc12762"/>
      <w:r>
        <w:rPr>
          <w:rFonts w:hint="eastAsia"/>
          <w:sz w:val="28"/>
          <w:szCs w:val="28"/>
        </w:rPr>
        <w:t>5．编写评审报告</w:t>
      </w:r>
      <w:bookmarkEnd w:id="6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（3）评标方法；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0"/>
        <w:bidi w:val="0"/>
        <w:rPr>
          <w:rFonts w:hint="eastAsia"/>
          <w:b/>
          <w:bCs/>
          <w:sz w:val="28"/>
          <w:szCs w:val="28"/>
        </w:rPr>
      </w:pPr>
      <w:bookmarkStart w:id="64" w:name="_Toc8654"/>
      <w:r>
        <w:rPr>
          <w:rFonts w:hint="eastAsia"/>
          <w:b/>
          <w:bCs/>
          <w:sz w:val="28"/>
          <w:szCs w:val="28"/>
        </w:rPr>
        <w:t>（三）评标争议处理规则</w:t>
      </w:r>
      <w:bookmarkEnd w:id="6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0"/>
        <w:bidi w:val="0"/>
        <w:rPr>
          <w:rFonts w:hint="eastAsia"/>
          <w:b/>
          <w:bCs/>
          <w:sz w:val="28"/>
          <w:szCs w:val="28"/>
        </w:rPr>
      </w:pPr>
      <w:bookmarkStart w:id="65" w:name="_Toc4810"/>
      <w:r>
        <w:rPr>
          <w:rFonts w:hint="eastAsia"/>
          <w:b/>
          <w:bCs/>
          <w:sz w:val="28"/>
          <w:szCs w:val="28"/>
        </w:rPr>
        <w:t>（四）评审现场人员的保密责任</w:t>
      </w:r>
      <w:bookmarkEnd w:id="65"/>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0"/>
        <w:bidi w:val="0"/>
        <w:rPr>
          <w:rFonts w:hint="eastAsia"/>
          <w:b/>
          <w:bCs/>
          <w:sz w:val="28"/>
          <w:szCs w:val="28"/>
        </w:rPr>
      </w:pPr>
      <w:bookmarkStart w:id="66" w:name="_Toc27257"/>
      <w:r>
        <w:rPr>
          <w:rFonts w:hint="eastAsia"/>
          <w:b/>
          <w:bCs/>
          <w:sz w:val="28"/>
          <w:szCs w:val="28"/>
        </w:rPr>
        <w:t>（五）视同供应商串通投标的情形，其投标无效：</w:t>
      </w:r>
      <w:bookmarkEnd w:id="6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6"/>
        <w:ind w:left="0" w:leftChars="0" w:firstLine="0" w:firstLineChars="0"/>
        <w:outlineLvl w:val="1"/>
        <w:rPr>
          <w:rFonts w:hint="eastAsia" w:ascii="宋体" w:hAnsi="宋体" w:eastAsia="宋体" w:cs="宋体"/>
          <w:sz w:val="28"/>
          <w:szCs w:val="28"/>
        </w:rPr>
      </w:pPr>
      <w:bookmarkStart w:id="67" w:name="_Toc19995"/>
      <w:r>
        <w:rPr>
          <w:rFonts w:hint="eastAsia" w:ascii="宋体" w:hAnsi="宋体" w:eastAsia="宋体" w:cs="宋体"/>
          <w:sz w:val="28"/>
          <w:szCs w:val="28"/>
        </w:rPr>
        <w:t>八、中标</w:t>
      </w:r>
      <w:bookmarkEnd w:id="67"/>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76" w:firstLineChars="200"/>
        <w:jc w:val="both"/>
        <w:rPr>
          <w:rFonts w:hint="eastAsia" w:ascii="宋体" w:hAnsi="宋体" w:eastAsia="宋体" w:cs="宋体"/>
          <w:sz w:val="28"/>
          <w:szCs w:val="28"/>
          <w:lang w:eastAsia="zh-CN"/>
        </w:rPr>
      </w:pPr>
      <w:r>
        <w:rPr>
          <w:rFonts w:hint="eastAsia" w:ascii="宋体" w:hAnsi="宋体" w:eastAsia="宋体" w:cs="宋体"/>
          <w:sz w:val="28"/>
          <w:szCs w:val="28"/>
        </w:rPr>
        <w:t>2．采购代理机构将在中标供应商确定之日起</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个工作日内，在【</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陕西省政府采购网</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6"/>
          <w:rFonts w:hint="eastAsia" w:ascii="宋体" w:hAnsi="宋体" w:eastAsia="宋体" w:cs="宋体"/>
          <w:color w:val="auto"/>
          <w:sz w:val="28"/>
          <w:szCs w:val="28"/>
          <w:u w:val="none"/>
        </w:rPr>
        <w:t>http://www.ccgp-shaanxi.gov.cn/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r>
        <w:rPr>
          <w:rFonts w:hint="eastAsia" w:ascii="宋体" w:hAnsi="宋体" w:eastAsia="宋体" w:cs="宋体"/>
          <w:sz w:val="28"/>
          <w:szCs w:val="28"/>
          <w:lang w:eastAsia="zh-CN"/>
        </w:rPr>
        <w:t>。</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．采购代理机构按照相关规定将评审报告送监管机构备案。</w:t>
      </w:r>
    </w:p>
    <w:p>
      <w:pPr>
        <w:pStyle w:val="6"/>
        <w:ind w:left="0" w:leftChars="0" w:firstLine="0" w:firstLineChars="0"/>
        <w:outlineLvl w:val="1"/>
        <w:rPr>
          <w:rFonts w:hint="eastAsia" w:ascii="宋体" w:hAnsi="宋体" w:eastAsia="宋体" w:cs="宋体"/>
          <w:sz w:val="28"/>
          <w:szCs w:val="28"/>
        </w:rPr>
      </w:pPr>
      <w:bookmarkStart w:id="68" w:name="_Toc22898"/>
      <w:r>
        <w:rPr>
          <w:rFonts w:hint="eastAsia" w:ascii="宋体" w:hAnsi="宋体" w:eastAsia="宋体" w:cs="宋体"/>
          <w:sz w:val="28"/>
          <w:szCs w:val="28"/>
        </w:rPr>
        <w:t>九、合同签订、履行及验收</w:t>
      </w:r>
      <w:bookmarkEnd w:id="6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100"/>
        <w:bidi w:val="0"/>
        <w:rPr>
          <w:rFonts w:hint="eastAsia"/>
          <w:b/>
          <w:bCs/>
          <w:sz w:val="28"/>
          <w:szCs w:val="28"/>
        </w:rPr>
      </w:pPr>
      <w:bookmarkStart w:id="69" w:name="_Toc7975"/>
      <w:r>
        <w:rPr>
          <w:rFonts w:hint="eastAsia"/>
          <w:b/>
          <w:bCs/>
          <w:sz w:val="28"/>
          <w:szCs w:val="28"/>
        </w:rPr>
        <w:t>（一）签订政府采购合同</w:t>
      </w:r>
      <w:bookmarkEnd w:id="6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100"/>
        <w:bidi w:val="0"/>
        <w:rPr>
          <w:rFonts w:hint="eastAsia"/>
          <w:b/>
          <w:bCs/>
          <w:sz w:val="28"/>
          <w:szCs w:val="28"/>
        </w:rPr>
      </w:pPr>
      <w:bookmarkStart w:id="70" w:name="_Toc19981"/>
      <w:r>
        <w:rPr>
          <w:rFonts w:hint="eastAsia"/>
          <w:b/>
          <w:bCs/>
          <w:sz w:val="28"/>
          <w:szCs w:val="28"/>
        </w:rPr>
        <w:t>（二）合同公告及备案</w:t>
      </w:r>
      <w:bookmarkEnd w:id="7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100"/>
        <w:bidi w:val="0"/>
        <w:rPr>
          <w:rFonts w:hint="eastAsia"/>
          <w:b/>
          <w:bCs/>
          <w:sz w:val="28"/>
          <w:szCs w:val="28"/>
        </w:rPr>
      </w:pPr>
      <w:bookmarkStart w:id="71" w:name="_Toc20858"/>
      <w:r>
        <w:rPr>
          <w:rFonts w:hint="eastAsia"/>
          <w:b/>
          <w:bCs/>
          <w:sz w:val="28"/>
          <w:szCs w:val="28"/>
        </w:rPr>
        <w:t>（三）履行合同</w:t>
      </w:r>
      <w:bookmarkEnd w:id="7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100"/>
        <w:bidi w:val="0"/>
        <w:rPr>
          <w:rFonts w:hint="eastAsia"/>
          <w:b/>
          <w:bCs/>
          <w:sz w:val="28"/>
          <w:szCs w:val="28"/>
        </w:rPr>
      </w:pPr>
      <w:bookmarkStart w:id="72" w:name="_Toc1157"/>
      <w:r>
        <w:rPr>
          <w:rFonts w:hint="eastAsia"/>
          <w:b/>
          <w:bCs/>
          <w:sz w:val="28"/>
          <w:szCs w:val="28"/>
        </w:rPr>
        <w:t>（四）验收或考核</w:t>
      </w:r>
      <w:bookmarkEnd w:id="7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pStyle w:val="6"/>
        <w:outlineLvl w:val="1"/>
        <w:rPr>
          <w:rFonts w:hint="eastAsia" w:ascii="宋体" w:hAnsi="宋体" w:eastAsia="宋体" w:cs="宋体"/>
          <w:sz w:val="28"/>
          <w:szCs w:val="28"/>
        </w:rPr>
      </w:pPr>
      <w:bookmarkStart w:id="73" w:name="_Toc212"/>
      <w:bookmarkStart w:id="74" w:name="_Toc29421"/>
      <w:bookmarkStart w:id="75" w:name="_Toc100219614"/>
      <w:r>
        <w:rPr>
          <w:rFonts w:hint="eastAsia" w:ascii="宋体" w:hAnsi="宋体" w:eastAsia="宋体" w:cs="宋体"/>
          <w:sz w:val="28"/>
          <w:szCs w:val="28"/>
        </w:rPr>
        <w:t>十、废标及重新招标</w:t>
      </w:r>
      <w:bookmarkEnd w:id="73"/>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76" w:firstLineChars="200"/>
        <w:jc w:val="both"/>
        <w:rPr>
          <w:rFonts w:hint="eastAsia"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4"/>
        <w:pageBreakBefore/>
        <w:numPr>
          <w:ilvl w:val="0"/>
          <w:numId w:val="0"/>
        </w:numPr>
        <w:spacing w:beforeLines="100" w:afterLines="100" w:line="500" w:lineRule="exact"/>
        <w:jc w:val="center"/>
        <w:rPr>
          <w:rFonts w:ascii="宋体" w:hAnsi="宋体" w:cs="宋体"/>
          <w:color w:val="000000"/>
          <w:sz w:val="36"/>
          <w:szCs w:val="36"/>
        </w:rPr>
      </w:pPr>
      <w:r>
        <w:rPr>
          <w:rFonts w:hint="eastAsia" w:ascii="宋体" w:hAnsi="宋体" w:eastAsia="宋体" w:cs="宋体"/>
        </w:rPr>
        <w:t>第三章  招标内容及要求</w:t>
      </w:r>
      <w:bookmarkEnd w:id="74"/>
      <w:bookmarkEnd w:id="75"/>
      <w:bookmarkStart w:id="76" w:name="_Toc100219615"/>
    </w:p>
    <w:tbl>
      <w:tblPr>
        <w:tblStyle w:val="35"/>
        <w:tblW w:w="8269" w:type="dxa"/>
        <w:jc w:val="center"/>
        <w:tblLayout w:type="fixed"/>
        <w:tblCellMar>
          <w:top w:w="0" w:type="dxa"/>
          <w:left w:w="108" w:type="dxa"/>
          <w:bottom w:w="0" w:type="dxa"/>
          <w:right w:w="108" w:type="dxa"/>
        </w:tblCellMar>
      </w:tblPr>
      <w:tblGrid>
        <w:gridCol w:w="827"/>
        <w:gridCol w:w="1367"/>
        <w:gridCol w:w="3615"/>
        <w:gridCol w:w="750"/>
        <w:gridCol w:w="795"/>
        <w:gridCol w:w="915"/>
      </w:tblGrid>
      <w:tr>
        <w:tblPrEx>
          <w:tblCellMar>
            <w:top w:w="0" w:type="dxa"/>
            <w:left w:w="108" w:type="dxa"/>
            <w:bottom w:w="0" w:type="dxa"/>
            <w:right w:w="108" w:type="dxa"/>
          </w:tblCellMar>
        </w:tblPrEx>
        <w:trPr>
          <w:trHeight w:val="503" w:hRule="atLeast"/>
          <w:jc w:val="center"/>
        </w:trPr>
        <w:tc>
          <w:tcPr>
            <w:tcW w:w="82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rPr>
            </w:pPr>
            <w:r>
              <w:rPr>
                <w:rFonts w:hint="eastAsia" w:ascii="宋体" w:hAnsi="宋体" w:cs="宋体"/>
                <w:b/>
                <w:bCs/>
                <w:color w:val="auto"/>
                <w:kern w:val="0"/>
                <w:sz w:val="24"/>
                <w:szCs w:val="24"/>
              </w:rPr>
              <w:t>机房设备清单</w:t>
            </w:r>
          </w:p>
        </w:tc>
      </w:tr>
      <w:tr>
        <w:tblPrEx>
          <w:tblCellMar>
            <w:top w:w="0" w:type="dxa"/>
            <w:left w:w="108" w:type="dxa"/>
            <w:bottom w:w="0" w:type="dxa"/>
            <w:right w:w="108" w:type="dxa"/>
          </w:tblCellMar>
        </w:tblPrEx>
        <w:trPr>
          <w:trHeight w:val="503"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序号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名称</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设备参数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备注</w:t>
            </w:r>
          </w:p>
        </w:tc>
      </w:tr>
      <w:tr>
        <w:tblPrEx>
          <w:tblCellMar>
            <w:top w:w="0" w:type="dxa"/>
            <w:left w:w="108" w:type="dxa"/>
            <w:bottom w:w="0" w:type="dxa"/>
            <w:right w:w="108" w:type="dxa"/>
          </w:tblCellMar>
        </w:tblPrEx>
        <w:trPr>
          <w:trHeight w:val="107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rPr>
              <w:t>螺杆冷冻机组</w:t>
            </w:r>
            <w:r>
              <w:rPr>
                <w:rFonts w:hint="eastAsia" w:ascii="宋体" w:hAnsi="宋体" w:cs="宋体"/>
                <w:b/>
                <w:bCs/>
                <w:color w:val="auto"/>
                <w:kern w:val="0"/>
                <w:sz w:val="28"/>
                <w:szCs w:val="28"/>
                <w:lang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kern w:val="0"/>
                <w:sz w:val="24"/>
                <w:szCs w:val="24"/>
              </w:rPr>
            </w:pPr>
            <w:r>
              <w:rPr>
                <w:rFonts w:hint="eastAsia" w:ascii="宋体" w:hAnsi="宋体" w:cs="宋体"/>
                <w:color w:val="auto"/>
                <w:kern w:val="0"/>
                <w:sz w:val="24"/>
                <w:szCs w:val="24"/>
              </w:rPr>
              <w:t>压缩机形式：</w:t>
            </w:r>
          </w:p>
          <w:p>
            <w:pPr>
              <w:widowControl/>
              <w:jc w:val="left"/>
              <w:textAlignment w:val="center"/>
              <w:rPr>
                <w:rFonts w:ascii="宋体" w:hAnsi="宋体" w:cs="宋体"/>
                <w:color w:val="auto"/>
                <w:kern w:val="0"/>
                <w:sz w:val="24"/>
                <w:szCs w:val="24"/>
              </w:rPr>
            </w:pPr>
            <w:r>
              <w:rPr>
                <w:rFonts w:hint="eastAsia" w:ascii="宋体" w:hAnsi="宋体" w:cs="宋体"/>
                <w:color w:val="auto"/>
                <w:kern w:val="0"/>
                <w:sz w:val="24"/>
                <w:szCs w:val="24"/>
              </w:rPr>
              <w:t xml:space="preserve">半封闭双螺杆压缩机 </w:t>
            </w:r>
          </w:p>
          <w:p>
            <w:pPr>
              <w:widowControl/>
              <w:jc w:val="left"/>
              <w:textAlignment w:val="center"/>
              <w:rPr>
                <w:rFonts w:ascii="宋体" w:hAnsi="宋体" w:cs="宋体"/>
                <w:color w:val="auto"/>
                <w:kern w:val="0"/>
                <w:sz w:val="24"/>
                <w:szCs w:val="24"/>
              </w:rPr>
            </w:pPr>
            <w:r>
              <w:rPr>
                <w:rFonts w:hint="eastAsia" w:ascii="宋体" w:hAnsi="宋体" w:cs="宋体"/>
                <w:color w:val="auto"/>
                <w:kern w:val="0"/>
                <w:sz w:val="24"/>
                <w:szCs w:val="24"/>
              </w:rPr>
              <w:t xml:space="preserve">制冷量&gt;610.0 KW,输入功率&lt;116KW COP≥5.3 制蒸发器侧承压1.0MPa 冷冻水进出水温度12/7℃  冷却水进出水温度30/35℃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含运输、吊装、二次组装</w:t>
            </w: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冷却水泵</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流量：174m3/h，扬程：38m，功率：30KW 转速：2900r/min</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两用一备</w:t>
            </w: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冷冻水泵</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流量：112m3/h，扬程：32m，功率：11.17KW  转速：2900r/min</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两用一备</w:t>
            </w: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采暖水泵</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流量：100m3/h，扬程：32m，功率：15KW 转速：1450r/min</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一用一备</w:t>
            </w: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板式换热器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热负荷：600kW/台，一次水供，回水温度：110/80℃，二次侧供回水温度60/50度，承压能力：1MPa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全自动软水器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L=1∽3m³/h  N=0.4kWh 入口水温：5∽40℃  入口水压：0.2∽0.5MPa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507"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补水箱</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有效容积：1.5M³  1000× 1500× 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落地膨胀罐</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调节容积：0.80M³ 总容积：2.0M³ 工作压力1.0MPa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定压补水装置</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功率：1.8KW  水量：</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m³/h， 扬程：38.0m   转速：2500rpm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综合水处理仪</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WD-200A1,0ZH-A   处理水量100∽200m/h³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压差旁通阀</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DN200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温度传感器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536774型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压力传感器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YTK-03型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水流开关</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冷机配套供给</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强电系统</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冷冻水泵变频控制柜、冷却水泵变频控制柜、热水循环水泵变频控制柜、主机电缆及相应的的配电系统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507"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弱电系统</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主机、水泵、冷却塔联动控制及相应的自动控制系统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 xml:space="preserve"> 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507"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机房配件、拆除及安装</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主机、水泵、冷却塔联动控制、电动阀门DN150及相应的自动控制系统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517"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钢管保温铝皮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auto"/>
                <w:sz w:val="20"/>
                <w:szCs w:val="20"/>
              </w:rPr>
            </w:pPr>
          </w:p>
        </w:tc>
      </w:tr>
      <w:tr>
        <w:tblPrEx>
          <w:tblCellMar>
            <w:top w:w="0" w:type="dxa"/>
            <w:left w:w="108" w:type="dxa"/>
            <w:bottom w:w="0" w:type="dxa"/>
            <w:right w:w="108" w:type="dxa"/>
          </w:tblCellMar>
        </w:tblPrEx>
        <w:trPr>
          <w:trHeight w:val="517"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szCs w:val="24"/>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拆除及安装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auto"/>
                <w:sz w:val="20"/>
                <w:szCs w:val="20"/>
              </w:rPr>
            </w:pPr>
          </w:p>
        </w:tc>
      </w:tr>
    </w:tbl>
    <w:p>
      <w:pPr>
        <w:rPr>
          <w:rFonts w:ascii="宋体" w:hAnsi="宋体" w:cs="宋体"/>
          <w:b/>
          <w:bCs/>
          <w:sz w:val="36"/>
          <w:szCs w:val="36"/>
        </w:rPr>
      </w:pPr>
      <w:r>
        <w:rPr>
          <w:rFonts w:hint="eastAsia" w:ascii="宋体" w:hAnsi="宋体" w:cs="宋体"/>
          <w:b/>
          <w:bCs/>
          <w:sz w:val="36"/>
          <w:szCs w:val="36"/>
        </w:rPr>
        <w:br w:type="page"/>
      </w:r>
    </w:p>
    <w:tbl>
      <w:tblPr>
        <w:tblStyle w:val="35"/>
        <w:tblW w:w="8136" w:type="dxa"/>
        <w:jc w:val="center"/>
        <w:tblLayout w:type="fixed"/>
        <w:tblCellMar>
          <w:top w:w="0" w:type="dxa"/>
          <w:left w:w="108" w:type="dxa"/>
          <w:bottom w:w="0" w:type="dxa"/>
          <w:right w:w="108" w:type="dxa"/>
        </w:tblCellMar>
      </w:tblPr>
      <w:tblGrid>
        <w:gridCol w:w="1323"/>
        <w:gridCol w:w="1548"/>
        <w:gridCol w:w="3900"/>
        <w:gridCol w:w="660"/>
        <w:gridCol w:w="705"/>
      </w:tblGrid>
      <w:tr>
        <w:tblPrEx>
          <w:tblCellMar>
            <w:top w:w="0" w:type="dxa"/>
            <w:left w:w="108" w:type="dxa"/>
            <w:bottom w:w="0" w:type="dxa"/>
            <w:right w:w="108" w:type="dxa"/>
          </w:tblCellMar>
        </w:tblPrEx>
        <w:trPr>
          <w:trHeight w:val="407" w:hRule="atLeast"/>
          <w:jc w:val="center"/>
        </w:trPr>
        <w:tc>
          <w:tcPr>
            <w:tcW w:w="81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0"/>
                <w:szCs w:val="20"/>
              </w:rPr>
            </w:pPr>
            <w:r>
              <w:rPr>
                <w:rFonts w:hint="eastAsia" w:ascii="宋体" w:hAnsi="宋体" w:cs="宋体"/>
                <w:b/>
                <w:bCs/>
                <w:color w:val="auto"/>
                <w:kern w:val="0"/>
                <w:sz w:val="24"/>
                <w:szCs w:val="24"/>
              </w:rPr>
              <w:t>1-4层设备清单</w:t>
            </w:r>
          </w:p>
        </w:tc>
      </w:tr>
      <w:tr>
        <w:tblPrEx>
          <w:tblCellMar>
            <w:top w:w="0" w:type="dxa"/>
            <w:left w:w="108" w:type="dxa"/>
            <w:bottom w:w="0" w:type="dxa"/>
            <w:right w:w="108" w:type="dxa"/>
          </w:tblCellMar>
        </w:tblPrEx>
        <w:trPr>
          <w:trHeight w:val="407"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楼层</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名称</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设备参数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单位</w:t>
            </w:r>
          </w:p>
        </w:tc>
      </w:tr>
      <w:tr>
        <w:tblPrEx>
          <w:tblCellMar>
            <w:top w:w="0" w:type="dxa"/>
            <w:left w:w="108" w:type="dxa"/>
            <w:bottom w:w="0" w:type="dxa"/>
            <w:right w:w="108" w:type="dxa"/>
          </w:tblCellMar>
        </w:tblPrEx>
        <w:trPr>
          <w:trHeight w:val="407" w:hRule="atLeast"/>
          <w:jc w:val="center"/>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1F</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组合式空调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风量：20000m3/h，制冷量：155KW，功率：12 KW，静压：400Pa 380v 表冷器排数：6排管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吊柜式空调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风量：3000m3/h，制冷量：24KW，机外静压：150Pa，制热量：35KW，功率：0.64kw 表冷器排数：6排管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风机盘管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风量：1360m3/h，制冷量：7.9KW，功率：0.14 KW，静压：30Pa 220v 表冷器排数：3排管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2F</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组合式空调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风量：20000m3/h，制冷量：155KW，功率：12 KW，静压：400Pa 380v表冷器排数：6排管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吊柜式空调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风量：3000m3/h，制冷量：24KW，机外静压：150Pa，制热量：35KW，功率：0.64kw 表冷器排数：6排管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风机盘管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风量：1020m3/h，制冷量：5.9KW，功率：0.12 KW，静压：30Pa 220v 表冷器排数：3排管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3F</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组合式空调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风量：20000m3/h，制冷量：155KW，功率：12 KW，静压：400Pa 380v 表冷器排数：6排管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吊柜式空调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风量：3000m3/h，制冷量：24KW，机外静压：150Pa，制热量：35KW，功率：0.64kw 表冷器排数：6排管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风机盘管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风量：1700m3/h，制冷量：9.2KW，功率：0.17 KW，静压：30Pa 220v 表冷器排数：3排管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792" w:hRule="atLeast"/>
          <w:jc w:val="center"/>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4F</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组合式空调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风量：27000m3/h，制冷量：209KW，功率：14 KW 静压：400Pa 380v</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吊柜式空调</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风量：3000m3/h，制冷量：24KW，机外静压：150Pa，制热量：35KW，功率：0.64kw 表冷器排数：6排管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风机盘管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风量：1360m3/h，制冷量：7.9KW，功率：0.14 KW，静压：30Pa 220v 表冷器排数：3排管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台</w:t>
            </w:r>
          </w:p>
        </w:tc>
      </w:tr>
      <w:tr>
        <w:tblPrEx>
          <w:tblCellMar>
            <w:top w:w="0" w:type="dxa"/>
            <w:left w:w="108" w:type="dxa"/>
            <w:bottom w:w="0" w:type="dxa"/>
            <w:right w:w="108" w:type="dxa"/>
          </w:tblCellMar>
        </w:tblPrEx>
        <w:trPr>
          <w:trHeight w:val="407"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宋体" w:hAnsi="宋体" w:cs="宋体"/>
                <w:color w:val="auto"/>
                <w:kern w:val="0"/>
                <w:sz w:val="24"/>
                <w:szCs w:val="24"/>
              </w:rPr>
            </w:pPr>
          </w:p>
        </w:tc>
        <w:tc>
          <w:tcPr>
            <w:tcW w:w="54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1~4层水阀门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批</w:t>
            </w:r>
          </w:p>
        </w:tc>
      </w:tr>
      <w:tr>
        <w:tblPrEx>
          <w:tblCellMar>
            <w:top w:w="0" w:type="dxa"/>
            <w:left w:w="108" w:type="dxa"/>
            <w:bottom w:w="0" w:type="dxa"/>
            <w:right w:w="108" w:type="dxa"/>
          </w:tblCellMar>
        </w:tblPrEx>
        <w:trPr>
          <w:trHeight w:val="42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宋体" w:hAnsi="宋体" w:cs="宋体"/>
                <w:color w:val="auto"/>
                <w:kern w:val="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拆除、成品保护</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cs="宋体"/>
                <w:color w:val="auto"/>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项</w:t>
            </w:r>
          </w:p>
        </w:tc>
      </w:tr>
    </w:tbl>
    <w:p>
      <w:pPr>
        <w:pStyle w:val="18"/>
      </w:pPr>
    </w:p>
    <w:p>
      <w:pPr>
        <w:rPr>
          <w:rFonts w:ascii="宋体" w:hAnsi="宋体" w:cs="宋体"/>
          <w:b/>
          <w:bCs/>
          <w:sz w:val="36"/>
          <w:szCs w:val="36"/>
        </w:rPr>
      </w:pPr>
      <w:r>
        <w:rPr>
          <w:rFonts w:hint="eastAsia" w:ascii="宋体" w:hAnsi="宋体" w:cs="宋体"/>
          <w:b/>
          <w:bCs/>
          <w:sz w:val="36"/>
          <w:szCs w:val="36"/>
        </w:rPr>
        <w:br w:type="page"/>
      </w:r>
    </w:p>
    <w:p>
      <w:pPr>
        <w:spacing w:line="360" w:lineRule="auto"/>
        <w:ind w:right="519" w:firstLine="420"/>
        <w:jc w:val="center"/>
        <w:rPr>
          <w:rFonts w:ascii="宋体" w:hAnsi="宋体"/>
          <w:b/>
          <w:sz w:val="28"/>
          <w:szCs w:val="28"/>
        </w:rPr>
      </w:pPr>
      <w:r>
        <w:rPr>
          <w:rFonts w:hint="eastAsia" w:ascii="宋体" w:hAnsi="宋体"/>
          <w:b/>
          <w:sz w:val="28"/>
          <w:szCs w:val="28"/>
        </w:rPr>
        <w:t>主要设备技术要求</w:t>
      </w:r>
    </w:p>
    <w:p>
      <w:pPr>
        <w:spacing w:line="360" w:lineRule="auto"/>
        <w:ind w:right="519" w:firstLine="420"/>
        <w:jc w:val="center"/>
        <w:rPr>
          <w:rFonts w:ascii="宋体" w:hAnsi="宋体"/>
          <w:b/>
          <w:sz w:val="28"/>
          <w:szCs w:val="28"/>
          <w:highlight w:val="yellow"/>
        </w:rPr>
      </w:pPr>
      <w:r>
        <w:rPr>
          <w:rFonts w:hint="eastAsia" w:ascii="宋体" w:hAnsi="宋体"/>
          <w:b/>
          <w:sz w:val="28"/>
          <w:szCs w:val="28"/>
        </w:rPr>
        <w:t>一、螺杆式冷水机组技术要求</w:t>
      </w:r>
    </w:p>
    <w:p>
      <w:pPr>
        <w:spacing w:line="360" w:lineRule="auto"/>
        <w:rPr>
          <w:rFonts w:ascii="宋体" w:hAnsi="宋体" w:cs="宋体"/>
          <w:b/>
          <w:bCs/>
          <w:szCs w:val="21"/>
        </w:rPr>
      </w:pPr>
      <w:r>
        <w:rPr>
          <w:rFonts w:hint="eastAsia" w:ascii="宋体" w:hAnsi="宋体" w:cs="宋体"/>
          <w:b/>
          <w:bCs/>
          <w:szCs w:val="21"/>
        </w:rPr>
        <w:t xml:space="preserve">1、定频螺杆式冷水机组 </w:t>
      </w:r>
    </w:p>
    <w:p>
      <w:pPr>
        <w:pStyle w:val="13"/>
        <w:spacing w:line="360" w:lineRule="auto"/>
        <w:rPr>
          <w:rFonts w:ascii="宋体" w:hAnsi="宋体" w:cs="宋体"/>
        </w:rPr>
      </w:pPr>
      <w:r>
        <w:rPr>
          <w:rFonts w:hint="eastAsia" w:ascii="宋体" w:hAnsi="宋体" w:cs="宋体"/>
        </w:rPr>
        <w:t>冷水机组本体（包括外购件）的设计、制造、检验、测试和包装等，应满足下列有关标准和规范。所有各方应使用下列标准最新版本。</w:t>
      </w:r>
    </w:p>
    <w:p>
      <w:pPr>
        <w:pStyle w:val="13"/>
        <w:spacing w:line="360" w:lineRule="auto"/>
        <w:ind w:firstLine="0"/>
        <w:rPr>
          <w:rFonts w:ascii="宋体" w:hAnsi="宋体" w:cs="宋体"/>
        </w:rPr>
      </w:pPr>
      <w:r>
        <w:rPr>
          <w:rFonts w:hint="eastAsia" w:ascii="宋体" w:hAnsi="宋体" w:cs="宋体"/>
        </w:rPr>
        <w:t>这些标准和规范主要有（但不限于）：</w:t>
      </w:r>
    </w:p>
    <w:tbl>
      <w:tblPr>
        <w:tblStyle w:val="35"/>
        <w:tblW w:w="830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（1）《冷水机组能效限定值及能源效率等级》GB19577－2015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（2）《公共建筑节能设计标准》GB50189-2015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（3）《智能建筑设计标准》GB/T50314—2000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hint="default" w:ascii="宋体" w:hAnsi="宋体" w:cs="宋体" w:eastAsiaTheme="minorEastAsia"/>
                <w:spacing w:val="8"/>
                <w:lang w:val="en-US" w:eastAsia="zh-CN"/>
              </w:rPr>
            </w:pPr>
            <w:r>
              <w:rPr>
                <w:rFonts w:hint="eastAsia" w:ascii="宋体" w:hAnsi="宋体" w:cs="宋体"/>
                <w:spacing w:val="8"/>
              </w:rPr>
              <w:t>（4）《采暖通风与空气调节设计规范》GB50019-</w:t>
            </w:r>
            <w:r>
              <w:rPr>
                <w:rFonts w:hint="eastAsia" w:ascii="宋体" w:hAnsi="宋体" w:cs="宋体"/>
                <w:spacing w:val="8"/>
                <w:lang w:val="en-US" w:eastAsia="zh-C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（5）《蒸汽压缩循环制冷（热泵）机组  工商业用或类似用途的冷水（热泵）机组 》GB/T18430.1—2008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（6）《制冷和空调设备名义工况一般规定》JB/T7666—1995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（7）《制冷压缩机用压力容器》JB/T6421—92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hint="default" w:ascii="宋体" w:hAnsi="宋体" w:cs="宋体" w:eastAsiaTheme="minorEastAsia"/>
                <w:spacing w:val="8"/>
                <w:lang w:val="en-US" w:eastAsia="zh-CN"/>
              </w:rPr>
            </w:pPr>
            <w:r>
              <w:rPr>
                <w:rFonts w:hint="eastAsia" w:ascii="宋体" w:hAnsi="宋体" w:cs="宋体"/>
                <w:spacing w:val="8"/>
              </w:rPr>
              <w:t>（8）《制冷装置试验》GB/T7941—</w:t>
            </w:r>
            <w:r>
              <w:rPr>
                <w:rFonts w:hint="eastAsia" w:ascii="宋体" w:hAnsi="宋体" w:cs="宋体"/>
                <w:spacing w:val="8"/>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hint="eastAsia" w:ascii="宋体" w:hAnsi="宋体" w:cs="宋体" w:eastAsiaTheme="minorEastAsia"/>
                <w:spacing w:val="8"/>
                <w:lang w:eastAsia="zh-CN"/>
              </w:rPr>
            </w:pPr>
            <w:r>
              <w:rPr>
                <w:rFonts w:hint="eastAsia" w:ascii="宋体" w:hAnsi="宋体" w:cs="宋体"/>
                <w:spacing w:val="8"/>
              </w:rPr>
              <w:t>（9）《容积式和离心式冷水（热泵）机组性能试验方法》GB/T10870—200</w:t>
            </w:r>
            <w:r>
              <w:rPr>
                <w:rFonts w:hint="eastAsia" w:ascii="宋体" w:hAnsi="宋体" w:cs="宋体"/>
                <w:spacing w:val="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（10）《蒸汽压缩循环冷水（热泵）机组工业用或…》GB/T18430.1-2007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（11）《容积式和离心式冷水（热泵）机组安全要求》JB/T8654-1997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（12）《制冷系统及热泵安全与环境要求》GB/T9237</w:t>
            </w:r>
            <w:r>
              <w:rPr>
                <w:rFonts w:hint="eastAsia" w:ascii="宋体" w:hAnsi="宋体" w:cs="宋体"/>
                <w:spacing w:val="8"/>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（13）《制冷和空调设备噪声声功率级的测定方法》JB</w:t>
            </w:r>
            <w:r>
              <w:rPr>
                <w:rFonts w:hint="eastAsia" w:ascii="宋体" w:hAnsi="宋体" w:cs="宋体"/>
                <w:spacing w:val="8"/>
                <w:lang w:val="en-US" w:eastAsia="zh-CN"/>
              </w:rPr>
              <w:t>-T</w:t>
            </w:r>
            <w:r>
              <w:rPr>
                <w:rFonts w:hint="eastAsia" w:ascii="宋体" w:hAnsi="宋体" w:cs="宋体"/>
                <w:spacing w:val="8"/>
              </w:rPr>
              <w:t>4330—19</w:t>
            </w:r>
            <w:r>
              <w:rPr>
                <w:rFonts w:hint="eastAsia" w:ascii="宋体" w:hAnsi="宋体" w:cs="宋体"/>
                <w:spacing w:val="8"/>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（14）《制冷和供热用机械制冷系统安全要求》GB9237—2001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hint="default" w:ascii="宋体" w:hAnsi="宋体" w:cs="宋体" w:eastAsiaTheme="minorEastAsia"/>
                <w:spacing w:val="8"/>
                <w:lang w:val="en-US" w:eastAsia="zh-CN"/>
              </w:rPr>
            </w:pPr>
            <w:r>
              <w:rPr>
                <w:rFonts w:hint="eastAsia" w:ascii="宋体" w:hAnsi="宋体" w:cs="宋体"/>
                <w:spacing w:val="8"/>
              </w:rPr>
              <w:t>（15）《钢制压力容器》GB150—</w:t>
            </w:r>
            <w:r>
              <w:rPr>
                <w:rFonts w:hint="eastAsia" w:ascii="宋体" w:hAnsi="宋体" w:cs="宋体"/>
                <w:spacing w:val="8"/>
                <w:lang w:val="en-US" w:eastAsia="zh-CN"/>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hint="default" w:ascii="宋体" w:hAnsi="宋体" w:cs="宋体" w:eastAsiaTheme="minorEastAsia"/>
                <w:spacing w:val="8"/>
                <w:lang w:val="en-US" w:eastAsia="zh-CN"/>
              </w:rPr>
            </w:pPr>
            <w:r>
              <w:rPr>
                <w:rFonts w:hint="eastAsia" w:ascii="宋体" w:hAnsi="宋体" w:cs="宋体"/>
                <w:spacing w:val="8"/>
              </w:rPr>
              <w:t>（16）《钢制管壳式换热器》GB/151-</w:t>
            </w:r>
            <w:r>
              <w:rPr>
                <w:rFonts w:hint="eastAsia" w:ascii="宋体" w:hAnsi="宋体" w:cs="宋体"/>
                <w:spacing w:val="8"/>
                <w:lang w:val="en-US" w:eastAsia="zh-C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9" w:type="dxa"/>
          </w:tcPr>
          <w:p>
            <w:pPr>
              <w:pStyle w:val="13"/>
              <w:spacing w:line="360" w:lineRule="auto"/>
              <w:ind w:left="452" w:hanging="528" w:hangingChars="200"/>
              <w:rPr>
                <w:rFonts w:ascii="宋体" w:hAnsi="宋体" w:cs="宋体"/>
                <w:spacing w:val="8"/>
              </w:rPr>
            </w:pPr>
            <w:r>
              <w:rPr>
                <w:rFonts w:hint="eastAsia" w:ascii="宋体" w:hAnsi="宋体" w:cs="宋体"/>
                <w:spacing w:val="8"/>
              </w:rPr>
              <w:t>（17）《制冷装置用压力容器》JB/T4750-2003</w:t>
            </w:r>
          </w:p>
        </w:tc>
      </w:tr>
    </w:tbl>
    <w:p>
      <w:pPr>
        <w:spacing w:line="360" w:lineRule="auto"/>
        <w:ind w:firstLine="496" w:firstLineChars="200"/>
        <w:rPr>
          <w:rFonts w:ascii="宋体" w:hAnsi="宋体" w:cs="宋体"/>
          <w:b/>
          <w:bCs/>
          <w:kern w:val="28"/>
          <w:szCs w:val="21"/>
        </w:rPr>
      </w:pPr>
    </w:p>
    <w:p>
      <w:pPr>
        <w:spacing w:line="360" w:lineRule="auto"/>
        <w:ind w:firstLine="496" w:firstLineChars="200"/>
        <w:rPr>
          <w:rFonts w:ascii="宋体" w:hAnsi="宋体" w:cs="宋体"/>
          <w:b/>
          <w:bCs/>
          <w:kern w:val="28"/>
          <w:szCs w:val="21"/>
        </w:rPr>
      </w:pPr>
      <w:r>
        <w:rPr>
          <w:rFonts w:hint="eastAsia" w:ascii="宋体" w:hAnsi="宋体" w:cs="宋体"/>
          <w:b/>
          <w:bCs/>
          <w:kern w:val="28"/>
          <w:szCs w:val="21"/>
        </w:rPr>
        <w:t xml:space="preserve"> 2、设备参数：</w:t>
      </w:r>
    </w:p>
    <w:tbl>
      <w:tblPr>
        <w:tblStyle w:val="35"/>
        <w:tblW w:w="81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73" w:type="dxa"/>
            <w:vAlign w:val="center"/>
          </w:tcPr>
          <w:p>
            <w:pPr>
              <w:spacing w:line="360" w:lineRule="auto"/>
              <w:jc w:val="center"/>
              <w:rPr>
                <w:rFonts w:ascii="宋体" w:hAnsi="宋体" w:cs="宋体"/>
                <w:b/>
                <w:bCs/>
                <w:szCs w:val="21"/>
              </w:rPr>
            </w:pPr>
            <w:r>
              <w:rPr>
                <w:rFonts w:hint="eastAsia" w:ascii="宋体" w:hAnsi="宋体" w:cs="宋体"/>
                <w:b/>
                <w:bCs/>
                <w:szCs w:val="21"/>
              </w:rPr>
              <w:t>设备名称</w:t>
            </w:r>
          </w:p>
        </w:tc>
        <w:tc>
          <w:tcPr>
            <w:tcW w:w="6199" w:type="dxa"/>
            <w:vAlign w:val="center"/>
          </w:tcPr>
          <w:p>
            <w:pPr>
              <w:spacing w:line="360" w:lineRule="auto"/>
              <w:jc w:val="center"/>
              <w:rPr>
                <w:rFonts w:ascii="宋体" w:hAnsi="宋体" w:cs="宋体"/>
                <w:b/>
                <w:bCs/>
                <w:szCs w:val="21"/>
              </w:rPr>
            </w:pPr>
            <w:r>
              <w:rPr>
                <w:rFonts w:hint="eastAsia" w:ascii="宋体" w:hAnsi="宋体" w:cs="宋体"/>
                <w:b/>
                <w:bCs/>
                <w:szCs w:val="21"/>
              </w:rPr>
              <w:t>定频螺杆式冷水机组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73" w:type="dxa"/>
            <w:vAlign w:val="center"/>
          </w:tcPr>
          <w:p>
            <w:pPr>
              <w:spacing w:line="360" w:lineRule="auto"/>
              <w:jc w:val="center"/>
              <w:rPr>
                <w:rFonts w:ascii="宋体" w:hAnsi="宋体" w:cs="宋体"/>
                <w:szCs w:val="21"/>
              </w:rPr>
            </w:pPr>
            <w:r>
              <w:rPr>
                <w:rFonts w:hint="eastAsia" w:ascii="宋体" w:hAnsi="宋体" w:cs="宋体"/>
                <w:szCs w:val="21"/>
              </w:rPr>
              <w:t>数量</w:t>
            </w:r>
          </w:p>
        </w:tc>
        <w:tc>
          <w:tcPr>
            <w:tcW w:w="6199" w:type="dxa"/>
            <w:vAlign w:val="center"/>
          </w:tcPr>
          <w:p>
            <w:pPr>
              <w:spacing w:line="360" w:lineRule="auto"/>
              <w:jc w:val="center"/>
              <w:rPr>
                <w:rFonts w:ascii="宋体" w:hAnsi="宋体" w:cs="宋体"/>
                <w:szCs w:val="21"/>
              </w:rPr>
            </w:pPr>
            <w:r>
              <w:rPr>
                <w:rFonts w:hint="eastAsia" w:ascii="宋体" w:hAnsi="宋体" w:cs="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1973" w:type="dxa"/>
            <w:vAlign w:val="center"/>
          </w:tcPr>
          <w:p>
            <w:pPr>
              <w:snapToGrid w:val="0"/>
              <w:spacing w:line="360" w:lineRule="auto"/>
              <w:rPr>
                <w:rFonts w:ascii="宋体" w:hAnsi="宋体" w:cs="宋体"/>
                <w:szCs w:val="21"/>
                <w:highlight w:val="none"/>
              </w:rPr>
            </w:pPr>
            <w:r>
              <w:rPr>
                <w:rFonts w:hint="eastAsia" w:ascii="宋体" w:hAnsi="宋体" w:cs="宋体"/>
                <w:b/>
                <w:bCs/>
                <w:szCs w:val="21"/>
                <w:highlight w:val="none"/>
              </w:rPr>
              <w:t>规格/型号</w:t>
            </w:r>
          </w:p>
        </w:tc>
        <w:tc>
          <w:tcPr>
            <w:tcW w:w="6199" w:type="dxa"/>
          </w:tcPr>
          <w:p>
            <w:pPr>
              <w:adjustRightInd w:val="0"/>
              <w:spacing w:line="360" w:lineRule="auto"/>
              <w:textAlignment w:val="baseline"/>
              <w:rPr>
                <w:highlight w:val="none"/>
              </w:rPr>
            </w:pPr>
            <w:r>
              <w:rPr>
                <w:rFonts w:hint="eastAsia"/>
                <w:highlight w:val="none"/>
              </w:rPr>
              <w:t>★制冷量&gt;610.0 KW,输入功率&lt;116KW COP≥5.3 KW</w:t>
            </w:r>
          </w:p>
          <w:p>
            <w:pPr>
              <w:adjustRightInd w:val="0"/>
              <w:spacing w:line="360" w:lineRule="auto"/>
              <w:textAlignment w:val="baseline"/>
              <w:rPr>
                <w:highlight w:val="none"/>
              </w:rPr>
            </w:pPr>
            <w:r>
              <w:rPr>
                <w:rFonts w:hint="eastAsia"/>
                <w:highlight w:val="none"/>
              </w:rPr>
              <w:t>★HFC-134a环保冷媒</w:t>
            </w:r>
          </w:p>
          <w:p>
            <w:pPr>
              <w:adjustRightInd w:val="0"/>
              <w:spacing w:line="360" w:lineRule="auto"/>
              <w:textAlignment w:val="baseline"/>
              <w:rPr>
                <w:highlight w:val="none"/>
              </w:rPr>
            </w:pPr>
            <w:r>
              <w:rPr>
                <w:rFonts w:hint="eastAsia"/>
                <w:highlight w:val="none"/>
              </w:rPr>
              <w:t>★冷冻水出/入口温度：</w:t>
            </w:r>
            <w:r>
              <w:rPr>
                <w:highlight w:val="none"/>
              </w:rPr>
              <w:t>12</w:t>
            </w:r>
            <w:r>
              <w:rPr>
                <w:rFonts w:hint="eastAsia"/>
                <w:highlight w:val="none"/>
              </w:rPr>
              <w:t>/</w:t>
            </w:r>
            <w:r>
              <w:rPr>
                <w:highlight w:val="none"/>
              </w:rPr>
              <w:t>7</w:t>
            </w:r>
            <w:r>
              <w:rPr>
                <w:rFonts w:hint="eastAsia"/>
                <w:highlight w:val="none"/>
              </w:rPr>
              <w:t>℃；</w:t>
            </w:r>
          </w:p>
          <w:p>
            <w:pPr>
              <w:adjustRightInd w:val="0"/>
              <w:spacing w:line="360" w:lineRule="auto"/>
              <w:textAlignment w:val="baseline"/>
              <w:rPr>
                <w:highlight w:val="none"/>
              </w:rPr>
            </w:pPr>
            <w:r>
              <w:rPr>
                <w:rFonts w:hint="eastAsia"/>
                <w:highlight w:val="none"/>
              </w:rPr>
              <w:t>★冷却水出/入口温度：3</w:t>
            </w:r>
            <w:r>
              <w:rPr>
                <w:highlight w:val="none"/>
              </w:rPr>
              <w:t>0</w:t>
            </w:r>
            <w:r>
              <w:rPr>
                <w:rFonts w:hint="eastAsia"/>
                <w:highlight w:val="none"/>
              </w:rPr>
              <w:t>/3</w:t>
            </w:r>
            <w:r>
              <w:rPr>
                <w:highlight w:val="none"/>
              </w:rPr>
              <w:t>5</w:t>
            </w:r>
            <w:r>
              <w:rPr>
                <w:rFonts w:hint="eastAsia"/>
                <w:highlight w:val="none"/>
              </w:rPr>
              <w:t>℃；</w:t>
            </w:r>
          </w:p>
          <w:p>
            <w:pPr>
              <w:adjustRightInd w:val="0"/>
              <w:spacing w:line="360" w:lineRule="auto"/>
              <w:textAlignment w:val="baseline"/>
              <w:rPr>
                <w:highlight w:val="none"/>
              </w:rPr>
            </w:pPr>
            <w:r>
              <w:rPr>
                <w:rFonts w:hint="eastAsia"/>
                <w:highlight w:val="none"/>
              </w:rPr>
              <w:t>★电源：三相380V/50Hz；</w:t>
            </w:r>
          </w:p>
          <w:p>
            <w:pPr>
              <w:adjustRightInd w:val="0"/>
              <w:spacing w:line="360" w:lineRule="auto"/>
              <w:textAlignment w:val="baseline"/>
              <w:rPr>
                <w:highlight w:val="none"/>
              </w:rPr>
            </w:pPr>
            <w:r>
              <w:rPr>
                <w:rFonts w:hint="eastAsia"/>
                <w:highlight w:val="none"/>
              </w:rPr>
              <w:t>★启动方式：星三角启动；</w:t>
            </w:r>
          </w:p>
          <w:p>
            <w:pPr>
              <w:pStyle w:val="3"/>
              <w:spacing w:line="360" w:lineRule="auto"/>
              <w:rPr>
                <w:highlight w:val="none"/>
              </w:rPr>
            </w:pPr>
            <w:r>
              <w:rPr>
                <w:rFonts w:hint="eastAsia"/>
                <w:highlight w:val="none"/>
              </w:rPr>
              <w:t>★压缩机类型：采用半封闭双螺杆压缩机；</w:t>
            </w:r>
          </w:p>
          <w:p>
            <w:pPr>
              <w:spacing w:line="360" w:lineRule="auto"/>
              <w:rPr>
                <w:highlight w:val="none"/>
              </w:rPr>
            </w:pPr>
            <w:r>
              <w:rPr>
                <w:rFonts w:hint="eastAsia"/>
                <w:highlight w:val="none"/>
              </w:rPr>
              <w:t>★机组尺寸必须满足目前项目现场的空间要求，机组宽度不大于1200mm，主机不能拆解运输，需整机运送至机房，同时必须要考虑后期运行维保所必要的检修空间；</w:t>
            </w:r>
          </w:p>
          <w:p>
            <w:pPr>
              <w:pStyle w:val="2"/>
              <w:rPr>
                <w:rFonts w:ascii="宋体" w:hAnsi="宋体" w:cs="宋体"/>
                <w:kern w:val="28"/>
                <w:szCs w:val="21"/>
                <w:highlight w:val="none"/>
              </w:rPr>
            </w:pPr>
            <w:r>
              <w:rPr>
                <w:rFonts w:hint="eastAsia" w:ascii="宋体" w:hAnsi="宋体" w:eastAsia="宋体" w:cs="宋体"/>
                <w:b w:val="0"/>
                <w:bCs w:val="0"/>
                <w:szCs w:val="21"/>
                <w:highlight w:val="none"/>
              </w:rPr>
              <w:t>★</w:t>
            </w:r>
            <w:r>
              <w:rPr>
                <w:rFonts w:hint="eastAsia" w:ascii="宋体" w:hAnsi="宋体" w:eastAsia="宋体" w:cs="宋体"/>
                <w:b w:val="0"/>
                <w:bCs w:val="0"/>
                <w:kern w:val="28"/>
                <w:szCs w:val="21"/>
                <w:highlight w:val="none"/>
              </w:rPr>
              <w:t>电机的绝缘等级为 F 级，防护等级为IP54</w:t>
            </w:r>
          </w:p>
          <w:p>
            <w:pPr>
              <w:spacing w:line="360" w:lineRule="auto"/>
              <w:rPr>
                <w:rFonts w:ascii="宋体" w:hAnsi="宋体" w:cs="宋体"/>
                <w:kern w:val="28"/>
                <w:szCs w:val="21"/>
                <w:highlight w:val="none"/>
              </w:rPr>
            </w:pPr>
            <w:r>
              <w:rPr>
                <w:rFonts w:hint="eastAsia" w:ascii="宋体" w:hAnsi="宋体" w:cs="宋体"/>
                <w:szCs w:val="21"/>
                <w:highlight w:val="none"/>
              </w:rPr>
              <w:t>★</w:t>
            </w:r>
            <w:r>
              <w:rPr>
                <w:rFonts w:hint="eastAsia" w:ascii="宋体" w:hAnsi="宋体" w:cs="宋体"/>
                <w:kern w:val="28"/>
                <w:szCs w:val="21"/>
                <w:highlight w:val="none"/>
              </w:rPr>
              <w:t>启动柜主要元器件如接触器、熔断器必须从：施耐德、</w:t>
            </w:r>
            <w:r>
              <w:rPr>
                <w:rFonts w:hint="eastAsia" w:ascii="宋体" w:hAnsi="宋体" w:cs="宋体"/>
                <w:color w:val="FF0000"/>
                <w:kern w:val="28"/>
                <w:szCs w:val="21"/>
                <w:highlight w:val="none"/>
              </w:rPr>
              <w:t xml:space="preserve"> </w:t>
            </w:r>
            <w:r>
              <w:rPr>
                <w:rFonts w:hint="eastAsia" w:ascii="宋体" w:hAnsi="宋体" w:cs="宋体"/>
                <w:kern w:val="28"/>
                <w:szCs w:val="21"/>
                <w:highlight w:val="none"/>
              </w:rPr>
              <w:t>SIEMENS、ABB 中选取。</w:t>
            </w:r>
          </w:p>
          <w:p>
            <w:pPr>
              <w:pStyle w:val="2"/>
              <w:rPr>
                <w:b w:val="0"/>
                <w:bCs w:val="0"/>
                <w:highlight w:val="none"/>
              </w:rPr>
            </w:pPr>
            <w:r>
              <w:rPr>
                <w:rFonts w:hint="eastAsia" w:ascii="宋体" w:hAnsi="宋体" w:cs="宋体"/>
                <w:szCs w:val="21"/>
                <w:highlight w:val="none"/>
              </w:rPr>
              <w:t>★</w:t>
            </w:r>
            <w:r>
              <w:rPr>
                <w:rFonts w:hint="eastAsia"/>
                <w:b w:val="0"/>
                <w:bCs w:val="0"/>
                <w:highlight w:val="none"/>
              </w:rPr>
              <w:t>启动柜防护等级为I</w:t>
            </w:r>
            <w:r>
              <w:rPr>
                <w:b w:val="0"/>
                <w:bCs w:val="0"/>
                <w:highlight w:val="none"/>
              </w:rPr>
              <w:t>P23</w:t>
            </w:r>
            <w:r>
              <w:rPr>
                <w:rFonts w:hint="eastAsia"/>
                <w:b w:val="0"/>
                <w:bCs w:val="0"/>
                <w:highlight w:val="none"/>
              </w:rPr>
              <w:t>，配置隔离开关。</w:t>
            </w:r>
          </w:p>
          <w:p>
            <w:pPr>
              <w:pStyle w:val="3"/>
              <w:rPr>
                <w:highlight w:val="none"/>
              </w:rPr>
            </w:pPr>
            <w:r>
              <w:rPr>
                <w:rFonts w:hint="eastAsia" w:ascii="宋体" w:hAnsi="宋体" w:cs="宋体"/>
                <w:szCs w:val="21"/>
                <w:highlight w:val="none"/>
              </w:rPr>
              <w:t>★</w:t>
            </w:r>
            <w:r>
              <w:rPr>
                <w:rFonts w:hint="eastAsia"/>
                <w:highlight w:val="none"/>
              </w:rPr>
              <w:t>机组冷媒工厂灌注后方能出厂，之后运输到甲方场地。</w:t>
            </w:r>
          </w:p>
          <w:p>
            <w:pPr>
              <w:rPr>
                <w:highlight w:val="none"/>
              </w:rPr>
            </w:pPr>
            <w:r>
              <w:rPr>
                <w:rFonts w:hint="eastAsia" w:ascii="宋体" w:hAnsi="宋体" w:cs="宋体"/>
                <w:szCs w:val="21"/>
                <w:highlight w:val="none"/>
              </w:rPr>
              <w:t>★</w:t>
            </w:r>
            <w:r>
              <w:rPr>
                <w:rFonts w:hint="eastAsia"/>
                <w:highlight w:val="none"/>
              </w:rPr>
              <w:t>节流机构配电子式膨胀阀</w:t>
            </w:r>
          </w:p>
          <w:p>
            <w:pPr>
              <w:pStyle w:val="2"/>
              <w:rPr>
                <w:highlight w:val="none"/>
              </w:rPr>
            </w:pPr>
            <w:r>
              <w:rPr>
                <w:rFonts w:hint="eastAsia" w:ascii="宋体" w:hAnsi="宋体" w:cs="宋体"/>
                <w:szCs w:val="21"/>
                <w:highlight w:val="none"/>
              </w:rPr>
              <w:t>★</w:t>
            </w:r>
            <w:r>
              <w:rPr>
                <w:rFonts w:hint="eastAsia" w:ascii="Times New Roman" w:hAnsi="Times New Roman" w:eastAsia="宋体" w:cs="Times New Roman"/>
                <w:b w:val="0"/>
                <w:bCs w:val="0"/>
                <w:highlight w:val="none"/>
              </w:rPr>
              <w:t>机组的控制柜须采用彩色触摸显示屏（微机控制器），确保维护运行人员操作简易、方便。</w:t>
            </w:r>
          </w:p>
          <w:p>
            <w:pPr>
              <w:adjustRightInd w:val="0"/>
              <w:spacing w:line="360" w:lineRule="auto"/>
              <w:textAlignment w:val="baseline"/>
              <w:rPr>
                <w:highlight w:val="none"/>
              </w:rPr>
            </w:pPr>
            <w:r>
              <w:rPr>
                <w:rFonts w:hint="eastAsia"/>
                <w:highlight w:val="none"/>
              </w:rPr>
              <w:t xml:space="preserve"> 采用原厂配电子流量开关（加分项）</w:t>
            </w:r>
          </w:p>
          <w:p>
            <w:pPr>
              <w:adjustRightInd w:val="0"/>
              <w:spacing w:line="360" w:lineRule="auto"/>
              <w:textAlignment w:val="baseline"/>
              <w:rPr>
                <w:highlight w:val="none"/>
              </w:rPr>
            </w:pPr>
            <w:r>
              <w:rPr>
                <w:rFonts w:hint="eastAsia"/>
                <w:highlight w:val="none"/>
              </w:rPr>
              <w:t>冷量调节范围：15-100％（加分项）；</w:t>
            </w:r>
          </w:p>
          <w:p>
            <w:pPr>
              <w:adjustRightInd w:val="0"/>
              <w:spacing w:line="360" w:lineRule="auto"/>
              <w:textAlignment w:val="baseline"/>
              <w:rPr>
                <w:highlight w:val="none"/>
              </w:rPr>
            </w:pPr>
            <w:r>
              <w:rPr>
                <w:rFonts w:hint="eastAsia"/>
                <w:highlight w:val="none"/>
              </w:rPr>
              <w:t>冷量调节方式：滑阀无级调节（加分项）；</w:t>
            </w:r>
          </w:p>
          <w:p>
            <w:pPr>
              <w:adjustRightInd w:val="0"/>
              <w:spacing w:line="360" w:lineRule="auto"/>
              <w:textAlignment w:val="baseline"/>
              <w:rPr>
                <w:highlight w:val="none"/>
              </w:rPr>
            </w:pPr>
            <w:r>
              <w:rPr>
                <w:rFonts w:hint="eastAsia"/>
                <w:highlight w:val="none"/>
              </w:rPr>
              <w:t>压缩机与主机同品牌附图证明（加分项）；</w:t>
            </w:r>
          </w:p>
          <w:p>
            <w:pPr>
              <w:adjustRightInd w:val="0"/>
              <w:spacing w:line="360" w:lineRule="auto"/>
              <w:textAlignment w:val="baseline"/>
              <w:rPr>
                <w:highlight w:val="none"/>
              </w:rPr>
            </w:pPr>
            <w:r>
              <w:rPr>
                <w:rFonts w:hint="eastAsia"/>
                <w:highlight w:val="none"/>
              </w:rPr>
              <w:t>机组不拆解进入机房（加分项）；</w:t>
            </w:r>
          </w:p>
        </w:tc>
      </w:tr>
    </w:tbl>
    <w:p>
      <w:pPr>
        <w:spacing w:line="360" w:lineRule="auto"/>
        <w:ind w:firstLine="496" w:firstLineChars="200"/>
        <w:rPr>
          <w:rFonts w:ascii="宋体" w:hAnsi="宋体" w:cs="宋体"/>
          <w:b/>
          <w:bCs/>
          <w:kern w:val="28"/>
          <w:szCs w:val="21"/>
          <w:highlight w:val="none"/>
        </w:rPr>
      </w:pPr>
      <w:r>
        <w:rPr>
          <w:rFonts w:hint="eastAsia" w:ascii="宋体" w:hAnsi="宋体" w:cs="宋体"/>
          <w:b/>
          <w:bCs/>
          <w:kern w:val="28"/>
          <w:szCs w:val="21"/>
          <w:highlight w:val="none"/>
        </w:rPr>
        <w:t>3、 其它技术要求</w:t>
      </w:r>
    </w:p>
    <w:p>
      <w:pPr>
        <w:spacing w:line="360" w:lineRule="auto"/>
        <w:ind w:firstLine="496" w:firstLineChars="200"/>
        <w:rPr>
          <w:rFonts w:ascii="宋体" w:hAnsi="宋体" w:cs="宋体"/>
          <w:kern w:val="28"/>
          <w:szCs w:val="21"/>
          <w:highlight w:val="none"/>
        </w:rPr>
      </w:pPr>
      <w:r>
        <w:rPr>
          <w:rFonts w:hint="eastAsia" w:ascii="宋体" w:hAnsi="宋体" w:cs="宋体"/>
          <w:kern w:val="28"/>
          <w:szCs w:val="21"/>
          <w:highlight w:val="none"/>
        </w:rPr>
        <w:t>3.1 冷水机组技术总体要求</w:t>
      </w:r>
    </w:p>
    <w:p>
      <w:pPr>
        <w:spacing w:line="360" w:lineRule="auto"/>
        <w:ind w:firstLine="496" w:firstLineChars="200"/>
        <w:rPr>
          <w:rFonts w:ascii="宋体" w:hAnsi="宋体" w:cs="宋体"/>
          <w:kern w:val="28"/>
          <w:szCs w:val="21"/>
          <w:highlight w:val="none"/>
        </w:rPr>
      </w:pPr>
      <w:r>
        <w:rPr>
          <w:rFonts w:hint="eastAsia" w:ascii="宋体" w:hAnsi="宋体" w:cs="宋体"/>
          <w:kern w:val="28"/>
          <w:szCs w:val="21"/>
          <w:highlight w:val="none"/>
        </w:rPr>
        <w:t>（1） 原厂随机配带：</w:t>
      </w:r>
      <w:r>
        <w:rPr>
          <w:rFonts w:hint="eastAsia"/>
          <w:highlight w:val="none"/>
          <w:lang w:eastAsia="zh-CN"/>
        </w:rPr>
        <w:t>启动控制柜</w:t>
      </w:r>
      <w:r>
        <w:rPr>
          <w:rFonts w:hint="eastAsia" w:ascii="宋体" w:hAnsi="宋体" w:cs="宋体"/>
          <w:kern w:val="28"/>
          <w:szCs w:val="21"/>
          <w:highlight w:val="none"/>
        </w:rPr>
        <w:t>等设备原厂随机配带。所有内部电缆出厂前连接完成，润滑油出厂前冲注，工厂冲注冷媒。</w:t>
      </w:r>
    </w:p>
    <w:p>
      <w:pPr>
        <w:spacing w:line="360" w:lineRule="auto"/>
        <w:ind w:firstLine="496" w:firstLineChars="200"/>
        <w:rPr>
          <w:rFonts w:ascii="宋体" w:hAnsi="宋体" w:cs="宋体"/>
          <w:kern w:val="28"/>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）投标设备的制造商必须通需过ISO9001认证、ISO14001认证、OHSAS18001认证，同时具有国家质量监督检验检总局(或地方质量技术监督局)颁发的压力容器设计及制造许可证，投标时应提供相应的认证。</w:t>
      </w:r>
    </w:p>
    <w:p>
      <w:pPr>
        <w:spacing w:line="360" w:lineRule="auto"/>
        <w:ind w:firstLine="496" w:firstLineChars="200"/>
        <w:rPr>
          <w:rFonts w:ascii="宋体" w:hAnsi="宋体" w:cs="宋体"/>
          <w:kern w:val="28"/>
          <w:szCs w:val="21"/>
          <w:highlight w:val="none"/>
        </w:rPr>
      </w:pPr>
      <w:r>
        <w:rPr>
          <w:rFonts w:hint="eastAsia" w:ascii="宋体" w:hAnsi="宋体" w:cs="宋体"/>
          <w:kern w:val="28"/>
          <w:szCs w:val="21"/>
          <w:highlight w:val="none"/>
        </w:rPr>
        <w:t>3.2 压缩机</w:t>
      </w:r>
    </w:p>
    <w:p>
      <w:pPr>
        <w:spacing w:line="360" w:lineRule="auto"/>
        <w:ind w:firstLine="496" w:firstLineChars="200"/>
        <w:rPr>
          <w:rFonts w:ascii="宋体" w:hAnsi="宋体" w:cs="宋体"/>
          <w:kern w:val="28"/>
          <w:szCs w:val="21"/>
          <w:highlight w:val="none"/>
        </w:rPr>
      </w:pPr>
      <w:r>
        <w:rPr>
          <w:rFonts w:hint="eastAsia" w:ascii="宋体" w:hAnsi="宋体" w:cs="宋体"/>
          <w:kern w:val="28"/>
          <w:szCs w:val="21"/>
          <w:highlight w:val="none"/>
        </w:rPr>
        <w:t>（1）压缩机类型：采用半封闭双螺杆压缩机；</w:t>
      </w:r>
    </w:p>
    <w:p>
      <w:pPr>
        <w:spacing w:line="360" w:lineRule="auto"/>
        <w:ind w:firstLine="496" w:firstLineChars="200"/>
        <w:rPr>
          <w:rFonts w:ascii="宋体" w:hAnsi="宋体" w:cs="宋体"/>
          <w:kern w:val="28"/>
          <w:szCs w:val="21"/>
          <w:highlight w:val="none"/>
        </w:rPr>
      </w:pPr>
      <w:r>
        <w:rPr>
          <w:rFonts w:hint="eastAsia" w:ascii="宋体" w:hAnsi="宋体" w:cs="宋体"/>
          <w:kern w:val="28"/>
          <w:szCs w:val="21"/>
          <w:highlight w:val="none"/>
        </w:rPr>
        <w:t>（</w:t>
      </w:r>
      <w:r>
        <w:rPr>
          <w:rFonts w:hint="eastAsia" w:ascii="宋体" w:hAnsi="宋体" w:cs="宋体"/>
          <w:kern w:val="28"/>
          <w:szCs w:val="21"/>
          <w:highlight w:val="none"/>
          <w:lang w:val="en-US" w:eastAsia="zh-CN"/>
        </w:rPr>
        <w:t>2</w:t>
      </w:r>
      <w:r>
        <w:rPr>
          <w:rFonts w:hint="eastAsia" w:ascii="宋体" w:hAnsi="宋体" w:cs="宋体"/>
          <w:kern w:val="28"/>
          <w:szCs w:val="21"/>
          <w:highlight w:val="none"/>
        </w:rPr>
        <w:t>）本次招标要求压缩机选用原装进口产品或合资生产的进口品牌产品</w:t>
      </w:r>
      <w:r>
        <w:rPr>
          <w:rFonts w:hint="eastAsia" w:ascii="宋体" w:hAnsi="宋体" w:cs="宋体"/>
          <w:kern w:val="28"/>
          <w:szCs w:val="21"/>
          <w:highlight w:val="none"/>
          <w:lang w:eastAsia="zh-CN"/>
        </w:rPr>
        <w:t>，</w:t>
      </w:r>
      <w:r>
        <w:rPr>
          <w:rFonts w:hint="eastAsia" w:ascii="宋体" w:hAnsi="宋体" w:cs="宋体"/>
          <w:kern w:val="28"/>
          <w:szCs w:val="21"/>
          <w:highlight w:val="none"/>
        </w:rPr>
        <w:t>应采用高性能压缩机，其制造和检验应符合相关行业标准（请投标方列明投标设备的行业标准）；</w:t>
      </w:r>
    </w:p>
    <w:p>
      <w:pPr>
        <w:spacing w:line="360" w:lineRule="auto"/>
        <w:ind w:firstLine="496" w:firstLineChars="200"/>
        <w:rPr>
          <w:rFonts w:ascii="宋体" w:hAnsi="宋体" w:cs="宋体"/>
          <w:kern w:val="28"/>
          <w:szCs w:val="21"/>
        </w:rPr>
      </w:pPr>
      <w:r>
        <w:rPr>
          <w:rFonts w:hint="eastAsia" w:ascii="宋体" w:hAnsi="宋体" w:cs="宋体"/>
          <w:kern w:val="28"/>
          <w:szCs w:val="21"/>
        </w:rPr>
        <w:t>（</w:t>
      </w:r>
      <w:r>
        <w:rPr>
          <w:rFonts w:hint="eastAsia" w:ascii="宋体" w:hAnsi="宋体" w:cs="宋体"/>
          <w:kern w:val="28"/>
          <w:szCs w:val="21"/>
          <w:lang w:val="en-US" w:eastAsia="zh-CN"/>
        </w:rPr>
        <w:t>3</w:t>
      </w:r>
      <w:r>
        <w:rPr>
          <w:rFonts w:hint="eastAsia" w:ascii="宋体" w:hAnsi="宋体" w:cs="宋体"/>
          <w:kern w:val="28"/>
          <w:szCs w:val="21"/>
        </w:rPr>
        <w:t>）压缩机使用的材料：简要说明压缩机主要部件（壳体、转子、轴承等）所选用的材料及产地；</w:t>
      </w:r>
    </w:p>
    <w:p>
      <w:pPr>
        <w:pStyle w:val="13"/>
        <w:spacing w:line="360" w:lineRule="auto"/>
        <w:ind w:firstLineChars="200"/>
        <w:rPr>
          <w:rFonts w:ascii="宋体" w:hAnsi="宋体" w:cs="宋体"/>
        </w:rPr>
      </w:pPr>
      <w:r>
        <w:rPr>
          <w:rFonts w:hint="eastAsia" w:ascii="宋体" w:hAnsi="宋体" w:cs="宋体"/>
          <w:kern w:val="28"/>
        </w:rPr>
        <w:t>（</w:t>
      </w:r>
      <w:r>
        <w:rPr>
          <w:rFonts w:hint="eastAsia" w:ascii="宋体" w:hAnsi="宋体" w:cs="宋体"/>
          <w:kern w:val="28"/>
          <w:lang w:val="en-US" w:eastAsia="zh-CN"/>
        </w:rPr>
        <w:t>4</w:t>
      </w:r>
      <w:r>
        <w:rPr>
          <w:rFonts w:hint="eastAsia" w:ascii="宋体" w:hAnsi="宋体" w:cs="宋体"/>
          <w:kern w:val="28"/>
        </w:rPr>
        <w:t>）</w:t>
      </w:r>
      <w:r>
        <w:rPr>
          <w:rFonts w:hint="eastAsia" w:ascii="宋体" w:hAnsi="宋体" w:cs="宋体"/>
        </w:rPr>
        <w:t>压缩机机座固定时，其振动值应符合国家现行标准及规范；</w:t>
      </w:r>
    </w:p>
    <w:p>
      <w:pPr>
        <w:pStyle w:val="13"/>
        <w:spacing w:line="360" w:lineRule="auto"/>
        <w:ind w:firstLineChars="200"/>
        <w:rPr>
          <w:rFonts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）压缩机安全阀应动作灵敏、可靠、不渗漏；</w:t>
      </w:r>
    </w:p>
    <w:p>
      <w:pPr>
        <w:pStyle w:val="13"/>
        <w:spacing w:line="360" w:lineRule="auto"/>
        <w:ind w:firstLineChars="200"/>
        <w:rPr>
          <w:rFonts w:ascii="宋体" w:hAnsi="宋体" w:cs="宋体"/>
          <w:b/>
        </w:rPr>
      </w:pPr>
      <w:r>
        <w:rPr>
          <w:rFonts w:hint="eastAsia" w:ascii="宋体" w:hAnsi="宋体" w:cs="宋体"/>
        </w:rPr>
        <w:t>（</w:t>
      </w:r>
      <w:r>
        <w:rPr>
          <w:rFonts w:hint="eastAsia" w:ascii="宋体" w:hAnsi="宋体" w:cs="宋体"/>
          <w:lang w:val="en-US" w:eastAsia="zh-CN"/>
        </w:rPr>
        <w:t>6</w:t>
      </w:r>
      <w:r>
        <w:rPr>
          <w:rFonts w:hint="eastAsia" w:ascii="宋体" w:hAnsi="宋体" w:cs="宋体"/>
        </w:rPr>
        <w:t>）压缩机应是密封的，不应渗漏润滑油和制冷剂，机组年制冷剂泄漏率应＜0.5％；</w:t>
      </w:r>
    </w:p>
    <w:p>
      <w:pPr>
        <w:pStyle w:val="13"/>
        <w:spacing w:line="360" w:lineRule="auto"/>
        <w:ind w:firstLineChars="200"/>
        <w:rPr>
          <w:rFonts w:ascii="宋体" w:hAnsi="宋体" w:cs="宋体"/>
        </w:rPr>
      </w:pPr>
      <w:r>
        <w:rPr>
          <w:rFonts w:hint="eastAsia" w:ascii="宋体" w:hAnsi="宋体" w:cs="宋体"/>
        </w:rPr>
        <w:t>（</w:t>
      </w:r>
      <w:r>
        <w:rPr>
          <w:rFonts w:hint="eastAsia" w:ascii="宋体" w:hAnsi="宋体" w:cs="宋体"/>
          <w:lang w:val="en-US" w:eastAsia="zh-CN"/>
        </w:rPr>
        <w:t>7</w:t>
      </w:r>
      <w:r>
        <w:rPr>
          <w:rFonts w:hint="eastAsia" w:ascii="宋体" w:hAnsi="宋体" w:cs="宋体"/>
        </w:rPr>
        <w:t>）压缩机接线柱对壳体的绝缘电阻应符合国家现行标准规范要求，在进行壳体对接线柱的绝缘介电强度试验时应无击穿和闪烁；</w:t>
      </w:r>
    </w:p>
    <w:p>
      <w:pPr>
        <w:spacing w:line="360" w:lineRule="auto"/>
        <w:ind w:firstLine="496" w:firstLineChars="200"/>
        <w:rPr>
          <w:rFonts w:ascii="宋体" w:hAnsi="宋体" w:cs="宋体"/>
          <w:kern w:val="28"/>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）压缩机润滑系统应系统完整，更换方便，控制灵活.</w:t>
      </w:r>
    </w:p>
    <w:p>
      <w:pPr>
        <w:spacing w:line="360" w:lineRule="auto"/>
        <w:ind w:firstLine="496" w:firstLineChars="200"/>
        <w:rPr>
          <w:rFonts w:ascii="宋体" w:hAnsi="宋体" w:cs="宋体"/>
          <w:kern w:val="28"/>
          <w:szCs w:val="21"/>
        </w:rPr>
      </w:pPr>
      <w:r>
        <w:rPr>
          <w:rFonts w:hint="eastAsia" w:ascii="宋体" w:hAnsi="宋体" w:cs="宋体"/>
          <w:kern w:val="28"/>
          <w:szCs w:val="21"/>
        </w:rPr>
        <w:t>3.3 电动机部分</w:t>
      </w:r>
    </w:p>
    <w:p>
      <w:pPr>
        <w:spacing w:line="360" w:lineRule="auto"/>
        <w:ind w:firstLine="496" w:firstLineChars="200"/>
        <w:rPr>
          <w:rFonts w:ascii="宋体" w:hAnsi="宋体" w:cs="宋体"/>
          <w:kern w:val="28"/>
          <w:szCs w:val="21"/>
        </w:rPr>
      </w:pPr>
      <w:r>
        <w:rPr>
          <w:rFonts w:hint="eastAsia" w:ascii="宋体" w:hAnsi="宋体" w:cs="宋体"/>
          <w:kern w:val="28"/>
          <w:szCs w:val="21"/>
        </w:rPr>
        <w:t>（1） 说明电机的结构形式、品牌及电机的冷却方式；</w:t>
      </w:r>
    </w:p>
    <w:p>
      <w:pPr>
        <w:spacing w:line="360" w:lineRule="auto"/>
        <w:ind w:firstLine="496" w:firstLineChars="200"/>
        <w:rPr>
          <w:rFonts w:ascii="宋体" w:hAnsi="宋体" w:cs="宋体"/>
          <w:kern w:val="28"/>
          <w:szCs w:val="21"/>
        </w:rPr>
      </w:pPr>
      <w:r>
        <w:rPr>
          <w:rFonts w:hint="eastAsia" w:ascii="宋体" w:hAnsi="宋体" w:cs="宋体"/>
          <w:kern w:val="28"/>
          <w:szCs w:val="21"/>
        </w:rPr>
        <w:t xml:space="preserve">（2） 需提供电机最大输入功率及电机功率，额定工况下，电机功率具有不小于10%的安全余量，防止机组烧毁； </w:t>
      </w:r>
    </w:p>
    <w:p>
      <w:pPr>
        <w:spacing w:line="360" w:lineRule="auto"/>
        <w:ind w:firstLine="496" w:firstLineChars="200"/>
        <w:rPr>
          <w:rFonts w:ascii="宋体" w:hAnsi="宋体" w:cs="宋体"/>
          <w:kern w:val="28"/>
          <w:szCs w:val="21"/>
        </w:rPr>
      </w:pPr>
      <w:r>
        <w:rPr>
          <w:rFonts w:hint="eastAsia" w:ascii="宋体" w:hAnsi="宋体" w:cs="宋体"/>
          <w:kern w:val="28"/>
          <w:szCs w:val="21"/>
        </w:rPr>
        <w:t xml:space="preserve">（3） 闭式电机应是气密的，不应渗漏制冷剂； </w:t>
      </w:r>
    </w:p>
    <w:p>
      <w:pPr>
        <w:spacing w:line="360" w:lineRule="auto"/>
        <w:ind w:firstLine="496" w:firstLineChars="200"/>
        <w:rPr>
          <w:rFonts w:ascii="宋体" w:hAnsi="宋体" w:cs="宋体"/>
          <w:kern w:val="28"/>
          <w:szCs w:val="21"/>
        </w:rPr>
      </w:pPr>
      <w:r>
        <w:rPr>
          <w:rFonts w:hint="eastAsia" w:ascii="宋体" w:hAnsi="宋体" w:cs="宋体"/>
          <w:kern w:val="28"/>
          <w:szCs w:val="21"/>
        </w:rPr>
        <w:t>（4） 需说明电机的润滑及润滑油冷却方式，确保机组运行的可靠性。</w:t>
      </w:r>
    </w:p>
    <w:p>
      <w:pPr>
        <w:spacing w:line="360" w:lineRule="auto"/>
        <w:ind w:firstLine="496" w:firstLineChars="200"/>
        <w:rPr>
          <w:rFonts w:ascii="宋体" w:hAnsi="宋体" w:cs="宋体"/>
          <w:kern w:val="28"/>
          <w:szCs w:val="21"/>
        </w:rPr>
      </w:pPr>
      <w:r>
        <w:rPr>
          <w:rFonts w:hint="eastAsia" w:ascii="宋体" w:hAnsi="宋体" w:cs="宋体"/>
          <w:kern w:val="28"/>
          <w:szCs w:val="21"/>
        </w:rPr>
        <w:t>（5） 工作电压：380V 在电压波动±10%的情况下，机组应能正常工作。</w:t>
      </w:r>
    </w:p>
    <w:p>
      <w:pPr>
        <w:spacing w:line="360" w:lineRule="auto"/>
        <w:ind w:firstLine="496" w:firstLineChars="200"/>
        <w:rPr>
          <w:rFonts w:ascii="宋体" w:hAnsi="宋体" w:cs="宋体"/>
          <w:kern w:val="28"/>
          <w:szCs w:val="21"/>
        </w:rPr>
      </w:pPr>
      <w:r>
        <w:rPr>
          <w:rFonts w:hint="eastAsia" w:ascii="宋体" w:hAnsi="宋体" w:cs="宋体"/>
          <w:kern w:val="28"/>
          <w:szCs w:val="21"/>
        </w:rPr>
        <w:t xml:space="preserve">（6） </w:t>
      </w:r>
      <w:bookmarkStart w:id="77" w:name="_Hlk82768919"/>
      <w:r>
        <w:rPr>
          <w:rFonts w:hint="eastAsia" w:ascii="宋体" w:hAnsi="宋体" w:cs="宋体"/>
          <w:kern w:val="28"/>
          <w:szCs w:val="21"/>
        </w:rPr>
        <w:t>电机的绝缘等级为 F 级</w:t>
      </w:r>
      <w:bookmarkEnd w:id="77"/>
      <w:r>
        <w:rPr>
          <w:rFonts w:hint="eastAsia" w:ascii="宋体" w:hAnsi="宋体" w:cs="宋体"/>
          <w:kern w:val="28"/>
          <w:szCs w:val="21"/>
        </w:rPr>
        <w:t>，防护等级为IP5</w:t>
      </w:r>
      <w:r>
        <w:rPr>
          <w:rFonts w:ascii="宋体" w:hAnsi="宋体" w:cs="宋体"/>
          <w:kern w:val="28"/>
          <w:szCs w:val="21"/>
        </w:rPr>
        <w:t>4</w:t>
      </w:r>
      <w:r>
        <w:rPr>
          <w:rFonts w:hint="eastAsia" w:ascii="宋体" w:hAnsi="宋体" w:cs="宋体"/>
          <w:kern w:val="28"/>
          <w:szCs w:val="21"/>
        </w:rPr>
        <w:t>。</w:t>
      </w:r>
    </w:p>
    <w:p>
      <w:pPr>
        <w:spacing w:line="360" w:lineRule="auto"/>
        <w:ind w:firstLine="496" w:firstLineChars="200"/>
        <w:rPr>
          <w:rFonts w:ascii="宋体" w:hAnsi="宋体" w:cs="宋体"/>
          <w:kern w:val="28"/>
          <w:szCs w:val="21"/>
        </w:rPr>
      </w:pPr>
      <w:r>
        <w:rPr>
          <w:rFonts w:hint="eastAsia" w:ascii="宋体" w:hAnsi="宋体" w:cs="宋体"/>
          <w:kern w:val="28"/>
          <w:szCs w:val="21"/>
        </w:rPr>
        <w:t>3.4 启动柜</w:t>
      </w:r>
    </w:p>
    <w:p>
      <w:pPr>
        <w:spacing w:line="360" w:lineRule="auto"/>
        <w:ind w:firstLine="496" w:firstLineChars="200"/>
        <w:rPr>
          <w:rFonts w:ascii="宋体" w:hAnsi="宋体" w:cs="宋体"/>
          <w:kern w:val="28"/>
          <w:szCs w:val="21"/>
        </w:rPr>
      </w:pPr>
      <w:r>
        <w:rPr>
          <w:rFonts w:hint="eastAsia" w:ascii="宋体" w:hAnsi="宋体" w:cs="宋体"/>
          <w:kern w:val="28"/>
          <w:szCs w:val="21"/>
        </w:rPr>
        <w:t>（1）柜门具有机械联锁功能，确保使用安全。</w:t>
      </w:r>
    </w:p>
    <w:p>
      <w:pPr>
        <w:spacing w:line="360" w:lineRule="auto"/>
        <w:ind w:firstLine="496" w:firstLineChars="200"/>
        <w:rPr>
          <w:rFonts w:ascii="宋体" w:hAnsi="宋体" w:cs="宋体"/>
          <w:kern w:val="28"/>
          <w:szCs w:val="21"/>
        </w:rPr>
      </w:pPr>
      <w:r>
        <w:rPr>
          <w:rFonts w:hint="eastAsia" w:ascii="宋体" w:hAnsi="宋体" w:cs="宋体"/>
          <w:kern w:val="28"/>
          <w:szCs w:val="21"/>
        </w:rPr>
        <w:t>（2）启动柜主要元器件如接触器、熔断器必须从：施耐德、</w:t>
      </w:r>
      <w:r>
        <w:rPr>
          <w:rFonts w:hint="eastAsia" w:ascii="宋体" w:hAnsi="宋体" w:cs="宋体"/>
          <w:color w:val="FF0000"/>
          <w:kern w:val="28"/>
          <w:szCs w:val="21"/>
        </w:rPr>
        <w:t xml:space="preserve"> </w:t>
      </w:r>
      <w:r>
        <w:rPr>
          <w:rFonts w:hint="eastAsia" w:ascii="宋体" w:hAnsi="宋体" w:cs="宋体"/>
          <w:kern w:val="28"/>
          <w:szCs w:val="21"/>
        </w:rPr>
        <w:t>SIEMENS、ABB 中选取。</w:t>
      </w:r>
    </w:p>
    <w:p>
      <w:pPr>
        <w:pStyle w:val="2"/>
        <w:rPr>
          <w:b w:val="0"/>
          <w:bCs w:val="0"/>
        </w:rPr>
      </w:pPr>
      <w:r>
        <w:rPr>
          <w:rFonts w:hint="eastAsia"/>
        </w:rPr>
        <w:t xml:space="preserve"> </w:t>
      </w:r>
      <w:r>
        <w:t xml:space="preserve">  </w:t>
      </w:r>
      <w:r>
        <w:rPr>
          <w:b w:val="0"/>
          <w:bCs w:val="0"/>
        </w:rPr>
        <w:t xml:space="preserve"> </w:t>
      </w:r>
      <w:r>
        <w:rPr>
          <w:rFonts w:hint="eastAsia"/>
          <w:b w:val="0"/>
          <w:bCs w:val="0"/>
        </w:rPr>
        <w:t>（3）启动柜防护等级为I</w:t>
      </w:r>
      <w:r>
        <w:rPr>
          <w:b w:val="0"/>
          <w:bCs w:val="0"/>
        </w:rPr>
        <w:t>P23</w:t>
      </w:r>
      <w:r>
        <w:rPr>
          <w:rFonts w:hint="eastAsia"/>
          <w:b w:val="0"/>
          <w:bCs w:val="0"/>
        </w:rPr>
        <w:t>，配置隔离开关。</w:t>
      </w:r>
    </w:p>
    <w:p>
      <w:pPr>
        <w:spacing w:line="360" w:lineRule="auto"/>
        <w:ind w:firstLine="496" w:firstLineChars="200"/>
        <w:rPr>
          <w:rFonts w:ascii="宋体" w:hAnsi="宋体" w:cs="宋体"/>
          <w:kern w:val="28"/>
          <w:szCs w:val="21"/>
        </w:rPr>
      </w:pPr>
      <w:r>
        <w:rPr>
          <w:rFonts w:hint="eastAsia" w:ascii="宋体" w:hAnsi="宋体" w:cs="宋体"/>
          <w:kern w:val="28"/>
          <w:szCs w:val="21"/>
        </w:rPr>
        <w:t>3.5 冷媒</w:t>
      </w:r>
    </w:p>
    <w:p>
      <w:pPr>
        <w:spacing w:line="360" w:lineRule="auto"/>
        <w:ind w:firstLine="496" w:firstLineChars="200"/>
        <w:rPr>
          <w:rFonts w:ascii="宋体" w:hAnsi="宋体" w:cs="宋体"/>
          <w:color w:val="FF0000"/>
          <w:kern w:val="28"/>
          <w:szCs w:val="21"/>
        </w:rPr>
      </w:pPr>
      <w:r>
        <w:rPr>
          <w:rFonts w:hint="eastAsia" w:ascii="宋体" w:hAnsi="宋体" w:cs="宋体"/>
          <w:kern w:val="28"/>
          <w:szCs w:val="21"/>
        </w:rPr>
        <w:t>（1）采用HFC134a环保冷媒。</w:t>
      </w:r>
    </w:p>
    <w:p>
      <w:pPr>
        <w:spacing w:line="360" w:lineRule="auto"/>
        <w:ind w:firstLine="496" w:firstLineChars="200"/>
        <w:rPr>
          <w:rFonts w:ascii="宋体" w:hAnsi="宋体" w:cs="宋体"/>
          <w:kern w:val="28"/>
          <w:szCs w:val="21"/>
        </w:rPr>
      </w:pPr>
      <w:r>
        <w:rPr>
          <w:rFonts w:hint="eastAsia" w:ascii="宋体" w:hAnsi="宋体" w:cs="宋体"/>
          <w:kern w:val="28"/>
          <w:szCs w:val="21"/>
        </w:rPr>
        <w:t>（2）机组要求在工厂充注冷媒。</w:t>
      </w:r>
    </w:p>
    <w:p>
      <w:pPr>
        <w:spacing w:line="360" w:lineRule="auto"/>
        <w:ind w:firstLine="496" w:firstLineChars="200"/>
        <w:rPr>
          <w:rFonts w:ascii="宋体" w:hAnsi="宋体" w:cs="宋体"/>
          <w:kern w:val="28"/>
          <w:szCs w:val="21"/>
        </w:rPr>
      </w:pPr>
      <w:r>
        <w:rPr>
          <w:rFonts w:hint="eastAsia" w:ascii="宋体" w:hAnsi="宋体" w:cs="宋体"/>
          <w:kern w:val="28"/>
          <w:szCs w:val="21"/>
        </w:rPr>
        <w:t>3.6 蒸发器、冷凝器</w:t>
      </w:r>
    </w:p>
    <w:p>
      <w:pPr>
        <w:spacing w:line="360" w:lineRule="auto"/>
        <w:ind w:firstLine="496" w:firstLineChars="200"/>
        <w:rPr>
          <w:rFonts w:ascii="宋体" w:hAnsi="宋体" w:cs="宋体"/>
          <w:kern w:val="28"/>
          <w:szCs w:val="21"/>
        </w:rPr>
      </w:pPr>
      <w:r>
        <w:rPr>
          <w:rFonts w:hint="eastAsia" w:ascii="宋体" w:hAnsi="宋体" w:cs="宋体"/>
          <w:kern w:val="28"/>
          <w:szCs w:val="21"/>
        </w:rPr>
        <w:t>（1）蒸发器和冷凝器必须符合压力容器相应规范并获得压力容器、设计和制造许可证。</w:t>
      </w:r>
    </w:p>
    <w:p>
      <w:pPr>
        <w:spacing w:line="360" w:lineRule="auto"/>
        <w:ind w:firstLine="496" w:firstLineChars="200"/>
        <w:rPr>
          <w:rFonts w:ascii="宋体" w:hAnsi="宋体" w:cs="宋体"/>
          <w:kern w:val="28"/>
          <w:szCs w:val="21"/>
        </w:rPr>
      </w:pPr>
      <w:r>
        <w:rPr>
          <w:rFonts w:hint="eastAsia" w:ascii="宋体" w:hAnsi="宋体" w:cs="宋体"/>
          <w:kern w:val="28"/>
          <w:szCs w:val="21"/>
        </w:rPr>
        <w:t>（2）说明蒸发器、冷凝器结构形式、进出口方位（可根据用户要求更改）。蒸发器、冷凝器应为壳管式（铜管钢壳），传热管为高效传热管，以扩大传热面积，提高传热效率，传热管可以单根更换，不影响管板的强度和寿命，并不造成相邻管的泄漏，提供铜管厚度参数。</w:t>
      </w:r>
    </w:p>
    <w:p>
      <w:pPr>
        <w:spacing w:line="360" w:lineRule="auto"/>
        <w:ind w:firstLine="496" w:firstLineChars="200"/>
        <w:rPr>
          <w:rFonts w:ascii="宋体" w:hAnsi="宋体" w:cs="宋体"/>
          <w:kern w:val="28"/>
          <w:szCs w:val="21"/>
        </w:rPr>
      </w:pPr>
      <w:r>
        <w:rPr>
          <w:rFonts w:hint="eastAsia" w:ascii="宋体" w:hAnsi="宋体" w:cs="宋体"/>
          <w:kern w:val="28"/>
          <w:szCs w:val="21"/>
        </w:rPr>
        <w:t>（3）蒸发器、冷凝器应有特殊的措施避免高压冷媒喷雾及压缩机排放的高速体直接冲击管束，以利于延长管束寿命，降低噪声，需在投标文件中说明。</w:t>
      </w:r>
    </w:p>
    <w:p>
      <w:pPr>
        <w:spacing w:line="360" w:lineRule="auto"/>
        <w:ind w:firstLine="496" w:firstLineChars="200"/>
        <w:rPr>
          <w:rFonts w:ascii="宋体" w:hAnsi="宋体" w:cs="宋体"/>
          <w:kern w:val="28"/>
          <w:szCs w:val="21"/>
        </w:rPr>
      </w:pPr>
      <w:r>
        <w:rPr>
          <w:rFonts w:hint="eastAsia" w:ascii="宋体" w:hAnsi="宋体" w:cs="宋体"/>
          <w:kern w:val="28"/>
          <w:szCs w:val="21"/>
        </w:rPr>
        <w:t>（</w:t>
      </w:r>
      <w:r>
        <w:rPr>
          <w:rFonts w:hint="eastAsia" w:ascii="宋体" w:hAnsi="宋体" w:cs="宋体"/>
          <w:kern w:val="28"/>
          <w:szCs w:val="21"/>
          <w:lang w:val="en-US" w:eastAsia="zh-CN"/>
        </w:rPr>
        <w:t>4</w:t>
      </w:r>
      <w:r>
        <w:rPr>
          <w:rFonts w:hint="eastAsia" w:ascii="宋体" w:hAnsi="宋体" w:cs="宋体"/>
          <w:kern w:val="28"/>
          <w:szCs w:val="21"/>
        </w:rPr>
        <w:t>）蒸发器端板必须具有保温措施，以防结露，所有冷表面均要覆盖优质保温层。</w:t>
      </w:r>
    </w:p>
    <w:p>
      <w:pPr>
        <w:spacing w:line="360" w:lineRule="auto"/>
        <w:ind w:firstLine="496" w:firstLineChars="200"/>
        <w:rPr>
          <w:rFonts w:ascii="宋体" w:hAnsi="宋体" w:cs="宋体"/>
          <w:kern w:val="28"/>
          <w:szCs w:val="21"/>
        </w:rPr>
      </w:pPr>
      <w:r>
        <w:rPr>
          <w:rFonts w:hint="eastAsia" w:ascii="宋体" w:hAnsi="宋体" w:cs="宋体"/>
          <w:kern w:val="28"/>
          <w:szCs w:val="21"/>
        </w:rPr>
        <w:t>（</w:t>
      </w:r>
      <w:r>
        <w:rPr>
          <w:rFonts w:hint="eastAsia" w:ascii="宋体" w:hAnsi="宋体" w:cs="宋体"/>
          <w:kern w:val="28"/>
          <w:szCs w:val="21"/>
          <w:lang w:val="en-US" w:eastAsia="zh-CN"/>
        </w:rPr>
        <w:t>5</w:t>
      </w:r>
      <w:r>
        <w:rPr>
          <w:rFonts w:hint="eastAsia" w:ascii="宋体" w:hAnsi="宋体" w:cs="宋体"/>
          <w:kern w:val="28"/>
          <w:szCs w:val="21"/>
        </w:rPr>
        <w:t>）提供机组可正常工作下的冷却水温度运行范围。</w:t>
      </w:r>
    </w:p>
    <w:p>
      <w:pPr>
        <w:pStyle w:val="2"/>
        <w:ind w:firstLine="496" w:firstLineChars="200"/>
        <w:rPr>
          <w:b w:val="0"/>
          <w:bCs w:val="0"/>
        </w:rPr>
      </w:pPr>
      <w:r>
        <w:rPr>
          <w:rFonts w:hint="eastAsia"/>
          <w:b w:val="0"/>
          <w:bCs w:val="0"/>
        </w:rPr>
        <w:t>（</w:t>
      </w:r>
      <w:r>
        <w:rPr>
          <w:rFonts w:hint="eastAsia"/>
          <w:b w:val="0"/>
          <w:bCs w:val="0"/>
          <w:lang w:val="en-US" w:eastAsia="zh-CN"/>
        </w:rPr>
        <w:t>6</w:t>
      </w:r>
      <w:r>
        <w:rPr>
          <w:rFonts w:hint="eastAsia"/>
          <w:b w:val="0"/>
          <w:bCs w:val="0"/>
        </w:rPr>
        <w:t>）冷水机组必须采用电子流量开关，以便确保机组安全可靠运行。</w:t>
      </w:r>
    </w:p>
    <w:p>
      <w:pPr>
        <w:spacing w:line="360" w:lineRule="auto"/>
        <w:ind w:firstLine="496" w:firstLineChars="200"/>
        <w:rPr>
          <w:rFonts w:ascii="宋体" w:hAnsi="宋体" w:cs="宋体"/>
          <w:kern w:val="28"/>
          <w:szCs w:val="21"/>
        </w:rPr>
      </w:pPr>
      <w:r>
        <w:rPr>
          <w:rFonts w:hint="eastAsia" w:ascii="宋体" w:hAnsi="宋体" w:cs="宋体"/>
          <w:kern w:val="28"/>
          <w:szCs w:val="21"/>
        </w:rPr>
        <w:t>3.7 机组的控制系统（控制中心）要求：</w:t>
      </w:r>
    </w:p>
    <w:p>
      <w:pPr>
        <w:spacing w:line="360" w:lineRule="auto"/>
        <w:ind w:firstLine="496" w:firstLineChars="200"/>
        <w:rPr>
          <w:rFonts w:ascii="宋体" w:hAnsi="宋体" w:cs="宋体"/>
          <w:kern w:val="28"/>
          <w:szCs w:val="21"/>
        </w:rPr>
      </w:pPr>
      <w:r>
        <w:rPr>
          <w:rFonts w:hint="eastAsia" w:ascii="宋体" w:hAnsi="宋体" w:cs="宋体"/>
          <w:kern w:val="28"/>
          <w:szCs w:val="21"/>
        </w:rPr>
        <w:t>机组的所有控制器件都应装有一个在多块可拆卸的箱板组成的柜子内，所有控制器件（包括传感器）在装运前都应在厂内装好并经过测试。投标人提供微机控制器应可以实现下述各项功能:</w:t>
      </w:r>
    </w:p>
    <w:p>
      <w:pPr>
        <w:spacing w:line="360" w:lineRule="auto"/>
        <w:ind w:firstLine="248"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（1）机组应具有空调智能化控制系统开放通信接口并免费提供开放的通信协议;</w:t>
      </w:r>
    </w:p>
    <w:p>
      <w:pPr>
        <w:adjustRightInd w:val="0"/>
        <w:snapToGrid w:val="0"/>
        <w:spacing w:line="360" w:lineRule="auto"/>
        <w:ind w:firstLine="248"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（2）具有支持工业以太网网络接口或通讯协议或RS485网络接口及Modebus RTU通讯协议；</w:t>
      </w:r>
    </w:p>
    <w:p>
      <w:pPr>
        <w:spacing w:line="360" w:lineRule="auto"/>
        <w:ind w:firstLine="248" w:firstLineChars="100"/>
        <w:rPr>
          <w:rFonts w:ascii="宋体" w:hAnsi="宋体" w:cs="宋体"/>
          <w:kern w:val="28"/>
          <w:szCs w:val="21"/>
        </w:rPr>
      </w:pPr>
      <w:r>
        <w:rPr>
          <w:rFonts w:hint="eastAsia" w:ascii="宋体" w:hAnsi="宋体" w:cs="宋体"/>
          <w:color w:val="000000" w:themeColor="text1"/>
          <w:szCs w:val="21"/>
          <w14:textFill>
            <w14:solidFill>
              <w14:schemeClr w14:val="tx1"/>
            </w14:solidFill>
          </w14:textFill>
        </w:rPr>
        <w:t>（3）制冷机组通过通讯模块，</w:t>
      </w:r>
      <w:r>
        <w:rPr>
          <w:rFonts w:hint="eastAsia" w:ascii="宋体" w:hAnsi="宋体" w:cs="宋体"/>
          <w:szCs w:val="21"/>
        </w:rPr>
        <w:t>实现空调制冷系统对机组运行数据及状态的监测，并根据实际需要，将机组启停，运行状态，运行参数，机组报警等数据接入制冷站自控系统，实现电制冷机组本地/远程启停、控制及监控；制冷机组自动控制系统并入能源管理系统网络，实现2台制冷机组的远控、联控功能；提供设备通讯模</w:t>
      </w:r>
      <w:r>
        <w:rPr>
          <w:rFonts w:hint="eastAsia" w:ascii="宋体" w:hAnsi="宋体" w:cs="宋体"/>
          <w:color w:val="000000" w:themeColor="text1"/>
          <w:szCs w:val="21"/>
          <w14:textFill>
            <w14:solidFill>
              <w14:schemeClr w14:val="tx1"/>
            </w14:solidFill>
          </w14:textFill>
        </w:rPr>
        <w:t>块或接口硬件，并确定点位对接能源管理系统，能够传输机组的运行数据及日志。提供机组各类参数的操作权限及各级别密码；</w:t>
      </w:r>
    </w:p>
    <w:p>
      <w:pPr>
        <w:spacing w:line="360" w:lineRule="auto"/>
        <w:ind w:firstLine="496" w:firstLineChars="200"/>
        <w:rPr>
          <w:rFonts w:ascii="宋体" w:hAnsi="宋体" w:cs="宋体"/>
          <w:kern w:val="28"/>
          <w:szCs w:val="21"/>
        </w:rPr>
      </w:pPr>
      <w:r>
        <w:rPr>
          <w:rFonts w:hint="eastAsia" w:ascii="宋体" w:hAnsi="宋体" w:cs="宋体"/>
          <w:kern w:val="28"/>
          <w:szCs w:val="21"/>
        </w:rPr>
        <w:t>（4）机组的运行过程由微机控制，应具有自动和定时开闭功能，并根据负载变化而自动控制机组的运行。同时自动记录机组的运行状况。</w:t>
      </w:r>
    </w:p>
    <w:p>
      <w:pPr>
        <w:spacing w:line="360" w:lineRule="auto"/>
        <w:ind w:firstLine="496" w:firstLineChars="200"/>
        <w:rPr>
          <w:rFonts w:ascii="宋体" w:hAnsi="宋体" w:cs="宋体"/>
          <w:kern w:val="28"/>
          <w:szCs w:val="21"/>
        </w:rPr>
      </w:pPr>
      <w:r>
        <w:rPr>
          <w:rFonts w:hint="eastAsia" w:ascii="宋体" w:hAnsi="宋体" w:cs="宋体"/>
          <w:kern w:val="28"/>
          <w:szCs w:val="21"/>
        </w:rPr>
        <w:t>（5）</w:t>
      </w:r>
      <w:bookmarkStart w:id="78" w:name="_Hlk82772875"/>
      <w:r>
        <w:rPr>
          <w:rFonts w:hint="eastAsia" w:ascii="宋体" w:hAnsi="宋体" w:cs="宋体"/>
          <w:kern w:val="28"/>
          <w:szCs w:val="21"/>
        </w:rPr>
        <w:t>机组应能实现与系统内其他设备如冷水泵、冷却水泵、冷却塔等的联动控制。</w:t>
      </w:r>
    </w:p>
    <w:bookmarkEnd w:id="78"/>
    <w:p>
      <w:pPr>
        <w:spacing w:line="360" w:lineRule="auto"/>
        <w:ind w:firstLine="496" w:firstLineChars="200"/>
        <w:rPr>
          <w:rFonts w:ascii="宋体" w:hAnsi="宋体" w:cs="宋体"/>
          <w:kern w:val="28"/>
          <w:szCs w:val="21"/>
        </w:rPr>
      </w:pPr>
      <w:r>
        <w:rPr>
          <w:rFonts w:hint="eastAsia" w:ascii="宋体" w:hAnsi="宋体" w:cs="宋体"/>
          <w:kern w:val="28"/>
          <w:szCs w:val="21"/>
        </w:rPr>
        <w:t>（6）系统应有完整的故障自动保护、报警和自动诊断功能，并能自动记录、储存并显示/打印全部的故障与报警信息。所有信息应简明、准确。</w:t>
      </w:r>
    </w:p>
    <w:p>
      <w:pPr>
        <w:spacing w:line="360" w:lineRule="auto"/>
        <w:ind w:firstLine="496" w:firstLineChars="200"/>
        <w:rPr>
          <w:rFonts w:ascii="宋体" w:hAnsi="宋体" w:cs="宋体"/>
          <w:kern w:val="28"/>
          <w:szCs w:val="21"/>
        </w:rPr>
      </w:pPr>
      <w:r>
        <w:rPr>
          <w:rFonts w:hint="eastAsia" w:ascii="宋体" w:hAnsi="宋体" w:cs="宋体"/>
          <w:kern w:val="28"/>
          <w:szCs w:val="21"/>
        </w:rPr>
        <w:t>（7）控制屏应能显示各种运行状态，并至少精确显示以下运行参数：</w:t>
      </w:r>
    </w:p>
    <w:p>
      <w:pPr>
        <w:spacing w:line="360" w:lineRule="auto"/>
        <w:ind w:firstLine="496" w:firstLineChars="200"/>
        <w:rPr>
          <w:rFonts w:ascii="宋体" w:hAnsi="宋体" w:cs="宋体"/>
          <w:kern w:val="28"/>
          <w:szCs w:val="21"/>
        </w:rPr>
      </w:pPr>
      <w:r>
        <w:rPr>
          <w:rFonts w:hint="eastAsia" w:ascii="宋体" w:hAnsi="宋体" w:cs="宋体"/>
          <w:kern w:val="28"/>
          <w:szCs w:val="21"/>
        </w:rPr>
        <w:t>（8）冷冻水进出水温度</w:t>
      </w:r>
    </w:p>
    <w:p>
      <w:pPr>
        <w:spacing w:line="360" w:lineRule="auto"/>
        <w:ind w:firstLine="496" w:firstLineChars="200"/>
        <w:rPr>
          <w:rFonts w:ascii="宋体" w:hAnsi="宋体" w:cs="宋体"/>
          <w:kern w:val="28"/>
          <w:szCs w:val="21"/>
        </w:rPr>
      </w:pPr>
      <w:r>
        <w:rPr>
          <w:rFonts w:hint="eastAsia" w:ascii="宋体" w:hAnsi="宋体" w:cs="宋体"/>
          <w:kern w:val="28"/>
          <w:szCs w:val="21"/>
        </w:rPr>
        <w:t>（9）冷却水进出水温度</w:t>
      </w:r>
    </w:p>
    <w:p>
      <w:pPr>
        <w:spacing w:line="360" w:lineRule="auto"/>
        <w:ind w:firstLine="496" w:firstLineChars="200"/>
        <w:rPr>
          <w:rFonts w:ascii="宋体" w:hAnsi="宋体" w:cs="宋体"/>
          <w:kern w:val="28"/>
          <w:szCs w:val="21"/>
        </w:rPr>
      </w:pPr>
      <w:r>
        <w:rPr>
          <w:rFonts w:hint="eastAsia" w:ascii="宋体" w:hAnsi="宋体" w:cs="宋体"/>
          <w:kern w:val="28"/>
          <w:szCs w:val="21"/>
        </w:rPr>
        <w:t>（10）蒸发器和冷凝器制冷剂饱和温度和压力</w:t>
      </w:r>
    </w:p>
    <w:p>
      <w:pPr>
        <w:spacing w:line="360" w:lineRule="auto"/>
        <w:ind w:firstLine="496" w:firstLineChars="200"/>
        <w:rPr>
          <w:rFonts w:ascii="宋体" w:hAnsi="宋体" w:cs="宋体"/>
          <w:kern w:val="28"/>
          <w:szCs w:val="21"/>
        </w:rPr>
      </w:pPr>
      <w:r>
        <w:rPr>
          <w:rFonts w:hint="eastAsia" w:ascii="宋体" w:hAnsi="宋体" w:cs="宋体"/>
          <w:kern w:val="28"/>
          <w:szCs w:val="21"/>
        </w:rPr>
        <w:t>（11）油温和供油压力</w:t>
      </w:r>
    </w:p>
    <w:p>
      <w:pPr>
        <w:spacing w:line="360" w:lineRule="auto"/>
        <w:ind w:firstLine="496" w:firstLineChars="200"/>
        <w:rPr>
          <w:rFonts w:ascii="宋体" w:hAnsi="宋体" w:cs="宋体"/>
          <w:kern w:val="28"/>
          <w:szCs w:val="21"/>
        </w:rPr>
      </w:pPr>
      <w:r>
        <w:rPr>
          <w:rFonts w:hint="eastAsia" w:ascii="宋体" w:hAnsi="宋体" w:cs="宋体"/>
          <w:kern w:val="28"/>
          <w:szCs w:val="21"/>
        </w:rPr>
        <w:t>（12）电机绕组温度</w:t>
      </w:r>
    </w:p>
    <w:p>
      <w:pPr>
        <w:spacing w:line="360" w:lineRule="auto"/>
        <w:ind w:firstLine="496" w:firstLineChars="200"/>
        <w:rPr>
          <w:rFonts w:ascii="宋体" w:hAnsi="宋体" w:cs="宋体"/>
          <w:kern w:val="28"/>
          <w:szCs w:val="21"/>
        </w:rPr>
      </w:pPr>
      <w:r>
        <w:rPr>
          <w:rFonts w:hint="eastAsia" w:ascii="宋体" w:hAnsi="宋体" w:cs="宋体"/>
          <w:kern w:val="28"/>
          <w:szCs w:val="21"/>
        </w:rPr>
        <w:t>（13）电机额定负载电流</w:t>
      </w:r>
    </w:p>
    <w:p>
      <w:pPr>
        <w:spacing w:line="360" w:lineRule="auto"/>
        <w:ind w:firstLine="496" w:firstLineChars="200"/>
        <w:rPr>
          <w:rFonts w:ascii="宋体" w:hAnsi="宋体" w:cs="宋体"/>
          <w:kern w:val="28"/>
          <w:szCs w:val="21"/>
        </w:rPr>
      </w:pPr>
      <w:r>
        <w:rPr>
          <w:rFonts w:hint="eastAsia" w:ascii="宋体" w:hAnsi="宋体" w:cs="宋体"/>
          <w:kern w:val="28"/>
          <w:szCs w:val="21"/>
        </w:rPr>
        <w:t>（14） 机组的安全保护项目至少应包括以下内容，其工作应稳定、可靠：</w:t>
      </w:r>
    </w:p>
    <w:p>
      <w:pPr>
        <w:spacing w:line="360" w:lineRule="auto"/>
        <w:ind w:firstLine="496" w:firstLineChars="200"/>
        <w:rPr>
          <w:rFonts w:ascii="宋体" w:hAnsi="宋体" w:cs="宋体"/>
          <w:kern w:val="28"/>
          <w:szCs w:val="21"/>
        </w:rPr>
      </w:pPr>
      <w:r>
        <w:rPr>
          <w:rFonts w:hint="eastAsia" w:ascii="宋体" w:hAnsi="宋体" w:cs="宋体"/>
          <w:kern w:val="28"/>
          <w:szCs w:val="21"/>
        </w:rPr>
        <w:t>蒸发压力（温度）过低保护/冷水温度过低保护；</w:t>
      </w:r>
    </w:p>
    <w:p>
      <w:pPr>
        <w:spacing w:line="360" w:lineRule="auto"/>
        <w:ind w:firstLine="496" w:firstLineChars="200"/>
        <w:rPr>
          <w:rFonts w:ascii="宋体" w:hAnsi="宋体" w:cs="宋体"/>
          <w:kern w:val="28"/>
          <w:szCs w:val="21"/>
        </w:rPr>
      </w:pPr>
      <w:r>
        <w:rPr>
          <w:rFonts w:hint="eastAsia" w:ascii="宋体" w:hAnsi="宋体" w:cs="宋体"/>
          <w:kern w:val="28"/>
          <w:szCs w:val="21"/>
        </w:rPr>
        <w:t>冷凝压力过高保护；</w:t>
      </w:r>
    </w:p>
    <w:p>
      <w:pPr>
        <w:spacing w:line="360" w:lineRule="auto"/>
        <w:ind w:firstLine="496" w:firstLineChars="200"/>
        <w:rPr>
          <w:rFonts w:ascii="宋体" w:hAnsi="宋体" w:cs="宋体"/>
          <w:kern w:val="28"/>
          <w:szCs w:val="21"/>
        </w:rPr>
      </w:pPr>
      <w:r>
        <w:rPr>
          <w:rFonts w:hint="eastAsia" w:ascii="宋体" w:hAnsi="宋体" w:cs="宋体"/>
          <w:kern w:val="28"/>
          <w:szCs w:val="21"/>
        </w:rPr>
        <w:t>冷却水温度过低、过高保护；</w:t>
      </w:r>
    </w:p>
    <w:p>
      <w:pPr>
        <w:spacing w:line="360" w:lineRule="auto"/>
        <w:ind w:firstLine="496" w:firstLineChars="200"/>
        <w:rPr>
          <w:rFonts w:ascii="宋体" w:hAnsi="宋体" w:cs="宋体"/>
          <w:kern w:val="28"/>
          <w:szCs w:val="21"/>
        </w:rPr>
      </w:pPr>
      <w:r>
        <w:rPr>
          <w:rFonts w:hint="eastAsia" w:ascii="宋体" w:hAnsi="宋体" w:cs="宋体"/>
          <w:kern w:val="28"/>
          <w:szCs w:val="21"/>
        </w:rPr>
        <w:t>冷水、冷却水流量不足/意外停止保护；</w:t>
      </w:r>
    </w:p>
    <w:p>
      <w:pPr>
        <w:spacing w:line="360" w:lineRule="auto"/>
        <w:ind w:firstLine="496" w:firstLineChars="200"/>
        <w:rPr>
          <w:rFonts w:ascii="宋体" w:hAnsi="宋体" w:cs="宋体"/>
          <w:kern w:val="28"/>
          <w:szCs w:val="21"/>
        </w:rPr>
      </w:pPr>
      <w:r>
        <w:rPr>
          <w:rFonts w:hint="eastAsia" w:ascii="宋体" w:hAnsi="宋体" w:cs="宋体"/>
          <w:kern w:val="28"/>
          <w:szCs w:val="21"/>
        </w:rPr>
        <w:t>轴承（油）温度过高保护；</w:t>
      </w:r>
    </w:p>
    <w:p>
      <w:pPr>
        <w:spacing w:line="360" w:lineRule="auto"/>
        <w:ind w:firstLine="496" w:firstLineChars="200"/>
        <w:rPr>
          <w:rFonts w:ascii="宋体" w:hAnsi="宋体" w:cs="宋体"/>
          <w:kern w:val="28"/>
          <w:szCs w:val="21"/>
        </w:rPr>
      </w:pPr>
      <w:r>
        <w:rPr>
          <w:rFonts w:hint="eastAsia" w:ascii="宋体" w:hAnsi="宋体" w:cs="宋体"/>
          <w:kern w:val="28"/>
          <w:szCs w:val="21"/>
        </w:rPr>
        <w:t>油压差过低保护；</w:t>
      </w:r>
    </w:p>
    <w:p>
      <w:pPr>
        <w:spacing w:line="360" w:lineRule="auto"/>
        <w:ind w:firstLine="496" w:firstLineChars="200"/>
        <w:rPr>
          <w:rFonts w:ascii="宋体" w:hAnsi="宋体" w:cs="宋体"/>
          <w:kern w:val="28"/>
          <w:szCs w:val="21"/>
        </w:rPr>
      </w:pPr>
      <w:r>
        <w:rPr>
          <w:rFonts w:hint="eastAsia" w:ascii="宋体" w:hAnsi="宋体" w:cs="宋体"/>
          <w:kern w:val="28"/>
          <w:szCs w:val="21"/>
        </w:rPr>
        <w:t>冷却塔风扇意外停车保护；</w:t>
      </w:r>
    </w:p>
    <w:p>
      <w:pPr>
        <w:spacing w:line="360" w:lineRule="auto"/>
        <w:ind w:firstLine="496" w:firstLineChars="200"/>
        <w:rPr>
          <w:rFonts w:ascii="宋体" w:hAnsi="宋体" w:cs="宋体"/>
          <w:kern w:val="28"/>
          <w:szCs w:val="21"/>
        </w:rPr>
      </w:pPr>
      <w:r>
        <w:rPr>
          <w:rFonts w:hint="eastAsia" w:ascii="宋体" w:hAnsi="宋体" w:cs="宋体"/>
          <w:kern w:val="28"/>
          <w:szCs w:val="21"/>
        </w:rPr>
        <w:t>电机过载、短路保护；</w:t>
      </w:r>
    </w:p>
    <w:p>
      <w:pPr>
        <w:spacing w:line="360" w:lineRule="auto"/>
        <w:ind w:firstLine="496" w:firstLineChars="200"/>
        <w:rPr>
          <w:rFonts w:ascii="宋体" w:hAnsi="宋体" w:cs="宋体"/>
          <w:kern w:val="28"/>
          <w:szCs w:val="21"/>
        </w:rPr>
      </w:pPr>
      <w:r>
        <w:rPr>
          <w:rFonts w:hint="eastAsia" w:ascii="宋体" w:hAnsi="宋体" w:cs="宋体"/>
          <w:kern w:val="28"/>
          <w:szCs w:val="21"/>
        </w:rPr>
        <w:t>电压过高/过低/三相不平衡保护；</w:t>
      </w:r>
    </w:p>
    <w:p>
      <w:pPr>
        <w:spacing w:line="360" w:lineRule="auto"/>
        <w:ind w:firstLine="496" w:firstLineChars="200"/>
        <w:rPr>
          <w:rFonts w:ascii="宋体" w:hAnsi="宋体" w:cs="宋体"/>
          <w:kern w:val="28"/>
          <w:szCs w:val="21"/>
        </w:rPr>
      </w:pPr>
      <w:r>
        <w:rPr>
          <w:rFonts w:hint="eastAsia" w:ascii="宋体" w:hAnsi="宋体" w:cs="宋体"/>
          <w:kern w:val="28"/>
          <w:szCs w:val="21"/>
        </w:rPr>
        <w:t>防冻保护；</w:t>
      </w:r>
    </w:p>
    <w:p>
      <w:pPr>
        <w:spacing w:line="360" w:lineRule="auto"/>
        <w:ind w:firstLine="496" w:firstLineChars="200"/>
        <w:rPr>
          <w:rFonts w:ascii="宋体" w:hAnsi="宋体" w:cs="宋体"/>
          <w:kern w:val="28"/>
          <w:szCs w:val="21"/>
        </w:rPr>
      </w:pPr>
      <w:r>
        <w:rPr>
          <w:rFonts w:hint="eastAsia" w:ascii="宋体" w:hAnsi="宋体" w:cs="宋体"/>
          <w:kern w:val="28"/>
          <w:szCs w:val="21"/>
        </w:rPr>
        <w:t>电动机绕组温度保护；</w:t>
      </w:r>
    </w:p>
    <w:p>
      <w:pPr>
        <w:spacing w:line="360" w:lineRule="auto"/>
        <w:ind w:firstLine="496" w:firstLineChars="200"/>
        <w:rPr>
          <w:rFonts w:ascii="宋体" w:hAnsi="宋体" w:cs="宋体"/>
          <w:kern w:val="28"/>
          <w:szCs w:val="21"/>
        </w:rPr>
      </w:pPr>
      <w:r>
        <w:rPr>
          <w:rFonts w:hint="eastAsia" w:ascii="宋体" w:hAnsi="宋体" w:cs="宋体"/>
          <w:kern w:val="28"/>
          <w:szCs w:val="21"/>
        </w:rPr>
        <w:t>油位保护；</w:t>
      </w:r>
    </w:p>
    <w:p>
      <w:pPr>
        <w:spacing w:line="360" w:lineRule="auto"/>
        <w:ind w:firstLine="496" w:firstLineChars="200"/>
        <w:rPr>
          <w:rFonts w:ascii="宋体" w:hAnsi="宋体" w:cs="宋体"/>
          <w:kern w:val="28"/>
          <w:szCs w:val="21"/>
        </w:rPr>
      </w:pPr>
      <w:r>
        <w:rPr>
          <w:rFonts w:hint="eastAsia" w:ascii="宋体" w:hAnsi="宋体" w:cs="宋体"/>
          <w:kern w:val="28"/>
          <w:szCs w:val="21"/>
        </w:rPr>
        <w:t>油过滤器压差保护；</w:t>
      </w:r>
    </w:p>
    <w:p>
      <w:pPr>
        <w:spacing w:line="360" w:lineRule="auto"/>
        <w:ind w:firstLine="496" w:firstLineChars="200"/>
        <w:rPr>
          <w:rFonts w:ascii="宋体" w:hAnsi="宋体" w:cs="宋体"/>
          <w:kern w:val="28"/>
          <w:szCs w:val="21"/>
        </w:rPr>
      </w:pPr>
      <w:r>
        <w:rPr>
          <w:rFonts w:hint="eastAsia" w:ascii="宋体" w:hAnsi="宋体" w:cs="宋体"/>
          <w:kern w:val="28"/>
          <w:szCs w:val="21"/>
        </w:rPr>
        <w:t>压缩机倒转保护；</w:t>
      </w:r>
    </w:p>
    <w:p>
      <w:pPr>
        <w:spacing w:line="360" w:lineRule="auto"/>
        <w:ind w:firstLine="496" w:firstLineChars="200"/>
        <w:rPr>
          <w:rFonts w:ascii="宋体" w:hAnsi="宋体" w:cs="宋体"/>
          <w:kern w:val="28"/>
          <w:szCs w:val="21"/>
        </w:rPr>
      </w:pPr>
      <w:r>
        <w:rPr>
          <w:rFonts w:hint="eastAsia" w:ascii="宋体" w:hAnsi="宋体" w:cs="宋体"/>
          <w:kern w:val="28"/>
          <w:szCs w:val="21"/>
        </w:rPr>
        <w:t>压缩机水泵联动保护；</w:t>
      </w:r>
    </w:p>
    <w:p>
      <w:pPr>
        <w:spacing w:line="360" w:lineRule="auto"/>
        <w:ind w:firstLine="496" w:firstLineChars="200"/>
        <w:rPr>
          <w:rFonts w:ascii="宋体" w:hAnsi="宋体" w:cs="宋体"/>
          <w:kern w:val="28"/>
          <w:szCs w:val="21"/>
        </w:rPr>
      </w:pPr>
      <w:r>
        <w:rPr>
          <w:rFonts w:hint="eastAsia" w:ascii="宋体" w:hAnsi="宋体" w:cs="宋体"/>
          <w:kern w:val="28"/>
          <w:szCs w:val="21"/>
        </w:rPr>
        <w:t>压缩机频繁启停保护；</w:t>
      </w:r>
    </w:p>
    <w:p>
      <w:pPr>
        <w:spacing w:line="360" w:lineRule="auto"/>
        <w:ind w:firstLine="496" w:firstLineChars="200"/>
        <w:rPr>
          <w:rFonts w:ascii="宋体" w:hAnsi="宋体" w:cs="宋体"/>
          <w:kern w:val="28"/>
          <w:szCs w:val="21"/>
        </w:rPr>
      </w:pPr>
      <w:r>
        <w:rPr>
          <w:rFonts w:hint="eastAsia" w:ascii="宋体" w:hAnsi="宋体" w:cs="宋体"/>
          <w:kern w:val="28"/>
          <w:szCs w:val="21"/>
        </w:rPr>
        <w:t>测温头故障保护；</w:t>
      </w:r>
    </w:p>
    <w:p>
      <w:pPr>
        <w:spacing w:line="360" w:lineRule="auto"/>
        <w:ind w:firstLine="496" w:firstLineChars="200"/>
        <w:rPr>
          <w:rFonts w:ascii="宋体" w:hAnsi="宋体" w:cs="宋体"/>
          <w:kern w:val="28"/>
          <w:szCs w:val="21"/>
        </w:rPr>
      </w:pPr>
      <w:r>
        <w:rPr>
          <w:rFonts w:hint="eastAsia" w:ascii="宋体" w:hAnsi="宋体" w:cs="宋体"/>
          <w:kern w:val="28"/>
          <w:szCs w:val="21"/>
        </w:rPr>
        <w:t>通讯故障保护；</w:t>
      </w:r>
    </w:p>
    <w:p>
      <w:pPr>
        <w:spacing w:line="360" w:lineRule="auto"/>
        <w:ind w:firstLine="496" w:firstLineChars="200"/>
        <w:rPr>
          <w:rFonts w:ascii="宋体" w:hAnsi="宋体" w:cs="宋体"/>
          <w:kern w:val="28"/>
          <w:szCs w:val="21"/>
        </w:rPr>
      </w:pPr>
      <w:r>
        <w:rPr>
          <w:rFonts w:hint="eastAsia" w:ascii="宋体" w:hAnsi="宋体" w:cs="宋体"/>
          <w:kern w:val="28"/>
          <w:szCs w:val="21"/>
        </w:rPr>
        <w:t>手动操作密码设定保护；</w:t>
      </w:r>
    </w:p>
    <w:p>
      <w:pPr>
        <w:spacing w:line="360" w:lineRule="auto"/>
        <w:ind w:firstLine="496" w:firstLineChars="200"/>
        <w:rPr>
          <w:rFonts w:ascii="宋体" w:hAnsi="宋体" w:cs="宋体"/>
          <w:kern w:val="28"/>
          <w:szCs w:val="21"/>
        </w:rPr>
      </w:pPr>
      <w:r>
        <w:rPr>
          <w:rFonts w:hint="eastAsia" w:ascii="宋体" w:hAnsi="宋体" w:cs="宋体"/>
          <w:kern w:val="28"/>
          <w:szCs w:val="21"/>
        </w:rPr>
        <w:t>系统故障停机报警；</w:t>
      </w:r>
    </w:p>
    <w:p>
      <w:pPr>
        <w:spacing w:line="360" w:lineRule="auto"/>
        <w:ind w:firstLine="496" w:firstLineChars="200"/>
        <w:rPr>
          <w:rFonts w:ascii="宋体" w:hAnsi="宋体" w:cs="宋体"/>
          <w:kern w:val="28"/>
          <w:szCs w:val="21"/>
        </w:rPr>
      </w:pPr>
      <w:r>
        <w:rPr>
          <w:rFonts w:hint="eastAsia" w:ascii="宋体" w:hAnsi="宋体" w:cs="宋体"/>
          <w:kern w:val="28"/>
          <w:szCs w:val="21"/>
        </w:rPr>
        <w:t>（15） 控制系统应具有防止误操作的功能。</w:t>
      </w:r>
    </w:p>
    <w:p>
      <w:pPr>
        <w:spacing w:line="360" w:lineRule="auto"/>
        <w:ind w:firstLine="496" w:firstLineChars="200"/>
        <w:rPr>
          <w:rFonts w:ascii="宋体" w:hAnsi="宋体" w:cs="宋体"/>
          <w:kern w:val="28"/>
          <w:szCs w:val="21"/>
        </w:rPr>
      </w:pPr>
      <w:r>
        <w:rPr>
          <w:rFonts w:hint="eastAsia" w:ascii="宋体" w:hAnsi="宋体" w:cs="宋体"/>
          <w:kern w:val="28"/>
          <w:szCs w:val="21"/>
        </w:rPr>
        <w:t>（16） 控制系统应有手动控制模式，允许维修服务人员控制机组在不同的操作条件下运行，以利于对系统的检查和测试。</w:t>
      </w:r>
    </w:p>
    <w:p>
      <w:pPr>
        <w:spacing w:line="360" w:lineRule="auto"/>
        <w:ind w:firstLine="496" w:firstLineChars="200"/>
        <w:rPr>
          <w:rFonts w:ascii="宋体" w:hAnsi="宋体" w:cs="宋体"/>
          <w:kern w:val="28"/>
          <w:szCs w:val="21"/>
        </w:rPr>
      </w:pPr>
      <w:r>
        <w:rPr>
          <w:rFonts w:hint="eastAsia" w:ascii="宋体" w:hAnsi="宋体" w:cs="宋体"/>
          <w:kern w:val="28"/>
          <w:szCs w:val="21"/>
        </w:rPr>
        <w:t>（17） 带菜单指令式的控制显示器。</w:t>
      </w:r>
    </w:p>
    <w:p>
      <w:pPr>
        <w:spacing w:line="360" w:lineRule="auto"/>
        <w:ind w:firstLine="496" w:firstLineChars="200"/>
        <w:rPr>
          <w:rFonts w:ascii="宋体" w:hAnsi="宋体" w:cs="宋体"/>
          <w:kern w:val="28"/>
          <w:szCs w:val="21"/>
        </w:rPr>
      </w:pPr>
      <w:r>
        <w:rPr>
          <w:rFonts w:hint="eastAsia" w:ascii="宋体" w:hAnsi="宋体" w:cs="宋体"/>
          <w:kern w:val="28"/>
          <w:szCs w:val="21"/>
        </w:rPr>
        <w:t>控制显示器应具有至少包括如下操作数据：</w:t>
      </w:r>
    </w:p>
    <w:p>
      <w:pPr>
        <w:spacing w:line="360" w:lineRule="auto"/>
        <w:ind w:firstLine="496" w:firstLineChars="200"/>
        <w:rPr>
          <w:rFonts w:ascii="宋体" w:hAnsi="宋体" w:cs="宋体"/>
          <w:kern w:val="28"/>
          <w:szCs w:val="21"/>
        </w:rPr>
      </w:pPr>
      <w:r>
        <w:rPr>
          <w:rFonts w:hint="eastAsia" w:ascii="宋体" w:hAnsi="宋体" w:cs="宋体"/>
          <w:kern w:val="28"/>
          <w:szCs w:val="21"/>
        </w:rPr>
        <w:t>冷水温度设定值，电流极限设定值，蒸发器冷媒压力和温度，冷凝器冷媒压力和温度；冷冻水出水回水温度、冷却水出水、回水温度、冷凝器和蒸发器清洗换热管的显示功能，具备报警及数据记忆、参数设定以及自诊断检查和显示功能。</w:t>
      </w:r>
    </w:p>
    <w:p>
      <w:pPr>
        <w:spacing w:line="360" w:lineRule="auto"/>
        <w:ind w:firstLine="496" w:firstLineChars="200"/>
        <w:rPr>
          <w:rFonts w:ascii="宋体" w:hAnsi="宋体" w:cs="宋体"/>
          <w:kern w:val="28"/>
          <w:szCs w:val="21"/>
        </w:rPr>
      </w:pPr>
      <w:r>
        <w:rPr>
          <w:rFonts w:hint="eastAsia" w:ascii="宋体" w:hAnsi="宋体" w:cs="宋体"/>
          <w:kern w:val="28"/>
          <w:szCs w:val="21"/>
        </w:rPr>
        <w:t>（18） 机组应具有中文显示的智能监控系统具备运转状态显示，通过触摸键能清楚地了解制冷系统、水系统、压缩机、蒸发器、冷凝器、电机、起动器等各个部件的运行状态。</w:t>
      </w:r>
    </w:p>
    <w:p>
      <w:pPr>
        <w:spacing w:line="360" w:lineRule="auto"/>
        <w:ind w:firstLine="496" w:firstLineChars="200"/>
        <w:rPr>
          <w:rFonts w:ascii="宋体" w:hAnsi="宋体" w:cs="宋体"/>
          <w:kern w:val="28"/>
          <w:szCs w:val="21"/>
        </w:rPr>
      </w:pPr>
      <w:r>
        <w:rPr>
          <w:rFonts w:hint="eastAsia" w:ascii="宋体" w:hAnsi="宋体" w:cs="宋体"/>
          <w:kern w:val="28"/>
          <w:szCs w:val="21"/>
        </w:rPr>
        <w:t>（19） 自适应控制功能</w:t>
      </w:r>
    </w:p>
    <w:p>
      <w:pPr>
        <w:spacing w:line="360" w:lineRule="auto"/>
        <w:ind w:firstLine="496" w:firstLineChars="200"/>
        <w:rPr>
          <w:rFonts w:ascii="宋体" w:hAnsi="宋体" w:cs="宋体"/>
          <w:kern w:val="28"/>
          <w:szCs w:val="21"/>
        </w:rPr>
      </w:pPr>
      <w:r>
        <w:rPr>
          <w:rFonts w:hint="eastAsia" w:ascii="宋体" w:hAnsi="宋体" w:cs="宋体"/>
          <w:kern w:val="28"/>
          <w:szCs w:val="21"/>
        </w:rPr>
        <w:t>机组的自适应控制应具有在系统的任一参数变化达到极限而有可能损坏机器或因此引起停机的情况下能够起保护机组的作用功能，而且机组的控制模块能够自行修正，以确保机组运转。机组设定的基本设置参数和控制参数应具有防丢失功能，投标人应对此进行解释、说明。</w:t>
      </w:r>
    </w:p>
    <w:p>
      <w:pPr>
        <w:spacing w:line="360" w:lineRule="auto"/>
        <w:ind w:firstLine="496" w:firstLineChars="200"/>
        <w:rPr>
          <w:rFonts w:ascii="宋体" w:hAnsi="宋体" w:cs="宋体"/>
          <w:kern w:val="28"/>
          <w:szCs w:val="21"/>
        </w:rPr>
      </w:pPr>
      <w:r>
        <w:rPr>
          <w:rFonts w:hint="eastAsia" w:ascii="宋体" w:hAnsi="宋体" w:cs="宋体"/>
          <w:kern w:val="28"/>
          <w:szCs w:val="21"/>
        </w:rPr>
        <w:t>（20）机组的控制柜须采用彩色触摸显示屏（微机控制器），确保维护运行人员操作简易、方便。</w:t>
      </w:r>
    </w:p>
    <w:p>
      <w:pPr>
        <w:spacing w:line="360" w:lineRule="auto"/>
        <w:ind w:firstLine="496" w:firstLineChars="200"/>
        <w:rPr>
          <w:rFonts w:ascii="宋体" w:hAnsi="宋体" w:cs="宋体"/>
          <w:kern w:val="28"/>
          <w:szCs w:val="21"/>
        </w:rPr>
      </w:pPr>
      <w:r>
        <w:rPr>
          <w:rFonts w:hint="eastAsia" w:ascii="宋体" w:hAnsi="宋体" w:cs="宋体"/>
          <w:kern w:val="28"/>
          <w:szCs w:val="21"/>
        </w:rPr>
        <w:t>（21） 机组节能控制措施</w:t>
      </w:r>
    </w:p>
    <w:p>
      <w:pPr>
        <w:spacing w:line="360" w:lineRule="auto"/>
        <w:ind w:firstLine="496" w:firstLineChars="200"/>
        <w:rPr>
          <w:rFonts w:ascii="宋体" w:hAnsi="宋体" w:cs="宋体"/>
          <w:kern w:val="28"/>
          <w:szCs w:val="21"/>
        </w:rPr>
      </w:pPr>
      <w:r>
        <w:rPr>
          <w:rFonts w:hint="eastAsia" w:ascii="宋体" w:hAnsi="宋体" w:cs="宋体"/>
          <w:kern w:val="28"/>
          <w:szCs w:val="21"/>
        </w:rPr>
        <w:t>（22）</w:t>
      </w:r>
      <w:r>
        <w:rPr>
          <w:rFonts w:hint="eastAsia" w:ascii="宋体" w:hAnsi="宋体" w:cs="宋体"/>
          <w:kern w:val="28"/>
          <w:szCs w:val="21"/>
          <w:lang w:eastAsia="zh-CN"/>
        </w:rPr>
        <w:t>宜</w:t>
      </w:r>
      <w:r>
        <w:rPr>
          <w:rFonts w:hint="eastAsia" w:ascii="宋体" w:hAnsi="宋体" w:cs="宋体"/>
          <w:kern w:val="28"/>
          <w:szCs w:val="21"/>
        </w:rPr>
        <w:t>机组能量调节范围：</w:t>
      </w:r>
      <w:r>
        <w:rPr>
          <w:rFonts w:ascii="宋体" w:hAnsi="宋体" w:cs="宋体"/>
          <w:kern w:val="28"/>
          <w:szCs w:val="21"/>
        </w:rPr>
        <w:t>15</w:t>
      </w:r>
      <w:r>
        <w:rPr>
          <w:rFonts w:hint="eastAsia" w:ascii="宋体" w:hAnsi="宋体" w:cs="宋体"/>
          <w:kern w:val="28"/>
          <w:szCs w:val="21"/>
        </w:rPr>
        <w:t>～100%无级调节（请说明能量调节方式）。</w:t>
      </w:r>
      <w:r>
        <w:rPr>
          <w:rFonts w:hint="eastAsia" w:ascii="宋体" w:hAnsi="宋体" w:cs="宋体"/>
          <w:kern w:val="28"/>
          <w:szCs w:val="21"/>
          <w:lang w:eastAsia="zh-CN"/>
        </w:rPr>
        <w:t>请</w:t>
      </w:r>
      <w:r>
        <w:rPr>
          <w:rFonts w:hint="eastAsia" w:ascii="宋体" w:hAnsi="宋体" w:cs="宋体"/>
          <w:kern w:val="28"/>
          <w:szCs w:val="21"/>
        </w:rPr>
        <w:t>提供机组的制冷量调节控制方式。（并说明节流方式）。</w:t>
      </w:r>
    </w:p>
    <w:p>
      <w:pPr>
        <w:spacing w:line="360" w:lineRule="auto"/>
        <w:rPr>
          <w:rFonts w:ascii="宋体" w:hAnsi="宋体" w:cs="宋体"/>
          <w:b/>
          <w:bCs/>
          <w:kern w:val="28"/>
          <w:szCs w:val="21"/>
        </w:rPr>
      </w:pPr>
      <w:r>
        <w:rPr>
          <w:rFonts w:hint="eastAsia" w:ascii="宋体" w:hAnsi="宋体" w:cs="宋体"/>
          <w:b/>
          <w:szCs w:val="21"/>
        </w:rPr>
        <w:t xml:space="preserve">   </w:t>
      </w:r>
      <w:r>
        <w:rPr>
          <w:rFonts w:hint="eastAsia" w:ascii="宋体" w:hAnsi="宋体" w:cs="宋体"/>
          <w:kern w:val="28"/>
          <w:szCs w:val="21"/>
        </w:rPr>
        <w:t>4、</w:t>
      </w:r>
      <w:r>
        <w:rPr>
          <w:rFonts w:hint="eastAsia" w:ascii="宋体" w:hAnsi="宋体" w:cs="宋体"/>
          <w:b/>
          <w:bCs/>
          <w:kern w:val="28"/>
          <w:szCs w:val="21"/>
        </w:rPr>
        <w:t>总体要求</w:t>
      </w:r>
    </w:p>
    <w:p>
      <w:pPr>
        <w:spacing w:line="360" w:lineRule="auto"/>
        <w:ind w:firstLine="496" w:firstLineChars="200"/>
        <w:rPr>
          <w:rFonts w:ascii="宋体" w:hAnsi="宋体" w:cs="宋体"/>
          <w:b/>
          <w:bCs/>
          <w:kern w:val="28"/>
          <w:szCs w:val="21"/>
          <w:highlight w:val="none"/>
        </w:rPr>
      </w:pPr>
      <w:r>
        <w:rPr>
          <w:rFonts w:hint="eastAsia" w:ascii="宋体" w:hAnsi="宋体" w:cs="宋体"/>
          <w:szCs w:val="21"/>
          <w:highlight w:val="none"/>
        </w:rPr>
        <w:t>（1）制冷机生产设备厂家在陕西地区设有办公地点及售后服务机构（提供生产厂家盖章的相关的证明材料），同时需提供售后服务人员明细及相关人员的技术资格证书复印件，并盖生产厂家公章。</w:t>
      </w:r>
    </w:p>
    <w:p>
      <w:pPr>
        <w:spacing w:line="360" w:lineRule="auto"/>
        <w:ind w:firstLine="496" w:firstLineChars="200"/>
        <w:rPr>
          <w:rFonts w:ascii="宋体" w:hAnsi="宋体" w:cs="宋体"/>
          <w:kern w:val="28"/>
          <w:szCs w:val="21"/>
          <w:highlight w:val="none"/>
        </w:rPr>
      </w:pPr>
      <w:r>
        <w:rPr>
          <w:rFonts w:hint="eastAsia" w:ascii="宋体" w:hAnsi="宋体" w:cs="宋体"/>
          <w:kern w:val="28"/>
          <w:szCs w:val="21"/>
          <w:highlight w:val="none"/>
        </w:rPr>
        <w:t>(2) 投标人应根据要求提供全套中文版或中英文对照的资料。所有资料均应使用国际计量单位制。所提交的图纸及文件均应是清晰、完整的，</w:t>
      </w:r>
    </w:p>
    <w:p>
      <w:pPr>
        <w:spacing w:line="360" w:lineRule="auto"/>
        <w:ind w:firstLine="496" w:firstLineChars="200"/>
        <w:rPr>
          <w:rFonts w:ascii="宋体" w:hAnsi="宋体" w:cs="宋体"/>
          <w:kern w:val="28"/>
          <w:szCs w:val="21"/>
        </w:rPr>
      </w:pPr>
      <w:r>
        <w:rPr>
          <w:rFonts w:hint="eastAsia" w:ascii="宋体" w:hAnsi="宋体" w:cs="宋体"/>
          <w:kern w:val="28"/>
          <w:szCs w:val="21"/>
        </w:rPr>
        <w:t>(3) 所有的资料应符合上述要求，否则招标人有权拒收。重新提交这些图纸和文件的费用由投标人负责，由此造成的工程延误由投标人负责赔偿。</w:t>
      </w:r>
    </w:p>
    <w:p>
      <w:pPr>
        <w:spacing w:line="360" w:lineRule="auto"/>
        <w:ind w:firstLine="496" w:firstLineChars="200"/>
        <w:rPr>
          <w:rFonts w:ascii="宋体" w:hAnsi="宋体" w:cs="宋体"/>
          <w:kern w:val="28"/>
          <w:szCs w:val="21"/>
        </w:rPr>
      </w:pPr>
      <w:r>
        <w:rPr>
          <w:rFonts w:hint="eastAsia" w:ascii="宋体" w:hAnsi="宋体" w:cs="宋体"/>
          <w:kern w:val="28"/>
          <w:szCs w:val="21"/>
        </w:rPr>
        <w:t>(4) 只有被招标人批准的图纸及有关文件才可用于工程实施。如在实施中有必要修改，需征求招标人批准,并不得以此为由要求调整合同总价。</w:t>
      </w:r>
    </w:p>
    <w:p>
      <w:pPr>
        <w:spacing w:line="360" w:lineRule="auto"/>
        <w:ind w:firstLine="496" w:firstLineChars="200"/>
        <w:rPr>
          <w:rFonts w:ascii="宋体" w:hAnsi="宋体" w:cs="宋体"/>
          <w:kern w:val="28"/>
          <w:szCs w:val="21"/>
        </w:rPr>
      </w:pPr>
      <w:r>
        <w:rPr>
          <w:rFonts w:hint="eastAsia" w:ascii="宋体" w:hAnsi="宋体" w:cs="宋体"/>
          <w:kern w:val="28"/>
          <w:szCs w:val="21"/>
        </w:rPr>
        <w:t>(5) 如果技术文件发生短缺、损失或损坏，投标人在收到招标人通知后一周内补齐这部分文件。由于投标人提交了不完整或不正确的图纸及数据引起制造、安装、调试所造成的损失和工期的延误，应是投标人的责任。</w:t>
      </w:r>
    </w:p>
    <w:p>
      <w:pPr>
        <w:pStyle w:val="2"/>
        <w:jc w:val="center"/>
        <w:rPr>
          <w:rFonts w:ascii="宋体" w:hAnsi="宋体"/>
          <w:sz w:val="28"/>
          <w:szCs w:val="28"/>
        </w:rPr>
      </w:pPr>
      <w:r>
        <w:br w:type="page"/>
      </w:r>
      <w:r>
        <w:rPr>
          <w:rFonts w:hint="eastAsia"/>
        </w:rPr>
        <w:t>二、</w:t>
      </w:r>
      <w:r>
        <w:rPr>
          <w:rFonts w:hint="eastAsia" w:ascii="宋体" w:hAnsi="宋体"/>
          <w:sz w:val="28"/>
          <w:szCs w:val="28"/>
        </w:rPr>
        <w:t>空气处理机组技术要求</w:t>
      </w:r>
    </w:p>
    <w:p>
      <w:pPr>
        <w:spacing w:line="360" w:lineRule="auto"/>
        <w:rPr>
          <w:rFonts w:ascii="宋体" w:hAnsi="宋体"/>
          <w:b/>
          <w:szCs w:val="21"/>
        </w:rPr>
      </w:pPr>
      <w:r>
        <w:rPr>
          <w:rFonts w:hint="eastAsia" w:ascii="宋体" w:hAnsi="宋体"/>
          <w:b/>
          <w:szCs w:val="21"/>
        </w:rPr>
        <w:t>1、参数要求</w:t>
      </w:r>
    </w:p>
    <w:tbl>
      <w:tblPr>
        <w:tblStyle w:val="35"/>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432"/>
        <w:gridCol w:w="5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项目</w:t>
            </w:r>
          </w:p>
        </w:tc>
        <w:tc>
          <w:tcPr>
            <w:tcW w:w="5863" w:type="dxa"/>
            <w:tcBorders>
              <w:top w:val="single" w:color="auto" w:sz="4" w:space="0"/>
              <w:left w:val="single" w:color="auto" w:sz="4" w:space="0"/>
              <w:bottom w:val="single" w:color="auto" w:sz="4" w:space="0"/>
              <w:right w:val="single" w:color="auto" w:sz="4" w:space="0"/>
            </w:tcBorders>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具体</w:t>
            </w:r>
            <w:r>
              <w:rPr>
                <w:rFonts w:ascii="宋体" w:hAnsi="宋体" w:cs="宋体"/>
                <w:b/>
                <w:color w:val="00000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rPr>
              <w:t>1</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机组</w:t>
            </w:r>
            <w:r>
              <w:rPr>
                <w:rFonts w:ascii="宋体" w:hAnsi="宋体" w:cs="宋体"/>
                <w:b/>
                <w:color w:val="000000"/>
                <w:szCs w:val="21"/>
              </w:rPr>
              <w:t>名称</w:t>
            </w:r>
          </w:p>
        </w:tc>
        <w:tc>
          <w:tcPr>
            <w:tcW w:w="5863" w:type="dxa"/>
            <w:tcBorders>
              <w:top w:val="single" w:color="auto" w:sz="4" w:space="0"/>
              <w:left w:val="single" w:color="auto" w:sz="4" w:space="0"/>
              <w:bottom w:val="single" w:color="auto" w:sz="4" w:space="0"/>
              <w:right w:val="single" w:color="auto" w:sz="4" w:space="0"/>
            </w:tcBorders>
          </w:tcPr>
          <w:p>
            <w:pPr>
              <w:pStyle w:val="22"/>
              <w:spacing w:before="120" w:line="300" w:lineRule="auto"/>
              <w:rPr>
                <w:rFonts w:ascii="宋体" w:hAnsi="宋体" w:cs="宋体"/>
                <w:b/>
                <w:color w:val="000000"/>
                <w:szCs w:val="21"/>
              </w:rPr>
            </w:pPr>
            <w:r>
              <w:rPr>
                <w:rFonts w:hint="eastAsia" w:ascii="宋体" w:hAnsi="宋体" w:cs="宋体"/>
                <w:b/>
                <w:color w:val="000000"/>
                <w:szCs w:val="21"/>
              </w:rPr>
              <w:t>空气处理机组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2</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参数要求</w:t>
            </w:r>
          </w:p>
        </w:tc>
        <w:tc>
          <w:tcPr>
            <w:tcW w:w="5863" w:type="dxa"/>
            <w:tcBorders>
              <w:top w:val="single" w:color="auto" w:sz="4" w:space="0"/>
              <w:left w:val="single" w:color="auto" w:sz="4" w:space="0"/>
              <w:bottom w:val="single" w:color="auto" w:sz="4" w:space="0"/>
              <w:right w:val="single" w:color="auto" w:sz="4" w:space="0"/>
            </w:tcBorders>
          </w:tcPr>
          <w:p>
            <w:pPr>
              <w:pStyle w:val="22"/>
              <w:numPr>
                <w:ilvl w:val="0"/>
                <w:numId w:val="2"/>
              </w:numPr>
              <w:spacing w:before="120" w:line="300" w:lineRule="auto"/>
              <w:rPr>
                <w:rFonts w:ascii="宋体" w:hAnsi="宋体" w:cs="宋体"/>
                <w:bCs/>
                <w:color w:val="000000"/>
                <w:szCs w:val="21"/>
              </w:rPr>
            </w:pPr>
            <w:r>
              <w:rPr>
                <w:rFonts w:hint="eastAsia" w:ascii="宋体" w:hAnsi="宋体" w:cs="宋体"/>
                <w:bCs/>
                <w:color w:val="000000"/>
                <w:szCs w:val="21"/>
              </w:rPr>
              <w:t>机组的风量： m³/h；冷量：kW； 热量：kW；机外余压 Pa；（根据明细）</w:t>
            </w:r>
          </w:p>
          <w:p>
            <w:pPr>
              <w:pStyle w:val="22"/>
              <w:numPr>
                <w:ilvl w:val="0"/>
                <w:numId w:val="2"/>
              </w:numPr>
              <w:spacing w:before="120" w:line="300" w:lineRule="auto"/>
              <w:rPr>
                <w:rFonts w:ascii="宋体" w:hAnsi="宋体" w:cs="宋体"/>
                <w:bCs/>
                <w:color w:val="000000"/>
                <w:szCs w:val="21"/>
              </w:rPr>
            </w:pPr>
            <w:r>
              <w:rPr>
                <w:rFonts w:hint="eastAsia" w:ascii="宋体" w:hAnsi="宋体" w:cs="宋体"/>
                <w:bCs/>
                <w:color w:val="000000"/>
                <w:szCs w:val="21"/>
              </w:rPr>
              <w:t>机组的工况：</w:t>
            </w:r>
          </w:p>
          <w:p>
            <w:pPr>
              <w:pStyle w:val="22"/>
              <w:spacing w:before="120" w:line="300" w:lineRule="auto"/>
              <w:rPr>
                <w:rFonts w:ascii="宋体" w:hAnsi="宋体" w:cs="宋体"/>
                <w:bCs/>
                <w:color w:val="000000"/>
                <w:szCs w:val="21"/>
                <w:highlight w:val="none"/>
              </w:rPr>
            </w:pPr>
            <w:r>
              <w:rPr>
                <w:rFonts w:hint="eastAsia" w:ascii="宋体" w:hAnsi="宋体" w:cs="宋体"/>
                <w:bCs/>
                <w:color w:val="000000"/>
                <w:szCs w:val="21"/>
                <w:highlight w:val="none"/>
              </w:rPr>
              <w:t>供热-进风干球温度7℃，热水供水温度为60℃；</w:t>
            </w:r>
          </w:p>
          <w:p>
            <w:pPr>
              <w:pStyle w:val="22"/>
              <w:spacing w:before="120" w:line="300" w:lineRule="auto"/>
              <w:rPr>
                <w:rFonts w:ascii="宋体" w:hAnsi="宋体" w:cs="宋体"/>
                <w:bCs/>
                <w:color w:val="000000"/>
                <w:szCs w:val="21"/>
                <w:highlight w:val="none"/>
              </w:rPr>
            </w:pPr>
            <w:r>
              <w:rPr>
                <w:rFonts w:hint="eastAsia" w:ascii="宋体" w:hAnsi="宋体" w:cs="宋体"/>
                <w:bCs/>
                <w:color w:val="000000"/>
                <w:szCs w:val="21"/>
                <w:highlight w:val="none"/>
              </w:rPr>
              <w:t>回风工况：供冷-进风干球温度27℃，湿球温度19.5℃，进出水温度为7/12℃；</w:t>
            </w:r>
          </w:p>
          <w:p>
            <w:pPr>
              <w:pStyle w:val="22"/>
              <w:spacing w:before="120" w:line="300" w:lineRule="auto"/>
              <w:rPr>
                <w:rFonts w:ascii="宋体" w:hAnsi="宋体" w:cs="宋体"/>
                <w:bCs/>
                <w:color w:val="000000"/>
                <w:szCs w:val="21"/>
                <w:highlight w:val="none"/>
              </w:rPr>
            </w:pPr>
            <w:r>
              <w:rPr>
                <w:rFonts w:hint="eastAsia" w:ascii="宋体" w:hAnsi="宋体" w:cs="宋体"/>
                <w:bCs/>
                <w:color w:val="000000"/>
                <w:szCs w:val="21"/>
                <w:highlight w:val="none"/>
              </w:rPr>
              <w:t>供热-进风干球温度21℃，热水供水温度为60℃；</w:t>
            </w:r>
          </w:p>
          <w:p>
            <w:pPr>
              <w:pStyle w:val="22"/>
              <w:spacing w:before="120" w:line="300" w:lineRule="auto"/>
              <w:rPr>
                <w:rFonts w:ascii="宋体" w:hAnsi="宋体" w:cs="宋体"/>
                <w:b/>
                <w:color w:val="000000"/>
                <w:szCs w:val="21"/>
              </w:rPr>
            </w:pPr>
            <w:r>
              <w:rPr>
                <w:rFonts w:hint="eastAsia" w:ascii="宋体" w:hAnsi="宋体" w:cs="宋体"/>
                <w:bCs/>
                <w:color w:val="000000"/>
                <w:szCs w:val="21"/>
              </w:rPr>
              <w:t>3</w:t>
            </w:r>
            <w:r>
              <w:rPr>
                <w:rFonts w:ascii="宋体" w:hAnsi="宋体" w:cs="宋体"/>
                <w:bCs/>
                <w:color w:val="000000"/>
                <w:szCs w:val="21"/>
              </w:rPr>
              <w:t>、</w:t>
            </w:r>
            <w:r>
              <w:rPr>
                <w:rFonts w:hint="eastAsia"/>
              </w:rPr>
              <w:t>★</w:t>
            </w:r>
            <w:r>
              <w:rPr>
                <w:rFonts w:hint="eastAsia" w:ascii="宋体" w:hAnsi="宋体"/>
                <w:color w:val="000000"/>
              </w:rPr>
              <w:t>电源：</w:t>
            </w:r>
            <w:r>
              <w:rPr>
                <w:rFonts w:ascii="宋体" w:hAnsi="宋体"/>
                <w:color w:val="000000"/>
              </w:rPr>
              <w:t>AC</w:t>
            </w:r>
            <w:r>
              <w:rPr>
                <w:rFonts w:hint="eastAsia" w:ascii="宋体" w:hAnsi="宋体"/>
                <w:color w:val="000000"/>
              </w:rPr>
              <w:t>380</w:t>
            </w:r>
            <w:r>
              <w:rPr>
                <w:rFonts w:ascii="宋体" w:hAnsi="宋体"/>
                <w:color w:val="000000"/>
              </w:rPr>
              <w:t>V(</w:t>
            </w:r>
            <w:r>
              <w:rPr>
                <w:rFonts w:hint="eastAsia" w:ascii="宋体" w:hAnsi="宋体"/>
                <w:color w:val="000000"/>
              </w:rPr>
              <w:t>±</w:t>
            </w:r>
            <w:r>
              <w:rPr>
                <w:rFonts w:ascii="宋体" w:hAnsi="宋体"/>
                <w:color w:val="000000"/>
              </w:rPr>
              <w:t>10%)</w:t>
            </w:r>
            <w:r>
              <w:rPr>
                <w:rFonts w:hint="eastAsia" w:ascii="宋体" w:hAnsi="宋体"/>
                <w:color w:val="000000"/>
              </w:rPr>
              <w:t>、50Hz（±2%）、三相五线制。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3</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箱体结构</w:t>
            </w:r>
          </w:p>
        </w:tc>
        <w:tc>
          <w:tcPr>
            <w:tcW w:w="5863" w:type="dxa"/>
            <w:tcBorders>
              <w:top w:val="single" w:color="auto" w:sz="4" w:space="0"/>
              <w:left w:val="single" w:color="auto" w:sz="4" w:space="0"/>
              <w:bottom w:val="single" w:color="auto" w:sz="4" w:space="0"/>
              <w:right w:val="single" w:color="auto" w:sz="4" w:space="0"/>
            </w:tcBorders>
          </w:tcPr>
          <w:p>
            <w:pPr>
              <w:pStyle w:val="22"/>
              <w:numPr>
                <w:ilvl w:val="0"/>
                <w:numId w:val="3"/>
              </w:numPr>
              <w:spacing w:before="120" w:line="300" w:lineRule="auto"/>
              <w:rPr>
                <w:rFonts w:ascii="宋体" w:hAnsi="宋体" w:cs="宋体"/>
                <w:bCs/>
                <w:color w:val="000000"/>
                <w:szCs w:val="21"/>
              </w:rPr>
            </w:pPr>
            <w:r>
              <w:rPr>
                <w:rFonts w:hint="eastAsia"/>
              </w:rPr>
              <w:t>★</w:t>
            </w:r>
            <w:r>
              <w:rPr>
                <w:rFonts w:hint="eastAsia" w:ascii="宋体" w:hAnsi="宋体" w:cs="宋体"/>
                <w:bCs/>
                <w:color w:val="000000"/>
                <w:szCs w:val="21"/>
              </w:rPr>
              <w:t>机组采用“三明治”夹心面板结构:外板采用0.5mm厚的彩钢板，内板采用0.5mm厚的镀锌钢板或者压花铝箔；面板中间充</w:t>
            </w:r>
            <w:r>
              <w:rPr>
                <w:rFonts w:hint="eastAsia"/>
                <w:color w:val="000000"/>
              </w:rPr>
              <w:t>聚氨脂高压发泡保温层，密度不得小于4</w:t>
            </w:r>
            <w:r>
              <w:rPr>
                <w:color w:val="000000"/>
              </w:rPr>
              <w:t>8</w:t>
            </w:r>
            <w:r>
              <w:rPr>
                <w:rFonts w:hint="eastAsia"/>
                <w:color w:val="000000"/>
              </w:rPr>
              <w:t>kg/m</w:t>
            </w:r>
            <w:r>
              <w:rPr>
                <w:rFonts w:hint="eastAsia"/>
                <w:color w:val="000000"/>
                <w:vertAlign w:val="superscript"/>
              </w:rPr>
              <w:t>3</w:t>
            </w:r>
            <w:r>
              <w:rPr>
                <w:rFonts w:hint="eastAsia" w:ascii="宋体" w:hAnsi="宋体"/>
                <w:color w:val="000000"/>
                <w:sz w:val="24"/>
              </w:rPr>
              <w:t>；</w:t>
            </w:r>
          </w:p>
          <w:p>
            <w:pPr>
              <w:pStyle w:val="22"/>
              <w:numPr>
                <w:ilvl w:val="0"/>
                <w:numId w:val="3"/>
              </w:numPr>
              <w:spacing w:before="120" w:line="300" w:lineRule="auto"/>
              <w:rPr>
                <w:rFonts w:ascii="宋体" w:hAnsi="宋体" w:cs="宋体"/>
                <w:bCs/>
                <w:color w:val="000000"/>
                <w:szCs w:val="21"/>
              </w:rPr>
            </w:pPr>
            <w:r>
              <w:rPr>
                <w:rFonts w:hint="eastAsia"/>
              </w:rPr>
              <w:t>★</w:t>
            </w:r>
            <w:r>
              <w:rPr>
                <w:rFonts w:hint="eastAsia" w:ascii="宋体" w:hAnsi="宋体" w:cs="宋体"/>
                <w:bCs/>
                <w:color w:val="000000"/>
                <w:szCs w:val="21"/>
              </w:rPr>
              <w:t>机组采用铝合金扣板锁紧框架结构，无需任何螺栓和铆钉等连接件，框架采用高强度铝合金专用型材，不得采用无框架结构；</w:t>
            </w:r>
          </w:p>
          <w:p>
            <w:pPr>
              <w:pStyle w:val="22"/>
              <w:numPr>
                <w:ilvl w:val="0"/>
                <w:numId w:val="3"/>
              </w:numPr>
              <w:spacing w:before="120" w:line="300" w:lineRule="auto"/>
              <w:rPr>
                <w:rFonts w:ascii="宋体" w:hAnsi="宋体" w:cs="宋体"/>
                <w:bCs/>
                <w:color w:val="000000"/>
                <w:szCs w:val="21"/>
              </w:rPr>
            </w:pPr>
            <w:r>
              <w:rPr>
                <w:rFonts w:hint="eastAsia"/>
              </w:rPr>
              <w:t>★</w:t>
            </w:r>
            <w:r>
              <w:rPr>
                <w:rFonts w:hint="eastAsia"/>
                <w:color w:val="000000"/>
              </w:rPr>
              <w:t>空调机组应具有外观美观、耐气候变化、抗腐防锈功能强、强度高、保温性能佳、隔声隔振性能好等特点，外观颜色为象牙白;</w:t>
            </w:r>
          </w:p>
          <w:p>
            <w:pPr>
              <w:pStyle w:val="22"/>
              <w:numPr>
                <w:ilvl w:val="0"/>
                <w:numId w:val="3"/>
              </w:numPr>
              <w:spacing w:before="120" w:line="300" w:lineRule="auto"/>
              <w:rPr>
                <w:rFonts w:ascii="宋体" w:hAnsi="宋体" w:cs="宋体"/>
                <w:bCs/>
                <w:color w:val="000000"/>
                <w:szCs w:val="21"/>
              </w:rPr>
            </w:pPr>
            <w:r>
              <w:rPr>
                <w:rFonts w:hint="eastAsia"/>
              </w:rPr>
              <w:t>★</w:t>
            </w:r>
            <w:r>
              <w:rPr>
                <w:rFonts w:hint="eastAsia"/>
                <w:color w:val="000000"/>
              </w:rPr>
              <w:t>机组必须有防冷桥措施，机组在运行时，不得出现冷桥和凝露现象；</w:t>
            </w:r>
          </w:p>
          <w:p>
            <w:pPr>
              <w:pStyle w:val="22"/>
              <w:numPr>
                <w:ilvl w:val="0"/>
                <w:numId w:val="3"/>
              </w:numPr>
              <w:spacing w:before="120" w:line="300" w:lineRule="auto"/>
              <w:rPr>
                <w:rFonts w:ascii="宋体" w:hAnsi="宋体" w:cs="宋体"/>
                <w:bCs/>
                <w:color w:val="000000"/>
                <w:szCs w:val="21"/>
              </w:rPr>
            </w:pPr>
            <w:r>
              <w:rPr>
                <w:rFonts w:hint="eastAsia"/>
              </w:rPr>
              <w:t>★</w:t>
            </w:r>
            <w:r>
              <w:rPr>
                <w:rFonts w:hint="eastAsia"/>
                <w:color w:val="000000"/>
              </w:rPr>
              <w:t>箱体面板为可拆式结构，要求安装和拆卸都十分方便，便于机组的检修维护。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4</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过滤器</w:t>
            </w:r>
          </w:p>
        </w:tc>
        <w:tc>
          <w:tcPr>
            <w:tcW w:w="5863" w:type="dxa"/>
            <w:tcBorders>
              <w:top w:val="single" w:color="auto" w:sz="4" w:space="0"/>
              <w:left w:val="single" w:color="auto" w:sz="4" w:space="0"/>
              <w:bottom w:val="single" w:color="auto" w:sz="4" w:space="0"/>
              <w:right w:val="single" w:color="auto" w:sz="4" w:space="0"/>
            </w:tcBorders>
            <w:vAlign w:val="center"/>
          </w:tcPr>
          <w:p>
            <w:pPr>
              <w:tabs>
                <w:tab w:val="left" w:pos="312"/>
              </w:tabs>
              <w:spacing w:line="300" w:lineRule="auto"/>
              <w:ind w:firstLine="496" w:firstLineChars="200"/>
              <w:jc w:val="left"/>
              <w:rPr>
                <w:rFonts w:ascii="宋体" w:hAnsi="宋体" w:cs="微软雅黑"/>
                <w:color w:val="000000"/>
                <w:szCs w:val="21"/>
              </w:rPr>
            </w:pPr>
            <w:r>
              <w:rPr>
                <w:rFonts w:hint="eastAsia" w:ascii="宋体" w:hAnsi="宋体" w:cs="微软雅黑"/>
                <w:color w:val="000000"/>
                <w:szCs w:val="21"/>
                <w:lang w:eastAsia="zh-CN"/>
              </w:rPr>
              <w:t>初效</w:t>
            </w:r>
            <w:r>
              <w:rPr>
                <w:rFonts w:hint="eastAsia" w:ascii="宋体" w:hAnsi="宋体" w:cs="微软雅黑"/>
                <w:color w:val="000000"/>
                <w:szCs w:val="21"/>
              </w:rPr>
              <w:t>过滤器采用</w:t>
            </w:r>
            <w:r>
              <w:rPr>
                <w:rFonts w:hint="eastAsia"/>
                <w:color w:val="000000"/>
              </w:rPr>
              <w:t>锦纶网过滤网。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5</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表冷器</w:t>
            </w:r>
          </w:p>
        </w:tc>
        <w:tc>
          <w:tcPr>
            <w:tcW w:w="5863" w:type="dxa"/>
            <w:tcBorders>
              <w:top w:val="single" w:color="auto" w:sz="4" w:space="0"/>
              <w:left w:val="single" w:color="auto" w:sz="4" w:space="0"/>
              <w:bottom w:val="single" w:color="auto" w:sz="4" w:space="0"/>
              <w:right w:val="single" w:color="auto" w:sz="4" w:space="0"/>
            </w:tcBorders>
          </w:tcPr>
          <w:p>
            <w:pPr>
              <w:numPr>
                <w:ilvl w:val="0"/>
                <w:numId w:val="4"/>
              </w:numPr>
              <w:spacing w:line="300" w:lineRule="auto"/>
              <w:rPr>
                <w:color w:val="000000"/>
              </w:rPr>
            </w:pPr>
            <w:r>
              <w:rPr>
                <w:rFonts w:hint="eastAsia"/>
              </w:rPr>
              <w:t>★</w:t>
            </w:r>
            <w:r>
              <w:rPr>
                <w:rFonts w:hint="eastAsia"/>
                <w:color w:val="000000"/>
              </w:rPr>
              <w:t>表冷器采用铜管串亲水膜铝翅片，规格按照设计要求，铜管与翅片采用液压胀管，使之紧密接触，传热系数高，水压试验压力2.5MPa；</w:t>
            </w:r>
          </w:p>
          <w:p>
            <w:pPr>
              <w:numPr>
                <w:ilvl w:val="0"/>
                <w:numId w:val="4"/>
              </w:numPr>
              <w:spacing w:line="300" w:lineRule="auto"/>
              <w:rPr>
                <w:color w:val="000000"/>
              </w:rPr>
            </w:pPr>
            <w:r>
              <w:rPr>
                <w:rFonts w:hint="eastAsia"/>
              </w:rPr>
              <w:t>★</w:t>
            </w:r>
            <w:r>
              <w:rPr>
                <w:rFonts w:hint="eastAsia"/>
                <w:color w:val="000000"/>
              </w:rPr>
              <w:t>铜管直径不小于φ9.52mm，厚度不小于0.3mm；</w:t>
            </w:r>
          </w:p>
          <w:p>
            <w:pPr>
              <w:pStyle w:val="2"/>
              <w:numPr>
                <w:ilvl w:val="0"/>
                <w:numId w:val="4"/>
              </w:numPr>
              <w:rPr>
                <w:b w:val="0"/>
                <w:bCs w:val="0"/>
              </w:rPr>
            </w:pPr>
            <w:r>
              <w:rPr>
                <w:rFonts w:hint="eastAsia"/>
                <w:b w:val="0"/>
                <w:bCs w:val="0"/>
              </w:rPr>
              <w:t>★</w:t>
            </w:r>
            <w:r>
              <w:rPr>
                <w:rFonts w:hint="eastAsia"/>
                <w:b w:val="0"/>
                <w:bCs w:val="0"/>
                <w:color w:val="000000"/>
              </w:rPr>
              <w:t>表冷器不能少于6排管；</w:t>
            </w:r>
          </w:p>
          <w:p>
            <w:pPr>
              <w:numPr>
                <w:ilvl w:val="0"/>
                <w:numId w:val="4"/>
              </w:numPr>
              <w:spacing w:line="300" w:lineRule="auto"/>
              <w:rPr>
                <w:color w:val="000000"/>
              </w:rPr>
            </w:pPr>
            <w:r>
              <w:rPr>
                <w:rFonts w:hint="eastAsia"/>
                <w:color w:val="000000"/>
              </w:rPr>
              <w:t>表冷器集水管采用丝扣连接；</w:t>
            </w:r>
          </w:p>
          <w:p>
            <w:pPr>
              <w:numPr>
                <w:ilvl w:val="0"/>
                <w:numId w:val="4"/>
              </w:numPr>
              <w:spacing w:line="300" w:lineRule="auto"/>
              <w:rPr>
                <w:color w:val="000000"/>
              </w:rPr>
            </w:pPr>
            <w:r>
              <w:rPr>
                <w:rFonts w:hint="eastAsia"/>
                <w:color w:val="000000"/>
              </w:rPr>
              <w:t>吊顶式机组风机及表冷器下面的接水盘采用整体水盘，水盘材质采用冷板喷塑，同时下表面敷贴保温材料；</w:t>
            </w:r>
          </w:p>
          <w:p>
            <w:pPr>
              <w:numPr>
                <w:ilvl w:val="0"/>
                <w:numId w:val="4"/>
              </w:numPr>
              <w:spacing w:line="300" w:lineRule="auto"/>
              <w:rPr>
                <w:color w:val="000000"/>
              </w:rPr>
            </w:pPr>
            <w:r>
              <w:t>卧式机组</w:t>
            </w:r>
            <w:r>
              <w:rPr>
                <w:rFonts w:hint="eastAsia"/>
              </w:rPr>
              <w:t>应采用上、下水盘；</w:t>
            </w:r>
          </w:p>
          <w:p>
            <w:pPr>
              <w:numPr>
                <w:ilvl w:val="0"/>
                <w:numId w:val="4"/>
              </w:numPr>
              <w:spacing w:line="300" w:lineRule="auto"/>
              <w:rPr>
                <w:color w:val="000000"/>
              </w:rPr>
            </w:pPr>
            <w:r>
              <w:rPr>
                <w:rFonts w:hint="eastAsia"/>
              </w:rPr>
              <w:t>★</w:t>
            </w:r>
            <w:r>
              <w:rPr>
                <w:rFonts w:hint="eastAsia"/>
                <w:color w:val="000000"/>
              </w:rPr>
              <w:t>表冷器采用自然排空结构设计，杜绝冬季表冷器排水不尽而冻破铜管。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6</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hAnsi="宋体"/>
                <w:b/>
                <w:bCs/>
                <w:color w:val="000000"/>
                <w:szCs w:val="21"/>
              </w:rPr>
              <w:t>风机电机</w:t>
            </w:r>
          </w:p>
        </w:tc>
        <w:tc>
          <w:tcPr>
            <w:tcW w:w="5863" w:type="dxa"/>
            <w:tcBorders>
              <w:top w:val="single" w:color="auto" w:sz="4" w:space="0"/>
              <w:left w:val="single" w:color="auto" w:sz="4" w:space="0"/>
              <w:bottom w:val="single" w:color="auto" w:sz="4" w:space="0"/>
              <w:right w:val="single" w:color="auto" w:sz="4" w:space="0"/>
            </w:tcBorders>
          </w:tcPr>
          <w:p>
            <w:pPr>
              <w:widowControl/>
              <w:numPr>
                <w:ilvl w:val="0"/>
                <w:numId w:val="5"/>
              </w:numPr>
              <w:spacing w:before="100" w:after="200" w:line="300" w:lineRule="auto"/>
              <w:jc w:val="left"/>
              <w:rPr>
                <w:rFonts w:ascii="宋体" w:hAnsi="宋体" w:cs="宋体"/>
                <w:bCs/>
                <w:color w:val="000000"/>
                <w:szCs w:val="21"/>
                <w:highlight w:val="none"/>
              </w:rPr>
            </w:pPr>
            <w:r>
              <w:rPr>
                <w:rFonts w:hint="eastAsia" w:ascii="宋体" w:hAnsi="宋体" w:cs="宋体"/>
                <w:bCs/>
                <w:color w:val="000000"/>
                <w:szCs w:val="21"/>
                <w:highlight w:val="none"/>
              </w:rPr>
              <w:t>轴承采用NSK、PEER、SKF或等同品牌；</w:t>
            </w:r>
          </w:p>
          <w:p>
            <w:pPr>
              <w:widowControl/>
              <w:numPr>
                <w:ilvl w:val="0"/>
                <w:numId w:val="5"/>
              </w:numPr>
              <w:spacing w:before="100" w:after="200" w:line="300" w:lineRule="auto"/>
              <w:jc w:val="left"/>
              <w:rPr>
                <w:rFonts w:ascii="宋体" w:hAnsi="宋体" w:cs="宋体"/>
                <w:bCs/>
                <w:color w:val="000000"/>
                <w:szCs w:val="21"/>
              </w:rPr>
            </w:pPr>
            <w:r>
              <w:rPr>
                <w:rFonts w:hint="eastAsia" w:ascii="宋体" w:hAnsi="宋体" w:cs="微软雅黑"/>
                <w:color w:val="000000"/>
                <w:szCs w:val="21"/>
                <w:highlight w:val="none"/>
              </w:rPr>
              <w:t>如采用</w:t>
            </w:r>
            <w:r>
              <w:rPr>
                <w:rFonts w:ascii="宋体" w:hAnsi="宋体" w:cs="微软雅黑"/>
                <w:color w:val="000000"/>
                <w:szCs w:val="21"/>
                <w:highlight w:val="none"/>
              </w:rPr>
              <w:t>外转子风机，电机品牌由风机厂家进行匹配</w:t>
            </w:r>
            <w:r>
              <w:rPr>
                <w:rFonts w:hint="eastAsia" w:ascii="宋体" w:hAnsi="宋体" w:cs="微软雅黑"/>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7</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b/>
                <w:bCs/>
                <w:color w:val="000000"/>
                <w:szCs w:val="21"/>
              </w:rPr>
              <w:t>底座</w:t>
            </w:r>
          </w:p>
        </w:tc>
        <w:tc>
          <w:tcPr>
            <w:tcW w:w="5863" w:type="dxa"/>
            <w:tcBorders>
              <w:top w:val="single" w:color="auto" w:sz="4" w:space="0"/>
              <w:left w:val="single" w:color="auto" w:sz="4" w:space="0"/>
              <w:bottom w:val="single" w:color="auto" w:sz="4" w:space="0"/>
              <w:right w:val="single" w:color="auto" w:sz="4" w:space="0"/>
            </w:tcBorders>
            <w:vAlign w:val="center"/>
          </w:tcPr>
          <w:p>
            <w:pPr>
              <w:spacing w:line="300" w:lineRule="auto"/>
              <w:rPr>
                <w:rFonts w:hAnsi="宋体"/>
                <w:color w:val="000000"/>
                <w:szCs w:val="21"/>
              </w:rPr>
            </w:pPr>
            <w:r>
              <w:rPr>
                <w:rFonts w:hint="eastAsia"/>
                <w:color w:val="000000"/>
                <w:szCs w:val="21"/>
              </w:rPr>
              <w:t>机组底座采用冷弯等边槽钢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8</w:t>
            </w:r>
          </w:p>
        </w:tc>
        <w:tc>
          <w:tcPr>
            <w:tcW w:w="143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000000"/>
                <w:szCs w:val="21"/>
              </w:rPr>
            </w:pPr>
            <w:r>
              <w:rPr>
                <w:rFonts w:hint="eastAsia" w:ascii="宋体" w:hAnsi="宋体" w:cs="宋体"/>
                <w:b/>
                <w:color w:val="000000"/>
                <w:szCs w:val="21"/>
              </w:rPr>
              <w:t>维护保养</w:t>
            </w:r>
          </w:p>
        </w:tc>
        <w:tc>
          <w:tcPr>
            <w:tcW w:w="5863" w:type="dxa"/>
            <w:tcBorders>
              <w:top w:val="single" w:color="auto" w:sz="4" w:space="0"/>
              <w:left w:val="single" w:color="auto" w:sz="4" w:space="0"/>
              <w:bottom w:val="single" w:color="auto" w:sz="4" w:space="0"/>
              <w:right w:val="single" w:color="auto" w:sz="4" w:space="0"/>
            </w:tcBorders>
          </w:tcPr>
          <w:p>
            <w:pPr>
              <w:pStyle w:val="22"/>
              <w:numPr>
                <w:ilvl w:val="0"/>
                <w:numId w:val="6"/>
              </w:numPr>
              <w:spacing w:before="120" w:line="300" w:lineRule="auto"/>
              <w:rPr>
                <w:rFonts w:hAnsi="宋体"/>
                <w:color w:val="000000"/>
                <w:kern w:val="0"/>
                <w:szCs w:val="21"/>
              </w:rPr>
            </w:pPr>
            <w:r>
              <w:rPr>
                <w:rFonts w:hAnsi="宋体"/>
                <w:color w:val="000000"/>
                <w:kern w:val="0"/>
                <w:szCs w:val="21"/>
              </w:rPr>
              <w:t>招标人原则上优先选用中标人或中标人委托的单位作为维修保养单位。中标人承诺在空调使用寿命期年内，保证备件的供应，中标人始终能以市场上最优惠的价格提供优质原厂的备件；</w:t>
            </w:r>
          </w:p>
          <w:p>
            <w:pPr>
              <w:pStyle w:val="22"/>
              <w:numPr>
                <w:ilvl w:val="0"/>
                <w:numId w:val="6"/>
              </w:numPr>
              <w:spacing w:before="120" w:line="300" w:lineRule="auto"/>
              <w:rPr>
                <w:rFonts w:hAnsi="宋体"/>
                <w:color w:val="000000"/>
                <w:szCs w:val="21"/>
              </w:rPr>
            </w:pPr>
            <w:r>
              <w:rPr>
                <w:rFonts w:hAnsi="宋体"/>
                <w:color w:val="000000"/>
                <w:kern w:val="0"/>
                <w:szCs w:val="21"/>
              </w:rPr>
              <w:t>中标人应在质保期内为其根据本合同出售的设备提供</w:t>
            </w:r>
            <w:r>
              <w:rPr>
                <w:rFonts w:hint="eastAsia" w:hAnsi="宋体"/>
                <w:color w:val="000000"/>
                <w:kern w:val="0"/>
                <w:szCs w:val="21"/>
              </w:rPr>
              <w:t>所需</w:t>
            </w:r>
            <w:r>
              <w:rPr>
                <w:rFonts w:hAnsi="宋体"/>
                <w:color w:val="000000"/>
                <w:kern w:val="0"/>
                <w:szCs w:val="21"/>
              </w:rPr>
              <w:t>的维修保养服务，以保证设备的正常使用；</w:t>
            </w:r>
          </w:p>
          <w:p>
            <w:pPr>
              <w:spacing w:line="300" w:lineRule="auto"/>
              <w:ind w:left="420" w:hanging="496" w:hangingChars="200"/>
              <w:rPr>
                <w:color w:val="000000"/>
                <w:szCs w:val="21"/>
              </w:rPr>
            </w:pPr>
            <w:r>
              <w:rPr>
                <w:rFonts w:hint="eastAsia" w:hAnsi="宋体"/>
                <w:color w:val="000000"/>
                <w:kern w:val="0"/>
                <w:szCs w:val="21"/>
              </w:rPr>
              <w:t>3、</w:t>
            </w:r>
            <w:r>
              <w:rPr>
                <w:rFonts w:hAnsi="宋体"/>
                <w:color w:val="000000"/>
                <w:kern w:val="0"/>
                <w:szCs w:val="21"/>
              </w:rPr>
              <w:t>中标人在维修服务时，更换的部件必须采用全新的、经设备整机制造商认可的、在品质、型号等方面与原部件相同的部件</w:t>
            </w:r>
            <w:r>
              <w:rPr>
                <w:rFonts w:hint="eastAsia"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pStyle w:val="22"/>
              <w:spacing w:before="120" w:after="120" w:line="300" w:lineRule="auto"/>
              <w:jc w:val="center"/>
              <w:rPr>
                <w:rFonts w:ascii="宋体" w:hAnsi="宋体" w:cs="宋体"/>
                <w:b/>
                <w:color w:val="000000"/>
                <w:szCs w:val="21"/>
                <w:lang w:val="en-GB"/>
              </w:rPr>
            </w:pPr>
            <w:r>
              <w:rPr>
                <w:rFonts w:hint="eastAsia" w:ascii="宋体" w:hAnsi="宋体" w:cs="宋体"/>
                <w:b/>
                <w:color w:val="000000"/>
                <w:szCs w:val="21"/>
                <w:lang w:val="en-GB"/>
              </w:rPr>
              <w:t>9</w:t>
            </w:r>
          </w:p>
        </w:tc>
        <w:tc>
          <w:tcPr>
            <w:tcW w:w="1432" w:type="dxa"/>
            <w:tcBorders>
              <w:top w:val="single" w:color="auto" w:sz="4" w:space="0"/>
              <w:left w:val="single" w:color="auto" w:sz="4" w:space="0"/>
              <w:bottom w:val="single" w:color="auto" w:sz="4" w:space="0"/>
              <w:right w:val="single" w:color="auto" w:sz="4" w:space="0"/>
            </w:tcBorders>
            <w:vAlign w:val="center"/>
          </w:tcPr>
          <w:p>
            <w:pPr>
              <w:pStyle w:val="22"/>
              <w:spacing w:before="120" w:line="300" w:lineRule="auto"/>
              <w:jc w:val="center"/>
              <w:rPr>
                <w:rFonts w:ascii="宋体" w:hAnsi="宋体" w:cs="宋体"/>
                <w:b/>
                <w:color w:val="000000"/>
                <w:szCs w:val="21"/>
              </w:rPr>
            </w:pPr>
            <w:r>
              <w:rPr>
                <w:rFonts w:hint="eastAsia" w:ascii="宋体" w:hAnsi="宋体" w:cs="宋体"/>
                <w:b/>
                <w:color w:val="000000"/>
                <w:szCs w:val="21"/>
              </w:rPr>
              <w:t>服务和培训</w:t>
            </w:r>
          </w:p>
        </w:tc>
        <w:tc>
          <w:tcPr>
            <w:tcW w:w="5863" w:type="dxa"/>
            <w:tcBorders>
              <w:top w:val="single" w:color="auto" w:sz="4" w:space="0"/>
              <w:left w:val="single" w:color="auto" w:sz="4" w:space="0"/>
              <w:bottom w:val="single" w:color="auto" w:sz="4" w:space="0"/>
              <w:right w:val="single" w:color="auto" w:sz="4" w:space="0"/>
            </w:tcBorders>
          </w:tcPr>
          <w:p>
            <w:pPr>
              <w:numPr>
                <w:ilvl w:val="0"/>
                <w:numId w:val="7"/>
              </w:numPr>
              <w:spacing w:line="300" w:lineRule="auto"/>
              <w:rPr>
                <w:rFonts w:hAnsi="宋体"/>
                <w:color w:val="000000"/>
                <w:kern w:val="0"/>
                <w:szCs w:val="21"/>
              </w:rPr>
            </w:pPr>
            <w:r>
              <w:rPr>
                <w:rFonts w:hAnsi="宋体"/>
                <w:color w:val="000000"/>
                <w:kern w:val="0"/>
                <w:szCs w:val="21"/>
              </w:rPr>
              <w:t>中标人应为招标人的设备维修管理人员进行培训，培训内容包括但不限于设备原理、设备安装、设备维修等；</w:t>
            </w:r>
          </w:p>
          <w:p>
            <w:pPr>
              <w:pStyle w:val="22"/>
              <w:numPr>
                <w:ilvl w:val="0"/>
                <w:numId w:val="7"/>
              </w:numPr>
              <w:spacing w:before="120" w:line="300" w:lineRule="auto"/>
              <w:rPr>
                <w:rFonts w:hAnsi="宋体"/>
                <w:color w:val="000000"/>
                <w:szCs w:val="21"/>
              </w:rPr>
            </w:pPr>
            <w:r>
              <w:rPr>
                <w:rFonts w:hAnsi="宋体"/>
                <w:color w:val="000000"/>
                <w:kern w:val="0"/>
                <w:szCs w:val="21"/>
              </w:rPr>
              <w:t>被培训人员的</w:t>
            </w:r>
            <w:r>
              <w:rPr>
                <w:rFonts w:hint="eastAsia" w:hAnsi="宋体"/>
                <w:color w:val="000000"/>
                <w:kern w:val="0"/>
                <w:szCs w:val="21"/>
              </w:rPr>
              <w:t>培训</w:t>
            </w:r>
            <w:r>
              <w:rPr>
                <w:rFonts w:hAnsi="宋体"/>
                <w:color w:val="000000"/>
                <w:kern w:val="0"/>
                <w:szCs w:val="21"/>
              </w:rPr>
              <w:t>费用均由中标人承担，如果中标人提供的培训服务不是免费的，则在投标文件中提供分项报价，并计入投标总价。</w:t>
            </w:r>
          </w:p>
        </w:tc>
      </w:tr>
    </w:tbl>
    <w:p>
      <w:pPr>
        <w:spacing w:line="360" w:lineRule="auto"/>
        <w:ind w:firstLine="496" w:firstLineChars="200"/>
        <w:rPr>
          <w:rFonts w:ascii="宋体" w:hAnsi="宋体" w:cs="宋体"/>
          <w:kern w:val="28"/>
          <w:szCs w:val="21"/>
        </w:rPr>
      </w:pPr>
      <w:r>
        <w:rPr>
          <w:rFonts w:hint="eastAsia" w:ascii="宋体" w:hAnsi="宋体" w:cs="宋体"/>
          <w:szCs w:val="21"/>
        </w:rPr>
        <w:t>注：以上</w:t>
      </w:r>
      <w:r>
        <w:rPr>
          <w:rFonts w:hint="eastAsia"/>
        </w:rPr>
        <w:t>★</w:t>
      </w:r>
      <w:r>
        <w:rPr>
          <w:rFonts w:hint="eastAsia" w:ascii="宋体" w:hAnsi="宋体" w:cs="宋体"/>
          <w:szCs w:val="21"/>
        </w:rPr>
        <w:t>为必选项，不接受偏离，偏离为否决项</w:t>
      </w:r>
    </w:p>
    <w:p>
      <w:pPr>
        <w:spacing w:line="360" w:lineRule="auto"/>
        <w:rPr>
          <w:rFonts w:ascii="宋体" w:hAnsi="宋体"/>
          <w:b/>
          <w:szCs w:val="21"/>
        </w:rPr>
      </w:pPr>
    </w:p>
    <w:p>
      <w:pPr>
        <w:numPr>
          <w:ilvl w:val="0"/>
          <w:numId w:val="8"/>
        </w:numPr>
        <w:spacing w:line="360" w:lineRule="auto"/>
        <w:rPr>
          <w:rFonts w:ascii="宋体" w:hAnsi="宋体"/>
          <w:b/>
          <w:szCs w:val="21"/>
        </w:rPr>
      </w:pPr>
      <w:r>
        <w:rPr>
          <w:rFonts w:hint="eastAsia" w:ascii="宋体" w:hAnsi="宋体"/>
          <w:b/>
          <w:szCs w:val="21"/>
        </w:rPr>
        <w:t>其他技术要求</w:t>
      </w:r>
    </w:p>
    <w:p>
      <w:pPr>
        <w:pStyle w:val="2"/>
      </w:pPr>
      <w:r>
        <w:rPr>
          <w:rFonts w:hint="eastAsia"/>
        </w:rPr>
        <w:t>基本要求及框架</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1</w:t>
      </w:r>
      <w:r>
        <w:rPr>
          <w:rFonts w:hint="eastAsia" w:ascii="宋体" w:hAnsi="宋体"/>
          <w:szCs w:val="21"/>
          <w:lang w:val="en-US" w:eastAsia="zh-CN"/>
        </w:rPr>
        <w:t>.</w:t>
      </w:r>
      <w:r>
        <w:rPr>
          <w:rFonts w:hint="eastAsia" w:ascii="宋体" w:hAnsi="宋体"/>
          <w:szCs w:val="21"/>
        </w:rPr>
        <w:t>空气处理机组必须适合设计工况，变风量空调机组必须适合变频运行的情况，运行能耗小，噪音低，保温效果好，漏风率、过滤效率、振动等各项指标均符合国家相应标准。空调机组的数量、性能参数要求详见设备清单。投标文件应列出设备清单内要求的性能参数与投标人提供设备性能参数的对照表，偏差之处要明显的进行提示。</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2</w:t>
      </w:r>
      <w:r>
        <w:rPr>
          <w:rFonts w:hint="eastAsia" w:ascii="宋体" w:hAnsi="宋体"/>
          <w:szCs w:val="21"/>
          <w:lang w:val="en-US" w:eastAsia="zh-CN"/>
        </w:rPr>
        <w:t>.</w:t>
      </w:r>
      <w:r>
        <w:rPr>
          <w:rFonts w:hint="eastAsia" w:ascii="宋体" w:hAnsi="宋体"/>
          <w:szCs w:val="21"/>
        </w:rPr>
        <w:t>空气处理机组选配的风机要求包括风机、电机及传动效率在内的总效率必须满足《公共建筑节能设计标准》GB50189-2015的要求，在计算书中明确表示风机的单位风量耗功率。</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3</w:t>
      </w:r>
      <w:r>
        <w:rPr>
          <w:rFonts w:hint="eastAsia" w:ascii="宋体" w:hAnsi="宋体"/>
          <w:szCs w:val="21"/>
          <w:lang w:val="en-US" w:eastAsia="zh-CN"/>
        </w:rPr>
        <w:t>.</w:t>
      </w:r>
      <w:r>
        <w:rPr>
          <w:rFonts w:hint="eastAsia" w:ascii="宋体" w:hAnsi="宋体"/>
          <w:szCs w:val="21"/>
        </w:rPr>
        <w:t>投标方提供的空调箱、空气处理机组安装尺寸应满足招标图纸的要求方可投标。</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4</w:t>
      </w:r>
      <w:r>
        <w:rPr>
          <w:rFonts w:hint="eastAsia" w:ascii="宋体" w:hAnsi="宋体"/>
          <w:szCs w:val="21"/>
          <w:lang w:val="en-US" w:eastAsia="zh-CN"/>
        </w:rPr>
        <w:t>.</w:t>
      </w:r>
      <w:r>
        <w:rPr>
          <w:rFonts w:hint="eastAsia" w:ascii="宋体" w:hAnsi="宋体"/>
          <w:szCs w:val="21"/>
        </w:rPr>
        <w:t>机组内静压保持700Pa时，空气处理机组最大漏风率应小于2%。正常工作时，箱体外表面不应有凝露现象发生。</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5</w:t>
      </w:r>
      <w:r>
        <w:rPr>
          <w:rFonts w:hint="eastAsia" w:ascii="宋体" w:hAnsi="宋体"/>
          <w:szCs w:val="21"/>
          <w:lang w:val="en-US" w:eastAsia="zh-CN"/>
        </w:rPr>
        <w:t>.</w:t>
      </w:r>
      <w:r>
        <w:rPr>
          <w:rFonts w:hint="eastAsia" w:ascii="宋体" w:hAnsi="宋体"/>
          <w:szCs w:val="21"/>
        </w:rPr>
        <w:t>组合式空气处理机组应在工厂内按照功能段要求组装成单元体，并预先进行调试试验，而后解体运输。设备供应商应根据实际情况，将空气处理机组拆成最少的段数进行运输，再负责在现场重新组装，设备供应商应保证现场组装后的机组性能满足设计要求。由此产生的一切费用由设备供应商负责。所有系统的功能段必须标明系统及机组编号。</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6</w:t>
      </w:r>
      <w:r>
        <w:rPr>
          <w:rFonts w:hint="eastAsia" w:ascii="宋体" w:hAnsi="宋体"/>
          <w:szCs w:val="21"/>
          <w:lang w:val="en-US" w:eastAsia="zh-CN"/>
        </w:rPr>
        <w:t>.</w:t>
      </w:r>
      <w:r>
        <w:rPr>
          <w:rFonts w:hint="eastAsia" w:ascii="宋体" w:hAnsi="宋体"/>
          <w:szCs w:val="21"/>
        </w:rPr>
        <w:t>机组设计寿命不低于10年。</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7</w:t>
      </w:r>
      <w:r>
        <w:rPr>
          <w:rFonts w:hint="eastAsia" w:ascii="宋体" w:hAnsi="宋体"/>
          <w:szCs w:val="21"/>
          <w:lang w:val="en-US" w:eastAsia="zh-CN"/>
        </w:rPr>
        <w:t>.</w:t>
      </w:r>
      <w:r>
        <w:rPr>
          <w:rFonts w:hint="eastAsia" w:ascii="宋体" w:hAnsi="宋体"/>
          <w:szCs w:val="21"/>
        </w:rPr>
        <w:t>除了轴承、密封圈、皮带及转动部件可能在正常寿命期间更换外，其余的材料和部件应在正常情况下运行10年。</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8</w:t>
      </w:r>
      <w:r>
        <w:rPr>
          <w:rFonts w:hint="eastAsia" w:ascii="宋体" w:hAnsi="宋体"/>
          <w:szCs w:val="21"/>
          <w:lang w:val="en-US" w:eastAsia="zh-CN"/>
        </w:rPr>
        <w:t>.</w:t>
      </w:r>
      <w:r>
        <w:rPr>
          <w:rFonts w:hint="eastAsia" w:ascii="宋体" w:hAnsi="宋体"/>
          <w:szCs w:val="21"/>
        </w:rPr>
        <w:t>机组采用框架结构，双层面板，外板采用不小于0</w:t>
      </w:r>
      <w:r>
        <w:rPr>
          <w:rFonts w:ascii="宋体" w:hAnsi="宋体"/>
          <w:szCs w:val="21"/>
        </w:rPr>
        <w:t>.</w:t>
      </w:r>
      <w:r>
        <w:rPr>
          <w:rFonts w:hint="eastAsia" w:ascii="宋体" w:hAnsi="宋体"/>
          <w:szCs w:val="21"/>
        </w:rPr>
        <w:t>5</w:t>
      </w:r>
      <w:r>
        <w:rPr>
          <w:rFonts w:ascii="宋体" w:hAnsi="宋体"/>
          <w:szCs w:val="21"/>
        </w:rPr>
        <w:t>mm</w:t>
      </w:r>
      <w:r>
        <w:rPr>
          <w:rFonts w:hint="eastAsia" w:ascii="宋体" w:hAnsi="宋体"/>
          <w:szCs w:val="21"/>
        </w:rPr>
        <w:t>的彩钢板，内板采用不小于0</w:t>
      </w:r>
      <w:r>
        <w:rPr>
          <w:rFonts w:ascii="宋体" w:hAnsi="宋体"/>
          <w:szCs w:val="21"/>
        </w:rPr>
        <w:t>.</w:t>
      </w:r>
      <w:r>
        <w:rPr>
          <w:rFonts w:hint="eastAsia" w:ascii="宋体" w:hAnsi="宋体"/>
          <w:szCs w:val="21"/>
        </w:rPr>
        <w:t>5</w:t>
      </w:r>
      <w:r>
        <w:rPr>
          <w:rFonts w:ascii="宋体" w:hAnsi="宋体"/>
          <w:szCs w:val="21"/>
        </w:rPr>
        <w:t>mm</w:t>
      </w:r>
      <w:r>
        <w:rPr>
          <w:rFonts w:hint="eastAsia" w:ascii="宋体" w:hAnsi="宋体"/>
          <w:szCs w:val="21"/>
        </w:rPr>
        <w:t>的镀锌钢板。</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9</w:t>
      </w:r>
      <w:r>
        <w:rPr>
          <w:rFonts w:hint="eastAsia" w:ascii="宋体" w:hAnsi="宋体"/>
          <w:szCs w:val="21"/>
          <w:lang w:val="en-US" w:eastAsia="zh-CN"/>
        </w:rPr>
        <w:t>.</w:t>
      </w:r>
      <w:r>
        <w:rPr>
          <w:rFonts w:hint="eastAsia" w:ascii="宋体" w:hAnsi="宋体"/>
          <w:szCs w:val="21"/>
        </w:rPr>
        <w:t>空气处理机组的箱体面板与框架之间，各功能段之间在拼装时，应采用可靠的密封措施，以保证机组的密封性能。在机组正常运行时，机组的漏风率不大于2%。</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10</w:t>
      </w:r>
      <w:r>
        <w:rPr>
          <w:rFonts w:hint="eastAsia" w:ascii="宋体" w:hAnsi="宋体"/>
          <w:szCs w:val="21"/>
          <w:lang w:val="en-US" w:eastAsia="zh-CN"/>
        </w:rPr>
        <w:t>.</w:t>
      </w:r>
      <w:r>
        <w:rPr>
          <w:rFonts w:hint="eastAsia" w:ascii="宋体" w:hAnsi="宋体"/>
          <w:szCs w:val="21"/>
        </w:rPr>
        <w:t>设备供应商提供的机组应保证在环境温度不超过40℃，相对湿度不超过95%的条件下面板外表面不结露。</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11</w:t>
      </w:r>
      <w:r>
        <w:rPr>
          <w:rFonts w:hint="eastAsia" w:ascii="宋体" w:hAnsi="宋体"/>
          <w:szCs w:val="21"/>
          <w:lang w:val="en-US" w:eastAsia="zh-CN"/>
        </w:rPr>
        <w:t>.</w:t>
      </w:r>
      <w:r>
        <w:rPr>
          <w:rFonts w:hint="eastAsia" w:ascii="宋体" w:hAnsi="宋体"/>
          <w:szCs w:val="21"/>
        </w:rPr>
        <w:t>检修门及检修板的位置不能影响到机组的接管。检修门板的结构、型式和材料应与面板相匹配，并且具备防冷桥措施及良好的密封性能。所有检修门及检修板的位置及数量应在合同签订后，根据现场的实际情况确定，并提交业主和设计单位确认。</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12</w:t>
      </w:r>
      <w:r>
        <w:rPr>
          <w:rFonts w:hint="eastAsia" w:ascii="宋体" w:hAnsi="宋体"/>
          <w:szCs w:val="21"/>
          <w:lang w:val="en-US" w:eastAsia="zh-CN"/>
        </w:rPr>
        <w:t>.</w:t>
      </w:r>
      <w:r>
        <w:rPr>
          <w:rFonts w:hint="eastAsia" w:ascii="宋体" w:hAnsi="宋体"/>
          <w:szCs w:val="21"/>
        </w:rPr>
        <w:t>底层面板应考虑检修空间而不破坏保温材料。</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13</w:t>
      </w:r>
      <w:r>
        <w:rPr>
          <w:rFonts w:hint="eastAsia" w:ascii="宋体" w:hAnsi="宋体"/>
          <w:szCs w:val="21"/>
          <w:lang w:val="en-US" w:eastAsia="zh-CN"/>
        </w:rPr>
        <w:t>.</w:t>
      </w:r>
      <w:r>
        <w:rPr>
          <w:rFonts w:hint="eastAsia" w:ascii="宋体" w:hAnsi="宋体"/>
          <w:szCs w:val="21"/>
        </w:rPr>
        <w:t>设备供应商应充分考虑压差传感设备的安装位置，若由于设备供应商未留有足够的安装位置，造成无法安装压差传感设备，由此返工的费用及给业主带来的损失均由设备供应商负责。</w:t>
      </w:r>
    </w:p>
    <w:p>
      <w:pPr>
        <w:tabs>
          <w:tab w:val="left" w:pos="570"/>
          <w:tab w:val="left" w:pos="840"/>
        </w:tabs>
        <w:spacing w:line="360" w:lineRule="auto"/>
        <w:rPr>
          <w:rFonts w:ascii="宋体" w:hAnsi="宋体"/>
          <w:b/>
          <w:szCs w:val="21"/>
        </w:rPr>
      </w:pPr>
      <w:r>
        <w:rPr>
          <w:rFonts w:hint="eastAsia" w:ascii="宋体" w:hAnsi="宋体"/>
          <w:b/>
          <w:szCs w:val="21"/>
        </w:rPr>
        <w:t>风机</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1.</w:t>
      </w:r>
      <w:r>
        <w:rPr>
          <w:rFonts w:hint="eastAsia" w:ascii="宋体" w:hAnsi="宋体"/>
          <w:szCs w:val="21"/>
        </w:rPr>
        <w:t>风机叶轮采用铝合金或镀锌板材质，风机振动测试应满足ANSI/AMCA204-96“风机振动和平衡质量”标准，必须有AMCA（国际空气流动与控制协会）等级认证标志。</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2.</w:t>
      </w:r>
      <w:r>
        <w:rPr>
          <w:rFonts w:hint="eastAsia" w:ascii="宋体" w:hAnsi="宋体"/>
          <w:szCs w:val="21"/>
        </w:rPr>
        <w:t>风机轴应由C45碳钢制成。轴承要求选用自润滑密封免维护型，轴承要求选用</w:t>
      </w:r>
      <w:r>
        <w:rPr>
          <w:rFonts w:ascii="宋体" w:hAnsi="宋体"/>
          <w:szCs w:val="21"/>
        </w:rPr>
        <w:t>FYH</w:t>
      </w:r>
      <w:r>
        <w:rPr>
          <w:rFonts w:hint="eastAsia" w:ascii="宋体" w:hAnsi="宋体"/>
          <w:szCs w:val="21"/>
        </w:rPr>
        <w:t>、NSK、PEER的著名品牌产品。轴承寿命基于ISO 281的L10标准，其寿命应不小于80,000小时。轴承润滑剂应能维持12个月运行周期而不需检修。</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风机传动方式应保证维修简便，风机喇叭口必须为一次旋压成型。投标厂商必须提供风机八频段噪音值，确保与消音器配合保证消音量。</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4.</w:t>
      </w:r>
      <w:r>
        <w:rPr>
          <w:rFonts w:hint="eastAsia" w:ascii="宋体" w:hAnsi="宋体"/>
          <w:szCs w:val="21"/>
        </w:rPr>
        <w:t>风机及电动机应安装在同一碳钢槽制底座上，在设备正常运行工况下，根据风机的转速、重量等参数进行计算，配置适合的弹簧减振器或</w:t>
      </w:r>
      <w:bookmarkStart w:id="79" w:name="_Toc224025467"/>
      <w:r>
        <w:rPr>
          <w:rFonts w:hint="eastAsia" w:ascii="宋体" w:hAnsi="宋体"/>
          <w:szCs w:val="21"/>
        </w:rPr>
        <w:t>橡胶减振器，以减少设备的振动。</w:t>
      </w:r>
    </w:p>
    <w:p>
      <w:pPr>
        <w:tabs>
          <w:tab w:val="left" w:pos="570"/>
          <w:tab w:val="left" w:pos="840"/>
        </w:tabs>
        <w:spacing w:line="360" w:lineRule="auto"/>
        <w:rPr>
          <w:rFonts w:ascii="宋体" w:hAnsi="宋体"/>
          <w:b/>
          <w:szCs w:val="21"/>
        </w:rPr>
      </w:pPr>
      <w:r>
        <w:rPr>
          <w:rFonts w:hint="eastAsia" w:ascii="宋体" w:hAnsi="宋体"/>
          <w:b/>
          <w:szCs w:val="21"/>
        </w:rPr>
        <w:t>3、电机</w:t>
      </w:r>
    </w:p>
    <w:bookmarkEnd w:id="79"/>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1.</w:t>
      </w:r>
      <w:r>
        <w:rPr>
          <w:rFonts w:hint="eastAsia" w:ascii="宋体" w:hAnsi="宋体"/>
          <w:szCs w:val="21"/>
        </w:rPr>
        <w:t>电动机应是全密封风冷防水型，防护等级为不低于IP55，电源为380V，3相，50Hz。</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2.</w:t>
      </w:r>
      <w:r>
        <w:rPr>
          <w:rFonts w:hint="eastAsia" w:ascii="宋体" w:hAnsi="宋体"/>
          <w:szCs w:val="21"/>
        </w:rPr>
        <w:t xml:space="preserve"> 电动机轴承要求选用著名品牌。轴承应是自润滑密封免维护型。轴承寿命基于ISO 281的L10标准，其寿命应不小于80,000小时。</w:t>
      </w:r>
    </w:p>
    <w:p>
      <w:pPr>
        <w:tabs>
          <w:tab w:val="left" w:pos="570"/>
          <w:tab w:val="left" w:pos="840"/>
        </w:tabs>
        <w:spacing w:line="360" w:lineRule="auto"/>
        <w:ind w:firstLine="496" w:firstLineChars="200"/>
        <w:rPr>
          <w:rFonts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对于皮带传动的蜗壳离心风机，电动机的基座应为可调型，以便调节皮带的松紧。</w:t>
      </w:r>
    </w:p>
    <w:p>
      <w:pPr>
        <w:tabs>
          <w:tab w:val="left" w:pos="570"/>
          <w:tab w:val="left" w:pos="840"/>
        </w:tabs>
        <w:spacing w:line="360" w:lineRule="auto"/>
        <w:ind w:firstLine="496" w:firstLineChars="200"/>
        <w:rPr>
          <w:rFonts w:hint="eastAsia" w:ascii="宋体" w:hAnsi="宋体" w:eastAsiaTheme="minorEastAsia"/>
          <w:szCs w:val="21"/>
          <w:lang w:eastAsia="zh-CN"/>
        </w:rPr>
      </w:pPr>
      <w:bookmarkStart w:id="80" w:name="_Toc224025469"/>
      <w:r>
        <w:rPr>
          <w:rFonts w:hint="eastAsia" w:ascii="宋体" w:hAnsi="宋体"/>
          <w:szCs w:val="21"/>
        </w:rPr>
        <w:t xml:space="preserve"> </w:t>
      </w:r>
      <w:bookmarkEnd w:id="80"/>
      <w:r>
        <w:rPr>
          <w:rFonts w:hint="eastAsia" w:ascii="宋体" w:hAnsi="宋体"/>
          <w:szCs w:val="21"/>
          <w:lang w:val="en-US" w:eastAsia="zh-CN"/>
        </w:rPr>
        <w:t>4.</w:t>
      </w:r>
      <w:r>
        <w:rPr>
          <w:rFonts w:hint="eastAsia" w:ascii="宋体" w:hAnsi="宋体"/>
          <w:szCs w:val="21"/>
        </w:rPr>
        <w:t>空气处理机组使用的过滤段为初效过滤器。初效过滤器采用板式过滤器，过滤材料为无纺布，外边框采用镀锌钢材质，滤料及滤框具有防腐性，便于拆卸。板式过滤器外框尺寸应选用国际通用标准尺寸，以方便过滤器的互换。过滤器的效率应达到设计要求</w:t>
      </w:r>
      <w:r>
        <w:rPr>
          <w:rFonts w:hint="eastAsia" w:ascii="宋体" w:hAnsi="宋体"/>
          <w:szCs w:val="21"/>
          <w:lang w:eastAsia="zh-CN"/>
        </w:rPr>
        <w:t>。</w:t>
      </w:r>
    </w:p>
    <w:p>
      <w:pPr>
        <w:spacing w:line="360" w:lineRule="auto"/>
        <w:jc w:val="center"/>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商务条款</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交付工期</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日历日内。</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2、质保期：验收合格后</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3、交货地点：采购人指定地点。</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4、付款方式：</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（1）全部产品安装调试完毕并验收合格后，30日内，甲方向乙方支付合同总价97%的价款。</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（2）留合同总价的3%在质保期满后一次付清。</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（3）结算方式：银行转账。</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（4）结算单位：由采购人负责结算，乙方开具合同总价数的全额发票交采购人。</w:t>
      </w:r>
    </w:p>
    <w:p>
      <w:pPr>
        <w:rPr>
          <w:rFonts w:hint="eastAsia" w:ascii="宋体" w:hAnsi="宋体" w:eastAsia="宋体" w:cs="宋体"/>
        </w:rPr>
      </w:pPr>
      <w:r>
        <w:rPr>
          <w:rFonts w:hint="eastAsia" w:ascii="宋体" w:hAnsi="宋体" w:eastAsia="宋体" w:cs="宋体"/>
        </w:rPr>
        <w:br w:type="page"/>
      </w:r>
    </w:p>
    <w:p>
      <w:pPr>
        <w:pStyle w:val="4"/>
        <w:rPr>
          <w:rFonts w:hint="eastAsia" w:ascii="宋体" w:hAnsi="宋体" w:eastAsia="宋体" w:cs="宋体"/>
        </w:rPr>
      </w:pPr>
      <w:bookmarkStart w:id="81" w:name="_Toc22170"/>
      <w:r>
        <w:rPr>
          <w:rFonts w:hint="eastAsia" w:ascii="宋体" w:hAnsi="宋体" w:eastAsia="宋体" w:cs="宋体"/>
        </w:rPr>
        <w:t>第四章  合同文本</w:t>
      </w:r>
      <w:bookmarkEnd w:id="76"/>
      <w:bookmarkEnd w:id="81"/>
    </w:p>
    <w:p>
      <w:pPr>
        <w:widowControl/>
        <w:textAlignment w:val="baseline"/>
        <w:rPr>
          <w:rStyle w:val="123"/>
          <w:rFonts w:ascii="黑体" w:hAnsi="宋体" w:eastAsia="黑体"/>
          <w:b/>
          <w:sz w:val="32"/>
          <w:szCs w:val="32"/>
          <w:lang w:val="en-US" w:eastAsia="zh-CN" w:bidi="ar-SA"/>
        </w:rPr>
      </w:pPr>
      <w:bookmarkStart w:id="82" w:name="_Toc100219616"/>
      <w:bookmarkStart w:id="83" w:name="_Toc26007"/>
      <w:r>
        <w:rPr>
          <w:rStyle w:val="123"/>
          <w:rFonts w:ascii="黑体" w:hAnsi="宋体" w:eastAsia="黑体"/>
          <w:b/>
          <w:sz w:val="32"/>
          <w:szCs w:val="32"/>
          <w:lang w:val="en-US" w:eastAsia="zh-CN" w:bidi="ar-SA"/>
        </w:rPr>
        <w:t>政府采购项目                市财采计</w:t>
      </w:r>
      <w:r>
        <w:rPr>
          <w:rStyle w:val="123"/>
          <w:rFonts w:ascii="黑体" w:hAnsi="宋体" w:eastAsia="黑体"/>
          <w:b/>
          <w:color w:val="FF0000"/>
          <w:sz w:val="32"/>
          <w:szCs w:val="32"/>
          <w:lang w:val="en-US" w:eastAsia="zh-CN" w:bidi="ar-SA"/>
        </w:rPr>
        <w:t>【202</w:t>
      </w:r>
      <w:r>
        <w:rPr>
          <w:rStyle w:val="123"/>
          <w:rFonts w:hint="eastAsia" w:ascii="黑体" w:hAnsi="宋体" w:eastAsia="黑体"/>
          <w:b/>
          <w:color w:val="FF0000"/>
          <w:sz w:val="32"/>
          <w:szCs w:val="32"/>
          <w:lang w:val="en-US" w:eastAsia="zh-CN" w:bidi="ar-SA"/>
        </w:rPr>
        <w:t>2</w:t>
      </w:r>
      <w:r>
        <w:rPr>
          <w:rStyle w:val="123"/>
          <w:rFonts w:ascii="黑体" w:hAnsi="宋体" w:eastAsia="黑体"/>
          <w:b/>
          <w:color w:val="FF0000"/>
          <w:sz w:val="32"/>
          <w:szCs w:val="32"/>
          <w:lang w:val="en-US" w:eastAsia="zh-CN" w:bidi="ar-SA"/>
        </w:rPr>
        <w:t>】</w:t>
      </w:r>
      <w:r>
        <w:rPr>
          <w:rStyle w:val="123"/>
          <w:rFonts w:hint="eastAsia" w:ascii="黑体" w:hAnsi="宋体" w:eastAsia="黑体"/>
          <w:b/>
          <w:color w:val="FF0000"/>
          <w:sz w:val="32"/>
          <w:szCs w:val="32"/>
          <w:lang w:val="en-US" w:eastAsia="zh-CN" w:bidi="ar-SA"/>
        </w:rPr>
        <w:t xml:space="preserve">    </w:t>
      </w:r>
      <w:r>
        <w:rPr>
          <w:rStyle w:val="123"/>
          <w:rFonts w:ascii="黑体" w:hAnsi="宋体" w:eastAsia="黑体"/>
          <w:b/>
          <w:sz w:val="32"/>
          <w:szCs w:val="32"/>
          <w:lang w:val="en-US" w:eastAsia="zh-CN" w:bidi="ar-SA"/>
        </w:rPr>
        <w:t>号</w:t>
      </w:r>
    </w:p>
    <w:tbl>
      <w:tblPr>
        <w:tblStyle w:val="35"/>
        <w:tblpPr w:leftFromText="180" w:rightFromText="180" w:vertAnchor="text" w:horzAnchor="margin" w:tblpY="2"/>
        <w:tblW w:w="15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76" w:type="dxa"/>
            <w:tcBorders>
              <w:top w:val="single" w:color="000000" w:sz="4" w:space="0"/>
              <w:left w:val="single" w:color="000000" w:sz="4" w:space="0"/>
              <w:bottom w:val="single" w:color="000000" w:sz="4" w:space="0"/>
              <w:right w:val="single" w:color="000000" w:sz="4" w:space="0"/>
            </w:tcBorders>
            <w:vAlign w:val="top"/>
          </w:tcPr>
          <w:p>
            <w:pPr>
              <w:widowControl/>
              <w:textAlignment w:val="baseline"/>
              <w:rPr>
                <w:rStyle w:val="123"/>
                <w:rFonts w:ascii="黑体" w:hAnsi="宋体" w:eastAsia="黑体"/>
                <w:b/>
                <w:color w:val="FF0000"/>
                <w:sz w:val="32"/>
                <w:szCs w:val="32"/>
                <w:lang w:val="en-US" w:eastAsia="zh-CN" w:bidi="ar-SA"/>
              </w:rPr>
            </w:pPr>
            <w:r>
              <w:rPr>
                <w:rStyle w:val="123"/>
                <w:rFonts w:hint="eastAsia" w:ascii="黑体" w:hAnsi="宋体" w:eastAsia="黑体"/>
                <w:b/>
                <w:color w:val="FF0000"/>
                <w:sz w:val="32"/>
                <w:szCs w:val="32"/>
                <w:lang w:val="en-US" w:eastAsia="zh-CN" w:bidi="ar-SA"/>
              </w:rPr>
              <w:t>公开招标</w:t>
            </w:r>
          </w:p>
        </w:tc>
      </w:tr>
    </w:tbl>
    <w:p>
      <w:pPr>
        <w:widowControl/>
        <w:jc w:val="center"/>
        <w:textAlignment w:val="baseline"/>
        <w:rPr>
          <w:rStyle w:val="123"/>
          <w:rFonts w:ascii="黑体" w:hAnsi="宋体" w:eastAsia="黑体"/>
          <w:sz w:val="30"/>
          <w:szCs w:val="30"/>
          <w:lang w:val="en-US" w:eastAsia="zh-CN" w:bidi="ar-SA"/>
        </w:rPr>
      </w:pPr>
      <w:r>
        <w:rPr>
          <w:rStyle w:val="123"/>
          <w:rFonts w:ascii="黑体" w:hAnsi="宋体" w:eastAsia="黑体"/>
          <w:sz w:val="52"/>
          <w:szCs w:val="52"/>
          <w:lang w:val="en-US" w:eastAsia="zh-CN" w:bidi="ar-SA"/>
        </w:rPr>
        <w:t xml:space="preserve">      </w:t>
      </w:r>
    </w:p>
    <w:p>
      <w:pPr>
        <w:widowControl/>
        <w:jc w:val="center"/>
        <w:textAlignment w:val="baseline"/>
        <w:rPr>
          <w:rStyle w:val="123"/>
          <w:rFonts w:ascii="黑体" w:hAnsi="宋体" w:eastAsia="黑体"/>
          <w:sz w:val="52"/>
          <w:szCs w:val="52"/>
          <w:lang w:val="en-US" w:eastAsia="zh-CN" w:bidi="ar-SA"/>
        </w:rPr>
      </w:pPr>
    </w:p>
    <w:p>
      <w:pPr>
        <w:widowControl/>
        <w:jc w:val="center"/>
        <w:textAlignment w:val="baseline"/>
        <w:rPr>
          <w:rStyle w:val="123"/>
          <w:rFonts w:ascii="宋体" w:hAnsi="宋体" w:eastAsia="黑体"/>
          <w:b/>
          <w:spacing w:val="-20"/>
          <w:sz w:val="58"/>
          <w:szCs w:val="58"/>
          <w:lang w:val="en-US" w:eastAsia="zh-CN" w:bidi="ar-SA"/>
        </w:rPr>
      </w:pPr>
      <w:r>
        <w:rPr>
          <w:rStyle w:val="123"/>
          <w:rFonts w:ascii="宋体" w:hAnsi="宋体" w:eastAsia="黑体"/>
          <w:b/>
          <w:spacing w:val="-20"/>
          <w:sz w:val="58"/>
          <w:szCs w:val="58"/>
          <w:lang w:val="en-US" w:eastAsia="zh-CN" w:bidi="ar-SA"/>
        </w:rPr>
        <w:t>西安文理学院</w:t>
      </w:r>
    </w:p>
    <w:p>
      <w:pPr>
        <w:widowControl/>
        <w:jc w:val="center"/>
        <w:textAlignment w:val="baseline"/>
        <w:rPr>
          <w:rStyle w:val="123"/>
          <w:rFonts w:hint="default" w:ascii="宋体" w:hAnsi="宋体" w:eastAsia="黑体" w:cs="Times New Roman"/>
          <w:b/>
          <w:spacing w:val="-20"/>
          <w:sz w:val="58"/>
          <w:szCs w:val="58"/>
          <w:lang w:val="en-US" w:eastAsia="zh-CN" w:bidi="ar-SA"/>
        </w:rPr>
      </w:pPr>
      <w:r>
        <w:rPr>
          <w:rStyle w:val="123"/>
          <w:rFonts w:hint="eastAsia" w:ascii="宋体" w:hAnsi="宋体" w:eastAsia="黑体" w:cs="Times New Roman"/>
          <w:b/>
          <w:spacing w:val="-20"/>
          <w:sz w:val="58"/>
          <w:szCs w:val="58"/>
          <w:lang w:val="en-US" w:eastAsia="zh-CN" w:bidi="ar-SA"/>
        </w:rPr>
        <w:t>图书馆中央空调改造项目（二次）</w:t>
      </w:r>
    </w:p>
    <w:p>
      <w:pPr>
        <w:widowControl/>
        <w:jc w:val="center"/>
        <w:textAlignment w:val="baseline"/>
        <w:rPr>
          <w:rStyle w:val="123"/>
          <w:rFonts w:ascii="黑体" w:hAnsi="宋体" w:eastAsia="黑体"/>
          <w:b/>
          <w:sz w:val="72"/>
          <w:szCs w:val="72"/>
          <w:lang w:val="en-US" w:eastAsia="zh-CN" w:bidi="ar-SA"/>
        </w:rPr>
      </w:pPr>
    </w:p>
    <w:p>
      <w:pPr>
        <w:widowControl/>
        <w:jc w:val="center"/>
        <w:textAlignment w:val="baseline"/>
        <w:rPr>
          <w:rStyle w:val="123"/>
          <w:rFonts w:ascii="黑体" w:hAnsi="宋体" w:eastAsia="黑体"/>
          <w:b/>
          <w:sz w:val="72"/>
          <w:szCs w:val="72"/>
          <w:lang w:val="en-US" w:eastAsia="zh-CN" w:bidi="ar-SA"/>
        </w:rPr>
      </w:pPr>
      <w:r>
        <w:rPr>
          <w:rStyle w:val="123"/>
          <w:rFonts w:ascii="黑体" w:hAnsi="宋体" w:eastAsia="黑体"/>
          <w:b/>
          <w:sz w:val="72"/>
          <w:szCs w:val="72"/>
          <w:lang w:val="en-US" w:eastAsia="zh-CN" w:bidi="ar-SA"/>
        </w:rPr>
        <w:t>供 货 合 同</w:t>
      </w:r>
    </w:p>
    <w:p>
      <w:pPr>
        <w:widowControl/>
        <w:jc w:val="center"/>
        <w:textAlignment w:val="baseline"/>
        <w:rPr>
          <w:rStyle w:val="123"/>
          <w:rFonts w:ascii="黑体" w:hAnsi="宋体" w:eastAsia="黑体"/>
          <w:color w:val="FF0000"/>
          <w:sz w:val="30"/>
          <w:szCs w:val="30"/>
          <w:lang w:val="en-US" w:eastAsia="zh-CN" w:bidi="ar-SA"/>
        </w:rPr>
      </w:pPr>
    </w:p>
    <w:p>
      <w:pPr>
        <w:widowControl/>
        <w:textAlignment w:val="baseline"/>
        <w:rPr>
          <w:rStyle w:val="123"/>
          <w:rFonts w:ascii="黑体" w:hAnsi="宋体" w:eastAsia="黑体"/>
          <w:sz w:val="30"/>
          <w:szCs w:val="30"/>
          <w:lang w:val="en-US" w:eastAsia="zh-CN" w:bidi="ar-SA"/>
        </w:rPr>
      </w:pPr>
    </w:p>
    <w:p>
      <w:pPr>
        <w:widowControl/>
        <w:textAlignment w:val="baseline"/>
        <w:rPr>
          <w:rStyle w:val="123"/>
          <w:rFonts w:ascii="黑体" w:hAnsi="宋体" w:eastAsia="黑体"/>
          <w:sz w:val="30"/>
          <w:szCs w:val="30"/>
          <w:lang w:val="en-US" w:eastAsia="zh-CN" w:bidi="ar-SA"/>
        </w:rPr>
      </w:pPr>
    </w:p>
    <w:p>
      <w:pPr>
        <w:widowControl/>
        <w:jc w:val="center"/>
        <w:textAlignment w:val="baseline"/>
        <w:rPr>
          <w:rStyle w:val="123"/>
          <w:rFonts w:ascii="黑体" w:hAnsi="宋体" w:eastAsia="黑体"/>
          <w:sz w:val="30"/>
          <w:szCs w:val="30"/>
          <w:lang w:val="en-US" w:eastAsia="zh-CN" w:bidi="ar-SA"/>
        </w:rPr>
      </w:pPr>
    </w:p>
    <w:p>
      <w:pPr>
        <w:widowControl/>
        <w:ind w:firstLine="2132" w:firstLineChars="650"/>
        <w:textAlignment w:val="baseline"/>
        <w:rPr>
          <w:rStyle w:val="123"/>
          <w:rFonts w:ascii="黑体" w:hAnsi="宋体" w:eastAsia="黑体"/>
          <w:sz w:val="32"/>
          <w:szCs w:val="32"/>
          <w:lang w:val="en-US" w:eastAsia="zh-CN" w:bidi="ar-SA"/>
        </w:rPr>
      </w:pPr>
      <w:r>
        <w:rPr>
          <w:rStyle w:val="123"/>
          <w:rFonts w:ascii="黑体" w:hAnsi="宋体" w:eastAsia="黑体"/>
          <w:sz w:val="32"/>
          <w:szCs w:val="32"/>
          <w:lang w:val="en-US" w:eastAsia="zh-CN" w:bidi="ar-SA"/>
        </w:rPr>
        <w:t>甲  方：西安文理学院</w:t>
      </w:r>
    </w:p>
    <w:p>
      <w:pPr>
        <w:widowControl/>
        <w:tabs>
          <w:tab w:val="left" w:pos="480"/>
        </w:tabs>
        <w:ind w:firstLine="656" w:firstLineChars="200"/>
        <w:textAlignment w:val="baseline"/>
        <w:rPr>
          <w:rStyle w:val="123"/>
          <w:rFonts w:ascii="黑体" w:hAnsi="宋体" w:eastAsia="黑体"/>
          <w:sz w:val="32"/>
          <w:szCs w:val="32"/>
          <w:lang w:val="en-US" w:eastAsia="zh-CN" w:bidi="ar-SA"/>
        </w:rPr>
      </w:pPr>
      <w:r>
        <w:rPr>
          <w:rStyle w:val="123"/>
          <w:rFonts w:ascii="黑体" w:hAnsi="宋体" w:eastAsia="黑体"/>
          <w:sz w:val="32"/>
          <w:szCs w:val="32"/>
          <w:lang w:val="en-US" w:eastAsia="zh-CN" w:bidi="ar-SA"/>
        </w:rPr>
        <w:t xml:space="preserve">         乙  方：          </w:t>
      </w:r>
    </w:p>
    <w:p>
      <w:pPr>
        <w:widowControl/>
        <w:textAlignment w:val="baseline"/>
        <w:rPr>
          <w:rStyle w:val="123"/>
          <w:rFonts w:ascii="黑体" w:hAnsi="宋体" w:eastAsia="黑体"/>
          <w:color w:val="FF0000"/>
          <w:sz w:val="32"/>
          <w:szCs w:val="32"/>
          <w:lang w:val="en-US" w:eastAsia="zh-CN" w:bidi="ar-SA"/>
        </w:rPr>
      </w:pPr>
      <w:r>
        <w:rPr>
          <w:rStyle w:val="123"/>
          <w:rFonts w:ascii="黑体" w:hAnsi="宋体" w:eastAsia="黑体"/>
          <w:sz w:val="32"/>
          <w:szCs w:val="32"/>
          <w:lang w:val="en-US" w:eastAsia="zh-CN" w:bidi="ar-SA"/>
        </w:rPr>
        <w:t xml:space="preserve">            </w:t>
      </w:r>
    </w:p>
    <w:p>
      <w:pPr>
        <w:widowControl/>
        <w:jc w:val="center"/>
        <w:textAlignment w:val="baseline"/>
        <w:rPr>
          <w:rStyle w:val="123"/>
          <w:rFonts w:ascii="黑体" w:hAnsi="宋体" w:eastAsia="黑体"/>
          <w:sz w:val="30"/>
          <w:szCs w:val="30"/>
          <w:lang w:val="en-US" w:eastAsia="zh-CN" w:bidi="ar-SA"/>
        </w:rPr>
      </w:pPr>
    </w:p>
    <w:p>
      <w:pPr>
        <w:widowControl/>
        <w:jc w:val="center"/>
        <w:textAlignment w:val="baseline"/>
        <w:rPr>
          <w:rStyle w:val="123"/>
          <w:rFonts w:ascii="黑体" w:hAnsi="宋体" w:eastAsia="黑体"/>
          <w:sz w:val="32"/>
          <w:szCs w:val="32"/>
          <w:lang w:val="en-US" w:eastAsia="zh-CN" w:bidi="ar-SA"/>
        </w:rPr>
      </w:pPr>
      <w:r>
        <w:rPr>
          <w:rStyle w:val="123"/>
          <w:rFonts w:ascii="黑体" w:hAnsi="宋体" w:eastAsia="黑体"/>
          <w:sz w:val="32"/>
          <w:szCs w:val="32"/>
          <w:lang w:val="en-US" w:eastAsia="zh-CN" w:bidi="ar-SA"/>
        </w:rPr>
        <w:t>202</w:t>
      </w:r>
      <w:r>
        <w:rPr>
          <w:rStyle w:val="123"/>
          <w:rFonts w:hint="eastAsia" w:ascii="黑体" w:hAnsi="宋体" w:eastAsia="黑体"/>
          <w:sz w:val="32"/>
          <w:szCs w:val="32"/>
          <w:lang w:val="en-US" w:eastAsia="zh-CN" w:bidi="ar-SA"/>
        </w:rPr>
        <w:t>2</w:t>
      </w:r>
      <w:r>
        <w:rPr>
          <w:rStyle w:val="123"/>
          <w:rFonts w:ascii="黑体" w:hAnsi="宋体" w:eastAsia="黑体"/>
          <w:sz w:val="32"/>
          <w:szCs w:val="32"/>
          <w:lang w:val="en-US" w:eastAsia="zh-CN" w:bidi="ar-SA"/>
        </w:rPr>
        <w:t>年</w:t>
      </w:r>
      <w:r>
        <w:rPr>
          <w:rStyle w:val="123"/>
          <w:rFonts w:hint="eastAsia" w:ascii="黑体" w:hAnsi="宋体" w:eastAsia="黑体"/>
          <w:sz w:val="32"/>
          <w:szCs w:val="32"/>
          <w:lang w:val="en-US" w:eastAsia="zh-CN" w:bidi="ar-SA"/>
        </w:rPr>
        <w:t xml:space="preserve">  </w:t>
      </w:r>
      <w:r>
        <w:rPr>
          <w:rStyle w:val="123"/>
          <w:rFonts w:ascii="黑体" w:hAnsi="宋体" w:eastAsia="黑体"/>
          <w:sz w:val="32"/>
          <w:szCs w:val="32"/>
          <w:lang w:val="en-US" w:eastAsia="zh-CN" w:bidi="ar-SA"/>
        </w:rPr>
        <w:t>月</w:t>
      </w:r>
    </w:p>
    <w:p>
      <w:pPr>
        <w:widowControl/>
        <w:jc w:val="center"/>
        <w:textAlignment w:val="baseline"/>
        <w:rPr>
          <w:rStyle w:val="123"/>
          <w:rFonts w:ascii="黑体" w:hAnsi="宋体" w:eastAsia="黑体"/>
          <w:sz w:val="32"/>
          <w:szCs w:val="32"/>
          <w:lang w:val="en-US" w:eastAsia="zh-CN" w:bidi="ar-SA"/>
        </w:rPr>
      </w:pPr>
      <w:r>
        <w:rPr>
          <w:rStyle w:val="123"/>
          <w:rFonts w:ascii="黑体" w:hAnsi="宋体" w:eastAsia="黑体"/>
          <w:sz w:val="32"/>
          <w:szCs w:val="32"/>
          <w:lang w:val="en-US" w:eastAsia="zh-CN" w:bidi="ar-SA"/>
        </w:rPr>
        <w:t>中国  西安</w:t>
      </w:r>
    </w:p>
    <w:p>
      <w:pPr>
        <w:widowControl/>
        <w:jc w:val="center"/>
        <w:textAlignment w:val="baseline"/>
        <w:rPr>
          <w:rStyle w:val="123"/>
          <w:rFonts w:ascii="黑体" w:hAnsi="宋体" w:eastAsia="黑体"/>
          <w:b/>
          <w:sz w:val="36"/>
          <w:szCs w:val="36"/>
          <w:lang w:val="en-US" w:eastAsia="zh-CN" w:bidi="ar-SA"/>
        </w:rPr>
      </w:pPr>
    </w:p>
    <w:p>
      <w:pPr>
        <w:widowControl/>
        <w:jc w:val="center"/>
        <w:textAlignment w:val="baseline"/>
        <w:rPr>
          <w:rStyle w:val="123"/>
          <w:rFonts w:ascii="黑体" w:hAnsi="宋体" w:eastAsia="黑体"/>
          <w:b/>
          <w:sz w:val="36"/>
          <w:szCs w:val="36"/>
          <w:lang w:val="en-US" w:eastAsia="zh-CN" w:bidi="ar-SA"/>
        </w:rPr>
      </w:pPr>
    </w:p>
    <w:p>
      <w:pPr>
        <w:widowControl/>
        <w:jc w:val="center"/>
        <w:textAlignment w:val="baseline"/>
        <w:rPr>
          <w:rStyle w:val="123"/>
          <w:rFonts w:ascii="黑体" w:hAnsi="宋体" w:eastAsia="黑体"/>
          <w:b/>
          <w:sz w:val="36"/>
          <w:szCs w:val="36"/>
          <w:lang w:val="en-US" w:eastAsia="zh-CN" w:bidi="ar-SA"/>
        </w:rPr>
      </w:pPr>
      <w:r>
        <w:rPr>
          <w:rStyle w:val="123"/>
          <w:rFonts w:ascii="黑体" w:hAnsi="宋体" w:eastAsia="黑体"/>
          <w:b/>
          <w:sz w:val="36"/>
          <w:szCs w:val="36"/>
          <w:lang w:val="en-US" w:eastAsia="zh-CN" w:bidi="ar-SA"/>
        </w:rPr>
        <w:t>供 货 合 同</w:t>
      </w:r>
    </w:p>
    <w:p>
      <w:pPr>
        <w:widowControl/>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甲方：（采购单位名称）西安文理学院</w:t>
      </w:r>
    </w:p>
    <w:p>
      <w:pPr>
        <w:widowControl/>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 xml:space="preserve">乙方：（供应商名称） </w:t>
      </w:r>
    </w:p>
    <w:p>
      <w:pPr>
        <w:widowControl/>
        <w:spacing w:line="400" w:lineRule="exact"/>
        <w:ind w:firstLine="496" w:firstLineChars="200"/>
        <w:textAlignment w:val="baseline"/>
        <w:rPr>
          <w:rStyle w:val="123"/>
          <w:rFonts w:ascii="宋体" w:hAnsi="宋体"/>
          <w:sz w:val="24"/>
          <w:szCs w:val="21"/>
          <w:lang w:val="en-US" w:eastAsia="zh-CN" w:bidi="ar-SA"/>
        </w:rPr>
      </w:pPr>
    </w:p>
    <w:p>
      <w:pPr>
        <w:widowControl/>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在西安市财政局政府采购管理处的监督管理下，按照政府采购程序对单一来源的要求标准，确定乙方为中标供应商。依据《中华人民共和国政府采购法》、《中华人民共和国招标投标法》、《中华人民共和国</w:t>
      </w:r>
      <w:r>
        <w:rPr>
          <w:rStyle w:val="123"/>
          <w:rFonts w:hint="eastAsia" w:ascii="宋体" w:hAnsi="宋体"/>
          <w:sz w:val="24"/>
          <w:szCs w:val="21"/>
          <w:lang w:val="en-US" w:eastAsia="zh-CN" w:bidi="ar-SA"/>
        </w:rPr>
        <w:t>民法典</w:t>
      </w:r>
      <w:r>
        <w:rPr>
          <w:rStyle w:val="123"/>
          <w:rFonts w:ascii="宋体" w:hAnsi="宋体"/>
          <w:sz w:val="24"/>
          <w:szCs w:val="21"/>
          <w:lang w:val="en-US" w:eastAsia="zh-CN" w:bidi="ar-SA"/>
        </w:rPr>
        <w:t>》，经甲、乙双方协商，确认方确认，达成如下条款。</w:t>
      </w:r>
    </w:p>
    <w:p>
      <w:pPr>
        <w:widowControl/>
        <w:numPr>
          <w:ilvl w:val="0"/>
          <w:numId w:val="9"/>
        </w:numPr>
        <w:tabs>
          <w:tab w:val="left" w:pos="480"/>
        </w:tabs>
        <w:spacing w:line="400" w:lineRule="exact"/>
        <w:ind w:left="1202" w:hanging="720"/>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合同标的物内容及数量</w:t>
      </w:r>
    </w:p>
    <w:p>
      <w:pPr>
        <w:widowControl/>
        <w:tabs>
          <w:tab w:val="left" w:pos="480"/>
        </w:tabs>
        <w:spacing w:line="400" w:lineRule="exact"/>
        <w:ind w:left="1202"/>
        <w:textAlignment w:val="baseline"/>
        <w:rPr>
          <w:rStyle w:val="123"/>
          <w:rFonts w:ascii="宋体" w:hAnsi="宋体"/>
          <w:b/>
          <w:sz w:val="24"/>
          <w:szCs w:val="21"/>
          <w:lang w:val="en-US" w:eastAsia="zh-CN" w:bidi="ar-SA"/>
        </w:rPr>
      </w:pPr>
    </w:p>
    <w:tbl>
      <w:tblPr>
        <w:tblStyle w:val="35"/>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01"/>
        <w:gridCol w:w="993"/>
        <w:gridCol w:w="2268"/>
        <w:gridCol w:w="1134"/>
        <w:gridCol w:w="1417"/>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23"/>
                <w:rFonts w:ascii="宋体" w:hAnsi="宋体"/>
                <w:color w:val="000000"/>
                <w:sz w:val="18"/>
                <w:szCs w:val="18"/>
                <w:lang w:val="en-US" w:eastAsia="zh-CN" w:bidi="ar-SA"/>
              </w:rPr>
            </w:pPr>
            <w:r>
              <w:rPr>
                <w:rStyle w:val="123"/>
                <w:rFonts w:ascii="宋体" w:hAnsi="宋体"/>
                <w:color w:val="000000"/>
                <w:sz w:val="18"/>
                <w:szCs w:val="18"/>
                <w:lang w:val="en-US" w:eastAsia="zh-CN" w:bidi="ar-SA"/>
              </w:rPr>
              <w:t>产品名称</w:t>
            </w:r>
          </w:p>
        </w:tc>
        <w:tc>
          <w:tcPr>
            <w:tcW w:w="993"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23"/>
                <w:rFonts w:ascii="宋体" w:hAnsi="宋体"/>
                <w:color w:val="000000"/>
                <w:sz w:val="18"/>
                <w:szCs w:val="18"/>
                <w:lang w:val="en-US" w:eastAsia="zh-CN" w:bidi="ar-SA"/>
              </w:rPr>
            </w:pPr>
            <w:r>
              <w:rPr>
                <w:rStyle w:val="123"/>
                <w:rFonts w:ascii="宋体" w:hAnsi="宋体"/>
                <w:color w:val="000000"/>
                <w:sz w:val="18"/>
                <w:szCs w:val="18"/>
                <w:lang w:val="en-US" w:eastAsia="zh-CN" w:bidi="ar-SA"/>
              </w:rPr>
              <w:t>品牌</w:t>
            </w:r>
          </w:p>
        </w:tc>
        <w:tc>
          <w:tcPr>
            <w:tcW w:w="226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23"/>
                <w:rFonts w:ascii="宋体" w:hAnsi="宋体"/>
                <w:color w:val="000000"/>
                <w:sz w:val="18"/>
                <w:szCs w:val="18"/>
                <w:lang w:val="en-US" w:eastAsia="zh-CN" w:bidi="ar-SA"/>
              </w:rPr>
            </w:pPr>
            <w:r>
              <w:rPr>
                <w:rStyle w:val="123"/>
                <w:rFonts w:ascii="宋体" w:hAnsi="宋体"/>
                <w:color w:val="000000"/>
                <w:sz w:val="18"/>
                <w:szCs w:val="18"/>
                <w:lang w:val="en-US" w:eastAsia="zh-CN" w:bidi="ar-SA"/>
              </w:rPr>
              <w:t>型号</w:t>
            </w:r>
          </w:p>
        </w:tc>
        <w:tc>
          <w:tcPr>
            <w:tcW w:w="1134"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23"/>
                <w:rFonts w:ascii="宋体" w:hAnsi="宋体"/>
                <w:color w:val="000000"/>
                <w:sz w:val="18"/>
                <w:szCs w:val="18"/>
                <w:lang w:val="en-US" w:eastAsia="zh-CN" w:bidi="ar-SA"/>
              </w:rPr>
            </w:pPr>
            <w:r>
              <w:rPr>
                <w:rStyle w:val="123"/>
                <w:rFonts w:ascii="宋体" w:hAnsi="宋体"/>
                <w:color w:val="000000"/>
                <w:sz w:val="18"/>
                <w:szCs w:val="18"/>
                <w:lang w:val="en-US" w:eastAsia="zh-CN" w:bidi="ar-SA"/>
              </w:rPr>
              <w:t>数量</w:t>
            </w:r>
          </w:p>
        </w:tc>
        <w:tc>
          <w:tcPr>
            <w:tcW w:w="1417"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23"/>
                <w:rFonts w:ascii="宋体" w:hAnsi="宋体"/>
                <w:color w:val="000000"/>
                <w:sz w:val="18"/>
                <w:szCs w:val="18"/>
                <w:lang w:val="en-US" w:eastAsia="zh-CN" w:bidi="ar-SA"/>
              </w:rPr>
            </w:pPr>
            <w:r>
              <w:rPr>
                <w:rStyle w:val="123"/>
                <w:rFonts w:ascii="宋体" w:hAnsi="宋体"/>
                <w:color w:val="000000"/>
                <w:sz w:val="18"/>
                <w:szCs w:val="18"/>
                <w:lang w:val="en-US" w:eastAsia="zh-CN" w:bidi="ar-SA"/>
              </w:rPr>
              <w:t>单价</w:t>
            </w:r>
          </w:p>
        </w:tc>
        <w:tc>
          <w:tcPr>
            <w:tcW w:w="155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23"/>
                <w:rFonts w:ascii="宋体" w:hAnsi="宋体"/>
                <w:color w:val="000000"/>
                <w:sz w:val="18"/>
                <w:szCs w:val="18"/>
                <w:lang w:val="en-US" w:eastAsia="zh-CN" w:bidi="ar-SA"/>
              </w:rPr>
            </w:pPr>
            <w:r>
              <w:rPr>
                <w:rStyle w:val="123"/>
                <w:rFonts w:ascii="宋体" w:hAnsi="宋体"/>
                <w:color w:val="000000"/>
                <w:sz w:val="18"/>
                <w:szCs w:val="18"/>
                <w:lang w:val="en-US" w:eastAsia="zh-CN" w:bidi="ar-SA"/>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701"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23"/>
                <w:rFonts w:ascii="宋体" w:hAnsi="宋体" w:eastAsia="宋体"/>
                <w:color w:val="343434"/>
                <w:sz w:val="18"/>
                <w:szCs w:val="18"/>
                <w:lang w:val="en-US" w:eastAsia="zh-CN" w:bidi="ar-SA"/>
              </w:rPr>
            </w:pPr>
          </w:p>
        </w:tc>
        <w:tc>
          <w:tcPr>
            <w:tcW w:w="993"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2268"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1134"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1417"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1559"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701"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23"/>
                <w:rFonts w:ascii="宋体" w:hAnsi="宋体" w:eastAsia="宋体"/>
                <w:color w:val="343434"/>
                <w:sz w:val="18"/>
                <w:szCs w:val="18"/>
                <w:lang w:val="en-US" w:eastAsia="zh-CN" w:bidi="ar-SA"/>
              </w:rPr>
            </w:pPr>
          </w:p>
        </w:tc>
        <w:tc>
          <w:tcPr>
            <w:tcW w:w="993"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2268"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1134" w:type="dxa"/>
            <w:tcBorders>
              <w:top w:val="nil"/>
              <w:left w:val="nil"/>
              <w:bottom w:val="single" w:color="000000" w:sz="4" w:space="0"/>
              <w:right w:val="single" w:color="000000" w:sz="4" w:space="0"/>
            </w:tcBorders>
            <w:noWrap/>
            <w:vAlign w:val="center"/>
          </w:tcPr>
          <w:p>
            <w:pPr>
              <w:widowControl/>
              <w:jc w:val="center"/>
              <w:textAlignment w:val="baseline"/>
              <w:rPr>
                <w:rStyle w:val="123"/>
                <w:rFonts w:ascii="宋体" w:hAnsi="宋体" w:eastAsia="宋体"/>
                <w:color w:val="000000"/>
                <w:sz w:val="18"/>
                <w:szCs w:val="18"/>
                <w:lang w:val="en-US" w:eastAsia="zh-CN" w:bidi="ar-SA"/>
              </w:rPr>
            </w:pPr>
          </w:p>
        </w:tc>
        <w:tc>
          <w:tcPr>
            <w:tcW w:w="1417" w:type="dxa"/>
            <w:tcBorders>
              <w:top w:val="nil"/>
              <w:left w:val="nil"/>
              <w:bottom w:val="single" w:color="000000" w:sz="4" w:space="0"/>
              <w:right w:val="single" w:color="000000" w:sz="4" w:space="0"/>
            </w:tcBorders>
            <w:noWrap/>
            <w:vAlign w:val="center"/>
          </w:tcPr>
          <w:p>
            <w:pPr>
              <w:widowControl/>
              <w:jc w:val="center"/>
              <w:textAlignment w:val="baseline"/>
              <w:rPr>
                <w:rStyle w:val="123"/>
                <w:rFonts w:ascii="宋体" w:hAnsi="宋体" w:eastAsia="宋体"/>
                <w:color w:val="000000"/>
                <w:sz w:val="18"/>
                <w:szCs w:val="18"/>
                <w:lang w:val="en-US" w:eastAsia="zh-CN" w:bidi="ar-SA"/>
              </w:rPr>
            </w:pPr>
          </w:p>
        </w:tc>
        <w:tc>
          <w:tcPr>
            <w:tcW w:w="1559" w:type="dxa"/>
            <w:tcBorders>
              <w:top w:val="nil"/>
              <w:left w:val="nil"/>
              <w:bottom w:val="single" w:color="000000" w:sz="4" w:space="0"/>
              <w:right w:val="single" w:color="000000" w:sz="4" w:space="0"/>
            </w:tcBorders>
            <w:noWrap/>
            <w:vAlign w:val="center"/>
          </w:tcPr>
          <w:p>
            <w:pPr>
              <w:widowControl/>
              <w:jc w:val="center"/>
              <w:textAlignment w:val="baseline"/>
              <w:rPr>
                <w:rStyle w:val="123"/>
                <w:rFonts w:ascii="宋体" w:hAnsi="宋体" w:eastAsia="宋体"/>
                <w:color w:val="00000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701"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23"/>
                <w:rFonts w:ascii="宋体" w:hAnsi="宋体" w:eastAsia="宋体"/>
                <w:color w:val="343434"/>
                <w:sz w:val="18"/>
                <w:szCs w:val="18"/>
                <w:lang w:val="en-US" w:eastAsia="zh-CN" w:bidi="ar-SA"/>
              </w:rPr>
            </w:pPr>
          </w:p>
        </w:tc>
        <w:tc>
          <w:tcPr>
            <w:tcW w:w="993"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2268" w:type="dxa"/>
            <w:tcBorders>
              <w:top w:val="nil"/>
              <w:left w:val="nil"/>
              <w:bottom w:val="single" w:color="000000" w:sz="4" w:space="0"/>
              <w:right w:val="single" w:color="000000" w:sz="4" w:space="0"/>
            </w:tcBorders>
            <w:vAlign w:val="center"/>
          </w:tcPr>
          <w:p>
            <w:pPr>
              <w:widowControl/>
              <w:jc w:val="center"/>
              <w:textAlignment w:val="baseline"/>
              <w:rPr>
                <w:rStyle w:val="123"/>
                <w:rFonts w:ascii="宋体" w:hAnsi="宋体" w:eastAsia="宋体"/>
                <w:color w:val="000000"/>
                <w:sz w:val="18"/>
                <w:szCs w:val="18"/>
                <w:lang w:val="en-US" w:eastAsia="zh-CN" w:bidi="ar-SA"/>
              </w:rPr>
            </w:pPr>
          </w:p>
        </w:tc>
        <w:tc>
          <w:tcPr>
            <w:tcW w:w="1134" w:type="dxa"/>
            <w:tcBorders>
              <w:top w:val="nil"/>
              <w:left w:val="nil"/>
              <w:bottom w:val="single" w:color="000000" w:sz="4" w:space="0"/>
              <w:right w:val="single" w:color="000000" w:sz="4" w:space="0"/>
            </w:tcBorders>
            <w:noWrap/>
            <w:vAlign w:val="center"/>
          </w:tcPr>
          <w:p>
            <w:pPr>
              <w:widowControl/>
              <w:jc w:val="center"/>
              <w:textAlignment w:val="baseline"/>
              <w:rPr>
                <w:rStyle w:val="123"/>
                <w:rFonts w:ascii="宋体" w:hAnsi="宋体" w:eastAsia="宋体"/>
                <w:color w:val="000000"/>
                <w:sz w:val="18"/>
                <w:szCs w:val="18"/>
                <w:lang w:val="en-US" w:eastAsia="zh-CN" w:bidi="ar-SA"/>
              </w:rPr>
            </w:pPr>
          </w:p>
        </w:tc>
        <w:tc>
          <w:tcPr>
            <w:tcW w:w="1417" w:type="dxa"/>
            <w:tcBorders>
              <w:top w:val="nil"/>
              <w:left w:val="nil"/>
              <w:bottom w:val="single" w:color="000000" w:sz="4" w:space="0"/>
              <w:right w:val="single" w:color="000000" w:sz="4" w:space="0"/>
            </w:tcBorders>
            <w:noWrap/>
            <w:vAlign w:val="center"/>
          </w:tcPr>
          <w:p>
            <w:pPr>
              <w:widowControl/>
              <w:jc w:val="center"/>
              <w:textAlignment w:val="baseline"/>
              <w:rPr>
                <w:rStyle w:val="123"/>
                <w:rFonts w:ascii="宋体" w:hAnsi="宋体" w:eastAsia="宋体"/>
                <w:color w:val="000000"/>
                <w:sz w:val="18"/>
                <w:szCs w:val="18"/>
                <w:lang w:val="en-US" w:eastAsia="zh-CN" w:bidi="ar-SA"/>
              </w:rPr>
            </w:pPr>
          </w:p>
        </w:tc>
        <w:tc>
          <w:tcPr>
            <w:tcW w:w="1559" w:type="dxa"/>
            <w:tcBorders>
              <w:top w:val="nil"/>
              <w:left w:val="nil"/>
              <w:bottom w:val="single" w:color="000000" w:sz="4" w:space="0"/>
              <w:right w:val="single" w:color="000000" w:sz="4" w:space="0"/>
            </w:tcBorders>
            <w:noWrap/>
            <w:vAlign w:val="center"/>
          </w:tcPr>
          <w:p>
            <w:pPr>
              <w:widowControl/>
              <w:jc w:val="center"/>
              <w:textAlignment w:val="baseline"/>
              <w:rPr>
                <w:rStyle w:val="123"/>
                <w:rFonts w:ascii="宋体" w:hAnsi="宋体" w:eastAsia="宋体"/>
                <w:color w:val="00000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7513"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aseline"/>
              <w:rPr>
                <w:rStyle w:val="123"/>
                <w:rFonts w:hint="default" w:ascii="宋体" w:hAnsi="宋体" w:eastAsia="宋体"/>
                <w:color w:val="000000"/>
                <w:sz w:val="18"/>
                <w:szCs w:val="18"/>
                <w:lang w:val="en-US" w:eastAsia="zh-CN" w:bidi="ar-SA"/>
              </w:rPr>
            </w:pPr>
            <w:r>
              <w:rPr>
                <w:rStyle w:val="123"/>
                <w:rFonts w:ascii="宋体" w:hAnsi="宋体" w:eastAsia="宋体"/>
                <w:color w:val="000000"/>
                <w:sz w:val="18"/>
                <w:szCs w:val="18"/>
                <w:lang w:val="en-US" w:eastAsia="zh-CN" w:bidi="ar-SA"/>
              </w:rPr>
              <w:t>合计：大写：</w:t>
            </w:r>
            <w:r>
              <w:rPr>
                <w:rStyle w:val="123"/>
                <w:rFonts w:hint="eastAsia" w:ascii="宋体" w:hAnsi="宋体" w:eastAsia="宋体"/>
                <w:color w:val="000000"/>
                <w:sz w:val="18"/>
                <w:szCs w:val="18"/>
                <w:lang w:val="en-US" w:eastAsia="zh-CN" w:bidi="ar-SA"/>
              </w:rPr>
              <w:t xml:space="preserve">    </w:t>
            </w:r>
          </w:p>
        </w:tc>
        <w:tc>
          <w:tcPr>
            <w:tcW w:w="1559" w:type="dxa"/>
            <w:tcBorders>
              <w:top w:val="nil"/>
              <w:left w:val="nil"/>
              <w:bottom w:val="single" w:color="000000" w:sz="4" w:space="0"/>
              <w:right w:val="single" w:color="000000" w:sz="4" w:space="0"/>
            </w:tcBorders>
            <w:noWrap/>
            <w:vAlign w:val="center"/>
          </w:tcPr>
          <w:p>
            <w:pPr>
              <w:widowControl/>
              <w:jc w:val="center"/>
              <w:textAlignment w:val="baseline"/>
              <w:rPr>
                <w:rStyle w:val="123"/>
                <w:rFonts w:ascii="宋体" w:hAnsi="宋体" w:eastAsia="宋体"/>
                <w:color w:val="000000"/>
                <w:sz w:val="18"/>
                <w:szCs w:val="18"/>
                <w:lang w:val="en-US" w:eastAsia="zh-CN" w:bidi="ar-SA"/>
              </w:rPr>
            </w:pPr>
          </w:p>
        </w:tc>
      </w:tr>
    </w:tbl>
    <w:p>
      <w:pPr>
        <w:widowControl/>
        <w:tabs>
          <w:tab w:val="left" w:pos="480"/>
        </w:tabs>
        <w:spacing w:line="400" w:lineRule="exact"/>
        <w:ind w:firstLine="485" w:firstLineChars="196"/>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二、合同价款</w:t>
      </w:r>
    </w:p>
    <w:p>
      <w:pPr>
        <w:widowControl/>
        <w:tabs>
          <w:tab w:val="left" w:pos="480"/>
        </w:tabs>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（一）合同总价款为人民币（大写）</w:t>
      </w:r>
      <w:r>
        <w:rPr>
          <w:rStyle w:val="123"/>
          <w:rFonts w:ascii="宋体" w:hAnsi="宋体"/>
          <w:sz w:val="24"/>
          <w:szCs w:val="21"/>
          <w:u w:val="single"/>
          <w:lang w:val="en-US" w:eastAsia="zh-CN" w:bidi="ar-SA"/>
        </w:rPr>
        <w:t xml:space="preserve"> </w:t>
      </w:r>
      <w:r>
        <w:rPr>
          <w:rStyle w:val="123"/>
          <w:rFonts w:hint="eastAsia" w:ascii="宋体" w:hAnsi="宋体"/>
          <w:sz w:val="24"/>
          <w:szCs w:val="21"/>
          <w:u w:val="single"/>
          <w:lang w:val="en-US" w:eastAsia="zh-CN" w:bidi="ar-SA"/>
        </w:rPr>
        <w:t xml:space="preserve">       </w:t>
      </w:r>
      <w:r>
        <w:rPr>
          <w:rStyle w:val="123"/>
          <w:rFonts w:ascii="宋体" w:hAnsi="宋体"/>
          <w:sz w:val="24"/>
          <w:szCs w:val="21"/>
          <w:u w:val="single"/>
          <w:lang w:val="en-US" w:eastAsia="zh-CN" w:bidi="ar-SA"/>
        </w:rPr>
        <w:t xml:space="preserve"> </w:t>
      </w:r>
      <w:r>
        <w:rPr>
          <w:rStyle w:val="123"/>
          <w:rFonts w:ascii="宋体" w:hAnsi="宋体"/>
          <w:sz w:val="24"/>
          <w:szCs w:val="21"/>
          <w:lang w:val="en-US" w:eastAsia="zh-CN" w:bidi="ar-SA"/>
        </w:rPr>
        <w:t>元整（￥</w:t>
      </w:r>
      <w:r>
        <w:rPr>
          <w:rStyle w:val="123"/>
          <w:rFonts w:ascii="宋体" w:hAnsi="宋体"/>
          <w:sz w:val="24"/>
          <w:szCs w:val="21"/>
          <w:u w:val="single"/>
          <w:lang w:val="en-US" w:eastAsia="zh-CN" w:bidi="ar-SA"/>
        </w:rPr>
        <w:t xml:space="preserve"> </w:t>
      </w:r>
      <w:r>
        <w:rPr>
          <w:rStyle w:val="123"/>
          <w:rFonts w:hint="eastAsia" w:ascii="宋体" w:hAnsi="宋体"/>
          <w:sz w:val="24"/>
          <w:szCs w:val="21"/>
          <w:u w:val="single"/>
          <w:lang w:val="en-US" w:eastAsia="zh-CN" w:bidi="ar-SA"/>
        </w:rPr>
        <w:t xml:space="preserve">     </w:t>
      </w:r>
      <w:r>
        <w:rPr>
          <w:rStyle w:val="123"/>
          <w:rFonts w:ascii="宋体" w:hAnsi="宋体"/>
          <w:sz w:val="24"/>
          <w:szCs w:val="21"/>
          <w:u w:val="single"/>
          <w:lang w:val="en-US" w:eastAsia="zh-CN" w:bidi="ar-SA"/>
        </w:rPr>
        <w:t xml:space="preserve"> </w:t>
      </w:r>
      <w:r>
        <w:rPr>
          <w:rStyle w:val="123"/>
          <w:rFonts w:ascii="宋体" w:hAnsi="宋体"/>
          <w:sz w:val="24"/>
          <w:szCs w:val="21"/>
          <w:lang w:val="en-US" w:eastAsia="zh-CN" w:bidi="ar-SA"/>
        </w:rPr>
        <w:t>）。</w:t>
      </w:r>
    </w:p>
    <w:p>
      <w:pPr>
        <w:widowControl/>
        <w:tabs>
          <w:tab w:val="left" w:pos="480"/>
        </w:tabs>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（二）合同总价包括：设备费、运杂费（含保险费）、安装调试费及其它一切相关费用。</w:t>
      </w:r>
    </w:p>
    <w:p>
      <w:pPr>
        <w:widowControl/>
        <w:tabs>
          <w:tab w:val="left" w:pos="480"/>
        </w:tabs>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（三）合同总价一次包死，不受市场价格变化因素的影响。</w:t>
      </w:r>
    </w:p>
    <w:p>
      <w:pPr>
        <w:widowControl/>
        <w:tabs>
          <w:tab w:val="left" w:pos="480"/>
        </w:tabs>
        <w:spacing w:line="400" w:lineRule="exact"/>
        <w:ind w:firstLine="485" w:firstLineChars="196"/>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三、款项结算</w:t>
      </w:r>
    </w:p>
    <w:p>
      <w:pPr>
        <w:widowControl/>
        <w:spacing w:line="400" w:lineRule="exact"/>
        <w:ind w:firstLine="496" w:firstLineChars="200"/>
        <w:textAlignment w:val="baseline"/>
        <w:rPr>
          <w:rStyle w:val="123"/>
          <w:rFonts w:ascii="宋体" w:hAnsi="宋体" w:cs="宋体"/>
          <w:bCs/>
          <w:sz w:val="24"/>
          <w:szCs w:val="28"/>
          <w:lang w:val="en-US" w:eastAsia="zh-CN" w:bidi="ar-SA"/>
        </w:rPr>
      </w:pPr>
      <w:r>
        <w:rPr>
          <w:rStyle w:val="123"/>
          <w:rFonts w:ascii="宋体" w:hAnsi="宋体" w:cs="宋体"/>
          <w:bCs/>
          <w:sz w:val="24"/>
          <w:szCs w:val="28"/>
          <w:lang w:val="en-US" w:eastAsia="zh-CN" w:bidi="ar-SA"/>
        </w:rPr>
        <w:t>（一）支付方式：</w:t>
      </w:r>
    </w:p>
    <w:p>
      <w:pPr>
        <w:spacing w:line="360" w:lineRule="auto"/>
        <w:ind w:firstLine="496" w:firstLineChars="200"/>
        <w:rPr>
          <w:rFonts w:hint="eastAsia" w:ascii="宋体" w:hAnsi="宋体" w:cs="宋体"/>
          <w:sz w:val="24"/>
          <w:szCs w:val="24"/>
          <w:highlight w:val="none"/>
        </w:rPr>
      </w:pPr>
      <w:r>
        <w:rPr>
          <w:rFonts w:hint="eastAsia" w:ascii="宋体" w:hAnsi="宋体" w:cs="宋体"/>
          <w:sz w:val="24"/>
          <w:szCs w:val="24"/>
          <w:highlight w:val="none"/>
        </w:rPr>
        <w:t>（1）全部产品安装调试完毕并验收合格后，30日内，甲方向乙方支付合同总价97%的价款</w:t>
      </w:r>
      <w:r>
        <w:rPr>
          <w:rFonts w:hint="eastAsia" w:ascii="宋体" w:hAnsi="宋体" w:cs="宋体"/>
          <w:sz w:val="24"/>
          <w:szCs w:val="24"/>
          <w:highlight w:val="none"/>
          <w:lang w:eastAsia="zh-CN"/>
        </w:rPr>
        <w:t>，</w:t>
      </w:r>
      <w:r>
        <w:rPr>
          <w:rStyle w:val="123"/>
          <w:rFonts w:ascii="宋体" w:hAnsi="宋体"/>
          <w:color w:val="auto"/>
          <w:sz w:val="24"/>
          <w:szCs w:val="21"/>
          <w:lang w:val="en-US" w:eastAsia="zh-CN" w:bidi="ar-SA"/>
        </w:rPr>
        <w:t>即人民币（大写）（￥</w:t>
      </w:r>
      <w:r>
        <w:rPr>
          <w:rStyle w:val="123"/>
          <w:rFonts w:ascii="宋体" w:hAnsi="宋体"/>
          <w:color w:val="auto"/>
          <w:sz w:val="24"/>
          <w:szCs w:val="21"/>
          <w:u w:val="single"/>
          <w:lang w:val="en-US" w:eastAsia="zh-CN" w:bidi="ar-SA"/>
        </w:rPr>
        <w:t xml:space="preserve"> </w:t>
      </w:r>
      <w:r>
        <w:rPr>
          <w:rStyle w:val="123"/>
          <w:rFonts w:hint="eastAsia" w:ascii="宋体" w:hAnsi="宋体"/>
          <w:color w:val="auto"/>
          <w:sz w:val="24"/>
          <w:szCs w:val="21"/>
          <w:u w:val="single"/>
          <w:lang w:val="en-US" w:eastAsia="zh-CN" w:bidi="ar-SA"/>
        </w:rPr>
        <w:t xml:space="preserve">    </w:t>
      </w:r>
      <w:r>
        <w:rPr>
          <w:rStyle w:val="123"/>
          <w:rFonts w:ascii="宋体" w:hAnsi="宋体"/>
          <w:color w:val="auto"/>
          <w:sz w:val="24"/>
          <w:szCs w:val="21"/>
          <w:u w:val="single"/>
          <w:lang w:val="en-US" w:eastAsia="zh-CN" w:bidi="ar-SA"/>
        </w:rPr>
        <w:t xml:space="preserve"> </w:t>
      </w:r>
      <w:r>
        <w:rPr>
          <w:rStyle w:val="123"/>
          <w:rFonts w:ascii="宋体" w:hAnsi="宋体"/>
          <w:color w:val="auto"/>
          <w:sz w:val="24"/>
          <w:szCs w:val="21"/>
          <w:lang w:val="en-US" w:eastAsia="zh-CN" w:bidi="ar-SA"/>
        </w:rPr>
        <w:t>）；</w:t>
      </w:r>
      <w:r>
        <w:rPr>
          <w:rFonts w:hint="eastAsia" w:ascii="宋体" w:hAnsi="宋体" w:cs="宋体"/>
          <w:sz w:val="24"/>
          <w:szCs w:val="24"/>
          <w:highlight w:val="none"/>
        </w:rPr>
        <w:t>。</w:t>
      </w:r>
    </w:p>
    <w:p>
      <w:pPr>
        <w:spacing w:line="360" w:lineRule="auto"/>
        <w:ind w:firstLine="496" w:firstLineChars="200"/>
        <w:rPr>
          <w:rFonts w:hint="eastAsia" w:ascii="宋体" w:hAnsi="宋体" w:cs="宋体"/>
          <w:sz w:val="24"/>
          <w:szCs w:val="24"/>
          <w:highlight w:val="none"/>
        </w:rPr>
      </w:pPr>
      <w:r>
        <w:rPr>
          <w:rFonts w:hint="eastAsia" w:ascii="宋体" w:hAnsi="宋体" w:cs="宋体"/>
          <w:sz w:val="24"/>
          <w:szCs w:val="24"/>
          <w:highlight w:val="none"/>
        </w:rPr>
        <w:t>（2）留合同总价的3%在质保期满后一次付清</w:t>
      </w:r>
      <w:r>
        <w:rPr>
          <w:rFonts w:hint="eastAsia" w:ascii="宋体" w:hAnsi="宋体" w:cs="宋体"/>
          <w:sz w:val="24"/>
          <w:szCs w:val="24"/>
          <w:highlight w:val="none"/>
          <w:lang w:eastAsia="zh-CN"/>
        </w:rPr>
        <w:t>，</w:t>
      </w:r>
      <w:r>
        <w:rPr>
          <w:rStyle w:val="123"/>
          <w:rFonts w:ascii="宋体" w:hAnsi="宋体"/>
          <w:color w:val="auto"/>
          <w:sz w:val="24"/>
          <w:szCs w:val="21"/>
          <w:lang w:val="en-US" w:eastAsia="zh-CN" w:bidi="ar-SA"/>
        </w:rPr>
        <w:t>即人民币（大写）（￥</w:t>
      </w:r>
      <w:r>
        <w:rPr>
          <w:rStyle w:val="123"/>
          <w:rFonts w:ascii="宋体" w:hAnsi="宋体"/>
          <w:color w:val="auto"/>
          <w:sz w:val="24"/>
          <w:szCs w:val="21"/>
          <w:u w:val="single"/>
          <w:lang w:val="en-US" w:eastAsia="zh-CN" w:bidi="ar-SA"/>
        </w:rPr>
        <w:t xml:space="preserve"> </w:t>
      </w:r>
      <w:r>
        <w:rPr>
          <w:rStyle w:val="123"/>
          <w:rFonts w:hint="eastAsia" w:ascii="宋体" w:hAnsi="宋体"/>
          <w:color w:val="auto"/>
          <w:sz w:val="24"/>
          <w:szCs w:val="21"/>
          <w:u w:val="single"/>
          <w:lang w:val="en-US" w:eastAsia="zh-CN" w:bidi="ar-SA"/>
        </w:rPr>
        <w:t xml:space="preserve">    </w:t>
      </w:r>
      <w:r>
        <w:rPr>
          <w:rStyle w:val="123"/>
          <w:rFonts w:ascii="宋体" w:hAnsi="宋体"/>
          <w:color w:val="auto"/>
          <w:sz w:val="24"/>
          <w:szCs w:val="21"/>
          <w:u w:val="single"/>
          <w:lang w:val="en-US" w:eastAsia="zh-CN" w:bidi="ar-SA"/>
        </w:rPr>
        <w:t xml:space="preserve"> </w:t>
      </w:r>
      <w:r>
        <w:rPr>
          <w:rStyle w:val="123"/>
          <w:rFonts w:ascii="宋体" w:hAnsi="宋体"/>
          <w:color w:val="auto"/>
          <w:sz w:val="24"/>
          <w:szCs w:val="21"/>
          <w:lang w:val="en-US" w:eastAsia="zh-CN" w:bidi="ar-SA"/>
        </w:rPr>
        <w:t>）；</w:t>
      </w:r>
      <w:r>
        <w:rPr>
          <w:rFonts w:hint="eastAsia" w:ascii="宋体" w:hAnsi="宋体" w:cs="宋体"/>
          <w:sz w:val="24"/>
          <w:szCs w:val="24"/>
          <w:highlight w:val="none"/>
        </w:rPr>
        <w:t>。</w:t>
      </w:r>
    </w:p>
    <w:p>
      <w:pPr>
        <w:widowControl/>
        <w:tabs>
          <w:tab w:val="left" w:pos="480"/>
        </w:tabs>
        <w:spacing w:line="400" w:lineRule="exact"/>
        <w:ind w:firstLine="496" w:firstLineChars="200"/>
        <w:textAlignment w:val="baseline"/>
        <w:rPr>
          <w:rStyle w:val="123"/>
          <w:rFonts w:ascii="宋体" w:hAnsi="宋体" w:eastAsia="宋体" w:cs="Times New Roman"/>
          <w:sz w:val="24"/>
          <w:szCs w:val="21"/>
          <w:lang w:val="en-US" w:eastAsia="zh-CN" w:bidi="ar-SA"/>
        </w:rPr>
      </w:pPr>
      <w:r>
        <w:rPr>
          <w:rStyle w:val="123"/>
          <w:rFonts w:ascii="宋体" w:hAnsi="宋体"/>
          <w:sz w:val="24"/>
          <w:szCs w:val="21"/>
          <w:lang w:val="en-US" w:eastAsia="zh-CN" w:bidi="ar-SA"/>
        </w:rPr>
        <w:t>（二）结算方式：</w:t>
      </w:r>
      <w:r>
        <w:rPr>
          <w:rStyle w:val="123"/>
          <w:rFonts w:ascii="宋体" w:hAnsi="宋体" w:eastAsia="宋体" w:cs="Times New Roman"/>
          <w:sz w:val="24"/>
          <w:szCs w:val="21"/>
          <w:lang w:val="en-US" w:eastAsia="zh-CN" w:bidi="ar-SA"/>
        </w:rPr>
        <w:t>银行转帐。</w:t>
      </w:r>
    </w:p>
    <w:p>
      <w:pPr>
        <w:widowControl/>
        <w:tabs>
          <w:tab w:val="left" w:pos="480"/>
        </w:tabs>
        <w:spacing w:line="400" w:lineRule="exact"/>
        <w:ind w:firstLine="496" w:firstLineChars="200"/>
        <w:textAlignment w:val="baseline"/>
        <w:rPr>
          <w:rStyle w:val="123"/>
          <w:rFonts w:ascii="宋体" w:hAnsi="宋体"/>
          <w:b/>
          <w:sz w:val="24"/>
          <w:szCs w:val="21"/>
          <w:lang w:val="en-US" w:eastAsia="zh-CN" w:bidi="ar-SA"/>
        </w:rPr>
      </w:pPr>
      <w:r>
        <w:rPr>
          <w:rStyle w:val="123"/>
          <w:rFonts w:ascii="宋体" w:hAnsi="宋体" w:eastAsia="宋体" w:cs="Times New Roman"/>
          <w:sz w:val="24"/>
          <w:szCs w:val="21"/>
          <w:lang w:val="en-US" w:eastAsia="zh-CN" w:bidi="ar-SA"/>
        </w:rPr>
        <w:t>（三）结算单位：发票开西安文理学</w:t>
      </w:r>
      <w:r>
        <w:rPr>
          <w:rStyle w:val="123"/>
          <w:rFonts w:ascii="宋体" w:hAnsi="宋体"/>
          <w:sz w:val="24"/>
          <w:szCs w:val="21"/>
          <w:lang w:val="en-US" w:eastAsia="zh-CN" w:bidi="ar-SA"/>
        </w:rPr>
        <w:t>院</w:t>
      </w:r>
      <w:r>
        <w:rPr>
          <w:rStyle w:val="123"/>
          <w:rFonts w:ascii="宋体" w:hAnsi="宋体" w:cs="宋体"/>
          <w:bCs/>
          <w:sz w:val="24"/>
          <w:szCs w:val="21"/>
          <w:lang w:val="en-US" w:eastAsia="zh-CN" w:bidi="ar-SA"/>
        </w:rPr>
        <w:t>。</w:t>
      </w:r>
    </w:p>
    <w:p>
      <w:pPr>
        <w:widowControl/>
        <w:tabs>
          <w:tab w:val="left" w:pos="480"/>
        </w:tabs>
        <w:spacing w:line="400" w:lineRule="exact"/>
        <w:ind w:firstLine="496" w:firstLineChars="200"/>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四、双方的权利和义务</w:t>
      </w:r>
    </w:p>
    <w:p>
      <w:pPr>
        <w:widowControl/>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（一）甲方的权利和义务</w:t>
      </w:r>
    </w:p>
    <w:p>
      <w:pPr>
        <w:widowControl/>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（甲、乙双方约定）</w:t>
      </w:r>
    </w:p>
    <w:p>
      <w:pPr>
        <w:widowControl/>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（二）乙方的权利和义务</w:t>
      </w:r>
    </w:p>
    <w:p>
      <w:pPr>
        <w:widowControl/>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（甲、乙双方约定）</w:t>
      </w:r>
    </w:p>
    <w:p>
      <w:pPr>
        <w:widowControl/>
        <w:tabs>
          <w:tab w:val="left" w:pos="480"/>
        </w:tabs>
        <w:spacing w:line="400" w:lineRule="exact"/>
        <w:ind w:firstLine="485" w:firstLineChars="196"/>
        <w:textAlignment w:val="baseline"/>
        <w:rPr>
          <w:rStyle w:val="123"/>
          <w:rFonts w:ascii="宋体" w:hAnsi="宋体"/>
          <w:sz w:val="24"/>
          <w:szCs w:val="21"/>
          <w:lang w:val="en-US" w:eastAsia="zh-CN" w:bidi="ar-SA"/>
        </w:rPr>
      </w:pPr>
      <w:r>
        <w:rPr>
          <w:rStyle w:val="123"/>
          <w:rFonts w:ascii="宋体" w:hAnsi="宋体"/>
          <w:b/>
          <w:sz w:val="24"/>
          <w:szCs w:val="21"/>
          <w:lang w:val="en-US" w:eastAsia="zh-CN" w:bidi="ar-SA"/>
        </w:rPr>
        <w:t>五、交货条件：</w:t>
      </w:r>
    </w:p>
    <w:p>
      <w:pPr>
        <w:widowControl/>
        <w:ind w:left="500" w:leftChars="202" w:firstLine="124" w:firstLineChars="50"/>
        <w:textAlignment w:val="baseline"/>
        <w:rPr>
          <w:rStyle w:val="123"/>
          <w:rFonts w:ascii="宋体" w:hAnsi="宋体"/>
          <w:sz w:val="24"/>
          <w:szCs w:val="24"/>
          <w:u w:val="single"/>
          <w:lang w:val="en-US" w:eastAsia="zh-CN" w:bidi="ar-SA"/>
        </w:rPr>
      </w:pPr>
      <w:r>
        <w:rPr>
          <w:rStyle w:val="123"/>
          <w:rFonts w:ascii="宋体" w:hAnsi="宋体"/>
          <w:sz w:val="24"/>
          <w:szCs w:val="21"/>
          <w:lang w:val="en-US" w:eastAsia="zh-CN" w:bidi="ar-SA"/>
        </w:rPr>
        <w:t>（一）交货地点：</w:t>
      </w:r>
      <w:r>
        <w:rPr>
          <w:rStyle w:val="123"/>
          <w:rFonts w:ascii="宋体" w:hAnsi="宋体"/>
          <w:sz w:val="24"/>
          <w:szCs w:val="24"/>
          <w:u w:val="single"/>
          <w:lang w:val="en-US" w:eastAsia="zh-CN" w:bidi="ar-SA"/>
        </w:rPr>
        <w:t>西安文理学院（</w:t>
      </w:r>
      <w:r>
        <w:rPr>
          <w:rStyle w:val="123"/>
          <w:rFonts w:hint="eastAsia" w:ascii="宋体" w:hAnsi="宋体"/>
          <w:sz w:val="24"/>
          <w:szCs w:val="24"/>
          <w:u w:val="single"/>
          <w:lang w:val="en-US" w:eastAsia="zh-CN" w:bidi="ar-SA"/>
        </w:rPr>
        <w:t>西安市雁塔区科技六路1号</w:t>
      </w:r>
      <w:r>
        <w:rPr>
          <w:rStyle w:val="123"/>
          <w:rFonts w:ascii="宋体" w:hAnsi="宋体"/>
          <w:sz w:val="24"/>
          <w:szCs w:val="24"/>
          <w:u w:val="single"/>
          <w:lang w:val="en-US" w:eastAsia="zh-CN" w:bidi="ar-SA"/>
        </w:rPr>
        <w:t xml:space="preserve">），具体地点（楼、房）由文理学院确定。 </w:t>
      </w:r>
    </w:p>
    <w:p>
      <w:pPr>
        <w:widowControl/>
        <w:tabs>
          <w:tab w:val="left" w:pos="480"/>
        </w:tabs>
        <w:spacing w:line="400" w:lineRule="exact"/>
        <w:ind w:firstLine="620" w:firstLineChars="250"/>
        <w:textAlignment w:val="baseline"/>
        <w:rPr>
          <w:rStyle w:val="123"/>
          <w:rFonts w:ascii="宋体" w:hAnsi="宋体"/>
          <w:sz w:val="24"/>
          <w:szCs w:val="21"/>
          <w:highlight w:val="yellow"/>
          <w:lang w:val="en-US" w:eastAsia="zh-CN" w:bidi="ar-SA"/>
        </w:rPr>
      </w:pPr>
      <w:r>
        <w:rPr>
          <w:rStyle w:val="123"/>
          <w:rFonts w:ascii="宋体" w:hAnsi="宋体"/>
          <w:sz w:val="24"/>
          <w:szCs w:val="21"/>
          <w:lang w:val="en-US" w:eastAsia="zh-CN" w:bidi="ar-SA"/>
        </w:rPr>
        <w:t>（二）交货期：</w:t>
      </w:r>
      <w:r>
        <w:rPr>
          <w:rStyle w:val="123"/>
          <w:rFonts w:hint="eastAsia" w:ascii="宋体" w:hAnsi="宋体"/>
          <w:sz w:val="24"/>
          <w:szCs w:val="21"/>
          <w:lang w:val="en-US" w:eastAsia="zh-CN" w:bidi="ar-SA"/>
        </w:rPr>
        <w:t>接甲方通知后，</w:t>
      </w:r>
      <w:r>
        <w:rPr>
          <w:rStyle w:val="123"/>
          <w:rFonts w:hint="eastAsia" w:ascii="宋体" w:hAnsi="宋体"/>
          <w:spacing w:val="-4"/>
          <w:sz w:val="24"/>
          <w:szCs w:val="24"/>
          <w:u w:val="single"/>
          <w:lang w:val="en-US" w:eastAsia="zh-CN" w:bidi="ar-SA"/>
        </w:rPr>
        <w:t xml:space="preserve">     </w:t>
      </w:r>
      <w:r>
        <w:rPr>
          <w:rStyle w:val="123"/>
          <w:rFonts w:hint="eastAsia" w:ascii="宋体" w:hAnsi="宋体"/>
          <w:sz w:val="24"/>
          <w:szCs w:val="21"/>
          <w:lang w:val="en-US" w:eastAsia="zh-CN" w:bidi="ar-SA"/>
        </w:rPr>
        <w:t>个日历日内供货。</w:t>
      </w:r>
    </w:p>
    <w:p>
      <w:pPr>
        <w:widowControl/>
        <w:tabs>
          <w:tab w:val="left" w:pos="480"/>
        </w:tabs>
        <w:spacing w:line="400" w:lineRule="exact"/>
        <w:ind w:firstLine="485" w:firstLineChars="196"/>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六、运输</w:t>
      </w:r>
    </w:p>
    <w:p>
      <w:pPr>
        <w:widowControl/>
        <w:tabs>
          <w:tab w:val="left" w:pos="480"/>
        </w:tabs>
        <w:spacing w:line="40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乙方负责所有设备及材料的运输。确保设备安全、完整到达使用地点，运杂费用包含在总价内，包括设备从供货地点到使用地点的运输费、保险费、搬运费、上楼费等。</w:t>
      </w:r>
    </w:p>
    <w:p>
      <w:pPr>
        <w:widowControl/>
        <w:spacing w:line="440" w:lineRule="exact"/>
        <w:ind w:firstLine="485" w:firstLineChars="196"/>
        <w:textAlignment w:val="baseline"/>
        <w:rPr>
          <w:rStyle w:val="123"/>
          <w:rFonts w:ascii="宋体" w:hAnsi="宋体"/>
          <w:b/>
          <w:sz w:val="24"/>
          <w:szCs w:val="24"/>
          <w:lang w:val="en-US" w:eastAsia="zh-CN" w:bidi="ar-SA"/>
        </w:rPr>
      </w:pPr>
      <w:r>
        <w:rPr>
          <w:rStyle w:val="123"/>
          <w:rFonts w:ascii="宋体" w:hAnsi="宋体"/>
          <w:b/>
          <w:sz w:val="24"/>
          <w:szCs w:val="24"/>
          <w:lang w:val="en-US" w:eastAsia="zh-CN" w:bidi="ar-SA"/>
        </w:rPr>
        <w:t>七、质量保证</w:t>
      </w:r>
    </w:p>
    <w:p>
      <w:pPr>
        <w:widowControl/>
        <w:spacing w:line="440" w:lineRule="exact"/>
        <w:ind w:firstLine="480" w:firstLineChars="200"/>
        <w:textAlignment w:val="baseline"/>
        <w:rPr>
          <w:rStyle w:val="123"/>
          <w:rFonts w:ascii="宋体" w:hAnsi="宋体"/>
          <w:sz w:val="24"/>
          <w:szCs w:val="24"/>
          <w:lang w:val="en-US" w:eastAsia="zh-CN" w:bidi="ar-SA"/>
        </w:rPr>
      </w:pPr>
      <w:r>
        <w:rPr>
          <w:rStyle w:val="123"/>
          <w:rFonts w:ascii="宋体" w:hAnsi="宋体"/>
          <w:spacing w:val="-4"/>
          <w:sz w:val="24"/>
          <w:szCs w:val="24"/>
          <w:lang w:val="en-US" w:eastAsia="zh-CN" w:bidi="ar-SA"/>
        </w:rPr>
        <w:t>（一）本项目设备质保期为验收合格起</w:t>
      </w:r>
      <w:r>
        <w:rPr>
          <w:rStyle w:val="123"/>
          <w:rFonts w:hint="eastAsia" w:ascii="宋体" w:hAnsi="宋体"/>
          <w:spacing w:val="-4"/>
          <w:sz w:val="24"/>
          <w:szCs w:val="24"/>
          <w:u w:val="single"/>
          <w:lang w:val="en-US" w:eastAsia="zh-CN" w:bidi="ar-SA"/>
        </w:rPr>
        <w:t xml:space="preserve">     </w:t>
      </w:r>
      <w:r>
        <w:rPr>
          <w:rStyle w:val="123"/>
          <w:rFonts w:hint="eastAsia" w:ascii="宋体" w:hAnsi="宋体"/>
          <w:spacing w:val="-4"/>
          <w:sz w:val="24"/>
          <w:szCs w:val="24"/>
          <w:lang w:val="en-US" w:eastAsia="zh-CN" w:bidi="ar-SA"/>
        </w:rPr>
        <w:t>年</w:t>
      </w:r>
      <w:r>
        <w:rPr>
          <w:rStyle w:val="123"/>
          <w:rFonts w:ascii="宋体" w:hAnsi="宋体"/>
          <w:spacing w:val="-4"/>
          <w:sz w:val="24"/>
          <w:szCs w:val="24"/>
          <w:lang w:val="en-US" w:eastAsia="zh-CN" w:bidi="ar-SA"/>
        </w:rPr>
        <w:t>。</w:t>
      </w:r>
      <w:r>
        <w:rPr>
          <w:rStyle w:val="123"/>
          <w:rFonts w:ascii="宋体" w:hAnsi="宋体"/>
          <w:sz w:val="24"/>
          <w:szCs w:val="24"/>
          <w:lang w:val="en-US" w:eastAsia="zh-CN" w:bidi="ar-SA"/>
        </w:rPr>
        <w:t xml:space="preserve"> </w:t>
      </w:r>
    </w:p>
    <w:p>
      <w:pPr>
        <w:pStyle w:val="124"/>
        <w:widowControl/>
        <w:spacing w:line="440" w:lineRule="exact"/>
        <w:ind w:firstLine="480" w:firstLineChars="200"/>
        <w:jc w:val="both"/>
        <w:textAlignment w:val="baseline"/>
        <w:rPr>
          <w:rStyle w:val="123"/>
          <w:rFonts w:ascii="宋体" w:hAnsi="宋体" w:eastAsia="Times New Roman"/>
          <w:color w:val="000000"/>
          <w:sz w:val="24"/>
          <w:szCs w:val="24"/>
          <w:lang w:bidi="ar-SA"/>
        </w:rPr>
      </w:pPr>
      <w:r>
        <w:rPr>
          <w:rStyle w:val="123"/>
          <w:rFonts w:ascii="宋体" w:hAnsi="宋体" w:eastAsia="宋体"/>
          <w:spacing w:val="-4"/>
          <w:sz w:val="24"/>
          <w:szCs w:val="20"/>
          <w:lang w:eastAsia="zh-CN" w:bidi="ar-SA"/>
        </w:rPr>
        <w:t>（二）</w:t>
      </w:r>
      <w:r>
        <w:rPr>
          <w:rStyle w:val="123"/>
          <w:rFonts w:ascii="宋体" w:hAnsi="宋体" w:eastAsia="宋体"/>
          <w:sz w:val="24"/>
          <w:szCs w:val="20"/>
          <w:lang w:bidi="ar-SA"/>
        </w:rPr>
        <w:t>质量保证期内，</w:t>
      </w:r>
      <w:r>
        <w:rPr>
          <w:rStyle w:val="123"/>
          <w:rFonts w:ascii="宋体" w:hAnsi="宋体" w:eastAsia="宋体"/>
          <w:sz w:val="24"/>
          <w:szCs w:val="24"/>
          <w:lang w:bidi="ar-SA"/>
        </w:rPr>
        <w:t>非人为原因造成的产品故障由乙方免费保修。乙方在接到甲方的维修通知后</w:t>
      </w:r>
      <w:r>
        <w:rPr>
          <w:rStyle w:val="123"/>
          <w:rFonts w:ascii="宋体" w:hAnsi="宋体" w:eastAsia="Times New Roman"/>
          <w:sz w:val="24"/>
          <w:szCs w:val="24"/>
          <w:u w:val="single"/>
          <w:lang w:bidi="ar-SA"/>
        </w:rPr>
        <w:t xml:space="preserve"> </w:t>
      </w:r>
      <w:r>
        <w:rPr>
          <w:rStyle w:val="123"/>
          <w:rFonts w:hint="eastAsia"/>
          <w:sz w:val="24"/>
          <w:szCs w:val="24"/>
          <w:u w:val="single"/>
          <w:lang w:val="en-US" w:bidi="ar-SA"/>
        </w:rPr>
        <w:t xml:space="preserve">    </w:t>
      </w:r>
      <w:r>
        <w:rPr>
          <w:rStyle w:val="123"/>
          <w:rFonts w:ascii="宋体" w:hAnsi="宋体" w:eastAsia="宋体"/>
          <w:sz w:val="24"/>
          <w:szCs w:val="24"/>
          <w:lang w:bidi="ar-SA"/>
        </w:rPr>
        <w:t>小时内上门为甲方提供免费维修服务。如</w:t>
      </w:r>
      <w:r>
        <w:rPr>
          <w:rStyle w:val="123"/>
          <w:rFonts w:ascii="宋体" w:hAnsi="宋体" w:eastAsia="宋体"/>
          <w:spacing w:val="-4"/>
          <w:sz w:val="24"/>
          <w:szCs w:val="20"/>
          <w:lang w:bidi="ar-SA"/>
        </w:rPr>
        <w:t>乙方未及时处理，甲方可另行选择第三方处理，</w:t>
      </w:r>
      <w:r>
        <w:rPr>
          <w:rStyle w:val="123"/>
          <w:rFonts w:ascii="宋体" w:hAnsi="宋体" w:eastAsia="宋体"/>
          <w:color w:val="000000"/>
          <w:spacing w:val="-4"/>
          <w:sz w:val="24"/>
          <w:szCs w:val="20"/>
          <w:lang w:bidi="ar-SA"/>
        </w:rPr>
        <w:t>相关费用由乙方双倍承担</w:t>
      </w:r>
      <w:r>
        <w:rPr>
          <w:rStyle w:val="123"/>
          <w:rFonts w:ascii="宋体" w:hAnsi="宋体" w:eastAsia="宋体"/>
          <w:color w:val="000000"/>
          <w:spacing w:val="-4"/>
          <w:sz w:val="24"/>
          <w:szCs w:val="20"/>
          <w:lang w:eastAsia="zh-CN" w:bidi="ar-SA"/>
        </w:rPr>
        <w:t>，并且乙方承担由此造成的一切后果</w:t>
      </w:r>
      <w:r>
        <w:rPr>
          <w:rStyle w:val="123"/>
          <w:rFonts w:ascii="宋体" w:hAnsi="宋体" w:eastAsia="宋体"/>
          <w:color w:val="000000"/>
          <w:spacing w:val="-4"/>
          <w:sz w:val="24"/>
          <w:szCs w:val="20"/>
          <w:lang w:bidi="ar-SA"/>
        </w:rPr>
        <w:t>。</w:t>
      </w:r>
    </w:p>
    <w:p>
      <w:pPr>
        <w:widowControl/>
        <w:spacing w:line="440" w:lineRule="exact"/>
        <w:ind w:firstLine="480" w:firstLineChars="200"/>
        <w:textAlignment w:val="baseline"/>
        <w:rPr>
          <w:rStyle w:val="123"/>
          <w:rFonts w:ascii="宋体" w:hAnsi="宋体"/>
          <w:color w:val="000000"/>
          <w:sz w:val="24"/>
          <w:szCs w:val="24"/>
          <w:lang w:val="en-US" w:eastAsia="zh-CN" w:bidi="ar-SA"/>
        </w:rPr>
      </w:pPr>
      <w:r>
        <w:rPr>
          <w:rStyle w:val="123"/>
          <w:rFonts w:ascii="宋体" w:hAnsi="宋体"/>
          <w:color w:val="000000"/>
          <w:spacing w:val="-4"/>
          <w:sz w:val="24"/>
          <w:szCs w:val="24"/>
          <w:lang w:val="en-US" w:eastAsia="zh-CN" w:bidi="ar-SA"/>
        </w:rPr>
        <w:t>（三）</w:t>
      </w:r>
      <w:r>
        <w:rPr>
          <w:rStyle w:val="123"/>
          <w:rFonts w:ascii="宋体" w:hAnsi="宋体"/>
          <w:color w:val="000000"/>
          <w:sz w:val="24"/>
          <w:szCs w:val="24"/>
          <w:lang w:val="en-US" w:eastAsia="zh-CN" w:bidi="ar-SA"/>
        </w:rPr>
        <w:t>质量保证期内，乙方无法修复非人为原因造成的产品故障或经2次修理，机器仍然无法正常使用，甲方可选择让乙方更换或退货，如乙方拒不执行的，甲方有权追责乙方，由此产生的所有费用和一切后果由乙方承担。</w:t>
      </w:r>
    </w:p>
    <w:p>
      <w:pPr>
        <w:widowControl/>
        <w:spacing w:line="440" w:lineRule="exact"/>
        <w:ind w:firstLine="480" w:firstLineChars="200"/>
        <w:textAlignment w:val="baseline"/>
        <w:rPr>
          <w:rStyle w:val="123"/>
          <w:rFonts w:ascii="宋体" w:hAnsi="宋体"/>
          <w:sz w:val="24"/>
          <w:szCs w:val="24"/>
          <w:lang w:val="en-US" w:eastAsia="zh-CN" w:bidi="ar-SA"/>
        </w:rPr>
      </w:pPr>
      <w:r>
        <w:rPr>
          <w:rStyle w:val="123"/>
          <w:rFonts w:ascii="宋体" w:hAnsi="宋体"/>
          <w:spacing w:val="-4"/>
          <w:sz w:val="24"/>
          <w:szCs w:val="24"/>
          <w:lang w:val="en-US" w:eastAsia="zh-CN" w:bidi="ar-SA"/>
        </w:rPr>
        <w:t>（四）乙方应严格按照国家有关标准和规定进行制造和检验，货物及零部件均为全新未用过的，且符合本合同附件中规定。</w:t>
      </w:r>
    </w:p>
    <w:p>
      <w:pPr>
        <w:widowControl/>
        <w:tabs>
          <w:tab w:val="left" w:pos="3060"/>
        </w:tabs>
        <w:spacing w:line="440" w:lineRule="exact"/>
        <w:ind w:firstLine="485" w:firstLineChars="196"/>
        <w:textAlignment w:val="baseline"/>
        <w:rPr>
          <w:rStyle w:val="123"/>
          <w:rFonts w:ascii="宋体" w:hAnsi="宋体"/>
          <w:b/>
          <w:sz w:val="24"/>
          <w:szCs w:val="24"/>
          <w:lang w:val="en-US" w:eastAsia="zh-CN" w:bidi="ar-SA"/>
        </w:rPr>
      </w:pPr>
      <w:r>
        <w:rPr>
          <w:rStyle w:val="123"/>
          <w:rFonts w:ascii="宋体" w:hAnsi="宋体"/>
          <w:b/>
          <w:sz w:val="24"/>
          <w:szCs w:val="24"/>
          <w:lang w:val="en-US" w:eastAsia="zh-CN" w:bidi="ar-SA"/>
        </w:rPr>
        <w:t>八、售后服务</w:t>
      </w:r>
    </w:p>
    <w:p>
      <w:pPr>
        <w:widowControl/>
        <w:tabs>
          <w:tab w:val="left" w:pos="3060"/>
        </w:tabs>
        <w:spacing w:line="44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（一）产品质量保证期和售后服务期：从安装调试验收合格之日起</w:t>
      </w:r>
      <w:r>
        <w:rPr>
          <w:rStyle w:val="123"/>
          <w:rFonts w:hint="eastAsia" w:ascii="宋体" w:hAnsi="宋体"/>
          <w:spacing w:val="-4"/>
          <w:sz w:val="24"/>
          <w:szCs w:val="24"/>
          <w:u w:val="single"/>
          <w:lang w:val="en-US" w:eastAsia="zh-CN" w:bidi="ar-SA"/>
        </w:rPr>
        <w:t xml:space="preserve">     </w:t>
      </w:r>
      <w:r>
        <w:rPr>
          <w:rStyle w:val="123"/>
          <w:rFonts w:hint="eastAsia" w:ascii="宋体" w:hAnsi="宋体"/>
          <w:spacing w:val="-4"/>
          <w:sz w:val="24"/>
          <w:szCs w:val="24"/>
          <w:lang w:val="en-US" w:eastAsia="zh-CN" w:bidi="ar-SA"/>
        </w:rPr>
        <w:t>年</w:t>
      </w:r>
      <w:r>
        <w:rPr>
          <w:rStyle w:val="123"/>
          <w:rFonts w:ascii="宋体" w:hAnsi="宋体"/>
          <w:sz w:val="24"/>
          <w:szCs w:val="21"/>
          <w:lang w:val="en-US" w:eastAsia="zh-CN" w:bidi="ar-SA"/>
        </w:rPr>
        <w:t>。</w:t>
      </w:r>
    </w:p>
    <w:p>
      <w:pPr>
        <w:widowControl/>
        <w:tabs>
          <w:tab w:val="left" w:pos="3060"/>
        </w:tabs>
        <w:spacing w:line="440" w:lineRule="exact"/>
        <w:ind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（二） 售后服务</w:t>
      </w:r>
    </w:p>
    <w:p>
      <w:pPr>
        <w:widowControl/>
        <w:tabs>
          <w:tab w:val="left" w:pos="3060"/>
        </w:tabs>
        <w:spacing w:line="440" w:lineRule="exact"/>
        <w:ind w:firstLine="600" w:firstLineChars="250"/>
        <w:textAlignment w:val="baseline"/>
        <w:rPr>
          <w:rStyle w:val="123"/>
          <w:rFonts w:ascii="宋体" w:hAnsi="宋体"/>
          <w:spacing w:val="-4"/>
          <w:sz w:val="24"/>
          <w:szCs w:val="24"/>
          <w:lang w:val="en-US" w:eastAsia="zh-CN" w:bidi="ar-SA"/>
        </w:rPr>
      </w:pPr>
      <w:r>
        <w:rPr>
          <w:rStyle w:val="123"/>
          <w:rFonts w:ascii="宋体" w:hAnsi="宋体"/>
          <w:spacing w:val="-4"/>
          <w:sz w:val="24"/>
          <w:szCs w:val="24"/>
          <w:lang w:val="en-US" w:eastAsia="zh-CN" w:bidi="ar-SA"/>
        </w:rPr>
        <w:t>1、甲方享有产品生产厂家的一切品牌售后服务；</w:t>
      </w:r>
    </w:p>
    <w:p>
      <w:pPr>
        <w:widowControl/>
        <w:tabs>
          <w:tab w:val="left" w:pos="3060"/>
        </w:tabs>
        <w:spacing w:line="440" w:lineRule="exact"/>
        <w:ind w:firstLine="600" w:firstLineChars="250"/>
        <w:textAlignment w:val="baseline"/>
        <w:rPr>
          <w:rStyle w:val="123"/>
          <w:rFonts w:ascii="宋体" w:hAnsi="宋体"/>
          <w:spacing w:val="-4"/>
          <w:sz w:val="24"/>
          <w:szCs w:val="24"/>
          <w:lang w:val="en-US" w:eastAsia="zh-CN" w:bidi="ar-SA"/>
        </w:rPr>
      </w:pPr>
      <w:r>
        <w:rPr>
          <w:rStyle w:val="123"/>
          <w:rFonts w:ascii="宋体" w:hAnsi="宋体"/>
          <w:spacing w:val="-4"/>
          <w:sz w:val="24"/>
          <w:szCs w:val="24"/>
          <w:lang w:val="en-US" w:eastAsia="zh-CN" w:bidi="ar-SA"/>
        </w:rPr>
        <w:t>2、乙方负责免费为甲方培训操作及维修人员。包括：基本原理，操作使用和维修保养等；</w:t>
      </w:r>
    </w:p>
    <w:p>
      <w:pPr>
        <w:widowControl/>
        <w:tabs>
          <w:tab w:val="left" w:pos="3060"/>
        </w:tabs>
        <w:spacing w:line="440" w:lineRule="exact"/>
        <w:ind w:firstLine="600" w:firstLineChars="250"/>
        <w:textAlignment w:val="baseline"/>
        <w:rPr>
          <w:rStyle w:val="123"/>
          <w:rFonts w:ascii="宋体" w:hAnsi="宋体"/>
          <w:sz w:val="24"/>
          <w:szCs w:val="24"/>
          <w:lang w:val="en-US" w:eastAsia="zh-CN" w:bidi="ar-SA"/>
        </w:rPr>
      </w:pPr>
      <w:r>
        <w:rPr>
          <w:rStyle w:val="123"/>
          <w:rFonts w:ascii="宋体" w:hAnsi="宋体"/>
          <w:spacing w:val="-4"/>
          <w:sz w:val="24"/>
          <w:szCs w:val="24"/>
          <w:lang w:val="en-US" w:eastAsia="zh-CN" w:bidi="ar-SA"/>
        </w:rPr>
        <w:t>3、乙方应在</w:t>
      </w:r>
      <w:r>
        <w:rPr>
          <w:rStyle w:val="123"/>
          <w:rFonts w:ascii="宋体" w:hAnsi="宋体"/>
          <w:sz w:val="24"/>
          <w:szCs w:val="24"/>
          <w:lang w:val="en-US" w:eastAsia="zh-CN" w:bidi="ar-SA"/>
        </w:rPr>
        <w:t>售后服务内容保证书</w:t>
      </w:r>
      <w:r>
        <w:rPr>
          <w:rStyle w:val="123"/>
          <w:rFonts w:ascii="宋体" w:hAnsi="宋体"/>
          <w:spacing w:val="-4"/>
          <w:sz w:val="24"/>
          <w:szCs w:val="24"/>
          <w:lang w:val="en-US" w:eastAsia="zh-CN" w:bidi="ar-SA"/>
        </w:rPr>
        <w:t>中明确售后服务内容、响应时间、范围、方式、收费标准等，并进行其他售后服务工作</w:t>
      </w:r>
      <w:r>
        <w:rPr>
          <w:rStyle w:val="123"/>
          <w:rFonts w:ascii="宋体" w:hAnsi="宋体"/>
          <w:sz w:val="24"/>
          <w:szCs w:val="24"/>
          <w:lang w:val="en-US" w:eastAsia="zh-CN" w:bidi="ar-SA"/>
        </w:rPr>
        <w:t>。</w:t>
      </w:r>
    </w:p>
    <w:p>
      <w:pPr>
        <w:pStyle w:val="124"/>
        <w:widowControl/>
        <w:spacing w:line="440" w:lineRule="exact"/>
        <w:ind w:firstLine="480" w:firstLineChars="200"/>
        <w:jc w:val="left"/>
        <w:textAlignment w:val="baseline"/>
        <w:rPr>
          <w:rStyle w:val="123"/>
          <w:rFonts w:ascii="宋体" w:hAnsi="宋体" w:eastAsia="Times New Roman"/>
          <w:spacing w:val="-4"/>
          <w:sz w:val="24"/>
          <w:szCs w:val="20"/>
          <w:lang w:bidi="ar-SA"/>
        </w:rPr>
      </w:pPr>
      <w:r>
        <w:rPr>
          <w:rStyle w:val="123"/>
          <w:rFonts w:ascii="宋体" w:hAnsi="宋体" w:eastAsia="Times New Roman"/>
          <w:spacing w:val="-4"/>
          <w:sz w:val="24"/>
          <w:szCs w:val="20"/>
          <w:lang w:bidi="ar-SA"/>
        </w:rPr>
        <w:t>4</w:t>
      </w:r>
      <w:r>
        <w:rPr>
          <w:rStyle w:val="123"/>
          <w:rFonts w:ascii="宋体" w:hAnsi="宋体" w:eastAsia="宋体"/>
          <w:spacing w:val="-4"/>
          <w:sz w:val="24"/>
          <w:szCs w:val="20"/>
          <w:lang w:eastAsia="zh-CN" w:bidi="ar-SA"/>
        </w:rPr>
        <w:t>、</w:t>
      </w:r>
      <w:r>
        <w:rPr>
          <w:rStyle w:val="123"/>
          <w:rFonts w:ascii="宋体" w:hAnsi="宋体" w:eastAsia="宋体"/>
          <w:spacing w:val="-4"/>
          <w:sz w:val="24"/>
          <w:szCs w:val="20"/>
          <w:lang w:bidi="ar-SA"/>
        </w:rPr>
        <w:t>设备投入正常运行后，乙方应定期回访甲方。</w:t>
      </w:r>
    </w:p>
    <w:p>
      <w:pPr>
        <w:widowControl/>
        <w:tabs>
          <w:tab w:val="left" w:pos="480"/>
        </w:tabs>
        <w:spacing w:line="400" w:lineRule="exact"/>
        <w:ind w:firstLine="485" w:firstLineChars="196"/>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九、技术与服务</w:t>
      </w:r>
    </w:p>
    <w:p>
      <w:pPr>
        <w:widowControl/>
        <w:tabs>
          <w:tab w:val="left" w:pos="480"/>
        </w:tabs>
        <w:spacing w:line="400" w:lineRule="exact"/>
        <w:ind w:firstLine="744" w:firstLineChars="3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（一）技术资料：</w:t>
      </w:r>
    </w:p>
    <w:p>
      <w:pPr>
        <w:widowControl/>
        <w:tabs>
          <w:tab w:val="left" w:pos="480"/>
        </w:tabs>
        <w:spacing w:line="400" w:lineRule="exact"/>
        <w:ind w:firstLine="992" w:firstLineChars="4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1、产品合格证；</w:t>
      </w:r>
    </w:p>
    <w:p>
      <w:pPr>
        <w:widowControl/>
        <w:tabs>
          <w:tab w:val="left" w:pos="480"/>
        </w:tabs>
        <w:spacing w:line="400" w:lineRule="exact"/>
        <w:ind w:firstLine="992" w:firstLineChars="4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2、产品使用说明书（中文）；</w:t>
      </w:r>
    </w:p>
    <w:p>
      <w:pPr>
        <w:widowControl/>
        <w:tabs>
          <w:tab w:val="left" w:pos="480"/>
        </w:tabs>
        <w:spacing w:line="400" w:lineRule="exact"/>
        <w:ind w:firstLine="992" w:firstLineChars="4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3、调试记录，调试报告；</w:t>
      </w:r>
    </w:p>
    <w:p>
      <w:pPr>
        <w:widowControl/>
        <w:tabs>
          <w:tab w:val="left" w:pos="480"/>
        </w:tabs>
        <w:spacing w:line="400" w:lineRule="exact"/>
        <w:ind w:firstLine="992" w:firstLineChars="4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4、其它资料。</w:t>
      </w:r>
    </w:p>
    <w:p>
      <w:pPr>
        <w:widowControl/>
        <w:tabs>
          <w:tab w:val="left" w:pos="480"/>
        </w:tabs>
        <w:spacing w:line="400" w:lineRule="exact"/>
        <w:ind w:firstLine="744" w:firstLineChars="3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（二）服务承诺：以投标文件、澄清表（函）、合同和随货物的相关文件为准。</w:t>
      </w:r>
    </w:p>
    <w:p>
      <w:pPr>
        <w:widowControl/>
        <w:tabs>
          <w:tab w:val="left" w:pos="480"/>
        </w:tabs>
        <w:spacing w:line="400" w:lineRule="exact"/>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十、验收</w:t>
      </w:r>
    </w:p>
    <w:p>
      <w:pPr>
        <w:widowControl/>
        <w:tabs>
          <w:tab w:val="left" w:pos="480"/>
        </w:tabs>
        <w:spacing w:line="400" w:lineRule="exact"/>
        <w:ind w:firstLine="744" w:firstLineChars="3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（一）设备到货后，乙方进行自检，合格后准备验收文件，并书面通知甲方。</w:t>
      </w:r>
    </w:p>
    <w:p>
      <w:pPr>
        <w:widowControl/>
        <w:tabs>
          <w:tab w:val="left" w:pos="480"/>
        </w:tabs>
        <w:spacing w:line="400" w:lineRule="exact"/>
        <w:ind w:left="248" w:leftChars="100"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（二）甲方根据合同要求对设备进行外观验收，确认设备的产地、规格、型号和数量。</w:t>
      </w:r>
    </w:p>
    <w:p>
      <w:pPr>
        <w:widowControl/>
        <w:tabs>
          <w:tab w:val="left" w:pos="480"/>
        </w:tabs>
        <w:spacing w:line="400" w:lineRule="exact"/>
        <w:ind w:left="248" w:leftChars="100"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三）乙方按照合同要求完成设备的安装调试及必要操作培训后，提请甲方进行验收，甲方结合设备安装情况及操作人员培训情况验收合格后，乙方填写验收单，并向甲方提交所有资料，以便甲方日后管理和维护。</w:t>
      </w:r>
    </w:p>
    <w:p>
      <w:pPr>
        <w:widowControl/>
        <w:tabs>
          <w:tab w:val="left" w:pos="480"/>
        </w:tabs>
        <w:spacing w:line="400" w:lineRule="exact"/>
        <w:ind w:firstLine="744" w:firstLineChars="3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（四）验收依据：</w:t>
      </w:r>
    </w:p>
    <w:p>
      <w:pPr>
        <w:widowControl/>
        <w:tabs>
          <w:tab w:val="left" w:pos="480"/>
        </w:tabs>
        <w:spacing w:line="400" w:lineRule="exact"/>
        <w:ind w:firstLine="992" w:firstLineChars="4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1、本合同文本；</w:t>
      </w:r>
    </w:p>
    <w:p>
      <w:pPr>
        <w:widowControl/>
        <w:tabs>
          <w:tab w:val="left" w:pos="480"/>
        </w:tabs>
        <w:spacing w:line="400" w:lineRule="exact"/>
        <w:ind w:firstLine="992" w:firstLineChars="4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2、招标文件及乙方的投标文件；</w:t>
      </w:r>
    </w:p>
    <w:p>
      <w:pPr>
        <w:widowControl/>
        <w:tabs>
          <w:tab w:val="left" w:pos="480"/>
        </w:tabs>
        <w:spacing w:line="400" w:lineRule="exact"/>
        <w:ind w:firstLine="992" w:firstLineChars="4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3、国家相应的标准、规范。</w:t>
      </w:r>
    </w:p>
    <w:p>
      <w:pPr>
        <w:widowControl/>
        <w:tabs>
          <w:tab w:val="left" w:pos="480"/>
        </w:tabs>
        <w:spacing w:line="400" w:lineRule="exact"/>
        <w:ind w:firstLine="120" w:firstLineChars="49"/>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十一、违约责任</w:t>
      </w:r>
    </w:p>
    <w:p>
      <w:pPr>
        <w:widowControl/>
        <w:tabs>
          <w:tab w:val="left" w:pos="284"/>
        </w:tabs>
        <w:spacing w:line="400" w:lineRule="exact"/>
        <w:ind w:left="284" w:firstLine="490" w:firstLineChars="198"/>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（一）未按合同要求提供产品或设备质量不能满足技术要求，甲方会同监督机构、采购代理机构有权终止合同并对乙方的违约行为进行追究，同时按政府采购供应商管理办法进行相应的处罚。</w:t>
      </w:r>
    </w:p>
    <w:p>
      <w:pPr>
        <w:widowControl/>
        <w:ind w:left="334" w:leftChars="135" w:firstLine="515" w:firstLineChars="208"/>
        <w:textAlignment w:val="baseline"/>
        <w:rPr>
          <w:rStyle w:val="123"/>
          <w:rFonts w:ascii="宋体" w:hAnsi="宋体"/>
          <w:sz w:val="24"/>
          <w:szCs w:val="24"/>
          <w:lang w:val="en-US" w:eastAsia="zh-CN" w:bidi="ar-SA"/>
        </w:rPr>
      </w:pPr>
      <w:r>
        <w:rPr>
          <w:rStyle w:val="123"/>
          <w:rFonts w:ascii="宋体" w:hAnsi="宋体"/>
          <w:sz w:val="24"/>
          <w:szCs w:val="24"/>
          <w:lang w:val="en-US" w:eastAsia="zh-CN" w:bidi="ar-SA"/>
        </w:rPr>
        <w:t>（二）甲方应按照合同约定的时间和比例向乙方支付货款。甲方逾期付款的，应按照逾期未支付货款金额的同期银行贷款利率向乙方支付违约金。</w:t>
      </w:r>
    </w:p>
    <w:p>
      <w:pPr>
        <w:widowControl/>
        <w:ind w:left="334" w:leftChars="135" w:firstLine="515" w:firstLineChars="208"/>
        <w:textAlignment w:val="baseline"/>
        <w:rPr>
          <w:rStyle w:val="123"/>
          <w:rFonts w:ascii="宋体" w:hAnsi="宋体"/>
          <w:sz w:val="24"/>
          <w:szCs w:val="24"/>
          <w:lang w:val="en-US" w:eastAsia="zh-CN" w:bidi="ar-SA"/>
        </w:rPr>
      </w:pPr>
      <w:r>
        <w:rPr>
          <w:rStyle w:val="123"/>
          <w:rFonts w:ascii="宋体" w:hAnsi="宋体"/>
          <w:sz w:val="24"/>
          <w:szCs w:val="24"/>
          <w:lang w:val="en-US" w:eastAsia="zh-CN" w:bidi="ar-SA"/>
        </w:rPr>
        <w:t>（三）乙方交付的标的物为数物，其中一物不符合约定的，甲方可以就该物解除合同，并要求乙方按照合同中该物的 20 %支付违约金。由此给甲方造成损失的，乙方还应当赔偿损失。</w:t>
      </w:r>
    </w:p>
    <w:p>
      <w:pPr>
        <w:widowControl/>
        <w:ind w:left="334" w:leftChars="135" w:firstLine="515" w:firstLineChars="208"/>
        <w:textAlignment w:val="baseline"/>
        <w:rPr>
          <w:rStyle w:val="123"/>
          <w:rFonts w:ascii="宋体" w:hAnsi="宋体"/>
          <w:sz w:val="24"/>
          <w:szCs w:val="24"/>
          <w:lang w:val="en-US" w:eastAsia="zh-CN" w:bidi="ar-SA"/>
        </w:rPr>
      </w:pPr>
      <w:r>
        <w:rPr>
          <w:rStyle w:val="123"/>
          <w:rFonts w:ascii="宋体" w:hAnsi="宋体"/>
          <w:sz w:val="24"/>
          <w:szCs w:val="24"/>
          <w:lang w:val="en-US" w:eastAsia="zh-CN" w:bidi="ar-SA"/>
        </w:rPr>
        <w:t>（四）乙方交付的标的物为数物，其中一物不符合约定的，但该物与他物分离使标的物的价值显受损害的，当事人可以就数物解除合同，并要求乙方按照合同总价款的 20 %支付违约金。由此给甲方造成损失的，乙方还应当赔偿损失。</w:t>
      </w:r>
    </w:p>
    <w:p>
      <w:pPr>
        <w:widowControl/>
        <w:ind w:left="334" w:leftChars="135" w:firstLine="515" w:firstLineChars="208"/>
        <w:textAlignment w:val="baseline"/>
        <w:rPr>
          <w:rStyle w:val="123"/>
          <w:rFonts w:ascii="宋体" w:hAnsi="宋体"/>
          <w:sz w:val="24"/>
          <w:szCs w:val="24"/>
          <w:lang w:val="en-US" w:eastAsia="zh-CN" w:bidi="ar-SA"/>
        </w:rPr>
      </w:pPr>
      <w:r>
        <w:rPr>
          <w:rStyle w:val="123"/>
          <w:rFonts w:ascii="宋体" w:hAnsi="宋体"/>
          <w:sz w:val="24"/>
          <w:szCs w:val="24"/>
          <w:lang w:val="en-US" w:eastAsia="zh-CN" w:bidi="ar-SA"/>
        </w:rPr>
        <w:t>（五）乙方逾期交货的，每逾期一日按合同价款的 3‰ 向甲方支付违约金。逾期达 5 日，甲方有权解除合同，乙方应按合同价款的 20 %向甲方支付违约金，并赔偿由此给甲方造成的相关经济损失。</w:t>
      </w:r>
    </w:p>
    <w:p>
      <w:pPr>
        <w:widowControl/>
        <w:ind w:left="334" w:leftChars="135" w:firstLine="515" w:firstLineChars="208"/>
        <w:textAlignment w:val="baseline"/>
        <w:rPr>
          <w:rStyle w:val="123"/>
          <w:rFonts w:ascii="宋体" w:hAnsi="宋体"/>
          <w:sz w:val="24"/>
          <w:szCs w:val="21"/>
          <w:lang w:val="en-US" w:eastAsia="zh-CN" w:bidi="ar-SA"/>
        </w:rPr>
      </w:pPr>
      <w:r>
        <w:rPr>
          <w:rStyle w:val="123"/>
          <w:rFonts w:ascii="宋体" w:hAnsi="宋体"/>
          <w:sz w:val="24"/>
          <w:szCs w:val="24"/>
          <w:lang w:val="en-US" w:eastAsia="zh-CN" w:bidi="ar-SA"/>
        </w:rPr>
        <w:t>（六）乙方未在约定的期限内完成安装调试并经甲方验收合格的，每逾期一日按照合同总价款的 3 ‰向甲方支付违约金。逾期达 5日，甲方有权解除合同，并要求乙方按照合同总价款的 20 %支付违约金。由此给甲方造成损失的，乙方还应当赔偿损失。</w:t>
      </w:r>
    </w:p>
    <w:p>
      <w:pPr>
        <w:widowControl/>
        <w:tabs>
          <w:tab w:val="left" w:pos="480"/>
        </w:tabs>
        <w:spacing w:line="400" w:lineRule="exact"/>
        <w:ind w:firstLine="363" w:firstLineChars="147"/>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十二、合同争议解决的方式</w:t>
      </w:r>
    </w:p>
    <w:p>
      <w:pPr>
        <w:widowControl/>
        <w:tabs>
          <w:tab w:val="left" w:pos="480"/>
        </w:tabs>
        <w:spacing w:line="400" w:lineRule="exact"/>
        <w:ind w:left="372" w:leftChars="150"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本合同在履行过程中发生的争议，由甲、乙双方当事人协商解决，协商不成的提交甲方所在地法院诉讼。</w:t>
      </w:r>
    </w:p>
    <w:p>
      <w:pPr>
        <w:widowControl/>
        <w:tabs>
          <w:tab w:val="left" w:pos="480"/>
        </w:tabs>
        <w:spacing w:line="400" w:lineRule="exact"/>
        <w:ind w:firstLine="363" w:firstLineChars="147"/>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十三、合同生效</w:t>
      </w:r>
    </w:p>
    <w:p>
      <w:pPr>
        <w:widowControl/>
        <w:tabs>
          <w:tab w:val="left" w:pos="480"/>
        </w:tabs>
        <w:spacing w:line="400" w:lineRule="exact"/>
        <w:ind w:left="372" w:leftChars="150" w:firstLine="496" w:firstLineChars="2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本合同一式捌份，本合同甲、乙、确认各方签字盖章后生效，合同执行完毕后，自动</w:t>
      </w:r>
      <w:r>
        <w:rPr>
          <w:rStyle w:val="123"/>
          <w:rFonts w:hint="eastAsia"/>
          <w:sz w:val="24"/>
          <w:szCs w:val="21"/>
          <w:lang w:val="en-US" w:eastAsia="zh-CN" w:bidi="ar-SA"/>
        </w:rPr>
        <w:t>结束</w:t>
      </w:r>
      <w:r>
        <w:rPr>
          <w:rStyle w:val="123"/>
          <w:rFonts w:ascii="宋体" w:hAnsi="宋体"/>
          <w:sz w:val="24"/>
          <w:szCs w:val="21"/>
          <w:lang w:val="en-US" w:eastAsia="zh-CN" w:bidi="ar-SA"/>
        </w:rPr>
        <w:t>。</w:t>
      </w:r>
    </w:p>
    <w:p>
      <w:pPr>
        <w:widowControl/>
        <w:tabs>
          <w:tab w:val="left" w:pos="480"/>
        </w:tabs>
        <w:spacing w:line="400" w:lineRule="exact"/>
        <w:ind w:firstLine="363" w:firstLineChars="147"/>
        <w:textAlignment w:val="baseline"/>
        <w:rPr>
          <w:rStyle w:val="123"/>
          <w:rFonts w:ascii="宋体" w:hAnsi="宋体"/>
          <w:b/>
          <w:sz w:val="24"/>
          <w:szCs w:val="21"/>
          <w:lang w:val="en-US" w:eastAsia="zh-CN" w:bidi="ar-SA"/>
        </w:rPr>
      </w:pPr>
      <w:r>
        <w:rPr>
          <w:rStyle w:val="123"/>
          <w:rFonts w:ascii="宋体" w:hAnsi="宋体"/>
          <w:b/>
          <w:sz w:val="24"/>
          <w:szCs w:val="21"/>
          <w:lang w:val="en-US" w:eastAsia="zh-CN" w:bidi="ar-SA"/>
        </w:rPr>
        <w:t>十四、其他事项</w:t>
      </w:r>
    </w:p>
    <w:p>
      <w:pPr>
        <w:widowControl/>
        <w:tabs>
          <w:tab w:val="left" w:pos="480"/>
        </w:tabs>
        <w:spacing w:line="400" w:lineRule="exact"/>
        <w:ind w:left="372" w:leftChars="150" w:firstLine="372" w:firstLineChars="15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（一）招标文件、投标文件、澄清表（函）、中标通知书、合同附件均成为合同不可分割的部分。</w:t>
      </w:r>
    </w:p>
    <w:p>
      <w:pPr>
        <w:widowControl/>
        <w:tabs>
          <w:tab w:val="left" w:pos="480"/>
        </w:tabs>
        <w:spacing w:line="400" w:lineRule="exact"/>
        <w:ind w:left="372" w:leftChars="150" w:firstLine="372" w:firstLineChars="15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（二）合同未尽事宜，由甲、乙双方协商，经确认方确认后，作为合同补充，与原合同具有同等法律效力。</w:t>
      </w:r>
    </w:p>
    <w:p>
      <w:pPr>
        <w:widowControl/>
        <w:tabs>
          <w:tab w:val="left" w:pos="480"/>
        </w:tabs>
        <w:spacing w:line="400" w:lineRule="exact"/>
        <w:ind w:left="372" w:leftChars="150" w:firstLine="372" w:firstLineChars="150"/>
        <w:textAlignment w:val="baseline"/>
        <w:rPr>
          <w:rStyle w:val="123"/>
          <w:rFonts w:ascii="宋体" w:hAnsi="宋体"/>
          <w:sz w:val="24"/>
          <w:szCs w:val="21"/>
          <w:highlight w:val="none"/>
          <w:lang w:val="en-US" w:eastAsia="zh-CN" w:bidi="ar-SA"/>
        </w:rPr>
      </w:pPr>
      <w:r>
        <w:rPr>
          <w:rStyle w:val="123"/>
          <w:rFonts w:ascii="宋体" w:hAnsi="宋体"/>
          <w:sz w:val="24"/>
          <w:szCs w:val="21"/>
          <w:lang w:val="en-US" w:eastAsia="zh-CN" w:bidi="ar-SA"/>
        </w:rPr>
        <w:t>（三）合同一经签订，不得擅自变更、中止或终止合同。对确需变更、调整或中止、终止合同的，应重新签订补充协议。</w:t>
      </w:r>
      <w:r>
        <w:rPr>
          <w:rStyle w:val="123"/>
          <w:rFonts w:ascii="宋体" w:hAnsi="宋体"/>
          <w:sz w:val="24"/>
          <w:szCs w:val="21"/>
          <w:highlight w:val="none"/>
          <w:lang w:val="en-US" w:eastAsia="zh-CN" w:bidi="ar-SA"/>
        </w:rPr>
        <w:t>如未签订补充协议则仍以原合同为准。</w:t>
      </w:r>
    </w:p>
    <w:p>
      <w:pPr>
        <w:widowControl/>
        <w:tabs>
          <w:tab w:val="left" w:pos="480"/>
        </w:tabs>
        <w:spacing w:line="400" w:lineRule="exact"/>
        <w:ind w:left="372" w:leftChars="150" w:firstLine="372" w:firstLineChars="15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（四）本合同按照中华人民共和国的现行法律进行解释。</w:t>
      </w:r>
    </w:p>
    <w:p>
      <w:pPr>
        <w:widowControl/>
        <w:tabs>
          <w:tab w:val="left" w:pos="480"/>
        </w:tabs>
        <w:spacing w:line="400" w:lineRule="exact"/>
        <w:ind w:left="372" w:leftChars="150" w:firstLine="372" w:firstLineChars="150"/>
        <w:textAlignment w:val="baseline"/>
        <w:rPr>
          <w:rStyle w:val="123"/>
          <w:rFonts w:ascii="宋体" w:hAnsi="宋体"/>
          <w:sz w:val="24"/>
          <w:szCs w:val="21"/>
          <w:lang w:val="en-US" w:eastAsia="zh-CN" w:bidi="ar-SA"/>
        </w:rPr>
      </w:pPr>
    </w:p>
    <w:p>
      <w:pPr>
        <w:widowControl/>
        <w:tabs>
          <w:tab w:val="left" w:pos="480"/>
        </w:tabs>
        <w:spacing w:line="400" w:lineRule="exact"/>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 xml:space="preserve">甲  方（公章）                   </w:t>
      </w:r>
      <w:r>
        <w:rPr>
          <w:rStyle w:val="123"/>
          <w:rFonts w:hint="eastAsia"/>
          <w:sz w:val="24"/>
          <w:szCs w:val="21"/>
          <w:lang w:val="en-US" w:eastAsia="zh-CN" w:bidi="ar-SA"/>
        </w:rPr>
        <w:t xml:space="preserve">    </w:t>
      </w:r>
      <w:r>
        <w:rPr>
          <w:rStyle w:val="123"/>
          <w:rFonts w:ascii="宋体" w:hAnsi="宋体"/>
          <w:sz w:val="24"/>
          <w:szCs w:val="21"/>
          <w:lang w:val="en-US" w:eastAsia="zh-CN" w:bidi="ar-SA"/>
        </w:rPr>
        <w:t>乙  方（公章）</w:t>
      </w:r>
    </w:p>
    <w:p>
      <w:pPr>
        <w:widowControl/>
        <w:tabs>
          <w:tab w:val="left" w:pos="480"/>
        </w:tabs>
        <w:spacing w:line="400" w:lineRule="exact"/>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 xml:space="preserve">单位名称：西安文理学院               单位名称： </w:t>
      </w:r>
    </w:p>
    <w:p>
      <w:pPr>
        <w:widowControl/>
        <w:tabs>
          <w:tab w:val="left" w:pos="480"/>
        </w:tabs>
        <w:spacing w:line="400" w:lineRule="exact"/>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地  址：</w:t>
      </w:r>
      <w:r>
        <w:rPr>
          <w:rStyle w:val="123"/>
          <w:rFonts w:hint="eastAsia" w:ascii="宋体" w:hAnsi="宋体"/>
          <w:sz w:val="24"/>
          <w:szCs w:val="21"/>
          <w:lang w:val="en-US" w:eastAsia="zh-CN" w:bidi="ar-SA"/>
        </w:rPr>
        <w:t>西安市雁塔区科技六路1号</w:t>
      </w:r>
      <w:r>
        <w:rPr>
          <w:rStyle w:val="123"/>
          <w:rFonts w:ascii="宋体" w:hAnsi="宋体"/>
          <w:sz w:val="24"/>
          <w:szCs w:val="21"/>
          <w:lang w:val="en-US" w:eastAsia="zh-CN" w:bidi="ar-SA"/>
        </w:rPr>
        <w:t xml:space="preserve">     地  址：</w:t>
      </w:r>
      <w:r>
        <w:rPr>
          <w:rStyle w:val="123"/>
          <w:rFonts w:hint="eastAsia"/>
          <w:sz w:val="24"/>
          <w:szCs w:val="21"/>
          <w:lang w:val="en-US" w:eastAsia="zh-CN" w:bidi="ar-SA"/>
        </w:rPr>
        <w:t xml:space="preserve"> </w:t>
      </w:r>
      <w:r>
        <w:rPr>
          <w:rStyle w:val="123"/>
          <w:rFonts w:ascii="宋体" w:hAnsi="宋体"/>
          <w:sz w:val="24"/>
          <w:szCs w:val="21"/>
          <w:lang w:val="en-US" w:eastAsia="zh-CN" w:bidi="ar-SA"/>
        </w:rPr>
        <w:t xml:space="preserve"> </w:t>
      </w:r>
    </w:p>
    <w:p>
      <w:pPr>
        <w:widowControl/>
        <w:tabs>
          <w:tab w:val="left" w:pos="480"/>
        </w:tabs>
        <w:spacing w:line="400" w:lineRule="exact"/>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 xml:space="preserve">法定代表人：（签字）                 法定代表人：（签字） </w:t>
      </w:r>
    </w:p>
    <w:p>
      <w:pPr>
        <w:widowControl/>
        <w:tabs>
          <w:tab w:val="left" w:pos="480"/>
        </w:tabs>
        <w:spacing w:line="400" w:lineRule="exact"/>
        <w:ind w:firstLine="496" w:firstLineChars="200"/>
        <w:textAlignment w:val="baseline"/>
        <w:rPr>
          <w:rStyle w:val="123"/>
          <w:rFonts w:ascii="宋体" w:hAnsi="宋体"/>
          <w:sz w:val="24"/>
          <w:szCs w:val="21"/>
          <w:lang w:val="en-US" w:eastAsia="zh-CN" w:bidi="ar-SA"/>
        </w:rPr>
      </w:pPr>
    </w:p>
    <w:p>
      <w:pPr>
        <w:widowControl/>
        <w:tabs>
          <w:tab w:val="left" w:pos="480"/>
        </w:tabs>
        <w:spacing w:line="400" w:lineRule="exact"/>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代理人：（签字）                     代理人：（签字）</w:t>
      </w:r>
    </w:p>
    <w:p>
      <w:pPr>
        <w:widowControl/>
        <w:tabs>
          <w:tab w:val="left" w:pos="480"/>
        </w:tabs>
        <w:spacing w:line="400" w:lineRule="exact"/>
        <w:ind w:firstLine="496" w:firstLineChars="200"/>
        <w:textAlignment w:val="baseline"/>
        <w:rPr>
          <w:rStyle w:val="123"/>
          <w:rFonts w:ascii="宋体" w:hAnsi="宋体"/>
          <w:sz w:val="24"/>
          <w:szCs w:val="21"/>
          <w:lang w:val="en-US" w:eastAsia="zh-CN" w:bidi="ar-SA"/>
        </w:rPr>
      </w:pPr>
    </w:p>
    <w:p>
      <w:pPr>
        <w:widowControl/>
        <w:tabs>
          <w:tab w:val="left" w:pos="480"/>
        </w:tabs>
        <w:spacing w:line="400" w:lineRule="exact"/>
        <w:textAlignment w:val="baseline"/>
        <w:rPr>
          <w:rStyle w:val="123"/>
          <w:rFonts w:ascii="宋体" w:hAnsi="宋体"/>
          <w:sz w:val="21"/>
          <w:szCs w:val="21"/>
          <w:lang w:val="en-US" w:eastAsia="zh-CN" w:bidi="ar-SA"/>
        </w:rPr>
      </w:pPr>
      <w:r>
        <w:rPr>
          <w:rStyle w:val="123"/>
          <w:rFonts w:ascii="宋体" w:hAnsi="宋体"/>
          <w:sz w:val="24"/>
          <w:szCs w:val="21"/>
          <w:lang w:val="en-US" w:eastAsia="zh-CN" w:bidi="ar-SA"/>
        </w:rPr>
        <w:t>项目管理单位负责人：                 开户银行：</w:t>
      </w:r>
    </w:p>
    <w:p>
      <w:pPr>
        <w:widowControl/>
        <w:tabs>
          <w:tab w:val="left" w:pos="480"/>
        </w:tabs>
        <w:spacing w:line="400" w:lineRule="exact"/>
        <w:ind w:firstLine="1736" w:firstLineChars="700"/>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 xml:space="preserve">                       帐  号：  </w:t>
      </w:r>
    </w:p>
    <w:p>
      <w:pPr>
        <w:widowControl/>
        <w:tabs>
          <w:tab w:val="left" w:pos="480"/>
        </w:tabs>
        <w:spacing w:line="400" w:lineRule="exact"/>
        <w:ind w:firstLine="496" w:firstLineChars="200"/>
        <w:textAlignment w:val="baseline"/>
        <w:rPr>
          <w:rStyle w:val="123"/>
          <w:rFonts w:ascii="宋体" w:hAnsi="宋体"/>
          <w:sz w:val="24"/>
          <w:szCs w:val="21"/>
          <w:lang w:val="en-US" w:eastAsia="zh-CN" w:bidi="ar-SA"/>
        </w:rPr>
      </w:pPr>
    </w:p>
    <w:p>
      <w:pPr>
        <w:widowControl/>
        <w:tabs>
          <w:tab w:val="left" w:pos="480"/>
        </w:tabs>
        <w:spacing w:line="400" w:lineRule="exact"/>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联系电话：                           联系电话：</w:t>
      </w:r>
    </w:p>
    <w:p>
      <w:pPr>
        <w:widowControl/>
        <w:tabs>
          <w:tab w:val="left" w:pos="480"/>
        </w:tabs>
        <w:spacing w:line="400" w:lineRule="exact"/>
        <w:textAlignment w:val="baseline"/>
        <w:rPr>
          <w:rStyle w:val="123"/>
          <w:rFonts w:ascii="宋体" w:hAnsi="宋体"/>
          <w:sz w:val="24"/>
          <w:szCs w:val="21"/>
          <w:lang w:val="en-US" w:eastAsia="zh-CN" w:bidi="ar-SA"/>
        </w:rPr>
      </w:pPr>
    </w:p>
    <w:p>
      <w:pPr>
        <w:widowControl/>
        <w:tabs>
          <w:tab w:val="left" w:pos="480"/>
        </w:tabs>
        <w:spacing w:line="400" w:lineRule="exact"/>
        <w:textAlignment w:val="baseline"/>
        <w:rPr>
          <w:rStyle w:val="123"/>
          <w:rFonts w:ascii="宋体" w:hAnsi="宋体"/>
          <w:sz w:val="24"/>
          <w:szCs w:val="21"/>
          <w:lang w:val="en-US" w:eastAsia="zh-CN" w:bidi="ar-SA"/>
        </w:rPr>
      </w:pPr>
      <w:r>
        <w:rPr>
          <w:rStyle w:val="123"/>
          <w:rFonts w:ascii="宋体" w:hAnsi="宋体"/>
          <w:sz w:val="24"/>
          <w:szCs w:val="21"/>
          <w:lang w:val="en-US" w:eastAsia="zh-CN" w:bidi="ar-SA"/>
        </w:rPr>
        <w:t>签订日期：     年    月    日        签订日期：      年    月    日</w:t>
      </w:r>
    </w:p>
    <w:p>
      <w:pPr>
        <w:bidi w:val="0"/>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rPr>
          <w:rFonts w:hint="eastAsia" w:ascii="宋体" w:hAnsi="宋体" w:eastAsia="宋体" w:cs="宋体"/>
        </w:rPr>
      </w:pPr>
      <w:r>
        <w:rPr>
          <w:rFonts w:hint="eastAsia" w:ascii="宋体" w:hAnsi="宋体" w:eastAsia="宋体" w:cs="宋体"/>
        </w:rPr>
        <w:t>第五章  投标文件构成及格式</w:t>
      </w:r>
      <w:bookmarkEnd w:id="82"/>
      <w:bookmarkEnd w:id="83"/>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jc w:val="both"/>
        <w:rPr>
          <w:rFonts w:hint="eastAsia" w:ascii="宋体" w:hAnsi="宋体" w:eastAsia="宋体" w:cs="宋体"/>
          <w:sz w:val="32"/>
          <w:szCs w:val="32"/>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西安文理学院</w:t>
      </w:r>
    </w:p>
    <w:p>
      <w:pPr>
        <w:jc w:val="center"/>
        <w:rPr>
          <w:rFonts w:hint="eastAsia" w:ascii="宋体" w:hAnsi="宋体" w:eastAsia="宋体" w:cs="宋体"/>
          <w:b/>
          <w:bCs/>
          <w:sz w:val="56"/>
          <w:szCs w:val="56"/>
        </w:rPr>
      </w:pPr>
      <w:r>
        <w:rPr>
          <w:rFonts w:hint="eastAsia" w:ascii="宋体" w:hAnsi="宋体" w:eastAsia="宋体" w:cs="宋体"/>
          <w:b/>
          <w:bCs/>
          <w:sz w:val="56"/>
          <w:szCs w:val="56"/>
          <w:lang w:eastAsia="zh-CN"/>
        </w:rPr>
        <w:t>图书馆中央空调改造项目（二次）</w:t>
      </w:r>
    </w:p>
    <w:p>
      <w:pPr>
        <w:snapToGrid w:val="0"/>
        <w:spacing w:line="240" w:lineRule="auto"/>
        <w:jc w:val="center"/>
        <w:outlineLvl w:val="9"/>
        <w:rPr>
          <w:rFonts w:hint="eastAsia" w:asciiTheme="minorEastAsia" w:hAnsiTheme="minorEastAsia" w:eastAsiaTheme="minorEastAsia" w:cstheme="minorEastAsia"/>
          <w:b/>
          <w:bCs/>
          <w:sz w:val="44"/>
          <w:szCs w:val="44"/>
          <w:lang w:eastAsia="zh-CN"/>
        </w:rPr>
      </w:pPr>
    </w:p>
    <w:p>
      <w:pPr>
        <w:snapToGrid w:val="0"/>
        <w:spacing w:line="240" w:lineRule="auto"/>
        <w:jc w:val="center"/>
        <w:outlineLvl w:val="9"/>
        <w:rPr>
          <w:rFonts w:hint="eastAsia" w:asciiTheme="minorEastAsia" w:hAnsiTheme="minorEastAsia" w:eastAsiaTheme="minorEastAsia" w:cstheme="minorEastAsia"/>
          <w:b/>
          <w:bCs/>
          <w:sz w:val="48"/>
          <w:szCs w:val="48"/>
          <w:lang w:eastAsia="zh-CN"/>
        </w:rPr>
      </w:pPr>
      <w:r>
        <w:rPr>
          <w:rFonts w:hint="eastAsia" w:asciiTheme="minorEastAsia" w:hAnsiTheme="minorEastAsia" w:eastAsiaTheme="minorEastAsia" w:cstheme="minorEastAsia"/>
          <w:b/>
          <w:bCs/>
          <w:sz w:val="48"/>
          <w:szCs w:val="48"/>
          <w:lang w:eastAsia="zh-CN"/>
        </w:rPr>
        <w:t>投标文件</w:t>
      </w:r>
    </w:p>
    <w:p>
      <w:pPr>
        <w:outlineLvl w:val="9"/>
        <w:rPr>
          <w:rFonts w:hint="eastAsia" w:ascii="宋体" w:hAnsi="宋体" w:eastAsia="宋体" w:cs="宋体"/>
          <w:sz w:val="28"/>
          <w:szCs w:val="28"/>
        </w:rPr>
      </w:pPr>
    </w:p>
    <w:p>
      <w:pPr>
        <w:outlineLvl w:val="9"/>
        <w:rPr>
          <w:rFonts w:hint="eastAsia" w:ascii="宋体" w:hAnsi="宋体" w:eastAsia="宋体" w:cs="宋体"/>
          <w:sz w:val="28"/>
          <w:szCs w:val="28"/>
        </w:rPr>
      </w:pPr>
    </w:p>
    <w:p>
      <w:pPr>
        <w:outlineLvl w:val="9"/>
        <w:rPr>
          <w:rFonts w:hint="eastAsia" w:ascii="宋体" w:hAnsi="宋体" w:eastAsia="宋体" w:cs="宋体"/>
          <w:sz w:val="28"/>
          <w:szCs w:val="28"/>
        </w:rPr>
      </w:pPr>
    </w:p>
    <w:p>
      <w:pPr>
        <w:outlineLvl w:val="9"/>
        <w:rPr>
          <w:rFonts w:hint="eastAsia" w:ascii="宋体" w:hAnsi="宋体" w:eastAsia="宋体" w:cs="宋体"/>
          <w:sz w:val="28"/>
          <w:szCs w:val="28"/>
        </w:rPr>
      </w:pPr>
    </w:p>
    <w:p>
      <w:pPr>
        <w:spacing w:line="560" w:lineRule="exact"/>
        <w:ind w:firstLine="736" w:firstLineChars="200"/>
        <w:jc w:val="center"/>
        <w:outlineLvl w:val="9"/>
        <w:rPr>
          <w:rFonts w:hint="default" w:ascii="宋体" w:hAnsi="宋体" w:eastAsia="宋体" w:cs="宋体"/>
          <w:sz w:val="36"/>
          <w:szCs w:val="36"/>
          <w:lang w:val="en-US"/>
        </w:rPr>
      </w:pPr>
      <w:r>
        <w:rPr>
          <w:rFonts w:hint="eastAsia" w:ascii="宋体" w:hAnsi="宋体" w:eastAsia="宋体" w:cs="宋体"/>
          <w:b/>
          <w:bCs/>
          <w:sz w:val="36"/>
          <w:szCs w:val="36"/>
        </w:rPr>
        <w:t>项目编号：</w:t>
      </w:r>
      <w:r>
        <w:rPr>
          <w:rFonts w:hint="default" w:ascii="宋体" w:hAnsi="宋体" w:eastAsia="宋体" w:cs="宋体"/>
          <w:b/>
          <w:bCs/>
          <w:sz w:val="36"/>
          <w:szCs w:val="36"/>
          <w:lang w:val="en-US" w:eastAsia="zh-CN"/>
        </w:rPr>
        <w:t>ZMZB2022XAWL-140R</w:t>
      </w:r>
    </w:p>
    <w:p>
      <w:pPr>
        <w:spacing w:line="560" w:lineRule="exact"/>
        <w:ind w:firstLine="736" w:firstLineChars="200"/>
        <w:jc w:val="both"/>
        <w:rPr>
          <w:rFonts w:hint="eastAsia" w:ascii="宋体" w:hAnsi="宋体" w:eastAsia="宋体" w:cs="宋体"/>
          <w:sz w:val="36"/>
          <w:szCs w:val="36"/>
        </w:rPr>
      </w:pPr>
    </w:p>
    <w:p>
      <w:pPr>
        <w:spacing w:line="560" w:lineRule="exact"/>
        <w:ind w:firstLine="736" w:firstLineChars="200"/>
        <w:jc w:val="both"/>
        <w:rPr>
          <w:rFonts w:hint="eastAsia" w:ascii="宋体" w:hAnsi="宋体" w:eastAsia="宋体" w:cs="宋体"/>
          <w:sz w:val="36"/>
          <w:szCs w:val="36"/>
        </w:rPr>
      </w:pP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jc w:val="both"/>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360" w:lineRule="auto"/>
        <w:ind w:firstLine="656" w:firstLineChars="200"/>
        <w:jc w:val="left"/>
        <w:textAlignment w:val="auto"/>
        <w:rPr>
          <w:rFonts w:hint="eastAsia" w:ascii="宋体" w:hAnsi="宋体" w:cs="宋体"/>
          <w:sz w:val="32"/>
          <w:szCs w:val="32"/>
          <w:lang w:val="zh-CN"/>
        </w:rPr>
      </w:pPr>
    </w:p>
    <w:p>
      <w:pPr>
        <w:keepNext w:val="0"/>
        <w:keepLines w:val="0"/>
        <w:pageBreakBefore w:val="0"/>
        <w:widowControl/>
        <w:kinsoku/>
        <w:wordWrap/>
        <w:overflowPunct/>
        <w:topLinePunct w:val="0"/>
        <w:autoSpaceDE/>
        <w:autoSpaceDN/>
        <w:bidi w:val="0"/>
        <w:adjustRightInd/>
        <w:snapToGrid w:val="0"/>
        <w:spacing w:line="360" w:lineRule="auto"/>
        <w:ind w:firstLine="656" w:firstLineChars="200"/>
        <w:jc w:val="left"/>
        <w:textAlignment w:val="auto"/>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keepNext w:val="0"/>
        <w:keepLines w:val="0"/>
        <w:pageBreakBefore w:val="0"/>
        <w:widowControl/>
        <w:kinsoku/>
        <w:wordWrap/>
        <w:overflowPunct/>
        <w:topLinePunct w:val="0"/>
        <w:autoSpaceDE/>
        <w:autoSpaceDN/>
        <w:bidi w:val="0"/>
        <w:adjustRightInd/>
        <w:snapToGrid w:val="0"/>
        <w:spacing w:line="360" w:lineRule="auto"/>
        <w:ind w:firstLine="656" w:firstLineChars="200"/>
        <w:jc w:val="left"/>
        <w:textAlignment w:val="auto"/>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spacing w:line="560" w:lineRule="exact"/>
        <w:ind w:firstLine="656"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896" w:firstLineChars="200"/>
        <w:jc w:val="center"/>
        <w:rPr>
          <w:rFonts w:hint="eastAsia" w:ascii="宋体" w:hAnsi="宋体" w:eastAsia="宋体" w:cs="宋体"/>
          <w:sz w:val="44"/>
          <w:szCs w:val="44"/>
        </w:rPr>
      </w:pPr>
    </w:p>
    <w:p>
      <w:pPr>
        <w:spacing w:line="560" w:lineRule="exact"/>
        <w:ind w:firstLine="896" w:firstLineChars="200"/>
        <w:jc w:val="center"/>
        <w:outlineLvl w:val="9"/>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hint="eastAsia" w:ascii="宋体" w:hAnsi="宋体" w:eastAsia="宋体" w:cs="宋体"/>
          <w:sz w:val="32"/>
          <w:szCs w:val="32"/>
        </w:rPr>
      </w:pPr>
    </w:p>
    <w:p>
      <w:pPr>
        <w:pStyle w:val="14"/>
        <w:snapToGrid w:val="0"/>
        <w:spacing w:line="480" w:lineRule="auto"/>
        <w:ind w:firstLine="576" w:firstLineChars="200"/>
        <w:jc w:val="left"/>
        <w:outlineLvl w:val="9"/>
        <w:rPr>
          <w:rFonts w:hAnsi="宋体" w:cs="宋体"/>
          <w:b/>
          <w:bCs/>
          <w:color w:val="000000" w:themeColor="text1"/>
          <w:sz w:val="28"/>
          <w:szCs w:val="28"/>
          <w14:textFill>
            <w14:solidFill>
              <w14:schemeClr w14:val="tx1"/>
            </w14:solidFill>
          </w14:textFill>
        </w:rPr>
      </w:pPr>
      <w:bookmarkStart w:id="84" w:name="_Toc3727_WPSOffice_Level1"/>
      <w:r>
        <w:rPr>
          <w:rFonts w:hint="eastAsia" w:hAnsi="宋体" w:cs="宋体"/>
          <w:b/>
          <w:bCs/>
          <w:color w:val="000000" w:themeColor="text1"/>
          <w:sz w:val="28"/>
          <w:szCs w:val="28"/>
          <w14:textFill>
            <w14:solidFill>
              <w14:schemeClr w14:val="tx1"/>
            </w14:solidFill>
          </w14:textFill>
        </w:rPr>
        <w:t>第一章  投标函</w:t>
      </w:r>
      <w:bookmarkEnd w:id="84"/>
    </w:p>
    <w:p>
      <w:pPr>
        <w:snapToGrid w:val="0"/>
        <w:spacing w:line="480" w:lineRule="auto"/>
        <w:ind w:firstLine="576" w:firstLineChars="200"/>
        <w:jc w:val="left"/>
        <w:outlineLvl w:val="9"/>
        <w:rPr>
          <w:rFonts w:hAnsi="宋体" w:cs="宋体"/>
          <w:b/>
          <w:color w:val="000000" w:themeColor="text1"/>
          <w:sz w:val="28"/>
          <w:szCs w:val="28"/>
          <w14:textFill>
            <w14:solidFill>
              <w14:schemeClr w14:val="tx1"/>
            </w14:solidFill>
          </w14:textFill>
        </w:rPr>
      </w:pPr>
      <w:bookmarkStart w:id="85"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lang w:eastAsia="zh-CN"/>
          <w14:textFill>
            <w14:solidFill>
              <w14:schemeClr w14:val="tx1"/>
            </w14:solidFill>
          </w14:textFill>
        </w:rPr>
        <w:t>开标</w:t>
      </w:r>
      <w:r>
        <w:rPr>
          <w:rFonts w:hint="eastAsia" w:ascii="宋体" w:hAnsi="宋体" w:cs="宋体"/>
          <w:b/>
          <w:color w:val="000000" w:themeColor="text1"/>
          <w:sz w:val="28"/>
          <w:szCs w:val="28"/>
          <w14:textFill>
            <w14:solidFill>
              <w14:schemeClr w14:val="tx1"/>
            </w14:solidFill>
          </w14:textFill>
        </w:rPr>
        <w:t>一览表</w:t>
      </w:r>
      <w:bookmarkEnd w:id="85"/>
    </w:p>
    <w:p>
      <w:pPr>
        <w:pStyle w:val="14"/>
        <w:snapToGrid w:val="0"/>
        <w:spacing w:line="480" w:lineRule="auto"/>
        <w:ind w:firstLine="576" w:firstLineChars="200"/>
        <w:jc w:val="left"/>
        <w:outlineLvl w:val="9"/>
        <w:rPr>
          <w:rFonts w:hint="eastAsia" w:hAnsi="宋体" w:cs="宋体" w:eastAsiaTheme="minorEastAsia"/>
          <w:b/>
          <w:color w:val="000000" w:themeColor="text1"/>
          <w:sz w:val="28"/>
          <w:szCs w:val="28"/>
          <w:lang w:eastAsia="zh-CN"/>
          <w14:textFill>
            <w14:solidFill>
              <w14:schemeClr w14:val="tx1"/>
            </w14:solidFill>
          </w14:textFill>
        </w:rPr>
      </w:pPr>
      <w:bookmarkStart w:id="86"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86"/>
      <w:r>
        <w:rPr>
          <w:rFonts w:hint="eastAsia" w:hAnsi="宋体" w:cs="宋体"/>
          <w:b/>
          <w:color w:val="000000" w:themeColor="text1"/>
          <w:sz w:val="28"/>
          <w:szCs w:val="28"/>
          <w14:textFill>
            <w14:solidFill>
              <w14:schemeClr w14:val="tx1"/>
            </w14:solidFill>
          </w14:textFill>
        </w:rPr>
        <w:t>资</w:t>
      </w:r>
      <w:r>
        <w:rPr>
          <w:rFonts w:hint="eastAsia" w:hAnsi="宋体" w:cs="宋体"/>
          <w:b/>
          <w:color w:val="000000" w:themeColor="text1"/>
          <w:sz w:val="28"/>
          <w:szCs w:val="28"/>
          <w:lang w:val="en-US" w:eastAsia="zh-CN"/>
          <w14:textFill>
            <w14:solidFill>
              <w14:schemeClr w14:val="tx1"/>
            </w14:solidFill>
          </w14:textFill>
        </w:rPr>
        <w:t>格</w:t>
      </w:r>
      <w:r>
        <w:rPr>
          <w:rFonts w:hint="eastAsia" w:hAnsi="宋体" w:cs="宋体"/>
          <w:b/>
          <w:color w:val="000000" w:themeColor="text1"/>
          <w:sz w:val="28"/>
          <w:szCs w:val="28"/>
          <w14:textFill>
            <w14:solidFill>
              <w14:schemeClr w14:val="tx1"/>
            </w14:solidFill>
          </w14:textFill>
        </w:rPr>
        <w:t>证明</w:t>
      </w:r>
      <w:r>
        <w:rPr>
          <w:rFonts w:hint="eastAsia" w:hAnsi="宋体" w:cs="宋体"/>
          <w:b/>
          <w:color w:val="000000" w:themeColor="text1"/>
          <w:sz w:val="28"/>
          <w:szCs w:val="28"/>
          <w:lang w:val="en-US" w:eastAsia="zh-CN"/>
          <w14:textFill>
            <w14:solidFill>
              <w14:schemeClr w14:val="tx1"/>
            </w14:solidFill>
          </w14:textFill>
        </w:rPr>
        <w:t>文件</w:t>
      </w:r>
    </w:p>
    <w:p>
      <w:pPr>
        <w:pStyle w:val="14"/>
        <w:snapToGrid w:val="0"/>
        <w:spacing w:line="480" w:lineRule="auto"/>
        <w:ind w:firstLine="576" w:firstLineChars="200"/>
        <w:jc w:val="left"/>
        <w:outlineLvl w:val="9"/>
        <w:rPr>
          <w:rFonts w:hint="eastAsia" w:hAnsi="宋体" w:cs="宋体" w:eastAsiaTheme="minorEastAsia"/>
          <w:b/>
          <w:color w:val="000000" w:themeColor="text1"/>
          <w:sz w:val="28"/>
          <w:szCs w:val="28"/>
          <w:lang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bCs/>
          <w:color w:val="000000" w:themeColor="text1"/>
          <w:sz w:val="28"/>
          <w:szCs w:val="28"/>
          <w:lang w:val="en-US" w:eastAsia="zh-CN"/>
          <w14:textFill>
            <w14:solidFill>
              <w14:schemeClr w14:val="tx1"/>
            </w14:solidFill>
          </w14:textFill>
        </w:rPr>
        <w:t>供应商概况</w:t>
      </w:r>
    </w:p>
    <w:p>
      <w:pPr>
        <w:pStyle w:val="14"/>
        <w:snapToGrid w:val="0"/>
        <w:spacing w:line="480" w:lineRule="auto"/>
        <w:ind w:firstLine="576" w:firstLineChars="200"/>
        <w:jc w:val="left"/>
        <w:outlineLvl w:val="9"/>
        <w:rPr>
          <w:rFonts w:hint="eastAsia" w:hAnsi="宋体" w:cs="宋体"/>
          <w:b/>
          <w:bCs/>
          <w:color w:val="000000" w:themeColor="text1"/>
          <w:sz w:val="28"/>
          <w:szCs w:val="28"/>
          <w14:textFill>
            <w14:solidFill>
              <w14:schemeClr w14:val="tx1"/>
            </w14:solidFill>
          </w14:textFill>
        </w:rPr>
      </w:pPr>
      <w:bookmarkStart w:id="87"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pPr>
        <w:pStyle w:val="14"/>
        <w:snapToGrid w:val="0"/>
        <w:spacing w:line="480" w:lineRule="auto"/>
        <w:ind w:firstLine="576" w:firstLineChars="200"/>
        <w:jc w:val="left"/>
        <w:outlineLvl w:val="9"/>
        <w:rPr>
          <w:rFonts w:hint="default" w:hAnsi="宋体" w:cs="宋体"/>
          <w:b/>
          <w:bCs/>
          <w:color w:val="000000" w:themeColor="text1"/>
          <w:sz w:val="28"/>
          <w:szCs w:val="28"/>
          <w:lang w:val="en-US" w:eastAsia="zh-CN"/>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第六章  商务和技术响应偏离表</w:t>
      </w:r>
    </w:p>
    <w:p>
      <w:pPr>
        <w:pStyle w:val="14"/>
        <w:snapToGrid w:val="0"/>
        <w:spacing w:line="480" w:lineRule="auto"/>
        <w:ind w:firstLine="576" w:firstLineChars="200"/>
        <w:jc w:val="left"/>
        <w:outlineLvl w:val="9"/>
        <w:rPr>
          <w:rFonts w:hint="eastAsia" w:hAnsi="宋体" w:cs="宋体"/>
          <w:b/>
          <w:bCs/>
          <w:color w:val="000000" w:themeColor="text1"/>
          <w:sz w:val="28"/>
          <w:szCs w:val="28"/>
          <w:lang w:val="en-US" w:eastAsia="zh-CN"/>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第七章  技术与服务方案</w:t>
      </w:r>
    </w:p>
    <w:p>
      <w:pPr>
        <w:pStyle w:val="14"/>
        <w:snapToGrid w:val="0"/>
        <w:spacing w:line="480" w:lineRule="auto"/>
        <w:ind w:firstLine="576" w:firstLineChars="200"/>
        <w:jc w:val="left"/>
        <w:outlineLvl w:val="9"/>
        <w:rPr>
          <w:rFonts w:hint="eastAsia" w:hAnsi="宋体" w:cs="宋体" w:eastAsiaTheme="minorEastAsia"/>
          <w:b/>
          <w:bCs/>
          <w:color w:val="000000" w:themeColor="text1"/>
          <w:sz w:val="28"/>
          <w:szCs w:val="28"/>
          <w:lang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87"/>
      <w:r>
        <w:rPr>
          <w:rFonts w:hint="eastAsia" w:hAnsi="宋体" w:cs="宋体"/>
          <w:b/>
          <w:color w:val="000000" w:themeColor="text1"/>
          <w:sz w:val="28"/>
          <w:szCs w:val="28"/>
          <w:lang w:eastAsia="zh-CN"/>
          <w14:textFill>
            <w14:solidFill>
              <w14:schemeClr w14:val="tx1"/>
            </w14:solidFill>
          </w14:textFill>
        </w:rPr>
        <w:t>八</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bCs/>
          <w:color w:val="000000" w:themeColor="text1"/>
          <w:sz w:val="28"/>
          <w:szCs w:val="28"/>
          <w:lang w:eastAsia="zh-CN"/>
          <w14:textFill>
            <w14:solidFill>
              <w14:schemeClr w14:val="tx1"/>
            </w14:solidFill>
          </w14:textFill>
        </w:rPr>
        <w:t>服务承诺</w:t>
      </w:r>
    </w:p>
    <w:p>
      <w:pPr>
        <w:pStyle w:val="14"/>
        <w:snapToGrid w:val="0"/>
        <w:spacing w:line="480" w:lineRule="auto"/>
        <w:ind w:firstLine="576" w:firstLineChars="200"/>
        <w:jc w:val="left"/>
        <w:outlineLvl w:val="9"/>
        <w:rPr>
          <w:rFonts w:hint="eastAsia" w:hAnsi="宋体" w:cs="宋体"/>
          <w:b/>
          <w:bCs/>
          <w:color w:val="000000" w:themeColor="text1"/>
          <w:sz w:val="28"/>
          <w:szCs w:val="28"/>
          <w:lang w:val="en-US" w:eastAsia="zh-CN"/>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第九章  供应商业绩一览表</w:t>
      </w:r>
    </w:p>
    <w:p>
      <w:pPr>
        <w:pStyle w:val="14"/>
        <w:snapToGrid w:val="0"/>
        <w:spacing w:line="480" w:lineRule="auto"/>
        <w:ind w:firstLine="576" w:firstLineChars="200"/>
        <w:jc w:val="left"/>
        <w:outlineLvl w:val="9"/>
        <w:rPr>
          <w:rFonts w:hint="eastAsia" w:hAnsi="宋体" w:cs="宋体"/>
          <w:b/>
          <w:bCs/>
          <w:color w:val="000000" w:themeColor="text1"/>
          <w:sz w:val="28"/>
          <w:szCs w:val="28"/>
          <w:lang w:val="en-US" w:eastAsia="zh-CN"/>
          <w14:textFill>
            <w14:solidFill>
              <w14:schemeClr w14:val="tx1"/>
            </w14:solidFill>
          </w14:textFill>
        </w:rPr>
      </w:pPr>
      <w:bookmarkStart w:id="88" w:name="_Toc1523_WPSOffice_Level1"/>
      <w:r>
        <w:rPr>
          <w:rFonts w:hint="eastAsia" w:hAnsi="宋体" w:cs="宋体"/>
          <w:b/>
          <w:bCs/>
          <w:color w:val="000000" w:themeColor="text1"/>
          <w:sz w:val="28"/>
          <w:szCs w:val="28"/>
          <w:lang w:val="en-US" w:eastAsia="zh-CN"/>
          <w14:textFill>
            <w14:solidFill>
              <w14:schemeClr w14:val="tx1"/>
            </w14:solidFill>
          </w14:textFill>
        </w:rPr>
        <w:t xml:space="preserve">第十章  </w:t>
      </w:r>
      <w:bookmarkEnd w:id="88"/>
      <w:r>
        <w:rPr>
          <w:rFonts w:hint="eastAsia" w:hAnsi="宋体" w:cs="宋体"/>
          <w:b/>
          <w:bCs/>
          <w:color w:val="000000" w:themeColor="text1"/>
          <w:sz w:val="28"/>
          <w:szCs w:val="28"/>
          <w:lang w:val="en-US" w:eastAsia="zh-CN"/>
          <w14:textFill>
            <w14:solidFill>
              <w14:schemeClr w14:val="tx1"/>
            </w14:solidFill>
          </w14:textFill>
        </w:rPr>
        <w:t>供应商认为有必要说明的其他问题</w:t>
      </w:r>
    </w:p>
    <w:p>
      <w:pPr>
        <w:rPr>
          <w:rFonts w:hint="eastAsia" w:ascii="宋体" w:hAnsi="宋体" w:eastAsia="宋体" w:cs="宋体"/>
          <w:sz w:val="32"/>
          <w:szCs w:val="32"/>
        </w:rPr>
      </w:pPr>
      <w:r>
        <w:rPr>
          <w:rFonts w:hint="eastAsia" w:ascii="宋体" w:hAnsi="宋体" w:eastAsia="宋体" w:cs="宋体"/>
        </w:rPr>
        <w:br w:type="page"/>
      </w:r>
    </w:p>
    <w:p>
      <w:pPr>
        <w:pStyle w:val="5"/>
        <w:jc w:val="center"/>
        <w:rPr>
          <w:rFonts w:hint="eastAsia" w:ascii="宋体" w:hAnsi="宋体" w:eastAsia="宋体" w:cs="宋体"/>
        </w:rPr>
      </w:pPr>
      <w:bookmarkStart w:id="89" w:name="_Toc4804"/>
      <w:r>
        <w:rPr>
          <w:rFonts w:hint="eastAsia" w:ascii="宋体" w:hAnsi="宋体" w:eastAsia="宋体" w:cs="宋体"/>
        </w:rPr>
        <w:t>第一部分  投标函</w:t>
      </w:r>
      <w:bookmarkEnd w:id="89"/>
    </w:p>
    <w:p>
      <w:pPr>
        <w:spacing w:line="560" w:lineRule="exact"/>
        <w:jc w:val="both"/>
        <w:rPr>
          <w:rFonts w:hint="eastAsia" w:ascii="宋体" w:hAnsi="宋体" w:eastAsia="宋体" w:cs="宋体"/>
          <w:sz w:val="28"/>
          <w:szCs w:val="28"/>
        </w:rPr>
      </w:pPr>
      <w:r>
        <w:rPr>
          <w:rFonts w:hint="eastAsia" w:ascii="宋体" w:hAnsi="宋体" w:eastAsia="宋体" w:cs="宋体"/>
          <w:sz w:val="28"/>
          <w:szCs w:val="28"/>
          <w:lang w:eastAsia="zh-CN"/>
        </w:rPr>
        <w:t>陕西卓佲项目管理有限公司</w:t>
      </w:r>
      <w:r>
        <w:rPr>
          <w:rFonts w:hint="eastAsia" w:ascii="宋体" w:hAnsi="宋体" w:eastAsia="宋体" w:cs="宋体"/>
          <w:sz w:val="28"/>
          <w:szCs w:val="28"/>
        </w:rPr>
        <w:t>：</w:t>
      </w:r>
    </w:p>
    <w:p>
      <w:pPr>
        <w:spacing w:line="560" w:lineRule="exact"/>
        <w:ind w:firstLine="576" w:firstLineChars="200"/>
        <w:jc w:val="left"/>
        <w:rPr>
          <w:rFonts w:hint="eastAsia"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）的招标文件，经详细研究，我公司决定参加本次招标活动。为此，我方郑重承诺以下诸点，并负法律责任。</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3．我方同意向贵</w:t>
      </w:r>
      <w:r>
        <w:rPr>
          <w:rFonts w:hint="eastAsia" w:ascii="宋体" w:hAnsi="宋体" w:eastAsia="宋体" w:cs="宋体"/>
          <w:sz w:val="28"/>
          <w:szCs w:val="28"/>
          <w:lang w:eastAsia="zh-CN"/>
        </w:rPr>
        <w:t>单位</w:t>
      </w:r>
      <w:r>
        <w:rPr>
          <w:rFonts w:hint="eastAsia" w:ascii="宋体" w:hAnsi="宋体" w:eastAsia="宋体" w:cs="宋体"/>
          <w:sz w:val="28"/>
          <w:szCs w:val="28"/>
        </w:rPr>
        <w:t>提供与本次招标有关的全部证明材料，并保证所提交的证明材料真实、合法、有效。</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日    期：    年  月  日</w:t>
      </w:r>
    </w:p>
    <w:p>
      <w:pPr>
        <w:rPr>
          <w:rFonts w:hint="eastAsia" w:ascii="宋体" w:hAnsi="宋体" w:eastAsia="宋体" w:cs="宋体"/>
          <w:sz w:val="32"/>
          <w:szCs w:val="32"/>
        </w:rPr>
      </w:pPr>
      <w:r>
        <w:rPr>
          <w:rFonts w:hint="eastAsia" w:ascii="宋体" w:hAnsi="宋体" w:eastAsia="宋体" w:cs="宋体"/>
        </w:rPr>
        <w:br w:type="page"/>
      </w:r>
    </w:p>
    <w:p>
      <w:pPr>
        <w:pStyle w:val="5"/>
        <w:numPr>
          <w:ilvl w:val="0"/>
          <w:numId w:val="10"/>
        </w:numPr>
        <w:jc w:val="center"/>
        <w:rPr>
          <w:rFonts w:hint="eastAsia" w:ascii="宋体" w:hAnsi="宋体" w:eastAsia="宋体" w:cs="宋体"/>
        </w:rPr>
      </w:pPr>
      <w:r>
        <w:rPr>
          <w:rFonts w:hint="eastAsia" w:ascii="宋体" w:hAnsi="宋体" w:eastAsia="宋体" w:cs="宋体"/>
          <w:lang w:val="en-US" w:eastAsia="zh-CN"/>
        </w:rPr>
        <w:t xml:space="preserve">  </w:t>
      </w:r>
      <w:bookmarkStart w:id="90" w:name="_Toc9283"/>
      <w:r>
        <w:rPr>
          <w:rFonts w:hint="eastAsia" w:ascii="宋体" w:hAnsi="宋体" w:eastAsia="宋体" w:cs="宋体"/>
        </w:rPr>
        <w:t>开标一览表</w:t>
      </w:r>
      <w:bookmarkEnd w:id="90"/>
    </w:p>
    <w:p>
      <w:pPr>
        <w:widowControl/>
        <w:wordWrap w:val="0"/>
        <w:spacing w:line="360" w:lineRule="auto"/>
        <w:jc w:val="left"/>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lang w:eastAsia="zh-CN"/>
        </w:rPr>
        <w:t>西安文理学院图书馆中央空调改造项目（二次）</w:t>
      </w:r>
    </w:p>
    <w:p>
      <w:pPr>
        <w:pStyle w:val="13"/>
        <w:ind w:left="0" w:leftChars="0" w:firstLine="0" w:firstLineChars="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项目编号：</w:t>
      </w:r>
      <w:r>
        <w:rPr>
          <w:rFonts w:hint="default" w:ascii="宋体" w:hAnsi="宋体" w:cs="宋体"/>
          <w:kern w:val="2"/>
          <w:sz w:val="24"/>
          <w:szCs w:val="21"/>
          <w:lang w:val="en-US" w:eastAsia="zh-CN" w:bidi="ar-SA"/>
        </w:rPr>
        <w:t>ZMZB2022XAWL-140R</w:t>
      </w:r>
    </w:p>
    <w:p>
      <w:pPr>
        <w:numPr>
          <w:ilvl w:val="0"/>
          <w:numId w:val="0"/>
        </w:numPr>
        <w:rPr>
          <w:rFonts w:hint="eastAsia"/>
        </w:rPr>
      </w:pPr>
      <w:r>
        <w:rPr>
          <w:rFonts w:hint="eastAsia" w:ascii="宋体" w:hAnsi="宋体" w:cs="宋体"/>
          <w:sz w:val="24"/>
        </w:rPr>
        <w:t>单位：</w:t>
      </w:r>
      <w:r>
        <w:rPr>
          <w:rFonts w:hint="eastAsia" w:ascii="宋体" w:hAnsi="宋体" w:cs="宋体"/>
          <w:sz w:val="24"/>
          <w:szCs w:val="24"/>
        </w:rPr>
        <w:t xml:space="preserve">元  </w:t>
      </w:r>
    </w:p>
    <w:tbl>
      <w:tblPr>
        <w:tblStyle w:val="3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2436"/>
        <w:gridCol w:w="2281"/>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2481" w:type="dxa"/>
            <w:tcBorders>
              <w:tl2br w:val="single" w:color="auto" w:sz="4" w:space="0"/>
            </w:tcBorders>
          </w:tcPr>
          <w:p>
            <w:pPr>
              <w:kinsoku w:val="0"/>
              <w:spacing w:line="480" w:lineRule="auto"/>
              <w:ind w:right="-235" w:rightChars="-95" w:firstLine="992" w:firstLineChars="400"/>
              <w:rPr>
                <w:rFonts w:ascii="宋体" w:hAnsi="宋体" w:cs="宋体"/>
                <w:sz w:val="24"/>
              </w:rPr>
            </w:pPr>
            <w:r>
              <w:rPr>
                <w:rFonts w:hint="eastAsia" w:ascii="宋体" w:hAnsi="宋体" w:cs="宋体"/>
                <w:sz w:val="24"/>
              </w:rPr>
              <w:t>报价内容</w:t>
            </w:r>
          </w:p>
          <w:p>
            <w:pPr>
              <w:kinsoku w:val="0"/>
              <w:spacing w:line="480" w:lineRule="auto"/>
              <w:ind w:left="10" w:right="-235" w:rightChars="-95" w:firstLine="517" w:firstLineChars="209"/>
              <w:rPr>
                <w:rFonts w:ascii="宋体" w:hAnsi="宋体" w:cs="宋体"/>
                <w:sz w:val="24"/>
              </w:rPr>
            </w:pPr>
          </w:p>
          <w:p>
            <w:pPr>
              <w:kinsoku w:val="0"/>
              <w:spacing w:line="480" w:lineRule="auto"/>
              <w:ind w:right="-235" w:rightChars="-95"/>
              <w:rPr>
                <w:rFonts w:ascii="宋体" w:hAnsi="宋体" w:cs="宋体"/>
                <w:sz w:val="24"/>
              </w:rPr>
            </w:pPr>
            <w:r>
              <w:rPr>
                <w:rFonts w:hint="eastAsia" w:ascii="宋体" w:hAnsi="宋体" w:cs="宋体"/>
                <w:sz w:val="24"/>
              </w:rPr>
              <w:t>投标内容</w:t>
            </w:r>
          </w:p>
        </w:tc>
        <w:tc>
          <w:tcPr>
            <w:tcW w:w="2436" w:type="dxa"/>
            <w:vAlign w:val="center"/>
          </w:tcPr>
          <w:p>
            <w:pPr>
              <w:kinsoku w:val="0"/>
              <w:spacing w:line="480" w:lineRule="auto"/>
              <w:ind w:right="-235" w:rightChars="-95"/>
              <w:jc w:val="center"/>
              <w:rPr>
                <w:rFonts w:ascii="宋体" w:hAnsi="宋体" w:cs="宋体"/>
                <w:sz w:val="24"/>
              </w:rPr>
            </w:pPr>
            <w:r>
              <w:rPr>
                <w:rFonts w:hint="eastAsia" w:ascii="宋体" w:hAnsi="宋体" w:cs="宋体"/>
                <w:sz w:val="24"/>
              </w:rPr>
              <w:t>总报价</w:t>
            </w:r>
          </w:p>
        </w:tc>
        <w:tc>
          <w:tcPr>
            <w:tcW w:w="2281" w:type="dxa"/>
            <w:vAlign w:val="center"/>
          </w:tcPr>
          <w:p>
            <w:pPr>
              <w:kinsoku w:val="0"/>
              <w:ind w:right="-235" w:rightChars="-95"/>
              <w:jc w:val="center"/>
              <w:rPr>
                <w:rFonts w:ascii="宋体" w:hAnsi="宋体" w:cs="宋体"/>
                <w:sz w:val="24"/>
              </w:rPr>
            </w:pPr>
            <w:r>
              <w:rPr>
                <w:rFonts w:hint="eastAsia" w:ascii="宋体" w:hAnsi="宋体" w:cs="宋体"/>
                <w:sz w:val="24"/>
                <w:lang w:eastAsia="zh-CN"/>
              </w:rPr>
              <w:t>交付工期</w:t>
            </w:r>
          </w:p>
        </w:tc>
        <w:tc>
          <w:tcPr>
            <w:tcW w:w="2281" w:type="dxa"/>
            <w:vAlign w:val="center"/>
          </w:tcPr>
          <w:p>
            <w:pPr>
              <w:kinsoku w:val="0"/>
              <w:ind w:right="-235" w:rightChars="-95"/>
              <w:jc w:val="center"/>
              <w:rPr>
                <w:rFonts w:hint="eastAsia" w:ascii="宋体" w:hAnsi="宋体" w:cs="宋体"/>
                <w:sz w:val="24"/>
                <w:lang w:eastAsia="zh-CN"/>
              </w:rPr>
            </w:pPr>
            <w:r>
              <w:rPr>
                <w:rFonts w:hint="eastAsia" w:ascii="宋体" w:hAnsi="宋体" w:cs="宋体"/>
                <w:sz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481" w:type="dxa"/>
            <w:vAlign w:val="center"/>
          </w:tcPr>
          <w:p>
            <w:pPr>
              <w:kinsoku w:val="0"/>
              <w:ind w:right="69" w:rightChars="28"/>
              <w:jc w:val="center"/>
              <w:rPr>
                <w:rFonts w:hint="eastAsia" w:ascii="宋体" w:hAnsi="宋体" w:eastAsia="宋体" w:cs="宋体"/>
                <w:sz w:val="24"/>
                <w:lang w:eastAsia="zh-CN"/>
              </w:rPr>
            </w:pPr>
            <w:r>
              <w:rPr>
                <w:rFonts w:hint="eastAsia" w:ascii="宋体" w:hAnsi="宋体" w:cs="宋体"/>
                <w:sz w:val="24"/>
                <w:lang w:eastAsia="zh-CN"/>
              </w:rPr>
              <w:t>西安文理学院图书馆中央空调改造项目（二次）</w:t>
            </w:r>
          </w:p>
        </w:tc>
        <w:tc>
          <w:tcPr>
            <w:tcW w:w="2436" w:type="dxa"/>
            <w:vAlign w:val="center"/>
          </w:tcPr>
          <w:p>
            <w:pPr>
              <w:kinsoku w:val="0"/>
              <w:spacing w:line="480" w:lineRule="auto"/>
              <w:ind w:left="10" w:right="-235" w:rightChars="-95" w:firstLine="517" w:firstLineChars="209"/>
              <w:jc w:val="center"/>
              <w:rPr>
                <w:rFonts w:ascii="宋体" w:hAnsi="宋体" w:cs="宋体"/>
                <w:sz w:val="24"/>
              </w:rPr>
            </w:pPr>
          </w:p>
        </w:tc>
        <w:tc>
          <w:tcPr>
            <w:tcW w:w="2281" w:type="dxa"/>
            <w:vAlign w:val="center"/>
          </w:tcPr>
          <w:p>
            <w:pPr>
              <w:kinsoku w:val="0"/>
              <w:spacing w:line="480" w:lineRule="auto"/>
              <w:ind w:left="10" w:right="-235" w:rightChars="-95" w:firstLine="517" w:firstLineChars="209"/>
              <w:jc w:val="center"/>
              <w:rPr>
                <w:rFonts w:ascii="宋体" w:hAnsi="宋体" w:cs="宋体"/>
                <w:sz w:val="24"/>
              </w:rPr>
            </w:pPr>
          </w:p>
        </w:tc>
        <w:tc>
          <w:tcPr>
            <w:tcW w:w="2281" w:type="dxa"/>
            <w:vAlign w:val="center"/>
          </w:tcPr>
          <w:p>
            <w:pPr>
              <w:kinsoku w:val="0"/>
              <w:spacing w:line="480" w:lineRule="auto"/>
              <w:ind w:left="10" w:right="-235" w:rightChars="-95" w:firstLine="517"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479" w:type="dxa"/>
            <w:gridSpan w:val="4"/>
          </w:tcPr>
          <w:p>
            <w:pPr>
              <w:kinsoku w:val="0"/>
              <w:ind w:right="-235" w:rightChars="-95"/>
              <w:rPr>
                <w:rFonts w:ascii="宋体" w:hAnsi="宋体" w:cs="宋体"/>
                <w:b/>
                <w:bCs/>
                <w:sz w:val="24"/>
                <w:szCs w:val="24"/>
              </w:rPr>
            </w:pPr>
          </w:p>
          <w:p>
            <w:pPr>
              <w:kinsoku w:val="0"/>
              <w:ind w:right="-235" w:rightChars="-95"/>
              <w:rPr>
                <w:rFonts w:hint="eastAsia" w:ascii="宋体" w:hAnsi="宋体" w:cs="宋体"/>
                <w:sz w:val="24"/>
              </w:rPr>
            </w:pPr>
            <w:r>
              <w:rPr>
                <w:rFonts w:hint="eastAsia" w:ascii="宋体" w:hAnsi="宋体" w:cs="宋体"/>
                <w:sz w:val="24"/>
              </w:rPr>
              <w:t>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479" w:type="dxa"/>
            <w:gridSpan w:val="4"/>
            <w:vAlign w:val="center"/>
          </w:tcPr>
          <w:p>
            <w:pPr>
              <w:kinsoku w:val="0"/>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备注：表内报价内容以元为单位，精确到小数点后两位；</w:t>
            </w:r>
          </w:p>
        </w:tc>
      </w:tr>
    </w:tbl>
    <w:p>
      <w:pPr>
        <w:adjustRightInd w:val="0"/>
        <w:snapToGrid w:val="0"/>
        <w:spacing w:line="480" w:lineRule="auto"/>
        <w:jc w:val="left"/>
        <w:rPr>
          <w:rFonts w:hint="eastAsia" w:ascii="宋体" w:hAnsi="宋体" w:cs="宋体"/>
          <w:sz w:val="24"/>
        </w:rPr>
      </w:pP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pPr>
      <w:r>
        <w:rPr>
          <w:rFonts w:hint="eastAsia" w:ascii="宋体" w:hAnsi="宋体" w:cs="宋体"/>
          <w:sz w:val="24"/>
        </w:rPr>
        <w:t>法定代表人或被授权人（签字或盖章）：__________________</w:t>
      </w:r>
    </w:p>
    <w:p>
      <w:pPr>
        <w:adjustRightInd w:val="0"/>
        <w:snapToGrid w:val="0"/>
        <w:spacing w:line="480" w:lineRule="auto"/>
        <w:jc w:val="left"/>
        <w:rPr>
          <w:rFonts w:ascii="宋体" w:cs="宋体"/>
          <w:sz w:val="24"/>
        </w:rPr>
      </w:pPr>
      <w:r>
        <w:rPr>
          <w:rFonts w:hint="eastAsia" w:ascii="宋体" w:hAnsi="宋体" w:cs="宋体"/>
          <w:sz w:val="24"/>
        </w:rPr>
        <w:t>时间：_______年________月_______日</w:t>
      </w: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jc w:val="center"/>
        <w:outlineLvl w:val="9"/>
        <w:rPr>
          <w:rFonts w:hint="eastAsia" w:ascii="宋体" w:hAnsi="宋体" w:eastAsia="宋体" w:cs="宋体"/>
          <w:sz w:val="32"/>
          <w:szCs w:val="32"/>
        </w:rPr>
      </w:pPr>
      <w:r>
        <w:rPr>
          <w:rFonts w:hint="eastAsia" w:ascii="宋体" w:hAnsi="宋体" w:eastAsia="宋体" w:cs="宋体"/>
          <w:sz w:val="32"/>
          <w:szCs w:val="32"/>
        </w:rPr>
        <w:t>分项报价表（</w:t>
      </w:r>
      <w:r>
        <w:rPr>
          <w:rFonts w:hint="eastAsia" w:ascii="宋体" w:hAnsi="宋体" w:eastAsia="宋体" w:cs="宋体"/>
          <w:sz w:val="32"/>
          <w:szCs w:val="32"/>
          <w:lang w:eastAsia="zh-CN"/>
        </w:rPr>
        <w:t>货物</w:t>
      </w:r>
      <w:r>
        <w:rPr>
          <w:rFonts w:hint="eastAsia" w:ascii="宋体" w:hAnsi="宋体" w:eastAsia="宋体" w:cs="宋体"/>
          <w:sz w:val="32"/>
          <w:szCs w:val="32"/>
        </w:rPr>
        <w:t>类适用）</w:t>
      </w:r>
    </w:p>
    <w:p>
      <w:pPr>
        <w:widowControl/>
        <w:wordWrap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西安文理学院图书馆中央空调改造项目（二次）</w:t>
      </w:r>
      <w:r>
        <w:rPr>
          <w:rFonts w:hint="eastAsia" w:ascii="宋体" w:hAnsi="宋体" w:cs="宋体"/>
          <w:color w:val="000000" w:themeColor="text1"/>
          <w:sz w:val="24"/>
          <w14:textFill>
            <w14:solidFill>
              <w14:schemeClr w14:val="tx1"/>
            </w14:solidFill>
          </w14:textFill>
        </w:rPr>
        <w:t xml:space="preserve">   </w:t>
      </w:r>
    </w:p>
    <w:p>
      <w:pPr>
        <w:widowControl/>
        <w:wordWrap w:val="0"/>
        <w:spacing w:line="360" w:lineRule="auto"/>
        <w:rPr>
          <w:rFonts w:hint="default" w:ascii="宋体" w:eastAsia="宋体" w:cs="宋体"/>
          <w:color w:val="000000" w:themeColor="text1"/>
          <w:sz w:val="24"/>
          <w:u w:val="singl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r>
        <w:rPr>
          <w:rFonts w:hint="default" w:ascii="宋体" w:hAnsi="宋体" w:cs="宋体"/>
          <w:color w:val="000000" w:themeColor="text1"/>
          <w:sz w:val="24"/>
          <w:u w:val="single"/>
          <w:lang w:val="en-US" w:eastAsia="zh-CN"/>
          <w14:textFill>
            <w14:solidFill>
              <w14:schemeClr w14:val="tx1"/>
            </w14:solidFill>
          </w14:textFill>
        </w:rPr>
        <w:t>ZMZB2022XAWL-140R</w:t>
      </w:r>
    </w:p>
    <w:p>
      <w:pPr>
        <w:widowControl/>
        <w:wordWrap w:val="0"/>
        <w:spacing w:line="360" w:lineRule="auto"/>
        <w:jc w:val="left"/>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t>共  页，第  页</w:t>
      </w:r>
    </w:p>
    <w:tbl>
      <w:tblPr>
        <w:tblStyle w:val="35"/>
        <w:tblpPr w:leftFromText="180" w:rightFromText="180" w:vertAnchor="text" w:horzAnchor="page" w:tblpX="1534" w:tblpY="373"/>
        <w:tblOverlap w:val="never"/>
        <w:tblW w:w="0" w:type="auto"/>
        <w:tblInd w:w="0" w:type="dxa"/>
        <w:tblLayout w:type="fixed"/>
        <w:tblCellMar>
          <w:top w:w="0" w:type="dxa"/>
          <w:left w:w="28" w:type="dxa"/>
          <w:bottom w:w="0" w:type="dxa"/>
          <w:right w:w="28" w:type="dxa"/>
        </w:tblCellMar>
      </w:tblPr>
      <w:tblGrid>
        <w:gridCol w:w="1148"/>
        <w:gridCol w:w="530"/>
        <w:gridCol w:w="789"/>
        <w:gridCol w:w="588"/>
        <w:gridCol w:w="963"/>
        <w:gridCol w:w="1570"/>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right w:val="single" w:color="auto" w:sz="4" w:space="0"/>
            </w:tcBorders>
            <w:noWrap w:val="0"/>
            <w:vAlign w:val="center"/>
          </w:tcPr>
          <w:p>
            <w:pPr>
              <w:jc w:val="left"/>
              <w:rPr>
                <w:rFonts w:ascii="宋体" w:hAnsi="宋体"/>
                <w:sz w:val="22"/>
              </w:rPr>
            </w:pPr>
            <w:r>
              <w:rPr>
                <w:rFonts w:hint="eastAsia" w:ascii="宋体" w:hAnsi="宋体"/>
                <w:sz w:val="22"/>
              </w:rPr>
              <w:t>产品费用</w:t>
            </w:r>
          </w:p>
        </w:tc>
        <w:tc>
          <w:tcPr>
            <w:tcW w:w="530" w:type="dxa"/>
            <w:tcBorders>
              <w:top w:val="single" w:color="auto" w:sz="6" w:space="0"/>
              <w:left w:val="single" w:color="auto" w:sz="4" w:space="0"/>
              <w:bottom w:val="single" w:color="auto" w:sz="6" w:space="0"/>
            </w:tcBorders>
            <w:noWrap w:val="0"/>
            <w:vAlign w:val="center"/>
          </w:tcPr>
          <w:p>
            <w:pPr>
              <w:spacing w:after="120"/>
              <w:jc w:val="center"/>
              <w:rPr>
                <w:rFonts w:ascii="宋体" w:hAnsi="宋体"/>
                <w:sz w:val="22"/>
              </w:rPr>
            </w:pPr>
            <w:r>
              <w:rPr>
                <w:rFonts w:hint="eastAsia" w:ascii="宋体" w:hAnsi="宋体"/>
                <w:sz w:val="22"/>
              </w:rPr>
              <w:t>序号</w:t>
            </w:r>
          </w:p>
        </w:tc>
        <w:tc>
          <w:tcPr>
            <w:tcW w:w="78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名称</w:t>
            </w:r>
          </w:p>
        </w:tc>
        <w:tc>
          <w:tcPr>
            <w:tcW w:w="588" w:type="dxa"/>
            <w:tcBorders>
              <w:top w:val="single" w:color="auto" w:sz="6" w:space="0"/>
              <w:left w:val="single" w:color="auto" w:sz="6" w:space="0"/>
              <w:bottom w:val="single" w:color="auto" w:sz="6" w:space="0"/>
              <w:right w:val="single" w:color="auto" w:sz="4" w:space="0"/>
            </w:tcBorders>
            <w:noWrap w:val="0"/>
            <w:vAlign w:val="center"/>
          </w:tcPr>
          <w:p>
            <w:pPr>
              <w:spacing w:after="120"/>
              <w:jc w:val="center"/>
              <w:rPr>
                <w:rFonts w:ascii="宋体" w:hAnsi="宋体"/>
                <w:sz w:val="22"/>
              </w:rPr>
            </w:pPr>
            <w:r>
              <w:rPr>
                <w:rFonts w:hint="eastAsia" w:ascii="宋体" w:hAnsi="宋体"/>
                <w:sz w:val="22"/>
              </w:rPr>
              <w:t>品牌</w:t>
            </w:r>
          </w:p>
        </w:tc>
        <w:tc>
          <w:tcPr>
            <w:tcW w:w="963" w:type="dxa"/>
            <w:tcBorders>
              <w:top w:val="single" w:color="auto" w:sz="6" w:space="0"/>
              <w:left w:val="single" w:color="auto" w:sz="4"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型号或规格</w:t>
            </w:r>
          </w:p>
        </w:tc>
        <w:tc>
          <w:tcPr>
            <w:tcW w:w="1570" w:type="dxa"/>
            <w:tcBorders>
              <w:top w:val="single" w:color="auto" w:sz="6" w:space="0"/>
              <w:left w:val="single" w:color="auto" w:sz="6" w:space="0"/>
              <w:bottom w:val="single" w:color="auto" w:sz="6" w:space="0"/>
              <w:right w:val="single" w:color="auto" w:sz="6" w:space="0"/>
            </w:tcBorders>
            <w:noWrap w:val="0"/>
            <w:vAlign w:val="center"/>
          </w:tcPr>
          <w:p>
            <w:pPr>
              <w:spacing w:before="159" w:beforeLines="50" w:after="120"/>
              <w:jc w:val="center"/>
              <w:rPr>
                <w:rFonts w:ascii="宋体" w:hAnsi="宋体"/>
                <w:sz w:val="22"/>
              </w:rPr>
            </w:pPr>
            <w:r>
              <w:rPr>
                <w:rFonts w:hint="eastAsia" w:ascii="宋体" w:hAnsi="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数量</w:t>
            </w:r>
          </w:p>
        </w:tc>
        <w:tc>
          <w:tcPr>
            <w:tcW w:w="135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单价</w:t>
            </w:r>
          </w:p>
          <w:p>
            <w:pPr>
              <w:spacing w:after="120"/>
              <w:jc w:val="center"/>
              <w:rPr>
                <w:rFonts w:ascii="宋体" w:hAnsi="宋体"/>
                <w:bCs/>
                <w:sz w:val="22"/>
              </w:rPr>
            </w:pPr>
            <w:r>
              <w:rPr>
                <w:rFonts w:hint="eastAsia" w:ascii="宋体" w:hAnsi="宋体"/>
                <w:sz w:val="22"/>
              </w:rPr>
              <w:t>（元）</w:t>
            </w:r>
          </w:p>
        </w:tc>
        <w:tc>
          <w:tcPr>
            <w:tcW w:w="115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bCs/>
                <w:sz w:val="22"/>
              </w:rPr>
            </w:pPr>
            <w:r>
              <w:rPr>
                <w:rFonts w:hint="eastAsia" w:ascii="宋体" w:hAnsi="宋体"/>
                <w:bCs/>
                <w:sz w:val="22"/>
              </w:rPr>
              <w:t>总价</w:t>
            </w:r>
          </w:p>
          <w:p>
            <w:pPr>
              <w:spacing w:after="120"/>
              <w:jc w:val="center"/>
              <w:rPr>
                <w:rFonts w:ascii="宋体" w:hAns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6" w:space="0"/>
              <w:left w:val="single" w:color="auto" w:sz="4" w:space="0"/>
              <w:bottom w:val="single" w:color="auto" w:sz="4" w:space="0"/>
            </w:tcBorders>
            <w:noWrap w:val="0"/>
            <w:vAlign w:val="center"/>
          </w:tcPr>
          <w:p>
            <w:pPr>
              <w:spacing w:before="319" w:beforeLines="100"/>
              <w:jc w:val="center"/>
              <w:rPr>
                <w:rFonts w:ascii="宋体" w:hAnsi="宋体"/>
                <w:sz w:val="22"/>
              </w:rPr>
            </w:pPr>
            <w:r>
              <w:rPr>
                <w:rFonts w:hint="eastAsia" w:ascii="宋体" w:hAnsi="宋体"/>
                <w:sz w:val="22"/>
              </w:rPr>
              <w:t>1</w:t>
            </w:r>
          </w:p>
        </w:tc>
        <w:tc>
          <w:tcPr>
            <w:tcW w:w="789"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608"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sz w:val="22"/>
              </w:rPr>
            </w:pPr>
            <w:r>
              <w:rPr>
                <w:rFonts w:hint="eastAsia" w:ascii="宋体" w:hAnsi="宋体"/>
                <w:sz w:val="22"/>
              </w:rPr>
              <w:t>2</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319" w:beforeLines="10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sz w:val="22"/>
              </w:rPr>
            </w:pPr>
            <w:r>
              <w:rPr>
                <w:rFonts w:hint="eastAsia" w:ascii="宋体" w:hAnsi="宋体"/>
                <w:sz w:val="22"/>
              </w:rPr>
              <w:t>3</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319" w:beforeLines="10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823"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sz w:val="22"/>
              </w:rPr>
            </w:pPr>
            <w:r>
              <w:rPr>
                <w:rFonts w:hint="eastAsia" w:ascii="宋体" w:hAnsi="宋体"/>
                <w:sz w:val="22"/>
              </w:rPr>
              <w:t>……</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823" w:hRule="atLeast"/>
        </w:trPr>
        <w:tc>
          <w:tcPr>
            <w:tcW w:w="1148" w:type="dxa"/>
            <w:vMerge w:val="continue"/>
            <w:tcBorders>
              <w:left w:val="single" w:color="auto" w:sz="6" w:space="0"/>
              <w:bottom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b/>
                <w:sz w:val="22"/>
              </w:rPr>
            </w:pPr>
            <w:r>
              <w:rPr>
                <w:rFonts w:hint="eastAsia" w:ascii="宋体" w:hAnsi="宋体"/>
                <w:sz w:val="22"/>
              </w:rPr>
              <w:t>……</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r>
              <w:rPr>
                <w:rFonts w:hint="eastAsia" w:ascii="宋体" w:hAnsi="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r>
              <w:rPr>
                <w:rFonts w:hint="eastAsia" w:ascii="宋体" w:hAnsi="宋体"/>
                <w:sz w:val="22"/>
              </w:rPr>
              <w:t>……</w:t>
            </w:r>
          </w:p>
        </w:tc>
        <w:tc>
          <w:tcPr>
            <w:tcW w:w="6593" w:type="dxa"/>
            <w:gridSpan w:val="6"/>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tcBorders>
            <w:noWrap w:val="0"/>
            <w:vAlign w:val="center"/>
          </w:tcPr>
          <w:p>
            <w:pPr>
              <w:jc w:val="center"/>
              <w:rPr>
                <w:rFonts w:ascii="宋体" w:hAnsi="宋体"/>
                <w:sz w:val="22"/>
              </w:rPr>
            </w:pPr>
            <w:r>
              <w:rPr>
                <w:rFonts w:hint="eastAsia" w:ascii="宋体" w:hAnsi="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noWrap w:val="0"/>
            <w:vAlign w:val="center"/>
          </w:tcPr>
          <w:p>
            <w:pPr>
              <w:spacing w:before="159" w:beforeLines="50"/>
              <w:jc w:val="left"/>
              <w:rPr>
                <w:rFonts w:ascii="宋体" w:hAnsi="宋体"/>
                <w:sz w:val="22"/>
              </w:rPr>
            </w:pPr>
            <w:r>
              <w:rPr>
                <w:rFonts w:hint="eastAsia" w:ascii="宋体" w:hAnsi="宋体"/>
                <w:sz w:val="22"/>
              </w:rPr>
              <w:t>大写：                       小写：元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tcBorders>
            <w:noWrap w:val="0"/>
            <w:vAlign w:val="center"/>
          </w:tcPr>
          <w:p>
            <w:pPr>
              <w:jc w:val="center"/>
              <w:rPr>
                <w:rFonts w:ascii="宋体" w:hAnsi="宋体"/>
                <w:sz w:val="22"/>
              </w:rPr>
            </w:pPr>
            <w:r>
              <w:rPr>
                <w:rFonts w:hint="eastAsia" w:ascii="宋体" w:hAnsi="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r>
              <w:rPr>
                <w:rFonts w:hint="eastAsia" w:ascii="宋体" w:hAnsi="宋体"/>
                <w:spacing w:val="-6"/>
                <w:sz w:val="22"/>
              </w:rPr>
              <w:t>保留小数点后两位。</w:t>
            </w:r>
          </w:p>
        </w:tc>
      </w:tr>
    </w:tbl>
    <w:p>
      <w:pPr>
        <w:adjustRightInd w:val="0"/>
        <w:snapToGrid w:val="0"/>
        <w:spacing w:line="480" w:lineRule="auto"/>
        <w:rPr>
          <w:rFonts w:hint="eastAsia" w:ascii="宋体" w:hAnsi="宋体"/>
          <w:color w:val="000000" w:themeColor="text1"/>
          <w:sz w:val="24"/>
          <w:szCs w:val="24"/>
          <w14:textFill>
            <w14:solidFill>
              <w14:schemeClr w14:val="tx1"/>
            </w14:solidFill>
          </w14:textFill>
        </w:rPr>
      </w:pPr>
    </w:p>
    <w:p>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供应商（单位名称及公章）：</w:t>
      </w:r>
    </w:p>
    <w:p>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法定代表人或被授权人（签字或盖章）：</w:t>
      </w:r>
    </w:p>
    <w:p>
      <w:pPr>
        <w:adjustRightInd w:val="0"/>
        <w:snapToGrid w:val="0"/>
        <w:spacing w:line="480" w:lineRule="auto"/>
        <w:jc w:val="left"/>
        <w:rPr>
          <w:rFonts w:ascii="宋体" w:cs="宋体"/>
          <w:sz w:val="24"/>
        </w:rPr>
      </w:pPr>
      <w:r>
        <w:rPr>
          <w:rFonts w:hint="eastAsia" w:ascii="宋体" w:hAnsi="宋体"/>
          <w:color w:val="000000" w:themeColor="text1"/>
          <w:sz w:val="24"/>
          <w:szCs w:val="24"/>
          <w14:textFill>
            <w14:solidFill>
              <w14:schemeClr w14:val="tx1"/>
            </w14:solidFill>
          </w14:textFill>
        </w:rPr>
        <w:t>日期：</w:t>
      </w:r>
      <w:r>
        <w:rPr>
          <w:rFonts w:hint="eastAsia" w:ascii="宋体" w:hAnsi="宋体" w:cs="宋体"/>
          <w:sz w:val="24"/>
        </w:rPr>
        <w:t>_______年________月_______日</w:t>
      </w:r>
    </w:p>
    <w:p>
      <w:pPr>
        <w:adjustRightInd w:val="0"/>
        <w:snapToGrid w:val="0"/>
        <w:spacing w:line="480" w:lineRule="auto"/>
        <w:rPr>
          <w:color w:val="000000" w:themeColor="text1"/>
          <w:sz w:val="36"/>
          <w:szCs w:val="36"/>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3" w:bottom="1440" w:left="1803" w:header="850" w:footer="992" w:gutter="0"/>
          <w:pgNumType w:fmt="decimal"/>
          <w:cols w:space="0" w:num="1"/>
          <w:titlePg/>
          <w:docGrid w:type="linesAndChars" w:linePitch="395" w:charSpace="1724"/>
        </w:sectPr>
      </w:pPr>
    </w:p>
    <w:p>
      <w:pPr>
        <w:pStyle w:val="5"/>
        <w:jc w:val="center"/>
        <w:rPr>
          <w:rFonts w:hint="eastAsia" w:ascii="宋体" w:hAnsi="宋体" w:eastAsia="宋体" w:cs="宋体"/>
        </w:rPr>
      </w:pPr>
      <w:bookmarkStart w:id="91" w:name="_Toc28259"/>
      <w:r>
        <w:rPr>
          <w:rFonts w:hint="eastAsia" w:ascii="宋体" w:hAnsi="宋体" w:eastAsia="宋体" w:cs="宋体"/>
        </w:rPr>
        <w:t>第三部分  资格证明文件</w:t>
      </w:r>
      <w:bookmarkEnd w:id="91"/>
    </w:p>
    <w:p>
      <w:pPr>
        <w:spacing w:line="560" w:lineRule="exact"/>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rPr>
          <w:rFonts w:ascii="宋体" w:hAnsi="宋体" w:cs="宋体"/>
          <w:sz w:val="24"/>
          <w:szCs w:val="24"/>
        </w:rPr>
      </w:pPr>
      <w:r>
        <w:rPr>
          <w:rFonts w:hint="eastAsia" w:ascii="宋体" w:hAnsi="宋体" w:cs="宋体" w:eastAsiaTheme="minorEastAsia"/>
          <w:color w:val="auto"/>
          <w:kern w:val="0"/>
          <w:sz w:val="32"/>
          <w:szCs w:val="32"/>
          <w:lang w:val="en-US" w:eastAsia="zh-CN" w:bidi="ar-SA"/>
        </w:rPr>
        <w:t>（一）基本资格条件</w:t>
      </w:r>
    </w:p>
    <w:p>
      <w:pPr>
        <w:pStyle w:val="18"/>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8"/>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11"/>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1"/>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1"/>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1"/>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1"/>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1"/>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8"/>
        <w:rPr>
          <w:rFonts w:ascii="宋体" w:hAnsi="宋体" w:cs="宋体"/>
        </w:rPr>
      </w:pPr>
    </w:p>
    <w:p>
      <w:pPr>
        <w:widowControl/>
        <w:snapToGrid w:val="0"/>
        <w:spacing w:line="480" w:lineRule="auto"/>
        <w:ind w:firstLine="480" w:firstLineChars="200"/>
        <w:jc w:val="left"/>
        <w:rPr>
          <w:rFonts w:hAnsi="宋体" w:cs="宋体"/>
          <w:sz w:val="24"/>
        </w:rPr>
      </w:pPr>
      <w:r>
        <w:rPr>
          <w:rFonts w:hint="eastAsia" w:ascii="宋体" w:hAnsi="宋体" w:cs="宋体"/>
          <w:kern w:val="0"/>
          <w:sz w:val="24"/>
          <w:szCs w:val="24"/>
        </w:rPr>
        <w:t>我方对此声明负全部法律责任。</w:t>
      </w:r>
    </w:p>
    <w:p>
      <w:pPr>
        <w:pStyle w:val="14"/>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4"/>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hAnsi="宋体" w:cs="宋体"/>
          <w:sz w:val="28"/>
          <w:szCs w:val="32"/>
          <w:highlight w:val="none"/>
        </w:rPr>
      </w:pPr>
      <w:bookmarkStart w:id="92" w:name="_Toc30494"/>
      <w:bookmarkStart w:id="93" w:name="_Toc9106"/>
      <w:bookmarkStart w:id="94" w:name="_Toc28294"/>
      <w:bookmarkStart w:id="95" w:name="_Toc30568"/>
      <w:bookmarkStart w:id="96" w:name="_Toc32575"/>
      <w:bookmarkStart w:id="97" w:name="_Toc18738"/>
      <w:bookmarkStart w:id="98" w:name="_Toc26570"/>
      <w:bookmarkStart w:id="99" w:name="_Toc14575"/>
      <w:bookmarkStart w:id="100" w:name="_Toc29109"/>
      <w:r>
        <w:rPr>
          <w:rFonts w:hint="eastAsia" w:ascii="宋体" w:hAnsi="宋体" w:cs="宋体"/>
          <w:sz w:val="28"/>
          <w:szCs w:val="32"/>
          <w:highlight w:val="none"/>
        </w:rPr>
        <w:t>（二）特定资格条件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2、财务状况证明：</w:t>
      </w:r>
      <w:r>
        <w:rPr>
          <w:rFonts w:hint="eastAsia" w:ascii="宋体" w:hAnsi="宋体" w:cs="宋体"/>
          <w:sz w:val="24"/>
          <w:highlight w:val="none"/>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highlight w:val="none"/>
        </w:rPr>
        <w:t>；</w:t>
      </w:r>
    </w:p>
    <w:p>
      <w:pPr>
        <w:keepNext/>
        <w:keepLines/>
        <w:spacing w:line="413" w:lineRule="auto"/>
        <w:jc w:val="center"/>
        <w:rPr>
          <w:rFonts w:ascii="宋体" w:hAnsi="宋体" w:cs="宋体"/>
          <w:sz w:val="32"/>
          <w:szCs w:val="24"/>
          <w:highlight w:val="none"/>
        </w:rPr>
        <w:sectPr>
          <w:headerReference r:id="rId7"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highlight w:val="none"/>
        </w:rPr>
      </w:pPr>
      <w:r>
        <w:rPr>
          <w:rFonts w:hint="eastAsia" w:ascii="宋体" w:hAnsi="宋体" w:cs="宋体"/>
          <w:sz w:val="32"/>
          <w:szCs w:val="24"/>
          <w:highlight w:val="none"/>
        </w:rPr>
        <w:t>3、履行合同所必需的设备和专业技术能力声明（格式）</w:t>
      </w:r>
    </w:p>
    <w:p>
      <w:pPr>
        <w:rPr>
          <w:rFonts w:ascii="宋体" w:hAnsi="宋体" w:cs="宋体"/>
          <w:highlight w:val="none"/>
        </w:rPr>
      </w:pPr>
    </w:p>
    <w:p>
      <w:pPr>
        <w:widowControl/>
        <w:snapToGrid w:val="0"/>
        <w:spacing w:line="480" w:lineRule="auto"/>
        <w:jc w:val="left"/>
        <w:rPr>
          <w:rFonts w:ascii="宋体" w:hAnsi="宋体" w:cs="宋体"/>
          <w:kern w:val="0"/>
          <w:sz w:val="24"/>
          <w:szCs w:val="24"/>
          <w:highlight w:val="none"/>
        </w:rPr>
      </w:pPr>
      <w:r>
        <w:rPr>
          <w:rFonts w:hint="eastAsia" w:ascii="宋体" w:hAnsi="宋体" w:cs="宋体"/>
          <w:kern w:val="0"/>
          <w:sz w:val="24"/>
          <w:szCs w:val="24"/>
          <w:highlight w:val="none"/>
        </w:rPr>
        <w:t>(采购人名称）_______________________：</w:t>
      </w:r>
    </w:p>
    <w:p>
      <w:pPr>
        <w:widowControl/>
        <w:snapToGrid w:val="0"/>
        <w:spacing w:line="480" w:lineRule="auto"/>
        <w:ind w:firstLine="720" w:firstLineChars="300"/>
        <w:jc w:val="left"/>
        <w:rPr>
          <w:rFonts w:ascii="宋体" w:hAnsi="宋体" w:cs="宋体"/>
          <w:kern w:val="0"/>
          <w:sz w:val="24"/>
          <w:szCs w:val="24"/>
          <w:highlight w:val="none"/>
        </w:rPr>
      </w:pPr>
      <w:r>
        <w:rPr>
          <w:rFonts w:hint="eastAsia" w:ascii="宋体" w:hAnsi="宋体" w:cs="宋体"/>
          <w:kern w:val="0"/>
          <w:sz w:val="24"/>
          <w:szCs w:val="24"/>
          <w:highlight w:val="none"/>
        </w:rPr>
        <w:t>我单位参与陕西卓佲项目管理有限公司组织的____________________(项目名称)，我单位郑重声明：我方</w:t>
      </w:r>
      <w:r>
        <w:rPr>
          <w:rFonts w:hint="eastAsia" w:ascii="宋体" w:hAnsi="宋体" w:cs="宋体"/>
          <w:b/>
          <w:bCs/>
          <w:sz w:val="24"/>
          <w:szCs w:val="24"/>
          <w:highlight w:val="none"/>
        </w:rPr>
        <w:t>具有履行合同所必需的设备和专业技术能力</w:t>
      </w:r>
      <w:r>
        <w:rPr>
          <w:rFonts w:hint="eastAsia" w:ascii="宋体" w:hAnsi="宋体" w:cs="宋体"/>
          <w:kern w:val="0"/>
          <w:sz w:val="24"/>
          <w:szCs w:val="24"/>
          <w:highlight w:val="none"/>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特此声明。</w:t>
      </w:r>
    </w:p>
    <w:p>
      <w:pPr>
        <w:pStyle w:val="14"/>
        <w:spacing w:line="500" w:lineRule="exact"/>
        <w:jc w:val="left"/>
        <w:rPr>
          <w:rFonts w:hAnsi="宋体" w:cs="宋体"/>
          <w:sz w:val="24"/>
          <w:szCs w:val="24"/>
          <w:highlight w:val="none"/>
        </w:rPr>
      </w:pPr>
    </w:p>
    <w:p>
      <w:pPr>
        <w:pStyle w:val="14"/>
        <w:spacing w:line="480" w:lineRule="auto"/>
        <w:jc w:val="left"/>
        <w:rPr>
          <w:rFonts w:hAnsi="宋体" w:cs="宋体"/>
          <w:sz w:val="24"/>
          <w:highlight w:val="none"/>
        </w:rPr>
      </w:pPr>
    </w:p>
    <w:p>
      <w:pPr>
        <w:pStyle w:val="14"/>
        <w:spacing w:line="480" w:lineRule="auto"/>
        <w:jc w:val="left"/>
        <w:rPr>
          <w:rFonts w:hAnsi="宋体" w:cs="宋体"/>
          <w:sz w:val="24"/>
          <w:highlight w:val="none"/>
        </w:rPr>
      </w:pPr>
      <w:r>
        <w:rPr>
          <w:rFonts w:hint="eastAsia" w:hAnsi="宋体" w:cs="宋体"/>
          <w:sz w:val="24"/>
          <w:highlight w:val="none"/>
        </w:rPr>
        <w:t>供应商（单位名称及公章）：</w:t>
      </w:r>
      <w:r>
        <w:rPr>
          <w:rFonts w:hint="eastAsia" w:hAnsi="宋体" w:cs="宋体"/>
          <w:sz w:val="28"/>
          <w:szCs w:val="28"/>
          <w:highlight w:val="none"/>
        </w:rPr>
        <w:t>______________________</w:t>
      </w:r>
    </w:p>
    <w:p>
      <w:pPr>
        <w:pStyle w:val="14"/>
        <w:spacing w:line="480" w:lineRule="auto"/>
        <w:jc w:val="left"/>
        <w:rPr>
          <w:rFonts w:hAnsi="宋体" w:cs="宋体"/>
          <w:sz w:val="24"/>
          <w:highlight w:val="none"/>
        </w:rPr>
      </w:pPr>
      <w:r>
        <w:rPr>
          <w:rFonts w:hint="eastAsia" w:hAnsi="宋体" w:cs="宋体"/>
          <w:sz w:val="24"/>
          <w:highlight w:val="none"/>
        </w:rPr>
        <w:t>法定代表人或被授权人（签字或盖章）：</w:t>
      </w:r>
      <w:r>
        <w:rPr>
          <w:rFonts w:hint="eastAsia" w:hAnsi="宋体" w:cs="宋体"/>
          <w:sz w:val="28"/>
          <w:szCs w:val="28"/>
          <w:highlight w:val="none"/>
        </w:rPr>
        <w:t>______________________</w:t>
      </w:r>
    </w:p>
    <w:p>
      <w:pPr>
        <w:adjustRightInd w:val="0"/>
        <w:snapToGrid w:val="0"/>
        <w:spacing w:line="480" w:lineRule="auto"/>
        <w:rPr>
          <w:rFonts w:ascii="宋体" w:hAnsi="宋体" w:cs="宋体"/>
          <w:sz w:val="24"/>
          <w:szCs w:val="24"/>
          <w:highlight w:val="none"/>
        </w:rPr>
      </w:pPr>
      <w:r>
        <w:rPr>
          <w:rFonts w:hint="eastAsia" w:ascii="宋体" w:hAnsi="宋体" w:cs="宋体"/>
          <w:kern w:val="0"/>
          <w:sz w:val="24"/>
          <w:highlight w:val="none"/>
        </w:rPr>
        <w:t>日    期：</w:t>
      </w:r>
      <w:r>
        <w:rPr>
          <w:rFonts w:hint="eastAsia" w:ascii="宋体" w:hAnsi="宋体" w:cs="宋体"/>
          <w:sz w:val="28"/>
          <w:szCs w:val="28"/>
          <w:highlight w:val="none"/>
        </w:rPr>
        <w:t>______________________</w:t>
      </w:r>
    </w:p>
    <w:p>
      <w:pPr>
        <w:spacing w:line="360" w:lineRule="auto"/>
        <w:ind w:firstLine="480" w:firstLineChars="200"/>
        <w:rPr>
          <w:rFonts w:ascii="宋体" w:hAnsi="宋体" w:cs="宋体"/>
          <w:sz w:val="24"/>
          <w:szCs w:val="24"/>
          <w:highlight w:val="none"/>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4、社会保障资金缴纳证明：提供2021年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5、税收缴纳证明：提供2021年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月以来至少一个月的纳税证明或完税证明，依法免税的单位应提供相关证明材料；</w:t>
      </w: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tabs>
          <w:tab w:val="left" w:pos="2850"/>
        </w:tabs>
        <w:jc w:val="left"/>
        <w:rPr>
          <w:rFonts w:ascii="宋体" w:hAnsi="宋体" w:cs="宋体"/>
          <w:sz w:val="28"/>
          <w:szCs w:val="32"/>
          <w:highlight w:val="none"/>
        </w:rPr>
      </w:pPr>
      <w:r>
        <w:rPr>
          <w:rFonts w:hint="eastAsia" w:ascii="宋体" w:hAnsi="宋体" w:cs="宋体"/>
          <w:sz w:val="28"/>
          <w:szCs w:val="32"/>
          <w:highlight w:val="none"/>
        </w:rPr>
        <w:tab/>
      </w:r>
    </w:p>
    <w:p>
      <w:pPr>
        <w:pStyle w:val="13"/>
        <w:rPr>
          <w:highlight w:val="none"/>
        </w:rPr>
      </w:pPr>
    </w:p>
    <w:p>
      <w:pPr>
        <w:tabs>
          <w:tab w:val="left" w:pos="2235"/>
        </w:tabs>
        <w:jc w:val="left"/>
        <w:rPr>
          <w:rFonts w:ascii="宋体" w:hAnsi="宋体" w:cs="宋体"/>
          <w:sz w:val="28"/>
          <w:szCs w:val="32"/>
          <w:highlight w:val="none"/>
        </w:rPr>
      </w:pPr>
      <w:r>
        <w:rPr>
          <w:rFonts w:hint="eastAsia" w:ascii="宋体" w:hAnsi="宋体" w:cs="宋体"/>
          <w:sz w:val="28"/>
          <w:szCs w:val="32"/>
          <w:highlight w:val="none"/>
        </w:rPr>
        <w:tab/>
      </w:r>
    </w:p>
    <w:p>
      <w:pPr>
        <w:pStyle w:val="13"/>
        <w:rPr>
          <w:rFonts w:ascii="宋体" w:hAnsi="宋体" w:cs="宋体"/>
          <w:sz w:val="28"/>
          <w:szCs w:val="32"/>
          <w:highlight w:val="none"/>
        </w:rPr>
      </w:pPr>
    </w:p>
    <w:p>
      <w:pPr>
        <w:pStyle w:val="14"/>
        <w:rPr>
          <w:rFonts w:hAnsi="宋体" w:cs="宋体"/>
          <w:sz w:val="28"/>
          <w:szCs w:val="32"/>
          <w:highlight w:val="none"/>
        </w:rPr>
      </w:pPr>
    </w:p>
    <w:p>
      <w:pPr>
        <w:pStyle w:val="14"/>
        <w:rPr>
          <w:rFonts w:hAnsi="宋体" w:cs="宋体"/>
          <w:sz w:val="28"/>
          <w:szCs w:val="32"/>
          <w:highlight w:val="none"/>
        </w:rPr>
      </w:pPr>
    </w:p>
    <w:p>
      <w:pPr>
        <w:pStyle w:val="14"/>
        <w:rPr>
          <w:rFonts w:hAnsi="宋体" w:cs="宋体"/>
          <w:sz w:val="28"/>
          <w:szCs w:val="32"/>
          <w:highlight w:val="none"/>
        </w:rPr>
      </w:pPr>
    </w:p>
    <w:p>
      <w:pPr>
        <w:pStyle w:val="14"/>
        <w:rPr>
          <w:rFonts w:hAnsi="宋体" w:cs="宋体"/>
          <w:sz w:val="28"/>
          <w:szCs w:val="32"/>
          <w:highlight w:val="none"/>
        </w:rPr>
      </w:pPr>
    </w:p>
    <w:p>
      <w:pPr>
        <w:pStyle w:val="14"/>
        <w:rPr>
          <w:rFonts w:hAnsi="宋体" w:cs="宋体"/>
          <w:sz w:val="28"/>
          <w:szCs w:val="32"/>
          <w:highlight w:val="none"/>
        </w:rPr>
      </w:pPr>
    </w:p>
    <w:p>
      <w:pPr>
        <w:jc w:val="center"/>
        <w:rPr>
          <w:rFonts w:ascii="宋体" w:hAnsi="宋体" w:cs="宋体"/>
          <w:sz w:val="28"/>
          <w:szCs w:val="32"/>
          <w:highlight w:val="none"/>
        </w:rPr>
      </w:pPr>
    </w:p>
    <w:p>
      <w:pPr>
        <w:keepNext/>
        <w:keepLines/>
        <w:spacing w:line="413" w:lineRule="auto"/>
        <w:jc w:val="center"/>
        <w:rPr>
          <w:rFonts w:ascii="宋体" w:hAnsi="宋体" w:cs="宋体"/>
          <w:sz w:val="32"/>
          <w:szCs w:val="24"/>
          <w:highlight w:val="none"/>
        </w:rPr>
      </w:pPr>
      <w:r>
        <w:rPr>
          <w:rFonts w:hint="eastAsia" w:ascii="宋体" w:hAnsi="宋体" w:cs="宋体"/>
          <w:sz w:val="32"/>
          <w:szCs w:val="24"/>
          <w:highlight w:val="none"/>
        </w:rPr>
        <w:t>6、无重大违法记录声明（格式）</w:t>
      </w:r>
    </w:p>
    <w:p>
      <w:pPr>
        <w:rPr>
          <w:rFonts w:ascii="宋体" w:hAnsi="宋体" w:cs="宋体"/>
          <w:highlight w:val="none"/>
        </w:rPr>
      </w:pPr>
    </w:p>
    <w:p>
      <w:pPr>
        <w:widowControl/>
        <w:snapToGrid w:val="0"/>
        <w:spacing w:line="480" w:lineRule="auto"/>
        <w:jc w:val="left"/>
        <w:rPr>
          <w:rFonts w:ascii="宋体" w:hAnsi="宋体" w:cs="宋体"/>
          <w:kern w:val="0"/>
          <w:sz w:val="24"/>
          <w:szCs w:val="24"/>
          <w:highlight w:val="none"/>
        </w:rPr>
      </w:pPr>
      <w:r>
        <w:rPr>
          <w:rFonts w:hint="eastAsia" w:ascii="宋体" w:hAnsi="宋体" w:cs="宋体"/>
          <w:kern w:val="0"/>
          <w:sz w:val="24"/>
          <w:szCs w:val="24"/>
          <w:highlight w:val="none"/>
        </w:rPr>
        <w:t>(采购人名称）_______________________：</w:t>
      </w:r>
    </w:p>
    <w:p>
      <w:pPr>
        <w:widowControl/>
        <w:snapToGrid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特此声明。</w:t>
      </w:r>
    </w:p>
    <w:p>
      <w:pPr>
        <w:pStyle w:val="14"/>
        <w:spacing w:line="500" w:lineRule="exact"/>
        <w:jc w:val="left"/>
        <w:rPr>
          <w:rFonts w:hAnsi="宋体" w:cs="宋体"/>
          <w:sz w:val="24"/>
          <w:szCs w:val="24"/>
          <w:highlight w:val="none"/>
        </w:rPr>
      </w:pPr>
    </w:p>
    <w:p>
      <w:pPr>
        <w:pStyle w:val="14"/>
        <w:spacing w:line="480" w:lineRule="auto"/>
        <w:jc w:val="left"/>
        <w:rPr>
          <w:rFonts w:hAnsi="宋体" w:cs="宋体"/>
          <w:sz w:val="24"/>
          <w:highlight w:val="none"/>
        </w:rPr>
      </w:pPr>
    </w:p>
    <w:p>
      <w:pPr>
        <w:pStyle w:val="14"/>
        <w:spacing w:line="480" w:lineRule="auto"/>
        <w:jc w:val="left"/>
        <w:rPr>
          <w:rFonts w:hAnsi="宋体" w:cs="宋体"/>
          <w:sz w:val="24"/>
          <w:highlight w:val="none"/>
        </w:rPr>
      </w:pPr>
      <w:r>
        <w:rPr>
          <w:rFonts w:hint="eastAsia" w:hAnsi="宋体" w:cs="宋体"/>
          <w:sz w:val="24"/>
          <w:highlight w:val="none"/>
        </w:rPr>
        <w:t>供应商（单位名称及公章）：</w:t>
      </w:r>
      <w:r>
        <w:rPr>
          <w:rFonts w:hint="eastAsia" w:hAnsi="宋体" w:cs="宋体"/>
          <w:sz w:val="28"/>
          <w:szCs w:val="28"/>
          <w:highlight w:val="none"/>
        </w:rPr>
        <w:t>______________________</w:t>
      </w:r>
    </w:p>
    <w:p>
      <w:pPr>
        <w:pStyle w:val="14"/>
        <w:spacing w:line="480" w:lineRule="auto"/>
        <w:jc w:val="left"/>
        <w:rPr>
          <w:rFonts w:hAnsi="宋体" w:cs="宋体"/>
          <w:sz w:val="24"/>
          <w:highlight w:val="none"/>
        </w:rPr>
      </w:pPr>
      <w:r>
        <w:rPr>
          <w:rFonts w:hint="eastAsia" w:hAnsi="宋体" w:cs="宋体"/>
          <w:sz w:val="24"/>
          <w:highlight w:val="none"/>
        </w:rPr>
        <w:t>法定代表人或被授权人（签字或盖章）：</w:t>
      </w:r>
      <w:r>
        <w:rPr>
          <w:rFonts w:hint="eastAsia" w:hAnsi="宋体" w:cs="宋体"/>
          <w:sz w:val="28"/>
          <w:szCs w:val="28"/>
          <w:highlight w:val="none"/>
        </w:rPr>
        <w:t>______________________</w:t>
      </w:r>
    </w:p>
    <w:p>
      <w:pPr>
        <w:adjustRightInd w:val="0"/>
        <w:snapToGrid w:val="0"/>
        <w:spacing w:line="480" w:lineRule="auto"/>
        <w:rPr>
          <w:rFonts w:ascii="宋体" w:hAnsi="宋体" w:cs="宋体"/>
          <w:sz w:val="24"/>
          <w:szCs w:val="24"/>
          <w:highlight w:val="none"/>
        </w:rPr>
      </w:pPr>
      <w:r>
        <w:rPr>
          <w:rFonts w:hint="eastAsia" w:ascii="宋体" w:hAnsi="宋体" w:cs="宋体"/>
          <w:kern w:val="0"/>
          <w:sz w:val="24"/>
          <w:highlight w:val="none"/>
        </w:rPr>
        <w:t>日    期：</w:t>
      </w:r>
      <w:r>
        <w:rPr>
          <w:rFonts w:hint="eastAsia" w:ascii="宋体" w:hAnsi="宋体" w:cs="宋体"/>
          <w:sz w:val="28"/>
          <w:szCs w:val="28"/>
          <w:highlight w:val="none"/>
        </w:rPr>
        <w:t>______________________</w:t>
      </w: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p>
    <w:p>
      <w:pPr>
        <w:jc w:val="center"/>
        <w:rPr>
          <w:rFonts w:ascii="宋体" w:hAnsi="宋体" w:cs="宋体"/>
          <w:sz w:val="28"/>
          <w:szCs w:val="32"/>
          <w:highlight w:val="none"/>
        </w:rPr>
      </w:pPr>
      <w:r>
        <w:rPr>
          <w:rFonts w:hint="eastAsia" w:ascii="宋体" w:hAnsi="宋体" w:cs="宋体"/>
          <w:sz w:val="28"/>
          <w:szCs w:val="32"/>
          <w:highlight w:val="none"/>
        </w:rPr>
        <w:t>7-1法定代表人证明书（格式）</w:t>
      </w:r>
    </w:p>
    <w:tbl>
      <w:tblPr>
        <w:tblStyle w:val="3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highlight w:val="none"/>
              </w:rPr>
            </w:pPr>
            <w:r>
              <w:rPr>
                <w:rFonts w:hint="eastAsia" w:ascii="宋体" w:hAnsi="宋体" w:cs="宋体"/>
                <w:kern w:val="0"/>
                <w:highlight w:val="none"/>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企</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业</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法</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人</w:t>
            </w: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企业名称</w:t>
            </w:r>
          </w:p>
        </w:tc>
        <w:tc>
          <w:tcPr>
            <w:tcW w:w="6656" w:type="dxa"/>
            <w:gridSpan w:val="4"/>
            <w:vAlign w:val="center"/>
          </w:tcPr>
          <w:p>
            <w:pPr>
              <w:tabs>
                <w:tab w:val="left" w:pos="210"/>
              </w:tabs>
              <w:spacing w:line="360" w:lineRule="auto"/>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highlight w:val="none"/>
              </w:rPr>
            </w:pP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法定地址</w:t>
            </w:r>
          </w:p>
        </w:tc>
        <w:tc>
          <w:tcPr>
            <w:tcW w:w="6656" w:type="dxa"/>
            <w:gridSpan w:val="4"/>
            <w:vAlign w:val="center"/>
          </w:tcPr>
          <w:p>
            <w:pPr>
              <w:tabs>
                <w:tab w:val="left" w:pos="210"/>
              </w:tabs>
              <w:spacing w:line="360" w:lineRule="auto"/>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highlight w:val="none"/>
              </w:rPr>
            </w:pP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邮政编码</w:t>
            </w:r>
          </w:p>
        </w:tc>
        <w:tc>
          <w:tcPr>
            <w:tcW w:w="6656" w:type="dxa"/>
            <w:gridSpan w:val="4"/>
            <w:vAlign w:val="center"/>
          </w:tcPr>
          <w:p>
            <w:pPr>
              <w:tabs>
                <w:tab w:val="left" w:pos="210"/>
              </w:tabs>
              <w:spacing w:line="360" w:lineRule="auto"/>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highlight w:val="none"/>
              </w:rPr>
            </w:pP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工商登记机关</w:t>
            </w:r>
          </w:p>
        </w:tc>
        <w:tc>
          <w:tcPr>
            <w:tcW w:w="6656" w:type="dxa"/>
            <w:gridSpan w:val="4"/>
            <w:vAlign w:val="center"/>
          </w:tcPr>
          <w:p>
            <w:pPr>
              <w:tabs>
                <w:tab w:val="left" w:pos="210"/>
              </w:tabs>
              <w:spacing w:line="360" w:lineRule="auto"/>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highlight w:val="none"/>
              </w:rPr>
            </w:pP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统一社会信用代码</w:t>
            </w:r>
          </w:p>
        </w:tc>
        <w:tc>
          <w:tcPr>
            <w:tcW w:w="6656" w:type="dxa"/>
            <w:gridSpan w:val="4"/>
            <w:vAlign w:val="center"/>
          </w:tcPr>
          <w:p>
            <w:pPr>
              <w:tabs>
                <w:tab w:val="left" w:pos="210"/>
              </w:tabs>
              <w:spacing w:line="360" w:lineRule="auto"/>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法</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定</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代</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表</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人</w:t>
            </w: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姓名</w:t>
            </w:r>
          </w:p>
        </w:tc>
        <w:tc>
          <w:tcPr>
            <w:tcW w:w="2340" w:type="dxa"/>
            <w:gridSpan w:val="2"/>
            <w:vAlign w:val="center"/>
          </w:tcPr>
          <w:p>
            <w:pPr>
              <w:tabs>
                <w:tab w:val="left" w:pos="210"/>
              </w:tabs>
              <w:spacing w:line="360" w:lineRule="auto"/>
              <w:ind w:firstLine="480" w:firstLineChars="200"/>
              <w:jc w:val="left"/>
              <w:rPr>
                <w:rFonts w:ascii="宋体" w:hAnsi="宋体" w:cs="宋体"/>
                <w:kern w:val="0"/>
                <w:highlight w:val="none"/>
              </w:rPr>
            </w:pPr>
          </w:p>
        </w:tc>
        <w:tc>
          <w:tcPr>
            <w:tcW w:w="2156" w:type="dxa"/>
            <w:vAlign w:val="center"/>
          </w:tcPr>
          <w:p>
            <w:pPr>
              <w:tabs>
                <w:tab w:val="left" w:pos="210"/>
              </w:tabs>
              <w:spacing w:line="360" w:lineRule="auto"/>
              <w:ind w:firstLine="480" w:firstLineChars="200"/>
              <w:jc w:val="left"/>
              <w:rPr>
                <w:rFonts w:ascii="宋体" w:hAnsi="宋体" w:cs="宋体"/>
                <w:kern w:val="0"/>
                <w:highlight w:val="none"/>
              </w:rPr>
            </w:pPr>
            <w:r>
              <w:rPr>
                <w:rFonts w:hint="eastAsia" w:ascii="宋体" w:hAnsi="宋体" w:cs="宋体"/>
                <w:kern w:val="0"/>
                <w:highlight w:val="none"/>
              </w:rPr>
              <w:t>性别</w:t>
            </w:r>
          </w:p>
        </w:tc>
        <w:tc>
          <w:tcPr>
            <w:tcW w:w="2160" w:type="dxa"/>
            <w:vAlign w:val="center"/>
          </w:tcPr>
          <w:p>
            <w:pPr>
              <w:tabs>
                <w:tab w:val="left" w:pos="210"/>
              </w:tabs>
              <w:spacing w:line="360" w:lineRule="auto"/>
              <w:ind w:firstLine="480" w:firstLineChars="200"/>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highlight w:val="none"/>
              </w:rPr>
            </w:pP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职务</w:t>
            </w:r>
          </w:p>
        </w:tc>
        <w:tc>
          <w:tcPr>
            <w:tcW w:w="2340" w:type="dxa"/>
            <w:gridSpan w:val="2"/>
            <w:vAlign w:val="center"/>
          </w:tcPr>
          <w:p>
            <w:pPr>
              <w:tabs>
                <w:tab w:val="left" w:pos="210"/>
              </w:tabs>
              <w:spacing w:line="360" w:lineRule="auto"/>
              <w:jc w:val="left"/>
              <w:rPr>
                <w:rFonts w:ascii="宋体" w:hAnsi="宋体" w:cs="宋体"/>
                <w:kern w:val="0"/>
                <w:highlight w:val="none"/>
              </w:rPr>
            </w:pPr>
          </w:p>
        </w:tc>
        <w:tc>
          <w:tcPr>
            <w:tcW w:w="2156" w:type="dxa"/>
            <w:vAlign w:val="center"/>
          </w:tcPr>
          <w:p>
            <w:pPr>
              <w:tabs>
                <w:tab w:val="left" w:pos="210"/>
              </w:tabs>
              <w:spacing w:line="360" w:lineRule="auto"/>
              <w:ind w:firstLine="480" w:firstLineChars="200"/>
              <w:jc w:val="left"/>
              <w:rPr>
                <w:rFonts w:ascii="宋体" w:hAnsi="宋体" w:cs="宋体"/>
                <w:kern w:val="0"/>
                <w:highlight w:val="none"/>
              </w:rPr>
            </w:pPr>
            <w:r>
              <w:rPr>
                <w:rFonts w:hint="eastAsia" w:ascii="宋体" w:hAnsi="宋体" w:cs="宋体"/>
                <w:kern w:val="0"/>
                <w:highlight w:val="none"/>
              </w:rPr>
              <w:t>联系电话</w:t>
            </w:r>
          </w:p>
        </w:tc>
        <w:tc>
          <w:tcPr>
            <w:tcW w:w="2160" w:type="dxa"/>
            <w:vAlign w:val="center"/>
          </w:tcPr>
          <w:p>
            <w:pPr>
              <w:tabs>
                <w:tab w:val="left" w:pos="210"/>
              </w:tabs>
              <w:spacing w:line="360" w:lineRule="auto"/>
              <w:ind w:firstLine="480" w:firstLineChars="200"/>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highlight w:val="none"/>
              </w:rPr>
            </w:pPr>
          </w:p>
        </w:tc>
        <w:tc>
          <w:tcPr>
            <w:tcW w:w="2160" w:type="dxa"/>
            <w:vAlign w:val="center"/>
          </w:tcPr>
          <w:p>
            <w:pPr>
              <w:tabs>
                <w:tab w:val="left" w:pos="210"/>
              </w:tabs>
              <w:spacing w:line="360" w:lineRule="auto"/>
              <w:rPr>
                <w:rFonts w:ascii="宋体" w:hAnsi="宋体" w:cs="宋体"/>
                <w:kern w:val="0"/>
                <w:highlight w:val="none"/>
              </w:rPr>
            </w:pPr>
            <w:r>
              <w:rPr>
                <w:rFonts w:hint="eastAsia" w:ascii="宋体" w:hAnsi="宋体" w:cs="宋体"/>
                <w:kern w:val="0"/>
                <w:highlight w:val="none"/>
              </w:rPr>
              <w:t>传真</w:t>
            </w:r>
          </w:p>
        </w:tc>
        <w:tc>
          <w:tcPr>
            <w:tcW w:w="6656" w:type="dxa"/>
            <w:gridSpan w:val="4"/>
            <w:vAlign w:val="center"/>
          </w:tcPr>
          <w:p>
            <w:pPr>
              <w:tabs>
                <w:tab w:val="left" w:pos="210"/>
              </w:tabs>
              <w:spacing w:line="360" w:lineRule="auto"/>
              <w:jc w:val="left"/>
              <w:rPr>
                <w:rFonts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法</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定</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代</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表</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人</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身</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份</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证</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复</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印</w:t>
            </w:r>
          </w:p>
          <w:p>
            <w:pPr>
              <w:tabs>
                <w:tab w:val="left" w:pos="210"/>
              </w:tabs>
              <w:spacing w:line="360" w:lineRule="auto"/>
              <w:jc w:val="center"/>
              <w:rPr>
                <w:rFonts w:ascii="宋体" w:hAnsi="宋体" w:cs="宋体"/>
                <w:kern w:val="0"/>
                <w:highlight w:val="none"/>
              </w:rPr>
            </w:pPr>
            <w:r>
              <w:rPr>
                <w:rFonts w:hint="eastAsia" w:ascii="宋体" w:hAnsi="宋体" w:cs="宋体"/>
                <w:kern w:val="0"/>
                <w:highlight w:val="none"/>
              </w:rPr>
              <w:t>件</w:t>
            </w:r>
          </w:p>
        </w:tc>
        <w:tc>
          <w:tcPr>
            <w:tcW w:w="4316" w:type="dxa"/>
            <w:gridSpan w:val="2"/>
            <w:vMerge w:val="restart"/>
            <w:vAlign w:val="center"/>
          </w:tcPr>
          <w:p>
            <w:pPr>
              <w:tabs>
                <w:tab w:val="left" w:pos="210"/>
              </w:tabs>
              <w:spacing w:line="360" w:lineRule="auto"/>
              <w:ind w:firstLine="480" w:firstLineChars="200"/>
              <w:jc w:val="left"/>
              <w:rPr>
                <w:rFonts w:ascii="宋体" w:hAnsi="宋体" w:cs="宋体"/>
                <w:kern w:val="0"/>
                <w:highlight w:val="none"/>
              </w:rPr>
            </w:pPr>
            <w:r>
              <w:rPr>
                <w:rFonts w:hint="eastAsia" w:ascii="宋体" w:hAnsi="宋体" w:cs="宋体"/>
                <w:kern w:val="0"/>
                <w:highlight w:val="none"/>
              </w:rPr>
              <w:t>（正反面）</w:t>
            </w:r>
          </w:p>
        </w:tc>
        <w:tc>
          <w:tcPr>
            <w:tcW w:w="4500" w:type="dxa"/>
            <w:gridSpan w:val="3"/>
            <w:vAlign w:val="center"/>
          </w:tcPr>
          <w:p>
            <w:pPr>
              <w:tabs>
                <w:tab w:val="left" w:pos="210"/>
              </w:tabs>
              <w:spacing w:line="360" w:lineRule="auto"/>
              <w:ind w:firstLine="480" w:firstLineChars="200"/>
              <w:jc w:val="left"/>
              <w:rPr>
                <w:rFonts w:ascii="宋体" w:hAnsi="宋体" w:cs="宋体"/>
                <w:kern w:val="0"/>
                <w:highlight w:val="none"/>
              </w:rPr>
            </w:pPr>
            <w:r>
              <w:rPr>
                <w:rFonts w:hint="eastAsia" w:ascii="宋体" w:hAnsi="宋体" w:cs="宋体"/>
                <w:kern w:val="0"/>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jc w:val="left"/>
              <w:rPr>
                <w:rFonts w:ascii="宋体" w:hAnsi="宋体" w:cs="宋体"/>
                <w:kern w:val="0"/>
                <w:highlight w:val="none"/>
              </w:rPr>
            </w:pPr>
          </w:p>
        </w:tc>
        <w:tc>
          <w:tcPr>
            <w:tcW w:w="4316" w:type="dxa"/>
            <w:gridSpan w:val="2"/>
            <w:vMerge w:val="continue"/>
            <w:vAlign w:val="center"/>
          </w:tcPr>
          <w:p>
            <w:pPr>
              <w:tabs>
                <w:tab w:val="left" w:pos="210"/>
              </w:tabs>
              <w:spacing w:line="360" w:lineRule="auto"/>
              <w:ind w:firstLine="480" w:firstLineChars="200"/>
              <w:jc w:val="left"/>
              <w:rPr>
                <w:rFonts w:ascii="宋体" w:hAnsi="宋体" w:cs="宋体"/>
                <w:kern w:val="0"/>
                <w:highlight w:val="none"/>
              </w:rPr>
            </w:pPr>
          </w:p>
        </w:tc>
        <w:tc>
          <w:tcPr>
            <w:tcW w:w="4500" w:type="dxa"/>
            <w:gridSpan w:val="3"/>
            <w:vAlign w:val="bottom"/>
          </w:tcPr>
          <w:p>
            <w:pPr>
              <w:tabs>
                <w:tab w:val="left" w:pos="210"/>
              </w:tabs>
              <w:spacing w:line="360" w:lineRule="auto"/>
              <w:ind w:firstLine="480" w:firstLineChars="200"/>
              <w:jc w:val="left"/>
              <w:rPr>
                <w:rFonts w:ascii="宋体" w:hAnsi="宋体" w:cs="宋体"/>
                <w:kern w:val="0"/>
                <w:highlight w:val="none"/>
              </w:rPr>
            </w:pPr>
            <w:r>
              <w:rPr>
                <w:rFonts w:hint="eastAsia" w:ascii="宋体" w:hAnsi="宋体" w:cs="宋体"/>
                <w:kern w:val="0"/>
                <w:highlight w:val="none"/>
              </w:rPr>
              <w:t>（公章）</w:t>
            </w:r>
          </w:p>
          <w:p>
            <w:pPr>
              <w:tabs>
                <w:tab w:val="left" w:pos="210"/>
              </w:tabs>
              <w:spacing w:line="360" w:lineRule="auto"/>
              <w:jc w:val="left"/>
              <w:rPr>
                <w:rFonts w:ascii="宋体" w:hAnsi="宋体" w:cs="宋体"/>
                <w:kern w:val="0"/>
                <w:highlight w:val="none"/>
              </w:rPr>
            </w:pPr>
          </w:p>
          <w:p>
            <w:pPr>
              <w:tabs>
                <w:tab w:val="left" w:pos="210"/>
              </w:tabs>
              <w:spacing w:line="360" w:lineRule="auto"/>
              <w:jc w:val="left"/>
              <w:rPr>
                <w:rFonts w:ascii="宋体" w:hAnsi="宋体" w:cs="宋体"/>
                <w:kern w:val="0"/>
                <w:highlight w:val="none"/>
              </w:rPr>
            </w:pPr>
          </w:p>
          <w:p>
            <w:pPr>
              <w:tabs>
                <w:tab w:val="left" w:pos="210"/>
              </w:tabs>
              <w:spacing w:line="360" w:lineRule="auto"/>
              <w:jc w:val="left"/>
              <w:rPr>
                <w:rFonts w:ascii="宋体" w:hAnsi="宋体" w:cs="宋体"/>
                <w:kern w:val="0"/>
                <w:highlight w:val="none"/>
              </w:rPr>
            </w:pPr>
          </w:p>
          <w:p>
            <w:pPr>
              <w:adjustRightInd w:val="0"/>
              <w:snapToGrid w:val="0"/>
              <w:spacing w:line="480" w:lineRule="auto"/>
              <w:ind w:firstLine="480" w:firstLineChars="200"/>
              <w:jc w:val="right"/>
              <w:rPr>
                <w:rFonts w:ascii="宋体" w:hAnsi="宋体" w:cs="宋体"/>
                <w:kern w:val="0"/>
                <w:highlight w:val="none"/>
              </w:rPr>
            </w:pPr>
            <w:r>
              <w:rPr>
                <w:rFonts w:hint="eastAsia" w:ascii="宋体" w:hAnsi="宋体" w:cs="宋体"/>
                <w:sz w:val="24"/>
                <w:highlight w:val="none"/>
              </w:rPr>
              <w:t>_________年______月 _____日</w:t>
            </w:r>
          </w:p>
        </w:tc>
      </w:tr>
    </w:tbl>
    <w:p>
      <w:pPr>
        <w:pStyle w:val="14"/>
        <w:spacing w:line="500" w:lineRule="exact"/>
        <w:jc w:val="center"/>
        <w:rPr>
          <w:rFonts w:hAnsi="宋体" w:cs="宋体"/>
          <w:sz w:val="24"/>
          <w:szCs w:val="24"/>
          <w:highlight w:val="none"/>
        </w:rPr>
      </w:pPr>
      <w:r>
        <w:rPr>
          <w:rFonts w:hint="eastAsia" w:hAnsi="宋体" w:cs="宋体"/>
          <w:b/>
          <w:sz w:val="24"/>
          <w:szCs w:val="24"/>
          <w:highlight w:val="none"/>
        </w:rPr>
        <w:br w:type="page"/>
      </w:r>
      <w:r>
        <w:rPr>
          <w:rFonts w:hint="eastAsia" w:hAnsi="宋体" w:cs="宋体"/>
          <w:b/>
          <w:sz w:val="24"/>
          <w:szCs w:val="24"/>
          <w:highlight w:val="none"/>
        </w:rPr>
        <w:t>7-2法定代表人授权书（格式）</w:t>
      </w:r>
    </w:p>
    <w:p>
      <w:pPr>
        <w:pStyle w:val="14"/>
        <w:spacing w:line="500" w:lineRule="exact"/>
        <w:jc w:val="left"/>
        <w:rPr>
          <w:rFonts w:hAnsi="宋体" w:cs="宋体"/>
          <w:sz w:val="24"/>
          <w:szCs w:val="24"/>
          <w:highlight w:val="none"/>
        </w:rPr>
      </w:pPr>
      <w:r>
        <w:rPr>
          <w:rFonts w:hint="eastAsia" w:hAnsi="宋体" w:cs="宋体"/>
          <w:sz w:val="24"/>
          <w:szCs w:val="24"/>
          <w:highlight w:val="none"/>
        </w:rPr>
        <w:t>陕西卓佲项目管理有限公司：</w:t>
      </w:r>
    </w:p>
    <w:p>
      <w:pPr>
        <w:tabs>
          <w:tab w:val="left" w:pos="8820"/>
        </w:tabs>
        <w:spacing w:line="360" w:lineRule="auto"/>
        <w:ind w:firstLine="570"/>
        <w:rPr>
          <w:rFonts w:ascii="宋体" w:hAnsi="宋体" w:cs="宋体"/>
          <w:sz w:val="24"/>
          <w:highlight w:val="none"/>
          <w:u w:val="single"/>
        </w:rPr>
      </w:pPr>
      <w:r>
        <w:rPr>
          <w:rFonts w:hint="eastAsia" w:ascii="宋体" w:hAnsi="宋体" w:cs="宋体"/>
          <w:sz w:val="24"/>
          <w:highlight w:val="none"/>
        </w:rPr>
        <w:t>本授权委托书声明：我</w:t>
      </w:r>
      <w:r>
        <w:rPr>
          <w:rFonts w:hint="eastAsia" w:ascii="宋体" w:hAnsi="宋体" w:cs="宋体"/>
          <w:sz w:val="24"/>
          <w:highlight w:val="none"/>
          <w:u w:val="single"/>
        </w:rPr>
        <w:t xml:space="preserve">（法定代表人姓名）   </w:t>
      </w:r>
      <w:r>
        <w:rPr>
          <w:rFonts w:hint="eastAsia" w:ascii="宋体" w:hAnsi="宋体" w:cs="宋体"/>
          <w:sz w:val="24"/>
          <w:highlight w:val="none"/>
        </w:rPr>
        <w:t>系注册于</w:t>
      </w:r>
      <w:r>
        <w:rPr>
          <w:rFonts w:hint="eastAsia" w:ascii="宋体" w:hAnsi="宋体" w:cs="宋体"/>
          <w:sz w:val="24"/>
          <w:highlight w:val="none"/>
          <w:u w:val="single"/>
        </w:rPr>
        <w:t xml:space="preserve">  （供应商地址）     </w:t>
      </w:r>
      <w:r>
        <w:rPr>
          <w:rFonts w:hint="eastAsia" w:ascii="宋体" w:hAnsi="宋体" w:cs="宋体"/>
          <w:sz w:val="24"/>
          <w:highlight w:val="none"/>
        </w:rPr>
        <w:t>的</w:t>
      </w:r>
      <w:r>
        <w:rPr>
          <w:rFonts w:hint="eastAsia" w:ascii="宋体" w:hAnsi="宋体" w:cs="宋体"/>
          <w:sz w:val="24"/>
          <w:highlight w:val="none"/>
          <w:u w:val="single"/>
        </w:rPr>
        <w:t xml:space="preserve">（供应商名称）  </w:t>
      </w:r>
      <w:r>
        <w:rPr>
          <w:rFonts w:hint="eastAsia" w:ascii="宋体" w:hAnsi="宋体" w:cs="宋体"/>
          <w:sz w:val="24"/>
          <w:highlight w:val="none"/>
        </w:rPr>
        <w:t>的法定代表人，现代表公司授权</w:t>
      </w:r>
      <w:r>
        <w:rPr>
          <w:rFonts w:hint="eastAsia" w:ascii="宋体" w:hAnsi="宋体" w:cs="宋体"/>
          <w:sz w:val="24"/>
          <w:highlight w:val="none"/>
          <w:u w:val="single"/>
        </w:rPr>
        <w:t xml:space="preserve">（被授权人的姓名、职务）   </w:t>
      </w:r>
      <w:r>
        <w:rPr>
          <w:rFonts w:hint="eastAsia" w:ascii="宋体" w:hAnsi="宋体" w:cs="宋体"/>
          <w:sz w:val="24"/>
          <w:highlight w:val="none"/>
        </w:rPr>
        <w:t>为我公司合法代理人，代表本公司参加</w:t>
      </w:r>
      <w:r>
        <w:rPr>
          <w:rFonts w:hint="eastAsia" w:ascii="宋体" w:hAnsi="宋体" w:cs="宋体"/>
          <w:sz w:val="24"/>
          <w:highlight w:val="none"/>
          <w:u w:val="single"/>
        </w:rPr>
        <w:t xml:space="preserve">  （项目名称） （项目编号）</w:t>
      </w:r>
      <w:r>
        <w:rPr>
          <w:rFonts w:hint="eastAsia" w:ascii="宋体" w:hAnsi="宋体" w:cs="宋体"/>
          <w:sz w:val="24"/>
          <w:highlight w:val="none"/>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highlight w:val="none"/>
        </w:rPr>
        <w:t>本授权书自投标文件递交截止之日起生效，有效期与投标文件有效期一致，特此声明。</w:t>
      </w:r>
    </w:p>
    <w:p>
      <w:pPr>
        <w:pStyle w:val="14"/>
        <w:spacing w:line="500" w:lineRule="exact"/>
        <w:ind w:firstLine="480" w:firstLineChars="200"/>
        <w:jc w:val="left"/>
        <w:rPr>
          <w:rFonts w:hAnsi="宋体" w:cs="宋体"/>
          <w:sz w:val="24"/>
          <w:szCs w:val="24"/>
          <w:highlight w:val="none"/>
        </w:rPr>
      </w:pPr>
      <w:r>
        <w:rPr>
          <w:rFonts w:hint="eastAsia" w:hAnsi="宋体" w:cs="宋体"/>
          <w:sz w:val="24"/>
          <w:szCs w:val="24"/>
          <w:highlight w:val="none"/>
        </w:rPr>
        <w:t>供应商（单位名称及公章）：</w:t>
      </w:r>
      <w:r>
        <w:rPr>
          <w:rFonts w:hint="eastAsia" w:hAnsi="宋体" w:cs="宋体"/>
          <w:sz w:val="28"/>
          <w:szCs w:val="28"/>
          <w:highlight w:val="none"/>
        </w:rPr>
        <w:t>__________________</w:t>
      </w:r>
    </w:p>
    <w:p>
      <w:pPr>
        <w:pStyle w:val="14"/>
        <w:spacing w:line="500" w:lineRule="exact"/>
        <w:ind w:firstLine="480" w:firstLineChars="200"/>
        <w:jc w:val="left"/>
        <w:rPr>
          <w:rFonts w:hAnsi="宋体" w:cs="宋体"/>
          <w:sz w:val="24"/>
          <w:szCs w:val="24"/>
          <w:highlight w:val="none"/>
        </w:rPr>
      </w:pPr>
      <w:r>
        <w:rPr>
          <w:rFonts w:hint="eastAsia" w:hAnsi="宋体" w:cs="宋体"/>
          <w:sz w:val="24"/>
          <w:szCs w:val="24"/>
          <w:highlight w:val="none"/>
        </w:rPr>
        <w:t xml:space="preserve">法定代表人（签字或盖章）： </w:t>
      </w:r>
      <w:r>
        <w:rPr>
          <w:rFonts w:hint="eastAsia" w:hAnsi="宋体" w:cs="宋体"/>
          <w:sz w:val="28"/>
          <w:szCs w:val="28"/>
          <w:highlight w:val="none"/>
        </w:rPr>
        <w:t>__________________</w:t>
      </w:r>
    </w:p>
    <w:p>
      <w:pPr>
        <w:pStyle w:val="14"/>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被授权人：</w:t>
      </w:r>
      <w:r>
        <w:rPr>
          <w:rFonts w:hint="eastAsia" w:hAnsi="宋体" w:cs="宋体"/>
          <w:sz w:val="28"/>
          <w:szCs w:val="28"/>
          <w:highlight w:val="none"/>
        </w:rPr>
        <w:t>_____________</w:t>
      </w:r>
      <w:r>
        <w:rPr>
          <w:rFonts w:hint="eastAsia" w:hAnsi="宋体" w:cs="宋体"/>
          <w:sz w:val="24"/>
          <w:szCs w:val="24"/>
          <w:highlight w:val="none"/>
        </w:rPr>
        <w:t>性别：</w:t>
      </w:r>
      <w:r>
        <w:rPr>
          <w:rFonts w:hint="eastAsia" w:hAnsi="宋体" w:cs="宋体"/>
          <w:sz w:val="28"/>
          <w:szCs w:val="28"/>
          <w:highlight w:val="none"/>
        </w:rPr>
        <w:t>____________</w:t>
      </w:r>
      <w:r>
        <w:rPr>
          <w:rFonts w:hint="eastAsia" w:hAnsi="宋体" w:cs="宋体"/>
          <w:sz w:val="24"/>
          <w:szCs w:val="24"/>
          <w:highlight w:val="none"/>
        </w:rPr>
        <w:t>职务：</w:t>
      </w:r>
      <w:r>
        <w:rPr>
          <w:rFonts w:hint="eastAsia" w:hAnsi="宋体" w:cs="宋体"/>
          <w:sz w:val="28"/>
          <w:szCs w:val="28"/>
          <w:highlight w:val="none"/>
        </w:rPr>
        <w:t>_________</w:t>
      </w:r>
    </w:p>
    <w:p>
      <w:pPr>
        <w:pStyle w:val="14"/>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 xml:space="preserve">联系地址：  </w:t>
      </w:r>
      <w:r>
        <w:rPr>
          <w:rFonts w:hint="eastAsia" w:hAnsi="宋体" w:cs="宋体"/>
          <w:sz w:val="28"/>
          <w:szCs w:val="28"/>
          <w:highlight w:val="none"/>
        </w:rPr>
        <w:t>________________</w:t>
      </w:r>
    </w:p>
    <w:p>
      <w:pPr>
        <w:pStyle w:val="14"/>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联系电话：</w:t>
      </w:r>
      <w:r>
        <w:rPr>
          <w:rFonts w:hint="eastAsia" w:hAnsi="宋体" w:cs="宋体"/>
          <w:sz w:val="28"/>
          <w:szCs w:val="28"/>
          <w:highlight w:val="none"/>
        </w:rPr>
        <w:t>________________</w:t>
      </w:r>
    </w:p>
    <w:p>
      <w:pPr>
        <w:pStyle w:val="14"/>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法定代表人及被授权人身份证复印件</w:t>
      </w:r>
      <w:r>
        <w:rPr>
          <w:rFonts w:hint="eastAsia" w:hAnsi="宋体" w:cs="宋体"/>
          <w:sz w:val="24"/>
          <w:szCs w:val="24"/>
          <w:highlight w:val="none"/>
          <w:lang w:eastAsia="zh-CN"/>
        </w:rPr>
        <w:t>或</w:t>
      </w:r>
      <w:r>
        <w:rPr>
          <w:rFonts w:hint="eastAsia" w:hAnsi="宋体" w:cs="宋体"/>
          <w:sz w:val="24"/>
          <w:szCs w:val="24"/>
          <w:highlight w:val="none"/>
        </w:rPr>
        <w:t>扫描件</w:t>
      </w:r>
    </w:p>
    <w:tbl>
      <w:tblPr>
        <w:tblStyle w:val="35"/>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4"/>
              <w:spacing w:line="500" w:lineRule="exact"/>
              <w:jc w:val="left"/>
              <w:rPr>
                <w:rFonts w:hAnsi="宋体" w:cs="宋体"/>
                <w:sz w:val="24"/>
                <w:szCs w:val="24"/>
                <w:highlight w:val="none"/>
                <w:shd w:val="pct10" w:color="auto" w:fill="FFFFFF"/>
              </w:rPr>
            </w:pPr>
            <w:r>
              <w:rPr>
                <w:rFonts w:hint="eastAsia" w:hAnsi="宋体" w:cs="宋体"/>
                <w:sz w:val="24"/>
                <w:szCs w:val="24"/>
                <w:highlight w:val="none"/>
                <w:shd w:val="pct10" w:color="auto" w:fill="FFFFFF"/>
              </w:rPr>
              <w:t>法定代表人身份证复印件（正反面）</w:t>
            </w:r>
          </w:p>
          <w:p>
            <w:pPr>
              <w:pStyle w:val="14"/>
              <w:spacing w:line="500" w:lineRule="exact"/>
              <w:jc w:val="left"/>
              <w:rPr>
                <w:rFonts w:hAnsi="宋体" w:cs="宋体"/>
                <w:sz w:val="24"/>
                <w:szCs w:val="24"/>
                <w:highlight w:val="none"/>
                <w:shd w:val="pct10" w:color="auto" w:fill="FFFFFF"/>
              </w:rPr>
            </w:pPr>
          </w:p>
        </w:tc>
        <w:tc>
          <w:tcPr>
            <w:tcW w:w="4546" w:type="dxa"/>
            <w:shd w:val="clear" w:color="auto" w:fill="D9D9D9"/>
            <w:vAlign w:val="center"/>
          </w:tcPr>
          <w:p>
            <w:pPr>
              <w:pStyle w:val="14"/>
              <w:spacing w:line="500" w:lineRule="exact"/>
              <w:ind w:firstLine="480" w:firstLineChars="200"/>
              <w:jc w:val="left"/>
              <w:rPr>
                <w:rFonts w:hAnsi="宋体" w:cs="宋体"/>
                <w:sz w:val="24"/>
                <w:szCs w:val="24"/>
                <w:highlight w:val="none"/>
                <w:shd w:val="pct10" w:color="auto" w:fill="FFFFFF"/>
              </w:rPr>
            </w:pPr>
            <w:r>
              <w:rPr>
                <w:rFonts w:hint="eastAsia" w:hAnsi="宋体" w:cs="宋体"/>
                <w:sz w:val="24"/>
                <w:szCs w:val="24"/>
                <w:highlight w:val="none"/>
                <w:shd w:val="pct10" w:color="auto" w:fill="FFFFFF"/>
              </w:rPr>
              <w:t>被授权人身份证复印件（正反面）</w:t>
            </w:r>
          </w:p>
          <w:p>
            <w:pPr>
              <w:pStyle w:val="14"/>
              <w:spacing w:line="500" w:lineRule="exact"/>
              <w:ind w:firstLine="480" w:firstLineChars="200"/>
              <w:jc w:val="left"/>
              <w:rPr>
                <w:rFonts w:hAnsi="宋体" w:cs="宋体"/>
                <w:sz w:val="24"/>
                <w:szCs w:val="24"/>
                <w:highlight w:val="none"/>
                <w:shd w:val="pct10" w:color="auto" w:fill="FFFFFF"/>
              </w:rPr>
            </w:pPr>
          </w:p>
        </w:tc>
      </w:tr>
    </w:tbl>
    <w:p>
      <w:pPr>
        <w:pStyle w:val="5"/>
        <w:spacing w:before="319" w:beforeLines="100" w:after="478" w:afterLines="150" w:line="500" w:lineRule="exact"/>
        <w:rPr>
          <w:rFonts w:ascii="宋体" w:hAnsi="宋体" w:cs="宋体"/>
          <w:sz w:val="36"/>
          <w:szCs w:val="36"/>
          <w:highlight w:val="none"/>
        </w:rPr>
        <w:sectPr>
          <w:pgSz w:w="11906" w:h="16838"/>
          <w:pgMar w:top="1440" w:right="1803" w:bottom="1440" w:left="1803" w:header="851" w:footer="992" w:gutter="0"/>
          <w:cols w:space="720" w:num="1"/>
          <w:docGrid w:type="lines" w:linePitch="319" w:charSpace="0"/>
        </w:sectPr>
      </w:pPr>
      <w:bookmarkStart w:id="101" w:name="_Toc12851"/>
      <w:bookmarkStart w:id="102" w:name="_Toc9172"/>
    </w:p>
    <w:bookmarkEnd w:id="101"/>
    <w:bookmarkEnd w:id="102"/>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供应商应具备机电工程施工总承包三级及以上资质或建筑机电安装工程专业承包三级及以上资质，且具有合格有效的安全生产许可证；拟派项目负责人需具备机电安装专业二级（含二级）以上注册建造师证书及安全考核合格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br w:type="page"/>
      </w:r>
    </w:p>
    <w:p>
      <w:pPr>
        <w:widowControl/>
        <w:spacing w:line="360" w:lineRule="auto"/>
        <w:ind w:left="840"/>
        <w:jc w:val="center"/>
        <w:rPr>
          <w:rFonts w:ascii="宋体" w:hAnsi="宋体" w:cs="宋体"/>
          <w:sz w:val="32"/>
          <w:szCs w:val="32"/>
          <w:highlight w:val="none"/>
        </w:rPr>
      </w:pPr>
      <w:r>
        <w:rPr>
          <w:rFonts w:hint="eastAsia" w:ascii="宋体" w:hAnsi="宋体" w:cs="宋体"/>
          <w:sz w:val="32"/>
          <w:szCs w:val="32"/>
          <w:highlight w:val="none"/>
          <w:lang w:val="en-US" w:eastAsia="zh-CN"/>
        </w:rPr>
        <w:t>9</w:t>
      </w:r>
      <w:r>
        <w:rPr>
          <w:rFonts w:hint="eastAsia" w:ascii="宋体" w:hAnsi="宋体" w:cs="宋体"/>
          <w:sz w:val="32"/>
          <w:szCs w:val="32"/>
          <w:highlight w:val="none"/>
        </w:rPr>
        <w:t>、本项目不接受联合体</w:t>
      </w:r>
    </w:p>
    <w:p>
      <w:pPr>
        <w:pStyle w:val="13"/>
        <w:ind w:left="480" w:leftChars="200" w:firstLine="0"/>
        <w:rPr>
          <w:rFonts w:ascii="宋体" w:hAnsi="宋体" w:cs="宋体"/>
          <w:highlight w:val="none"/>
        </w:rPr>
      </w:pPr>
    </w:p>
    <w:p>
      <w:pPr>
        <w:pStyle w:val="34"/>
        <w:rPr>
          <w:rFonts w:ascii="宋体" w:hAnsi="宋体" w:cs="宋体"/>
          <w:highlight w:val="none"/>
        </w:rPr>
      </w:pPr>
    </w:p>
    <w:p>
      <w:pPr>
        <w:widowControl/>
        <w:snapToGrid w:val="0"/>
        <w:spacing w:line="480" w:lineRule="auto"/>
        <w:jc w:val="left"/>
        <w:rPr>
          <w:rFonts w:ascii="宋体" w:hAnsi="宋体" w:cs="宋体"/>
          <w:kern w:val="0"/>
          <w:sz w:val="24"/>
          <w:szCs w:val="24"/>
          <w:highlight w:val="none"/>
        </w:rPr>
      </w:pPr>
      <w:r>
        <w:rPr>
          <w:rFonts w:hint="eastAsia" w:ascii="宋体" w:hAnsi="宋体" w:cs="宋体"/>
          <w:kern w:val="0"/>
          <w:sz w:val="24"/>
          <w:szCs w:val="24"/>
          <w:highlight w:val="none"/>
        </w:rPr>
        <w:t>(采购人名称）_______________________：</w:t>
      </w:r>
    </w:p>
    <w:p>
      <w:pPr>
        <w:widowControl/>
        <w:spacing w:line="360" w:lineRule="auto"/>
        <w:ind w:firstLine="480"/>
        <w:rPr>
          <w:rFonts w:ascii="宋体" w:hAnsi="宋体" w:cs="宋体"/>
          <w:kern w:val="0"/>
          <w:sz w:val="24"/>
          <w:szCs w:val="24"/>
          <w:highlight w:val="none"/>
        </w:rPr>
      </w:pPr>
      <w:r>
        <w:rPr>
          <w:rFonts w:hint="eastAsia" w:ascii="宋体" w:hAnsi="宋体" w:cs="宋体"/>
          <w:kern w:val="0"/>
          <w:sz w:val="24"/>
          <w:szCs w:val="24"/>
          <w:highlight w:val="none"/>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highlight w:val="none"/>
        </w:rPr>
      </w:pPr>
      <w:r>
        <w:rPr>
          <w:rFonts w:hint="eastAsia" w:ascii="宋体" w:hAnsi="宋体" w:cs="宋体"/>
          <w:kern w:val="0"/>
          <w:sz w:val="24"/>
          <w:szCs w:val="24"/>
          <w:highlight w:val="none"/>
        </w:rPr>
        <w:t>特此声明！</w:t>
      </w:r>
    </w:p>
    <w:p>
      <w:pPr>
        <w:rPr>
          <w:rFonts w:ascii="宋体" w:hAnsi="宋体" w:cs="宋体"/>
          <w:highlight w:val="none"/>
        </w:rPr>
      </w:pPr>
    </w:p>
    <w:p>
      <w:pPr>
        <w:pStyle w:val="13"/>
        <w:rPr>
          <w:rFonts w:ascii="宋体" w:hAnsi="宋体" w:cs="宋体"/>
          <w:sz w:val="24"/>
          <w:szCs w:val="24"/>
          <w:highlight w:val="none"/>
        </w:rPr>
      </w:pPr>
    </w:p>
    <w:p>
      <w:pPr>
        <w:pStyle w:val="13"/>
        <w:rPr>
          <w:rFonts w:ascii="宋体" w:hAnsi="宋体" w:cs="宋体"/>
          <w:sz w:val="24"/>
          <w:szCs w:val="24"/>
          <w:highlight w:val="none"/>
        </w:rPr>
      </w:pPr>
    </w:p>
    <w:p>
      <w:pPr>
        <w:pStyle w:val="13"/>
        <w:rPr>
          <w:rFonts w:ascii="宋体" w:hAnsi="宋体" w:cs="宋体"/>
          <w:sz w:val="24"/>
          <w:szCs w:val="24"/>
          <w:highlight w:val="none"/>
        </w:rPr>
      </w:pPr>
    </w:p>
    <w:p>
      <w:pPr>
        <w:pStyle w:val="13"/>
        <w:rPr>
          <w:rFonts w:ascii="宋体" w:hAnsi="宋体" w:cs="宋体"/>
          <w:sz w:val="24"/>
          <w:szCs w:val="24"/>
          <w:highlight w:val="none"/>
        </w:rPr>
      </w:pPr>
    </w:p>
    <w:p>
      <w:pPr>
        <w:pStyle w:val="13"/>
        <w:rPr>
          <w:rFonts w:ascii="宋体" w:hAnsi="宋体" w:cs="宋体"/>
          <w:sz w:val="24"/>
          <w:szCs w:val="24"/>
          <w:highlight w:val="none"/>
        </w:rPr>
      </w:pPr>
    </w:p>
    <w:p>
      <w:pPr>
        <w:pStyle w:val="13"/>
        <w:rPr>
          <w:rFonts w:ascii="宋体" w:hAnsi="宋体" w:cs="宋体"/>
          <w:sz w:val="24"/>
          <w:szCs w:val="24"/>
          <w:highlight w:val="none"/>
        </w:rPr>
      </w:pPr>
    </w:p>
    <w:p>
      <w:pPr>
        <w:pStyle w:val="14"/>
        <w:spacing w:line="480" w:lineRule="auto"/>
        <w:jc w:val="left"/>
        <w:rPr>
          <w:rFonts w:hAnsi="宋体" w:cs="宋体"/>
          <w:sz w:val="24"/>
          <w:highlight w:val="none"/>
        </w:rPr>
      </w:pPr>
      <w:r>
        <w:rPr>
          <w:rFonts w:hint="eastAsia" w:hAnsi="宋体" w:cs="宋体"/>
          <w:sz w:val="24"/>
          <w:highlight w:val="none"/>
        </w:rPr>
        <w:t>供应商（单位名称及公章）：</w:t>
      </w:r>
      <w:r>
        <w:rPr>
          <w:rFonts w:hint="eastAsia" w:hAnsi="宋体" w:cs="宋体"/>
          <w:sz w:val="28"/>
          <w:szCs w:val="28"/>
          <w:highlight w:val="none"/>
        </w:rPr>
        <w:t>______________________</w:t>
      </w:r>
    </w:p>
    <w:p>
      <w:pPr>
        <w:pStyle w:val="14"/>
        <w:spacing w:line="480" w:lineRule="auto"/>
        <w:jc w:val="left"/>
        <w:rPr>
          <w:rFonts w:hAnsi="宋体" w:cs="宋体"/>
          <w:sz w:val="24"/>
          <w:highlight w:val="none"/>
        </w:rPr>
      </w:pPr>
      <w:r>
        <w:rPr>
          <w:rFonts w:hint="eastAsia" w:hAnsi="宋体" w:cs="宋体"/>
          <w:sz w:val="24"/>
          <w:highlight w:val="none"/>
        </w:rPr>
        <w:t>法定代表人或被授权人（签字或盖章）：</w:t>
      </w:r>
      <w:r>
        <w:rPr>
          <w:rFonts w:hint="eastAsia" w:hAnsi="宋体" w:cs="宋体"/>
          <w:sz w:val="28"/>
          <w:szCs w:val="28"/>
          <w:highlight w:val="none"/>
        </w:rPr>
        <w:t>______________________</w:t>
      </w:r>
    </w:p>
    <w:p>
      <w:pPr>
        <w:adjustRightInd w:val="0"/>
        <w:snapToGrid w:val="0"/>
        <w:spacing w:line="480" w:lineRule="auto"/>
        <w:rPr>
          <w:rFonts w:ascii="宋体" w:hAnsi="宋体" w:cs="宋体"/>
          <w:sz w:val="24"/>
          <w:szCs w:val="24"/>
          <w:highlight w:val="none"/>
        </w:rPr>
      </w:pPr>
      <w:r>
        <w:rPr>
          <w:rFonts w:hint="eastAsia" w:ascii="宋体" w:hAnsi="宋体" w:cs="宋体"/>
          <w:kern w:val="0"/>
          <w:sz w:val="24"/>
          <w:highlight w:val="none"/>
        </w:rPr>
        <w:t>日    期：</w:t>
      </w:r>
      <w:r>
        <w:rPr>
          <w:rFonts w:hint="eastAsia" w:ascii="宋体" w:hAnsi="宋体" w:cs="宋体"/>
          <w:sz w:val="28"/>
          <w:szCs w:val="28"/>
          <w:highlight w:val="none"/>
        </w:rPr>
        <w:t>______________________</w:t>
      </w:r>
    </w:p>
    <w:p>
      <w:pPr>
        <w:pStyle w:val="5"/>
        <w:tabs>
          <w:tab w:val="left" w:pos="2096"/>
          <w:tab w:val="center" w:pos="5024"/>
        </w:tabs>
        <w:spacing w:before="319" w:beforeLines="100" w:after="478" w:afterLines="150" w:line="500" w:lineRule="exact"/>
        <w:ind w:firstLine="1080" w:firstLineChars="300"/>
        <w:rPr>
          <w:rFonts w:ascii="宋体" w:hAnsi="宋体" w:cs="宋体"/>
          <w:sz w:val="36"/>
          <w:szCs w:val="36"/>
          <w:highlight w:val="none"/>
        </w:rPr>
        <w:sectPr>
          <w:footerReference r:id="rId8" w:type="default"/>
          <w:pgSz w:w="11906" w:h="16838"/>
          <w:pgMar w:top="1440" w:right="1803" w:bottom="1440" w:left="1803" w:header="851" w:footer="992" w:gutter="0"/>
          <w:cols w:space="720" w:num="1"/>
          <w:docGrid w:type="lines" w:linePitch="319" w:charSpace="0"/>
        </w:sectPr>
      </w:pPr>
    </w:p>
    <w:p>
      <w:pPr>
        <w:pStyle w:val="111"/>
        <w:spacing w:before="210" w:after="210"/>
        <w:ind w:firstLine="640"/>
        <w:jc w:val="center"/>
        <w:rPr>
          <w:rFonts w:hint="eastAsia" w:eastAsia="宋体"/>
          <w:lang w:eastAsia="zh-CN"/>
        </w:rPr>
      </w:pPr>
      <w:r>
        <w:rPr>
          <w:rFonts w:hint="eastAsia" w:ascii="宋体" w:hAnsi="宋体" w:eastAsia="宋体" w:cs="宋体"/>
          <w:color w:val="000000" w:themeColor="text1"/>
          <w:sz w:val="32"/>
          <w:szCs w:val="32"/>
          <w:lang w:val="en-US" w:eastAsia="zh-CN"/>
          <w14:textFill>
            <w14:solidFill>
              <w14:schemeClr w14:val="tx1"/>
            </w14:solidFill>
          </w14:textFill>
        </w:rPr>
        <w:t xml:space="preserve">第四部分  </w:t>
      </w:r>
      <w:r>
        <w:rPr>
          <w:rFonts w:hint="eastAsia" w:eastAsia="宋体"/>
          <w:lang w:val="en-US" w:eastAsia="zh-CN"/>
        </w:rPr>
        <w:t>供应商概况</w:t>
      </w:r>
      <w:bookmarkEnd w:id="92"/>
    </w:p>
    <w:tbl>
      <w:tblPr>
        <w:tblStyle w:val="103"/>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法定代表人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基本存款账户</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上年度</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管理人员</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专业技术</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残疾人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少数民族</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2.表格空间不足时，请自行扩展。</w:t>
            </w:r>
          </w:p>
        </w:tc>
      </w:tr>
    </w:tbl>
    <w:p>
      <w:pPr>
        <w:rPr>
          <w:rFonts w:hint="eastAsia" w:ascii="宋体" w:hAnsi="宋体" w:eastAsia="宋体" w:cs="宋体"/>
          <w:color w:val="000000" w:themeColor="text1"/>
          <w:sz w:val="32"/>
          <w:szCs w:val="32"/>
          <w:lang w:val="en-US" w:eastAsia="zh-CN"/>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5"/>
      </w:pPr>
      <w:bookmarkStart w:id="103" w:name="_Toc16071"/>
      <w:r>
        <w:t>第五部分</w:t>
      </w:r>
      <w:r>
        <w:rPr>
          <w:rFonts w:hint="eastAsia"/>
        </w:rPr>
        <w:t xml:space="preserve">  </w:t>
      </w:r>
      <w:r>
        <w:t>供应商参加政府采购活动承诺书</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jc w:val="center"/>
        <w:outlineLvl w:val="9"/>
        <w:rPr>
          <w:rFonts w:hint="eastAsia" w:ascii="宋体" w:hAnsi="宋体" w:eastAsia="宋体" w:cs="宋体"/>
          <w:sz w:val="32"/>
          <w:szCs w:val="32"/>
        </w:rPr>
      </w:pPr>
      <w:r>
        <w:rPr>
          <w:rFonts w:hint="eastAsia" w:ascii="宋体" w:hAnsi="宋体" w:eastAsia="宋体" w:cs="宋体"/>
          <w:sz w:val="32"/>
          <w:szCs w:val="32"/>
        </w:rPr>
        <w:t>（一）质量安全责任承诺书</w:t>
      </w:r>
    </w:p>
    <w:p>
      <w:pPr>
        <w:spacing w:line="560" w:lineRule="exact"/>
        <w:ind w:firstLine="576" w:firstLineChars="200"/>
        <w:jc w:val="both"/>
        <w:rPr>
          <w:rFonts w:hint="eastAsia" w:ascii="宋体" w:hAnsi="宋体" w:eastAsia="宋体" w:cs="宋体"/>
          <w:sz w:val="28"/>
          <w:szCs w:val="28"/>
        </w:rPr>
      </w:pP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76" w:firstLineChars="200"/>
        <w:jc w:val="both"/>
        <w:rPr>
          <w:rFonts w:hint="eastAsia" w:ascii="宋体" w:hAnsi="宋体" w:eastAsia="宋体" w:cs="宋体"/>
          <w:sz w:val="28"/>
          <w:szCs w:val="28"/>
        </w:rPr>
      </w:pP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日  期：    年  月  日</w:t>
      </w:r>
    </w:p>
    <w:p>
      <w:pPr>
        <w:spacing w:line="560" w:lineRule="exact"/>
        <w:ind w:firstLine="576" w:firstLineChars="200"/>
        <w:jc w:val="both"/>
        <w:rPr>
          <w:rFonts w:hint="eastAsia" w:ascii="宋体" w:hAnsi="宋体" w:eastAsia="宋体" w:cs="宋体"/>
          <w:sz w:val="28"/>
          <w:szCs w:val="28"/>
        </w:rPr>
      </w:pPr>
    </w:p>
    <w:p>
      <w:pPr>
        <w:rPr>
          <w:rFonts w:hint="eastAsia" w:ascii="宋体" w:hAnsi="宋体" w:eastAsia="宋体" w:cs="宋体"/>
          <w:sz w:val="32"/>
          <w:szCs w:val="32"/>
        </w:rPr>
      </w:pPr>
      <w:r>
        <w:rPr>
          <w:rFonts w:hint="eastAsia" w:ascii="宋体" w:hAnsi="宋体" w:eastAsia="宋体" w:cs="宋体"/>
          <w:sz w:val="32"/>
          <w:szCs w:val="32"/>
        </w:rPr>
        <w:br w:type="page"/>
      </w:r>
    </w:p>
    <w:p>
      <w:pPr>
        <w:jc w:val="center"/>
        <w:outlineLvl w:val="9"/>
        <w:rPr>
          <w:rFonts w:hint="eastAsia" w:ascii="宋体" w:hAnsi="宋体" w:eastAsia="宋体" w:cs="宋体"/>
          <w:sz w:val="32"/>
          <w:szCs w:val="32"/>
        </w:rPr>
      </w:pPr>
      <w:r>
        <w:rPr>
          <w:rFonts w:hint="eastAsia" w:ascii="宋体" w:hAnsi="宋体" w:eastAsia="宋体" w:cs="宋体"/>
          <w:sz w:val="32"/>
          <w:szCs w:val="32"/>
        </w:rPr>
        <w:t>（二）参加政府采购活动行为自律承诺书</w:t>
      </w:r>
    </w:p>
    <w:p>
      <w:pPr>
        <w:spacing w:line="560" w:lineRule="exact"/>
        <w:ind w:firstLine="576" w:firstLineChars="200"/>
        <w:jc w:val="both"/>
        <w:rPr>
          <w:rFonts w:hint="eastAsia" w:ascii="宋体" w:hAnsi="宋体" w:eastAsia="宋体" w:cs="宋体"/>
          <w:sz w:val="28"/>
          <w:szCs w:val="28"/>
        </w:rPr>
      </w:pP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576" w:firstLineChars="200"/>
        <w:jc w:val="both"/>
        <w:rPr>
          <w:rFonts w:hint="eastAsia" w:ascii="宋体" w:hAnsi="宋体" w:eastAsia="宋体" w:cs="宋体"/>
          <w:sz w:val="28"/>
          <w:szCs w:val="28"/>
        </w:rPr>
      </w:pP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日  期：    年  月  日</w:t>
      </w: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5"/>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eastAsia="宋体" w:cs="宋体"/>
          <w:color w:val="000000" w:themeColor="text1"/>
          <w:sz w:val="32"/>
          <w:szCs w:val="32"/>
          <w:lang w:eastAsia="zh-CN"/>
          <w14:textFill>
            <w14:solidFill>
              <w14:schemeClr w14:val="tx1"/>
            </w14:solidFill>
          </w14:textFill>
        </w:rPr>
        <w:t>六部分</w:t>
      </w:r>
      <w:r>
        <w:rPr>
          <w:rFonts w:hint="eastAsia" w:ascii="宋体" w:hAnsi="宋体" w:eastAsia="宋体" w:cs="宋体"/>
          <w:color w:val="000000" w:themeColor="text1"/>
          <w:sz w:val="32"/>
          <w:szCs w:val="32"/>
          <w14:textFill>
            <w14:solidFill>
              <w14:schemeClr w14:val="tx1"/>
            </w14:solidFill>
          </w14:textFill>
        </w:rPr>
        <w:t xml:space="preserve">  商务和</w:t>
      </w:r>
      <w:r>
        <w:rPr>
          <w:rFonts w:hint="eastAsia" w:ascii="宋体" w:hAnsi="宋体" w:eastAsia="宋体" w:cs="宋体"/>
          <w:color w:val="000000" w:themeColor="text1"/>
          <w:sz w:val="32"/>
          <w:szCs w:val="32"/>
          <w:lang w:eastAsia="zh-CN"/>
          <w14:textFill>
            <w14:solidFill>
              <w14:schemeClr w14:val="tx1"/>
            </w14:solidFill>
          </w14:textFill>
        </w:rPr>
        <w:t>技术</w:t>
      </w:r>
      <w:r>
        <w:rPr>
          <w:rFonts w:hint="eastAsia" w:ascii="宋体" w:hAnsi="宋体" w:eastAsia="宋体" w:cs="宋体"/>
          <w:color w:val="000000" w:themeColor="text1"/>
          <w:sz w:val="32"/>
          <w:szCs w:val="32"/>
          <w14:textFill>
            <w14:solidFill>
              <w14:schemeClr w14:val="tx1"/>
            </w14:solidFill>
          </w14:textFill>
        </w:rPr>
        <w:t>响应偏离表</w:t>
      </w:r>
      <w:bookmarkEnd w:id="93"/>
      <w:bookmarkEnd w:id="94"/>
      <w:bookmarkEnd w:id="95"/>
      <w:bookmarkEnd w:id="96"/>
      <w:bookmarkEnd w:id="103"/>
    </w:p>
    <w:p>
      <w:pPr>
        <w:kinsoku w:val="0"/>
        <w:spacing w:line="480" w:lineRule="auto"/>
        <w:ind w:left="1269" w:hanging="1267" w:hangingChars="44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5"/>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4"/>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4"/>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4"/>
              <w:spacing w:line="360" w:lineRule="auto"/>
              <w:jc w:val="center"/>
              <w:rPr>
                <w:rFonts w:hAnsi="宋体" w:cs="宋体"/>
                <w:sz w:val="24"/>
                <w:szCs w:val="24"/>
              </w:rPr>
            </w:pPr>
            <w:r>
              <w:rPr>
                <w:rFonts w:hint="eastAsia" w:hAnsi="宋体" w:cs="宋体"/>
                <w:sz w:val="24"/>
                <w:szCs w:val="24"/>
              </w:rPr>
              <w:t>商务要求</w:t>
            </w:r>
          </w:p>
          <w:p>
            <w:pPr>
              <w:pStyle w:val="14"/>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4"/>
              <w:spacing w:line="360" w:lineRule="auto"/>
              <w:jc w:val="center"/>
              <w:rPr>
                <w:rFonts w:hAnsi="宋体" w:cs="宋体"/>
                <w:sz w:val="24"/>
                <w:szCs w:val="24"/>
              </w:rPr>
            </w:pPr>
            <w:r>
              <w:rPr>
                <w:rFonts w:hint="eastAsia" w:hAnsi="宋体" w:cs="宋体"/>
                <w:sz w:val="24"/>
                <w:szCs w:val="24"/>
              </w:rPr>
              <w:t>投标文件</w:t>
            </w:r>
          </w:p>
          <w:p>
            <w:pPr>
              <w:pStyle w:val="14"/>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4"/>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4"/>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96" w:firstLineChars="200"/>
              <w:jc w:val="left"/>
              <w:rPr>
                <w:rFonts w:hAnsi="宋体" w:cs="宋体"/>
                <w:sz w:val="24"/>
                <w:szCs w:val="24"/>
              </w:rPr>
            </w:pPr>
          </w:p>
        </w:tc>
        <w:tc>
          <w:tcPr>
            <w:tcW w:w="1521" w:type="dxa"/>
          </w:tcPr>
          <w:p>
            <w:pPr>
              <w:pStyle w:val="14"/>
              <w:spacing w:line="480" w:lineRule="auto"/>
              <w:ind w:firstLine="496" w:firstLineChars="200"/>
              <w:jc w:val="left"/>
              <w:rPr>
                <w:rFonts w:hAnsi="宋体" w:cs="宋体"/>
                <w:sz w:val="24"/>
                <w:szCs w:val="24"/>
              </w:rPr>
            </w:pPr>
          </w:p>
        </w:tc>
        <w:tc>
          <w:tcPr>
            <w:tcW w:w="1600" w:type="dxa"/>
            <w:vAlign w:val="center"/>
          </w:tcPr>
          <w:p>
            <w:pPr>
              <w:pStyle w:val="14"/>
              <w:spacing w:line="480" w:lineRule="auto"/>
              <w:ind w:firstLine="496" w:firstLineChars="200"/>
              <w:jc w:val="left"/>
              <w:rPr>
                <w:rFonts w:hAnsi="宋体" w:cs="宋体"/>
                <w:sz w:val="24"/>
                <w:szCs w:val="24"/>
              </w:rPr>
            </w:pPr>
          </w:p>
        </w:tc>
        <w:tc>
          <w:tcPr>
            <w:tcW w:w="1938" w:type="dxa"/>
            <w:vAlign w:val="center"/>
          </w:tcPr>
          <w:p>
            <w:pPr>
              <w:pStyle w:val="14"/>
              <w:spacing w:line="480" w:lineRule="auto"/>
              <w:ind w:firstLine="496" w:firstLineChars="200"/>
              <w:jc w:val="left"/>
              <w:rPr>
                <w:rFonts w:hAnsi="宋体" w:cs="宋体"/>
                <w:sz w:val="24"/>
                <w:szCs w:val="24"/>
              </w:rPr>
            </w:pPr>
          </w:p>
        </w:tc>
        <w:tc>
          <w:tcPr>
            <w:tcW w:w="1410" w:type="dxa"/>
            <w:vAlign w:val="center"/>
          </w:tcPr>
          <w:p>
            <w:pPr>
              <w:pStyle w:val="14"/>
              <w:spacing w:line="480" w:lineRule="auto"/>
              <w:ind w:firstLine="496" w:firstLineChars="200"/>
              <w:jc w:val="left"/>
              <w:rPr>
                <w:rFonts w:hAnsi="宋体" w:cs="宋体"/>
                <w:sz w:val="24"/>
                <w:szCs w:val="24"/>
              </w:rPr>
            </w:pPr>
          </w:p>
        </w:tc>
        <w:tc>
          <w:tcPr>
            <w:tcW w:w="1356" w:type="dxa"/>
            <w:vAlign w:val="center"/>
          </w:tcPr>
          <w:p>
            <w:pPr>
              <w:pStyle w:val="14"/>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96" w:firstLineChars="200"/>
              <w:jc w:val="left"/>
              <w:rPr>
                <w:rFonts w:hAnsi="宋体" w:cs="宋体"/>
                <w:sz w:val="24"/>
                <w:szCs w:val="24"/>
              </w:rPr>
            </w:pPr>
          </w:p>
        </w:tc>
        <w:tc>
          <w:tcPr>
            <w:tcW w:w="1521" w:type="dxa"/>
          </w:tcPr>
          <w:p>
            <w:pPr>
              <w:pStyle w:val="14"/>
              <w:spacing w:line="480" w:lineRule="auto"/>
              <w:ind w:firstLine="496" w:firstLineChars="200"/>
              <w:jc w:val="left"/>
              <w:rPr>
                <w:rFonts w:hAnsi="宋体" w:cs="宋体"/>
                <w:sz w:val="24"/>
                <w:szCs w:val="24"/>
              </w:rPr>
            </w:pPr>
          </w:p>
        </w:tc>
        <w:tc>
          <w:tcPr>
            <w:tcW w:w="1600" w:type="dxa"/>
          </w:tcPr>
          <w:p>
            <w:pPr>
              <w:pStyle w:val="14"/>
              <w:spacing w:line="480" w:lineRule="auto"/>
              <w:ind w:firstLine="496" w:firstLineChars="200"/>
              <w:jc w:val="left"/>
              <w:rPr>
                <w:rFonts w:hAnsi="宋体" w:cs="宋体"/>
                <w:sz w:val="24"/>
                <w:szCs w:val="24"/>
              </w:rPr>
            </w:pPr>
          </w:p>
        </w:tc>
        <w:tc>
          <w:tcPr>
            <w:tcW w:w="1938" w:type="dxa"/>
          </w:tcPr>
          <w:p>
            <w:pPr>
              <w:pStyle w:val="14"/>
              <w:spacing w:line="480" w:lineRule="auto"/>
              <w:ind w:firstLine="496" w:firstLineChars="200"/>
              <w:jc w:val="left"/>
              <w:rPr>
                <w:rFonts w:hAnsi="宋体" w:cs="宋体"/>
                <w:sz w:val="24"/>
                <w:szCs w:val="24"/>
              </w:rPr>
            </w:pPr>
          </w:p>
        </w:tc>
        <w:tc>
          <w:tcPr>
            <w:tcW w:w="1410" w:type="dxa"/>
          </w:tcPr>
          <w:p>
            <w:pPr>
              <w:pStyle w:val="14"/>
              <w:spacing w:line="480" w:lineRule="auto"/>
              <w:ind w:firstLine="496" w:firstLineChars="200"/>
              <w:jc w:val="left"/>
              <w:rPr>
                <w:rFonts w:hAnsi="宋体" w:cs="宋体"/>
                <w:sz w:val="24"/>
                <w:szCs w:val="24"/>
              </w:rPr>
            </w:pPr>
          </w:p>
        </w:tc>
        <w:tc>
          <w:tcPr>
            <w:tcW w:w="1356" w:type="dxa"/>
          </w:tcPr>
          <w:p>
            <w:pPr>
              <w:pStyle w:val="14"/>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96" w:firstLineChars="200"/>
              <w:jc w:val="left"/>
              <w:rPr>
                <w:rFonts w:hAnsi="宋体" w:cs="宋体"/>
                <w:sz w:val="24"/>
                <w:szCs w:val="24"/>
              </w:rPr>
            </w:pPr>
          </w:p>
        </w:tc>
        <w:tc>
          <w:tcPr>
            <w:tcW w:w="1521" w:type="dxa"/>
          </w:tcPr>
          <w:p>
            <w:pPr>
              <w:pStyle w:val="14"/>
              <w:spacing w:line="480" w:lineRule="auto"/>
              <w:ind w:firstLine="496" w:firstLineChars="200"/>
              <w:jc w:val="left"/>
              <w:rPr>
                <w:rFonts w:hAnsi="宋体" w:cs="宋体"/>
                <w:sz w:val="24"/>
                <w:szCs w:val="24"/>
              </w:rPr>
            </w:pPr>
          </w:p>
        </w:tc>
        <w:tc>
          <w:tcPr>
            <w:tcW w:w="1600" w:type="dxa"/>
          </w:tcPr>
          <w:p>
            <w:pPr>
              <w:pStyle w:val="14"/>
              <w:spacing w:line="480" w:lineRule="auto"/>
              <w:ind w:firstLine="496" w:firstLineChars="200"/>
              <w:jc w:val="left"/>
              <w:rPr>
                <w:rFonts w:hAnsi="宋体" w:cs="宋体"/>
                <w:sz w:val="24"/>
                <w:szCs w:val="24"/>
              </w:rPr>
            </w:pPr>
          </w:p>
        </w:tc>
        <w:tc>
          <w:tcPr>
            <w:tcW w:w="1938" w:type="dxa"/>
          </w:tcPr>
          <w:p>
            <w:pPr>
              <w:pStyle w:val="14"/>
              <w:spacing w:line="480" w:lineRule="auto"/>
              <w:ind w:firstLine="496" w:firstLineChars="200"/>
              <w:jc w:val="left"/>
              <w:rPr>
                <w:rFonts w:hAnsi="宋体" w:cs="宋体"/>
                <w:sz w:val="24"/>
                <w:szCs w:val="24"/>
              </w:rPr>
            </w:pPr>
          </w:p>
        </w:tc>
        <w:tc>
          <w:tcPr>
            <w:tcW w:w="1410" w:type="dxa"/>
          </w:tcPr>
          <w:p>
            <w:pPr>
              <w:pStyle w:val="14"/>
              <w:spacing w:line="480" w:lineRule="auto"/>
              <w:ind w:firstLine="496" w:firstLineChars="200"/>
              <w:jc w:val="left"/>
              <w:rPr>
                <w:rFonts w:hAnsi="宋体" w:cs="宋体"/>
                <w:sz w:val="24"/>
                <w:szCs w:val="24"/>
              </w:rPr>
            </w:pPr>
          </w:p>
        </w:tc>
        <w:tc>
          <w:tcPr>
            <w:tcW w:w="1356" w:type="dxa"/>
          </w:tcPr>
          <w:p>
            <w:pPr>
              <w:pStyle w:val="14"/>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96" w:firstLineChars="200"/>
              <w:jc w:val="left"/>
              <w:rPr>
                <w:rFonts w:hAnsi="宋体" w:cs="宋体"/>
                <w:sz w:val="24"/>
                <w:szCs w:val="24"/>
              </w:rPr>
            </w:pPr>
          </w:p>
        </w:tc>
        <w:tc>
          <w:tcPr>
            <w:tcW w:w="1521" w:type="dxa"/>
          </w:tcPr>
          <w:p>
            <w:pPr>
              <w:pStyle w:val="14"/>
              <w:spacing w:line="480" w:lineRule="auto"/>
              <w:ind w:firstLine="496" w:firstLineChars="200"/>
              <w:jc w:val="left"/>
              <w:rPr>
                <w:rFonts w:hAnsi="宋体" w:cs="宋体"/>
                <w:sz w:val="24"/>
                <w:szCs w:val="24"/>
              </w:rPr>
            </w:pPr>
          </w:p>
        </w:tc>
        <w:tc>
          <w:tcPr>
            <w:tcW w:w="1600" w:type="dxa"/>
          </w:tcPr>
          <w:p>
            <w:pPr>
              <w:pStyle w:val="14"/>
              <w:spacing w:line="480" w:lineRule="auto"/>
              <w:ind w:firstLine="496" w:firstLineChars="200"/>
              <w:jc w:val="left"/>
              <w:rPr>
                <w:rFonts w:hAnsi="宋体" w:cs="宋体"/>
                <w:sz w:val="24"/>
                <w:szCs w:val="24"/>
              </w:rPr>
            </w:pPr>
          </w:p>
        </w:tc>
        <w:tc>
          <w:tcPr>
            <w:tcW w:w="1938" w:type="dxa"/>
          </w:tcPr>
          <w:p>
            <w:pPr>
              <w:pStyle w:val="14"/>
              <w:spacing w:line="480" w:lineRule="auto"/>
              <w:ind w:firstLine="496" w:firstLineChars="200"/>
              <w:jc w:val="left"/>
              <w:rPr>
                <w:rFonts w:hAnsi="宋体" w:cs="宋体"/>
                <w:sz w:val="24"/>
                <w:szCs w:val="24"/>
              </w:rPr>
            </w:pPr>
          </w:p>
        </w:tc>
        <w:tc>
          <w:tcPr>
            <w:tcW w:w="1410" w:type="dxa"/>
          </w:tcPr>
          <w:p>
            <w:pPr>
              <w:pStyle w:val="14"/>
              <w:spacing w:line="480" w:lineRule="auto"/>
              <w:ind w:firstLine="496" w:firstLineChars="200"/>
              <w:jc w:val="left"/>
              <w:rPr>
                <w:rFonts w:hAnsi="宋体" w:cs="宋体"/>
                <w:sz w:val="24"/>
                <w:szCs w:val="24"/>
              </w:rPr>
            </w:pPr>
          </w:p>
        </w:tc>
        <w:tc>
          <w:tcPr>
            <w:tcW w:w="1356" w:type="dxa"/>
          </w:tcPr>
          <w:p>
            <w:pPr>
              <w:pStyle w:val="14"/>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96" w:firstLineChars="200"/>
              <w:jc w:val="left"/>
              <w:rPr>
                <w:rFonts w:hAnsi="宋体" w:cs="宋体"/>
                <w:sz w:val="24"/>
                <w:szCs w:val="24"/>
              </w:rPr>
            </w:pPr>
          </w:p>
        </w:tc>
        <w:tc>
          <w:tcPr>
            <w:tcW w:w="1521" w:type="dxa"/>
          </w:tcPr>
          <w:p>
            <w:pPr>
              <w:pStyle w:val="14"/>
              <w:spacing w:line="480" w:lineRule="auto"/>
              <w:ind w:firstLine="496" w:firstLineChars="200"/>
              <w:jc w:val="left"/>
              <w:rPr>
                <w:rFonts w:hAnsi="宋体" w:cs="宋体"/>
                <w:sz w:val="24"/>
                <w:szCs w:val="24"/>
              </w:rPr>
            </w:pPr>
          </w:p>
        </w:tc>
        <w:tc>
          <w:tcPr>
            <w:tcW w:w="1600" w:type="dxa"/>
          </w:tcPr>
          <w:p>
            <w:pPr>
              <w:pStyle w:val="14"/>
              <w:spacing w:line="480" w:lineRule="auto"/>
              <w:ind w:firstLine="496" w:firstLineChars="200"/>
              <w:jc w:val="left"/>
              <w:rPr>
                <w:rFonts w:hAnsi="宋体" w:cs="宋体"/>
                <w:sz w:val="24"/>
                <w:szCs w:val="24"/>
              </w:rPr>
            </w:pPr>
          </w:p>
        </w:tc>
        <w:tc>
          <w:tcPr>
            <w:tcW w:w="1938" w:type="dxa"/>
          </w:tcPr>
          <w:p>
            <w:pPr>
              <w:pStyle w:val="14"/>
              <w:spacing w:line="480" w:lineRule="auto"/>
              <w:ind w:firstLine="496" w:firstLineChars="200"/>
              <w:jc w:val="left"/>
              <w:rPr>
                <w:rFonts w:hAnsi="宋体" w:cs="宋体"/>
                <w:sz w:val="24"/>
                <w:szCs w:val="24"/>
              </w:rPr>
            </w:pPr>
          </w:p>
        </w:tc>
        <w:tc>
          <w:tcPr>
            <w:tcW w:w="1410" w:type="dxa"/>
          </w:tcPr>
          <w:p>
            <w:pPr>
              <w:pStyle w:val="14"/>
              <w:spacing w:line="480" w:lineRule="auto"/>
              <w:ind w:firstLine="496" w:firstLineChars="200"/>
              <w:jc w:val="left"/>
              <w:rPr>
                <w:rFonts w:hAnsi="宋体" w:cs="宋体"/>
                <w:sz w:val="24"/>
                <w:szCs w:val="24"/>
              </w:rPr>
            </w:pPr>
          </w:p>
        </w:tc>
        <w:tc>
          <w:tcPr>
            <w:tcW w:w="1356" w:type="dxa"/>
          </w:tcPr>
          <w:p>
            <w:pPr>
              <w:pStyle w:val="14"/>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96" w:firstLineChars="200"/>
              <w:jc w:val="left"/>
              <w:rPr>
                <w:rFonts w:hAnsi="宋体" w:cs="宋体"/>
                <w:sz w:val="24"/>
                <w:szCs w:val="24"/>
              </w:rPr>
            </w:pPr>
          </w:p>
        </w:tc>
        <w:tc>
          <w:tcPr>
            <w:tcW w:w="1521" w:type="dxa"/>
          </w:tcPr>
          <w:p>
            <w:pPr>
              <w:pStyle w:val="14"/>
              <w:spacing w:line="480" w:lineRule="auto"/>
              <w:ind w:firstLine="496" w:firstLineChars="200"/>
              <w:jc w:val="left"/>
              <w:rPr>
                <w:rFonts w:hAnsi="宋体" w:cs="宋体"/>
                <w:sz w:val="24"/>
                <w:szCs w:val="24"/>
              </w:rPr>
            </w:pPr>
          </w:p>
        </w:tc>
        <w:tc>
          <w:tcPr>
            <w:tcW w:w="1600" w:type="dxa"/>
          </w:tcPr>
          <w:p>
            <w:pPr>
              <w:pStyle w:val="14"/>
              <w:spacing w:line="480" w:lineRule="auto"/>
              <w:ind w:firstLine="496" w:firstLineChars="200"/>
              <w:jc w:val="left"/>
              <w:rPr>
                <w:rFonts w:hAnsi="宋体" w:cs="宋体"/>
                <w:sz w:val="24"/>
                <w:szCs w:val="24"/>
              </w:rPr>
            </w:pPr>
          </w:p>
        </w:tc>
        <w:tc>
          <w:tcPr>
            <w:tcW w:w="1938" w:type="dxa"/>
          </w:tcPr>
          <w:p>
            <w:pPr>
              <w:pStyle w:val="14"/>
              <w:spacing w:line="480" w:lineRule="auto"/>
              <w:ind w:firstLine="496" w:firstLineChars="200"/>
              <w:jc w:val="left"/>
              <w:rPr>
                <w:rFonts w:hAnsi="宋体" w:cs="宋体"/>
                <w:sz w:val="24"/>
                <w:szCs w:val="24"/>
              </w:rPr>
            </w:pPr>
          </w:p>
        </w:tc>
        <w:tc>
          <w:tcPr>
            <w:tcW w:w="1410" w:type="dxa"/>
          </w:tcPr>
          <w:p>
            <w:pPr>
              <w:pStyle w:val="14"/>
              <w:spacing w:line="480" w:lineRule="auto"/>
              <w:ind w:firstLine="496" w:firstLineChars="200"/>
              <w:jc w:val="left"/>
              <w:rPr>
                <w:rFonts w:hAnsi="宋体" w:cs="宋体"/>
                <w:sz w:val="24"/>
                <w:szCs w:val="24"/>
              </w:rPr>
            </w:pPr>
          </w:p>
        </w:tc>
        <w:tc>
          <w:tcPr>
            <w:tcW w:w="1356" w:type="dxa"/>
          </w:tcPr>
          <w:p>
            <w:pPr>
              <w:pStyle w:val="14"/>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96" w:firstLineChars="200"/>
              <w:jc w:val="left"/>
              <w:rPr>
                <w:rFonts w:hAnsi="宋体" w:cs="宋体"/>
                <w:sz w:val="24"/>
                <w:szCs w:val="24"/>
              </w:rPr>
            </w:pPr>
          </w:p>
        </w:tc>
        <w:tc>
          <w:tcPr>
            <w:tcW w:w="1521" w:type="dxa"/>
          </w:tcPr>
          <w:p>
            <w:pPr>
              <w:pStyle w:val="14"/>
              <w:spacing w:line="480" w:lineRule="auto"/>
              <w:ind w:firstLine="496" w:firstLineChars="200"/>
              <w:jc w:val="left"/>
              <w:rPr>
                <w:rFonts w:hAnsi="宋体" w:cs="宋体"/>
                <w:sz w:val="24"/>
                <w:szCs w:val="24"/>
              </w:rPr>
            </w:pPr>
          </w:p>
        </w:tc>
        <w:tc>
          <w:tcPr>
            <w:tcW w:w="1600" w:type="dxa"/>
          </w:tcPr>
          <w:p>
            <w:pPr>
              <w:pStyle w:val="14"/>
              <w:spacing w:line="480" w:lineRule="auto"/>
              <w:ind w:firstLine="496" w:firstLineChars="200"/>
              <w:jc w:val="left"/>
              <w:rPr>
                <w:rFonts w:hAnsi="宋体" w:cs="宋体"/>
                <w:sz w:val="24"/>
                <w:szCs w:val="24"/>
              </w:rPr>
            </w:pPr>
          </w:p>
        </w:tc>
        <w:tc>
          <w:tcPr>
            <w:tcW w:w="1938" w:type="dxa"/>
          </w:tcPr>
          <w:p>
            <w:pPr>
              <w:pStyle w:val="14"/>
              <w:spacing w:line="480" w:lineRule="auto"/>
              <w:ind w:firstLine="496" w:firstLineChars="200"/>
              <w:jc w:val="left"/>
              <w:rPr>
                <w:rFonts w:hAnsi="宋体" w:cs="宋体"/>
                <w:sz w:val="24"/>
                <w:szCs w:val="24"/>
              </w:rPr>
            </w:pPr>
          </w:p>
        </w:tc>
        <w:tc>
          <w:tcPr>
            <w:tcW w:w="1410" w:type="dxa"/>
          </w:tcPr>
          <w:p>
            <w:pPr>
              <w:pStyle w:val="14"/>
              <w:spacing w:line="480" w:lineRule="auto"/>
              <w:ind w:firstLine="496" w:firstLineChars="200"/>
              <w:jc w:val="left"/>
              <w:rPr>
                <w:rFonts w:hAnsi="宋体" w:cs="宋体"/>
                <w:sz w:val="24"/>
                <w:szCs w:val="24"/>
              </w:rPr>
            </w:pPr>
          </w:p>
        </w:tc>
        <w:tc>
          <w:tcPr>
            <w:tcW w:w="1356" w:type="dxa"/>
          </w:tcPr>
          <w:p>
            <w:pPr>
              <w:pStyle w:val="14"/>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4"/>
              <w:spacing w:line="480" w:lineRule="auto"/>
              <w:jc w:val="left"/>
              <w:rPr>
                <w:rFonts w:hAnsi="宋体" w:cs="宋体"/>
                <w:sz w:val="24"/>
                <w:szCs w:val="24"/>
              </w:rPr>
            </w:pPr>
          </w:p>
        </w:tc>
        <w:tc>
          <w:tcPr>
            <w:tcW w:w="1521" w:type="dxa"/>
          </w:tcPr>
          <w:p>
            <w:pPr>
              <w:pStyle w:val="14"/>
              <w:spacing w:line="480" w:lineRule="auto"/>
              <w:jc w:val="left"/>
              <w:rPr>
                <w:rFonts w:hAnsi="宋体" w:cs="宋体"/>
                <w:sz w:val="24"/>
                <w:szCs w:val="24"/>
              </w:rPr>
            </w:pPr>
          </w:p>
        </w:tc>
        <w:tc>
          <w:tcPr>
            <w:tcW w:w="1600" w:type="dxa"/>
          </w:tcPr>
          <w:p>
            <w:pPr>
              <w:pStyle w:val="14"/>
              <w:spacing w:line="480" w:lineRule="auto"/>
              <w:ind w:firstLine="496" w:firstLineChars="200"/>
              <w:jc w:val="left"/>
              <w:rPr>
                <w:rFonts w:hAnsi="宋体" w:cs="宋体"/>
                <w:sz w:val="24"/>
                <w:szCs w:val="24"/>
              </w:rPr>
            </w:pPr>
          </w:p>
        </w:tc>
        <w:tc>
          <w:tcPr>
            <w:tcW w:w="1938" w:type="dxa"/>
          </w:tcPr>
          <w:p>
            <w:pPr>
              <w:pStyle w:val="14"/>
              <w:spacing w:line="480" w:lineRule="auto"/>
              <w:ind w:firstLine="496" w:firstLineChars="200"/>
              <w:jc w:val="left"/>
              <w:rPr>
                <w:rFonts w:hAnsi="宋体" w:cs="宋体"/>
                <w:sz w:val="24"/>
                <w:szCs w:val="24"/>
              </w:rPr>
            </w:pPr>
          </w:p>
        </w:tc>
        <w:tc>
          <w:tcPr>
            <w:tcW w:w="1410" w:type="dxa"/>
          </w:tcPr>
          <w:p>
            <w:pPr>
              <w:pStyle w:val="14"/>
              <w:spacing w:line="480" w:lineRule="auto"/>
              <w:ind w:firstLine="496" w:firstLineChars="200"/>
              <w:jc w:val="left"/>
              <w:rPr>
                <w:rFonts w:hAnsi="宋体" w:cs="宋体"/>
                <w:sz w:val="24"/>
                <w:szCs w:val="24"/>
              </w:rPr>
            </w:pPr>
          </w:p>
        </w:tc>
        <w:tc>
          <w:tcPr>
            <w:tcW w:w="1356" w:type="dxa"/>
          </w:tcPr>
          <w:p>
            <w:pPr>
              <w:pStyle w:val="14"/>
              <w:spacing w:line="480" w:lineRule="auto"/>
              <w:ind w:firstLine="496" w:firstLineChars="200"/>
              <w:jc w:val="left"/>
              <w:rPr>
                <w:rFonts w:hAnsi="宋体" w:cs="宋体"/>
                <w:sz w:val="24"/>
                <w:szCs w:val="24"/>
              </w:rPr>
            </w:pPr>
          </w:p>
        </w:tc>
      </w:tr>
    </w:tbl>
    <w:p>
      <w:pPr>
        <w:pStyle w:val="13"/>
        <w:spacing w:line="360" w:lineRule="auto"/>
        <w:ind w:left="140" w:firstLine="0"/>
        <w:rPr>
          <w:rFonts w:hint="eastAsia" w:ascii="宋体" w:hAnsi="宋体" w:cs="宋体"/>
          <w:b/>
          <w:bCs/>
          <w:sz w:val="24"/>
          <w:szCs w:val="24"/>
          <w:lang w:eastAsia="zh-CN"/>
        </w:rPr>
      </w:pPr>
      <w:r>
        <w:rPr>
          <w:rFonts w:hint="eastAsia" w:ascii="宋体" w:hAnsi="宋体" w:cs="宋体"/>
          <w:b/>
          <w:bCs/>
          <w:sz w:val="24"/>
          <w:szCs w:val="24"/>
          <w:lang w:val="en-US" w:eastAsia="zh-CN"/>
        </w:rPr>
        <w:t>1、</w:t>
      </w:r>
      <w:r>
        <w:rPr>
          <w:rFonts w:hint="eastAsia" w:ascii="宋体" w:hAnsi="宋体" w:cs="宋体"/>
          <w:b/>
          <w:bCs/>
          <w:sz w:val="24"/>
          <w:szCs w:val="24"/>
          <w:lang w:eastAsia="zh-CN"/>
        </w:rPr>
        <w:t>本表须按“第三章招标内容及要求”中所列商务条款进行比较和响应；</w:t>
      </w:r>
    </w:p>
    <w:p>
      <w:pPr>
        <w:pStyle w:val="13"/>
        <w:spacing w:line="360" w:lineRule="auto"/>
        <w:ind w:left="0" w:leftChars="0" w:firstLine="248" w:firstLineChars="100"/>
        <w:rPr>
          <w:rFonts w:hint="eastAsia" w:ascii="宋体" w:hAnsi="宋体" w:cs="宋体"/>
          <w:b/>
          <w:bCs/>
          <w:sz w:val="24"/>
          <w:szCs w:val="24"/>
          <w:lang w:eastAsia="zh-CN"/>
        </w:rPr>
      </w:pPr>
      <w:r>
        <w:rPr>
          <w:rFonts w:hint="eastAsia" w:ascii="宋体" w:hAnsi="宋体" w:cs="宋体"/>
          <w:b/>
          <w:bCs/>
          <w:sz w:val="24"/>
          <w:szCs w:val="24"/>
          <w:lang w:val="en-US" w:eastAsia="zh-CN"/>
        </w:rPr>
        <w:t>2、</w:t>
      </w:r>
      <w:r>
        <w:rPr>
          <w:rFonts w:hint="eastAsia" w:ascii="宋体" w:hAnsi="宋体" w:cs="宋体"/>
          <w:b/>
          <w:bCs/>
          <w:sz w:val="24"/>
          <w:szCs w:val="24"/>
          <w:lang w:eastAsia="zh-CN"/>
        </w:rPr>
        <w:t>该表必须按照招标文件要求逐条如实填写，根据情况在“偏离情况”项填写正偏离或负偏离或无偏离，在“说明”项填写正偏离或负偏离原因。</w:t>
      </w:r>
    </w:p>
    <w:p>
      <w:pPr>
        <w:pStyle w:val="13"/>
        <w:spacing w:line="360" w:lineRule="auto"/>
        <w:ind w:left="140" w:firstLine="0"/>
        <w:rPr>
          <w:rFonts w:hint="eastAsia" w:ascii="宋体" w:hAnsi="宋体" w:cs="宋体"/>
          <w:b/>
          <w:bCs/>
          <w:sz w:val="24"/>
          <w:szCs w:val="24"/>
          <w:lang w:eastAsia="zh-CN"/>
        </w:rPr>
      </w:pPr>
      <w:r>
        <w:rPr>
          <w:rFonts w:hint="eastAsia" w:ascii="宋体" w:hAnsi="宋体" w:cs="宋体"/>
          <w:b/>
          <w:bCs/>
          <w:sz w:val="24"/>
          <w:szCs w:val="24"/>
          <w:lang w:eastAsia="zh-CN"/>
        </w:rPr>
        <w:t>3、该表可扩展。商务条款不允许负偏离；</w:t>
      </w:r>
    </w:p>
    <w:p>
      <w:pPr>
        <w:adjustRightInd w:val="0"/>
        <w:snapToGrid w:val="0"/>
        <w:spacing w:line="480" w:lineRule="auto"/>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供应商（单位名称及公章）：</w:t>
      </w:r>
    </w:p>
    <w:p>
      <w:pPr>
        <w:adjustRightInd w:val="0"/>
        <w:snapToGrid w:val="0"/>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法定代表人或被授权人（签字或盖章）：</w:t>
      </w:r>
    </w:p>
    <w:p>
      <w:pPr>
        <w:adjustRightInd w:val="0"/>
        <w:snapToGrid w:val="0"/>
        <w:spacing w:line="480" w:lineRule="auto"/>
        <w:rPr>
          <w:rFonts w:ascii="宋体" w:hAnsi="宋体"/>
          <w:color w:val="000000" w:themeColor="text1"/>
          <w:sz w:val="24"/>
          <w:szCs w:val="24"/>
          <w14:textFill>
            <w14:solidFill>
              <w14:schemeClr w14:val="tx1"/>
            </w14:solidFill>
          </w14:textFill>
        </w:rPr>
        <w:sectPr>
          <w:headerReference r:id="rId9" w:type="default"/>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cs="宋体"/>
          <w:color w:val="000000" w:themeColor="text1"/>
          <w:sz w:val="24"/>
          <w:szCs w:val="24"/>
          <w14:textFill>
            <w14:solidFill>
              <w14:schemeClr w14:val="tx1"/>
            </w14:solidFill>
          </w14:textFill>
        </w:rPr>
        <w:t>日    期：</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jc w:val="left"/>
        <w:rPr>
          <w:rFonts w:ascii="宋体" w:hAnsi="宋体" w:cs="宋体"/>
          <w:b w:val="0"/>
          <w:bCs w:val="0"/>
          <w:sz w:val="24"/>
          <w:szCs w:val="24"/>
        </w:rPr>
      </w:pPr>
      <w:r>
        <w:rPr>
          <w:rFonts w:hint="eastAsia" w:asciiTheme="minorEastAsia" w:hAnsiTheme="minorEastAsia" w:cstheme="minorEastAsia"/>
          <w:b w:val="0"/>
          <w:bCs w:val="0"/>
          <w:color w:val="000000" w:themeColor="text1"/>
          <w:sz w:val="28"/>
          <w:szCs w:val="28"/>
          <w14:textFill>
            <w14:solidFill>
              <w14:schemeClr w14:val="tx1"/>
            </w14:solidFill>
          </w14:textFill>
        </w:rPr>
        <w:t>表2、</w:t>
      </w:r>
      <w:r>
        <w:rPr>
          <w:rFonts w:hint="eastAsia" w:ascii="宋体" w:hAnsi="宋体" w:cs="宋体"/>
          <w:b w:val="0"/>
          <w:bCs w:val="0"/>
          <w:sz w:val="28"/>
          <w:szCs w:val="32"/>
          <w:lang w:eastAsia="zh-CN"/>
        </w:rPr>
        <w:t>技术响应</w:t>
      </w:r>
      <w:r>
        <w:rPr>
          <w:rFonts w:hint="eastAsia" w:ascii="宋体" w:hAnsi="宋体" w:cs="宋体"/>
          <w:b w:val="0"/>
          <w:bCs w:val="0"/>
          <w:sz w:val="28"/>
          <w:szCs w:val="32"/>
        </w:rPr>
        <w:t>偏离表</w:t>
      </w:r>
    </w:p>
    <w:tbl>
      <w:tblPr>
        <w:tblStyle w:val="35"/>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4"/>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4"/>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4"/>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80" w:firstLineChars="200"/>
              <w:jc w:val="left"/>
              <w:rPr>
                <w:rFonts w:hAnsi="宋体" w:cs="宋体"/>
                <w:sz w:val="24"/>
                <w:szCs w:val="24"/>
              </w:rPr>
            </w:pPr>
          </w:p>
        </w:tc>
        <w:tc>
          <w:tcPr>
            <w:tcW w:w="1521" w:type="dxa"/>
          </w:tcPr>
          <w:p>
            <w:pPr>
              <w:pStyle w:val="14"/>
              <w:spacing w:line="480" w:lineRule="auto"/>
              <w:ind w:firstLine="480" w:firstLineChars="200"/>
              <w:jc w:val="left"/>
              <w:rPr>
                <w:rFonts w:hAnsi="宋体" w:cs="宋体"/>
                <w:sz w:val="24"/>
                <w:szCs w:val="24"/>
              </w:rPr>
            </w:pPr>
          </w:p>
        </w:tc>
        <w:tc>
          <w:tcPr>
            <w:tcW w:w="1600" w:type="dxa"/>
            <w:vAlign w:val="center"/>
          </w:tcPr>
          <w:p>
            <w:pPr>
              <w:pStyle w:val="14"/>
              <w:spacing w:line="480" w:lineRule="auto"/>
              <w:ind w:firstLine="480" w:firstLineChars="200"/>
              <w:jc w:val="left"/>
              <w:rPr>
                <w:rFonts w:hAnsi="宋体" w:cs="宋体"/>
                <w:sz w:val="24"/>
                <w:szCs w:val="24"/>
              </w:rPr>
            </w:pPr>
          </w:p>
        </w:tc>
        <w:tc>
          <w:tcPr>
            <w:tcW w:w="1938" w:type="dxa"/>
            <w:vAlign w:val="center"/>
          </w:tcPr>
          <w:p>
            <w:pPr>
              <w:pStyle w:val="14"/>
              <w:spacing w:line="480" w:lineRule="auto"/>
              <w:ind w:firstLine="480" w:firstLineChars="200"/>
              <w:jc w:val="left"/>
              <w:rPr>
                <w:rFonts w:hAnsi="宋体" w:cs="宋体"/>
                <w:sz w:val="24"/>
                <w:szCs w:val="24"/>
              </w:rPr>
            </w:pPr>
          </w:p>
        </w:tc>
        <w:tc>
          <w:tcPr>
            <w:tcW w:w="1410" w:type="dxa"/>
            <w:vAlign w:val="center"/>
          </w:tcPr>
          <w:p>
            <w:pPr>
              <w:pStyle w:val="14"/>
              <w:spacing w:line="480" w:lineRule="auto"/>
              <w:ind w:firstLine="480" w:firstLineChars="200"/>
              <w:jc w:val="left"/>
              <w:rPr>
                <w:rFonts w:hAnsi="宋体" w:cs="宋体"/>
                <w:sz w:val="24"/>
                <w:szCs w:val="24"/>
              </w:rPr>
            </w:pPr>
          </w:p>
        </w:tc>
        <w:tc>
          <w:tcPr>
            <w:tcW w:w="1356" w:type="dxa"/>
            <w:vAlign w:val="center"/>
          </w:tcPr>
          <w:p>
            <w:pPr>
              <w:pStyle w:val="14"/>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80" w:firstLineChars="200"/>
              <w:jc w:val="left"/>
              <w:rPr>
                <w:rFonts w:hAnsi="宋体" w:cs="宋体"/>
                <w:sz w:val="24"/>
                <w:szCs w:val="24"/>
              </w:rPr>
            </w:pPr>
          </w:p>
        </w:tc>
        <w:tc>
          <w:tcPr>
            <w:tcW w:w="1521" w:type="dxa"/>
          </w:tcPr>
          <w:p>
            <w:pPr>
              <w:pStyle w:val="14"/>
              <w:spacing w:line="480" w:lineRule="auto"/>
              <w:ind w:firstLine="480" w:firstLineChars="200"/>
              <w:jc w:val="left"/>
              <w:rPr>
                <w:rFonts w:hAnsi="宋体" w:cs="宋体"/>
                <w:sz w:val="24"/>
                <w:szCs w:val="24"/>
              </w:rPr>
            </w:pPr>
          </w:p>
        </w:tc>
        <w:tc>
          <w:tcPr>
            <w:tcW w:w="1600" w:type="dxa"/>
          </w:tcPr>
          <w:p>
            <w:pPr>
              <w:pStyle w:val="14"/>
              <w:spacing w:line="480" w:lineRule="auto"/>
              <w:ind w:firstLine="480" w:firstLineChars="200"/>
              <w:jc w:val="left"/>
              <w:rPr>
                <w:rFonts w:hAnsi="宋体" w:cs="宋体"/>
                <w:sz w:val="24"/>
                <w:szCs w:val="24"/>
              </w:rPr>
            </w:pPr>
          </w:p>
        </w:tc>
        <w:tc>
          <w:tcPr>
            <w:tcW w:w="1938" w:type="dxa"/>
          </w:tcPr>
          <w:p>
            <w:pPr>
              <w:pStyle w:val="14"/>
              <w:spacing w:line="480" w:lineRule="auto"/>
              <w:ind w:firstLine="480" w:firstLineChars="200"/>
              <w:jc w:val="left"/>
              <w:rPr>
                <w:rFonts w:hAnsi="宋体" w:cs="宋体"/>
                <w:sz w:val="24"/>
                <w:szCs w:val="24"/>
              </w:rPr>
            </w:pPr>
          </w:p>
        </w:tc>
        <w:tc>
          <w:tcPr>
            <w:tcW w:w="1410" w:type="dxa"/>
          </w:tcPr>
          <w:p>
            <w:pPr>
              <w:pStyle w:val="14"/>
              <w:spacing w:line="480" w:lineRule="auto"/>
              <w:ind w:firstLine="480" w:firstLineChars="200"/>
              <w:jc w:val="left"/>
              <w:rPr>
                <w:rFonts w:hAnsi="宋体" w:cs="宋体"/>
                <w:sz w:val="24"/>
                <w:szCs w:val="24"/>
              </w:rPr>
            </w:pPr>
          </w:p>
        </w:tc>
        <w:tc>
          <w:tcPr>
            <w:tcW w:w="1356" w:type="dxa"/>
          </w:tcPr>
          <w:p>
            <w:pPr>
              <w:pStyle w:val="14"/>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80" w:firstLineChars="200"/>
              <w:jc w:val="left"/>
              <w:rPr>
                <w:rFonts w:hAnsi="宋体" w:cs="宋体"/>
                <w:sz w:val="24"/>
                <w:szCs w:val="24"/>
              </w:rPr>
            </w:pPr>
          </w:p>
        </w:tc>
        <w:tc>
          <w:tcPr>
            <w:tcW w:w="1521" w:type="dxa"/>
          </w:tcPr>
          <w:p>
            <w:pPr>
              <w:pStyle w:val="14"/>
              <w:spacing w:line="480" w:lineRule="auto"/>
              <w:ind w:firstLine="480" w:firstLineChars="200"/>
              <w:jc w:val="left"/>
              <w:rPr>
                <w:rFonts w:hAnsi="宋体" w:cs="宋体"/>
                <w:sz w:val="24"/>
                <w:szCs w:val="24"/>
              </w:rPr>
            </w:pPr>
          </w:p>
        </w:tc>
        <w:tc>
          <w:tcPr>
            <w:tcW w:w="1600" w:type="dxa"/>
          </w:tcPr>
          <w:p>
            <w:pPr>
              <w:pStyle w:val="14"/>
              <w:spacing w:line="480" w:lineRule="auto"/>
              <w:ind w:firstLine="480" w:firstLineChars="200"/>
              <w:jc w:val="left"/>
              <w:rPr>
                <w:rFonts w:hAnsi="宋体" w:cs="宋体"/>
                <w:sz w:val="24"/>
                <w:szCs w:val="24"/>
              </w:rPr>
            </w:pPr>
          </w:p>
        </w:tc>
        <w:tc>
          <w:tcPr>
            <w:tcW w:w="1938" w:type="dxa"/>
          </w:tcPr>
          <w:p>
            <w:pPr>
              <w:pStyle w:val="14"/>
              <w:spacing w:line="480" w:lineRule="auto"/>
              <w:ind w:firstLine="480" w:firstLineChars="200"/>
              <w:jc w:val="left"/>
              <w:rPr>
                <w:rFonts w:hAnsi="宋体" w:cs="宋体"/>
                <w:sz w:val="24"/>
                <w:szCs w:val="24"/>
              </w:rPr>
            </w:pPr>
          </w:p>
        </w:tc>
        <w:tc>
          <w:tcPr>
            <w:tcW w:w="1410" w:type="dxa"/>
          </w:tcPr>
          <w:p>
            <w:pPr>
              <w:pStyle w:val="14"/>
              <w:spacing w:line="480" w:lineRule="auto"/>
              <w:ind w:firstLine="480" w:firstLineChars="200"/>
              <w:jc w:val="left"/>
              <w:rPr>
                <w:rFonts w:hAnsi="宋体" w:cs="宋体"/>
                <w:sz w:val="24"/>
                <w:szCs w:val="24"/>
              </w:rPr>
            </w:pPr>
          </w:p>
        </w:tc>
        <w:tc>
          <w:tcPr>
            <w:tcW w:w="1356" w:type="dxa"/>
          </w:tcPr>
          <w:p>
            <w:pPr>
              <w:pStyle w:val="14"/>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80" w:firstLineChars="200"/>
              <w:jc w:val="left"/>
              <w:rPr>
                <w:rFonts w:hAnsi="宋体" w:cs="宋体"/>
                <w:sz w:val="24"/>
                <w:szCs w:val="24"/>
              </w:rPr>
            </w:pPr>
          </w:p>
        </w:tc>
        <w:tc>
          <w:tcPr>
            <w:tcW w:w="1521" w:type="dxa"/>
          </w:tcPr>
          <w:p>
            <w:pPr>
              <w:pStyle w:val="14"/>
              <w:spacing w:line="480" w:lineRule="auto"/>
              <w:ind w:firstLine="480" w:firstLineChars="200"/>
              <w:jc w:val="left"/>
              <w:rPr>
                <w:rFonts w:hAnsi="宋体" w:cs="宋体"/>
                <w:sz w:val="24"/>
                <w:szCs w:val="24"/>
              </w:rPr>
            </w:pPr>
          </w:p>
        </w:tc>
        <w:tc>
          <w:tcPr>
            <w:tcW w:w="1600" w:type="dxa"/>
          </w:tcPr>
          <w:p>
            <w:pPr>
              <w:pStyle w:val="14"/>
              <w:spacing w:line="480" w:lineRule="auto"/>
              <w:ind w:firstLine="480" w:firstLineChars="200"/>
              <w:jc w:val="left"/>
              <w:rPr>
                <w:rFonts w:hAnsi="宋体" w:cs="宋体"/>
                <w:sz w:val="24"/>
                <w:szCs w:val="24"/>
              </w:rPr>
            </w:pPr>
          </w:p>
        </w:tc>
        <w:tc>
          <w:tcPr>
            <w:tcW w:w="1938" w:type="dxa"/>
          </w:tcPr>
          <w:p>
            <w:pPr>
              <w:pStyle w:val="14"/>
              <w:spacing w:line="480" w:lineRule="auto"/>
              <w:ind w:firstLine="480" w:firstLineChars="200"/>
              <w:jc w:val="left"/>
              <w:rPr>
                <w:rFonts w:hAnsi="宋体" w:cs="宋体"/>
                <w:sz w:val="24"/>
                <w:szCs w:val="24"/>
              </w:rPr>
            </w:pPr>
          </w:p>
        </w:tc>
        <w:tc>
          <w:tcPr>
            <w:tcW w:w="1410" w:type="dxa"/>
          </w:tcPr>
          <w:p>
            <w:pPr>
              <w:pStyle w:val="14"/>
              <w:spacing w:line="480" w:lineRule="auto"/>
              <w:ind w:firstLine="480" w:firstLineChars="200"/>
              <w:jc w:val="left"/>
              <w:rPr>
                <w:rFonts w:hAnsi="宋体" w:cs="宋体"/>
                <w:sz w:val="24"/>
                <w:szCs w:val="24"/>
              </w:rPr>
            </w:pPr>
          </w:p>
        </w:tc>
        <w:tc>
          <w:tcPr>
            <w:tcW w:w="1356" w:type="dxa"/>
          </w:tcPr>
          <w:p>
            <w:pPr>
              <w:pStyle w:val="14"/>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80" w:firstLineChars="200"/>
              <w:jc w:val="left"/>
              <w:rPr>
                <w:rFonts w:hAnsi="宋体" w:cs="宋体"/>
                <w:sz w:val="24"/>
                <w:szCs w:val="24"/>
              </w:rPr>
            </w:pPr>
          </w:p>
        </w:tc>
        <w:tc>
          <w:tcPr>
            <w:tcW w:w="1521" w:type="dxa"/>
          </w:tcPr>
          <w:p>
            <w:pPr>
              <w:pStyle w:val="14"/>
              <w:spacing w:line="480" w:lineRule="auto"/>
              <w:ind w:firstLine="480" w:firstLineChars="200"/>
              <w:jc w:val="left"/>
              <w:rPr>
                <w:rFonts w:hAnsi="宋体" w:cs="宋体"/>
                <w:sz w:val="24"/>
                <w:szCs w:val="24"/>
              </w:rPr>
            </w:pPr>
          </w:p>
        </w:tc>
        <w:tc>
          <w:tcPr>
            <w:tcW w:w="1600" w:type="dxa"/>
          </w:tcPr>
          <w:p>
            <w:pPr>
              <w:pStyle w:val="14"/>
              <w:spacing w:line="480" w:lineRule="auto"/>
              <w:ind w:firstLine="480" w:firstLineChars="200"/>
              <w:jc w:val="left"/>
              <w:rPr>
                <w:rFonts w:hAnsi="宋体" w:cs="宋体"/>
                <w:sz w:val="24"/>
                <w:szCs w:val="24"/>
              </w:rPr>
            </w:pPr>
          </w:p>
        </w:tc>
        <w:tc>
          <w:tcPr>
            <w:tcW w:w="1938" w:type="dxa"/>
          </w:tcPr>
          <w:p>
            <w:pPr>
              <w:pStyle w:val="14"/>
              <w:spacing w:line="480" w:lineRule="auto"/>
              <w:ind w:firstLine="480" w:firstLineChars="200"/>
              <w:jc w:val="left"/>
              <w:rPr>
                <w:rFonts w:hAnsi="宋体" w:cs="宋体"/>
                <w:sz w:val="24"/>
                <w:szCs w:val="24"/>
              </w:rPr>
            </w:pPr>
          </w:p>
        </w:tc>
        <w:tc>
          <w:tcPr>
            <w:tcW w:w="1410" w:type="dxa"/>
          </w:tcPr>
          <w:p>
            <w:pPr>
              <w:pStyle w:val="14"/>
              <w:spacing w:line="480" w:lineRule="auto"/>
              <w:ind w:firstLine="480" w:firstLineChars="200"/>
              <w:jc w:val="left"/>
              <w:rPr>
                <w:rFonts w:hAnsi="宋体" w:cs="宋体"/>
                <w:sz w:val="24"/>
                <w:szCs w:val="24"/>
              </w:rPr>
            </w:pPr>
          </w:p>
        </w:tc>
        <w:tc>
          <w:tcPr>
            <w:tcW w:w="1356" w:type="dxa"/>
          </w:tcPr>
          <w:p>
            <w:pPr>
              <w:pStyle w:val="14"/>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80" w:firstLineChars="200"/>
              <w:jc w:val="left"/>
              <w:rPr>
                <w:rFonts w:hAnsi="宋体" w:cs="宋体"/>
                <w:sz w:val="24"/>
                <w:szCs w:val="24"/>
              </w:rPr>
            </w:pPr>
          </w:p>
        </w:tc>
        <w:tc>
          <w:tcPr>
            <w:tcW w:w="1521" w:type="dxa"/>
          </w:tcPr>
          <w:p>
            <w:pPr>
              <w:pStyle w:val="14"/>
              <w:spacing w:line="480" w:lineRule="auto"/>
              <w:ind w:firstLine="480" w:firstLineChars="200"/>
              <w:jc w:val="left"/>
              <w:rPr>
                <w:rFonts w:hAnsi="宋体" w:cs="宋体"/>
                <w:sz w:val="24"/>
                <w:szCs w:val="24"/>
              </w:rPr>
            </w:pPr>
          </w:p>
        </w:tc>
        <w:tc>
          <w:tcPr>
            <w:tcW w:w="1600" w:type="dxa"/>
          </w:tcPr>
          <w:p>
            <w:pPr>
              <w:pStyle w:val="14"/>
              <w:spacing w:line="480" w:lineRule="auto"/>
              <w:ind w:firstLine="480" w:firstLineChars="200"/>
              <w:jc w:val="left"/>
              <w:rPr>
                <w:rFonts w:hAnsi="宋体" w:cs="宋体"/>
                <w:sz w:val="24"/>
                <w:szCs w:val="24"/>
              </w:rPr>
            </w:pPr>
          </w:p>
        </w:tc>
        <w:tc>
          <w:tcPr>
            <w:tcW w:w="1938" w:type="dxa"/>
          </w:tcPr>
          <w:p>
            <w:pPr>
              <w:pStyle w:val="14"/>
              <w:spacing w:line="480" w:lineRule="auto"/>
              <w:ind w:firstLine="480" w:firstLineChars="200"/>
              <w:jc w:val="left"/>
              <w:rPr>
                <w:rFonts w:hAnsi="宋体" w:cs="宋体"/>
                <w:sz w:val="24"/>
                <w:szCs w:val="24"/>
              </w:rPr>
            </w:pPr>
          </w:p>
        </w:tc>
        <w:tc>
          <w:tcPr>
            <w:tcW w:w="1410" w:type="dxa"/>
          </w:tcPr>
          <w:p>
            <w:pPr>
              <w:pStyle w:val="14"/>
              <w:spacing w:line="480" w:lineRule="auto"/>
              <w:ind w:firstLine="480" w:firstLineChars="200"/>
              <w:jc w:val="left"/>
              <w:rPr>
                <w:rFonts w:hAnsi="宋体" w:cs="宋体"/>
                <w:sz w:val="24"/>
                <w:szCs w:val="24"/>
              </w:rPr>
            </w:pPr>
          </w:p>
        </w:tc>
        <w:tc>
          <w:tcPr>
            <w:tcW w:w="1356" w:type="dxa"/>
          </w:tcPr>
          <w:p>
            <w:pPr>
              <w:pStyle w:val="14"/>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4"/>
              <w:spacing w:line="480" w:lineRule="auto"/>
              <w:ind w:firstLine="480" w:firstLineChars="200"/>
              <w:jc w:val="left"/>
              <w:rPr>
                <w:rFonts w:hAnsi="宋体" w:cs="宋体"/>
                <w:sz w:val="24"/>
                <w:szCs w:val="24"/>
              </w:rPr>
            </w:pPr>
          </w:p>
        </w:tc>
        <w:tc>
          <w:tcPr>
            <w:tcW w:w="1521" w:type="dxa"/>
          </w:tcPr>
          <w:p>
            <w:pPr>
              <w:pStyle w:val="14"/>
              <w:spacing w:line="480" w:lineRule="auto"/>
              <w:ind w:firstLine="480" w:firstLineChars="200"/>
              <w:jc w:val="left"/>
              <w:rPr>
                <w:rFonts w:hAnsi="宋体" w:cs="宋体"/>
                <w:sz w:val="24"/>
                <w:szCs w:val="24"/>
              </w:rPr>
            </w:pPr>
          </w:p>
        </w:tc>
        <w:tc>
          <w:tcPr>
            <w:tcW w:w="1600" w:type="dxa"/>
          </w:tcPr>
          <w:p>
            <w:pPr>
              <w:pStyle w:val="14"/>
              <w:spacing w:line="480" w:lineRule="auto"/>
              <w:ind w:firstLine="480" w:firstLineChars="200"/>
              <w:jc w:val="left"/>
              <w:rPr>
                <w:rFonts w:hAnsi="宋体" w:cs="宋体"/>
                <w:sz w:val="24"/>
                <w:szCs w:val="24"/>
              </w:rPr>
            </w:pPr>
          </w:p>
        </w:tc>
        <w:tc>
          <w:tcPr>
            <w:tcW w:w="1938" w:type="dxa"/>
          </w:tcPr>
          <w:p>
            <w:pPr>
              <w:pStyle w:val="14"/>
              <w:spacing w:line="480" w:lineRule="auto"/>
              <w:ind w:firstLine="480" w:firstLineChars="200"/>
              <w:jc w:val="left"/>
              <w:rPr>
                <w:rFonts w:hAnsi="宋体" w:cs="宋体"/>
                <w:sz w:val="24"/>
                <w:szCs w:val="24"/>
              </w:rPr>
            </w:pPr>
          </w:p>
        </w:tc>
        <w:tc>
          <w:tcPr>
            <w:tcW w:w="1410" w:type="dxa"/>
          </w:tcPr>
          <w:p>
            <w:pPr>
              <w:pStyle w:val="14"/>
              <w:spacing w:line="480" w:lineRule="auto"/>
              <w:ind w:firstLine="480" w:firstLineChars="200"/>
              <w:jc w:val="left"/>
              <w:rPr>
                <w:rFonts w:hAnsi="宋体" w:cs="宋体"/>
                <w:sz w:val="24"/>
                <w:szCs w:val="24"/>
              </w:rPr>
            </w:pPr>
          </w:p>
        </w:tc>
        <w:tc>
          <w:tcPr>
            <w:tcW w:w="1356" w:type="dxa"/>
          </w:tcPr>
          <w:p>
            <w:pPr>
              <w:pStyle w:val="14"/>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4"/>
              <w:spacing w:line="480" w:lineRule="auto"/>
              <w:jc w:val="left"/>
              <w:rPr>
                <w:rFonts w:hAnsi="宋体" w:cs="宋体"/>
                <w:sz w:val="24"/>
                <w:szCs w:val="24"/>
              </w:rPr>
            </w:pPr>
          </w:p>
        </w:tc>
        <w:tc>
          <w:tcPr>
            <w:tcW w:w="1521" w:type="dxa"/>
          </w:tcPr>
          <w:p>
            <w:pPr>
              <w:pStyle w:val="14"/>
              <w:spacing w:line="480" w:lineRule="auto"/>
              <w:jc w:val="left"/>
              <w:rPr>
                <w:rFonts w:hAnsi="宋体" w:cs="宋体"/>
                <w:sz w:val="24"/>
                <w:szCs w:val="24"/>
              </w:rPr>
            </w:pPr>
          </w:p>
        </w:tc>
        <w:tc>
          <w:tcPr>
            <w:tcW w:w="1600" w:type="dxa"/>
          </w:tcPr>
          <w:p>
            <w:pPr>
              <w:pStyle w:val="14"/>
              <w:spacing w:line="480" w:lineRule="auto"/>
              <w:ind w:firstLine="480" w:firstLineChars="200"/>
              <w:jc w:val="left"/>
              <w:rPr>
                <w:rFonts w:hAnsi="宋体" w:cs="宋体"/>
                <w:sz w:val="24"/>
                <w:szCs w:val="24"/>
              </w:rPr>
            </w:pPr>
          </w:p>
        </w:tc>
        <w:tc>
          <w:tcPr>
            <w:tcW w:w="1938" w:type="dxa"/>
          </w:tcPr>
          <w:p>
            <w:pPr>
              <w:pStyle w:val="14"/>
              <w:spacing w:line="480" w:lineRule="auto"/>
              <w:ind w:firstLine="480" w:firstLineChars="200"/>
              <w:jc w:val="left"/>
              <w:rPr>
                <w:rFonts w:hAnsi="宋体" w:cs="宋体"/>
                <w:sz w:val="24"/>
                <w:szCs w:val="24"/>
              </w:rPr>
            </w:pPr>
          </w:p>
        </w:tc>
        <w:tc>
          <w:tcPr>
            <w:tcW w:w="1410" w:type="dxa"/>
          </w:tcPr>
          <w:p>
            <w:pPr>
              <w:pStyle w:val="14"/>
              <w:spacing w:line="480" w:lineRule="auto"/>
              <w:ind w:firstLine="480" w:firstLineChars="200"/>
              <w:jc w:val="left"/>
              <w:rPr>
                <w:rFonts w:hAnsi="宋体" w:cs="宋体"/>
                <w:sz w:val="24"/>
                <w:szCs w:val="24"/>
              </w:rPr>
            </w:pPr>
          </w:p>
        </w:tc>
        <w:tc>
          <w:tcPr>
            <w:tcW w:w="1356" w:type="dxa"/>
          </w:tcPr>
          <w:p>
            <w:pPr>
              <w:pStyle w:val="14"/>
              <w:spacing w:line="480" w:lineRule="auto"/>
              <w:ind w:firstLine="480" w:firstLineChars="200"/>
              <w:jc w:val="left"/>
              <w:rPr>
                <w:rFonts w:hAnsi="宋体" w:cs="宋体"/>
                <w:sz w:val="24"/>
                <w:szCs w:val="24"/>
              </w:rPr>
            </w:pPr>
          </w:p>
        </w:tc>
      </w:tr>
    </w:tbl>
    <w:p>
      <w:pPr>
        <w:pStyle w:val="13"/>
        <w:spacing w:line="360" w:lineRule="auto"/>
        <w:ind w:left="140" w:firstLine="0"/>
        <w:rPr>
          <w:rFonts w:ascii="宋体" w:hAnsi="宋体" w:cs="宋体"/>
          <w:b/>
          <w:bCs/>
          <w:sz w:val="24"/>
          <w:szCs w:val="24"/>
        </w:rPr>
      </w:pPr>
      <w:r>
        <w:rPr>
          <w:rFonts w:hint="eastAsia" w:ascii="宋体" w:hAnsi="宋体" w:cs="宋体"/>
          <w:b/>
          <w:bCs/>
          <w:sz w:val="24"/>
          <w:szCs w:val="24"/>
        </w:rPr>
        <w:t>1、本表须按“</w:t>
      </w:r>
      <w:r>
        <w:rPr>
          <w:rFonts w:hint="eastAsia" w:ascii="宋体" w:hAnsi="宋体" w:cs="宋体"/>
          <w:b/>
          <w:bCs/>
          <w:sz w:val="24"/>
          <w:szCs w:val="24"/>
          <w:lang w:eastAsia="zh-CN"/>
        </w:rPr>
        <w:t>第三章招标内容及要求</w:t>
      </w:r>
      <w:r>
        <w:rPr>
          <w:rFonts w:hint="eastAsia" w:ascii="宋体" w:hAnsi="宋体" w:cs="宋体"/>
          <w:b/>
          <w:bCs/>
          <w:sz w:val="24"/>
          <w:szCs w:val="24"/>
        </w:rPr>
        <w:t>”中所列服务要求进行比较和响应；</w:t>
      </w:r>
    </w:p>
    <w:p>
      <w:pPr>
        <w:pStyle w:val="13"/>
        <w:spacing w:line="360" w:lineRule="auto"/>
        <w:ind w:left="140" w:firstLine="0"/>
        <w:rPr>
          <w:rFonts w:ascii="宋体" w:hAnsi="宋体" w:cs="宋体"/>
          <w:sz w:val="24"/>
          <w:szCs w:val="24"/>
        </w:rPr>
      </w:pPr>
      <w:r>
        <w:rPr>
          <w:rFonts w:hint="eastAsia" w:ascii="宋体" w:hAnsi="宋体" w:cs="宋体"/>
          <w:b/>
          <w:bCs/>
          <w:sz w:val="24"/>
          <w:szCs w:val="24"/>
        </w:rPr>
        <w:t>2、该表必须按照</w:t>
      </w:r>
      <w:r>
        <w:rPr>
          <w:rFonts w:hint="eastAsia" w:ascii="宋体" w:hAnsi="宋体" w:cs="宋体"/>
          <w:b/>
          <w:bCs/>
          <w:sz w:val="24"/>
          <w:szCs w:val="24"/>
          <w:lang w:eastAsia="zh-CN"/>
        </w:rPr>
        <w:t>招标</w:t>
      </w:r>
      <w:r>
        <w:rPr>
          <w:rFonts w:hint="eastAsia" w:ascii="宋体" w:hAnsi="宋体" w:cs="宋体"/>
          <w:b/>
          <w:bCs/>
          <w:sz w:val="24"/>
          <w:szCs w:val="24"/>
        </w:rPr>
        <w:t>文件要求逐条如实填写，根据情况在“偏离情况”项填写正偏离或负偏离或无偏离，在“说明”项填写正偏离或负偏离原因。</w:t>
      </w:r>
    </w:p>
    <w:p>
      <w:pPr>
        <w:pStyle w:val="13"/>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adjustRightInd w:val="0"/>
        <w:snapToGrid w:val="0"/>
        <w:spacing w:line="480" w:lineRule="auto"/>
        <w:jc w:val="lef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480" w:lineRule="auto"/>
        <w:jc w:val="lef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法定代表人或被授权人（签字或盖章）：</w:t>
      </w:r>
    </w:p>
    <w:p>
      <w:pPr>
        <w:adjustRightInd w:val="0"/>
        <w:snapToGrid w:val="0"/>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日    期：</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日</w:t>
      </w:r>
    </w:p>
    <w:p/>
    <w:bookmarkEnd w:id="97"/>
    <w:bookmarkEnd w:id="98"/>
    <w:bookmarkEnd w:id="99"/>
    <w:bookmarkEnd w:id="100"/>
    <w:p>
      <w:pPr>
        <w:rPr>
          <w:rFonts w:asciiTheme="minorEastAsia" w:hAnsiTheme="minorEastAsia" w:eastAsiaTheme="minorEastAsia" w:cstheme="minorEastAsia"/>
          <w:color w:val="000000" w:themeColor="text1"/>
          <w:sz w:val="36"/>
          <w:szCs w:val="36"/>
          <w14:textFill>
            <w14:solidFill>
              <w14:schemeClr w14:val="tx1"/>
            </w14:solidFill>
          </w14:textFill>
        </w:rPr>
      </w:pPr>
      <w:bookmarkStart w:id="104" w:name="_Toc24830"/>
      <w:r>
        <w:rPr>
          <w:rFonts w:hint="eastAsia" w:asciiTheme="minorEastAsia" w:hAnsiTheme="minorEastAsia" w:eastAsiaTheme="minorEastAsia" w:cstheme="minorEastAsia"/>
          <w:color w:val="000000" w:themeColor="text1"/>
          <w:sz w:val="36"/>
          <w:szCs w:val="36"/>
          <w14:textFill>
            <w14:solidFill>
              <w14:schemeClr w14:val="tx1"/>
            </w14:solidFill>
          </w14:textFill>
        </w:rPr>
        <w:br w:type="page"/>
      </w:r>
    </w:p>
    <w:p>
      <w:pPr>
        <w:pStyle w:val="5"/>
        <w:spacing w:before="319" w:beforeLines="100" w:after="478" w:afterLines="150" w:line="500" w:lineRule="exact"/>
        <w:jc w:val="cente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bookmarkStart w:id="105" w:name="_Toc258"/>
      <w:bookmarkStart w:id="106" w:name="_Toc15529"/>
      <w:r>
        <w:rPr>
          <w:rFonts w:hint="eastAsia" w:asciiTheme="minorEastAsia" w:hAnsiTheme="minorEastAsia" w:eastAsiaTheme="minorEastAsia" w:cstheme="minorEastAsia"/>
          <w:color w:val="000000" w:themeColor="text1"/>
          <w:sz w:val="32"/>
          <w:szCs w:val="32"/>
          <w14:textFill>
            <w14:solidFill>
              <w14:schemeClr w14:val="tx1"/>
            </w14:solidFill>
          </w14:textFill>
        </w:rPr>
        <w:t>第</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32"/>
          <w:szCs w:val="32"/>
          <w14:textFill>
            <w14:solidFill>
              <w14:schemeClr w14:val="tx1"/>
            </w14:solidFill>
          </w14:textFill>
        </w:rPr>
        <w:t xml:space="preserve">  </w:t>
      </w:r>
      <w:bookmarkEnd w:id="104"/>
      <w:bookmarkEnd w:id="105"/>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技术与</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服务方案</w:t>
      </w:r>
      <w:bookmarkEnd w:id="106"/>
    </w:p>
    <w:p>
      <w:pPr>
        <w:rPr>
          <w:rFonts w:ascii="宋体" w:hAnsi="宋体" w:cs="宋体"/>
          <w:b/>
          <w:bCs/>
          <w:sz w:val="20"/>
          <w:szCs w:val="20"/>
        </w:rPr>
      </w:pPr>
      <w:r>
        <w:rPr>
          <w:rFonts w:hint="eastAsia" w:ascii="宋体" w:hAnsi="宋体" w:cs="宋体"/>
          <w:b/>
          <w:bCs/>
          <w:sz w:val="24"/>
          <w:szCs w:val="24"/>
        </w:rPr>
        <w:t>由供应商自行编写，无具体格式。</w:t>
      </w:r>
    </w:p>
    <w:p>
      <w:pPr>
        <w:jc w:val="both"/>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  </w:t>
      </w:r>
    </w:p>
    <w:p>
      <w:pPr>
        <w:bidi w:val="0"/>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pPr>
      <w:r>
        <w:rPr>
          <w:rFonts w:hint="eastAsia"/>
          <w:lang w:val="en-US" w:eastAsia="zh-CN"/>
        </w:rPr>
        <w:t xml:space="preserve">                      </w:t>
      </w:r>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br w:type="page"/>
      </w:r>
    </w:p>
    <w:p>
      <w:pPr>
        <w:bidi w:val="0"/>
        <w:jc w:val="center"/>
        <w:outlineLvl w:val="1"/>
        <w:rPr>
          <w:rFonts w:hint="default" w:eastAsiaTheme="minorEastAsia"/>
          <w:lang w:val="en-US" w:eastAsia="zh-CN"/>
        </w:rPr>
      </w:pPr>
      <w:bookmarkStart w:id="107" w:name="_Toc5406"/>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t>第</w:t>
      </w:r>
      <w:r>
        <w:rPr>
          <w:rFonts w:hint="eastAsia" w:asciiTheme="minorEastAsia" w:hAnsiTheme="minorEastAsia" w:cstheme="minorEastAsia"/>
          <w:color w:val="000000" w:themeColor="text1"/>
          <w:sz w:val="32"/>
          <w:szCs w:val="32"/>
          <w:lang w:val="en-US" w:eastAsia="zh-CN" w:bidi="ar-SA"/>
          <w14:textFill>
            <w14:solidFill>
              <w14:schemeClr w14:val="tx1"/>
            </w14:solidFill>
          </w14:textFill>
        </w:rPr>
        <w:t>八</w:t>
      </w:r>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t>部分  服务</w:t>
      </w:r>
      <w:bookmarkEnd w:id="107"/>
      <w:r>
        <w:rPr>
          <w:rFonts w:hint="eastAsia" w:asciiTheme="minorEastAsia" w:hAnsiTheme="minorEastAsia" w:cstheme="minorEastAsia"/>
          <w:color w:val="000000" w:themeColor="text1"/>
          <w:sz w:val="32"/>
          <w:szCs w:val="32"/>
          <w:lang w:val="en-US" w:eastAsia="zh-CN" w:bidi="ar-SA"/>
          <w14:textFill>
            <w14:solidFill>
              <w14:schemeClr w14:val="tx1"/>
            </w14:solidFill>
          </w14:textFill>
        </w:rPr>
        <w:t>承诺</w:t>
      </w:r>
    </w:p>
    <w:p>
      <w:pPr>
        <w:rPr>
          <w:rFonts w:ascii="宋体" w:hAnsi="宋体" w:cs="宋体"/>
          <w:b/>
          <w:bCs/>
          <w:sz w:val="20"/>
          <w:szCs w:val="20"/>
        </w:rPr>
      </w:pPr>
      <w:bookmarkStart w:id="108" w:name="_Toc6020"/>
      <w:bookmarkStart w:id="109" w:name="_Toc11540"/>
      <w:bookmarkStart w:id="110" w:name="_Toc24882"/>
      <w:bookmarkStart w:id="111" w:name="_Toc3034"/>
      <w:bookmarkStart w:id="112" w:name="_Toc30983"/>
      <w:bookmarkStart w:id="113" w:name="_Toc12793"/>
      <w:bookmarkStart w:id="114" w:name="_Toc11410"/>
      <w:bookmarkStart w:id="115" w:name="_Toc8494"/>
      <w:r>
        <w:rPr>
          <w:rFonts w:hint="eastAsia" w:ascii="宋体" w:hAnsi="宋体" w:cs="宋体"/>
          <w:b/>
          <w:bCs/>
          <w:sz w:val="24"/>
          <w:szCs w:val="24"/>
        </w:rPr>
        <w:t>由供应商自行编写，无具体格式。</w:t>
      </w: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5"/>
        <w:jc w:val="center"/>
        <w:rPr>
          <w:rFonts w:hint="eastAsia" w:ascii="宋体" w:hAnsi="宋体" w:eastAsia="宋体" w:cs="宋体"/>
          <w:color w:val="000000" w:themeColor="text1"/>
          <w:sz w:val="32"/>
          <w:szCs w:val="32"/>
          <w14:textFill>
            <w14:solidFill>
              <w14:schemeClr w14:val="tx1"/>
            </w14:solidFill>
          </w14:textFill>
        </w:rPr>
      </w:pPr>
      <w:bookmarkStart w:id="116" w:name="_Toc25439"/>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eastAsia="宋体" w:cs="宋体"/>
          <w:color w:val="000000" w:themeColor="text1"/>
          <w:sz w:val="32"/>
          <w:szCs w:val="32"/>
          <w:lang w:eastAsia="zh-CN"/>
          <w14:textFill>
            <w14:solidFill>
              <w14:schemeClr w14:val="tx1"/>
            </w14:solidFill>
          </w14:textFill>
        </w:rPr>
        <w:t>九部分</w:t>
      </w:r>
      <w:r>
        <w:rPr>
          <w:rFonts w:hint="eastAsia" w:ascii="宋体" w:hAnsi="宋体" w:eastAsia="宋体" w:cs="宋体"/>
          <w:color w:val="000000" w:themeColor="text1"/>
          <w:sz w:val="32"/>
          <w:szCs w:val="32"/>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供应商</w:t>
      </w:r>
      <w:r>
        <w:rPr>
          <w:rFonts w:hint="eastAsia" w:ascii="宋体" w:hAnsi="宋体" w:eastAsia="宋体" w:cs="宋体"/>
          <w:color w:val="000000" w:themeColor="text1"/>
          <w:sz w:val="32"/>
          <w:szCs w:val="32"/>
          <w14:textFill>
            <w14:solidFill>
              <w14:schemeClr w14:val="tx1"/>
            </w14:solidFill>
          </w14:textFill>
        </w:rPr>
        <w:t>业绩一览表</w:t>
      </w:r>
      <w:bookmarkEnd w:id="108"/>
      <w:bookmarkEnd w:id="109"/>
      <w:bookmarkEnd w:id="110"/>
      <w:bookmarkEnd w:id="111"/>
      <w:bookmarkEnd w:id="116"/>
    </w:p>
    <w:p>
      <w:pPr>
        <w:rPr>
          <w:rFonts w:asciiTheme="minorEastAsia" w:hAnsiTheme="minorEastAsia" w:cstheme="minorEastAsia"/>
          <w:color w:val="000000" w:themeColor="text1"/>
          <w14:textFill>
            <w14:solidFill>
              <w14:schemeClr w14:val="tx1"/>
            </w14:solidFill>
          </w14:textFill>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eastAsia="zh-CN"/>
              </w:rPr>
              <w:t>合同签订时间</w:t>
            </w:r>
          </w:p>
        </w:tc>
        <w:tc>
          <w:tcPr>
            <w:tcW w:w="1577"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tcBorders>
              <w:right w:val="single" w:color="auto" w:sz="4" w:space="0"/>
            </w:tcBorders>
            <w:vAlign w:val="center"/>
          </w:tcPr>
          <w:p>
            <w:pPr>
              <w:spacing w:line="400" w:lineRule="exact"/>
              <w:jc w:val="center"/>
              <w:rPr>
                <w:rFonts w:ascii="宋体" w:hAnsi="宋体" w:cs="宋体"/>
              </w:rPr>
            </w:pPr>
          </w:p>
        </w:tc>
        <w:tc>
          <w:tcPr>
            <w:tcW w:w="1468" w:type="dxa"/>
            <w:tcBorders>
              <w:left w:val="single" w:color="auto" w:sz="4" w:space="0"/>
            </w:tcBorders>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ascii="宋体" w:hAnsi="宋体" w:cs="宋体"/>
              </w:rPr>
            </w:pPr>
          </w:p>
        </w:tc>
        <w:tc>
          <w:tcPr>
            <w:tcW w:w="1602" w:type="dxa"/>
            <w:tcBorders>
              <w:left w:val="single" w:color="auto" w:sz="4" w:space="0"/>
              <w:right w:val="single" w:color="auto" w:sz="4" w:space="0"/>
            </w:tcBorders>
            <w:vAlign w:val="center"/>
          </w:tcPr>
          <w:p>
            <w:pPr>
              <w:spacing w:line="400" w:lineRule="exact"/>
              <w:rPr>
                <w:rFonts w:ascii="宋体" w:hAnsi="宋体" w:cs="宋体"/>
              </w:rPr>
            </w:pPr>
          </w:p>
        </w:tc>
        <w:tc>
          <w:tcPr>
            <w:tcW w:w="1468" w:type="dxa"/>
            <w:tcBorders>
              <w:left w:val="single" w:color="auto" w:sz="4" w:space="0"/>
              <w:right w:val="single" w:color="auto" w:sz="4" w:space="0"/>
            </w:tcBorders>
            <w:vAlign w:val="center"/>
          </w:tcPr>
          <w:p>
            <w:pPr>
              <w:spacing w:line="400" w:lineRule="exact"/>
              <w:rPr>
                <w:rFonts w:ascii="宋体" w:hAnsi="宋体" w:cs="宋体"/>
              </w:rPr>
            </w:pPr>
          </w:p>
        </w:tc>
        <w:tc>
          <w:tcPr>
            <w:tcW w:w="1485" w:type="dxa"/>
            <w:tcBorders>
              <w:left w:val="single" w:color="auto" w:sz="4" w:space="0"/>
              <w:right w:val="single" w:color="auto" w:sz="4" w:space="0"/>
            </w:tcBorders>
            <w:vAlign w:val="center"/>
          </w:tcPr>
          <w:p>
            <w:pPr>
              <w:spacing w:line="400" w:lineRule="exact"/>
              <w:rPr>
                <w:rFonts w:ascii="宋体" w:hAnsi="宋体" w:cs="宋体"/>
              </w:rPr>
            </w:pPr>
          </w:p>
        </w:tc>
        <w:tc>
          <w:tcPr>
            <w:tcW w:w="1577" w:type="dxa"/>
            <w:tcBorders>
              <w:left w:val="single" w:color="auto" w:sz="4" w:space="0"/>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ascii="宋体" w:hAnsi="宋体" w:cs="宋体"/>
              </w:rPr>
            </w:pPr>
          </w:p>
        </w:tc>
        <w:tc>
          <w:tcPr>
            <w:tcW w:w="1602" w:type="dxa"/>
            <w:vAlign w:val="center"/>
          </w:tcPr>
          <w:p>
            <w:pPr>
              <w:spacing w:line="400" w:lineRule="exact"/>
              <w:rPr>
                <w:rFonts w:ascii="宋体" w:hAnsi="宋体" w:cs="宋体"/>
              </w:rPr>
            </w:pPr>
          </w:p>
        </w:tc>
        <w:tc>
          <w:tcPr>
            <w:tcW w:w="1468" w:type="dxa"/>
            <w:vAlign w:val="center"/>
          </w:tcPr>
          <w:p>
            <w:pPr>
              <w:spacing w:line="400" w:lineRule="exact"/>
              <w:rPr>
                <w:rFonts w:ascii="宋体" w:hAnsi="宋体" w:cs="宋体"/>
              </w:rPr>
            </w:pPr>
          </w:p>
        </w:tc>
        <w:tc>
          <w:tcPr>
            <w:tcW w:w="1485" w:type="dxa"/>
            <w:vAlign w:val="center"/>
          </w:tcPr>
          <w:p>
            <w:pPr>
              <w:spacing w:line="400" w:lineRule="exact"/>
              <w:rPr>
                <w:rFonts w:ascii="宋体" w:hAnsi="宋体" w:cs="宋体"/>
              </w:rPr>
            </w:pPr>
          </w:p>
        </w:tc>
        <w:tc>
          <w:tcPr>
            <w:tcW w:w="1577" w:type="dxa"/>
            <w:tcBorders>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ascii="宋体" w:hAnsi="宋体" w:cs="宋体"/>
              </w:rPr>
            </w:pPr>
          </w:p>
        </w:tc>
        <w:tc>
          <w:tcPr>
            <w:tcW w:w="1602" w:type="dxa"/>
            <w:tcBorders>
              <w:bottom w:val="single" w:color="auto" w:sz="4" w:space="0"/>
            </w:tcBorders>
            <w:vAlign w:val="center"/>
          </w:tcPr>
          <w:p>
            <w:pPr>
              <w:spacing w:line="400" w:lineRule="exact"/>
              <w:jc w:val="center"/>
              <w:rPr>
                <w:rFonts w:ascii="宋体" w:hAnsi="宋体" w:cs="宋体"/>
              </w:rPr>
            </w:pPr>
          </w:p>
        </w:tc>
        <w:tc>
          <w:tcPr>
            <w:tcW w:w="1468" w:type="dxa"/>
            <w:tcBorders>
              <w:bottom w:val="single" w:color="auto" w:sz="4" w:space="0"/>
            </w:tcBorders>
            <w:vAlign w:val="center"/>
          </w:tcPr>
          <w:p>
            <w:pPr>
              <w:spacing w:line="400" w:lineRule="exact"/>
              <w:jc w:val="center"/>
              <w:rPr>
                <w:rFonts w:ascii="宋体" w:hAnsi="宋体" w:cs="宋体"/>
              </w:rPr>
            </w:pPr>
          </w:p>
        </w:tc>
        <w:tc>
          <w:tcPr>
            <w:tcW w:w="1485" w:type="dxa"/>
            <w:tcBorders>
              <w:bottom w:val="single" w:color="auto" w:sz="4" w:space="0"/>
            </w:tcBorders>
            <w:vAlign w:val="center"/>
          </w:tcPr>
          <w:p>
            <w:pPr>
              <w:spacing w:line="400" w:lineRule="exact"/>
              <w:jc w:val="center"/>
              <w:rPr>
                <w:rFonts w:ascii="宋体" w:hAnsi="宋体" w:cs="宋体"/>
              </w:rPr>
            </w:pPr>
          </w:p>
        </w:tc>
        <w:tc>
          <w:tcPr>
            <w:tcW w:w="1577"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ind w:left="360"/>
        <w:jc w:val="left"/>
        <w:rPr>
          <w:rFonts w:hint="eastAsia" w:asciiTheme="minorEastAsia" w:hAnsiTheme="minorEastAsia" w:cstheme="minorEastAsia"/>
          <w:color w:val="000000" w:themeColor="text1"/>
          <w:sz w:val="24"/>
          <w:szCs w:val="24"/>
          <w14:textFill>
            <w14:solidFill>
              <w14:schemeClr w14:val="tx1"/>
            </w14:solidFill>
          </w14:textFill>
        </w:rPr>
      </w:pPr>
    </w:p>
    <w:p>
      <w:pPr>
        <w:spacing w:line="360" w:lineRule="auto"/>
        <w:jc w:val="left"/>
        <w:rPr>
          <w:rFonts w:ascii="宋体" w:hAnsi="宋体" w:cs="宋体"/>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注：</w:t>
      </w:r>
      <w:r>
        <w:rPr>
          <w:rFonts w:hint="eastAsia" w:ascii="宋体" w:hAnsi="宋体" w:cs="宋体"/>
          <w:sz w:val="24"/>
          <w:szCs w:val="24"/>
        </w:rPr>
        <w:t>后附合同复印件</w:t>
      </w:r>
    </w:p>
    <w:p>
      <w:pPr>
        <w:spacing w:line="360" w:lineRule="auto"/>
        <w:jc w:val="left"/>
        <w:rPr>
          <w:rFonts w:asciiTheme="minorEastAsia" w:hAnsiTheme="minorEastAsia" w:cstheme="minorEastAsia"/>
          <w:color w:val="000000" w:themeColor="text1"/>
          <w:sz w:val="24"/>
          <w:szCs w:val="24"/>
          <w14:textFill>
            <w14:solidFill>
              <w14:schemeClr w14:val="tx1"/>
            </w14:solidFill>
          </w14:textFill>
        </w:rPr>
      </w:pPr>
    </w:p>
    <w:p>
      <w:pPr>
        <w:adjustRightInd w:val="0"/>
        <w:spacing w:line="600" w:lineRule="auto"/>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供应商名称：</w:t>
      </w:r>
      <w:r>
        <w:rPr>
          <w:rFonts w:hint="eastAsia" w:asciiTheme="minorEastAsia" w:hAnsiTheme="minorEastAsia" w:cstheme="minorEastAsia"/>
          <w:bCs/>
          <w:color w:val="000000" w:themeColor="text1"/>
          <w:sz w:val="24"/>
          <w:szCs w:val="24"/>
          <w:u w:val="single"/>
          <w14:textFill>
            <w14:solidFill>
              <w14:schemeClr w14:val="tx1"/>
            </w14:solidFill>
          </w14:textFill>
        </w:rPr>
        <w:t xml:space="preserve">              （全称及公章）</w:t>
      </w:r>
    </w:p>
    <w:p>
      <w:pPr>
        <w:adjustRightInd w:val="0"/>
        <w:snapToGrid w:val="0"/>
        <w:spacing w:line="60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法定代表人或被授权人（签字或盖章）：</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bCs/>
          <w:color w:val="000000" w:themeColor="text1"/>
          <w:sz w:val="24"/>
          <w:szCs w:val="24"/>
          <w14:textFill>
            <w14:solidFill>
              <w14:schemeClr w14:val="tx1"/>
            </w14:solidFill>
          </w14:textFill>
        </w:rPr>
        <w:t xml:space="preserve">日    </w:t>
      </w:r>
      <w:r>
        <w:rPr>
          <w:rFonts w:hint="eastAsia" w:asciiTheme="minorEastAsia" w:hAnsiTheme="minorEastAsia" w:cstheme="minorEastAsia"/>
          <w:color w:val="000000" w:themeColor="text1"/>
          <w:sz w:val="24"/>
          <w:szCs w:val="24"/>
          <w14:textFill>
            <w14:solidFill>
              <w14:schemeClr w14:val="tx1"/>
            </w14:solidFill>
          </w14:textFill>
        </w:rPr>
        <w:t xml:space="preserve">期:                   </w:t>
      </w:r>
      <w:bookmarkEnd w:id="112"/>
      <w:bookmarkEnd w:id="113"/>
      <w:bookmarkEnd w:id="114"/>
      <w:bookmarkEnd w:id="115"/>
    </w:p>
    <w:p>
      <w:r>
        <w:br w:type="page"/>
      </w:r>
    </w:p>
    <w:p>
      <w:pPr>
        <w:pStyle w:val="5"/>
        <w:rPr>
          <w:rFonts w:hint="eastAsia" w:ascii="宋体" w:hAnsi="宋体" w:eastAsia="宋体" w:cs="宋体"/>
          <w:color w:val="000000" w:themeColor="text1"/>
          <w:sz w:val="32"/>
          <w:szCs w:val="32"/>
          <w14:textFill>
            <w14:solidFill>
              <w14:schemeClr w14:val="tx1"/>
            </w14:solidFill>
          </w14:textFill>
        </w:rPr>
      </w:pPr>
      <w:bookmarkStart w:id="117" w:name="_Toc22400"/>
      <w:bookmarkStart w:id="118" w:name="_Toc18413"/>
      <w:bookmarkStart w:id="119" w:name="_Toc23432"/>
      <w:bookmarkStart w:id="120" w:name="_Toc29034"/>
      <w:bookmarkStart w:id="121" w:name="_Toc9666"/>
      <w:bookmarkStart w:id="122" w:name="_Toc18894"/>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eastAsia="宋体" w:cs="宋体"/>
          <w:color w:val="000000" w:themeColor="text1"/>
          <w:sz w:val="32"/>
          <w:szCs w:val="32"/>
          <w:lang w:val="en-US" w:eastAsia="zh-CN"/>
          <w14:textFill>
            <w14:solidFill>
              <w14:schemeClr w14:val="tx1"/>
            </w14:solidFill>
          </w14:textFill>
        </w:rPr>
        <w:t>十</w:t>
      </w:r>
      <w:r>
        <w:rPr>
          <w:rFonts w:hint="eastAsia" w:ascii="宋体" w:hAnsi="宋体" w:eastAsia="宋体" w:cs="宋体"/>
          <w:color w:val="000000" w:themeColor="text1"/>
          <w:sz w:val="32"/>
          <w:szCs w:val="32"/>
          <w:lang w:eastAsia="zh-CN"/>
          <w14:textFill>
            <w14:solidFill>
              <w14:schemeClr w14:val="tx1"/>
            </w14:solidFill>
          </w14:textFill>
        </w:rPr>
        <w:t>部分</w:t>
      </w:r>
      <w:r>
        <w:rPr>
          <w:rFonts w:hint="eastAsia" w:ascii="宋体" w:hAnsi="宋体" w:eastAsia="宋体" w:cs="宋体"/>
          <w:color w:val="000000" w:themeColor="text1"/>
          <w:sz w:val="32"/>
          <w:szCs w:val="32"/>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供应商</w:t>
      </w:r>
      <w:r>
        <w:rPr>
          <w:rFonts w:hint="eastAsia" w:ascii="宋体" w:hAnsi="宋体" w:eastAsia="宋体" w:cs="宋体"/>
          <w:color w:val="000000" w:themeColor="text1"/>
          <w:sz w:val="32"/>
          <w:szCs w:val="32"/>
          <w14:textFill>
            <w14:solidFill>
              <w14:schemeClr w14:val="tx1"/>
            </w14:solidFill>
          </w14:textFill>
        </w:rPr>
        <w:t>认为有必要说明的其他问题</w:t>
      </w:r>
      <w:bookmarkEnd w:id="117"/>
      <w:bookmarkEnd w:id="118"/>
      <w:bookmarkEnd w:id="119"/>
      <w:bookmarkEnd w:id="120"/>
      <w:bookmarkEnd w:id="121"/>
      <w:bookmarkEnd w:id="122"/>
    </w:p>
    <w:p>
      <w:pPr>
        <w:rPr>
          <w:rFonts w:hint="eastAsia" w:asciiTheme="minorEastAsia" w:hAnsiTheme="minorEastAsia" w:cstheme="minorEastAsia"/>
          <w:color w:val="000000" w:themeColor="text1"/>
          <w:sz w:val="24"/>
          <w:lang w:eastAsia="zh-CN"/>
          <w14:textFill>
            <w14:solidFill>
              <w14:schemeClr w14:val="tx1"/>
            </w14:solidFill>
          </w14:textFill>
        </w:rPr>
      </w:pPr>
    </w:p>
    <w:p>
      <w:pPr>
        <w:outlineLvl w:val="9"/>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eastAsia="zh-CN"/>
          <w14:textFill>
            <w14:solidFill>
              <w14:schemeClr w14:val="tx1"/>
            </w14:solidFill>
          </w14:textFill>
        </w:rPr>
        <w:t>供应商</w:t>
      </w:r>
      <w:r>
        <w:rPr>
          <w:rFonts w:hint="eastAsia" w:asciiTheme="minorEastAsia" w:hAnsiTheme="minorEastAsia" w:cstheme="minorEastAsia"/>
          <w:color w:val="000000" w:themeColor="text1"/>
          <w:sz w:val="24"/>
          <w14:textFill>
            <w14:solidFill>
              <w14:schemeClr w14:val="tx1"/>
            </w14:solidFill>
          </w14:textFill>
        </w:rPr>
        <w:t>认为有必要提供的其他证明文件</w:t>
      </w:r>
    </w:p>
    <w:p>
      <w:pPr>
        <w:outlineLvl w:val="9"/>
      </w:pPr>
      <w:r>
        <w:br w:type="page"/>
      </w:r>
    </w:p>
    <w:p>
      <w:pPr>
        <w:adjustRightInd w:val="0"/>
        <w:spacing w:line="416" w:lineRule="atLeast"/>
        <w:jc w:val="center"/>
        <w:textAlignment w:val="baseline"/>
        <w:outlineLvl w:val="1"/>
        <w:rPr>
          <w:rFonts w:asciiTheme="minorEastAsia" w:hAnsiTheme="minorEastAsia" w:eastAsiaTheme="minorEastAsia" w:cstheme="minorEastAsia"/>
        </w:rPr>
      </w:pPr>
      <w:bookmarkStart w:id="123" w:name="_Toc20129"/>
      <w:bookmarkStart w:id="124" w:name="_Toc7273"/>
      <w:bookmarkStart w:id="125" w:name="_Toc8177"/>
      <w:bookmarkStart w:id="126" w:name="_Toc22501"/>
      <w:bookmarkStart w:id="127" w:name="_Toc9607"/>
      <w:bookmarkStart w:id="128" w:name="_Toc22866"/>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一</w:t>
      </w:r>
      <w:r>
        <w:rPr>
          <w:rFonts w:hint="eastAsia" w:asciiTheme="minorEastAsia" w:hAnsiTheme="minorEastAsia" w:eastAsiaTheme="minorEastAsia" w:cstheme="minorEastAsia"/>
        </w:rPr>
        <w:t>、中小企业</w:t>
      </w:r>
      <w:r>
        <w:rPr>
          <w:rFonts w:hint="eastAsia" w:asciiTheme="minorEastAsia" w:hAnsiTheme="minorEastAsia" w:cstheme="minorEastAsia"/>
          <w:lang w:eastAsia="zh-CN"/>
        </w:rPr>
        <w:t>声</w:t>
      </w:r>
      <w:r>
        <w:rPr>
          <w:rFonts w:hint="eastAsia" w:asciiTheme="minorEastAsia" w:hAnsiTheme="minorEastAsia" w:eastAsiaTheme="minorEastAsia" w:cstheme="minorEastAsia"/>
        </w:rPr>
        <w:t>明</w:t>
      </w:r>
      <w:bookmarkEnd w:id="123"/>
      <w:bookmarkEnd w:id="124"/>
      <w:bookmarkEnd w:id="125"/>
      <w:bookmarkEnd w:id="126"/>
      <w:bookmarkEnd w:id="127"/>
      <w:bookmarkEnd w:id="128"/>
    </w:p>
    <w:p>
      <w:pPr>
        <w:outlineLvl w:val="9"/>
        <w:rPr>
          <w:rFonts w:asciiTheme="minorEastAsia" w:hAnsiTheme="minorEastAsia" w:eastAsiaTheme="minorEastAsia" w:cstheme="minorEastAsia"/>
        </w:rPr>
      </w:pPr>
    </w:p>
    <w:p>
      <w:pPr>
        <w:spacing w:line="588" w:lineRule="exact"/>
        <w:ind w:firstLine="504" w:firstLineChars="200"/>
        <w:outlineLvl w:val="9"/>
        <w:rPr>
          <w:rFonts w:ascii="宋体" w:hAnsi="宋体"/>
          <w:color w:val="000000"/>
          <w:spacing w:val="6"/>
          <w:sz w:val="24"/>
        </w:rPr>
      </w:pPr>
      <w:bookmarkStart w:id="129" w:name="_Toc11130"/>
      <w:bookmarkStart w:id="130" w:name="_Toc11556"/>
      <w:bookmarkStart w:id="131" w:name="_Toc30503"/>
      <w:bookmarkStart w:id="132" w:name="_Toc3198"/>
      <w:bookmarkStart w:id="133" w:name="_Toc15467"/>
      <w:r>
        <w:rPr>
          <w:rFonts w:hint="eastAsia" w:ascii="宋体" w:hAnsi="宋体"/>
          <w:color w:val="000000"/>
          <w:spacing w:val="6"/>
          <w:sz w:val="24"/>
        </w:rPr>
        <w:t>根据《政府采购促进中小企业发展管理办法》（财库[2020]46号）的规定，由供应商自行声明并对真实性负责。如有虚假，将依法承担相应责任。</w:t>
      </w:r>
    </w:p>
    <w:bookmarkEnd w:id="129"/>
    <w:bookmarkEnd w:id="130"/>
    <w:bookmarkEnd w:id="131"/>
    <w:bookmarkEnd w:id="132"/>
    <w:bookmarkEnd w:id="133"/>
    <w:p>
      <w:pPr>
        <w:adjustRightInd w:val="0"/>
        <w:spacing w:line="416" w:lineRule="atLeast"/>
        <w:jc w:val="center"/>
        <w:textAlignment w:val="baseline"/>
        <w:outlineLvl w:val="9"/>
        <w:rPr>
          <w:rFonts w:ascii="宋体" w:hAnsi="宋体" w:cs="宋体"/>
        </w:rPr>
      </w:pPr>
      <w:bookmarkStart w:id="134" w:name="_Toc21466"/>
      <w:bookmarkStart w:id="135" w:name="_Toc21174"/>
      <w:bookmarkStart w:id="136" w:name="_Toc14587"/>
      <w:r>
        <w:rPr>
          <w:rFonts w:hint="eastAsia" w:ascii="宋体" w:hAnsi="宋体" w:cs="宋体"/>
        </w:rPr>
        <w:t>中小企业</w:t>
      </w:r>
      <w:r>
        <w:rPr>
          <w:rFonts w:hint="eastAsia" w:ascii="宋体" w:hAnsi="宋体" w:cs="宋体"/>
          <w:lang w:eastAsia="zh-CN"/>
        </w:rPr>
        <w:t>声</w:t>
      </w:r>
      <w:r>
        <w:rPr>
          <w:rFonts w:hint="eastAsia" w:ascii="宋体" w:hAnsi="宋体" w:cs="宋体"/>
        </w:rPr>
        <w:t>明</w:t>
      </w:r>
      <w:r>
        <w:rPr>
          <w:rFonts w:hint="eastAsia" w:ascii="宋体" w:hAnsi="宋体" w:cs="宋体"/>
          <w:lang w:eastAsia="zh-CN"/>
        </w:rPr>
        <w:t>函</w:t>
      </w:r>
      <w:r>
        <w:rPr>
          <w:rFonts w:hint="eastAsia" w:ascii="宋体" w:hAnsi="宋体" w:cs="宋体"/>
        </w:rPr>
        <w:t>（货物）</w:t>
      </w:r>
    </w:p>
    <w:p>
      <w:pPr>
        <w:spacing w:line="360" w:lineRule="auto"/>
        <w:ind w:right="140" w:firstLine="641"/>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8"/>
        <w:numPr>
          <w:ilvl w:val="0"/>
          <w:numId w:val="12"/>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8"/>
        <w:numPr>
          <w:ilvl w:val="0"/>
          <w:numId w:val="12"/>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5"/>
        <w:keepNext w:val="0"/>
        <w:keepLines w:val="0"/>
        <w:widowControl/>
        <w:shd w:val="clear" w:color="auto" w:fill="FFFFFF"/>
        <w:spacing w:before="450" w:after="300" w:line="540" w:lineRule="atLeast"/>
        <w:jc w:val="both"/>
        <w:textAlignment w:val="baseline"/>
        <w:rPr>
          <w:rFonts w:ascii="微软雅黑" w:hAnsi="微软雅黑" w:eastAsia="微软雅黑" w:cs="微软雅黑"/>
          <w:color w:val="383940"/>
          <w:sz w:val="39"/>
          <w:szCs w:val="39"/>
          <w:shd w:val="clear" w:color="auto" w:fill="FFFFFF"/>
        </w:rPr>
        <w:sectPr>
          <w:footerReference r:id="rId10" w:type="default"/>
          <w:pgSz w:w="11906" w:h="16838"/>
          <w:pgMar w:top="1440" w:right="1803" w:bottom="1440" w:left="1803" w:header="851" w:footer="992" w:gutter="0"/>
          <w:pgNumType w:fmt="decimal"/>
          <w:cols w:space="720" w:num="1"/>
          <w:docGrid w:type="lines" w:linePitch="319" w:charSpace="0"/>
        </w:sectPr>
      </w:pPr>
    </w:p>
    <w:p>
      <w:pPr>
        <w:keepNext w:val="0"/>
        <w:keepLines w:val="0"/>
        <w:widowControl/>
        <w:shd w:val="clear" w:color="auto" w:fill="FFFFFF"/>
        <w:spacing w:before="450" w:after="300" w:line="540" w:lineRule="atLeast"/>
        <w:jc w:val="center"/>
        <w:textAlignment w:val="baseline"/>
        <w:outlineLvl w:val="9"/>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30"/>
        <w:shd w:val="clear" w:color="auto" w:fill="FFFFFF"/>
        <w:rPr>
          <w:rFonts w:hint="eastAsia" w:eastAsia="宋体"/>
          <w:color w:val="000000"/>
          <w:shd w:val="clear" w:color="auto" w:fill="FFFFFF"/>
          <w:lang w:eastAsia="zh-CN"/>
        </w:rPr>
      </w:pPr>
      <w:r>
        <w:rPr>
          <w:rFonts w:hint="eastAsia"/>
          <w:color w:val="000000"/>
          <w:shd w:val="clear" w:color="auto" w:fill="FFFFFF"/>
        </w:rPr>
        <w:t>各省、自治区、直辖市人民政府，国务院各部委、各直属机构及有关单位：</w:t>
      </w:r>
    </w:p>
    <w:p>
      <w:pPr>
        <w:pStyle w:val="30"/>
        <w:shd w:val="clear" w:color="auto" w:fill="FFFFFF"/>
        <w:rPr>
          <w:rFonts w:hint="eastAsia" w:eastAsia="宋体"/>
          <w:color w:val="000000"/>
          <w:shd w:val="clear" w:color="auto" w:fill="FFFFFF"/>
          <w:lang w:eastAsia="zh-CN"/>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0"/>
        <w:shd w:val="clear" w:color="auto" w:fill="FFFFFF"/>
        <w:rPr>
          <w:rFonts w:hint="eastAsia" w:eastAsia="宋体"/>
          <w:color w:val="000000"/>
          <w:shd w:val="clear" w:color="auto" w:fill="FFFFFF"/>
          <w:lang w:eastAsia="zh-CN"/>
        </w:rPr>
      </w:pPr>
      <w:r>
        <w:rPr>
          <w:rFonts w:hint="eastAsia"/>
          <w:color w:val="000000"/>
          <w:shd w:val="clear" w:color="auto" w:fill="FFFFFF"/>
        </w:rPr>
        <w:t>　　　　　　　　　　　　　　　　　　　　　工业和信息化部　国家统计局</w:t>
      </w:r>
    </w:p>
    <w:p>
      <w:pPr>
        <w:pStyle w:val="30"/>
        <w:shd w:val="clear" w:color="auto" w:fill="FFFFFF"/>
        <w:rPr>
          <w:rFonts w:hint="eastAsia" w:eastAsia="宋体"/>
          <w:color w:val="000000"/>
          <w:shd w:val="clear" w:color="auto" w:fill="FFFFFF"/>
          <w:lang w:eastAsia="zh-CN"/>
        </w:rPr>
      </w:pPr>
      <w:r>
        <w:rPr>
          <w:rFonts w:hint="eastAsia"/>
          <w:color w:val="000000"/>
          <w:shd w:val="clear" w:color="auto" w:fill="FFFFFF"/>
        </w:rPr>
        <w:t>　　　　　　　　　　　　　　　　　　　　国家发展和改革委员会　财政部</w:t>
      </w:r>
    </w:p>
    <w:p>
      <w:pPr>
        <w:pStyle w:val="30"/>
        <w:shd w:val="clear" w:color="auto" w:fill="FFFFFF"/>
        <w:rPr>
          <w:color w:val="000000"/>
        </w:rPr>
      </w:pPr>
      <w:r>
        <w:rPr>
          <w:rFonts w:hint="eastAsia"/>
          <w:color w:val="000000"/>
          <w:shd w:val="clear" w:color="auto" w:fill="FFFFFF"/>
        </w:rPr>
        <w:t>　　　　　　　　　　　　　　　　　　　　　　　　二○一一年六月十八日</w:t>
      </w:r>
    </w:p>
    <w:p>
      <w:pPr>
        <w:pStyle w:val="30"/>
        <w:shd w:val="clear" w:color="auto" w:fill="FFFFFF"/>
        <w:rPr>
          <w:color w:val="000000"/>
        </w:rPr>
      </w:pPr>
      <w:r>
        <w:rPr>
          <w:rFonts w:hint="eastAsia"/>
          <w:color w:val="000000"/>
          <w:shd w:val="clear" w:color="auto" w:fill="FFFFFF"/>
        </w:rPr>
        <w:t> </w:t>
      </w:r>
    </w:p>
    <w:p>
      <w:pPr>
        <w:pStyle w:val="30"/>
        <w:shd w:val="clear" w:color="auto" w:fill="FFFFFF"/>
        <w:jc w:val="center"/>
        <w:rPr>
          <w:rStyle w:val="38"/>
          <w:color w:val="000000"/>
          <w:sz w:val="36"/>
          <w:szCs w:val="36"/>
          <w:shd w:val="clear" w:color="auto" w:fill="FFFFFF"/>
        </w:rPr>
      </w:pPr>
      <w:r>
        <w:rPr>
          <w:rStyle w:val="38"/>
          <w:rFonts w:hint="eastAsia"/>
          <w:color w:val="000000"/>
          <w:sz w:val="36"/>
          <w:szCs w:val="36"/>
          <w:shd w:val="clear" w:color="auto" w:fill="FFFFFF"/>
        </w:rPr>
        <w:t>中小企业划型标准规定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四、各行业划型标准为：</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五、企业类型的划分以统计部门的统计数据为依据。</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九、本规定由工业和信息化部、国家统计局会同有关部门负责解释。</w:t>
      </w:r>
    </w:p>
    <w:p>
      <w:p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adjustRightInd w:val="0"/>
        <w:spacing w:line="416" w:lineRule="atLeast"/>
        <w:jc w:val="center"/>
        <w:textAlignment w:val="baseline"/>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二</w:t>
      </w:r>
      <w:r>
        <w:rPr>
          <w:rFonts w:hint="eastAsia" w:asciiTheme="minorEastAsia" w:hAnsiTheme="minorEastAsia" w:eastAsiaTheme="minorEastAsia" w:cstheme="minorEastAsia"/>
        </w:rPr>
        <w:t>、残疾人福利性单位声明</w:t>
      </w:r>
      <w:bookmarkEnd w:id="134"/>
      <w:bookmarkEnd w:id="135"/>
      <w:bookmarkEnd w:id="136"/>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outlineLvl w:val="9"/>
        <w:rPr>
          <w:rFonts w:ascii="宋体" w:hAnsi="宋体" w:cs="宋体"/>
        </w:rPr>
      </w:pPr>
    </w:p>
    <w:p>
      <w:pPr>
        <w:adjustRightInd w:val="0"/>
        <w:spacing w:line="416" w:lineRule="atLeast"/>
        <w:jc w:val="center"/>
        <w:textAlignment w:val="baseline"/>
        <w:outlineLvl w:val="1"/>
        <w:rPr>
          <w:rFonts w:hint="eastAsia" w:asciiTheme="minorEastAsia" w:hAnsiTheme="minorEastAsia" w:eastAsiaTheme="minorEastAsia" w:cstheme="minorEastAsia"/>
        </w:rPr>
      </w:pPr>
      <w:bookmarkStart w:id="137" w:name="_Toc27385"/>
      <w:bookmarkStart w:id="138" w:name="_Toc13075"/>
      <w:bookmarkStart w:id="139" w:name="_Toc26193"/>
      <w:bookmarkStart w:id="140" w:name="_Toc2723"/>
      <w:bookmarkStart w:id="141" w:name="_Toc13817"/>
      <w:bookmarkStart w:id="142" w:name="_Toc3053"/>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三</w:t>
      </w:r>
      <w:r>
        <w:rPr>
          <w:rFonts w:hint="eastAsia" w:asciiTheme="minorEastAsia" w:hAnsiTheme="minorEastAsia" w:eastAsiaTheme="minorEastAsia" w:cstheme="minorEastAsia"/>
        </w:rPr>
        <w:t>、监狱企业证明文件</w:t>
      </w:r>
      <w:bookmarkEnd w:id="137"/>
      <w:bookmarkEnd w:id="138"/>
      <w:bookmarkEnd w:id="139"/>
      <w:bookmarkEnd w:id="140"/>
      <w:bookmarkEnd w:id="141"/>
      <w:bookmarkEnd w:id="142"/>
    </w:p>
    <w:p>
      <w:pPr>
        <w:outlineLvl w:val="9"/>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outlineLvl w:val="9"/>
        <w:rPr>
          <w:rFonts w:hint="eastAsia" w:ascii="宋体" w:hAnsi="宋体" w:cs="宋体"/>
        </w:rPr>
      </w:pPr>
      <w:bookmarkStart w:id="143" w:name="_Toc13122"/>
      <w:bookmarkStart w:id="144" w:name="_Toc19198"/>
      <w:bookmarkStart w:id="145" w:name="_Toc3267"/>
      <w:bookmarkStart w:id="146" w:name="_Toc13539"/>
      <w:bookmarkStart w:id="147" w:name="_Toc13303"/>
      <w:bookmarkStart w:id="148" w:name="_Toc2126"/>
      <w:bookmarkStart w:id="149" w:name="_Toc563"/>
      <w:bookmarkStart w:id="150" w:name="_Toc11969"/>
    </w:p>
    <w:p>
      <w:pPr>
        <w:jc w:val="center"/>
        <w:outlineLvl w:val="9"/>
        <w:rPr>
          <w:rFonts w:ascii="宋体" w:hAnsi="宋体" w:cs="宋体"/>
        </w:rPr>
      </w:pPr>
      <w:r>
        <w:rPr>
          <w:rFonts w:hint="eastAsia" w:ascii="宋体" w:hAnsi="宋体" w:cs="宋体"/>
        </w:rPr>
        <w:t>附件</w:t>
      </w:r>
      <w:r>
        <w:rPr>
          <w:rFonts w:hint="eastAsia" w:ascii="宋体" w:hAnsi="宋体" w:cs="宋体"/>
          <w:lang w:val="en-US" w:eastAsia="zh-CN"/>
        </w:rPr>
        <w:t>四</w:t>
      </w:r>
      <w:r>
        <w:rPr>
          <w:rFonts w:hint="eastAsia" w:ascii="宋体" w:hAnsi="宋体" w:cs="宋体"/>
        </w:rPr>
        <w:t>、“节能产品”，“环境标志产品”证明材料</w:t>
      </w:r>
      <w:bookmarkEnd w:id="143"/>
      <w:bookmarkEnd w:id="144"/>
      <w:bookmarkEnd w:id="145"/>
      <w:bookmarkEnd w:id="146"/>
      <w:bookmarkEnd w:id="147"/>
      <w:bookmarkEnd w:id="148"/>
      <w:bookmarkEnd w:id="149"/>
      <w:bookmarkEnd w:id="150"/>
    </w:p>
    <w:p>
      <w:pPr>
        <w:outlineLvl w:val="9"/>
        <w:rPr>
          <w:rFonts w:hint="eastAsia" w:ascii="宋体" w:hAnsi="宋体" w:cs="宋体"/>
        </w:rPr>
      </w:pPr>
    </w:p>
    <w:p>
      <w:pPr>
        <w:outlineLvl w:val="9"/>
        <w:rPr>
          <w:rFonts w:ascii="宋体" w:hAnsi="宋体" w:cs="宋体"/>
        </w:rPr>
      </w:pPr>
      <w:r>
        <w:rPr>
          <w:rFonts w:hint="eastAsia" w:ascii="宋体" w:hAnsi="宋体" w:cs="宋体"/>
        </w:rPr>
        <w:t>1、供应商提供的产品属于“节能产品”，“环境标志产品”，应提供产品列入“节能产品”，“环境标志产品”相应产品的国家确定的认证机构出具的、处于有效期内的节能产品、环境标志产品认证证书。</w:t>
      </w:r>
    </w:p>
    <w:p>
      <w:pPr>
        <w:outlineLvl w:val="9"/>
        <w:rPr>
          <w:rFonts w:ascii="宋体" w:hAnsi="宋体" w:cs="宋体"/>
        </w:rPr>
      </w:pPr>
      <w:r>
        <w:rPr>
          <w:rFonts w:hint="eastAsia" w:ascii="宋体" w:hAnsi="宋体" w:cs="宋体"/>
        </w:rPr>
        <w:t>2、未按照上述要求提供的，评审时不予以考虑。</w:t>
      </w:r>
    </w:p>
    <w:p>
      <w:pPr>
        <w:widowControl/>
        <w:spacing w:line="360" w:lineRule="auto"/>
        <w:ind w:left="480" w:leftChars="200"/>
        <w:outlineLvl w:val="9"/>
        <w:rPr>
          <w:rFonts w:ascii="宋体" w:hAnsi="宋体" w:cs="宋体"/>
          <w:sz w:val="24"/>
          <w:szCs w:val="24"/>
        </w:rPr>
      </w:pPr>
    </w:p>
    <w:p>
      <w:pPr>
        <w:widowControl/>
        <w:spacing w:line="360" w:lineRule="auto"/>
        <w:ind w:left="480" w:leftChars="200"/>
        <w:outlineLvl w:val="9"/>
        <w:rPr>
          <w:rFonts w:asciiTheme="minorEastAsia" w:hAnsiTheme="minorEastAsia" w:eastAsiaTheme="minorEastAsia" w:cstheme="minorEastAsia"/>
          <w:sz w:val="24"/>
          <w:szCs w:val="24"/>
        </w:rPr>
      </w:pPr>
    </w:p>
    <w:p>
      <w:pPr>
        <w:snapToGrid w:val="0"/>
        <w:spacing w:line="360" w:lineRule="auto"/>
        <w:ind w:firstLine="480" w:firstLineChars="200"/>
        <w:outlineLvl w:val="9"/>
        <w:rPr>
          <w:rFonts w:asciiTheme="minorEastAsia" w:hAnsiTheme="minorEastAsia" w:eastAsiaTheme="minorEastAsia" w:cstheme="minorEastAsia"/>
          <w:sz w:val="24"/>
          <w:szCs w:val="24"/>
        </w:rPr>
      </w:pPr>
    </w:p>
    <w:p>
      <w:pPr>
        <w:outlineLvl w:val="9"/>
        <w:rPr>
          <w:rFonts w:hint="eastAsia" w:asciiTheme="minorEastAsia" w:hAnsiTheme="minorEastAsia" w:eastAsiaTheme="minorEastAsia" w:cstheme="minorEastAsia"/>
        </w:rPr>
      </w:pPr>
      <w:bookmarkStart w:id="151" w:name="_Toc364"/>
      <w:bookmarkStart w:id="152" w:name="_Toc5338"/>
      <w:bookmarkStart w:id="153" w:name="_Toc11924"/>
      <w:bookmarkStart w:id="154" w:name="_Toc654"/>
      <w:bookmarkStart w:id="155" w:name="_Toc3159"/>
      <w:bookmarkStart w:id="156" w:name="_Toc4757"/>
      <w:r>
        <w:rPr>
          <w:rFonts w:hint="eastAsia" w:asciiTheme="minorEastAsia" w:hAnsiTheme="minorEastAsia" w:eastAsiaTheme="minorEastAsia" w:cstheme="minorEastAsia"/>
        </w:rPr>
        <w:br w:type="page"/>
      </w:r>
    </w:p>
    <w:bookmarkEnd w:id="151"/>
    <w:p>
      <w:pPr>
        <w:adjustRightInd w:val="0"/>
        <w:spacing w:line="416" w:lineRule="atLeast"/>
        <w:ind w:left="0" w:leftChars="0" w:firstLine="0" w:firstLineChars="0"/>
        <w:textAlignment w:val="baseline"/>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eastAsia="zh-CN"/>
        </w:rPr>
        <w:t>五</w:t>
      </w:r>
      <w:r>
        <w:rPr>
          <w:rFonts w:hint="eastAsia" w:asciiTheme="minorEastAsia" w:hAnsiTheme="minorEastAsia" w:eastAsiaTheme="minorEastAsia" w:cstheme="minorEastAsia"/>
          <w:sz w:val="22"/>
          <w:szCs w:val="22"/>
        </w:rPr>
        <w:t>、质疑函样本</w:t>
      </w:r>
    </w:p>
    <w:p>
      <w:pPr>
        <w:adjustRightInd w:val="0"/>
        <w:spacing w:line="416" w:lineRule="atLeast"/>
        <w:ind w:left="0" w:leftChars="0" w:firstLine="0" w:firstLineChars="0"/>
        <w:textAlignment w:val="baseline"/>
        <w:outlineLvl w:val="9"/>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一、质疑供应商基本信息</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质疑供应商：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地址：                          邮编：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联系人：                      联系电话：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授权代表：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联系电话：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地址：                         邮编：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二、质疑项目基本情况</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质疑项目的名称：              </w:t>
      </w:r>
      <w:r>
        <w:rPr>
          <w:rFonts w:hint="eastAsia" w:ascii="宋体" w:hAnsi="宋体" w:cs="宋体"/>
          <w:sz w:val="24"/>
          <w:szCs w:val="24"/>
        </w:rPr>
        <w:t xml:space="preserve"> 包号：  </w:t>
      </w:r>
      <w:r>
        <w:rPr>
          <w:rFonts w:hint="eastAsia" w:asciiTheme="minorEastAsia" w:hAnsiTheme="minorEastAsia" w:eastAsiaTheme="minorEastAsia" w:cstheme="minorEastAsia"/>
          <w:bCs/>
        </w:rPr>
        <w:t xml:space="preserve">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质疑项目的编号：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采购人名称：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采购文件获取日期：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三、质疑事项具体内容</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质疑事项1：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事实依据：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法律依据：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质疑事项2</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四、与质疑事项相关的质疑请求</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请求：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签字(签章)：                   公章：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日期：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质疑函制作说明：</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1.供应商提出质疑时，应提交质疑函和必要的证明材料。</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3.质疑供应商若对项目的某一分包进行质疑，质疑函中应列明具体分。</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4.质疑函的质疑事项应具体、明确，并有必要的事实依据和法律依据。</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5.质疑函的质疑请求应与质疑事项相关。</w:t>
      </w:r>
    </w:p>
    <w:p>
      <w:pPr>
        <w:outlineLvl w:val="9"/>
        <w:rPr>
          <w:rFonts w:asciiTheme="minorEastAsia" w:hAnsiTheme="minorEastAsia" w:eastAsiaTheme="minorEastAsia" w:cstheme="minorEastAsia"/>
        </w:rPr>
      </w:pPr>
      <w:r>
        <w:rPr>
          <w:rFonts w:hint="eastAsia" w:asciiTheme="minorEastAsia" w:hAnsiTheme="minorEastAsia" w:eastAsia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2"/>
    <w:bookmarkEnd w:id="153"/>
    <w:bookmarkEnd w:id="154"/>
    <w:bookmarkEnd w:id="155"/>
    <w:bookmarkEnd w:id="156"/>
    <w:p>
      <w:pPr>
        <w:outlineLvl w:val="9"/>
        <w:rPr>
          <w:rFonts w:hint="eastAsia" w:asciiTheme="minorEastAsia" w:hAnsiTheme="minorEastAsia" w:eastAsiaTheme="minorEastAsia" w:cstheme="minorEastAsia"/>
          <w:b/>
          <w:bCs/>
          <w:spacing w:val="48"/>
          <w:sz w:val="72"/>
          <w:szCs w:val="72"/>
        </w:rPr>
      </w:pPr>
      <w:r>
        <w:rPr>
          <w:rFonts w:hint="eastAsia" w:asciiTheme="minorEastAsia" w:hAnsiTheme="minorEastAsia" w:eastAsiaTheme="minorEastAsia" w:cstheme="minorEastAsia"/>
          <w:b/>
          <w:bCs/>
          <w:spacing w:val="48"/>
          <w:sz w:val="72"/>
          <w:szCs w:val="72"/>
        </w:rPr>
        <w:br w:type="page"/>
      </w:r>
    </w:p>
    <w:p>
      <w:pPr>
        <w:ind w:firstLine="816" w:firstLineChars="100"/>
        <w:jc w:val="left"/>
        <w:rPr>
          <w:rFonts w:hint="eastAsia" w:ascii="宋体" w:hAnsi="宋体" w:cs="宋体"/>
          <w:b/>
          <w:spacing w:val="48"/>
          <w:sz w:val="72"/>
          <w:szCs w:val="72"/>
        </w:rPr>
      </w:pPr>
    </w:p>
    <w:p>
      <w:pPr>
        <w:ind w:firstLine="816"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6" w:firstLineChars="100"/>
        <w:rPr>
          <w:rFonts w:ascii="宋体" w:hAnsi="宋体" w:cs="宋体"/>
          <w:b/>
          <w:spacing w:val="48"/>
          <w:sz w:val="72"/>
          <w:szCs w:val="72"/>
        </w:rPr>
      </w:pPr>
      <w:bookmarkStart w:id="157" w:name="_Toc9946"/>
      <w:r>
        <w:rPr>
          <w:rFonts w:hint="eastAsia" w:ascii="宋体" w:hAnsi="宋体" w:cs="宋体"/>
          <w:b/>
          <w:spacing w:val="48"/>
          <w:sz w:val="72"/>
          <w:szCs w:val="72"/>
        </w:rPr>
        <w:t>专业       高效</w:t>
      </w:r>
      <w:bookmarkEnd w:id="157"/>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bookmarkStart w:id="158" w:name="_Toc32384"/>
      <w:r>
        <w:rPr>
          <w:rFonts w:hint="eastAsia" w:ascii="宋体" w:hAnsi="宋体" w:cs="宋体"/>
          <w:b/>
          <w:sz w:val="30"/>
          <w:szCs w:val="30"/>
        </w:rPr>
        <w:t>企业名称：陕西卓佲项目管理有限公司</w:t>
      </w:r>
      <w:bookmarkEnd w:id="158"/>
    </w:p>
    <w:p>
      <w:pPr>
        <w:rPr>
          <w:rFonts w:ascii="宋体" w:hAnsi="宋体" w:cs="宋体"/>
          <w:b/>
          <w:sz w:val="30"/>
          <w:szCs w:val="30"/>
        </w:rPr>
      </w:pPr>
      <w:bookmarkStart w:id="159" w:name="_Toc25918"/>
      <w:r>
        <w:rPr>
          <w:rFonts w:hint="eastAsia" w:ascii="宋体" w:hAnsi="宋体" w:cs="宋体"/>
          <w:b/>
          <w:sz w:val="30"/>
          <w:szCs w:val="30"/>
        </w:rPr>
        <w:t>地址：西安市雁塔区科技路十号华奥大厦A座20层2002室</w:t>
      </w:r>
      <w:bookmarkEnd w:id="159"/>
    </w:p>
    <w:p>
      <w:pPr>
        <w:rPr>
          <w:rFonts w:ascii="宋体" w:hAnsi="宋体" w:cs="宋体"/>
          <w:b/>
          <w:sz w:val="30"/>
          <w:szCs w:val="30"/>
        </w:rPr>
      </w:pPr>
      <w:bookmarkStart w:id="160" w:name="_Toc26276"/>
      <w:r>
        <w:rPr>
          <w:rFonts w:hint="eastAsia" w:ascii="宋体" w:hAnsi="宋体" w:cs="宋体"/>
          <w:b/>
          <w:sz w:val="30"/>
          <w:szCs w:val="30"/>
        </w:rPr>
        <w:t>邮政编码：710065</w:t>
      </w:r>
      <w:bookmarkEnd w:id="160"/>
    </w:p>
    <w:p>
      <w:pPr>
        <w:rPr>
          <w:rFonts w:ascii="宋体" w:hAnsi="宋体" w:cs="宋体"/>
          <w:b/>
          <w:sz w:val="30"/>
          <w:szCs w:val="30"/>
        </w:rPr>
      </w:pPr>
      <w:bookmarkStart w:id="161" w:name="_Toc1409"/>
      <w:r>
        <w:rPr>
          <w:rFonts w:hint="eastAsia" w:ascii="宋体" w:hAnsi="宋体" w:cs="宋体"/>
          <w:b/>
          <w:sz w:val="30"/>
          <w:szCs w:val="30"/>
        </w:rPr>
        <w:t>电话：029-88440695</w:t>
      </w:r>
      <w:bookmarkEnd w:id="161"/>
    </w:p>
    <w:p>
      <w:pPr>
        <w:rPr>
          <w:rFonts w:hint="eastAsia" w:ascii="宋体" w:hAnsi="宋体" w:cs="宋体"/>
        </w:rPr>
      </w:pPr>
      <w:bookmarkStart w:id="162" w:name="_Toc13292"/>
      <w:r>
        <w:rPr>
          <w:rFonts w:hint="eastAsia" w:ascii="宋体" w:hAnsi="宋体" w:cs="宋体"/>
          <w:b/>
          <w:sz w:val="30"/>
          <w:szCs w:val="30"/>
        </w:rPr>
        <w:t>传真：029-88440695</w:t>
      </w:r>
      <w:bookmarkEnd w:id="162"/>
    </w:p>
    <w:sectPr>
      <w:headerReference r:id="rId11" w:type="default"/>
      <w:footerReference r:id="rId13" w:type="default"/>
      <w:headerReference r:id="rId12" w:type="even"/>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ascii="宋体" w:cs="宋体"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lang w:eastAsia="zh-CN"/>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0"/>
        <w:tab w:val="right" w:pos="8420"/>
        <w:tab w:val="clear" w:pos="4153"/>
      </w:tabs>
      <w:rPr>
        <w:rFonts w:ascii="宋体"/>
      </w:rPr>
    </w:pPr>
    <w:r>
      <mc:AlternateContent>
        <mc:Choice Requires="wps">
          <w:drawing>
            <wp:anchor distT="0" distB="0" distL="114300" distR="114300" simplePos="0" relativeHeight="251663360" behindDoc="0" locked="0" layoutInCell="1" allowOverlap="1">
              <wp:simplePos x="0" y="0"/>
              <wp:positionH relativeFrom="margin">
                <wp:posOffset>2216150</wp:posOffset>
              </wp:positionH>
              <wp:positionV relativeFrom="paragraph">
                <wp:posOffset>9525</wp:posOffset>
              </wp:positionV>
              <wp:extent cx="1038225" cy="139065"/>
              <wp:effectExtent l="0" t="0" r="0" b="0"/>
              <wp:wrapNone/>
              <wp:docPr id="18" name="文本框 24"/>
              <wp:cNvGraphicFramePr/>
              <a:graphic xmlns:a="http://schemas.openxmlformats.org/drawingml/2006/main">
                <a:graphicData uri="http://schemas.microsoft.com/office/word/2010/wordprocessingShape">
                  <wps:wsp>
                    <wps:cNvSpPr txBox="1"/>
                    <wps:spPr>
                      <a:xfrm>
                        <a:off x="0" y="0"/>
                        <a:ext cx="1038225" cy="139065"/>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square" lIns="0" tIns="0" rIns="0" bIns="0">
                      <a:noAutofit/>
                    </wps:bodyPr>
                  </wps:wsp>
                </a:graphicData>
              </a:graphic>
            </wp:anchor>
          </w:drawing>
        </mc:Choice>
        <mc:Fallback>
          <w:pict>
            <v:shape id="文本框 24" o:spid="_x0000_s1026" o:spt="202" type="#_x0000_t202" style="position:absolute;left:0pt;margin-left:174.5pt;margin-top:0.75pt;height:10.95pt;width:81.75pt;mso-position-horizontal-relative:margin;z-index:251663360;mso-width-relative:page;mso-height-relative:page;" filled="f" stroked="f" coordsize="21600,21600" o:gfxdata="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z8bLzYAAAACAEAAA8AAAAAAAAAAQAgAAAAIgAAAGRycy9k&#10;b3ducmV2LnhtbFBLAQIUABQAAAAIAIdO4kBgLKk/yQEAAJADAAAOAAAAAAAAAAEAIAAAACcBAABk&#10;cnMvZTJvRG9jLnhtbFBLBQYAAAAABgAGAFkBAABiBQAAAAA=&#10;">
              <v:fill on="f" focussize="0,0"/>
              <v:stroke on="f"/>
              <v:imagedata o:title=""/>
              <o:lock v:ext="edit" aspectratio="f"/>
              <v:textbox inset="0mm,0mm,0mm,0mm">
                <w:txbxContent>
                  <w:p>
                    <w:pPr>
                      <w:pStyle w:val="2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0"/>
        <w:tab w:val="right" w:pos="8420"/>
        <w:tab w:val="clear" w:pos="4153"/>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110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0"/>
        <w:tab w:val="right" w:pos="8420"/>
        <w:tab w:val="clear" w:pos="4153"/>
      </w:tabs>
      <w:rPr>
        <w:rFonts w:hint="eastAsia" w:ascii="宋体" w:hAnsi="宋体" w:cs="宋体" w:eastAsiaTheme="minor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lang w:eastAsia="zh-CN"/>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AE268"/>
    <w:multiLevelType w:val="singleLevel"/>
    <w:tmpl w:val="A8DAE268"/>
    <w:lvl w:ilvl="0" w:tentative="0">
      <w:start w:val="1"/>
      <w:numFmt w:val="decimal"/>
      <w:lvlText w:val="%1."/>
      <w:lvlJc w:val="left"/>
      <w:pPr>
        <w:tabs>
          <w:tab w:val="left" w:pos="312"/>
        </w:tabs>
      </w:pPr>
    </w:lvl>
  </w:abstractNum>
  <w:abstractNum w:abstractNumId="1">
    <w:nsid w:val="C8560D05"/>
    <w:multiLevelType w:val="singleLevel"/>
    <w:tmpl w:val="C8560D05"/>
    <w:lvl w:ilvl="0" w:tentative="0">
      <w:start w:val="2"/>
      <w:numFmt w:val="chineseCounting"/>
      <w:suff w:val="space"/>
      <w:lvlText w:val="第%1部分"/>
      <w:lvlJc w:val="left"/>
      <w:rPr>
        <w:rFonts w:hint="eastAsia"/>
      </w:rPr>
    </w:lvl>
  </w:abstractNum>
  <w:abstractNum w:abstractNumId="2">
    <w:nsid w:val="D04414D0"/>
    <w:multiLevelType w:val="singleLevel"/>
    <w:tmpl w:val="D04414D0"/>
    <w:lvl w:ilvl="0" w:tentative="0">
      <w:start w:val="1"/>
      <w:numFmt w:val="decimal"/>
      <w:lvlText w:val="%1."/>
      <w:lvlJc w:val="left"/>
      <w:pPr>
        <w:tabs>
          <w:tab w:val="left" w:pos="312"/>
        </w:tabs>
      </w:pPr>
    </w:lvl>
  </w:abstractNum>
  <w:abstractNum w:abstractNumId="3">
    <w:nsid w:val="00514425"/>
    <w:multiLevelType w:val="multilevel"/>
    <w:tmpl w:val="00514425"/>
    <w:lvl w:ilvl="0" w:tentative="0">
      <w:start w:val="1"/>
      <w:numFmt w:val="decimal"/>
      <w:lvlText w:val="%1、"/>
      <w:lvlJc w:val="left"/>
      <w:pPr>
        <w:ind w:left="360" w:hanging="360"/>
      </w:pPr>
      <w:rPr>
        <w:rFonts w:hint="default" w:ascii="宋体"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99CB8F"/>
    <w:multiLevelType w:val="singleLevel"/>
    <w:tmpl w:val="4399CB8F"/>
    <w:lvl w:ilvl="0" w:tentative="0">
      <w:start w:val="2"/>
      <w:numFmt w:val="decimal"/>
      <w:lvlText w:val="%1."/>
      <w:lvlJc w:val="left"/>
      <w:pPr>
        <w:tabs>
          <w:tab w:val="left" w:pos="312"/>
        </w:tabs>
      </w:pPr>
    </w:lvl>
  </w:abstractNum>
  <w:abstractNum w:abstractNumId="5">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6">
    <w:nsid w:val="54ED4956"/>
    <w:multiLevelType w:val="multilevel"/>
    <w:tmpl w:val="54ED4956"/>
    <w:lvl w:ilvl="0" w:tentative="0">
      <w:start w:val="1"/>
      <w:numFmt w:val="japaneseCounting"/>
      <w:lvlText w:val="%1、"/>
      <w:lvlJc w:val="left"/>
      <w:pPr>
        <w:widowControl/>
        <w:ind w:left="1202" w:hanging="720"/>
        <w:textAlignment w:val="baseline"/>
      </w:pPr>
      <w:rPr>
        <w:rStyle w:val="123"/>
      </w:rPr>
    </w:lvl>
    <w:lvl w:ilvl="1" w:tentative="0">
      <w:start w:val="1"/>
      <w:numFmt w:val="lowerLetter"/>
      <w:lvlText w:val="%1)"/>
      <w:lvlJc w:val="left"/>
      <w:pPr>
        <w:widowControl/>
        <w:ind w:left="1322" w:hanging="420"/>
        <w:textAlignment w:val="baseline"/>
      </w:pPr>
      <w:rPr>
        <w:rStyle w:val="123"/>
      </w:rPr>
    </w:lvl>
    <w:lvl w:ilvl="2" w:tentative="0">
      <w:start w:val="1"/>
      <w:numFmt w:val="lowerRoman"/>
      <w:lvlText w:val="%1."/>
      <w:lvlJc w:val="right"/>
      <w:pPr>
        <w:widowControl/>
        <w:ind w:left="1742" w:hanging="420"/>
        <w:textAlignment w:val="baseline"/>
      </w:pPr>
      <w:rPr>
        <w:rStyle w:val="123"/>
      </w:rPr>
    </w:lvl>
    <w:lvl w:ilvl="3" w:tentative="0">
      <w:start w:val="1"/>
      <w:numFmt w:val="decimal"/>
      <w:lvlText w:val="%1."/>
      <w:lvlJc w:val="left"/>
      <w:pPr>
        <w:widowControl/>
        <w:ind w:left="2162" w:hanging="420"/>
        <w:textAlignment w:val="baseline"/>
      </w:pPr>
      <w:rPr>
        <w:rStyle w:val="123"/>
      </w:rPr>
    </w:lvl>
    <w:lvl w:ilvl="4" w:tentative="0">
      <w:start w:val="1"/>
      <w:numFmt w:val="lowerLetter"/>
      <w:lvlText w:val="%1)"/>
      <w:lvlJc w:val="left"/>
      <w:pPr>
        <w:widowControl/>
        <w:ind w:left="2582" w:hanging="420"/>
        <w:textAlignment w:val="baseline"/>
      </w:pPr>
      <w:rPr>
        <w:rStyle w:val="123"/>
      </w:rPr>
    </w:lvl>
    <w:lvl w:ilvl="5" w:tentative="0">
      <w:start w:val="1"/>
      <w:numFmt w:val="lowerRoman"/>
      <w:lvlText w:val="%1."/>
      <w:lvlJc w:val="right"/>
      <w:pPr>
        <w:widowControl/>
        <w:ind w:left="3002" w:hanging="420"/>
        <w:textAlignment w:val="baseline"/>
      </w:pPr>
      <w:rPr>
        <w:rStyle w:val="123"/>
      </w:rPr>
    </w:lvl>
    <w:lvl w:ilvl="6" w:tentative="0">
      <w:start w:val="1"/>
      <w:numFmt w:val="decimal"/>
      <w:lvlText w:val="%1."/>
      <w:lvlJc w:val="left"/>
      <w:pPr>
        <w:widowControl/>
        <w:ind w:left="3422" w:hanging="420"/>
        <w:textAlignment w:val="baseline"/>
      </w:pPr>
      <w:rPr>
        <w:rStyle w:val="123"/>
      </w:rPr>
    </w:lvl>
    <w:lvl w:ilvl="7" w:tentative="0">
      <w:start w:val="1"/>
      <w:numFmt w:val="lowerLetter"/>
      <w:lvlText w:val="%1)"/>
      <w:lvlJc w:val="left"/>
      <w:pPr>
        <w:widowControl/>
        <w:ind w:left="3842" w:hanging="420"/>
        <w:textAlignment w:val="baseline"/>
      </w:pPr>
      <w:rPr>
        <w:rStyle w:val="123"/>
      </w:rPr>
    </w:lvl>
    <w:lvl w:ilvl="8" w:tentative="0">
      <w:start w:val="1"/>
      <w:numFmt w:val="lowerRoman"/>
      <w:lvlText w:val="%1."/>
      <w:lvlJc w:val="right"/>
      <w:pPr>
        <w:widowControl/>
        <w:ind w:left="4262" w:hanging="420"/>
        <w:textAlignment w:val="baseline"/>
      </w:pPr>
      <w:rPr>
        <w:rStyle w:val="123"/>
      </w:rPr>
    </w:lvl>
  </w:abstractNum>
  <w:abstractNum w:abstractNumId="7">
    <w:nsid w:val="588362EB"/>
    <w:multiLevelType w:val="multilevel"/>
    <w:tmpl w:val="588362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04094DA"/>
    <w:multiLevelType w:val="singleLevel"/>
    <w:tmpl w:val="604094DA"/>
    <w:lvl w:ilvl="0" w:tentative="0">
      <w:start w:val="1"/>
      <w:numFmt w:val="decimal"/>
      <w:suff w:val="space"/>
      <w:lvlText w:val="%1."/>
      <w:lvlJc w:val="left"/>
    </w:lvl>
  </w:abstractNum>
  <w:abstractNum w:abstractNumId="9">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10">
    <w:nsid w:val="705E04FB"/>
    <w:multiLevelType w:val="multilevel"/>
    <w:tmpl w:val="705E04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24921E7"/>
    <w:multiLevelType w:val="multilevel"/>
    <w:tmpl w:val="724921E7"/>
    <w:lvl w:ilvl="0" w:tentative="0">
      <w:start w:val="1"/>
      <w:numFmt w:val="decimal"/>
      <w:lvlText w:val="%1、"/>
      <w:lvlJc w:val="left"/>
      <w:pPr>
        <w:ind w:left="360" w:hanging="360"/>
      </w:pPr>
      <w:rPr>
        <w:rFonts w:hint="default" w:ascii="宋体"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3"/>
  </w:num>
  <w:num w:numId="3">
    <w:abstractNumId w:val="7"/>
  </w:num>
  <w:num w:numId="4">
    <w:abstractNumId w:val="0"/>
  </w:num>
  <w:num w:numId="5">
    <w:abstractNumId w:val="2"/>
  </w:num>
  <w:num w:numId="6">
    <w:abstractNumId w:val="10"/>
  </w:num>
  <w:num w:numId="7">
    <w:abstractNumId w:val="11"/>
  </w:num>
  <w:num w:numId="8">
    <w:abstractNumId w:val="4"/>
  </w:num>
  <w:num w:numId="9">
    <w:abstractNumId w:val="6"/>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hNWJmZWU3ZmQ1Nzc1YTZkNWJlMTk0YzgzOTY4NDE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775F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B373CC"/>
    <w:rsid w:val="02A058B1"/>
    <w:rsid w:val="037A4244"/>
    <w:rsid w:val="04EE2B86"/>
    <w:rsid w:val="06DA4BFF"/>
    <w:rsid w:val="079B25E0"/>
    <w:rsid w:val="07FC7F20"/>
    <w:rsid w:val="08346591"/>
    <w:rsid w:val="08561BE0"/>
    <w:rsid w:val="086134DE"/>
    <w:rsid w:val="090D12BC"/>
    <w:rsid w:val="0A837BAB"/>
    <w:rsid w:val="0B5847B0"/>
    <w:rsid w:val="0B802556"/>
    <w:rsid w:val="0BEE2623"/>
    <w:rsid w:val="0CA43CE5"/>
    <w:rsid w:val="0CD96C5B"/>
    <w:rsid w:val="0D4D168F"/>
    <w:rsid w:val="0EE43BE8"/>
    <w:rsid w:val="0F835D24"/>
    <w:rsid w:val="11053E91"/>
    <w:rsid w:val="11BE084A"/>
    <w:rsid w:val="122E14D8"/>
    <w:rsid w:val="126C1FE6"/>
    <w:rsid w:val="12BD78F2"/>
    <w:rsid w:val="131F7E9C"/>
    <w:rsid w:val="13763F01"/>
    <w:rsid w:val="13DA623E"/>
    <w:rsid w:val="15BA5427"/>
    <w:rsid w:val="164D4B16"/>
    <w:rsid w:val="16C06226"/>
    <w:rsid w:val="18BA4890"/>
    <w:rsid w:val="18D92F68"/>
    <w:rsid w:val="19137AFC"/>
    <w:rsid w:val="196C7450"/>
    <w:rsid w:val="1A584361"/>
    <w:rsid w:val="1AD4799A"/>
    <w:rsid w:val="1ADA0249"/>
    <w:rsid w:val="1B1A7868"/>
    <w:rsid w:val="1B2C7D91"/>
    <w:rsid w:val="1BF63E31"/>
    <w:rsid w:val="1C4B249E"/>
    <w:rsid w:val="1C6963B1"/>
    <w:rsid w:val="1D835834"/>
    <w:rsid w:val="1E3B1447"/>
    <w:rsid w:val="1E47661F"/>
    <w:rsid w:val="1E7159F1"/>
    <w:rsid w:val="1F116CBE"/>
    <w:rsid w:val="1F321241"/>
    <w:rsid w:val="1F4924CA"/>
    <w:rsid w:val="1FE52A42"/>
    <w:rsid w:val="20F84C73"/>
    <w:rsid w:val="234D7EF6"/>
    <w:rsid w:val="23627FFE"/>
    <w:rsid w:val="24673642"/>
    <w:rsid w:val="24812F07"/>
    <w:rsid w:val="252512E3"/>
    <w:rsid w:val="25FD402B"/>
    <w:rsid w:val="2658362A"/>
    <w:rsid w:val="2665408D"/>
    <w:rsid w:val="26A5092E"/>
    <w:rsid w:val="26F176CF"/>
    <w:rsid w:val="274F0899"/>
    <w:rsid w:val="278C389C"/>
    <w:rsid w:val="27A92F3E"/>
    <w:rsid w:val="27B74703"/>
    <w:rsid w:val="280F63FC"/>
    <w:rsid w:val="28681C13"/>
    <w:rsid w:val="290318C7"/>
    <w:rsid w:val="2A5243F0"/>
    <w:rsid w:val="2AB56C65"/>
    <w:rsid w:val="2B413A8E"/>
    <w:rsid w:val="2CB35427"/>
    <w:rsid w:val="2CB700CA"/>
    <w:rsid w:val="2CDA6E57"/>
    <w:rsid w:val="2D2C5840"/>
    <w:rsid w:val="2D3F75C0"/>
    <w:rsid w:val="2D92328E"/>
    <w:rsid w:val="2E301AD7"/>
    <w:rsid w:val="2E6B4140"/>
    <w:rsid w:val="2EFA558F"/>
    <w:rsid w:val="30B74016"/>
    <w:rsid w:val="30E2763D"/>
    <w:rsid w:val="312D1245"/>
    <w:rsid w:val="31572633"/>
    <w:rsid w:val="317F5EB0"/>
    <w:rsid w:val="31FE7144"/>
    <w:rsid w:val="32075FF9"/>
    <w:rsid w:val="34386694"/>
    <w:rsid w:val="344572AC"/>
    <w:rsid w:val="34BC25CF"/>
    <w:rsid w:val="350B5A84"/>
    <w:rsid w:val="350E3B42"/>
    <w:rsid w:val="35B14B30"/>
    <w:rsid w:val="364E3BC9"/>
    <w:rsid w:val="36513CE6"/>
    <w:rsid w:val="377D5C98"/>
    <w:rsid w:val="37904CE2"/>
    <w:rsid w:val="37922808"/>
    <w:rsid w:val="386E7489"/>
    <w:rsid w:val="38867D66"/>
    <w:rsid w:val="39B73932"/>
    <w:rsid w:val="3A3F654C"/>
    <w:rsid w:val="3B614DE8"/>
    <w:rsid w:val="3BB317EF"/>
    <w:rsid w:val="3CEC29BB"/>
    <w:rsid w:val="3D7151BE"/>
    <w:rsid w:val="3D74650C"/>
    <w:rsid w:val="3F8A0269"/>
    <w:rsid w:val="3FB15BEC"/>
    <w:rsid w:val="40782F31"/>
    <w:rsid w:val="422724DE"/>
    <w:rsid w:val="427B34DE"/>
    <w:rsid w:val="42910921"/>
    <w:rsid w:val="436030C2"/>
    <w:rsid w:val="43AC1830"/>
    <w:rsid w:val="43B92B1D"/>
    <w:rsid w:val="43EF4B3E"/>
    <w:rsid w:val="44670713"/>
    <w:rsid w:val="45A656D1"/>
    <w:rsid w:val="45D65FB6"/>
    <w:rsid w:val="46FE497F"/>
    <w:rsid w:val="47017063"/>
    <w:rsid w:val="482C4A12"/>
    <w:rsid w:val="48937C53"/>
    <w:rsid w:val="48A71E8C"/>
    <w:rsid w:val="49886DC7"/>
    <w:rsid w:val="49A40179"/>
    <w:rsid w:val="49C777B9"/>
    <w:rsid w:val="4AA932D2"/>
    <w:rsid w:val="4B217CD3"/>
    <w:rsid w:val="4B413ED2"/>
    <w:rsid w:val="4B887635"/>
    <w:rsid w:val="4BCA036B"/>
    <w:rsid w:val="4BD96800"/>
    <w:rsid w:val="4C244391"/>
    <w:rsid w:val="4CD34FFD"/>
    <w:rsid w:val="4D5C5088"/>
    <w:rsid w:val="4DFE60AA"/>
    <w:rsid w:val="4E0A3905"/>
    <w:rsid w:val="50FD4D3F"/>
    <w:rsid w:val="51612D03"/>
    <w:rsid w:val="51DE4CD1"/>
    <w:rsid w:val="51F32C4E"/>
    <w:rsid w:val="54A6749B"/>
    <w:rsid w:val="54A74C40"/>
    <w:rsid w:val="55006BAB"/>
    <w:rsid w:val="55FE15B9"/>
    <w:rsid w:val="565F03FC"/>
    <w:rsid w:val="57603931"/>
    <w:rsid w:val="59097BB5"/>
    <w:rsid w:val="596F4300"/>
    <w:rsid w:val="5B3A26EB"/>
    <w:rsid w:val="5B8C73EB"/>
    <w:rsid w:val="5BE12E76"/>
    <w:rsid w:val="5CD54DC2"/>
    <w:rsid w:val="5D9661E5"/>
    <w:rsid w:val="5DFA6003"/>
    <w:rsid w:val="5DFD27A3"/>
    <w:rsid w:val="5E5127C4"/>
    <w:rsid w:val="5F01473D"/>
    <w:rsid w:val="5F47525B"/>
    <w:rsid w:val="602A5424"/>
    <w:rsid w:val="60CB755B"/>
    <w:rsid w:val="60E7015E"/>
    <w:rsid w:val="62614DF5"/>
    <w:rsid w:val="62625436"/>
    <w:rsid w:val="62634C1E"/>
    <w:rsid w:val="62637F5B"/>
    <w:rsid w:val="62B7218C"/>
    <w:rsid w:val="6304300D"/>
    <w:rsid w:val="634A0DD6"/>
    <w:rsid w:val="64ED149F"/>
    <w:rsid w:val="6546685C"/>
    <w:rsid w:val="65496236"/>
    <w:rsid w:val="67E43DAD"/>
    <w:rsid w:val="68324E76"/>
    <w:rsid w:val="68761884"/>
    <w:rsid w:val="687E2E93"/>
    <w:rsid w:val="68E556A9"/>
    <w:rsid w:val="69004013"/>
    <w:rsid w:val="69C16861"/>
    <w:rsid w:val="69CC12FA"/>
    <w:rsid w:val="6A8348AD"/>
    <w:rsid w:val="6B0F149F"/>
    <w:rsid w:val="6B321631"/>
    <w:rsid w:val="6B69424F"/>
    <w:rsid w:val="6BC16918"/>
    <w:rsid w:val="6C3F7B62"/>
    <w:rsid w:val="6C4E46B2"/>
    <w:rsid w:val="6C6D0B73"/>
    <w:rsid w:val="6C90660F"/>
    <w:rsid w:val="6CEE7E43"/>
    <w:rsid w:val="6D8D2B4F"/>
    <w:rsid w:val="6DCF3167"/>
    <w:rsid w:val="6FEA0B0A"/>
    <w:rsid w:val="720535FB"/>
    <w:rsid w:val="725D4F25"/>
    <w:rsid w:val="728A30F6"/>
    <w:rsid w:val="734168B5"/>
    <w:rsid w:val="746F7452"/>
    <w:rsid w:val="74B0259D"/>
    <w:rsid w:val="75ED4028"/>
    <w:rsid w:val="76103A8F"/>
    <w:rsid w:val="76283D5C"/>
    <w:rsid w:val="765E777E"/>
    <w:rsid w:val="769D3B99"/>
    <w:rsid w:val="76CF58C2"/>
    <w:rsid w:val="76ED1ED7"/>
    <w:rsid w:val="77A80CB1"/>
    <w:rsid w:val="78490D93"/>
    <w:rsid w:val="79205A39"/>
    <w:rsid w:val="7958651B"/>
    <w:rsid w:val="79F513FE"/>
    <w:rsid w:val="7A212F9C"/>
    <w:rsid w:val="7A2A6ADE"/>
    <w:rsid w:val="7B254D67"/>
    <w:rsid w:val="7C6C2355"/>
    <w:rsid w:val="7C945CA8"/>
    <w:rsid w:val="7CBC2A29"/>
    <w:rsid w:val="7E33329E"/>
    <w:rsid w:val="7E5046A0"/>
    <w:rsid w:val="7E592D37"/>
    <w:rsid w:val="7E70004F"/>
    <w:rsid w:val="7E717ADF"/>
    <w:rsid w:val="7F9D70F1"/>
    <w:rsid w:val="7F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3"/>
    <w:qFormat/>
    <w:uiPriority w:val="0"/>
    <w:rPr>
      <w:rFonts w:cs="Times New Roman" w:asciiTheme="minorHAnsi" w:hAnsiTheme="minorHAnsi" w:eastAsiaTheme="minorEastAsia"/>
      <w:sz w:val="24"/>
      <w:szCs w:val="24"/>
      <w:lang w:val="en-US" w:eastAsia="zh-CN" w:bidi="ar-SA"/>
    </w:rPr>
  </w:style>
  <w:style w:type="paragraph" w:styleId="4">
    <w:name w:val="heading 1"/>
    <w:basedOn w:val="1"/>
    <w:next w:val="1"/>
    <w:link w:val="75"/>
    <w:qFormat/>
    <w:uiPriority w:val="9"/>
    <w:pPr>
      <w:spacing w:line="360" w:lineRule="auto"/>
      <w:jc w:val="center"/>
      <w:outlineLvl w:val="0"/>
    </w:pPr>
    <w:rPr>
      <w:rFonts w:ascii="方正小标宋_GBK" w:hAnsi="仿宋" w:eastAsia="方正小标宋_GBK"/>
      <w:sz w:val="44"/>
      <w:szCs w:val="44"/>
    </w:rPr>
  </w:style>
  <w:style w:type="paragraph" w:styleId="5">
    <w:name w:val="heading 2"/>
    <w:basedOn w:val="1"/>
    <w:next w:val="1"/>
    <w:link w:val="76"/>
    <w:unhideWhenUsed/>
    <w:qFormat/>
    <w:uiPriority w:val="9"/>
    <w:pPr>
      <w:spacing w:line="560" w:lineRule="exact"/>
      <w:ind w:firstLine="640" w:firstLineChars="200"/>
      <w:jc w:val="both"/>
      <w:outlineLvl w:val="1"/>
    </w:pPr>
    <w:rPr>
      <w:rFonts w:ascii="楷体" w:hAnsi="楷体" w:eastAsia="黑体"/>
      <w:sz w:val="32"/>
      <w:szCs w:val="32"/>
    </w:rPr>
  </w:style>
  <w:style w:type="paragraph" w:styleId="6">
    <w:name w:val="heading 3"/>
    <w:basedOn w:val="1"/>
    <w:next w:val="1"/>
    <w:link w:val="77"/>
    <w:unhideWhenUsed/>
    <w:qFormat/>
    <w:uiPriority w:val="9"/>
    <w:pPr>
      <w:spacing w:line="560" w:lineRule="exact"/>
      <w:jc w:val="center"/>
      <w:outlineLvl w:val="2"/>
    </w:pPr>
    <w:rPr>
      <w:rFonts w:ascii="方正小标宋_GBK" w:hAnsi="仿宋" w:eastAsia="方正小标宋_GBK"/>
      <w:sz w:val="36"/>
      <w:szCs w:val="36"/>
    </w:rPr>
  </w:style>
  <w:style w:type="paragraph" w:styleId="7">
    <w:name w:val="heading 4"/>
    <w:basedOn w:val="1"/>
    <w:next w:val="1"/>
    <w:link w:val="78"/>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5"/>
    <w:basedOn w:val="1"/>
    <w:next w:val="1"/>
    <w:link w:val="79"/>
    <w:semiHidden/>
    <w:unhideWhenUsed/>
    <w:qFormat/>
    <w:uiPriority w:val="9"/>
    <w:pPr>
      <w:numPr>
        <w:ilvl w:val="4"/>
        <w:numId w:val="1"/>
      </w:numPr>
      <w:spacing w:before="240" w:after="60"/>
      <w:outlineLvl w:val="4"/>
    </w:pPr>
    <w:rPr>
      <w:b/>
      <w:bCs/>
      <w:i/>
      <w:iCs/>
      <w:sz w:val="26"/>
      <w:szCs w:val="26"/>
    </w:rPr>
  </w:style>
  <w:style w:type="paragraph" w:styleId="9">
    <w:name w:val="heading 6"/>
    <w:basedOn w:val="1"/>
    <w:next w:val="1"/>
    <w:link w:val="80"/>
    <w:semiHidden/>
    <w:unhideWhenUsed/>
    <w:qFormat/>
    <w:uiPriority w:val="9"/>
    <w:pPr>
      <w:numPr>
        <w:ilvl w:val="5"/>
        <w:numId w:val="1"/>
      </w:numPr>
      <w:spacing w:before="240" w:after="60"/>
      <w:outlineLvl w:val="5"/>
    </w:pPr>
    <w:rPr>
      <w:rFonts w:cstheme="majorBidi"/>
      <w:b/>
      <w:bCs/>
      <w:sz w:val="22"/>
      <w:szCs w:val="22"/>
    </w:rPr>
  </w:style>
  <w:style w:type="paragraph" w:styleId="10">
    <w:name w:val="heading 7"/>
    <w:basedOn w:val="1"/>
    <w:next w:val="1"/>
    <w:link w:val="81"/>
    <w:semiHidden/>
    <w:unhideWhenUsed/>
    <w:qFormat/>
    <w:uiPriority w:val="9"/>
    <w:pPr>
      <w:numPr>
        <w:ilvl w:val="6"/>
        <w:numId w:val="1"/>
      </w:numPr>
      <w:spacing w:before="240" w:after="60"/>
      <w:outlineLvl w:val="6"/>
    </w:pPr>
  </w:style>
  <w:style w:type="paragraph" w:styleId="11">
    <w:name w:val="heading 8"/>
    <w:basedOn w:val="1"/>
    <w:next w:val="1"/>
    <w:link w:val="82"/>
    <w:semiHidden/>
    <w:unhideWhenUsed/>
    <w:qFormat/>
    <w:uiPriority w:val="9"/>
    <w:pPr>
      <w:numPr>
        <w:ilvl w:val="7"/>
        <w:numId w:val="1"/>
      </w:numPr>
      <w:spacing w:before="240" w:after="60"/>
      <w:outlineLvl w:val="7"/>
    </w:pPr>
    <w:rPr>
      <w:rFonts w:cstheme="majorBidi"/>
      <w:i/>
      <w:iCs/>
    </w:rPr>
  </w:style>
  <w:style w:type="paragraph" w:styleId="12">
    <w:name w:val="heading 9"/>
    <w:basedOn w:val="1"/>
    <w:next w:val="1"/>
    <w:link w:val="83"/>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unhideWhenUsed/>
    <w:qFormat/>
    <w:uiPriority w:val="99"/>
    <w:rPr>
      <w:rFonts w:asciiTheme="majorHAnsi" w:hAnsiTheme="majorHAnsi" w:eastAsiaTheme="majorEastAsia" w:cstheme="majorBidi"/>
      <w:b/>
      <w:bCs/>
    </w:rPr>
  </w:style>
  <w:style w:type="paragraph" w:styleId="3">
    <w:name w:val="index 1"/>
    <w:basedOn w:val="1"/>
    <w:next w:val="1"/>
    <w:semiHidden/>
    <w:unhideWhenUsed/>
    <w:qFormat/>
    <w:uiPriority w:val="99"/>
  </w:style>
  <w:style w:type="paragraph" w:styleId="13">
    <w:name w:val="Normal Indent"/>
    <w:basedOn w:val="1"/>
    <w:next w:val="14"/>
    <w:qFormat/>
    <w:uiPriority w:val="99"/>
    <w:pPr>
      <w:ind w:firstLine="420"/>
    </w:pPr>
  </w:style>
  <w:style w:type="paragraph" w:styleId="14">
    <w:name w:val="Plain Text"/>
    <w:basedOn w:val="1"/>
    <w:qFormat/>
    <w:uiPriority w:val="99"/>
    <w:pPr>
      <w:spacing w:line="324" w:lineRule="auto"/>
    </w:pPr>
    <w:rPr>
      <w:rFonts w:ascii="宋体" w:hAnsi="Courier New" w:cs="Times New Roman"/>
      <w:kern w:val="0"/>
      <w:sz w:val="20"/>
    </w:rPr>
  </w:style>
  <w:style w:type="paragraph" w:styleId="15">
    <w:name w:val="caption"/>
    <w:basedOn w:val="1"/>
    <w:next w:val="1"/>
    <w:semiHidden/>
    <w:unhideWhenUsed/>
    <w:qFormat/>
    <w:uiPriority w:val="35"/>
    <w:rPr>
      <w:rFonts w:eastAsia="黑体" w:asciiTheme="majorHAnsi" w:hAnsiTheme="majorHAnsi" w:cstheme="majorBidi"/>
      <w:sz w:val="20"/>
      <w:szCs w:val="20"/>
    </w:rPr>
  </w:style>
  <w:style w:type="paragraph" w:styleId="16">
    <w:name w:val="Document Map"/>
    <w:basedOn w:val="1"/>
    <w:link w:val="107"/>
    <w:semiHidden/>
    <w:unhideWhenUsed/>
    <w:qFormat/>
    <w:uiPriority w:val="99"/>
    <w:pPr>
      <w:spacing w:line="400" w:lineRule="exact"/>
      <w:jc w:val="both"/>
    </w:pPr>
    <w:rPr>
      <w:rFonts w:ascii="宋体" w:hAnsi="Calibri Light" w:eastAsia="宋体" w:cs="Calibri Light"/>
      <w:kern w:val="2"/>
      <w:sz w:val="18"/>
      <w:szCs w:val="18"/>
    </w:rPr>
  </w:style>
  <w:style w:type="paragraph" w:styleId="17">
    <w:name w:val="annotation text"/>
    <w:basedOn w:val="1"/>
    <w:link w:val="99"/>
    <w:unhideWhenUsed/>
    <w:qFormat/>
    <w:uiPriority w:val="99"/>
    <w:pPr>
      <w:spacing w:line="400" w:lineRule="exact"/>
    </w:pPr>
    <w:rPr>
      <w:rFonts w:ascii="Calibri Light" w:hAnsi="Calibri Light" w:eastAsia="华文仿宋" w:cs="Calibri Light"/>
      <w:kern w:val="2"/>
      <w:sz w:val="28"/>
      <w:szCs w:val="28"/>
    </w:rPr>
  </w:style>
  <w:style w:type="paragraph" w:styleId="18">
    <w:name w:val="Body Text"/>
    <w:basedOn w:val="1"/>
    <w:next w:val="1"/>
    <w:qFormat/>
    <w:uiPriority w:val="99"/>
    <w:rPr>
      <w:rFonts w:cs="Times New Roman"/>
      <w:kern w:val="0"/>
      <w:sz w:val="20"/>
    </w:rPr>
  </w:style>
  <w:style w:type="paragraph" w:styleId="19">
    <w:name w:val="Body Text Indent"/>
    <w:basedOn w:val="1"/>
    <w:next w:val="1"/>
    <w:qFormat/>
    <w:uiPriority w:val="99"/>
    <w:pPr>
      <w:spacing w:after="120"/>
      <w:ind w:left="420" w:leftChars="200"/>
    </w:pPr>
    <w:rPr>
      <w:rFonts w:cs="Times New Roman"/>
      <w:kern w:val="0"/>
      <w:sz w:val="20"/>
    </w:rPr>
  </w:style>
  <w:style w:type="paragraph" w:styleId="20">
    <w:name w:val="toc 3"/>
    <w:basedOn w:val="1"/>
    <w:next w:val="1"/>
    <w:semiHidden/>
    <w:unhideWhenUsed/>
    <w:qFormat/>
    <w:uiPriority w:val="39"/>
    <w:pPr>
      <w:ind w:left="840" w:leftChars="400"/>
    </w:pPr>
  </w:style>
  <w:style w:type="paragraph" w:styleId="21">
    <w:name w:val="Date"/>
    <w:basedOn w:val="1"/>
    <w:next w:val="1"/>
    <w:link w:val="72"/>
    <w:semiHidden/>
    <w:unhideWhenUsed/>
    <w:qFormat/>
    <w:uiPriority w:val="99"/>
    <w:pPr>
      <w:ind w:left="100" w:leftChars="2500"/>
    </w:pPr>
  </w:style>
  <w:style w:type="paragraph" w:styleId="22">
    <w:name w:val="endnote text"/>
    <w:basedOn w:val="1"/>
    <w:semiHidden/>
    <w:qFormat/>
    <w:uiPriority w:val="0"/>
    <w:pPr>
      <w:snapToGrid w:val="0"/>
      <w:jc w:val="left"/>
    </w:pPr>
  </w:style>
  <w:style w:type="paragraph" w:styleId="23">
    <w:name w:val="Balloon Text"/>
    <w:basedOn w:val="1"/>
    <w:link w:val="98"/>
    <w:semiHidden/>
    <w:unhideWhenUsed/>
    <w:qFormat/>
    <w:uiPriority w:val="99"/>
    <w:rPr>
      <w:sz w:val="18"/>
      <w:szCs w:val="18"/>
    </w:rPr>
  </w:style>
  <w:style w:type="paragraph" w:styleId="24">
    <w:name w:val="footer"/>
    <w:basedOn w:val="1"/>
    <w:link w:val="74"/>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7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7">
    <w:name w:val="toc 4"/>
    <w:basedOn w:val="1"/>
    <w:next w:val="1"/>
    <w:unhideWhenUsed/>
    <w:qFormat/>
    <w:uiPriority w:val="39"/>
    <w:pPr>
      <w:ind w:left="1260" w:leftChars="600"/>
    </w:pPr>
    <w:rPr>
      <w:szCs w:val="24"/>
    </w:rPr>
  </w:style>
  <w:style w:type="paragraph" w:styleId="28">
    <w:name w:val="Subtitle"/>
    <w:basedOn w:val="1"/>
    <w:next w:val="1"/>
    <w:link w:val="85"/>
    <w:qFormat/>
    <w:uiPriority w:val="11"/>
    <w:pPr>
      <w:keepNext/>
      <w:spacing w:before="50" w:beforeLines="50" w:after="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8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2">
    <w:name w:val="annotation subject"/>
    <w:basedOn w:val="17"/>
    <w:next w:val="17"/>
    <w:link w:val="106"/>
    <w:semiHidden/>
    <w:unhideWhenUsed/>
    <w:qFormat/>
    <w:uiPriority w:val="99"/>
    <w:rPr>
      <w:b/>
      <w:bCs/>
    </w:rPr>
  </w:style>
  <w:style w:type="paragraph" w:styleId="33">
    <w:name w:val="Body Text First Indent"/>
    <w:basedOn w:val="18"/>
    <w:qFormat/>
    <w:uiPriority w:val="0"/>
    <w:pPr>
      <w:spacing w:line="300" w:lineRule="auto"/>
      <w:ind w:firstLine="602"/>
      <w:jc w:val="left"/>
    </w:pPr>
  </w:style>
  <w:style w:type="paragraph" w:styleId="34">
    <w:name w:val="Body Text First Indent 2"/>
    <w:basedOn w:val="19"/>
    <w:next w:val="13"/>
    <w:qFormat/>
    <w:uiPriority w:val="0"/>
    <w:pPr>
      <w:ind w:firstLine="420"/>
    </w:p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bCs/>
    </w:rPr>
  </w:style>
  <w:style w:type="character" w:styleId="39">
    <w:name w:val="page number"/>
    <w:qFormat/>
    <w:uiPriority w:val="0"/>
    <w:rPr>
      <w:rFonts w:ascii="Times New Roman" w:hAnsi="Times New Roman" w:eastAsia="宋体" w:cs="Times New Roman"/>
    </w:rPr>
  </w:style>
  <w:style w:type="character" w:styleId="40">
    <w:name w:val="FollowedHyperlink"/>
    <w:basedOn w:val="37"/>
    <w:semiHidden/>
    <w:unhideWhenUsed/>
    <w:qFormat/>
    <w:uiPriority w:val="99"/>
    <w:rPr>
      <w:color w:val="954F72" w:themeColor="followedHyperlink"/>
      <w:u w:val="single"/>
      <w14:textFill>
        <w14:solidFill>
          <w14:schemeClr w14:val="folHlink"/>
        </w14:solidFill>
      </w14:textFill>
    </w:rPr>
  </w:style>
  <w:style w:type="character" w:styleId="41">
    <w:name w:val="Emphasis"/>
    <w:basedOn w:val="37"/>
    <w:qFormat/>
    <w:uiPriority w:val="20"/>
    <w:rPr>
      <w:rFonts w:asciiTheme="minorHAnsi" w:hAnsiTheme="minorHAnsi"/>
      <w:b/>
      <w:i/>
      <w:iCs/>
    </w:rPr>
  </w:style>
  <w:style w:type="character" w:styleId="42">
    <w:name w:val="HTML Definition"/>
    <w:basedOn w:val="37"/>
    <w:semiHidden/>
    <w:unhideWhenUsed/>
    <w:qFormat/>
    <w:uiPriority w:val="99"/>
    <w:rPr>
      <w:color w:val="FFFFFF"/>
      <w:shd w:val="clear" w:fill="048FD2"/>
    </w:rPr>
  </w:style>
  <w:style w:type="character" w:styleId="43">
    <w:name w:val="HTML Typewriter"/>
    <w:basedOn w:val="37"/>
    <w:semiHidden/>
    <w:unhideWhenUsed/>
    <w:qFormat/>
    <w:uiPriority w:val="99"/>
    <w:rPr>
      <w:rFonts w:hint="default" w:ascii="monospace" w:hAnsi="monospace" w:eastAsia="monospace" w:cs="monospace"/>
      <w:sz w:val="20"/>
    </w:rPr>
  </w:style>
  <w:style w:type="character" w:styleId="44">
    <w:name w:val="HTML Acronym"/>
    <w:basedOn w:val="37"/>
    <w:semiHidden/>
    <w:unhideWhenUsed/>
    <w:qFormat/>
    <w:uiPriority w:val="99"/>
  </w:style>
  <w:style w:type="character" w:styleId="45">
    <w:name w:val="HTML Variable"/>
    <w:basedOn w:val="37"/>
    <w:semiHidden/>
    <w:unhideWhenUsed/>
    <w:qFormat/>
    <w:uiPriority w:val="99"/>
  </w:style>
  <w:style w:type="character" w:styleId="46">
    <w:name w:val="Hyperlink"/>
    <w:basedOn w:val="37"/>
    <w:unhideWhenUsed/>
    <w:qFormat/>
    <w:uiPriority w:val="99"/>
    <w:rPr>
      <w:color w:val="0563C1" w:themeColor="hyperlink"/>
      <w:u w:val="single"/>
      <w14:textFill>
        <w14:solidFill>
          <w14:schemeClr w14:val="hlink"/>
        </w14:solidFill>
      </w14:textFill>
    </w:rPr>
  </w:style>
  <w:style w:type="character" w:styleId="47">
    <w:name w:val="HTML Code"/>
    <w:basedOn w:val="37"/>
    <w:semiHidden/>
    <w:unhideWhenUsed/>
    <w:qFormat/>
    <w:uiPriority w:val="99"/>
    <w:rPr>
      <w:rFonts w:hint="default" w:ascii="monospace" w:hAnsi="monospace" w:eastAsia="monospace" w:cs="monospace"/>
      <w:sz w:val="20"/>
    </w:rPr>
  </w:style>
  <w:style w:type="character" w:styleId="48">
    <w:name w:val="annotation reference"/>
    <w:basedOn w:val="37"/>
    <w:semiHidden/>
    <w:unhideWhenUsed/>
    <w:qFormat/>
    <w:uiPriority w:val="99"/>
    <w:rPr>
      <w:sz w:val="21"/>
      <w:szCs w:val="21"/>
    </w:rPr>
  </w:style>
  <w:style w:type="character" w:styleId="49">
    <w:name w:val="HTML Cite"/>
    <w:basedOn w:val="37"/>
    <w:semiHidden/>
    <w:unhideWhenUsed/>
    <w:qFormat/>
    <w:uiPriority w:val="99"/>
  </w:style>
  <w:style w:type="character" w:styleId="50">
    <w:name w:val="HTML Keyboard"/>
    <w:basedOn w:val="37"/>
    <w:semiHidden/>
    <w:unhideWhenUsed/>
    <w:qFormat/>
    <w:uiPriority w:val="99"/>
    <w:rPr>
      <w:rFonts w:ascii="monospace" w:hAnsi="monospace" w:eastAsia="monospace" w:cs="monospace"/>
      <w:sz w:val="20"/>
    </w:rPr>
  </w:style>
  <w:style w:type="character" w:styleId="51">
    <w:name w:val="HTML Sample"/>
    <w:basedOn w:val="37"/>
    <w:semiHidden/>
    <w:unhideWhenUsed/>
    <w:qFormat/>
    <w:uiPriority w:val="99"/>
    <w:rPr>
      <w:rFonts w:hint="default" w:ascii="monospace" w:hAnsi="monospace" w:eastAsia="monospace" w:cs="monospace"/>
    </w:rPr>
  </w:style>
  <w:style w:type="paragraph" w:customStyle="1" w:styleId="52">
    <w:name w:val="※封面大标题"/>
    <w:basedOn w:val="1"/>
    <w:next w:val="1"/>
    <w:qFormat/>
    <w:uiPriority w:val="0"/>
    <w:pPr>
      <w:jc w:val="center"/>
    </w:pPr>
    <w:rPr>
      <w:rFonts w:ascii="华文中宋" w:hAnsi="华文中宋" w:eastAsia="华文中宋"/>
      <w:sz w:val="96"/>
      <w:szCs w:val="96"/>
    </w:rPr>
  </w:style>
  <w:style w:type="paragraph" w:customStyle="1" w:styleId="53">
    <w:name w:val="※封面题颌"/>
    <w:basedOn w:val="1"/>
    <w:next w:val="1"/>
    <w:qFormat/>
    <w:uiPriority w:val="0"/>
    <w:pPr>
      <w:jc w:val="center"/>
    </w:pPr>
    <w:rPr>
      <w:rFonts w:ascii="Calibri Light" w:hAnsi="Calibri Light" w:eastAsia="华文仿宋"/>
      <w:sz w:val="36"/>
      <w:szCs w:val="36"/>
    </w:rPr>
  </w:style>
  <w:style w:type="paragraph" w:customStyle="1" w:styleId="54">
    <w:name w:val="※封面题眉"/>
    <w:basedOn w:val="1"/>
    <w:next w:val="52"/>
    <w:qFormat/>
    <w:uiPriority w:val="0"/>
    <w:pPr>
      <w:jc w:val="center"/>
    </w:pPr>
    <w:rPr>
      <w:rFonts w:ascii="华文仿宋" w:hAnsi="华文仿宋" w:eastAsia="华文仿宋"/>
      <w:sz w:val="52"/>
      <w:szCs w:val="28"/>
    </w:rPr>
  </w:style>
  <w:style w:type="paragraph" w:customStyle="1" w:styleId="55">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6">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7">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8">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0">
    <w:name w:val="※小标题 一"/>
    <w:basedOn w:val="59"/>
    <w:next w:val="59"/>
    <w:qFormat/>
    <w:uiPriority w:val="0"/>
    <w:pPr>
      <w:spacing w:before="120" w:line="240" w:lineRule="auto"/>
      <w:outlineLvl w:val="2"/>
    </w:pPr>
    <w:rPr>
      <w:b/>
      <w:color w:val="203864" w:themeColor="accent5" w:themeShade="80"/>
      <w:sz w:val="32"/>
    </w:rPr>
  </w:style>
  <w:style w:type="paragraph" w:customStyle="1" w:styleId="61">
    <w:name w:val="※小标题（1）"/>
    <w:basedOn w:val="1"/>
    <w:next w:val="59"/>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2">
    <w:name w:val="※小标题（一）"/>
    <w:basedOn w:val="1"/>
    <w:next w:val="59"/>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3">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4">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5">
    <w:name w:val="※页眉"/>
    <w:basedOn w:val="59"/>
    <w:qFormat/>
    <w:uiPriority w:val="0"/>
    <w:pPr>
      <w:pBdr>
        <w:bottom w:val="single" w:color="auto" w:sz="4" w:space="1"/>
      </w:pBdr>
      <w:spacing w:line="240" w:lineRule="atLeast"/>
      <w:jc w:val="right"/>
    </w:pPr>
    <w:rPr>
      <w:rFonts w:ascii="宋体" w:hAnsi="宋体" w:eastAsia="宋体"/>
      <w:sz w:val="18"/>
    </w:rPr>
  </w:style>
  <w:style w:type="paragraph" w:customStyle="1" w:styleId="66">
    <w:name w:val="※章节标题（第X章）"/>
    <w:basedOn w:val="1"/>
    <w:qFormat/>
    <w:uiPriority w:val="0"/>
    <w:pPr>
      <w:jc w:val="center"/>
      <w:outlineLvl w:val="0"/>
    </w:pPr>
    <w:rPr>
      <w:rFonts w:ascii="Calibri Light" w:hAnsi="Calibri Light" w:eastAsia="黑体"/>
      <w:sz w:val="36"/>
      <w:szCs w:val="28"/>
    </w:rPr>
  </w:style>
  <w:style w:type="paragraph" w:customStyle="1" w:styleId="67">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8">
    <w:name w:val="※章节标题（第Z部分分项）"/>
    <w:basedOn w:val="67"/>
    <w:qFormat/>
    <w:uiPriority w:val="0"/>
    <w:pPr>
      <w:outlineLvl w:val="2"/>
    </w:pPr>
  </w:style>
  <w:style w:type="paragraph" w:customStyle="1" w:styleId="69">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0">
    <w:name w:val="※正文（缩进2）"/>
    <w:basedOn w:val="59"/>
    <w:qFormat/>
    <w:uiPriority w:val="0"/>
    <w:pPr>
      <w:ind w:firstLine="200" w:firstLineChars="200"/>
    </w:pPr>
  </w:style>
  <w:style w:type="paragraph" w:customStyle="1" w:styleId="71">
    <w:name w:val="※正文（缩进4）"/>
    <w:basedOn w:val="59"/>
    <w:qFormat/>
    <w:uiPriority w:val="0"/>
    <w:pPr>
      <w:ind w:firstLine="400" w:firstLineChars="400"/>
    </w:pPr>
  </w:style>
  <w:style w:type="character" w:customStyle="1" w:styleId="72">
    <w:name w:val="日期 字符"/>
    <w:basedOn w:val="37"/>
    <w:link w:val="21"/>
    <w:semiHidden/>
    <w:qFormat/>
    <w:uiPriority w:val="99"/>
    <w:rPr>
      <w:rFonts w:ascii="华文仿宋" w:hAnsi="华文仿宋" w:eastAsia="华文仿宋"/>
      <w:sz w:val="28"/>
      <w:szCs w:val="28"/>
    </w:rPr>
  </w:style>
  <w:style w:type="character" w:customStyle="1" w:styleId="73">
    <w:name w:val="页眉 字符"/>
    <w:basedOn w:val="37"/>
    <w:link w:val="25"/>
    <w:qFormat/>
    <w:uiPriority w:val="0"/>
    <w:rPr>
      <w:rFonts w:ascii="华文仿宋" w:hAnsi="华文仿宋" w:eastAsia="华文仿宋"/>
      <w:sz w:val="18"/>
      <w:szCs w:val="18"/>
    </w:rPr>
  </w:style>
  <w:style w:type="character" w:customStyle="1" w:styleId="74">
    <w:name w:val="页脚 字符"/>
    <w:basedOn w:val="37"/>
    <w:link w:val="24"/>
    <w:qFormat/>
    <w:uiPriority w:val="99"/>
    <w:rPr>
      <w:rFonts w:ascii="华文仿宋" w:hAnsi="华文仿宋" w:eastAsia="华文仿宋"/>
      <w:sz w:val="18"/>
      <w:szCs w:val="18"/>
    </w:rPr>
  </w:style>
  <w:style w:type="character" w:customStyle="1" w:styleId="75">
    <w:name w:val="标题 1 字符"/>
    <w:basedOn w:val="37"/>
    <w:link w:val="4"/>
    <w:qFormat/>
    <w:uiPriority w:val="9"/>
    <w:rPr>
      <w:rFonts w:ascii="方正小标宋_GBK" w:hAnsi="仿宋" w:eastAsia="方正小标宋_GBK"/>
      <w:sz w:val="44"/>
      <w:szCs w:val="44"/>
    </w:rPr>
  </w:style>
  <w:style w:type="character" w:customStyle="1" w:styleId="76">
    <w:name w:val="标题 2 字符"/>
    <w:basedOn w:val="37"/>
    <w:link w:val="5"/>
    <w:qFormat/>
    <w:uiPriority w:val="9"/>
    <w:rPr>
      <w:rFonts w:ascii="楷体" w:hAnsi="楷体" w:eastAsia="黑体"/>
      <w:sz w:val="32"/>
      <w:szCs w:val="32"/>
    </w:rPr>
  </w:style>
  <w:style w:type="character" w:customStyle="1" w:styleId="77">
    <w:name w:val="标题 3 字符"/>
    <w:basedOn w:val="37"/>
    <w:link w:val="6"/>
    <w:qFormat/>
    <w:uiPriority w:val="9"/>
    <w:rPr>
      <w:rFonts w:ascii="方正小标宋_GBK" w:hAnsi="仿宋" w:eastAsia="方正小标宋_GBK"/>
      <w:sz w:val="36"/>
      <w:szCs w:val="36"/>
    </w:rPr>
  </w:style>
  <w:style w:type="character" w:customStyle="1" w:styleId="78">
    <w:name w:val="标题 4 字符"/>
    <w:basedOn w:val="37"/>
    <w:link w:val="7"/>
    <w:semiHidden/>
    <w:qFormat/>
    <w:uiPriority w:val="9"/>
    <w:rPr>
      <w:rFonts w:cstheme="majorBidi"/>
      <w:b/>
      <w:bCs/>
      <w:sz w:val="28"/>
      <w:szCs w:val="28"/>
    </w:rPr>
  </w:style>
  <w:style w:type="character" w:customStyle="1" w:styleId="79">
    <w:name w:val="标题 5 字符"/>
    <w:basedOn w:val="37"/>
    <w:link w:val="8"/>
    <w:semiHidden/>
    <w:qFormat/>
    <w:uiPriority w:val="9"/>
    <w:rPr>
      <w:b/>
      <w:bCs/>
      <w:i/>
      <w:iCs/>
      <w:sz w:val="26"/>
      <w:szCs w:val="26"/>
    </w:rPr>
  </w:style>
  <w:style w:type="character" w:customStyle="1" w:styleId="80">
    <w:name w:val="标题 6 字符"/>
    <w:basedOn w:val="37"/>
    <w:link w:val="9"/>
    <w:semiHidden/>
    <w:qFormat/>
    <w:uiPriority w:val="9"/>
    <w:rPr>
      <w:rFonts w:cstheme="majorBidi"/>
      <w:b/>
      <w:bCs/>
    </w:rPr>
  </w:style>
  <w:style w:type="character" w:customStyle="1" w:styleId="81">
    <w:name w:val="标题 7 字符"/>
    <w:basedOn w:val="37"/>
    <w:link w:val="10"/>
    <w:semiHidden/>
    <w:qFormat/>
    <w:uiPriority w:val="9"/>
    <w:rPr>
      <w:sz w:val="24"/>
      <w:szCs w:val="24"/>
    </w:rPr>
  </w:style>
  <w:style w:type="character" w:customStyle="1" w:styleId="82">
    <w:name w:val="标题 8 字符"/>
    <w:basedOn w:val="37"/>
    <w:link w:val="11"/>
    <w:semiHidden/>
    <w:qFormat/>
    <w:uiPriority w:val="9"/>
    <w:rPr>
      <w:rFonts w:cstheme="majorBidi"/>
      <w:i/>
      <w:iCs/>
      <w:sz w:val="24"/>
      <w:szCs w:val="24"/>
    </w:rPr>
  </w:style>
  <w:style w:type="character" w:customStyle="1" w:styleId="83">
    <w:name w:val="标题 9 字符"/>
    <w:basedOn w:val="37"/>
    <w:link w:val="12"/>
    <w:semiHidden/>
    <w:qFormat/>
    <w:uiPriority w:val="9"/>
    <w:rPr>
      <w:rFonts w:asciiTheme="majorHAnsi" w:hAnsiTheme="majorHAnsi" w:eastAsiaTheme="majorEastAsia" w:cstheme="majorBidi"/>
    </w:rPr>
  </w:style>
  <w:style w:type="character" w:customStyle="1" w:styleId="84">
    <w:name w:val="标题 字符"/>
    <w:basedOn w:val="37"/>
    <w:link w:val="31"/>
    <w:qFormat/>
    <w:uiPriority w:val="10"/>
    <w:rPr>
      <w:rFonts w:asciiTheme="majorHAnsi" w:hAnsiTheme="majorHAnsi" w:eastAsiaTheme="majorEastAsia" w:cstheme="majorBidi"/>
      <w:b/>
      <w:bCs/>
      <w:kern w:val="28"/>
      <w:sz w:val="32"/>
      <w:szCs w:val="32"/>
    </w:rPr>
  </w:style>
  <w:style w:type="character" w:customStyle="1" w:styleId="85">
    <w:name w:val="副标题 字符"/>
    <w:basedOn w:val="37"/>
    <w:link w:val="28"/>
    <w:qFormat/>
    <w:uiPriority w:val="11"/>
    <w:rPr>
      <w:rFonts w:ascii="Calibri" w:hAnsi="Calibri" w:eastAsia="黑体" w:cstheme="majorBidi"/>
      <w:sz w:val="32"/>
      <w:szCs w:val="24"/>
    </w:rPr>
  </w:style>
  <w:style w:type="paragraph" w:styleId="86">
    <w:name w:val="No Spacing"/>
    <w:basedOn w:val="1"/>
    <w:qFormat/>
    <w:uiPriority w:val="1"/>
    <w:rPr>
      <w:szCs w:val="32"/>
    </w:rPr>
  </w:style>
  <w:style w:type="paragraph" w:styleId="87">
    <w:name w:val="List Paragraph"/>
    <w:basedOn w:val="1"/>
    <w:qFormat/>
    <w:uiPriority w:val="0"/>
    <w:pPr>
      <w:ind w:left="720"/>
      <w:contextualSpacing/>
    </w:pPr>
  </w:style>
  <w:style w:type="paragraph" w:styleId="88">
    <w:name w:val="Quote"/>
    <w:basedOn w:val="1"/>
    <w:next w:val="1"/>
    <w:link w:val="89"/>
    <w:qFormat/>
    <w:uiPriority w:val="29"/>
    <w:rPr>
      <w:i/>
    </w:rPr>
  </w:style>
  <w:style w:type="character" w:customStyle="1" w:styleId="89">
    <w:name w:val="引用 字符"/>
    <w:basedOn w:val="37"/>
    <w:link w:val="88"/>
    <w:qFormat/>
    <w:uiPriority w:val="29"/>
    <w:rPr>
      <w:i/>
      <w:sz w:val="24"/>
      <w:szCs w:val="24"/>
    </w:rPr>
  </w:style>
  <w:style w:type="paragraph" w:styleId="90">
    <w:name w:val="Intense Quote"/>
    <w:basedOn w:val="1"/>
    <w:next w:val="1"/>
    <w:link w:val="91"/>
    <w:qFormat/>
    <w:uiPriority w:val="30"/>
    <w:pPr>
      <w:ind w:left="720" w:right="720"/>
    </w:pPr>
    <w:rPr>
      <w:b/>
      <w:i/>
      <w:szCs w:val="22"/>
    </w:rPr>
  </w:style>
  <w:style w:type="character" w:customStyle="1" w:styleId="91">
    <w:name w:val="明显引用 字符"/>
    <w:basedOn w:val="37"/>
    <w:link w:val="90"/>
    <w:qFormat/>
    <w:uiPriority w:val="30"/>
    <w:rPr>
      <w:b/>
      <w:i/>
      <w:sz w:val="24"/>
    </w:rPr>
  </w:style>
  <w:style w:type="character" w:customStyle="1" w:styleId="92">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93">
    <w:name w:val="Intense Emphasis"/>
    <w:basedOn w:val="37"/>
    <w:qFormat/>
    <w:uiPriority w:val="21"/>
    <w:rPr>
      <w:b/>
      <w:i/>
      <w:sz w:val="24"/>
      <w:szCs w:val="24"/>
      <w:u w:val="single"/>
    </w:rPr>
  </w:style>
  <w:style w:type="character" w:customStyle="1" w:styleId="94">
    <w:name w:val="Subtle Reference"/>
    <w:basedOn w:val="37"/>
    <w:qFormat/>
    <w:uiPriority w:val="31"/>
    <w:rPr>
      <w:sz w:val="24"/>
      <w:szCs w:val="24"/>
      <w:u w:val="single"/>
    </w:rPr>
  </w:style>
  <w:style w:type="character" w:customStyle="1" w:styleId="95">
    <w:name w:val="Intense Reference"/>
    <w:basedOn w:val="37"/>
    <w:qFormat/>
    <w:uiPriority w:val="32"/>
    <w:rPr>
      <w:b/>
      <w:sz w:val="24"/>
      <w:u w:val="single"/>
    </w:rPr>
  </w:style>
  <w:style w:type="character" w:customStyle="1" w:styleId="96">
    <w:name w:val="Book Title"/>
    <w:basedOn w:val="37"/>
    <w:qFormat/>
    <w:uiPriority w:val="33"/>
    <w:rPr>
      <w:rFonts w:asciiTheme="majorHAnsi" w:hAnsiTheme="majorHAnsi" w:eastAsiaTheme="majorEastAsia"/>
      <w:b/>
      <w:i/>
      <w:sz w:val="24"/>
      <w:szCs w:val="24"/>
    </w:rPr>
  </w:style>
  <w:style w:type="paragraph" w:customStyle="1" w:styleId="97">
    <w:name w:val="TOC Heading"/>
    <w:basedOn w:val="4"/>
    <w:next w:val="1"/>
    <w:semiHidden/>
    <w:unhideWhenUsed/>
    <w:qFormat/>
    <w:uiPriority w:val="39"/>
    <w:pPr>
      <w:outlineLvl w:val="9"/>
    </w:pPr>
  </w:style>
  <w:style w:type="character" w:customStyle="1" w:styleId="98">
    <w:name w:val="批注框文本 字符"/>
    <w:basedOn w:val="37"/>
    <w:link w:val="23"/>
    <w:semiHidden/>
    <w:qFormat/>
    <w:uiPriority w:val="99"/>
    <w:rPr>
      <w:sz w:val="18"/>
      <w:szCs w:val="18"/>
    </w:rPr>
  </w:style>
  <w:style w:type="character" w:customStyle="1" w:styleId="99">
    <w:name w:val="批注文字 字符"/>
    <w:basedOn w:val="37"/>
    <w:link w:val="17"/>
    <w:qFormat/>
    <w:uiPriority w:val="99"/>
    <w:rPr>
      <w:rFonts w:ascii="Calibri Light" w:hAnsi="Calibri Light" w:eastAsia="华文仿宋" w:cs="Calibri Light"/>
      <w:kern w:val="2"/>
      <w:sz w:val="28"/>
      <w:szCs w:val="28"/>
    </w:rPr>
  </w:style>
  <w:style w:type="paragraph" w:customStyle="1" w:styleId="100">
    <w:name w:val="@正文"/>
    <w:basedOn w:val="5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1">
    <w:name w:val="@一级小标题"/>
    <w:basedOn w:val="1"/>
    <w:next w:val="100"/>
    <w:qFormat/>
    <w:uiPriority w:val="0"/>
    <w:pPr>
      <w:keepNext/>
      <w:spacing w:before="120" w:after="60"/>
      <w:outlineLvl w:val="2"/>
    </w:pPr>
    <w:rPr>
      <w:rFonts w:ascii="Calibri" w:hAnsi="Calibri" w:eastAsia="黑体"/>
      <w:kern w:val="28"/>
      <w:sz w:val="28"/>
    </w:rPr>
  </w:style>
  <w:style w:type="paragraph" w:customStyle="1" w:styleId="102">
    <w:name w:val="@标题"/>
    <w:basedOn w:val="1"/>
    <w:next w:val="100"/>
    <w:qFormat/>
    <w:uiPriority w:val="0"/>
    <w:pPr>
      <w:keepNext/>
      <w:spacing w:before="50" w:beforeLines="50" w:after="50" w:afterLines="50"/>
      <w:jc w:val="center"/>
      <w:outlineLvl w:val="1"/>
    </w:pPr>
    <w:rPr>
      <w:rFonts w:ascii="Calibri" w:hAnsi="Calibri" w:eastAsia="黑体"/>
      <w:kern w:val="32"/>
      <w:sz w:val="32"/>
    </w:rPr>
  </w:style>
  <w:style w:type="table" w:customStyle="1" w:styleId="103">
    <w:name w:val="网格型1"/>
    <w:basedOn w:val="3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4">
    <w:name w:val="页眉 Char1"/>
    <w:basedOn w:val="37"/>
    <w:semiHidden/>
    <w:qFormat/>
    <w:uiPriority w:val="99"/>
    <w:rPr>
      <w:rFonts w:cs="Calibri Light"/>
      <w:sz w:val="18"/>
      <w:szCs w:val="18"/>
    </w:rPr>
  </w:style>
  <w:style w:type="character" w:customStyle="1" w:styleId="105">
    <w:name w:val="页脚 Char1"/>
    <w:basedOn w:val="37"/>
    <w:semiHidden/>
    <w:qFormat/>
    <w:uiPriority w:val="99"/>
    <w:rPr>
      <w:rFonts w:cs="Calibri Light"/>
      <w:sz w:val="18"/>
      <w:szCs w:val="18"/>
    </w:rPr>
  </w:style>
  <w:style w:type="character" w:customStyle="1" w:styleId="106">
    <w:name w:val="批注主题 字符"/>
    <w:basedOn w:val="99"/>
    <w:link w:val="32"/>
    <w:semiHidden/>
    <w:qFormat/>
    <w:uiPriority w:val="99"/>
    <w:rPr>
      <w:rFonts w:ascii="Calibri Light" w:hAnsi="Calibri Light" w:eastAsia="华文仿宋" w:cs="Calibri Light"/>
      <w:b/>
      <w:bCs/>
      <w:kern w:val="2"/>
      <w:sz w:val="28"/>
      <w:szCs w:val="28"/>
    </w:rPr>
  </w:style>
  <w:style w:type="character" w:customStyle="1" w:styleId="107">
    <w:name w:val="文档结构图 字符"/>
    <w:basedOn w:val="37"/>
    <w:link w:val="16"/>
    <w:semiHidden/>
    <w:qFormat/>
    <w:uiPriority w:val="99"/>
    <w:rPr>
      <w:rFonts w:ascii="宋体" w:hAnsi="Calibri Light" w:eastAsia="宋体" w:cs="Calibri Light"/>
      <w:kern w:val="2"/>
      <w:sz w:val="18"/>
      <w:szCs w:val="18"/>
    </w:rPr>
  </w:style>
  <w:style w:type="character" w:styleId="108">
    <w:name w:val="Placeholder Text"/>
    <w:basedOn w:val="37"/>
    <w:semiHidden/>
    <w:qFormat/>
    <w:uiPriority w:val="99"/>
    <w:rPr>
      <w:color w:val="808080"/>
    </w:rPr>
  </w:style>
  <w:style w:type="character" w:customStyle="1" w:styleId="109">
    <w:name w:val="Unresolved Mention"/>
    <w:basedOn w:val="37"/>
    <w:semiHidden/>
    <w:unhideWhenUsed/>
    <w:qFormat/>
    <w:uiPriority w:val="99"/>
    <w:rPr>
      <w:color w:val="605E5C"/>
      <w:shd w:val="clear" w:color="auto" w:fill="E1DFDD"/>
    </w:rPr>
  </w:style>
  <w:style w:type="paragraph" w:customStyle="1" w:styleId="110">
    <w:name w:val="样式1"/>
    <w:basedOn w:val="6"/>
    <w:link w:val="112"/>
    <w:qFormat/>
    <w:uiPriority w:val="0"/>
    <w:pPr>
      <w:jc w:val="left"/>
    </w:pPr>
    <w:rPr>
      <w:rFonts w:eastAsia="楷体"/>
      <w:sz w:val="32"/>
    </w:rPr>
  </w:style>
  <w:style w:type="paragraph" w:customStyle="1" w:styleId="111">
    <w:name w:val="样式2"/>
    <w:basedOn w:val="102"/>
    <w:link w:val="114"/>
    <w:qFormat/>
    <w:uiPriority w:val="0"/>
    <w:pPr>
      <w:spacing w:line="560" w:lineRule="exact"/>
      <w:ind w:firstLine="643" w:firstLineChars="200"/>
      <w:jc w:val="both"/>
    </w:pPr>
    <w:rPr>
      <w:rFonts w:ascii="仿宋_GB2312" w:hAnsi="仿宋" w:eastAsia="仿宋_GB2312"/>
      <w:b/>
      <w:bCs/>
      <w:szCs w:val="32"/>
    </w:rPr>
  </w:style>
  <w:style w:type="character" w:customStyle="1" w:styleId="112">
    <w:name w:val="样式1 字符"/>
    <w:basedOn w:val="76"/>
    <w:link w:val="110"/>
    <w:qFormat/>
    <w:uiPriority w:val="0"/>
    <w:rPr>
      <w:rFonts w:ascii="方正小标宋_GBK" w:hAnsi="仿宋" w:eastAsia="楷体"/>
      <w:sz w:val="32"/>
      <w:szCs w:val="36"/>
    </w:rPr>
  </w:style>
  <w:style w:type="paragraph" w:customStyle="1" w:styleId="113">
    <w:name w:val="样式3"/>
    <w:basedOn w:val="1"/>
    <w:link w:val="115"/>
    <w:qFormat/>
    <w:uiPriority w:val="0"/>
    <w:pPr>
      <w:spacing w:line="560" w:lineRule="exact"/>
      <w:jc w:val="center"/>
    </w:pPr>
    <w:rPr>
      <w:rFonts w:ascii="方正小标宋_GBK" w:hAnsi="仿宋" w:eastAsia="方正小标宋_GBK"/>
      <w:sz w:val="36"/>
      <w:szCs w:val="36"/>
    </w:rPr>
  </w:style>
  <w:style w:type="character" w:customStyle="1" w:styleId="114">
    <w:name w:val="样式2 字符"/>
    <w:basedOn w:val="37"/>
    <w:link w:val="111"/>
    <w:qFormat/>
    <w:uiPriority w:val="0"/>
    <w:rPr>
      <w:rFonts w:ascii="仿宋_GB2312" w:hAnsi="仿宋" w:eastAsia="仿宋_GB2312"/>
      <w:b/>
      <w:bCs/>
      <w:kern w:val="32"/>
      <w:sz w:val="32"/>
      <w:szCs w:val="32"/>
    </w:rPr>
  </w:style>
  <w:style w:type="character" w:customStyle="1" w:styleId="115">
    <w:name w:val="样式3 字符"/>
    <w:basedOn w:val="37"/>
    <w:link w:val="113"/>
    <w:qFormat/>
    <w:uiPriority w:val="0"/>
    <w:rPr>
      <w:rFonts w:ascii="方正小标宋_GBK" w:hAnsi="仿宋" w:eastAsia="方正小标宋_GBK"/>
      <w:sz w:val="36"/>
      <w:szCs w:val="36"/>
    </w:rPr>
  </w:style>
  <w:style w:type="paragraph" w:customStyle="1" w:styleId="116">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7">
    <w:name w:val="Table Paragraph"/>
    <w:basedOn w:val="1"/>
    <w:qFormat/>
    <w:uiPriority w:val="1"/>
  </w:style>
  <w:style w:type="paragraph" w:customStyle="1" w:styleId="118">
    <w:name w:val="纯文本1"/>
    <w:basedOn w:val="1"/>
    <w:qFormat/>
    <w:uiPriority w:val="0"/>
    <w:rPr>
      <w:rFonts w:ascii="宋体" w:hAnsi="Courier New" w:eastAsia="宋体" w:cs="Times New Roman"/>
      <w:szCs w:val="22"/>
    </w:rPr>
  </w:style>
  <w:style w:type="paragraph" w:customStyle="1" w:styleId="119">
    <w:name w:val="WPSOffice手动目录 1"/>
    <w:qFormat/>
    <w:uiPriority w:val="0"/>
    <w:pPr>
      <w:ind w:leftChars="0"/>
    </w:pPr>
    <w:rPr>
      <w:rFonts w:ascii="Times New Roman" w:hAnsi="Times New Roman" w:eastAsia="宋体" w:cs="Times New Roman"/>
      <w:sz w:val="20"/>
      <w:szCs w:val="20"/>
    </w:rPr>
  </w:style>
  <w:style w:type="paragraph" w:customStyle="1" w:styleId="120">
    <w:name w:val="WPSOffice手动目录 2"/>
    <w:qFormat/>
    <w:uiPriority w:val="0"/>
    <w:pPr>
      <w:ind w:leftChars="200"/>
    </w:pPr>
    <w:rPr>
      <w:rFonts w:ascii="Times New Roman" w:hAnsi="Times New Roman" w:eastAsia="宋体" w:cs="Times New Roman"/>
      <w:sz w:val="20"/>
      <w:szCs w:val="20"/>
    </w:rPr>
  </w:style>
  <w:style w:type="paragraph" w:customStyle="1" w:styleId="121">
    <w:name w:val="WPSOffice手动目录 3"/>
    <w:qFormat/>
    <w:uiPriority w:val="0"/>
    <w:pPr>
      <w:ind w:leftChars="400"/>
    </w:pPr>
    <w:rPr>
      <w:rFonts w:ascii="Times New Roman" w:hAnsi="Times New Roman" w:eastAsia="宋体" w:cs="Times New Roman"/>
      <w:sz w:val="20"/>
      <w:szCs w:val="20"/>
    </w:rPr>
  </w:style>
  <w:style w:type="character" w:customStyle="1" w:styleId="122">
    <w:name w:val="mini-outputtext1"/>
    <w:basedOn w:val="37"/>
    <w:qFormat/>
    <w:uiPriority w:val="0"/>
  </w:style>
  <w:style w:type="character" w:customStyle="1" w:styleId="123">
    <w:name w:val="NormalCharacter"/>
    <w:link w:val="1"/>
    <w:semiHidden/>
    <w:qFormat/>
    <w:uiPriority w:val="0"/>
    <w:rPr>
      <w:rFonts w:cs="Times New Roman" w:asciiTheme="minorHAnsi" w:hAnsiTheme="minorHAnsi" w:eastAsiaTheme="minorEastAsia"/>
      <w:sz w:val="24"/>
      <w:szCs w:val="24"/>
      <w:lang w:val="en-US" w:eastAsia="zh-CN" w:bidi="ar-SA"/>
    </w:rPr>
  </w:style>
  <w:style w:type="paragraph" w:customStyle="1" w:styleId="124">
    <w:name w:val="AnnotationText"/>
    <w:basedOn w:val="1"/>
    <w:qFormat/>
    <w:uiPriority w:val="0"/>
    <w:pPr>
      <w:widowControl/>
      <w:jc w:val="left"/>
      <w:textAlignment w:val="baseline"/>
    </w:pPr>
    <w:rPr>
      <w:rFonts w:ascii="宋体" w:hAnsi="宋体" w:eastAsia="Times New Roman"/>
      <w:sz w:val="24"/>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102</Pages>
  <Words>39285</Words>
  <Characters>43126</Characters>
  <Lines>1035</Lines>
  <Paragraphs>716</Paragraphs>
  <TotalTime>70</TotalTime>
  <ScaleCrop>false</ScaleCrop>
  <LinksUpToDate>false</LinksUpToDate>
  <CharactersWithSpaces>45123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じ☆veSunny</cp:lastModifiedBy>
  <cp:lastPrinted>2022-06-13T05:23:00Z</cp:lastPrinted>
  <dcterms:modified xsi:type="dcterms:W3CDTF">2022-08-16T07:51:15Z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B891CFFBEDFE459A85991E0CCA9746DE</vt:lpwstr>
  </property>
</Properties>
</file>