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color w:val="auto"/>
          <w:highlight w:val="none"/>
        </w:rPr>
      </w:pPr>
      <w:bookmarkStart w:id="0" w:name="_Toc183682338"/>
      <w:bookmarkStart w:id="1" w:name="_Toc217446030"/>
      <w:r>
        <w:rPr>
          <w:rFonts w:hint="eastAsia" w:ascii="宋体" w:hAnsi="宋体" w:cs="宋体"/>
          <w:color w:val="auto"/>
          <w:highlight w:val="none"/>
        </w:rPr>
        <w:t xml:space="preserve"> </w:t>
      </w:r>
    </w:p>
    <w:bookmarkEnd w:id="0"/>
    <w:bookmarkEnd w:id="1"/>
    <w:p>
      <w:pPr>
        <w:tabs>
          <w:tab w:val="left" w:pos="5670"/>
        </w:tabs>
        <w:autoSpaceDE w:val="0"/>
        <w:autoSpaceDN w:val="0"/>
        <w:adjustRightInd w:val="0"/>
        <w:spacing w:line="360" w:lineRule="auto"/>
        <w:jc w:val="right"/>
        <w:rPr>
          <w:rFonts w:ascii="宋体" w:hAnsi="宋体" w:cs="宋体"/>
          <w:b/>
          <w:bCs/>
          <w:color w:val="auto"/>
          <w:sz w:val="32"/>
          <w:szCs w:val="32"/>
          <w:highlight w:val="none"/>
          <w:lang w:val="zh-CN"/>
        </w:rPr>
      </w:pPr>
      <w:bookmarkStart w:id="2" w:name="_Toc10529"/>
      <w:bookmarkStart w:id="3" w:name="_Toc531256389"/>
      <w:bookmarkStart w:id="4" w:name="_Toc19445"/>
      <w:bookmarkStart w:id="5" w:name="_Toc531683071"/>
      <w:r>
        <w:rPr>
          <w:rFonts w:hint="eastAsia" w:ascii="宋体" w:hAnsi="宋体" w:cs="宋体"/>
          <w:b/>
          <w:bCs/>
          <w:color w:val="auto"/>
          <w:sz w:val="32"/>
          <w:szCs w:val="32"/>
          <w:highlight w:val="none"/>
          <w:lang w:val="zh-CN"/>
        </w:rPr>
        <w:t xml:space="preserve">    </w:t>
      </w:r>
      <w:r>
        <w:rPr>
          <w:rFonts w:hint="eastAsia" w:ascii="宋体" w:hAnsi="宋体" w:cs="宋体"/>
          <w:b/>
          <w:bCs/>
          <w:color w:val="auto"/>
          <w:sz w:val="32"/>
          <w:szCs w:val="32"/>
          <w:highlight w:val="none"/>
        </w:rPr>
        <w:drawing>
          <wp:anchor distT="0" distB="0" distL="0" distR="0" simplePos="0" relativeHeight="251659264" behindDoc="0" locked="0" layoutInCell="1" allowOverlap="1">
            <wp:simplePos x="0" y="0"/>
            <wp:positionH relativeFrom="column">
              <wp:posOffset>48895</wp:posOffset>
            </wp:positionH>
            <wp:positionV relativeFrom="paragraph">
              <wp:posOffset>1905</wp:posOffset>
            </wp:positionV>
            <wp:extent cx="2760980" cy="551180"/>
            <wp:effectExtent l="0" t="0" r="1270" b="1270"/>
            <wp:wrapNone/>
            <wp:docPr id="1026" name="图片 3" descr="图形2"/>
            <wp:cNvGraphicFramePr/>
            <a:graphic xmlns:a="http://schemas.openxmlformats.org/drawingml/2006/main">
              <a:graphicData uri="http://schemas.openxmlformats.org/drawingml/2006/picture">
                <pic:pic xmlns:pic="http://schemas.openxmlformats.org/drawingml/2006/picture">
                  <pic:nvPicPr>
                    <pic:cNvPr id="1026" name="图片 3" descr="图形2"/>
                    <pic:cNvPicPr/>
                  </pic:nvPicPr>
                  <pic:blipFill>
                    <a:blip r:embed="rId14" cstate="print"/>
                    <a:srcRect/>
                    <a:stretch>
                      <a:fillRect/>
                    </a:stretch>
                  </pic:blipFill>
                  <pic:spPr>
                    <a:xfrm>
                      <a:off x="0" y="0"/>
                      <a:ext cx="2760980" cy="551180"/>
                    </a:xfrm>
                    <a:prstGeom prst="rect">
                      <a:avLst/>
                    </a:prstGeom>
                    <a:ln>
                      <a:noFill/>
                    </a:ln>
                  </pic:spPr>
                </pic:pic>
              </a:graphicData>
            </a:graphic>
          </wp:anchor>
        </w:drawing>
      </w:r>
      <w:r>
        <w:rPr>
          <w:rFonts w:hint="eastAsia" w:ascii="宋体" w:hAnsi="宋体" w:cs="宋体"/>
          <w:b/>
          <w:bCs/>
          <w:color w:val="auto"/>
          <w:sz w:val="32"/>
          <w:szCs w:val="32"/>
          <w:highlight w:val="none"/>
          <w:bdr w:val="single" w:color="auto" w:sz="4" w:space="0"/>
          <w:lang w:val="zh-CN"/>
        </w:rPr>
        <w:t>政府采购项目</w:t>
      </w:r>
    </w:p>
    <w:p>
      <w:pPr>
        <w:tabs>
          <w:tab w:val="left" w:pos="5670"/>
        </w:tabs>
        <w:autoSpaceDE w:val="0"/>
        <w:autoSpaceDN w:val="0"/>
        <w:adjustRightInd w:val="0"/>
        <w:spacing w:line="360" w:lineRule="auto"/>
        <w:rPr>
          <w:rFonts w:ascii="宋体" w:hAnsi="宋体" w:cs="宋体"/>
          <w:b/>
          <w:bCs/>
          <w:color w:val="auto"/>
          <w:sz w:val="32"/>
          <w:szCs w:val="32"/>
          <w:highlight w:val="none"/>
          <w:lang w:val="zh-CN"/>
        </w:rPr>
      </w:pPr>
    </w:p>
    <w:p>
      <w:pPr>
        <w:tabs>
          <w:tab w:val="left" w:pos="5670"/>
          <w:tab w:val="left" w:pos="6663"/>
        </w:tabs>
        <w:autoSpaceDE w:val="0"/>
        <w:autoSpaceDN w:val="0"/>
        <w:adjustRightInd w:val="0"/>
        <w:snapToGrid w:val="0"/>
        <w:spacing w:line="360" w:lineRule="auto"/>
        <w:jc w:val="center"/>
        <w:rPr>
          <w:rFonts w:ascii="宋体" w:hAnsi="宋体" w:cs="宋体"/>
          <w:b/>
          <w:color w:val="auto"/>
          <w:sz w:val="44"/>
          <w:szCs w:val="44"/>
          <w:highlight w:val="none"/>
        </w:rPr>
      </w:pPr>
    </w:p>
    <w:p>
      <w:pPr>
        <w:pStyle w:val="15"/>
        <w:rPr>
          <w:color w:val="auto"/>
          <w:highlight w:val="none"/>
        </w:rPr>
      </w:pPr>
    </w:p>
    <w:p>
      <w:pPr>
        <w:pStyle w:val="15"/>
        <w:rPr>
          <w:rFonts w:ascii="宋体" w:hAnsi="宋体" w:cs="宋体"/>
          <w:color w:val="auto"/>
          <w:highlight w:val="none"/>
        </w:rPr>
      </w:pPr>
    </w:p>
    <w:p>
      <w:pPr>
        <w:tabs>
          <w:tab w:val="left" w:pos="5670"/>
          <w:tab w:val="left" w:pos="6663"/>
        </w:tabs>
        <w:autoSpaceDE w:val="0"/>
        <w:autoSpaceDN w:val="0"/>
        <w:adjustRightInd w:val="0"/>
        <w:snapToGrid w:val="0"/>
        <w:spacing w:line="360" w:lineRule="auto"/>
        <w:jc w:val="center"/>
        <w:rPr>
          <w:rFonts w:hint="eastAsia" w:ascii="宋体" w:hAnsi="宋体" w:cs="宋体"/>
          <w:b/>
          <w:color w:val="auto"/>
          <w:spacing w:val="-6"/>
          <w:sz w:val="48"/>
          <w:szCs w:val="48"/>
          <w:highlight w:val="none"/>
          <w:lang w:eastAsia="zh-CN"/>
        </w:rPr>
      </w:pPr>
      <w:r>
        <w:rPr>
          <w:rFonts w:hint="eastAsia" w:ascii="宋体" w:hAnsi="宋体" w:cs="宋体"/>
          <w:b/>
          <w:color w:val="auto"/>
          <w:spacing w:val="-6"/>
          <w:sz w:val="48"/>
          <w:szCs w:val="48"/>
          <w:highlight w:val="none"/>
          <w:lang w:eastAsia="zh-CN"/>
        </w:rPr>
        <w:t>西安商贸旅游技师学院</w:t>
      </w:r>
    </w:p>
    <w:p>
      <w:pPr>
        <w:tabs>
          <w:tab w:val="left" w:pos="5670"/>
          <w:tab w:val="left" w:pos="6663"/>
        </w:tabs>
        <w:autoSpaceDE w:val="0"/>
        <w:autoSpaceDN w:val="0"/>
        <w:adjustRightInd w:val="0"/>
        <w:snapToGrid w:val="0"/>
        <w:spacing w:line="360" w:lineRule="auto"/>
        <w:jc w:val="center"/>
        <w:rPr>
          <w:rFonts w:hint="eastAsia" w:ascii="宋体" w:hAnsi="宋体" w:eastAsia="宋体" w:cs="宋体"/>
          <w:b/>
          <w:color w:val="auto"/>
          <w:spacing w:val="-6"/>
          <w:sz w:val="48"/>
          <w:szCs w:val="48"/>
          <w:highlight w:val="none"/>
          <w:lang w:eastAsia="zh-CN"/>
        </w:rPr>
      </w:pPr>
      <w:r>
        <w:rPr>
          <w:rFonts w:hint="eastAsia" w:ascii="宋体" w:hAnsi="宋体" w:cs="宋体"/>
          <w:b/>
          <w:color w:val="auto"/>
          <w:spacing w:val="-6"/>
          <w:sz w:val="48"/>
          <w:szCs w:val="48"/>
          <w:highlight w:val="none"/>
          <w:lang w:eastAsia="zh-CN"/>
        </w:rPr>
        <w:t>烹饪系、食品系实训课原材料采购项目</w:t>
      </w:r>
    </w:p>
    <w:p>
      <w:pPr>
        <w:tabs>
          <w:tab w:val="left" w:pos="5670"/>
          <w:tab w:val="left" w:pos="6663"/>
        </w:tabs>
        <w:autoSpaceDE w:val="0"/>
        <w:autoSpaceDN w:val="0"/>
        <w:adjustRightInd w:val="0"/>
        <w:snapToGrid w:val="0"/>
        <w:spacing w:line="360" w:lineRule="auto"/>
        <w:jc w:val="center"/>
        <w:rPr>
          <w:rFonts w:ascii="宋体" w:hAnsi="宋体" w:cs="宋体"/>
          <w:b/>
          <w:color w:val="auto"/>
          <w:spacing w:val="-6"/>
          <w:sz w:val="40"/>
          <w:szCs w:val="40"/>
          <w:highlight w:val="none"/>
        </w:rPr>
      </w:pPr>
      <w:r>
        <w:rPr>
          <w:rFonts w:hint="eastAsia" w:ascii="宋体" w:hAnsi="宋体" w:cs="宋体"/>
          <w:b/>
          <w:color w:val="auto"/>
          <w:spacing w:val="-6"/>
          <w:sz w:val="40"/>
          <w:szCs w:val="40"/>
          <w:highlight w:val="none"/>
        </w:rPr>
        <w:t>（项目编号：</w:t>
      </w:r>
      <w:r>
        <w:rPr>
          <w:rFonts w:hint="eastAsia" w:ascii="宋体" w:hAnsi="宋体" w:cs="宋体"/>
          <w:b/>
          <w:color w:val="auto"/>
          <w:spacing w:val="-6"/>
          <w:sz w:val="40"/>
          <w:szCs w:val="40"/>
          <w:highlight w:val="none"/>
          <w:lang w:eastAsia="zh-CN"/>
        </w:rPr>
        <w:t>MZ2023-TP1007</w:t>
      </w:r>
      <w:r>
        <w:rPr>
          <w:rFonts w:hint="eastAsia" w:ascii="宋体" w:hAnsi="宋体" w:cs="宋体"/>
          <w:b/>
          <w:color w:val="auto"/>
          <w:spacing w:val="-6"/>
          <w:sz w:val="40"/>
          <w:szCs w:val="40"/>
          <w:highlight w:val="none"/>
        </w:rPr>
        <w:t>）</w:t>
      </w:r>
    </w:p>
    <w:p>
      <w:pPr>
        <w:pStyle w:val="114"/>
        <w:rPr>
          <w:rFonts w:ascii="宋体" w:hAnsi="宋体" w:eastAsia="宋体" w:cs="宋体"/>
          <w:color w:val="auto"/>
          <w:highlight w:val="none"/>
        </w:rPr>
      </w:pPr>
      <w:bookmarkStart w:id="6" w:name="_Toc532549500"/>
    </w:p>
    <w:p>
      <w:pPr>
        <w:pStyle w:val="114"/>
        <w:rPr>
          <w:rFonts w:ascii="宋体" w:hAnsi="宋体" w:eastAsia="宋体" w:cs="宋体"/>
          <w:color w:val="auto"/>
          <w:highlight w:val="none"/>
        </w:rPr>
      </w:pPr>
    </w:p>
    <w:p>
      <w:pPr>
        <w:pStyle w:val="114"/>
        <w:rPr>
          <w:rFonts w:ascii="宋体" w:hAnsi="宋体" w:eastAsia="宋体" w:cs="宋体"/>
          <w:color w:val="auto"/>
          <w:highlight w:val="none"/>
        </w:rPr>
      </w:pPr>
    </w:p>
    <w:p>
      <w:pPr>
        <w:pStyle w:val="114"/>
        <w:rPr>
          <w:rFonts w:ascii="宋体" w:hAnsi="宋体" w:eastAsia="宋体" w:cs="宋体"/>
          <w:color w:val="auto"/>
          <w:highlight w:val="none"/>
        </w:rPr>
      </w:pPr>
    </w:p>
    <w:p>
      <w:pPr>
        <w:pStyle w:val="114"/>
        <w:rPr>
          <w:rFonts w:ascii="宋体" w:hAnsi="宋体" w:eastAsia="宋体" w:cs="宋体"/>
          <w:color w:val="auto"/>
          <w:highlight w:val="none"/>
        </w:rPr>
      </w:pPr>
    </w:p>
    <w:p>
      <w:pPr>
        <w:jc w:val="center"/>
        <w:rPr>
          <w:rFonts w:ascii="宋体" w:hAnsi="宋体" w:cs="宋体"/>
          <w:b/>
          <w:color w:val="auto"/>
          <w:kern w:val="0"/>
          <w:sz w:val="44"/>
          <w:szCs w:val="44"/>
          <w:highlight w:val="none"/>
        </w:rPr>
      </w:pPr>
    </w:p>
    <w:bookmarkEnd w:id="6"/>
    <w:p>
      <w:pPr>
        <w:jc w:val="center"/>
        <w:rPr>
          <w:rFonts w:ascii="宋体" w:hAnsi="宋体" w:cs="宋体"/>
          <w:b/>
          <w:color w:val="auto"/>
          <w:kern w:val="0"/>
          <w:sz w:val="72"/>
          <w:szCs w:val="72"/>
          <w:highlight w:val="none"/>
        </w:rPr>
      </w:pPr>
      <w:r>
        <w:rPr>
          <w:rFonts w:hint="eastAsia" w:ascii="宋体" w:hAnsi="宋体" w:cs="宋体"/>
          <w:b/>
          <w:color w:val="auto"/>
          <w:kern w:val="0"/>
          <w:sz w:val="44"/>
          <w:szCs w:val="44"/>
          <w:highlight w:val="none"/>
        </w:rPr>
        <w:t>竞争性谈判文件</w:t>
      </w:r>
    </w:p>
    <w:p>
      <w:pPr>
        <w:pStyle w:val="15"/>
        <w:jc w:val="center"/>
        <w:rPr>
          <w:rFonts w:ascii="宋体" w:hAnsi="宋体" w:cs="宋体"/>
          <w:b/>
          <w:color w:val="auto"/>
          <w:kern w:val="0"/>
          <w:sz w:val="44"/>
          <w:szCs w:val="44"/>
          <w:highlight w:val="none"/>
        </w:rPr>
      </w:pPr>
    </w:p>
    <w:p>
      <w:pPr>
        <w:rPr>
          <w:rFonts w:ascii="宋体" w:hAnsi="宋体" w:cs="宋体"/>
          <w:color w:val="auto"/>
          <w:highlight w:val="none"/>
        </w:rPr>
      </w:pPr>
    </w:p>
    <w:p>
      <w:pPr>
        <w:autoSpaceDE w:val="0"/>
        <w:autoSpaceDN w:val="0"/>
        <w:adjustRightInd w:val="0"/>
        <w:snapToGrid w:val="0"/>
        <w:spacing w:line="360" w:lineRule="auto"/>
        <w:rPr>
          <w:rFonts w:ascii="宋体" w:hAnsi="宋体" w:cs="宋体"/>
          <w:b/>
          <w:bCs/>
          <w:color w:val="auto"/>
          <w:sz w:val="32"/>
          <w:szCs w:val="32"/>
          <w:highlight w:val="none"/>
          <w:lang w:val="zh-CN"/>
        </w:rPr>
      </w:pPr>
    </w:p>
    <w:p>
      <w:pPr>
        <w:autoSpaceDE w:val="0"/>
        <w:autoSpaceDN w:val="0"/>
        <w:adjustRightInd w:val="0"/>
        <w:snapToGrid w:val="0"/>
        <w:spacing w:line="360" w:lineRule="auto"/>
        <w:rPr>
          <w:rFonts w:ascii="宋体" w:hAnsi="宋体" w:cs="宋体"/>
          <w:b/>
          <w:bCs/>
          <w:color w:val="auto"/>
          <w:sz w:val="32"/>
          <w:szCs w:val="32"/>
          <w:highlight w:val="none"/>
          <w:lang w:val="zh-CN"/>
        </w:rPr>
      </w:pPr>
    </w:p>
    <w:p>
      <w:pPr>
        <w:pStyle w:val="15"/>
        <w:rPr>
          <w:rFonts w:ascii="宋体" w:hAnsi="宋体" w:cs="宋体"/>
          <w:b/>
          <w:bCs/>
          <w:color w:val="auto"/>
          <w:sz w:val="32"/>
          <w:szCs w:val="32"/>
          <w:highlight w:val="none"/>
          <w:lang w:val="zh-CN"/>
        </w:rPr>
      </w:pPr>
    </w:p>
    <w:p>
      <w:pPr>
        <w:rPr>
          <w:color w:val="auto"/>
          <w:highlight w:val="none"/>
          <w:lang w:val="zh-CN"/>
        </w:rPr>
      </w:pPr>
    </w:p>
    <w:p>
      <w:pPr>
        <w:autoSpaceDE w:val="0"/>
        <w:autoSpaceDN w:val="0"/>
        <w:adjustRightInd w:val="0"/>
        <w:snapToGrid w:val="0"/>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陕西明正招标有限公司</w:t>
      </w:r>
    </w:p>
    <w:p>
      <w:pPr>
        <w:autoSpaceDE w:val="0"/>
        <w:autoSpaceDN w:val="0"/>
        <w:adjustRightInd w:val="0"/>
        <w:snapToGrid w:val="0"/>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二零二</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val="zh-CN"/>
        </w:rPr>
        <w:t>年</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lang w:val="zh-CN"/>
        </w:rPr>
        <w:t>月</w:t>
      </w:r>
    </w:p>
    <w:p>
      <w:pPr>
        <w:pStyle w:val="15"/>
        <w:rPr>
          <w:rFonts w:ascii="宋体" w:hAnsi="宋体" w:cs="宋体"/>
          <w:b/>
          <w:bCs/>
          <w:color w:val="auto"/>
          <w:sz w:val="32"/>
          <w:szCs w:val="32"/>
          <w:highlight w:val="none"/>
          <w:lang w:val="zh-CN"/>
        </w:rPr>
      </w:pPr>
    </w:p>
    <w:p>
      <w:pPr>
        <w:rPr>
          <w:color w:val="auto"/>
          <w:highlight w:val="none"/>
        </w:rPr>
        <w:sectPr>
          <w:headerReference r:id="rId4" w:type="first"/>
          <w:footerReference r:id="rId6" w:type="first"/>
          <w:headerReference r:id="rId3" w:type="default"/>
          <w:footerReference r:id="rId5" w:type="default"/>
          <w:pgSz w:w="11906" w:h="16838"/>
          <w:pgMar w:top="1440" w:right="1080" w:bottom="1440" w:left="1080" w:header="720" w:footer="720" w:gutter="0"/>
          <w:cols w:space="720" w:num="1"/>
          <w:titlePg/>
          <w:docGrid w:linePitch="312" w:charSpace="0"/>
        </w:sectPr>
      </w:pPr>
    </w:p>
    <w:p>
      <w:pPr>
        <w:spacing w:line="360" w:lineRule="auto"/>
        <w:jc w:val="center"/>
        <w:rPr>
          <w:rFonts w:ascii="宋体" w:hAnsi="宋体" w:cs="宋体"/>
          <w:b/>
          <w:bCs/>
          <w:color w:val="auto"/>
          <w:sz w:val="44"/>
          <w:szCs w:val="44"/>
          <w:highlight w:val="none"/>
          <w:lang w:val="zh-CN"/>
        </w:rPr>
      </w:pPr>
      <w:bookmarkStart w:id="7" w:name="_Toc22435"/>
      <w:bookmarkStart w:id="8" w:name="_Toc28205"/>
      <w:bookmarkStart w:id="9" w:name="_Toc2983"/>
      <w:r>
        <w:rPr>
          <w:rFonts w:hint="eastAsia" w:ascii="宋体" w:hAnsi="宋体" w:cs="宋体"/>
          <w:b/>
          <w:bCs/>
          <w:color w:val="auto"/>
          <w:sz w:val="44"/>
          <w:szCs w:val="44"/>
          <w:highlight w:val="none"/>
          <w:lang w:val="zh-CN"/>
        </w:rPr>
        <w:t>温馨提示</w:t>
      </w:r>
    </w:p>
    <w:p>
      <w:pPr>
        <w:spacing w:line="360" w:lineRule="auto"/>
        <w:ind w:firstLine="620" w:firstLineChars="194"/>
        <w:rPr>
          <w:rFonts w:ascii="宋体" w:hAnsi="宋体"/>
          <w:bCs/>
          <w:color w:val="auto"/>
          <w:sz w:val="32"/>
          <w:szCs w:val="32"/>
          <w:highlight w:val="none"/>
          <w:lang w:val="zh-CN"/>
        </w:rPr>
      </w:pPr>
      <w:r>
        <w:rPr>
          <w:rFonts w:hint="eastAsia" w:ascii="宋体" w:hAnsi="宋体"/>
          <w:bCs/>
          <w:color w:val="auto"/>
          <w:sz w:val="32"/>
          <w:szCs w:val="32"/>
          <w:highlight w:val="none"/>
        </w:rPr>
        <w:t>领取谈判</w:t>
      </w:r>
      <w:r>
        <w:rPr>
          <w:rFonts w:hint="eastAsia" w:ascii="宋体" w:hAnsi="宋体"/>
          <w:bCs/>
          <w:color w:val="auto"/>
          <w:sz w:val="32"/>
          <w:szCs w:val="32"/>
          <w:highlight w:val="none"/>
          <w:lang w:val="zh-CN"/>
        </w:rPr>
        <w:t>文件后，请仔细阅读，如有疑问，请来电咨询。项目部电话：029-87551608。财务部电话：029-87551611</w:t>
      </w:r>
    </w:p>
    <w:p>
      <w:pPr>
        <w:spacing w:line="360" w:lineRule="auto"/>
        <w:ind w:firstLine="1260" w:firstLineChars="394"/>
        <w:rPr>
          <w:rFonts w:ascii="宋体" w:hAnsi="宋体"/>
          <w:bCs/>
          <w:color w:val="auto"/>
          <w:sz w:val="32"/>
          <w:szCs w:val="32"/>
          <w:highlight w:val="none"/>
          <w:lang w:val="zh-CN"/>
        </w:rPr>
      </w:pPr>
    </w:p>
    <w:p>
      <w:pPr>
        <w:spacing w:line="360" w:lineRule="auto"/>
        <w:ind w:firstLine="1260" w:firstLineChars="394"/>
        <w:rPr>
          <w:rFonts w:ascii="宋体" w:hAnsi="宋体"/>
          <w:bCs/>
          <w:color w:val="auto"/>
          <w:sz w:val="32"/>
          <w:szCs w:val="32"/>
          <w:highlight w:val="none"/>
          <w:lang w:val="zh-CN"/>
        </w:rPr>
      </w:pPr>
      <w:r>
        <w:rPr>
          <w:rFonts w:hint="eastAsia" w:ascii="宋体" w:hAnsi="宋体"/>
          <w:bCs/>
          <w:color w:val="auto"/>
          <w:sz w:val="32"/>
          <w:szCs w:val="32"/>
          <w:highlight w:val="none"/>
          <w:lang w:val="zh-CN"/>
        </w:rPr>
        <w:t>请将委托</w:t>
      </w:r>
      <w:r>
        <w:rPr>
          <w:rFonts w:hint="eastAsia" w:ascii="宋体" w:hAnsi="宋体"/>
          <w:b/>
          <w:color w:val="auto"/>
          <w:sz w:val="32"/>
          <w:szCs w:val="32"/>
          <w:highlight w:val="none"/>
          <w:lang w:val="zh-CN"/>
        </w:rPr>
        <w:t>代理服务费</w:t>
      </w:r>
      <w:r>
        <w:rPr>
          <w:rFonts w:hint="eastAsia" w:ascii="宋体" w:hAnsi="宋体"/>
          <w:bCs/>
          <w:color w:val="auto"/>
          <w:sz w:val="32"/>
          <w:szCs w:val="32"/>
          <w:highlight w:val="none"/>
          <w:lang w:val="zh-CN"/>
        </w:rPr>
        <w:t>汇至下列指定账户：</w:t>
      </w:r>
    </w:p>
    <w:p>
      <w:pPr>
        <w:widowControl/>
        <w:spacing w:line="540" w:lineRule="exact"/>
        <w:ind w:right="-197" w:rightChars="-94" w:firstLine="1440" w:firstLineChars="450"/>
        <w:jc w:val="left"/>
        <w:rPr>
          <w:rFonts w:ascii="宋体" w:hAnsi="宋体"/>
          <w:color w:val="auto"/>
          <w:kern w:val="0"/>
          <w:sz w:val="32"/>
          <w:szCs w:val="32"/>
          <w:highlight w:val="none"/>
        </w:rPr>
      </w:pPr>
      <w:r>
        <w:rPr>
          <w:rFonts w:hint="eastAsia" w:ascii="宋体" w:hAnsi="宋体"/>
          <w:color w:val="auto"/>
          <w:kern w:val="0"/>
          <w:sz w:val="32"/>
          <w:szCs w:val="32"/>
          <w:highlight w:val="none"/>
        </w:rPr>
        <w:t>开户名称：陕西明正招标有限公司</w:t>
      </w:r>
    </w:p>
    <w:p>
      <w:pPr>
        <w:widowControl/>
        <w:spacing w:line="540" w:lineRule="exact"/>
        <w:ind w:right="-197" w:rightChars="-94" w:firstLine="1440" w:firstLineChars="450"/>
        <w:jc w:val="left"/>
        <w:rPr>
          <w:rFonts w:ascii="宋体" w:hAnsi="宋体"/>
          <w:color w:val="auto"/>
          <w:kern w:val="0"/>
          <w:sz w:val="32"/>
          <w:szCs w:val="32"/>
          <w:highlight w:val="none"/>
        </w:rPr>
      </w:pPr>
      <w:r>
        <w:rPr>
          <w:rFonts w:hint="eastAsia" w:ascii="宋体" w:hAnsi="宋体"/>
          <w:color w:val="auto"/>
          <w:kern w:val="0"/>
          <w:sz w:val="32"/>
          <w:szCs w:val="32"/>
          <w:highlight w:val="none"/>
        </w:rPr>
        <w:t>开户行名称：招商银行股份有限公司西安白沙路支行</w:t>
      </w:r>
    </w:p>
    <w:p>
      <w:pPr>
        <w:widowControl/>
        <w:spacing w:line="540" w:lineRule="exact"/>
        <w:ind w:right="-197" w:rightChars="-94" w:firstLine="1440" w:firstLineChars="450"/>
        <w:jc w:val="left"/>
        <w:rPr>
          <w:rFonts w:ascii="宋体" w:hAnsi="宋体"/>
          <w:color w:val="auto"/>
          <w:kern w:val="0"/>
          <w:sz w:val="32"/>
          <w:szCs w:val="32"/>
          <w:highlight w:val="none"/>
        </w:rPr>
      </w:pPr>
      <w:r>
        <w:rPr>
          <w:rFonts w:hint="eastAsia" w:ascii="宋体" w:hAnsi="宋体"/>
          <w:color w:val="auto"/>
          <w:kern w:val="0"/>
          <w:sz w:val="32"/>
          <w:szCs w:val="32"/>
          <w:highlight w:val="none"/>
        </w:rPr>
        <w:t>账      号：129907967910101</w:t>
      </w:r>
    </w:p>
    <w:p>
      <w:pPr>
        <w:spacing w:line="360" w:lineRule="auto"/>
        <w:ind w:firstLine="203" w:firstLineChars="46"/>
        <w:jc w:val="center"/>
        <w:rPr>
          <w:rFonts w:ascii="宋体" w:hAnsi="宋体" w:cs="宋体"/>
          <w:b/>
          <w:bCs/>
          <w:color w:val="auto"/>
          <w:sz w:val="36"/>
          <w:szCs w:val="36"/>
          <w:highlight w:val="none"/>
        </w:rPr>
      </w:pPr>
      <w:r>
        <w:rPr>
          <w:rFonts w:hint="eastAsia" w:ascii="宋体" w:hAnsi="宋体" w:cs="宋体"/>
          <w:b/>
          <w:bCs/>
          <w:color w:val="auto"/>
          <w:sz w:val="44"/>
          <w:szCs w:val="44"/>
          <w:highlight w:val="none"/>
        </w:rPr>
        <w:br w:type="page"/>
      </w:r>
      <w:r>
        <w:rPr>
          <w:rFonts w:hint="eastAsia" w:ascii="宋体" w:hAnsi="宋体" w:cs="宋体"/>
          <w:b/>
          <w:bCs/>
          <w:color w:val="auto"/>
          <w:sz w:val="44"/>
          <w:szCs w:val="44"/>
          <w:highlight w:val="none"/>
        </w:rPr>
        <w:t>特别</w:t>
      </w:r>
      <w:r>
        <w:rPr>
          <w:rFonts w:hint="eastAsia" w:ascii="宋体" w:hAnsi="宋体" w:cs="宋体"/>
          <w:b/>
          <w:bCs/>
          <w:color w:val="auto"/>
          <w:sz w:val="44"/>
          <w:szCs w:val="44"/>
          <w:highlight w:val="none"/>
          <w:lang w:val="zh-CN"/>
        </w:rPr>
        <w:t>提示</w:t>
      </w:r>
    </w:p>
    <w:p>
      <w:pPr>
        <w:spacing w:line="336" w:lineRule="auto"/>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t>一、供应商入库</w:t>
      </w:r>
    </w:p>
    <w:p>
      <w:pPr>
        <w:pStyle w:val="31"/>
        <w:spacing w:before="0" w:beforeAutospacing="0" w:after="0" w:afterAutospacing="0" w:line="360" w:lineRule="auto"/>
        <w:ind w:firstLine="560" w:firstLineChars="200"/>
        <w:rPr>
          <w:rFonts w:cs="宋体"/>
          <w:bCs/>
          <w:color w:val="auto"/>
          <w:sz w:val="28"/>
          <w:szCs w:val="28"/>
          <w:highlight w:val="none"/>
        </w:rPr>
      </w:pPr>
      <w:r>
        <w:rPr>
          <w:rFonts w:hint="eastAsia" w:cs="宋体"/>
          <w:bCs/>
          <w:color w:val="auto"/>
          <w:sz w:val="28"/>
          <w:szCs w:val="28"/>
          <w:highlight w:val="none"/>
        </w:rPr>
        <w:t>请各供应商领取谈判文件后，按照陕西省财政厅《关于政府采购供应商注册登记有关事项的通知》要求，通过陕西省政府采购网注册登记加入陕西省政府采购供应商库。</w:t>
      </w:r>
    </w:p>
    <w:p>
      <w:pPr>
        <w:spacing w:line="360" w:lineRule="auto"/>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入库流程：</w:t>
      </w:r>
    </w:p>
    <w:p>
      <w:pPr>
        <w:pStyle w:val="31"/>
        <w:spacing w:before="0" w:beforeAutospacing="0" w:after="0" w:afterAutospacing="0" w:line="360" w:lineRule="auto"/>
        <w:ind w:firstLine="560" w:firstLineChars="200"/>
        <w:rPr>
          <w:rFonts w:cs="宋体"/>
          <w:bCs/>
          <w:color w:val="auto"/>
          <w:sz w:val="28"/>
          <w:szCs w:val="28"/>
          <w:highlight w:val="none"/>
        </w:rPr>
      </w:pPr>
      <w:r>
        <w:rPr>
          <w:rFonts w:hint="eastAsia" w:cs="宋体"/>
          <w:bCs/>
          <w:color w:val="auto"/>
          <w:sz w:val="28"/>
          <w:szCs w:val="28"/>
          <w:highlight w:val="none"/>
        </w:rPr>
        <w:t>1.登陆陕西省政府采购网，自行注册并获取供应商用户名及密码。</w:t>
      </w:r>
    </w:p>
    <w:p>
      <w:pPr>
        <w:pStyle w:val="31"/>
        <w:spacing w:before="0" w:beforeAutospacing="0" w:after="0" w:afterAutospacing="0" w:line="360" w:lineRule="auto"/>
        <w:ind w:firstLine="560" w:firstLineChars="200"/>
        <w:rPr>
          <w:rFonts w:cs="宋体"/>
          <w:bCs/>
          <w:color w:val="auto"/>
          <w:sz w:val="28"/>
          <w:szCs w:val="28"/>
          <w:highlight w:val="none"/>
        </w:rPr>
      </w:pPr>
      <w:r>
        <w:rPr>
          <w:rFonts w:hint="eastAsia" w:cs="宋体"/>
          <w:bCs/>
          <w:color w:val="auto"/>
          <w:sz w:val="28"/>
          <w:szCs w:val="28"/>
          <w:highlight w:val="none"/>
        </w:rPr>
        <w:t>2.填写基本信息，在线提交相关材料扫描件。</w:t>
      </w:r>
    </w:p>
    <w:p>
      <w:pPr>
        <w:pStyle w:val="31"/>
        <w:spacing w:before="0" w:beforeAutospacing="0" w:after="0" w:afterAutospacing="0" w:line="360" w:lineRule="auto"/>
        <w:ind w:firstLine="560" w:firstLineChars="200"/>
        <w:rPr>
          <w:rFonts w:cs="宋体"/>
          <w:bCs/>
          <w:color w:val="auto"/>
          <w:sz w:val="28"/>
          <w:szCs w:val="28"/>
          <w:highlight w:val="none"/>
        </w:rPr>
      </w:pPr>
      <w:r>
        <w:rPr>
          <w:rFonts w:hint="eastAsia" w:cs="宋体"/>
          <w:bCs/>
          <w:color w:val="auto"/>
          <w:sz w:val="28"/>
          <w:szCs w:val="28"/>
          <w:highlight w:val="none"/>
        </w:rPr>
        <w:t>3.供应商填报信息后提交，供应商的基本信息将通过陕西省政府采购网进行公示。</w:t>
      </w:r>
    </w:p>
    <w:p>
      <w:pPr>
        <w:pStyle w:val="29"/>
        <w:spacing w:line="360" w:lineRule="auto"/>
        <w:ind w:firstLine="560" w:firstLineChars="200"/>
        <w:rPr>
          <w:rFonts w:ascii="宋体" w:hAnsi="宋体" w:eastAsia="宋体" w:cs="宋体"/>
          <w:bCs/>
          <w:color w:val="auto"/>
          <w:kern w:val="0"/>
          <w:szCs w:val="28"/>
          <w:highlight w:val="none"/>
        </w:rPr>
      </w:pPr>
      <w:r>
        <w:rPr>
          <w:rFonts w:hint="eastAsia" w:ascii="宋体" w:hAnsi="宋体" w:eastAsia="宋体" w:cs="宋体"/>
          <w:bCs/>
          <w:color w:val="auto"/>
          <w:kern w:val="0"/>
          <w:szCs w:val="28"/>
          <w:highlight w:val="none"/>
        </w:rPr>
        <w:t>详情见链接：</w:t>
      </w:r>
    </w:p>
    <w:p>
      <w:pPr>
        <w:snapToGrid w:val="0"/>
        <w:spacing w:line="360" w:lineRule="auto"/>
        <w:ind w:firstLine="560" w:firstLineChars="200"/>
        <w:jc w:val="left"/>
        <w:rPr>
          <w:rFonts w:ascii="宋体" w:hAnsi="宋体" w:cs="宋体"/>
          <w:b/>
          <w:bCs/>
          <w:color w:val="auto"/>
          <w:sz w:val="36"/>
          <w:szCs w:val="36"/>
          <w:highlight w:val="none"/>
        </w:rPr>
      </w:pPr>
      <w:r>
        <w:rPr>
          <w:rFonts w:hint="eastAsia" w:ascii="宋体" w:hAnsi="宋体" w:cs="宋体"/>
          <w:bCs/>
          <w:color w:val="auto"/>
          <w:kern w:val="0"/>
          <w:sz w:val="28"/>
          <w:szCs w:val="28"/>
          <w:highlight w:val="none"/>
        </w:rPr>
        <w:t>http://www.ccgp-shaanxi.gov.cn/gpbs-gpbs/index.html#/gpbs/supplierReg/registrationPage?zoneCode=610001&amp;tenantId=ZF_JGBM_000009</w:t>
      </w: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 HYPERLINK "http://www.ccgp-shaanxi.gov.cn/gpbs-gpbs/index.html#/gpbs/supplierReg/registrationPage?zoneCode=610001&amp;tenantId=ZF_JGBM_000009" </w:instrText>
      </w:r>
      <w:r>
        <w:rPr>
          <w:rFonts w:hint="eastAsia" w:ascii="宋体" w:hAnsi="宋体" w:cs="宋体"/>
          <w:b/>
          <w:bCs/>
          <w:color w:val="auto"/>
          <w:sz w:val="36"/>
          <w:szCs w:val="36"/>
          <w:highlight w:val="none"/>
        </w:rPr>
        <w:fldChar w:fldCharType="separate"/>
      </w:r>
    </w:p>
    <w:p>
      <w:pPr>
        <w:spacing w:line="360" w:lineRule="auto"/>
        <w:ind w:firstLine="723" w:firstLineChars="200"/>
        <w:rPr>
          <w:rFonts w:ascii="宋体" w:hAnsi="宋体" w:cs="宋体"/>
          <w:b/>
          <w:bCs/>
          <w:color w:val="auto"/>
          <w:sz w:val="36"/>
          <w:szCs w:val="36"/>
          <w:highlight w:val="none"/>
        </w:rPr>
      </w:pPr>
      <w:r>
        <w:rPr>
          <w:rFonts w:hint="eastAsia" w:ascii="宋体" w:hAnsi="宋体" w:cs="宋体"/>
          <w:b/>
          <w:bCs/>
          <w:color w:val="auto"/>
          <w:sz w:val="36"/>
          <w:szCs w:val="36"/>
          <w:highlight w:val="none"/>
        </w:rPr>
        <w:fldChar w:fldCharType="end"/>
      </w:r>
    </w:p>
    <w:p>
      <w:pPr>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pPr>
        <w:snapToGrid w:val="0"/>
        <w:spacing w:line="312"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关于放弃投标的说明</w:t>
      </w:r>
    </w:p>
    <w:p>
      <w:pPr>
        <w:spacing w:line="360" w:lineRule="auto"/>
        <w:ind w:firstLine="420" w:firstLineChars="200"/>
        <w:rPr>
          <w:rFonts w:ascii="宋体" w:hAnsi="宋体" w:cs="宋体"/>
          <w:bCs/>
          <w:color w:val="auto"/>
          <w:kern w:val="0"/>
          <w:sz w:val="28"/>
          <w:szCs w:val="28"/>
          <w:highlight w:val="none"/>
        </w:rPr>
      </w:pPr>
      <w:r>
        <w:rPr>
          <w:color w:val="auto"/>
          <w:highlight w:val="none"/>
        </w:rPr>
        <mc:AlternateContent>
          <mc:Choice Requires="wps">
            <w:drawing>
              <wp:anchor distT="0" distB="0" distL="114300" distR="114300" simplePos="0" relativeHeight="251661312" behindDoc="1" locked="0" layoutInCell="1" allowOverlap="1">
                <wp:simplePos x="0" y="0"/>
                <wp:positionH relativeFrom="page">
                  <wp:posOffset>781050</wp:posOffset>
                </wp:positionH>
                <wp:positionV relativeFrom="page">
                  <wp:posOffset>4195445</wp:posOffset>
                </wp:positionV>
                <wp:extent cx="6121400" cy="3900170"/>
                <wp:effectExtent l="4445" t="5080" r="8255" b="19050"/>
                <wp:wrapTopAndBottom/>
                <wp:docPr id="5" name="文本框 5"/>
                <wp:cNvGraphicFramePr/>
                <a:graphic xmlns:a="http://schemas.openxmlformats.org/drawingml/2006/main">
                  <a:graphicData uri="http://schemas.microsoft.com/office/word/2010/wordprocessingShape">
                    <wps:wsp>
                      <wps:cNvSpPr txBox="1"/>
                      <wps:spPr>
                        <a:xfrm>
                          <a:off x="0" y="0"/>
                          <a:ext cx="6121400" cy="3900170"/>
                        </a:xfrm>
                        <a:prstGeom prst="rect">
                          <a:avLst/>
                        </a:prstGeom>
                        <a:noFill/>
                        <a:ln w="6096" cap="flat" cmpd="sng">
                          <a:solidFill>
                            <a:srgbClr val="000000"/>
                          </a:solidFill>
                          <a:prstDash val="solid"/>
                          <a:miter/>
                          <a:headEnd type="none" w="med" len="med"/>
                          <a:tailEnd type="none" w="med" len="med"/>
                        </a:ln>
                      </wps:spPr>
                      <wps:txbx>
                        <w:txbxContent>
                          <w:p>
                            <w:pPr>
                              <w:spacing w:before="3"/>
                              <w:ind w:left="82" w:right="84"/>
                              <w:jc w:val="center"/>
                              <w:rPr>
                                <w:b/>
                                <w:sz w:val="32"/>
                              </w:rPr>
                            </w:pPr>
                            <w:r>
                              <w:rPr>
                                <w:b/>
                                <w:sz w:val="32"/>
                              </w:rPr>
                              <w:t>不参与投标告知函</w:t>
                            </w:r>
                          </w:p>
                          <w:p>
                            <w:pPr>
                              <w:spacing w:before="4"/>
                              <w:ind w:left="82" w:right="6415"/>
                              <w:jc w:val="center"/>
                              <w:rPr>
                                <w:b/>
                                <w:sz w:val="28"/>
                              </w:rPr>
                            </w:pPr>
                            <w:r>
                              <w:rPr>
                                <w:b/>
                                <w:sz w:val="28"/>
                              </w:rPr>
                              <w:t>陕西明正招标有限公司：</w:t>
                            </w:r>
                          </w:p>
                          <w:p>
                            <w:pPr>
                              <w:pStyle w:val="15"/>
                              <w:spacing w:before="7"/>
                              <w:rPr>
                                <w:sz w:val="28"/>
                              </w:rPr>
                            </w:pPr>
                          </w:p>
                          <w:p>
                            <w:pPr>
                              <w:tabs>
                                <w:tab w:val="left" w:pos="4465"/>
                                <w:tab w:val="left" w:pos="5305"/>
                                <w:tab w:val="left" w:pos="6145"/>
                              </w:tabs>
                              <w:spacing w:line="487" w:lineRule="auto"/>
                              <w:ind w:left="101" w:right="101" w:firstLine="561"/>
                              <w:jc w:val="left"/>
                              <w:rPr>
                                <w:sz w:val="28"/>
                              </w:rPr>
                            </w:pPr>
                            <w:r>
                              <w:rPr>
                                <w:sz w:val="28"/>
                              </w:rPr>
                              <w:t>我</w:t>
                            </w:r>
                            <w:r>
                              <w:rPr>
                                <w:spacing w:val="-3"/>
                                <w:sz w:val="28"/>
                              </w:rPr>
                              <w:t>单</w:t>
                            </w:r>
                            <w:r>
                              <w:rPr>
                                <w:spacing w:val="-39"/>
                                <w:sz w:val="28"/>
                              </w:rPr>
                              <w:t>位</w:t>
                            </w:r>
                            <w:r>
                              <w:rPr>
                                <w:spacing w:val="-3"/>
                                <w:sz w:val="28"/>
                                <w:u w:val="single"/>
                              </w:rPr>
                              <w:t>（</w:t>
                            </w:r>
                            <w:r>
                              <w:rPr>
                                <w:sz w:val="28"/>
                                <w:u w:val="single"/>
                              </w:rPr>
                              <w:t>供</w:t>
                            </w:r>
                            <w:r>
                              <w:rPr>
                                <w:spacing w:val="-3"/>
                                <w:sz w:val="28"/>
                                <w:u w:val="single"/>
                              </w:rPr>
                              <w:t>应</w:t>
                            </w:r>
                            <w:r>
                              <w:rPr>
                                <w:sz w:val="28"/>
                                <w:u w:val="single"/>
                              </w:rPr>
                              <w:t>商全</w:t>
                            </w:r>
                            <w:r>
                              <w:rPr>
                                <w:spacing w:val="-3"/>
                                <w:sz w:val="28"/>
                                <w:u w:val="single"/>
                              </w:rPr>
                              <w:t>称</w:t>
                            </w:r>
                            <w:r>
                              <w:rPr>
                                <w:spacing w:val="-40"/>
                                <w:sz w:val="28"/>
                                <w:u w:val="single"/>
                              </w:rPr>
                              <w:t>）</w:t>
                            </w:r>
                            <w:r>
                              <w:rPr>
                                <w:spacing w:val="-40"/>
                                <w:sz w:val="28"/>
                              </w:rPr>
                              <w:t>，</w:t>
                            </w:r>
                            <w:r>
                              <w:rPr>
                                <w:sz w:val="28"/>
                              </w:rPr>
                              <w:t>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r>
                              <w:rPr>
                                <w:spacing w:val="-41"/>
                                <w:sz w:val="28"/>
                              </w:rPr>
                              <w:t>，</w:t>
                            </w:r>
                            <w:r>
                              <w:rPr>
                                <w:sz w:val="28"/>
                              </w:rPr>
                              <w:t>经</w:t>
                            </w:r>
                            <w:r>
                              <w:rPr>
                                <w:spacing w:val="-3"/>
                                <w:sz w:val="28"/>
                              </w:rPr>
                              <w:t>研</w:t>
                            </w:r>
                            <w:r>
                              <w:rPr>
                                <w:sz w:val="28"/>
                              </w:rPr>
                              <w:t>究决</w:t>
                            </w:r>
                            <w:r>
                              <w:rPr>
                                <w:spacing w:val="-3"/>
                                <w:sz w:val="28"/>
                              </w:rPr>
                              <w:t>定</w:t>
                            </w:r>
                            <w:r>
                              <w:rPr>
                                <w:spacing w:val="-41"/>
                                <w:sz w:val="28"/>
                              </w:rPr>
                              <w:t>，</w:t>
                            </w:r>
                            <w:r>
                              <w:rPr>
                                <w:sz w:val="28"/>
                              </w:rPr>
                              <w:t>由于</w:t>
                            </w:r>
                            <w:r>
                              <w:rPr>
                                <w:spacing w:val="-32"/>
                                <w:sz w:val="28"/>
                                <w:u w:val="thick"/>
                              </w:rPr>
                              <w:t xml:space="preserve"> </w:t>
                            </w:r>
                            <w:r>
                              <w:rPr>
                                <w:spacing w:val="-3"/>
                                <w:sz w:val="28"/>
                                <w:u w:val="thick"/>
                              </w:rPr>
                              <w:t>（</w:t>
                            </w:r>
                            <w:r>
                              <w:rPr>
                                <w:spacing w:val="-12"/>
                                <w:sz w:val="28"/>
                                <w:u w:val="thick"/>
                              </w:rPr>
                              <w:t>不</w:t>
                            </w:r>
                            <w:r>
                              <w:rPr>
                                <w:spacing w:val="-261"/>
                                <w:sz w:val="28"/>
                                <w:u w:val="thick"/>
                              </w:rPr>
                              <w:t>参</w:t>
                            </w:r>
                            <w:r>
                              <w:rPr>
                                <w:spacing w:val="-3"/>
                                <w:sz w:val="28"/>
                                <w:u w:val="thick"/>
                              </w:rPr>
                              <w:t>与</w:t>
                            </w:r>
                            <w:r>
                              <w:rPr>
                                <w:sz w:val="28"/>
                                <w:u w:val="thick"/>
                              </w:rPr>
                              <w:t>理由）</w:t>
                            </w:r>
                            <w:r>
                              <w:rPr>
                                <w:sz w:val="28"/>
                              </w:rPr>
                              <w:t xml:space="preserve"> ，</w:t>
                            </w:r>
                            <w:r>
                              <w:rPr>
                                <w:spacing w:val="-3"/>
                                <w:sz w:val="28"/>
                              </w:rPr>
                              <w:t>确</w:t>
                            </w:r>
                            <w:r>
                              <w:rPr>
                                <w:sz w:val="28"/>
                              </w:rPr>
                              <w:t>认不</w:t>
                            </w:r>
                            <w:r>
                              <w:rPr>
                                <w:spacing w:val="-3"/>
                                <w:sz w:val="28"/>
                              </w:rPr>
                              <w:t>参</w:t>
                            </w:r>
                            <w:r>
                              <w:rPr>
                                <w:sz w:val="28"/>
                              </w:rPr>
                              <w:t>与关</w:t>
                            </w:r>
                            <w:r>
                              <w:rPr>
                                <w:spacing w:val="-4"/>
                                <w:sz w:val="28"/>
                              </w:rPr>
                              <w:t>于</w:t>
                            </w:r>
                            <w:r>
                              <w:rPr>
                                <w:spacing w:val="4"/>
                                <w:sz w:val="28"/>
                                <w:u w:val="single"/>
                              </w:rPr>
                              <w:t xml:space="preserve"> </w:t>
                            </w:r>
                            <w:r>
                              <w:rPr>
                                <w:sz w:val="28"/>
                                <w:u w:val="single"/>
                              </w:rPr>
                              <w:t>（</w:t>
                            </w:r>
                            <w:r>
                              <w:rPr>
                                <w:spacing w:val="-3"/>
                                <w:sz w:val="28"/>
                                <w:u w:val="single"/>
                              </w:rPr>
                              <w:t>项</w:t>
                            </w:r>
                            <w:r>
                              <w:rPr>
                                <w:sz w:val="28"/>
                                <w:u w:val="single"/>
                              </w:rPr>
                              <w:t>目名</w:t>
                            </w:r>
                            <w:r>
                              <w:rPr>
                                <w:spacing w:val="-3"/>
                                <w:sz w:val="28"/>
                                <w:u w:val="single"/>
                              </w:rPr>
                              <w:t>称</w:t>
                            </w:r>
                            <w:r>
                              <w:rPr>
                                <w:sz w:val="28"/>
                                <w:u w:val="single"/>
                              </w:rPr>
                              <w:t>）</w:t>
                            </w:r>
                            <w:r>
                              <w:rPr>
                                <w:sz w:val="28"/>
                              </w:rPr>
                              <w:t xml:space="preserve"> 的</w:t>
                            </w:r>
                            <w:r>
                              <w:rPr>
                                <w:spacing w:val="-3"/>
                                <w:sz w:val="28"/>
                              </w:rPr>
                              <w:t>投</w:t>
                            </w:r>
                            <w:r>
                              <w:rPr>
                                <w:sz w:val="28"/>
                              </w:rPr>
                              <w:t>标活</w:t>
                            </w:r>
                            <w:r>
                              <w:rPr>
                                <w:spacing w:val="-3"/>
                                <w:sz w:val="28"/>
                              </w:rPr>
                              <w:t>动</w:t>
                            </w:r>
                            <w:r>
                              <w:rPr>
                                <w:sz w:val="28"/>
                              </w:rPr>
                              <w:t>。</w:t>
                            </w:r>
                            <w:r>
                              <w:rPr>
                                <w:spacing w:val="1"/>
                                <w:sz w:val="28"/>
                              </w:rPr>
                              <w:t xml:space="preserve"> </w:t>
                            </w:r>
                            <w:r>
                              <w:rPr>
                                <w:sz w:val="28"/>
                              </w:rPr>
                              <w:t>特</w:t>
                            </w:r>
                            <w:r>
                              <w:rPr>
                                <w:spacing w:val="-3"/>
                                <w:sz w:val="28"/>
                              </w:rPr>
                              <w:t>此</w:t>
                            </w:r>
                            <w:r>
                              <w:rPr>
                                <w:sz w:val="28"/>
                              </w:rPr>
                              <w:t>说明！</w:t>
                            </w:r>
                          </w:p>
                          <w:p>
                            <w:pPr>
                              <w:pStyle w:val="15"/>
                              <w:rPr>
                                <w:sz w:val="30"/>
                              </w:rPr>
                            </w:pPr>
                          </w:p>
                          <w:p>
                            <w:pPr>
                              <w:pStyle w:val="15"/>
                              <w:rPr>
                                <w:sz w:val="30"/>
                              </w:rPr>
                            </w:pPr>
                          </w:p>
                          <w:p>
                            <w:pPr>
                              <w:pStyle w:val="15"/>
                              <w:rPr>
                                <w:sz w:val="30"/>
                              </w:rPr>
                            </w:pPr>
                          </w:p>
                          <w:p>
                            <w:pPr>
                              <w:pStyle w:val="15"/>
                              <w:spacing w:before="10"/>
                              <w:rPr>
                                <w:sz w:val="22"/>
                              </w:rPr>
                            </w:pPr>
                          </w:p>
                          <w:p>
                            <w:pPr>
                              <w:spacing w:line="364" w:lineRule="auto"/>
                              <w:ind w:left="6262" w:right="845"/>
                              <w:jc w:val="left"/>
                              <w:rPr>
                                <w:sz w:val="28"/>
                              </w:rPr>
                            </w:pPr>
                            <w:r>
                              <w:rPr>
                                <w:sz w:val="28"/>
                              </w:rPr>
                              <w:t xml:space="preserve">单位名称（盖章）： </w:t>
                            </w:r>
                          </w:p>
                          <w:p>
                            <w:pPr>
                              <w:spacing w:line="364" w:lineRule="auto"/>
                              <w:ind w:left="6262" w:right="845"/>
                              <w:jc w:val="left"/>
                              <w:rPr>
                                <w:sz w:val="28"/>
                              </w:rPr>
                            </w:pPr>
                            <w:r>
                              <w:rPr>
                                <w:sz w:val="28"/>
                              </w:rPr>
                              <w:t>时间：</w:t>
                            </w:r>
                          </w:p>
                        </w:txbxContent>
                      </wps:txbx>
                      <wps:bodyPr lIns="0" tIns="0" rIns="0" bIns="0" upright="1"/>
                    </wps:wsp>
                  </a:graphicData>
                </a:graphic>
              </wp:anchor>
            </w:drawing>
          </mc:Choice>
          <mc:Fallback>
            <w:pict>
              <v:shape id="_x0000_s1026" o:spid="_x0000_s1026" o:spt="202" type="#_x0000_t202" style="position:absolute;left:0pt;margin-left:61.5pt;margin-top:330.35pt;height:307.1pt;width:482pt;mso-position-horizontal-relative:page;mso-position-vertical-relative:page;mso-wrap-distance-bottom:0pt;mso-wrap-distance-top:0pt;z-index:-251655168;mso-width-relative:page;mso-height-relative:page;" filled="f" stroked="t" coordsize="21600,21600" o:gfxdata="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r4+TYAAAADQEAAA8AAAAA&#10;AAAAAQAgAAAAIgAAAGRycy9kb3ducmV2LnhtbFBLAQIUABQAAAAIAIdO4kBEqegXFAIAADIEAAAO&#10;AAAAAAAAAAEAIAAAACcBAABkcnMvZTJvRG9jLnhtbFBLBQYAAAAABgAGAFkBAACtBQAAAAA=&#10;">
                <v:fill on="f" focussize="0,0"/>
                <v:stroke weight="0.48pt" color="#000000" joinstyle="miter"/>
                <v:imagedata o:title=""/>
                <o:lock v:ext="edit" aspectratio="f"/>
                <v:textbox inset="0mm,0mm,0mm,0mm">
                  <w:txbxContent>
                    <w:p>
                      <w:pPr>
                        <w:spacing w:before="3"/>
                        <w:ind w:left="82" w:right="84"/>
                        <w:jc w:val="center"/>
                        <w:rPr>
                          <w:b/>
                          <w:sz w:val="32"/>
                        </w:rPr>
                      </w:pPr>
                      <w:r>
                        <w:rPr>
                          <w:b/>
                          <w:sz w:val="32"/>
                        </w:rPr>
                        <w:t>不参与投标告知函</w:t>
                      </w:r>
                    </w:p>
                    <w:p>
                      <w:pPr>
                        <w:spacing w:before="4"/>
                        <w:ind w:left="82" w:right="6415"/>
                        <w:jc w:val="center"/>
                        <w:rPr>
                          <w:b/>
                          <w:sz w:val="28"/>
                        </w:rPr>
                      </w:pPr>
                      <w:r>
                        <w:rPr>
                          <w:b/>
                          <w:sz w:val="28"/>
                        </w:rPr>
                        <w:t>陕西明正招标有限公司：</w:t>
                      </w:r>
                    </w:p>
                    <w:p>
                      <w:pPr>
                        <w:pStyle w:val="15"/>
                        <w:spacing w:before="7"/>
                        <w:rPr>
                          <w:sz w:val="28"/>
                        </w:rPr>
                      </w:pPr>
                    </w:p>
                    <w:p>
                      <w:pPr>
                        <w:tabs>
                          <w:tab w:val="left" w:pos="4465"/>
                          <w:tab w:val="left" w:pos="5305"/>
                          <w:tab w:val="left" w:pos="6145"/>
                        </w:tabs>
                        <w:spacing w:line="487" w:lineRule="auto"/>
                        <w:ind w:left="101" w:right="101" w:firstLine="561"/>
                        <w:jc w:val="left"/>
                        <w:rPr>
                          <w:sz w:val="28"/>
                        </w:rPr>
                      </w:pPr>
                      <w:r>
                        <w:rPr>
                          <w:sz w:val="28"/>
                        </w:rPr>
                        <w:t>我</w:t>
                      </w:r>
                      <w:r>
                        <w:rPr>
                          <w:spacing w:val="-3"/>
                          <w:sz w:val="28"/>
                        </w:rPr>
                        <w:t>单</w:t>
                      </w:r>
                      <w:r>
                        <w:rPr>
                          <w:spacing w:val="-39"/>
                          <w:sz w:val="28"/>
                        </w:rPr>
                        <w:t>位</w:t>
                      </w:r>
                      <w:r>
                        <w:rPr>
                          <w:spacing w:val="-3"/>
                          <w:sz w:val="28"/>
                          <w:u w:val="single"/>
                        </w:rPr>
                        <w:t>（</w:t>
                      </w:r>
                      <w:r>
                        <w:rPr>
                          <w:sz w:val="28"/>
                          <w:u w:val="single"/>
                        </w:rPr>
                        <w:t>供</w:t>
                      </w:r>
                      <w:r>
                        <w:rPr>
                          <w:spacing w:val="-3"/>
                          <w:sz w:val="28"/>
                          <w:u w:val="single"/>
                        </w:rPr>
                        <w:t>应</w:t>
                      </w:r>
                      <w:r>
                        <w:rPr>
                          <w:sz w:val="28"/>
                          <w:u w:val="single"/>
                        </w:rPr>
                        <w:t>商全</w:t>
                      </w:r>
                      <w:r>
                        <w:rPr>
                          <w:spacing w:val="-3"/>
                          <w:sz w:val="28"/>
                          <w:u w:val="single"/>
                        </w:rPr>
                        <w:t>称</w:t>
                      </w:r>
                      <w:r>
                        <w:rPr>
                          <w:spacing w:val="-40"/>
                          <w:sz w:val="28"/>
                          <w:u w:val="single"/>
                        </w:rPr>
                        <w:t>）</w:t>
                      </w:r>
                      <w:r>
                        <w:rPr>
                          <w:spacing w:val="-40"/>
                          <w:sz w:val="28"/>
                        </w:rPr>
                        <w:t>，</w:t>
                      </w:r>
                      <w:r>
                        <w:rPr>
                          <w:sz w:val="28"/>
                        </w:rPr>
                        <w:t>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r>
                        <w:rPr>
                          <w:spacing w:val="-41"/>
                          <w:sz w:val="28"/>
                        </w:rPr>
                        <w:t>，</w:t>
                      </w:r>
                      <w:r>
                        <w:rPr>
                          <w:sz w:val="28"/>
                        </w:rPr>
                        <w:t>经</w:t>
                      </w:r>
                      <w:r>
                        <w:rPr>
                          <w:spacing w:val="-3"/>
                          <w:sz w:val="28"/>
                        </w:rPr>
                        <w:t>研</w:t>
                      </w:r>
                      <w:r>
                        <w:rPr>
                          <w:sz w:val="28"/>
                        </w:rPr>
                        <w:t>究决</w:t>
                      </w:r>
                      <w:r>
                        <w:rPr>
                          <w:spacing w:val="-3"/>
                          <w:sz w:val="28"/>
                        </w:rPr>
                        <w:t>定</w:t>
                      </w:r>
                      <w:r>
                        <w:rPr>
                          <w:spacing w:val="-41"/>
                          <w:sz w:val="28"/>
                        </w:rPr>
                        <w:t>，</w:t>
                      </w:r>
                      <w:r>
                        <w:rPr>
                          <w:sz w:val="28"/>
                        </w:rPr>
                        <w:t>由于</w:t>
                      </w:r>
                      <w:r>
                        <w:rPr>
                          <w:spacing w:val="-32"/>
                          <w:sz w:val="28"/>
                          <w:u w:val="thick"/>
                        </w:rPr>
                        <w:t xml:space="preserve"> </w:t>
                      </w:r>
                      <w:r>
                        <w:rPr>
                          <w:spacing w:val="-3"/>
                          <w:sz w:val="28"/>
                          <w:u w:val="thick"/>
                        </w:rPr>
                        <w:t>（</w:t>
                      </w:r>
                      <w:r>
                        <w:rPr>
                          <w:spacing w:val="-12"/>
                          <w:sz w:val="28"/>
                          <w:u w:val="thick"/>
                        </w:rPr>
                        <w:t>不</w:t>
                      </w:r>
                      <w:r>
                        <w:rPr>
                          <w:spacing w:val="-261"/>
                          <w:sz w:val="28"/>
                          <w:u w:val="thick"/>
                        </w:rPr>
                        <w:t>参</w:t>
                      </w:r>
                      <w:r>
                        <w:rPr>
                          <w:spacing w:val="-3"/>
                          <w:sz w:val="28"/>
                          <w:u w:val="thick"/>
                        </w:rPr>
                        <w:t>与</w:t>
                      </w:r>
                      <w:r>
                        <w:rPr>
                          <w:sz w:val="28"/>
                          <w:u w:val="thick"/>
                        </w:rPr>
                        <w:t>理由）</w:t>
                      </w:r>
                      <w:r>
                        <w:rPr>
                          <w:sz w:val="28"/>
                        </w:rPr>
                        <w:t xml:space="preserve"> ，</w:t>
                      </w:r>
                      <w:r>
                        <w:rPr>
                          <w:spacing w:val="-3"/>
                          <w:sz w:val="28"/>
                        </w:rPr>
                        <w:t>确</w:t>
                      </w:r>
                      <w:r>
                        <w:rPr>
                          <w:sz w:val="28"/>
                        </w:rPr>
                        <w:t>认不</w:t>
                      </w:r>
                      <w:r>
                        <w:rPr>
                          <w:spacing w:val="-3"/>
                          <w:sz w:val="28"/>
                        </w:rPr>
                        <w:t>参</w:t>
                      </w:r>
                      <w:r>
                        <w:rPr>
                          <w:sz w:val="28"/>
                        </w:rPr>
                        <w:t>与关</w:t>
                      </w:r>
                      <w:r>
                        <w:rPr>
                          <w:spacing w:val="-4"/>
                          <w:sz w:val="28"/>
                        </w:rPr>
                        <w:t>于</w:t>
                      </w:r>
                      <w:r>
                        <w:rPr>
                          <w:spacing w:val="4"/>
                          <w:sz w:val="28"/>
                          <w:u w:val="single"/>
                        </w:rPr>
                        <w:t xml:space="preserve"> </w:t>
                      </w:r>
                      <w:r>
                        <w:rPr>
                          <w:sz w:val="28"/>
                          <w:u w:val="single"/>
                        </w:rPr>
                        <w:t>（</w:t>
                      </w:r>
                      <w:r>
                        <w:rPr>
                          <w:spacing w:val="-3"/>
                          <w:sz w:val="28"/>
                          <w:u w:val="single"/>
                        </w:rPr>
                        <w:t>项</w:t>
                      </w:r>
                      <w:r>
                        <w:rPr>
                          <w:sz w:val="28"/>
                          <w:u w:val="single"/>
                        </w:rPr>
                        <w:t>目名</w:t>
                      </w:r>
                      <w:r>
                        <w:rPr>
                          <w:spacing w:val="-3"/>
                          <w:sz w:val="28"/>
                          <w:u w:val="single"/>
                        </w:rPr>
                        <w:t>称</w:t>
                      </w:r>
                      <w:r>
                        <w:rPr>
                          <w:sz w:val="28"/>
                          <w:u w:val="single"/>
                        </w:rPr>
                        <w:t>）</w:t>
                      </w:r>
                      <w:r>
                        <w:rPr>
                          <w:sz w:val="28"/>
                        </w:rPr>
                        <w:t xml:space="preserve"> 的</w:t>
                      </w:r>
                      <w:r>
                        <w:rPr>
                          <w:spacing w:val="-3"/>
                          <w:sz w:val="28"/>
                        </w:rPr>
                        <w:t>投</w:t>
                      </w:r>
                      <w:r>
                        <w:rPr>
                          <w:sz w:val="28"/>
                        </w:rPr>
                        <w:t>标活</w:t>
                      </w:r>
                      <w:r>
                        <w:rPr>
                          <w:spacing w:val="-3"/>
                          <w:sz w:val="28"/>
                        </w:rPr>
                        <w:t>动</w:t>
                      </w:r>
                      <w:r>
                        <w:rPr>
                          <w:sz w:val="28"/>
                        </w:rPr>
                        <w:t>。</w:t>
                      </w:r>
                      <w:r>
                        <w:rPr>
                          <w:spacing w:val="1"/>
                          <w:sz w:val="28"/>
                        </w:rPr>
                        <w:t xml:space="preserve"> </w:t>
                      </w:r>
                      <w:r>
                        <w:rPr>
                          <w:sz w:val="28"/>
                        </w:rPr>
                        <w:t>特</w:t>
                      </w:r>
                      <w:r>
                        <w:rPr>
                          <w:spacing w:val="-3"/>
                          <w:sz w:val="28"/>
                        </w:rPr>
                        <w:t>此</w:t>
                      </w:r>
                      <w:r>
                        <w:rPr>
                          <w:sz w:val="28"/>
                        </w:rPr>
                        <w:t>说明！</w:t>
                      </w:r>
                    </w:p>
                    <w:p>
                      <w:pPr>
                        <w:pStyle w:val="15"/>
                        <w:rPr>
                          <w:sz w:val="30"/>
                        </w:rPr>
                      </w:pPr>
                    </w:p>
                    <w:p>
                      <w:pPr>
                        <w:pStyle w:val="15"/>
                        <w:rPr>
                          <w:sz w:val="30"/>
                        </w:rPr>
                      </w:pPr>
                    </w:p>
                    <w:p>
                      <w:pPr>
                        <w:pStyle w:val="15"/>
                        <w:rPr>
                          <w:sz w:val="30"/>
                        </w:rPr>
                      </w:pPr>
                    </w:p>
                    <w:p>
                      <w:pPr>
                        <w:pStyle w:val="15"/>
                        <w:spacing w:before="10"/>
                        <w:rPr>
                          <w:sz w:val="22"/>
                        </w:rPr>
                      </w:pPr>
                    </w:p>
                    <w:p>
                      <w:pPr>
                        <w:spacing w:line="364" w:lineRule="auto"/>
                        <w:ind w:left="6262" w:right="845"/>
                        <w:jc w:val="left"/>
                        <w:rPr>
                          <w:sz w:val="28"/>
                        </w:rPr>
                      </w:pPr>
                      <w:r>
                        <w:rPr>
                          <w:sz w:val="28"/>
                        </w:rPr>
                        <w:t xml:space="preserve">单位名称（盖章）： </w:t>
                      </w:r>
                    </w:p>
                    <w:p>
                      <w:pPr>
                        <w:spacing w:line="364" w:lineRule="auto"/>
                        <w:ind w:left="6262" w:right="845"/>
                        <w:jc w:val="left"/>
                        <w:rPr>
                          <w:sz w:val="28"/>
                        </w:rPr>
                      </w:pPr>
                      <w:r>
                        <w:rPr>
                          <w:sz w:val="28"/>
                        </w:rPr>
                        <w:t>时间：</w:t>
                      </w:r>
                    </w:p>
                  </w:txbxContent>
                </v:textbox>
                <w10:wrap type="topAndBottom"/>
              </v:shape>
            </w:pict>
          </mc:Fallback>
        </mc:AlternateContent>
      </w:r>
      <w:r>
        <w:rPr>
          <w:rFonts w:hint="eastAsia" w:ascii="宋体" w:hAnsi="宋体" w:cs="宋体"/>
          <w:bCs/>
          <w:color w:val="auto"/>
          <w:kern w:val="0"/>
          <w:sz w:val="28"/>
          <w:szCs w:val="28"/>
          <w:highlight w:val="none"/>
        </w:rPr>
        <w:t>根据西安市财政局关于《促进政府采购公平竞争优化营商环境的通知》，供应商登记免费领取采购文件的，</w:t>
      </w:r>
      <w:r>
        <w:rPr>
          <w:rFonts w:hint="eastAsia" w:ascii="宋体" w:hAnsi="宋体" w:cs="宋体"/>
          <w:b/>
          <w:color w:val="auto"/>
          <w:kern w:val="0"/>
          <w:sz w:val="28"/>
          <w:szCs w:val="28"/>
          <w:highlight w:val="none"/>
        </w:rPr>
        <w:t>如因为一些特殊原因不能参加本次投标活动，请务必在递交投标（响应）文件截止时间前一日（如为周末或节假日请相应提前至工作日）将放弃投标的说明（加盖公章）以邮件（邮箱：</w:t>
      </w:r>
      <w:r>
        <w:rPr>
          <w:color w:val="auto"/>
          <w:highlight w:val="none"/>
        </w:rPr>
        <w:fldChar w:fldCharType="begin"/>
      </w:r>
      <w:r>
        <w:rPr>
          <w:color w:val="auto"/>
          <w:highlight w:val="none"/>
        </w:rPr>
        <w:instrText xml:space="preserve"> HYPERLINK "mailto:sxmzzb@163.com，发送后与代理机构项目联系人确认）或现场递交的形式告知我们，以便我们正常开展后期工作。" </w:instrText>
      </w:r>
      <w:r>
        <w:rPr>
          <w:color w:val="auto"/>
          <w:highlight w:val="none"/>
        </w:rPr>
        <w:fldChar w:fldCharType="separate"/>
      </w:r>
      <w:r>
        <w:rPr>
          <w:rFonts w:hint="eastAsia" w:ascii="宋体" w:hAnsi="宋体" w:cs="宋体"/>
          <w:b/>
          <w:color w:val="auto"/>
          <w:kern w:val="0"/>
          <w:sz w:val="28"/>
          <w:szCs w:val="28"/>
          <w:highlight w:val="none"/>
        </w:rPr>
        <w:t>sxmzzb@163.com，发送后与代理机构项目联系人确认）或现场递交的形式告知我们，以便我们正常开展后期工作。</w:t>
      </w:r>
      <w:r>
        <w:rPr>
          <w:rFonts w:hint="eastAsia" w:ascii="宋体" w:hAnsi="宋体" w:cs="宋体"/>
          <w:b/>
          <w:color w:val="auto"/>
          <w:kern w:val="0"/>
          <w:sz w:val="28"/>
          <w:szCs w:val="28"/>
          <w:highlight w:val="none"/>
        </w:rPr>
        <w:fldChar w:fldCharType="end"/>
      </w:r>
    </w:p>
    <w:p>
      <w:pPr>
        <w:spacing w:line="360" w:lineRule="auto"/>
        <w:ind w:firstLine="560" w:firstLineChars="200"/>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否则，采购代理机构可以向财政部门反映并提供相应的佐证，供应商一年内累计出现三次该情况，将被监管部门记录为失信行为。感谢您的配合。</w:t>
      </w:r>
    </w:p>
    <w:p>
      <w:pPr>
        <w:pStyle w:val="141"/>
        <w:rPr>
          <w:rFonts w:ascii="宋体" w:hAnsi="宋体" w:cs="宋体"/>
          <w:bCs/>
          <w:color w:val="auto"/>
          <w:kern w:val="0"/>
          <w:szCs w:val="28"/>
          <w:highlight w:val="none"/>
        </w:rPr>
      </w:pPr>
    </w:p>
    <w:p>
      <w:pPr>
        <w:pStyle w:val="142"/>
        <w:rPr>
          <w:rFonts w:ascii="宋体" w:hAnsi="宋体" w:cs="宋体"/>
          <w:bCs/>
          <w:color w:val="auto"/>
          <w:kern w:val="0"/>
          <w:sz w:val="28"/>
          <w:szCs w:val="28"/>
          <w:highlight w:val="none"/>
        </w:rPr>
      </w:pPr>
    </w:p>
    <w:p>
      <w:pPr>
        <w:rPr>
          <w:rFonts w:ascii="宋体" w:hAnsi="宋体" w:cs="宋体"/>
          <w:bCs/>
          <w:color w:val="auto"/>
          <w:kern w:val="0"/>
          <w:sz w:val="28"/>
          <w:szCs w:val="28"/>
          <w:highlight w:val="none"/>
        </w:rPr>
      </w:pPr>
    </w:p>
    <w:p>
      <w:pPr>
        <w:rPr>
          <w:color w:val="auto"/>
          <w:highlight w:val="none"/>
        </w:rPr>
      </w:pPr>
    </w:p>
    <w:p>
      <w:pPr>
        <w:spacing w:line="360" w:lineRule="auto"/>
        <w:rPr>
          <w:rFonts w:ascii="宋体" w:hAnsi="宋体" w:cs="宋体"/>
          <w:bCs/>
          <w:color w:val="auto"/>
          <w:kern w:val="0"/>
          <w:sz w:val="28"/>
          <w:szCs w:val="28"/>
          <w:highlight w:val="none"/>
        </w:rPr>
      </w:pPr>
    </w:p>
    <w:p>
      <w:pPr>
        <w:pStyle w:val="6"/>
        <w:rPr>
          <w:color w:val="auto"/>
          <w:highlight w:val="none"/>
        </w:rPr>
        <w:sectPr>
          <w:headerReference r:id="rId7" w:type="default"/>
          <w:footerReference r:id="rId8" w:type="default"/>
          <w:pgSz w:w="11906" w:h="16838"/>
          <w:pgMar w:top="1440" w:right="1080" w:bottom="1440" w:left="1080" w:header="850" w:footer="850" w:gutter="0"/>
          <w:pgNumType w:start="1"/>
          <w:cols w:space="720" w:num="1"/>
          <w:docGrid w:linePitch="312" w:charSpace="0"/>
        </w:sect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bookmarkEnd w:id="2"/>
      <w:bookmarkEnd w:id="3"/>
      <w:bookmarkEnd w:id="4"/>
      <w:bookmarkEnd w:id="5"/>
      <w:bookmarkEnd w:id="7"/>
      <w:bookmarkEnd w:id="8"/>
      <w:bookmarkEnd w:id="9"/>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cs="宋体"/>
          <w:b w:val="0"/>
          <w:color w:val="auto"/>
          <w:sz w:val="28"/>
          <w:szCs w:val="28"/>
          <w:highlight w:val="none"/>
        </w:rPr>
        <w:fldChar w:fldCharType="begin"/>
      </w:r>
      <w:r>
        <w:rPr>
          <w:rFonts w:hint="eastAsia" w:cs="宋体"/>
          <w:b w:val="0"/>
          <w:color w:val="auto"/>
          <w:sz w:val="28"/>
          <w:szCs w:val="28"/>
          <w:highlight w:val="none"/>
        </w:rPr>
        <w:instrText xml:space="preserve"> TOC \o "1-2" \h \z \u </w:instrText>
      </w:r>
      <w:r>
        <w:rPr>
          <w:rFonts w:hint="eastAsia" w:cs="宋体"/>
          <w:b w:val="0"/>
          <w:color w:val="auto"/>
          <w:sz w:val="28"/>
          <w:szCs w:val="28"/>
          <w:highlight w:val="none"/>
        </w:rPr>
        <w:fldChar w:fldCharType="separate"/>
      </w:r>
      <w:r>
        <w:rPr>
          <w:rFonts w:hint="eastAsia" w:cs="宋体"/>
          <w:color w:val="auto"/>
          <w:sz w:val="24"/>
          <w:szCs w:val="24"/>
          <w:highlight w:val="none"/>
        </w:rPr>
        <w:fldChar w:fldCharType="begin"/>
      </w:r>
      <w:r>
        <w:rPr>
          <w:rFonts w:hint="eastAsia" w:cs="宋体"/>
          <w:color w:val="auto"/>
          <w:sz w:val="24"/>
          <w:szCs w:val="24"/>
          <w:highlight w:val="none"/>
        </w:rPr>
        <w:instrText xml:space="preserve"> HYPERLINK \l _Toc17477 </w:instrText>
      </w:r>
      <w:r>
        <w:rPr>
          <w:rFonts w:hint="eastAsia" w:cs="宋体"/>
          <w:color w:val="auto"/>
          <w:sz w:val="24"/>
          <w:szCs w:val="24"/>
          <w:highlight w:val="none"/>
        </w:rPr>
        <w:fldChar w:fldCharType="separate"/>
      </w:r>
      <w:r>
        <w:rPr>
          <w:rFonts w:hint="eastAsia" w:ascii="宋体" w:hAnsi="宋体" w:cs="宋体"/>
          <w:color w:val="auto"/>
          <w:sz w:val="24"/>
          <w:szCs w:val="24"/>
          <w:highlight w:val="none"/>
        </w:rPr>
        <w:t>第一章 采购邀请（竞争性谈判公告）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_Toc17477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cs="宋体"/>
          <w:color w:val="auto"/>
          <w:sz w:val="24"/>
          <w:szCs w:val="24"/>
          <w:highlight w:val="none"/>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_Toc17781 </w:instrText>
      </w:r>
      <w:r>
        <w:rPr>
          <w:rFonts w:hint="eastAsia" w:ascii="宋体" w:hAnsi="宋体" w:cs="宋体"/>
          <w:color w:val="auto"/>
          <w:sz w:val="24"/>
          <w:szCs w:val="24"/>
          <w:highlight w:val="none"/>
        </w:rPr>
        <w:fldChar w:fldCharType="separate"/>
      </w:r>
      <w:r>
        <w:rPr>
          <w:rFonts w:hint="eastAsia" w:ascii="宋体" w:hAnsi="宋体" w:cs="宋体"/>
          <w:bCs w:val="0"/>
          <w:color w:val="auto"/>
          <w:kern w:val="44"/>
          <w:sz w:val="24"/>
          <w:szCs w:val="24"/>
          <w:highlight w:val="none"/>
        </w:rPr>
        <w:t>第二章 供应商须知前附表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_Toc17781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_Toc2762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第三章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_Toc2762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_Toc16012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一、总  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_Toc16012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_Toc15539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二、谈判文件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_Toc15539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_Toc18411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三、供应商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_Toc18411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_Toc24429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四、谈判响应文件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_Toc24429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_Toc20184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五、响应文件的递交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_Toc20184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_Toc31341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六、谈判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_Toc31341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_Toc30491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七、供应商资格审查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_Toc30491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_Toc31741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八、定标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_Toc31741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_Toc20745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九、废标或变更采购方式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_Toc20745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_Toc27009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十、合同授予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_Toc27009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_Toc20785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十一、成交服务费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_Toc20785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_Toc24327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十二、质疑与投诉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_Toc24327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_Toc7745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第四章 评审程序和评审方法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_Toc7745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_Toc16404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一、谈判步骤与评审方法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_Toc16404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_Toc12042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二、评审方法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_Toc12042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_Toc19464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三、评审专家义务与纪律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_Toc19464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_Toc16862 </w:instrText>
      </w:r>
      <w:r>
        <w:rPr>
          <w:rFonts w:hint="eastAsia" w:ascii="宋体" w:hAnsi="宋体" w:cs="宋体"/>
          <w:color w:val="auto"/>
          <w:sz w:val="24"/>
          <w:szCs w:val="24"/>
          <w:highlight w:val="none"/>
        </w:rPr>
        <w:fldChar w:fldCharType="separate"/>
      </w:r>
      <w:r>
        <w:rPr>
          <w:rFonts w:hint="eastAsia" w:ascii="宋体" w:hAnsi="宋体" w:cs="宋体"/>
          <w:color w:val="auto"/>
          <w:kern w:val="0"/>
          <w:sz w:val="24"/>
          <w:szCs w:val="24"/>
          <w:highlight w:val="none"/>
        </w:rPr>
        <w:t>第五章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_Toc16862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_Toc6812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一、商务要求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_Toc6812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_Toc16278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（一）主要商务条款和要求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_Toc16278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_Toc26939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（二）商务条件响应说明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_Toc26939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_Toc28670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二、采购内容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_Toc28670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_Toc10319 </w:instrText>
      </w:r>
      <w:r>
        <w:rPr>
          <w:rFonts w:hint="eastAsia" w:ascii="宋体" w:hAnsi="宋体" w:cs="宋体"/>
          <w:color w:val="auto"/>
          <w:sz w:val="24"/>
          <w:szCs w:val="24"/>
          <w:highlight w:val="none"/>
        </w:rPr>
        <w:fldChar w:fldCharType="separate"/>
      </w:r>
      <w:r>
        <w:rPr>
          <w:rFonts w:hint="eastAsia" w:ascii="宋体" w:hAnsi="宋体" w:cs="宋体"/>
          <w:bCs/>
          <w:color w:val="auto"/>
          <w:sz w:val="24"/>
          <w:szCs w:val="24"/>
          <w:highlight w:val="none"/>
        </w:rPr>
        <w:t>第六章 拟签订的合同文本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_Toc10319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_Toc21121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第七章 谈判响应文件格式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_Toc21121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_Toc28592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说     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_Toc28592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_Toc17730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一、谈判响应函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_Toc17730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_Toc31706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kern w:val="2"/>
          <w:sz w:val="24"/>
          <w:szCs w:val="24"/>
          <w:highlight w:val="none"/>
        </w:rPr>
        <w:t>二、第一次谈判报价表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_Toc31706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_Toc13842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三、</w:t>
      </w:r>
      <w:r>
        <w:rPr>
          <w:rFonts w:hint="eastAsia" w:ascii="宋体" w:hAnsi="宋体" w:eastAsia="宋体" w:cs="宋体"/>
          <w:bCs/>
          <w:color w:val="auto"/>
          <w:sz w:val="24"/>
          <w:szCs w:val="24"/>
          <w:highlight w:val="none"/>
          <w:lang w:val="en-US" w:eastAsia="zh-CN"/>
        </w:rPr>
        <w:t>原材料清单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_Toc13842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_Toc8606 </w:instrText>
      </w:r>
      <w:r>
        <w:rPr>
          <w:rFonts w:hint="eastAsia" w:ascii="宋体" w:hAnsi="宋体" w:cs="宋体"/>
          <w:color w:val="auto"/>
          <w:sz w:val="24"/>
          <w:szCs w:val="24"/>
          <w:highlight w:val="none"/>
        </w:rPr>
        <w:fldChar w:fldCharType="separate"/>
      </w:r>
      <w:r>
        <w:rPr>
          <w:rFonts w:hint="eastAsia" w:ascii="宋体" w:hAnsi="宋体" w:cs="宋体"/>
          <w:bCs/>
          <w:color w:val="auto"/>
          <w:kern w:val="0"/>
          <w:sz w:val="24"/>
          <w:szCs w:val="24"/>
          <w:highlight w:val="none"/>
        </w:rPr>
        <w:t>四、采购内容偏离表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_Toc8606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_Toc13267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sz w:val="24"/>
          <w:szCs w:val="24"/>
          <w:highlight w:val="none"/>
        </w:rPr>
        <w:t>五、商务响应偏离表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_Toc13267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_Toc21591 </w:instrText>
      </w:r>
      <w:r>
        <w:rPr>
          <w:rFonts w:hint="eastAsia" w:ascii="宋体" w:hAnsi="宋体" w:cs="宋体"/>
          <w:color w:val="auto"/>
          <w:sz w:val="24"/>
          <w:szCs w:val="24"/>
          <w:highlight w:val="none"/>
        </w:rPr>
        <w:fldChar w:fldCharType="separate"/>
      </w:r>
      <w:r>
        <w:rPr>
          <w:rFonts w:hint="eastAsia" w:ascii="宋体" w:hAnsi="宋体" w:cs="宋体"/>
          <w:bCs/>
          <w:color w:val="auto"/>
          <w:kern w:val="0"/>
          <w:sz w:val="24"/>
          <w:szCs w:val="24"/>
          <w:highlight w:val="none"/>
        </w:rPr>
        <w:t>六、谈判响应方案说明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_Toc21591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_Toc11347 </w:instrText>
      </w:r>
      <w:r>
        <w:rPr>
          <w:rFonts w:hint="eastAsia" w:ascii="宋体" w:hAnsi="宋体" w:cs="宋体"/>
          <w:color w:val="auto"/>
          <w:sz w:val="24"/>
          <w:szCs w:val="24"/>
          <w:highlight w:val="none"/>
        </w:rPr>
        <w:fldChar w:fldCharType="separate"/>
      </w:r>
      <w:r>
        <w:rPr>
          <w:rFonts w:hint="eastAsia" w:ascii="宋体" w:hAnsi="宋体" w:cs="宋体"/>
          <w:bCs/>
          <w:color w:val="auto"/>
          <w:sz w:val="24"/>
          <w:szCs w:val="24"/>
          <w:highlight w:val="none"/>
        </w:rPr>
        <w:t>七、业绩的有关证明材料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_Toc11347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_Toc31482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kern w:val="2"/>
          <w:sz w:val="24"/>
          <w:szCs w:val="24"/>
          <w:highlight w:val="none"/>
        </w:rPr>
        <w:t>八、供应商承诺书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_Toc31482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_Toc16803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kern w:val="2"/>
          <w:sz w:val="24"/>
          <w:szCs w:val="24"/>
          <w:highlight w:val="none"/>
        </w:rPr>
        <w:t>九、拒绝政府采购领域商业贿赂承诺书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_Toc16803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cs="宋体"/>
          <w:color w:val="auto"/>
          <w:sz w:val="24"/>
          <w:szCs w:val="24"/>
          <w:highlight w:val="none"/>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40" w:lineRule="exact"/>
        <w:textAlignment w:val="auto"/>
        <w:rPr>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_Toc29305 </w:instrText>
      </w:r>
      <w:r>
        <w:rPr>
          <w:rFonts w:hint="eastAsia" w:ascii="宋体" w:hAnsi="宋体" w:cs="宋体"/>
          <w:color w:val="auto"/>
          <w:sz w:val="24"/>
          <w:szCs w:val="24"/>
          <w:highlight w:val="none"/>
        </w:rPr>
        <w:fldChar w:fldCharType="separate"/>
      </w:r>
      <w:r>
        <w:rPr>
          <w:rFonts w:hint="eastAsia" w:ascii="宋体" w:hAnsi="宋体" w:eastAsia="宋体" w:cs="宋体"/>
          <w:bCs/>
          <w:color w:val="auto"/>
          <w:kern w:val="2"/>
          <w:sz w:val="24"/>
          <w:szCs w:val="24"/>
          <w:highlight w:val="none"/>
        </w:rPr>
        <w:t>十、落实政府采购政策需提供的相关材料及供应商认为有必要补充说明的事项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_Toc29305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cs="宋体"/>
          <w:color w:val="auto"/>
          <w:sz w:val="24"/>
          <w:szCs w:val="24"/>
          <w:highlight w:val="none"/>
        </w:rPr>
        <w:fldChar w:fldCharType="end"/>
      </w:r>
    </w:p>
    <w:p>
      <w:pPr>
        <w:pBdr>
          <w:top w:val="none" w:color="auto" w:sz="0" w:space="1"/>
          <w:left w:val="none" w:color="auto" w:sz="0" w:space="4"/>
          <w:right w:val="none" w:color="auto" w:sz="0" w:space="4"/>
        </w:pBdr>
        <w:spacing w:line="288" w:lineRule="auto"/>
        <w:jc w:val="center"/>
        <w:outlineLvl w:val="0"/>
        <w:rPr>
          <w:rFonts w:ascii="宋体" w:hAnsi="宋体" w:cs="宋体"/>
          <w:color w:val="auto"/>
          <w:highlight w:val="none"/>
        </w:rPr>
      </w:pPr>
      <w:r>
        <w:rPr>
          <w:rFonts w:hint="eastAsia" w:ascii="宋体" w:hAnsi="宋体" w:cs="宋体"/>
          <w:color w:val="auto"/>
          <w:szCs w:val="28"/>
          <w:highlight w:val="none"/>
        </w:rPr>
        <w:fldChar w:fldCharType="end"/>
      </w:r>
      <w:bookmarkStart w:id="10" w:name="_Toc17477"/>
      <w:r>
        <w:rPr>
          <w:rFonts w:hint="eastAsia" w:ascii="宋体" w:hAnsi="宋体" w:cs="宋体"/>
          <w:color w:val="auto"/>
          <w:highlight w:val="none"/>
        </w:rPr>
        <w:br w:type="page"/>
      </w:r>
      <w:r>
        <w:rPr>
          <w:rFonts w:hint="eastAsia" w:ascii="宋体" w:hAnsi="宋体" w:cs="宋体"/>
          <w:b/>
          <w:color w:val="auto"/>
          <w:sz w:val="44"/>
          <w:szCs w:val="44"/>
          <w:highlight w:val="none"/>
        </w:rPr>
        <w:t>第一章 采购邀请（竞争性谈判公告）</w:t>
      </w:r>
      <w:bookmarkEnd w:id="1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9397" w:type="dxa"/>
          </w:tcPr>
          <w:p>
            <w:pPr>
              <w:pStyle w:val="31"/>
              <w:spacing w:before="150" w:beforeAutospacing="0" w:after="0" w:afterAutospacing="0" w:line="360" w:lineRule="auto"/>
              <w:rPr>
                <w:rFonts w:cs="宋体"/>
                <w:b/>
                <w:bCs/>
                <w:color w:val="auto"/>
                <w:sz w:val="24"/>
                <w:szCs w:val="24"/>
                <w:highlight w:val="none"/>
                <w:shd w:val="clear" w:color="auto" w:fill="FFFFFF"/>
              </w:rPr>
            </w:pPr>
            <w:r>
              <w:rPr>
                <w:rFonts w:hint="eastAsia" w:cs="宋体"/>
                <w:b/>
                <w:bCs/>
                <w:color w:val="auto"/>
                <w:sz w:val="24"/>
                <w:szCs w:val="24"/>
                <w:highlight w:val="none"/>
                <w:shd w:val="clear" w:color="auto" w:fill="FFFFFF"/>
              </w:rPr>
              <w:t>项目概况</w:t>
            </w:r>
          </w:p>
          <w:p>
            <w:pPr>
              <w:pStyle w:val="31"/>
              <w:spacing w:before="150" w:beforeAutospacing="0" w:after="0" w:afterAutospacing="0" w:line="360" w:lineRule="auto"/>
              <w:ind w:firstLine="480" w:firstLineChars="200"/>
              <w:rPr>
                <w:rFonts w:cs="宋体"/>
                <w:color w:val="auto"/>
                <w:sz w:val="24"/>
                <w:szCs w:val="24"/>
                <w:highlight w:val="none"/>
                <w:shd w:val="clear" w:color="auto" w:fill="FFFFFF"/>
              </w:rPr>
            </w:pPr>
            <w:r>
              <w:rPr>
                <w:rFonts w:hint="eastAsia" w:cs="宋体"/>
                <w:color w:val="auto"/>
                <w:sz w:val="24"/>
                <w:szCs w:val="24"/>
                <w:highlight w:val="none"/>
                <w:lang w:eastAsia="zh-CN"/>
              </w:rPr>
              <w:t>西安商贸旅游技师学院烹饪系、食品系实训课原材料采购项目</w:t>
            </w:r>
            <w:r>
              <w:rPr>
                <w:rFonts w:hint="eastAsia" w:cs="宋体"/>
                <w:color w:val="auto"/>
                <w:sz w:val="24"/>
                <w:szCs w:val="24"/>
                <w:highlight w:val="none"/>
                <w:shd w:val="clear" w:color="auto" w:fill="auto"/>
              </w:rPr>
              <w:t>采购项目</w:t>
            </w:r>
            <w:r>
              <w:rPr>
                <w:rFonts w:hint="eastAsia" w:cs="宋体"/>
                <w:color w:val="auto"/>
                <w:sz w:val="24"/>
                <w:szCs w:val="24"/>
                <w:highlight w:val="none"/>
              </w:rPr>
              <w:t>的潜在供应商应在西安市雁塔区二环南路西段88号老三届世纪星大厦30层AB座获取采购文件，并于202</w:t>
            </w:r>
            <w:r>
              <w:rPr>
                <w:rFonts w:hint="eastAsia" w:cs="宋体"/>
                <w:color w:val="auto"/>
                <w:sz w:val="24"/>
                <w:szCs w:val="24"/>
                <w:highlight w:val="none"/>
                <w:lang w:val="en-US" w:eastAsia="zh-CN"/>
              </w:rPr>
              <w:t>3</w:t>
            </w:r>
            <w:r>
              <w:rPr>
                <w:rFonts w:hint="eastAsia" w:cs="宋体"/>
                <w:color w:val="auto"/>
                <w:sz w:val="24"/>
                <w:szCs w:val="24"/>
                <w:highlight w:val="none"/>
              </w:rPr>
              <w:t>年</w:t>
            </w:r>
            <w:r>
              <w:rPr>
                <w:rFonts w:hint="eastAsia" w:cs="宋体"/>
                <w:color w:val="auto"/>
                <w:sz w:val="24"/>
                <w:szCs w:val="24"/>
                <w:highlight w:val="none"/>
                <w:lang w:val="en-US" w:eastAsia="zh-CN"/>
              </w:rPr>
              <w:t>02</w:t>
            </w:r>
            <w:r>
              <w:rPr>
                <w:rFonts w:hint="eastAsia" w:cs="宋体"/>
                <w:color w:val="auto"/>
                <w:sz w:val="24"/>
                <w:szCs w:val="24"/>
                <w:highlight w:val="none"/>
              </w:rPr>
              <w:t>月</w:t>
            </w:r>
            <w:r>
              <w:rPr>
                <w:rFonts w:hint="eastAsia" w:cs="宋体"/>
                <w:color w:val="auto"/>
                <w:sz w:val="24"/>
                <w:szCs w:val="24"/>
                <w:highlight w:val="none"/>
                <w:lang w:val="en-US" w:eastAsia="zh-CN"/>
              </w:rPr>
              <w:t>17</w:t>
            </w:r>
            <w:r>
              <w:rPr>
                <w:rFonts w:hint="eastAsia" w:cs="宋体"/>
                <w:color w:val="auto"/>
                <w:sz w:val="24"/>
                <w:szCs w:val="24"/>
                <w:highlight w:val="none"/>
              </w:rPr>
              <w:t>日</w:t>
            </w:r>
            <w:r>
              <w:rPr>
                <w:rFonts w:hint="eastAsia" w:cs="宋体"/>
                <w:color w:val="auto"/>
                <w:sz w:val="24"/>
                <w:szCs w:val="24"/>
                <w:highlight w:val="none"/>
                <w:lang w:val="en-US" w:eastAsia="zh-CN"/>
              </w:rPr>
              <w:t>14</w:t>
            </w:r>
            <w:r>
              <w:rPr>
                <w:rFonts w:hint="eastAsia" w:cs="宋体"/>
                <w:color w:val="auto"/>
                <w:sz w:val="24"/>
                <w:szCs w:val="24"/>
                <w:highlight w:val="none"/>
              </w:rPr>
              <w:t>时</w:t>
            </w:r>
            <w:r>
              <w:rPr>
                <w:rFonts w:hint="eastAsia" w:cs="宋体"/>
                <w:color w:val="auto"/>
                <w:sz w:val="24"/>
                <w:szCs w:val="24"/>
                <w:highlight w:val="none"/>
                <w:lang w:val="en-US" w:eastAsia="zh-CN"/>
              </w:rPr>
              <w:t>00</w:t>
            </w:r>
            <w:r>
              <w:rPr>
                <w:rFonts w:hint="eastAsia" w:cs="宋体"/>
                <w:color w:val="auto"/>
                <w:sz w:val="24"/>
                <w:szCs w:val="24"/>
                <w:highlight w:val="none"/>
              </w:rPr>
              <w:t>分（北京时间）前提交响应文件。</w:t>
            </w:r>
          </w:p>
        </w:tc>
      </w:tr>
    </w:tbl>
    <w:p>
      <w:pPr>
        <w:pStyle w:val="31"/>
        <w:spacing w:before="150" w:beforeAutospacing="0" w:after="0" w:afterAutospacing="0" w:line="360" w:lineRule="auto"/>
        <w:rPr>
          <w:rFonts w:cs="宋体"/>
          <w:b/>
          <w:bCs/>
          <w:color w:val="auto"/>
          <w:sz w:val="24"/>
          <w:szCs w:val="24"/>
          <w:highlight w:val="none"/>
        </w:rPr>
      </w:pPr>
      <w:r>
        <w:rPr>
          <w:rFonts w:hint="eastAsia" w:cs="宋体"/>
          <w:b/>
          <w:bCs/>
          <w:color w:val="auto"/>
          <w:sz w:val="24"/>
          <w:szCs w:val="24"/>
          <w:highlight w:val="none"/>
        </w:rPr>
        <w:t>一、项目基本情况：</w:t>
      </w:r>
    </w:p>
    <w:p>
      <w:pPr>
        <w:pStyle w:val="31"/>
        <w:spacing w:before="0" w:beforeAutospacing="0" w:after="0" w:afterAutospacing="0" w:line="360" w:lineRule="auto"/>
        <w:ind w:firstLine="420"/>
        <w:rPr>
          <w:rFonts w:hint="eastAsia" w:eastAsia="宋体" w:cs="宋体"/>
          <w:color w:val="auto"/>
          <w:sz w:val="24"/>
          <w:szCs w:val="24"/>
          <w:highlight w:val="none"/>
          <w:lang w:eastAsia="zh-CN"/>
        </w:rPr>
      </w:pPr>
      <w:r>
        <w:rPr>
          <w:rFonts w:hint="eastAsia" w:cs="宋体"/>
          <w:color w:val="auto"/>
          <w:sz w:val="24"/>
          <w:szCs w:val="24"/>
          <w:highlight w:val="none"/>
        </w:rPr>
        <w:t>项目编号：</w:t>
      </w:r>
      <w:r>
        <w:rPr>
          <w:rFonts w:hint="eastAsia" w:cs="宋体"/>
          <w:color w:val="auto"/>
          <w:sz w:val="24"/>
          <w:szCs w:val="24"/>
          <w:highlight w:val="none"/>
          <w:lang w:eastAsia="zh-CN"/>
        </w:rPr>
        <w:t>MZ2023-TP1007</w:t>
      </w:r>
    </w:p>
    <w:p>
      <w:pPr>
        <w:pStyle w:val="31"/>
        <w:spacing w:before="0" w:beforeAutospacing="0" w:after="0" w:afterAutospacing="0" w:line="360" w:lineRule="auto"/>
        <w:ind w:firstLine="420"/>
        <w:rPr>
          <w:rFonts w:hint="eastAsia" w:eastAsia="宋体" w:cs="宋体"/>
          <w:color w:val="auto"/>
          <w:sz w:val="24"/>
          <w:szCs w:val="24"/>
          <w:highlight w:val="none"/>
          <w:lang w:eastAsia="zh-CN"/>
        </w:rPr>
      </w:pPr>
      <w:r>
        <w:rPr>
          <w:rFonts w:hint="eastAsia" w:cs="宋体"/>
          <w:color w:val="auto"/>
          <w:sz w:val="24"/>
          <w:szCs w:val="24"/>
          <w:highlight w:val="none"/>
        </w:rPr>
        <w:t>项目名称：</w:t>
      </w:r>
      <w:r>
        <w:rPr>
          <w:rFonts w:hint="eastAsia" w:cs="宋体"/>
          <w:color w:val="auto"/>
          <w:sz w:val="24"/>
          <w:szCs w:val="24"/>
          <w:highlight w:val="none"/>
          <w:lang w:eastAsia="zh-CN"/>
        </w:rPr>
        <w:t>西安商贸旅游技师学院烹饪系、食品系实训课原材料采购项目</w:t>
      </w:r>
    </w:p>
    <w:p>
      <w:pPr>
        <w:pStyle w:val="31"/>
        <w:spacing w:before="0" w:beforeAutospacing="0" w:after="0" w:afterAutospacing="0" w:line="360" w:lineRule="auto"/>
        <w:ind w:firstLine="420"/>
        <w:rPr>
          <w:rFonts w:cs="宋体"/>
          <w:color w:val="auto"/>
          <w:sz w:val="24"/>
          <w:szCs w:val="24"/>
          <w:highlight w:val="none"/>
        </w:rPr>
      </w:pPr>
      <w:r>
        <w:rPr>
          <w:rFonts w:hint="eastAsia" w:cs="宋体"/>
          <w:color w:val="auto"/>
          <w:sz w:val="24"/>
          <w:szCs w:val="24"/>
          <w:highlight w:val="none"/>
        </w:rPr>
        <w:t>采购方式：竞争性谈判</w:t>
      </w:r>
    </w:p>
    <w:p>
      <w:pPr>
        <w:pStyle w:val="31"/>
        <w:spacing w:before="0" w:beforeAutospacing="0" w:after="0" w:afterAutospacing="0" w:line="360" w:lineRule="auto"/>
        <w:ind w:firstLine="420"/>
        <w:rPr>
          <w:rFonts w:hint="eastAsia" w:cs="宋体"/>
          <w:color w:val="auto"/>
          <w:sz w:val="24"/>
          <w:szCs w:val="24"/>
          <w:highlight w:val="none"/>
        </w:rPr>
      </w:pPr>
      <w:r>
        <w:rPr>
          <w:rFonts w:hint="eastAsia" w:cs="宋体"/>
          <w:color w:val="auto"/>
          <w:sz w:val="24"/>
          <w:szCs w:val="24"/>
          <w:highlight w:val="none"/>
        </w:rPr>
        <w:t>预算金额：</w:t>
      </w:r>
      <w:r>
        <w:rPr>
          <w:rFonts w:hint="eastAsia" w:cs="宋体"/>
          <w:color w:val="auto"/>
          <w:sz w:val="24"/>
          <w:szCs w:val="24"/>
          <w:highlight w:val="none"/>
          <w:lang w:eastAsia="zh-CN"/>
        </w:rPr>
        <w:t>630,000.00</w:t>
      </w:r>
      <w:r>
        <w:rPr>
          <w:rFonts w:hint="eastAsia" w:cs="宋体"/>
          <w:color w:val="auto"/>
          <w:sz w:val="24"/>
          <w:szCs w:val="24"/>
          <w:highlight w:val="none"/>
        </w:rPr>
        <w:t>元</w:t>
      </w:r>
    </w:p>
    <w:p>
      <w:pPr>
        <w:pStyle w:val="31"/>
        <w:spacing w:before="0" w:beforeAutospacing="0" w:after="0" w:afterAutospacing="0" w:line="360" w:lineRule="auto"/>
        <w:ind w:firstLine="420"/>
        <w:rPr>
          <w:rFonts w:hint="eastAsia" w:cs="宋体"/>
          <w:color w:val="auto"/>
          <w:sz w:val="24"/>
          <w:szCs w:val="24"/>
          <w:highlight w:val="none"/>
        </w:rPr>
      </w:pPr>
      <w:r>
        <w:rPr>
          <w:rFonts w:hint="eastAsia" w:cs="宋体"/>
          <w:color w:val="auto"/>
          <w:sz w:val="24"/>
          <w:szCs w:val="24"/>
          <w:highlight w:val="none"/>
        </w:rPr>
        <w:t>采购需求：</w:t>
      </w:r>
    </w:p>
    <w:p>
      <w:pPr>
        <w:pStyle w:val="31"/>
        <w:spacing w:before="0" w:beforeAutospacing="0" w:after="0" w:afterAutospacing="0" w:line="360" w:lineRule="auto"/>
        <w:ind w:firstLine="720" w:firstLineChars="300"/>
        <w:jc w:val="both"/>
        <w:textAlignment w:val="baseline"/>
        <w:rPr>
          <w:rFonts w:cs="宋体"/>
          <w:bCs/>
          <w:color w:val="auto"/>
          <w:kern w:val="2"/>
          <w:sz w:val="24"/>
          <w:szCs w:val="24"/>
          <w:highlight w:val="none"/>
        </w:rPr>
      </w:pPr>
      <w:r>
        <w:rPr>
          <w:rFonts w:hint="eastAsia" w:cs="宋体"/>
          <w:bCs/>
          <w:color w:val="auto"/>
          <w:kern w:val="2"/>
          <w:sz w:val="24"/>
          <w:szCs w:val="24"/>
          <w:highlight w:val="none"/>
        </w:rPr>
        <w:t>合同包1(</w:t>
      </w:r>
      <w:r>
        <w:rPr>
          <w:rFonts w:hint="eastAsia" w:cs="宋体"/>
          <w:color w:val="auto"/>
          <w:sz w:val="24"/>
          <w:szCs w:val="24"/>
          <w:highlight w:val="none"/>
          <w:lang w:eastAsia="zh-CN"/>
        </w:rPr>
        <w:t>西安商贸旅游技师学院烹饪系、食品系实训课原材料采购项目</w:t>
      </w:r>
      <w:r>
        <w:rPr>
          <w:rFonts w:hint="eastAsia" w:cs="宋体"/>
          <w:bCs/>
          <w:color w:val="auto"/>
          <w:kern w:val="2"/>
          <w:sz w:val="24"/>
          <w:szCs w:val="24"/>
          <w:highlight w:val="none"/>
        </w:rPr>
        <w:t>):</w:t>
      </w:r>
    </w:p>
    <w:p>
      <w:pPr>
        <w:pStyle w:val="31"/>
        <w:spacing w:before="0" w:beforeAutospacing="0" w:after="0" w:afterAutospacing="0" w:line="360" w:lineRule="auto"/>
        <w:ind w:firstLine="720" w:firstLineChars="300"/>
        <w:jc w:val="both"/>
        <w:textAlignment w:val="baseline"/>
        <w:rPr>
          <w:rFonts w:cs="宋体"/>
          <w:color w:val="auto"/>
          <w:sz w:val="24"/>
          <w:szCs w:val="24"/>
          <w:highlight w:val="none"/>
        </w:rPr>
      </w:pPr>
      <w:r>
        <w:rPr>
          <w:rFonts w:hint="eastAsia" w:cs="宋体"/>
          <w:bCs/>
          <w:color w:val="auto"/>
          <w:kern w:val="2"/>
          <w:sz w:val="24"/>
          <w:szCs w:val="24"/>
          <w:highlight w:val="none"/>
        </w:rPr>
        <w:t>合同包预算金额：</w:t>
      </w:r>
      <w:r>
        <w:rPr>
          <w:rFonts w:hint="eastAsia" w:cs="宋体"/>
          <w:color w:val="auto"/>
          <w:sz w:val="24"/>
          <w:szCs w:val="24"/>
          <w:highlight w:val="none"/>
          <w:lang w:eastAsia="zh-CN"/>
        </w:rPr>
        <w:t>630,000.00</w:t>
      </w:r>
      <w:r>
        <w:rPr>
          <w:rFonts w:hint="eastAsia" w:cs="宋体"/>
          <w:color w:val="auto"/>
          <w:sz w:val="24"/>
          <w:szCs w:val="24"/>
          <w:highlight w:val="none"/>
        </w:rPr>
        <w:t>元</w:t>
      </w:r>
    </w:p>
    <w:tbl>
      <w:tblPr>
        <w:tblStyle w:val="36"/>
        <w:tblW w:w="9856" w:type="dxa"/>
        <w:tblInd w:w="0" w:type="dxa"/>
        <w:tblLayout w:type="autofit"/>
        <w:tblCellMar>
          <w:top w:w="0" w:type="dxa"/>
          <w:left w:w="0" w:type="dxa"/>
          <w:bottom w:w="0" w:type="dxa"/>
          <w:right w:w="0" w:type="dxa"/>
        </w:tblCellMar>
      </w:tblPr>
      <w:tblGrid>
        <w:gridCol w:w="683"/>
        <w:gridCol w:w="1740"/>
        <w:gridCol w:w="2438"/>
        <w:gridCol w:w="1065"/>
        <w:gridCol w:w="1455"/>
        <w:gridCol w:w="1380"/>
        <w:gridCol w:w="1095"/>
      </w:tblGrid>
      <w:tr>
        <w:tblPrEx>
          <w:tblCellMar>
            <w:top w:w="0" w:type="dxa"/>
            <w:left w:w="0" w:type="dxa"/>
            <w:bottom w:w="0" w:type="dxa"/>
            <w:right w:w="0" w:type="dxa"/>
          </w:tblCellMar>
        </w:tblPrEx>
        <w:trPr>
          <w:trHeight w:val="939" w:hRule="atLeast"/>
          <w:tblHeader/>
        </w:trPr>
        <w:tc>
          <w:tcPr>
            <w:tcW w:w="683"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品目号</w:t>
            </w:r>
          </w:p>
        </w:tc>
        <w:tc>
          <w:tcPr>
            <w:tcW w:w="174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品目名称</w:t>
            </w:r>
          </w:p>
        </w:tc>
        <w:tc>
          <w:tcPr>
            <w:tcW w:w="2438"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采购标的</w:t>
            </w:r>
          </w:p>
        </w:tc>
        <w:tc>
          <w:tcPr>
            <w:tcW w:w="1065"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数量</w:t>
            </w:r>
          </w:p>
          <w:p>
            <w:pPr>
              <w:widowControl/>
              <w:wordWrap w:val="0"/>
              <w:spacing w:line="400" w:lineRule="exact"/>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（单位）</w:t>
            </w:r>
          </w:p>
        </w:tc>
        <w:tc>
          <w:tcPr>
            <w:tcW w:w="1455"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技术规格、参数及要求</w:t>
            </w:r>
          </w:p>
        </w:tc>
        <w:tc>
          <w:tcPr>
            <w:tcW w:w="138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品目预算(元)</w:t>
            </w:r>
          </w:p>
        </w:tc>
        <w:tc>
          <w:tcPr>
            <w:tcW w:w="1095"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最高限价(元)</w:t>
            </w:r>
          </w:p>
        </w:tc>
      </w:tr>
      <w:tr>
        <w:tblPrEx>
          <w:tblCellMar>
            <w:top w:w="0" w:type="dxa"/>
            <w:left w:w="0" w:type="dxa"/>
            <w:bottom w:w="0" w:type="dxa"/>
            <w:right w:w="0" w:type="dxa"/>
          </w:tblCellMar>
        </w:tblPrEx>
        <w:trPr>
          <w:trHeight w:val="1122" w:hRule="atLeast"/>
        </w:trPr>
        <w:tc>
          <w:tcPr>
            <w:tcW w:w="683"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1-1</w:t>
            </w:r>
          </w:p>
        </w:tc>
        <w:tc>
          <w:tcPr>
            <w:tcW w:w="174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hint="default"/>
                <w:color w:val="auto"/>
                <w:highlight w:val="none"/>
                <w:lang w:val="en-US" w:eastAsia="zh-CN"/>
              </w:rPr>
            </w:pPr>
            <w:r>
              <w:rPr>
                <w:rFonts w:hint="eastAsia"/>
                <w:color w:val="auto"/>
                <w:highlight w:val="none"/>
                <w:lang w:val="en-US" w:eastAsia="zh-CN"/>
              </w:rPr>
              <w:t>其他农副食品，动、植物油制品</w:t>
            </w:r>
          </w:p>
        </w:tc>
        <w:tc>
          <w:tcPr>
            <w:tcW w:w="2438"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hint="eastAsia"/>
                <w:color w:val="auto"/>
                <w:highlight w:val="none"/>
                <w:lang w:val="en-US" w:eastAsia="zh-CN"/>
              </w:rPr>
            </w:pPr>
            <w:r>
              <w:rPr>
                <w:rFonts w:hint="eastAsia"/>
                <w:color w:val="auto"/>
                <w:highlight w:val="none"/>
                <w:lang w:val="en-US" w:eastAsia="zh-CN"/>
              </w:rPr>
              <w:t>家畜类、家禽类、果蔬、米面油、调味品等原材料</w:t>
            </w:r>
          </w:p>
        </w:tc>
        <w:tc>
          <w:tcPr>
            <w:tcW w:w="1065"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lang w:val="en-US" w:eastAsia="zh-CN"/>
              </w:rPr>
              <w:t>1</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批</w:t>
            </w:r>
            <w:r>
              <w:rPr>
                <w:rFonts w:hint="eastAsia" w:ascii="宋体" w:hAnsi="宋体" w:cs="宋体"/>
                <w:bCs/>
                <w:color w:val="auto"/>
                <w:sz w:val="22"/>
                <w:szCs w:val="22"/>
                <w:highlight w:val="none"/>
              </w:rPr>
              <w:t>)</w:t>
            </w:r>
          </w:p>
        </w:tc>
        <w:tc>
          <w:tcPr>
            <w:tcW w:w="1455"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详见采购文件</w:t>
            </w:r>
          </w:p>
        </w:tc>
        <w:tc>
          <w:tcPr>
            <w:tcW w:w="138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hint="eastAsia" w:ascii="宋体" w:hAnsi="宋体" w:cs="宋体"/>
                <w:bCs/>
                <w:color w:val="auto"/>
                <w:sz w:val="22"/>
                <w:szCs w:val="22"/>
                <w:highlight w:val="none"/>
                <w:lang w:eastAsia="zh-CN"/>
              </w:rPr>
            </w:pPr>
            <w:r>
              <w:rPr>
                <w:rFonts w:hint="eastAsia" w:ascii="宋体" w:hAnsi="宋体" w:cs="宋体"/>
                <w:bCs/>
                <w:color w:val="auto"/>
                <w:sz w:val="22"/>
                <w:szCs w:val="22"/>
                <w:highlight w:val="none"/>
                <w:lang w:eastAsia="zh-CN"/>
              </w:rPr>
              <w:t>630,000.00</w:t>
            </w:r>
          </w:p>
        </w:tc>
        <w:tc>
          <w:tcPr>
            <w:tcW w:w="1095"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widowControl/>
              <w:wordWrap w:val="0"/>
              <w:spacing w:line="400" w:lineRule="exact"/>
              <w:jc w:val="center"/>
              <w:textAlignment w:val="center"/>
              <w:rPr>
                <w:rFonts w:hint="eastAsia" w:ascii="宋体" w:hAnsi="宋体" w:cs="宋体"/>
                <w:bCs/>
                <w:color w:val="auto"/>
                <w:sz w:val="22"/>
                <w:szCs w:val="22"/>
                <w:highlight w:val="none"/>
                <w:lang w:eastAsia="zh-CN"/>
              </w:rPr>
            </w:pPr>
            <w:r>
              <w:rPr>
                <w:rFonts w:hint="eastAsia" w:ascii="宋体" w:hAnsi="宋体" w:cs="宋体"/>
                <w:bCs/>
                <w:color w:val="auto"/>
                <w:sz w:val="22"/>
                <w:szCs w:val="22"/>
                <w:highlight w:val="none"/>
                <w:lang w:val="en-US" w:eastAsia="zh-CN"/>
              </w:rPr>
              <w:t>-</w:t>
            </w:r>
          </w:p>
        </w:tc>
      </w:tr>
    </w:tbl>
    <w:p>
      <w:pPr>
        <w:pStyle w:val="31"/>
        <w:keepNext w:val="0"/>
        <w:keepLines w:val="0"/>
        <w:pageBreakBefore w:val="0"/>
        <w:widowControl/>
        <w:kinsoku/>
        <w:wordWrap/>
        <w:overflowPunct/>
        <w:topLinePunct w:val="0"/>
        <w:autoSpaceDE/>
        <w:autoSpaceDN/>
        <w:bidi w:val="0"/>
        <w:adjustRightInd/>
        <w:snapToGrid/>
        <w:spacing w:before="63" w:beforeLines="20" w:beforeAutospacing="0" w:after="0" w:afterAutospacing="0" w:line="360" w:lineRule="auto"/>
        <w:ind w:firstLine="720" w:firstLineChars="300"/>
        <w:jc w:val="both"/>
        <w:textAlignment w:val="baseline"/>
        <w:rPr>
          <w:rFonts w:cs="宋体"/>
          <w:bCs/>
          <w:color w:val="auto"/>
          <w:kern w:val="2"/>
          <w:sz w:val="24"/>
          <w:szCs w:val="24"/>
          <w:highlight w:val="none"/>
        </w:rPr>
      </w:pPr>
      <w:r>
        <w:rPr>
          <w:rFonts w:hint="eastAsia" w:cs="宋体"/>
          <w:bCs/>
          <w:color w:val="auto"/>
          <w:kern w:val="2"/>
          <w:sz w:val="24"/>
          <w:szCs w:val="24"/>
          <w:highlight w:val="none"/>
        </w:rPr>
        <w:t>本合同包不接受联合体投标</w:t>
      </w:r>
    </w:p>
    <w:p>
      <w:pPr>
        <w:pStyle w:val="31"/>
        <w:spacing w:before="0" w:beforeAutospacing="0" w:after="0" w:afterAutospacing="0" w:line="360" w:lineRule="auto"/>
        <w:ind w:firstLine="720" w:firstLineChars="300"/>
        <w:jc w:val="both"/>
        <w:textAlignment w:val="baseline"/>
        <w:rPr>
          <w:rFonts w:cs="宋体"/>
          <w:bCs/>
          <w:color w:val="auto"/>
          <w:sz w:val="24"/>
          <w:highlight w:val="none"/>
        </w:rPr>
      </w:pPr>
      <w:r>
        <w:rPr>
          <w:rFonts w:hint="eastAsia" w:cs="宋体"/>
          <w:bCs/>
          <w:color w:val="auto"/>
          <w:kern w:val="2"/>
          <w:sz w:val="24"/>
          <w:szCs w:val="24"/>
          <w:highlight w:val="none"/>
        </w:rPr>
        <w:t>合同履行期限：</w:t>
      </w:r>
      <w:r>
        <w:rPr>
          <w:rFonts w:hint="eastAsia" w:ascii="宋体" w:hAnsi="宋体" w:cs="宋体"/>
          <w:bCs/>
          <w:color w:val="auto"/>
          <w:sz w:val="24"/>
          <w:highlight w:val="none"/>
        </w:rPr>
        <w:t>按照采购</w:t>
      </w:r>
      <w:r>
        <w:rPr>
          <w:rFonts w:hint="eastAsia" w:ascii="宋体" w:hAnsi="宋体" w:cs="宋体"/>
          <w:bCs/>
          <w:color w:val="auto"/>
          <w:sz w:val="24"/>
          <w:highlight w:val="none"/>
          <w:lang w:val="en-US" w:eastAsia="zh-CN"/>
        </w:rPr>
        <w:t>需求</w:t>
      </w:r>
      <w:r>
        <w:rPr>
          <w:rFonts w:hint="eastAsia" w:ascii="宋体" w:hAnsi="宋体" w:cs="宋体"/>
          <w:bCs/>
          <w:color w:val="auto"/>
          <w:sz w:val="24"/>
          <w:highlight w:val="none"/>
        </w:rPr>
        <w:t>中</w:t>
      </w:r>
      <w:r>
        <w:rPr>
          <w:rFonts w:hint="eastAsia" w:ascii="宋体" w:hAnsi="宋体" w:cs="宋体"/>
          <w:bCs/>
          <w:color w:val="auto"/>
          <w:sz w:val="24"/>
          <w:highlight w:val="none"/>
          <w:lang w:val="en-US" w:eastAsia="zh-CN"/>
        </w:rPr>
        <w:t>的各项要求进行</w:t>
      </w:r>
      <w:r>
        <w:rPr>
          <w:rFonts w:hint="eastAsia" w:ascii="宋体" w:hAnsi="宋体" w:cs="宋体"/>
          <w:bCs/>
          <w:color w:val="auto"/>
          <w:sz w:val="24"/>
          <w:highlight w:val="none"/>
        </w:rPr>
        <w:t>供货</w:t>
      </w:r>
      <w:r>
        <w:rPr>
          <w:rFonts w:hint="eastAsia" w:ascii="宋体" w:hAnsi="宋体" w:cs="宋体"/>
          <w:bCs/>
          <w:color w:val="auto"/>
          <w:sz w:val="24"/>
          <w:highlight w:val="none"/>
          <w:lang w:val="en-US" w:eastAsia="zh-CN"/>
        </w:rPr>
        <w:t>及</w:t>
      </w:r>
      <w:r>
        <w:rPr>
          <w:rFonts w:hint="eastAsia" w:ascii="宋体" w:hAnsi="宋体" w:cs="宋体"/>
          <w:bCs/>
          <w:color w:val="auto"/>
          <w:sz w:val="24"/>
          <w:highlight w:val="none"/>
        </w:rPr>
        <w:t>配送，</w:t>
      </w:r>
      <w:r>
        <w:rPr>
          <w:rFonts w:hint="eastAsia" w:ascii="宋体" w:hAnsi="宋体" w:cs="宋体"/>
          <w:bCs/>
          <w:color w:val="auto"/>
          <w:sz w:val="24"/>
          <w:highlight w:val="none"/>
          <w:lang w:val="en-US" w:eastAsia="zh-CN"/>
        </w:rPr>
        <w:t>服务</w:t>
      </w:r>
      <w:r>
        <w:rPr>
          <w:rFonts w:hint="eastAsia" w:ascii="宋体" w:hAnsi="宋体" w:cs="宋体"/>
          <w:bCs/>
          <w:color w:val="auto"/>
          <w:sz w:val="24"/>
          <w:highlight w:val="none"/>
        </w:rPr>
        <w:t>至202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12</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31</w:t>
      </w:r>
      <w:r>
        <w:rPr>
          <w:rFonts w:hint="eastAsia" w:ascii="宋体" w:hAnsi="宋体" w:cs="宋体"/>
          <w:bCs/>
          <w:color w:val="auto"/>
          <w:sz w:val="24"/>
          <w:highlight w:val="none"/>
        </w:rPr>
        <w:t>日。</w:t>
      </w:r>
    </w:p>
    <w:p>
      <w:pPr>
        <w:pStyle w:val="31"/>
        <w:spacing w:before="150" w:beforeAutospacing="0" w:after="0" w:afterAutospacing="0" w:line="360" w:lineRule="auto"/>
        <w:rPr>
          <w:rFonts w:cs="宋体"/>
          <w:b/>
          <w:bCs/>
          <w:color w:val="auto"/>
          <w:sz w:val="24"/>
          <w:szCs w:val="24"/>
          <w:highlight w:val="none"/>
        </w:rPr>
      </w:pPr>
      <w:r>
        <w:rPr>
          <w:rFonts w:hint="eastAsia" w:cs="宋体"/>
          <w:b/>
          <w:bCs/>
          <w:color w:val="auto"/>
          <w:sz w:val="24"/>
          <w:szCs w:val="24"/>
          <w:highlight w:val="none"/>
        </w:rPr>
        <w:t xml:space="preserve">二、 申请人的资格要求 </w:t>
      </w:r>
    </w:p>
    <w:p>
      <w:pPr>
        <w:pStyle w:val="31"/>
        <w:spacing w:before="0" w:beforeAutospacing="0" w:after="0" w:afterAutospacing="0" w:line="360" w:lineRule="auto"/>
        <w:ind w:firstLine="420"/>
        <w:rPr>
          <w:rFonts w:cs="宋体"/>
          <w:color w:val="auto"/>
          <w:sz w:val="24"/>
          <w:szCs w:val="24"/>
          <w:highlight w:val="none"/>
        </w:rPr>
      </w:pPr>
      <w:r>
        <w:rPr>
          <w:rFonts w:hint="eastAsia" w:cs="宋体"/>
          <w:color w:val="auto"/>
          <w:sz w:val="24"/>
          <w:szCs w:val="24"/>
          <w:highlight w:val="none"/>
        </w:rPr>
        <w:t>1、满足《中华人民共和国政府采购法》第二十二条规定</w:t>
      </w:r>
    </w:p>
    <w:p>
      <w:pPr>
        <w:pStyle w:val="31"/>
        <w:spacing w:before="0" w:beforeAutospacing="0" w:after="0" w:afterAutospacing="0" w:line="360" w:lineRule="auto"/>
        <w:ind w:firstLine="420"/>
        <w:rPr>
          <w:rFonts w:cs="宋体"/>
          <w:color w:val="auto"/>
          <w:sz w:val="24"/>
          <w:szCs w:val="24"/>
          <w:highlight w:val="none"/>
        </w:rPr>
      </w:pPr>
      <w:r>
        <w:rPr>
          <w:rFonts w:hint="eastAsia" w:cs="宋体"/>
          <w:color w:val="auto"/>
          <w:sz w:val="24"/>
          <w:szCs w:val="24"/>
          <w:highlight w:val="none"/>
        </w:rPr>
        <w:t>2、落实政府采购政策需满足的资格要求：</w:t>
      </w:r>
    </w:p>
    <w:p>
      <w:pPr>
        <w:pStyle w:val="31"/>
        <w:spacing w:before="0" w:beforeAutospacing="0" w:after="0" w:afterAutospacing="0" w:line="360" w:lineRule="auto"/>
        <w:ind w:firstLine="480" w:firstLineChars="200"/>
        <w:rPr>
          <w:rFonts w:cs="宋体"/>
          <w:color w:val="auto"/>
          <w:sz w:val="24"/>
          <w:szCs w:val="24"/>
          <w:highlight w:val="none"/>
        </w:rPr>
      </w:pPr>
      <w:r>
        <w:rPr>
          <w:rFonts w:hint="eastAsia" w:cs="宋体"/>
          <w:color w:val="auto"/>
          <w:sz w:val="24"/>
          <w:szCs w:val="24"/>
          <w:highlight w:val="none"/>
        </w:rPr>
        <w:t>合同包1(</w:t>
      </w:r>
      <w:r>
        <w:rPr>
          <w:rFonts w:hint="eastAsia" w:cs="宋体"/>
          <w:color w:val="auto"/>
          <w:sz w:val="24"/>
          <w:szCs w:val="24"/>
          <w:highlight w:val="none"/>
          <w:lang w:eastAsia="zh-CN"/>
        </w:rPr>
        <w:t>西安商贸旅游技师学院烹饪系、食品系实训课原材料采购项目</w:t>
      </w:r>
      <w:r>
        <w:rPr>
          <w:rFonts w:hint="eastAsia" w:cs="宋体"/>
          <w:color w:val="auto"/>
          <w:sz w:val="24"/>
          <w:szCs w:val="24"/>
          <w:highlight w:val="none"/>
        </w:rPr>
        <w:t>)落实政府采购政策需满足的资格要求如下:</w:t>
      </w:r>
    </w:p>
    <w:p>
      <w:pPr>
        <w:pStyle w:val="31"/>
        <w:spacing w:before="0" w:beforeAutospacing="0" w:after="0" w:afterAutospacing="0" w:line="336" w:lineRule="auto"/>
        <w:ind w:firstLine="480" w:firstLineChars="200"/>
        <w:jc w:val="both"/>
        <w:textAlignment w:val="baseline"/>
        <w:rPr>
          <w:rFonts w:cs="宋体"/>
          <w:bCs/>
          <w:color w:val="auto"/>
          <w:kern w:val="2"/>
          <w:sz w:val="24"/>
          <w:szCs w:val="24"/>
          <w:highlight w:val="none"/>
        </w:rPr>
      </w:pPr>
      <w:r>
        <w:rPr>
          <w:rFonts w:hint="eastAsia" w:cs="宋体"/>
          <w:bCs/>
          <w:color w:val="auto"/>
          <w:kern w:val="2"/>
          <w:sz w:val="24"/>
          <w:szCs w:val="24"/>
          <w:highlight w:val="none"/>
        </w:rPr>
        <w:t>（1）中小企业发展政策：《政府采购促进中小企业发展管理办法》（财库〔2020〕46 号）、《关于进一步加大政府采购支持中小企业力度的通知》财库〔2022〕19 号、《关于政府采购支持监狱企业发展有关问题的通知》（财库〔2014〕68 号）以及《关于促进残疾人就业政府采购政策的通知》（财库〔2017〕141 号）；陕西省财政厅关于印发《陕西省中小企业政府采购信用融资办法》（陕财办采〔2018〕23 号）；陕西省财政厅关于落实政府采购支持中小企业政策有关事项的通知(陕财办采函〔2022〕10号)。</w:t>
      </w:r>
    </w:p>
    <w:p>
      <w:pPr>
        <w:pStyle w:val="31"/>
        <w:spacing w:before="0" w:beforeAutospacing="0" w:after="0" w:afterAutospacing="0" w:line="336" w:lineRule="auto"/>
        <w:ind w:firstLine="480" w:firstLineChars="200"/>
        <w:jc w:val="both"/>
        <w:textAlignment w:val="baseline"/>
        <w:rPr>
          <w:rFonts w:cs="宋体"/>
          <w:bCs/>
          <w:color w:val="auto"/>
          <w:kern w:val="2"/>
          <w:sz w:val="24"/>
          <w:szCs w:val="24"/>
          <w:highlight w:val="none"/>
        </w:rPr>
      </w:pPr>
      <w:r>
        <w:rPr>
          <w:rFonts w:hint="eastAsia" w:cs="宋体"/>
          <w:bCs/>
          <w:color w:val="auto"/>
          <w:kern w:val="2"/>
          <w:sz w:val="24"/>
          <w:szCs w:val="24"/>
          <w:highlight w:val="none"/>
        </w:rPr>
        <w:t>（2）绿色发展政策：财政部、国家发展改革委《关于印发〈节能产品政府采购实施意见〉的通知》（财库〔2004〕185 号）、财政部、国家环保总局联合印发《关于环境标志产品政府采购实施的意见》（财库〔2006〕90 号）、国务院办公厅《关于建立政府强制采购节能产品制度的通知》（国办发〔2007〕51 号）、《财政部发展改革委生态环境部 市场监管总局关于调整优化节能产品 环境标志产品政府采购执行机制的通知》（财库〔2019〕9 号）；《商品包装政府采购需求标准（试行）》和《快递包装政府采购需求标准（试行）》（财办库[2020]123 号）；《关于进一步加强政府绿色采购有关问题的通知》（陕财办采〔2021〕29 号）。</w:t>
      </w:r>
    </w:p>
    <w:p>
      <w:pPr>
        <w:pStyle w:val="31"/>
        <w:spacing w:before="0" w:beforeAutospacing="0" w:after="0" w:afterAutospacing="0" w:line="336" w:lineRule="auto"/>
        <w:ind w:firstLine="480" w:firstLineChars="200"/>
        <w:jc w:val="both"/>
        <w:textAlignment w:val="baseline"/>
        <w:rPr>
          <w:rFonts w:cs="宋体"/>
          <w:bCs/>
          <w:color w:val="auto"/>
          <w:kern w:val="2"/>
          <w:sz w:val="24"/>
          <w:szCs w:val="24"/>
          <w:highlight w:val="none"/>
        </w:rPr>
      </w:pPr>
      <w:r>
        <w:rPr>
          <w:rFonts w:hint="eastAsia" w:cs="宋体"/>
          <w:bCs/>
          <w:color w:val="auto"/>
          <w:kern w:val="2"/>
          <w:sz w:val="24"/>
          <w:szCs w:val="24"/>
          <w:highlight w:val="none"/>
        </w:rPr>
        <w:t>（3）支持本国产业政策：《财政部关于印发&lt;进口产品管理办法&gt;的通知》（财库[2007]119 号）；《财政部办公厅关于政府采购进口产品管理有关问题的通知》（财办库[2008]248 号）。</w:t>
      </w:r>
    </w:p>
    <w:p>
      <w:pPr>
        <w:pStyle w:val="31"/>
        <w:spacing w:before="0" w:beforeAutospacing="0" w:after="0" w:afterAutospacing="0" w:line="336" w:lineRule="auto"/>
        <w:ind w:firstLine="480" w:firstLineChars="200"/>
        <w:jc w:val="both"/>
        <w:textAlignment w:val="baseline"/>
        <w:rPr>
          <w:rFonts w:cs="宋体"/>
          <w:bCs/>
          <w:color w:val="auto"/>
          <w:kern w:val="2"/>
          <w:sz w:val="24"/>
          <w:szCs w:val="24"/>
          <w:highlight w:val="none"/>
        </w:rPr>
      </w:pPr>
      <w:r>
        <w:rPr>
          <w:rFonts w:hint="eastAsia" w:cs="宋体"/>
          <w:bCs/>
          <w:color w:val="auto"/>
          <w:kern w:val="2"/>
          <w:sz w:val="24"/>
          <w:szCs w:val="24"/>
          <w:highlight w:val="none"/>
        </w:rPr>
        <w:t>（4）融资担保：《陕西省财政厅关于印发陕西省中小企业政府采购信用融资办法》（陕财办采〔2018〕23 号）；《陕西省财政厅关于加快推进我省中小企业政府采购信用融资工作的通知》（陕财办采〔2020〕15 号）；《关于进一步加大政府采购支持中小企业力度的通知》（财库〔2022〕19 号）。</w:t>
      </w:r>
    </w:p>
    <w:p>
      <w:pPr>
        <w:pStyle w:val="31"/>
        <w:spacing w:before="0" w:beforeAutospacing="0" w:after="0" w:afterAutospacing="0" w:line="336" w:lineRule="auto"/>
        <w:ind w:firstLine="480" w:firstLineChars="200"/>
        <w:jc w:val="both"/>
        <w:textAlignment w:val="baseline"/>
        <w:rPr>
          <w:rFonts w:cs="宋体"/>
          <w:bCs/>
          <w:color w:val="auto"/>
          <w:kern w:val="2"/>
          <w:sz w:val="24"/>
          <w:szCs w:val="24"/>
          <w:highlight w:val="none"/>
        </w:rPr>
      </w:pPr>
      <w:r>
        <w:rPr>
          <w:rFonts w:hint="eastAsia" w:cs="宋体"/>
          <w:bCs/>
          <w:color w:val="auto"/>
          <w:kern w:val="2"/>
          <w:sz w:val="24"/>
          <w:szCs w:val="24"/>
          <w:highlight w:val="none"/>
        </w:rPr>
        <w:t>（5）支持创新等政府采购政策。</w:t>
      </w:r>
    </w:p>
    <w:p>
      <w:pPr>
        <w:pStyle w:val="31"/>
        <w:spacing w:before="0" w:beforeAutospacing="0" w:after="0" w:afterAutospacing="0" w:line="336" w:lineRule="auto"/>
        <w:ind w:firstLine="480" w:firstLineChars="200"/>
        <w:jc w:val="both"/>
        <w:textAlignment w:val="baseline"/>
        <w:rPr>
          <w:rFonts w:cs="宋体"/>
          <w:bCs/>
          <w:color w:val="auto"/>
          <w:kern w:val="2"/>
          <w:sz w:val="24"/>
          <w:szCs w:val="24"/>
          <w:highlight w:val="none"/>
        </w:rPr>
      </w:pPr>
      <w:r>
        <w:rPr>
          <w:rFonts w:hint="eastAsia" w:cs="宋体"/>
          <w:bCs/>
          <w:color w:val="auto"/>
          <w:kern w:val="2"/>
          <w:sz w:val="24"/>
          <w:szCs w:val="24"/>
          <w:highlight w:val="none"/>
        </w:rPr>
        <w:t>（6）其他需要落实的政府采购政策。具体内容和落实办法详见《</w:t>
      </w:r>
      <w:r>
        <w:rPr>
          <w:rFonts w:hint="eastAsia" w:cs="宋体"/>
          <w:bCs/>
          <w:color w:val="auto"/>
          <w:kern w:val="2"/>
          <w:sz w:val="24"/>
          <w:szCs w:val="24"/>
          <w:highlight w:val="none"/>
          <w:lang w:val="en-US" w:eastAsia="zh-CN"/>
        </w:rPr>
        <w:t>谈判</w:t>
      </w:r>
      <w:bookmarkStart w:id="236" w:name="_GoBack"/>
      <w:bookmarkEnd w:id="236"/>
      <w:r>
        <w:rPr>
          <w:rFonts w:hint="eastAsia" w:cs="宋体"/>
          <w:bCs/>
          <w:color w:val="auto"/>
          <w:kern w:val="2"/>
          <w:sz w:val="24"/>
          <w:szCs w:val="24"/>
          <w:highlight w:val="none"/>
        </w:rPr>
        <w:t>文件》中“落实政府采购政策”有关内容。注：本</w:t>
      </w:r>
      <w:r>
        <w:rPr>
          <w:rFonts w:hint="eastAsia" w:cs="宋体"/>
          <w:bCs/>
          <w:color w:val="auto"/>
          <w:kern w:val="2"/>
          <w:sz w:val="24"/>
          <w:szCs w:val="24"/>
          <w:highlight w:val="none"/>
          <w:lang w:val="en-US" w:eastAsia="zh-CN"/>
        </w:rPr>
        <w:t>项目不</w:t>
      </w:r>
      <w:r>
        <w:rPr>
          <w:rFonts w:hint="eastAsia" w:cs="宋体"/>
          <w:bCs/>
          <w:color w:val="auto"/>
          <w:kern w:val="2"/>
          <w:sz w:val="24"/>
          <w:szCs w:val="24"/>
          <w:highlight w:val="none"/>
        </w:rPr>
        <w:t>专门面向中小企业采购。</w:t>
      </w:r>
    </w:p>
    <w:p>
      <w:pPr>
        <w:pStyle w:val="31"/>
        <w:spacing w:before="0" w:beforeAutospacing="0" w:after="0" w:afterAutospacing="0" w:line="360" w:lineRule="auto"/>
        <w:ind w:firstLine="420"/>
        <w:rPr>
          <w:rFonts w:cs="宋体"/>
          <w:color w:val="auto"/>
          <w:sz w:val="24"/>
          <w:szCs w:val="24"/>
          <w:highlight w:val="none"/>
        </w:rPr>
      </w:pPr>
      <w:r>
        <w:rPr>
          <w:rFonts w:hint="eastAsia" w:cs="宋体"/>
          <w:color w:val="auto"/>
          <w:sz w:val="24"/>
          <w:szCs w:val="24"/>
          <w:highlight w:val="none"/>
        </w:rPr>
        <w:t>3、本项目的特定资格要求：</w:t>
      </w:r>
    </w:p>
    <w:p>
      <w:pPr>
        <w:pStyle w:val="31"/>
        <w:spacing w:before="0" w:beforeAutospacing="0" w:after="0" w:afterAutospacing="0" w:line="360" w:lineRule="auto"/>
        <w:ind w:firstLine="420"/>
        <w:rPr>
          <w:rFonts w:cs="宋体"/>
          <w:color w:val="auto"/>
          <w:sz w:val="24"/>
          <w:szCs w:val="24"/>
          <w:highlight w:val="none"/>
        </w:rPr>
      </w:pPr>
      <w:r>
        <w:rPr>
          <w:rFonts w:hint="eastAsia" w:cs="宋体"/>
          <w:color w:val="auto"/>
          <w:sz w:val="24"/>
          <w:szCs w:val="24"/>
          <w:highlight w:val="none"/>
        </w:rPr>
        <w:t>合同包1(</w:t>
      </w:r>
      <w:r>
        <w:rPr>
          <w:rFonts w:hint="eastAsia" w:cs="宋体"/>
          <w:color w:val="auto"/>
          <w:sz w:val="24"/>
          <w:szCs w:val="24"/>
          <w:highlight w:val="none"/>
          <w:lang w:eastAsia="zh-CN"/>
        </w:rPr>
        <w:t>西安商贸旅游技师学院烹饪系、食品系实训课原材料采购项目</w:t>
      </w:r>
      <w:r>
        <w:rPr>
          <w:rFonts w:hint="eastAsia" w:cs="宋体"/>
          <w:color w:val="auto"/>
          <w:sz w:val="24"/>
          <w:szCs w:val="24"/>
          <w:highlight w:val="none"/>
        </w:rPr>
        <w:t>)特定资格要求如下:</w:t>
      </w:r>
    </w:p>
    <w:p>
      <w:pPr>
        <w:widowControl/>
        <w:numPr>
          <w:ilvl w:val="0"/>
          <w:numId w:val="4"/>
        </w:numPr>
        <w:tabs>
          <w:tab w:val="left" w:pos="1620"/>
        </w:tabs>
        <w:spacing w:line="360" w:lineRule="auto"/>
        <w:ind w:right="-197" w:rightChars="-94" w:firstLine="480"/>
        <w:jc w:val="left"/>
        <w:rPr>
          <w:rFonts w:ascii="宋体" w:hAnsi="宋体" w:cs="宋体"/>
          <w:bCs/>
          <w:color w:val="auto"/>
          <w:sz w:val="24"/>
          <w:highlight w:val="none"/>
        </w:rPr>
      </w:pPr>
      <w:r>
        <w:rPr>
          <w:rFonts w:hint="eastAsia" w:ascii="宋体" w:hAnsi="宋体" w:cs="宋体"/>
          <w:bCs/>
          <w:color w:val="auto"/>
          <w:sz w:val="24"/>
          <w:highlight w:val="none"/>
        </w:rPr>
        <w:t>供应商应具有独立承担民事责任的能力的企业法人、事业法人、其他组织或自然人，出具合法有效的营业执照等相关证明文件，自然人参与的提供其身份证明；（2）法定代表人直接参加投标的，须出具法定代表人证明及法人身份证；法定代表人授权代表参加投标的，须出具法定代表人授权书及授权代表身份证。（3）财务状况报告：提供经审计的202</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年度财务报告或开标前六个月内其本公司银行账户出具的资信证明；（4）税收缴纳证明：供应商提供截止至开标时间前六个月任一月份的缴费凭据；依法免税的应提供相关文件证明；（5）社会保障资金缴纳证明：供应商提供截止至开标时间前六个月任一月份的缴费凭据或社保机构开具的社会保险参保缴费情况证明；依法不需要缴纳社会保障资金的应提供相关文件证明；（6）供应商提供具有履行本合同所必需的设备和专业技术能力的承诺函；（7）供应商提供参加政府采购活动前三年内在经营活动中没有重大违法记录的承诺函；（8）符合《财政部关于在政府采购活动中查询及使用信用记录有关问题的通知》（财库【2016】125号）文件中信用查询的要求；</w:t>
      </w:r>
    </w:p>
    <w:p>
      <w:pPr>
        <w:pStyle w:val="31"/>
        <w:snapToGrid w:val="0"/>
        <w:spacing w:before="0" w:beforeAutospacing="0" w:after="0" w:afterAutospacing="0" w:line="360" w:lineRule="auto"/>
        <w:rPr>
          <w:rFonts w:hint="eastAsia" w:cs="宋体"/>
          <w:b/>
          <w:bCs/>
          <w:color w:val="auto"/>
          <w:sz w:val="24"/>
          <w:szCs w:val="24"/>
          <w:highlight w:val="none"/>
        </w:rPr>
      </w:pPr>
      <w:r>
        <w:rPr>
          <w:rFonts w:hint="eastAsia" w:cs="宋体"/>
          <w:b/>
          <w:bCs/>
          <w:color w:val="auto"/>
          <w:sz w:val="24"/>
          <w:szCs w:val="24"/>
          <w:highlight w:val="none"/>
        </w:rPr>
        <w:t>三、获取招标文件</w:t>
      </w:r>
    </w:p>
    <w:p>
      <w:pPr>
        <w:pStyle w:val="31"/>
        <w:spacing w:before="0" w:beforeAutospacing="0" w:after="0" w:afterAutospacing="0" w:line="360" w:lineRule="auto"/>
        <w:ind w:firstLine="420"/>
        <w:rPr>
          <w:rFonts w:hint="eastAsia" w:cs="宋体"/>
          <w:color w:val="auto"/>
          <w:sz w:val="24"/>
          <w:szCs w:val="24"/>
          <w:highlight w:val="none"/>
        </w:rPr>
      </w:pPr>
      <w:r>
        <w:rPr>
          <w:rFonts w:hint="eastAsia" w:cs="宋体"/>
          <w:color w:val="auto"/>
          <w:sz w:val="24"/>
          <w:szCs w:val="24"/>
          <w:highlight w:val="none"/>
        </w:rPr>
        <w:t>时间： 2023年02月10日 至 2023年02月15日 ，每天上午 09:00:00 至 12:00:00 ，下午 14:00:00 至 16:30:00 （北京时间）</w:t>
      </w:r>
    </w:p>
    <w:p>
      <w:pPr>
        <w:pStyle w:val="31"/>
        <w:spacing w:before="0" w:beforeAutospacing="0" w:after="0" w:afterAutospacing="0" w:line="360" w:lineRule="auto"/>
        <w:ind w:firstLine="420"/>
        <w:rPr>
          <w:rFonts w:hint="eastAsia" w:cs="宋体"/>
          <w:color w:val="auto"/>
          <w:sz w:val="24"/>
          <w:szCs w:val="24"/>
          <w:highlight w:val="none"/>
        </w:rPr>
      </w:pPr>
      <w:r>
        <w:rPr>
          <w:rFonts w:hint="eastAsia" w:cs="宋体"/>
          <w:color w:val="auto"/>
          <w:sz w:val="24"/>
          <w:szCs w:val="24"/>
          <w:highlight w:val="none"/>
        </w:rPr>
        <w:t>途径：西安市雁塔区二环南路西段88号老三届世纪星大厦30层AB座</w:t>
      </w:r>
    </w:p>
    <w:p>
      <w:pPr>
        <w:pStyle w:val="31"/>
        <w:spacing w:before="0" w:beforeAutospacing="0" w:after="0" w:afterAutospacing="0" w:line="360" w:lineRule="auto"/>
        <w:ind w:firstLine="420"/>
        <w:rPr>
          <w:rFonts w:hint="eastAsia" w:cs="宋体"/>
          <w:color w:val="auto"/>
          <w:sz w:val="24"/>
          <w:szCs w:val="24"/>
          <w:highlight w:val="none"/>
        </w:rPr>
      </w:pPr>
      <w:r>
        <w:rPr>
          <w:rFonts w:hint="eastAsia" w:cs="宋体"/>
          <w:color w:val="auto"/>
          <w:sz w:val="24"/>
          <w:szCs w:val="24"/>
          <w:highlight w:val="none"/>
        </w:rPr>
        <w:t>方式：现场获取</w:t>
      </w:r>
    </w:p>
    <w:p>
      <w:pPr>
        <w:pStyle w:val="31"/>
        <w:spacing w:before="0" w:beforeAutospacing="0" w:after="0" w:afterAutospacing="0" w:line="360" w:lineRule="auto"/>
        <w:ind w:firstLine="420"/>
        <w:rPr>
          <w:rFonts w:hint="eastAsia" w:cs="宋体"/>
          <w:color w:val="auto"/>
          <w:sz w:val="24"/>
          <w:szCs w:val="24"/>
          <w:highlight w:val="none"/>
        </w:rPr>
      </w:pPr>
      <w:r>
        <w:rPr>
          <w:rFonts w:hint="eastAsia" w:cs="宋体"/>
          <w:color w:val="auto"/>
          <w:sz w:val="24"/>
          <w:szCs w:val="24"/>
          <w:highlight w:val="none"/>
        </w:rPr>
        <w:t>售价： 0元</w:t>
      </w:r>
    </w:p>
    <w:p>
      <w:pPr>
        <w:pStyle w:val="31"/>
        <w:snapToGrid w:val="0"/>
        <w:spacing w:before="0" w:beforeAutospacing="0" w:after="0" w:afterAutospacing="0" w:line="360" w:lineRule="auto"/>
        <w:rPr>
          <w:rFonts w:hint="eastAsia" w:cs="宋体"/>
          <w:b/>
          <w:bCs/>
          <w:color w:val="auto"/>
          <w:sz w:val="24"/>
          <w:szCs w:val="24"/>
          <w:highlight w:val="none"/>
        </w:rPr>
      </w:pPr>
      <w:r>
        <w:rPr>
          <w:rFonts w:hint="eastAsia" w:cs="宋体"/>
          <w:b/>
          <w:bCs/>
          <w:color w:val="auto"/>
          <w:sz w:val="24"/>
          <w:szCs w:val="24"/>
          <w:highlight w:val="none"/>
        </w:rPr>
        <w:t>四、响应文件提交</w:t>
      </w:r>
    </w:p>
    <w:p>
      <w:pPr>
        <w:pStyle w:val="31"/>
        <w:spacing w:before="0" w:beforeAutospacing="0" w:after="0" w:afterAutospacing="0" w:line="360" w:lineRule="auto"/>
        <w:ind w:firstLine="420"/>
        <w:rPr>
          <w:rFonts w:hint="eastAsia" w:cs="宋体"/>
          <w:color w:val="auto"/>
          <w:sz w:val="24"/>
          <w:szCs w:val="24"/>
          <w:highlight w:val="none"/>
        </w:rPr>
      </w:pPr>
      <w:r>
        <w:rPr>
          <w:rFonts w:hint="eastAsia" w:cs="宋体"/>
          <w:color w:val="auto"/>
          <w:sz w:val="24"/>
          <w:szCs w:val="24"/>
          <w:highlight w:val="none"/>
        </w:rPr>
        <w:t>截止时间： 2023年02月17日 14时00分00秒 （北京时间）</w:t>
      </w:r>
    </w:p>
    <w:p>
      <w:pPr>
        <w:pStyle w:val="31"/>
        <w:spacing w:before="0" w:beforeAutospacing="0" w:after="0" w:afterAutospacing="0" w:line="360" w:lineRule="auto"/>
        <w:ind w:firstLine="420"/>
        <w:rPr>
          <w:rFonts w:hint="eastAsia" w:cs="宋体"/>
          <w:color w:val="auto"/>
          <w:sz w:val="24"/>
          <w:szCs w:val="24"/>
          <w:highlight w:val="none"/>
        </w:rPr>
      </w:pPr>
      <w:r>
        <w:rPr>
          <w:rFonts w:hint="eastAsia" w:cs="宋体"/>
          <w:color w:val="auto"/>
          <w:sz w:val="24"/>
          <w:szCs w:val="24"/>
          <w:highlight w:val="none"/>
        </w:rPr>
        <w:t>地点：西安市雁塔区二环南路西段88号老三届世纪星大厦30层AB座开标室</w:t>
      </w:r>
    </w:p>
    <w:p>
      <w:pPr>
        <w:pStyle w:val="31"/>
        <w:snapToGrid w:val="0"/>
        <w:spacing w:before="0" w:beforeAutospacing="0" w:after="0" w:afterAutospacing="0" w:line="360" w:lineRule="auto"/>
        <w:rPr>
          <w:rFonts w:hint="eastAsia" w:cs="宋体"/>
          <w:b/>
          <w:bCs/>
          <w:color w:val="auto"/>
          <w:sz w:val="24"/>
          <w:szCs w:val="24"/>
          <w:highlight w:val="none"/>
        </w:rPr>
      </w:pPr>
      <w:r>
        <w:rPr>
          <w:rFonts w:hint="eastAsia" w:cs="宋体"/>
          <w:b/>
          <w:bCs/>
          <w:color w:val="auto"/>
          <w:sz w:val="24"/>
          <w:szCs w:val="24"/>
          <w:highlight w:val="none"/>
        </w:rPr>
        <w:t>五、开启</w:t>
      </w:r>
    </w:p>
    <w:p>
      <w:pPr>
        <w:pStyle w:val="31"/>
        <w:spacing w:before="0" w:beforeAutospacing="0" w:after="0" w:afterAutospacing="0" w:line="360" w:lineRule="auto"/>
        <w:ind w:firstLine="420"/>
        <w:rPr>
          <w:rFonts w:hint="eastAsia" w:cs="宋体"/>
          <w:color w:val="auto"/>
          <w:sz w:val="24"/>
          <w:szCs w:val="24"/>
          <w:highlight w:val="none"/>
        </w:rPr>
      </w:pPr>
      <w:r>
        <w:rPr>
          <w:rFonts w:hint="eastAsia" w:cs="宋体"/>
          <w:color w:val="auto"/>
          <w:sz w:val="24"/>
          <w:szCs w:val="24"/>
          <w:highlight w:val="none"/>
        </w:rPr>
        <w:t>时间： 2023年02月17日 14时00分00秒 （北京时间）</w:t>
      </w:r>
    </w:p>
    <w:p>
      <w:pPr>
        <w:pStyle w:val="31"/>
        <w:spacing w:before="0" w:beforeAutospacing="0" w:after="0" w:afterAutospacing="0" w:line="360" w:lineRule="auto"/>
        <w:ind w:firstLine="420"/>
        <w:rPr>
          <w:rFonts w:hint="eastAsia" w:cs="宋体"/>
          <w:color w:val="auto"/>
          <w:sz w:val="24"/>
          <w:szCs w:val="24"/>
          <w:highlight w:val="none"/>
          <w:lang w:val="en-US" w:eastAsia="zh-CN"/>
        </w:rPr>
      </w:pPr>
      <w:r>
        <w:rPr>
          <w:rFonts w:hint="eastAsia" w:cs="宋体"/>
          <w:color w:val="auto"/>
          <w:sz w:val="24"/>
          <w:szCs w:val="24"/>
          <w:highlight w:val="none"/>
        </w:rPr>
        <w:t>地点：西安市雁塔区二环南路西段88号老三届世纪星大厦30层AB座开标室</w:t>
      </w:r>
    </w:p>
    <w:p>
      <w:pPr>
        <w:pStyle w:val="31"/>
        <w:snapToGrid w:val="0"/>
        <w:spacing w:before="0" w:beforeAutospacing="0" w:after="0" w:afterAutospacing="0" w:line="360" w:lineRule="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六、公告期限</w:t>
      </w:r>
    </w:p>
    <w:p>
      <w:pPr>
        <w:pStyle w:val="31"/>
        <w:snapToGrid w:val="0"/>
        <w:spacing w:before="0" w:beforeAutospacing="0" w:after="0" w:afterAutospacing="0" w:line="360" w:lineRule="auto"/>
        <w:ind w:firstLine="420"/>
        <w:rPr>
          <w:rFonts w:cs="宋体"/>
          <w:color w:val="auto"/>
          <w:sz w:val="24"/>
          <w:szCs w:val="24"/>
          <w:highlight w:val="none"/>
        </w:rPr>
      </w:pPr>
      <w:r>
        <w:rPr>
          <w:rFonts w:hint="eastAsia" w:cs="宋体"/>
          <w:color w:val="auto"/>
          <w:sz w:val="24"/>
          <w:szCs w:val="24"/>
          <w:highlight w:val="none"/>
        </w:rPr>
        <w:t>自本公告发布之日起3个工作日。</w:t>
      </w:r>
    </w:p>
    <w:p>
      <w:pPr>
        <w:pStyle w:val="31"/>
        <w:snapToGrid w:val="0"/>
        <w:spacing w:before="0" w:beforeAutospacing="0" w:after="0" w:afterAutospacing="0" w:line="360" w:lineRule="auto"/>
        <w:rPr>
          <w:rFonts w:cs="宋体"/>
          <w:b/>
          <w:bCs/>
          <w:color w:val="auto"/>
          <w:sz w:val="24"/>
          <w:szCs w:val="24"/>
          <w:highlight w:val="none"/>
        </w:rPr>
      </w:pPr>
      <w:r>
        <w:rPr>
          <w:rFonts w:hint="eastAsia" w:cs="宋体"/>
          <w:b/>
          <w:bCs/>
          <w:color w:val="auto"/>
          <w:sz w:val="24"/>
          <w:szCs w:val="24"/>
          <w:highlight w:val="none"/>
          <w:lang w:val="en-US" w:eastAsia="zh-CN"/>
        </w:rPr>
        <w:t>七</w:t>
      </w:r>
      <w:r>
        <w:rPr>
          <w:rFonts w:hint="eastAsia" w:cs="宋体"/>
          <w:b/>
          <w:bCs/>
          <w:color w:val="auto"/>
          <w:sz w:val="24"/>
          <w:szCs w:val="24"/>
          <w:highlight w:val="none"/>
        </w:rPr>
        <w:t>、其他补充事宜</w:t>
      </w:r>
    </w:p>
    <w:p>
      <w:pPr>
        <w:pStyle w:val="31"/>
        <w:spacing w:before="0" w:beforeAutospacing="0" w:after="0" w:afterAutospacing="0" w:line="360" w:lineRule="auto"/>
        <w:ind w:firstLine="420"/>
        <w:rPr>
          <w:rFonts w:cs="宋体"/>
          <w:color w:val="auto"/>
          <w:sz w:val="24"/>
          <w:szCs w:val="24"/>
          <w:highlight w:val="none"/>
        </w:rPr>
      </w:pPr>
      <w:r>
        <w:rPr>
          <w:rFonts w:hint="eastAsia" w:cs="宋体"/>
          <w:color w:val="auto"/>
          <w:sz w:val="24"/>
          <w:szCs w:val="24"/>
          <w:highlight w:val="none"/>
        </w:rPr>
        <w:t>1、</w:t>
      </w:r>
      <w:r>
        <w:rPr>
          <w:rFonts w:hint="eastAsia" w:cs="宋体"/>
          <w:bCs/>
          <w:color w:val="auto"/>
          <w:kern w:val="2"/>
          <w:sz w:val="24"/>
          <w:szCs w:val="24"/>
          <w:highlight w:val="none"/>
        </w:rPr>
        <w:t>获取谈判文件时，</w:t>
      </w:r>
      <w:r>
        <w:rPr>
          <w:rFonts w:hint="eastAsia" w:cs="宋体"/>
          <w:color w:val="auto"/>
          <w:sz w:val="24"/>
          <w:szCs w:val="24"/>
          <w:highlight w:val="none"/>
        </w:rPr>
        <w:t>请在获取采购文件规定时间（法定节假日除外）内，</w:t>
      </w:r>
      <w:r>
        <w:rPr>
          <w:rFonts w:hint="eastAsia" w:cs="宋体"/>
          <w:bCs/>
          <w:color w:val="auto"/>
          <w:kern w:val="2"/>
          <w:sz w:val="24"/>
          <w:szCs w:val="24"/>
          <w:highlight w:val="none"/>
        </w:rPr>
        <w:t>携带有效期内的单位介绍信原件、本人身份证原件及身份证复印件加盖公章。谢绝邮购。</w:t>
      </w:r>
    </w:p>
    <w:p>
      <w:pPr>
        <w:pStyle w:val="31"/>
        <w:spacing w:before="0" w:beforeAutospacing="0" w:after="0" w:afterAutospacing="0" w:line="360" w:lineRule="auto"/>
        <w:ind w:firstLine="480"/>
        <w:jc w:val="both"/>
        <w:textAlignment w:val="baseline"/>
        <w:rPr>
          <w:rFonts w:cs="宋体"/>
          <w:color w:val="auto"/>
          <w:sz w:val="24"/>
          <w:szCs w:val="24"/>
          <w:highlight w:val="none"/>
        </w:rPr>
      </w:pPr>
      <w:r>
        <w:rPr>
          <w:rFonts w:hint="eastAsia" w:cs="宋体"/>
          <w:color w:val="auto"/>
          <w:sz w:val="24"/>
          <w:szCs w:val="24"/>
          <w:highlight w:val="none"/>
        </w:rPr>
        <w:t>2、</w:t>
      </w:r>
      <w:r>
        <w:rPr>
          <w:rFonts w:cs="宋体"/>
          <w:bCs/>
          <w:color w:val="auto"/>
          <w:kern w:val="2"/>
          <w:sz w:val="24"/>
          <w:szCs w:val="24"/>
          <w:highlight w:val="none"/>
        </w:rPr>
        <w:t>请各供应商</w:t>
      </w:r>
      <w:r>
        <w:rPr>
          <w:rFonts w:hint="eastAsia" w:cs="宋体"/>
          <w:bCs/>
          <w:color w:val="auto"/>
          <w:kern w:val="2"/>
          <w:sz w:val="24"/>
          <w:szCs w:val="24"/>
          <w:highlight w:val="none"/>
        </w:rPr>
        <w:t>获取谈判</w:t>
      </w:r>
      <w:r>
        <w:rPr>
          <w:rFonts w:cs="宋体"/>
          <w:bCs/>
          <w:color w:val="auto"/>
          <w:kern w:val="2"/>
          <w:sz w:val="24"/>
          <w:szCs w:val="24"/>
          <w:highlight w:val="none"/>
        </w:rPr>
        <w:t>文件后，按照陕西省财政厅《关于政府采购供应商注册登记有关事项的通知》要求，通过陕西省政府采购网注册登记加入陕西省政府采购供应商库。</w:t>
      </w:r>
    </w:p>
    <w:p>
      <w:pPr>
        <w:pStyle w:val="31"/>
        <w:spacing w:before="0" w:beforeAutospacing="0" w:after="0" w:afterAutospacing="0" w:line="360" w:lineRule="auto"/>
        <w:ind w:firstLine="480"/>
        <w:jc w:val="both"/>
        <w:textAlignment w:val="baseline"/>
        <w:rPr>
          <w:rFonts w:cs="宋体"/>
          <w:bCs/>
          <w:color w:val="auto"/>
          <w:kern w:val="2"/>
          <w:sz w:val="24"/>
          <w:szCs w:val="24"/>
          <w:highlight w:val="none"/>
        </w:rPr>
      </w:pPr>
      <w:r>
        <w:rPr>
          <w:rFonts w:hint="eastAsia" w:cs="宋体"/>
          <w:color w:val="auto"/>
          <w:sz w:val="24"/>
          <w:szCs w:val="24"/>
          <w:highlight w:val="none"/>
          <w:shd w:val="clear" w:color="auto" w:fill="FFFFFF"/>
        </w:rPr>
        <w:t>3、</w:t>
      </w:r>
      <w:r>
        <w:rPr>
          <w:rFonts w:cs="宋体"/>
          <w:bCs/>
          <w:color w:val="auto"/>
          <w:kern w:val="2"/>
          <w:sz w:val="24"/>
          <w:szCs w:val="24"/>
          <w:highlight w:val="none"/>
        </w:rPr>
        <w:t>各</w:t>
      </w:r>
      <w:r>
        <w:rPr>
          <w:rFonts w:hint="eastAsia" w:cs="宋体"/>
          <w:bCs/>
          <w:color w:val="auto"/>
          <w:kern w:val="2"/>
          <w:sz w:val="24"/>
          <w:szCs w:val="24"/>
          <w:highlight w:val="none"/>
        </w:rPr>
        <w:t>供应商尽量</w:t>
      </w:r>
      <w:r>
        <w:rPr>
          <w:rFonts w:cs="宋体"/>
          <w:bCs/>
          <w:color w:val="auto"/>
          <w:kern w:val="2"/>
          <w:sz w:val="24"/>
          <w:szCs w:val="24"/>
          <w:highlight w:val="none"/>
        </w:rPr>
        <w:t>委托一名代表前来</w:t>
      </w:r>
      <w:r>
        <w:rPr>
          <w:rFonts w:hint="eastAsia" w:cs="宋体"/>
          <w:bCs/>
          <w:color w:val="auto"/>
          <w:kern w:val="2"/>
          <w:sz w:val="24"/>
          <w:szCs w:val="24"/>
          <w:highlight w:val="none"/>
        </w:rPr>
        <w:t>获取谈判文件、谈判</w:t>
      </w:r>
      <w:r>
        <w:rPr>
          <w:rFonts w:cs="宋体"/>
          <w:bCs/>
          <w:color w:val="auto"/>
          <w:kern w:val="2"/>
          <w:sz w:val="24"/>
          <w:szCs w:val="24"/>
          <w:highlight w:val="none"/>
        </w:rPr>
        <w:t>，开标全程佩戴口罩，做好防护。</w:t>
      </w:r>
    </w:p>
    <w:p>
      <w:pPr>
        <w:pStyle w:val="31"/>
        <w:snapToGrid w:val="0"/>
        <w:spacing w:before="0" w:beforeAutospacing="0" w:after="0" w:afterAutospacing="0" w:line="360" w:lineRule="auto"/>
        <w:rPr>
          <w:rFonts w:cs="宋体"/>
          <w:b/>
          <w:bCs/>
          <w:color w:val="auto"/>
          <w:sz w:val="24"/>
          <w:szCs w:val="24"/>
          <w:highlight w:val="none"/>
        </w:rPr>
      </w:pPr>
      <w:r>
        <w:rPr>
          <w:rFonts w:hint="eastAsia" w:cs="宋体"/>
          <w:b/>
          <w:bCs/>
          <w:color w:val="auto"/>
          <w:sz w:val="24"/>
          <w:szCs w:val="24"/>
          <w:highlight w:val="none"/>
          <w:lang w:val="en-US" w:eastAsia="zh-CN"/>
        </w:rPr>
        <w:t>八</w:t>
      </w:r>
      <w:r>
        <w:rPr>
          <w:rFonts w:hint="eastAsia" w:cs="宋体"/>
          <w:b/>
          <w:bCs/>
          <w:color w:val="auto"/>
          <w:sz w:val="24"/>
          <w:szCs w:val="24"/>
          <w:highlight w:val="none"/>
        </w:rPr>
        <w:t>、凡对本次</w:t>
      </w:r>
      <w:r>
        <w:rPr>
          <w:rFonts w:hint="eastAsia" w:cs="宋体"/>
          <w:b/>
          <w:bCs/>
          <w:color w:val="auto"/>
          <w:sz w:val="24"/>
          <w:szCs w:val="24"/>
          <w:highlight w:val="none"/>
          <w:lang w:val="en-US" w:eastAsia="zh-CN"/>
        </w:rPr>
        <w:t>招标</w:t>
      </w:r>
      <w:r>
        <w:rPr>
          <w:rFonts w:hint="eastAsia" w:cs="宋体"/>
          <w:b/>
          <w:bCs/>
          <w:color w:val="auto"/>
          <w:sz w:val="24"/>
          <w:szCs w:val="24"/>
          <w:highlight w:val="none"/>
        </w:rPr>
        <w:t xml:space="preserve">提出询问，请按以下方式联系。 </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pPr>
        <w:tabs>
          <w:tab w:val="left" w:pos="7665"/>
        </w:tabs>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西安商贸旅游技师学院</w:t>
      </w:r>
    </w:p>
    <w:p>
      <w:pPr>
        <w:tabs>
          <w:tab w:val="left" w:pos="7665"/>
        </w:tabs>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西安市南关正街99号</w:t>
      </w:r>
    </w:p>
    <w:p>
      <w:pPr>
        <w:tabs>
          <w:tab w:val="left" w:pos="7665"/>
        </w:tabs>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eastAsia="宋体" w:cs="宋体"/>
          <w:color w:val="auto"/>
          <w:sz w:val="24"/>
          <w:szCs w:val="24"/>
          <w:highlight w:val="none"/>
          <w:lang w:val="en-US" w:eastAsia="zh-CN"/>
        </w:rPr>
        <w:t>029-61819122</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2、采购代理机构信息</w:t>
      </w:r>
    </w:p>
    <w:p>
      <w:pPr>
        <w:tabs>
          <w:tab w:val="left" w:pos="7665"/>
        </w:tabs>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名称:陕西明正招标有限公司</w:t>
      </w:r>
    </w:p>
    <w:p>
      <w:pPr>
        <w:tabs>
          <w:tab w:val="left" w:pos="7665"/>
        </w:tabs>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地址：西安市雁塔区二环南路西段88号老三届世纪星大厦30层AB座</w:t>
      </w:r>
    </w:p>
    <w:p>
      <w:pPr>
        <w:tabs>
          <w:tab w:val="left" w:pos="7665"/>
        </w:tabs>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联系方式：029-87551608</w:t>
      </w:r>
    </w:p>
    <w:p>
      <w:pPr>
        <w:numPr>
          <w:ilvl w:val="0"/>
          <w:numId w:val="5"/>
        </w:num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w:t>
      </w:r>
    </w:p>
    <w:p>
      <w:pPr>
        <w:tabs>
          <w:tab w:val="left" w:pos="7665"/>
        </w:tabs>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项目联系人：冯 瑶  乔 艳</w:t>
      </w:r>
    </w:p>
    <w:p>
      <w:pPr>
        <w:pStyle w:val="31"/>
        <w:spacing w:before="0" w:beforeAutospacing="0" w:after="0" w:afterAutospacing="0" w:line="360" w:lineRule="auto"/>
        <w:ind w:firstLine="960" w:firstLineChars="400"/>
        <w:rPr>
          <w:rFonts w:cs="宋体"/>
          <w:color w:val="auto"/>
          <w:sz w:val="24"/>
          <w:szCs w:val="24"/>
          <w:highlight w:val="none"/>
        </w:rPr>
      </w:pPr>
      <w:r>
        <w:rPr>
          <w:rFonts w:hint="eastAsia" w:cs="宋体"/>
          <w:color w:val="auto"/>
          <w:sz w:val="24"/>
          <w:highlight w:val="none"/>
        </w:rPr>
        <w:t>电话：029-87551608</w:t>
      </w:r>
    </w:p>
    <w:p>
      <w:pPr>
        <w:pStyle w:val="31"/>
        <w:adjustRightInd w:val="0"/>
        <w:snapToGrid w:val="0"/>
        <w:spacing w:before="0" w:beforeAutospacing="0" w:after="0" w:afterAutospacing="0" w:line="360" w:lineRule="auto"/>
        <w:jc w:val="both"/>
        <w:rPr>
          <w:rFonts w:cs="宋体"/>
          <w:color w:val="auto"/>
          <w:sz w:val="24"/>
          <w:szCs w:val="24"/>
          <w:highlight w:val="none"/>
        </w:rPr>
      </w:pPr>
    </w:p>
    <w:p>
      <w:pPr>
        <w:pStyle w:val="31"/>
        <w:adjustRightInd w:val="0"/>
        <w:snapToGrid w:val="0"/>
        <w:spacing w:before="0" w:beforeAutospacing="0" w:after="0" w:afterAutospacing="0" w:line="360" w:lineRule="auto"/>
        <w:ind w:firstLine="420"/>
        <w:jc w:val="right"/>
        <w:rPr>
          <w:rFonts w:cs="宋体"/>
          <w:color w:val="auto"/>
          <w:sz w:val="24"/>
          <w:szCs w:val="24"/>
          <w:highlight w:val="none"/>
        </w:rPr>
      </w:pPr>
      <w:r>
        <w:rPr>
          <w:rFonts w:hint="eastAsia" w:cs="宋体"/>
          <w:color w:val="auto"/>
          <w:sz w:val="24"/>
          <w:szCs w:val="24"/>
          <w:highlight w:val="none"/>
        </w:rPr>
        <w:t>陕西明正招标有限公司</w:t>
      </w:r>
    </w:p>
    <w:p>
      <w:pPr>
        <w:pStyle w:val="31"/>
        <w:adjustRightInd w:val="0"/>
        <w:snapToGrid w:val="0"/>
        <w:spacing w:before="0" w:beforeAutospacing="0" w:after="0" w:afterAutospacing="0" w:line="360" w:lineRule="auto"/>
        <w:ind w:firstLine="420"/>
        <w:jc w:val="center"/>
        <w:rPr>
          <w:rFonts w:cs="宋体"/>
          <w:bCs/>
          <w:color w:val="auto"/>
          <w:kern w:val="44"/>
          <w:sz w:val="44"/>
          <w:szCs w:val="44"/>
          <w:highlight w:val="none"/>
        </w:rPr>
      </w:pPr>
      <w:r>
        <w:rPr>
          <w:rFonts w:hint="eastAsia" w:cs="宋体"/>
          <w:color w:val="auto"/>
          <w:sz w:val="24"/>
          <w:szCs w:val="24"/>
          <w:highlight w:val="none"/>
        </w:rPr>
        <w:t xml:space="preserve">                                                          202</w:t>
      </w:r>
      <w:r>
        <w:rPr>
          <w:rFonts w:hint="eastAsia" w:cs="宋体"/>
          <w:color w:val="auto"/>
          <w:sz w:val="24"/>
          <w:szCs w:val="24"/>
          <w:highlight w:val="none"/>
          <w:lang w:val="en-US" w:eastAsia="zh-CN"/>
        </w:rPr>
        <w:t>3</w:t>
      </w:r>
      <w:r>
        <w:rPr>
          <w:rFonts w:hint="eastAsia" w:cs="宋体"/>
          <w:color w:val="auto"/>
          <w:sz w:val="24"/>
          <w:szCs w:val="24"/>
          <w:highlight w:val="none"/>
        </w:rPr>
        <w:t>年</w:t>
      </w:r>
      <w:r>
        <w:rPr>
          <w:rFonts w:hint="eastAsia" w:cs="宋体"/>
          <w:color w:val="auto"/>
          <w:sz w:val="24"/>
          <w:szCs w:val="24"/>
          <w:highlight w:val="none"/>
          <w:lang w:val="en-US" w:eastAsia="zh-CN"/>
        </w:rPr>
        <w:t>02</w:t>
      </w:r>
      <w:r>
        <w:rPr>
          <w:rFonts w:hint="eastAsia" w:cs="宋体"/>
          <w:color w:val="auto"/>
          <w:sz w:val="24"/>
          <w:szCs w:val="24"/>
          <w:highlight w:val="none"/>
        </w:rPr>
        <w:t>月</w:t>
      </w:r>
      <w:r>
        <w:rPr>
          <w:rFonts w:hint="eastAsia" w:cs="宋体"/>
          <w:color w:val="auto"/>
          <w:sz w:val="24"/>
          <w:szCs w:val="24"/>
          <w:highlight w:val="none"/>
          <w:lang w:val="en-US" w:eastAsia="zh-CN"/>
        </w:rPr>
        <w:t>10</w:t>
      </w:r>
      <w:r>
        <w:rPr>
          <w:rFonts w:hint="eastAsia" w:cs="宋体"/>
          <w:color w:val="auto"/>
          <w:sz w:val="24"/>
          <w:szCs w:val="24"/>
          <w:highlight w:val="none"/>
        </w:rPr>
        <w:t>日</w:t>
      </w:r>
    </w:p>
    <w:p>
      <w:pPr>
        <w:pStyle w:val="32"/>
        <w:ind w:firstLine="2209" w:firstLineChars="500"/>
        <w:jc w:val="both"/>
        <w:rPr>
          <w:rFonts w:ascii="宋体" w:hAnsi="宋体" w:cs="宋体"/>
          <w:color w:val="auto"/>
          <w:highlight w:val="none"/>
        </w:rPr>
      </w:pPr>
      <w:bookmarkStart w:id="11" w:name="_Toc217446033"/>
      <w:bookmarkStart w:id="12" w:name="_Toc183582204"/>
      <w:bookmarkStart w:id="13" w:name="_Toc183682341"/>
      <w:bookmarkStart w:id="14" w:name="_Toc89075873"/>
      <w:bookmarkStart w:id="15" w:name="_Toc77400778"/>
      <w:bookmarkStart w:id="16" w:name="_Toc213496267"/>
      <w:bookmarkStart w:id="17" w:name="_Toc213396945"/>
      <w:bookmarkStart w:id="18" w:name="_Toc217446031"/>
      <w:bookmarkStart w:id="19" w:name="_Toc77400776"/>
      <w:bookmarkStart w:id="20" w:name="_Toc183582202"/>
      <w:bookmarkStart w:id="21" w:name="_Toc213397009"/>
      <w:bookmarkStart w:id="22" w:name="_Toc213396759"/>
      <w:bookmarkStart w:id="23" w:name="_Toc183682339"/>
      <w:bookmarkStart w:id="24" w:name="_Toc89075871"/>
      <w:r>
        <w:rPr>
          <w:rFonts w:ascii="宋体" w:hAnsi="宋体" w:cs="宋体"/>
          <w:bCs w:val="0"/>
          <w:color w:val="auto"/>
          <w:kern w:val="44"/>
          <w:sz w:val="44"/>
          <w:szCs w:val="44"/>
          <w:highlight w:val="none"/>
        </w:rPr>
        <w:br w:type="page"/>
      </w:r>
      <w:bookmarkStart w:id="25" w:name="_Toc17781"/>
      <w:r>
        <w:rPr>
          <w:rFonts w:hint="eastAsia" w:ascii="宋体" w:hAnsi="宋体" w:cs="宋体"/>
          <w:bCs w:val="0"/>
          <w:color w:val="auto"/>
          <w:kern w:val="44"/>
          <w:sz w:val="44"/>
          <w:szCs w:val="44"/>
          <w:highlight w:val="none"/>
        </w:rPr>
        <w:t>第二章 供应商须知前附表</w:t>
      </w:r>
      <w:bookmarkEnd w:id="25"/>
    </w:p>
    <w:tbl>
      <w:tblPr>
        <w:tblStyle w:val="36"/>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1"/>
        <w:gridCol w:w="2464"/>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681"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lang w:val="zh-CN"/>
              </w:rPr>
            </w:pPr>
            <w:r>
              <w:rPr>
                <w:rFonts w:hint="eastAsia"/>
                <w:color w:val="auto"/>
                <w:highlight w:val="none"/>
                <w:lang w:val="zh-CN"/>
              </w:rPr>
              <w:t>序号</w:t>
            </w:r>
          </w:p>
        </w:tc>
        <w:tc>
          <w:tcPr>
            <w:tcW w:w="2464"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lang w:val="zh-CN"/>
              </w:rPr>
            </w:pPr>
            <w:r>
              <w:rPr>
                <w:rFonts w:hint="eastAsia"/>
                <w:color w:val="auto"/>
                <w:highlight w:val="none"/>
                <w:lang w:val="zh-CN"/>
              </w:rPr>
              <w:t>内容</w:t>
            </w:r>
          </w:p>
        </w:tc>
        <w:tc>
          <w:tcPr>
            <w:tcW w:w="6934" w:type="dxa"/>
            <w:vAlign w:val="center"/>
          </w:tcPr>
          <w:p>
            <w:pPr>
              <w:pStyle w:val="133"/>
              <w:keepNext w:val="0"/>
              <w:keepLines w:val="0"/>
              <w:pageBreakBefore w:val="0"/>
              <w:kinsoku/>
              <w:wordWrap/>
              <w:overflowPunct/>
              <w:topLinePunct w:val="0"/>
              <w:autoSpaceDE/>
              <w:autoSpaceDN/>
              <w:bidi w:val="0"/>
              <w:snapToGrid w:val="0"/>
              <w:spacing w:line="360" w:lineRule="exact"/>
              <w:ind w:firstLine="480" w:firstLineChars="200"/>
              <w:textAlignment w:val="auto"/>
              <w:rPr>
                <w:color w:val="auto"/>
                <w:highlight w:val="none"/>
                <w:lang w:val="zh-CN"/>
              </w:rPr>
            </w:pPr>
            <w:r>
              <w:rPr>
                <w:rFonts w:hint="eastAsia"/>
                <w:color w:val="auto"/>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tblHeader/>
          <w:jc w:val="center"/>
        </w:trPr>
        <w:tc>
          <w:tcPr>
            <w:tcW w:w="681"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rPr>
            </w:pPr>
            <w:r>
              <w:rPr>
                <w:rFonts w:hint="eastAsia"/>
                <w:color w:val="auto"/>
                <w:highlight w:val="none"/>
              </w:rPr>
              <w:t>1</w:t>
            </w:r>
          </w:p>
        </w:tc>
        <w:tc>
          <w:tcPr>
            <w:tcW w:w="2464"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lang w:val="zh-CN"/>
              </w:rPr>
            </w:pPr>
            <w:r>
              <w:rPr>
                <w:rFonts w:hint="eastAsia"/>
                <w:color w:val="auto"/>
                <w:highlight w:val="none"/>
                <w:lang w:val="zh-CN"/>
              </w:rPr>
              <w:t>采购人</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名  称：</w:t>
            </w:r>
            <w:r>
              <w:rPr>
                <w:rFonts w:hint="eastAsia" w:ascii="宋体" w:hAnsi="宋体" w:eastAsia="宋体" w:cs="宋体"/>
                <w:color w:val="auto"/>
                <w:highlight w:val="none"/>
                <w:lang w:val="zh-CN" w:eastAsia="zh-CN"/>
              </w:rPr>
              <w:t>西安商贸旅游技师学院</w:t>
            </w:r>
          </w:p>
          <w:p>
            <w:pPr>
              <w:pStyle w:val="133"/>
              <w:keepNext w:val="0"/>
              <w:keepLines w:val="0"/>
              <w:pageBreakBefore w:val="0"/>
              <w:kinsoku/>
              <w:wordWrap/>
              <w:overflowPunct/>
              <w:topLinePunct w:val="0"/>
              <w:bidi w:val="0"/>
              <w:snapToGrid w:val="0"/>
              <w:spacing w:line="360" w:lineRule="exact"/>
              <w:ind w:firstLine="480" w:firstLineChars="200"/>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地  址：</w:t>
            </w:r>
            <w:r>
              <w:rPr>
                <w:rFonts w:hint="eastAsia" w:ascii="宋体" w:hAnsi="宋体" w:eastAsia="宋体" w:cs="宋体"/>
                <w:color w:val="auto"/>
                <w:highlight w:val="none"/>
                <w:lang w:val="zh-CN" w:eastAsia="zh-CN"/>
              </w:rPr>
              <w:t>西安市南关正街99号</w:t>
            </w:r>
          </w:p>
          <w:p>
            <w:pPr>
              <w:pStyle w:val="133"/>
              <w:keepNext w:val="0"/>
              <w:keepLines w:val="0"/>
              <w:pageBreakBefore w:val="0"/>
              <w:kinsoku/>
              <w:wordWrap/>
              <w:overflowPunct/>
              <w:topLinePunct w:val="0"/>
              <w:bidi w:val="0"/>
              <w:snapToGrid w:val="0"/>
              <w:spacing w:line="360" w:lineRule="exact"/>
              <w:ind w:firstLine="480" w:firstLineChars="200"/>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联系人：</w:t>
            </w:r>
            <w:r>
              <w:rPr>
                <w:rFonts w:hint="eastAsia" w:ascii="宋体" w:hAnsi="宋体" w:eastAsia="宋体" w:cs="宋体"/>
                <w:color w:val="auto"/>
                <w:highlight w:val="none"/>
                <w:lang w:val="zh-CN" w:eastAsia="zh-CN"/>
              </w:rPr>
              <w:t>余老师</w:t>
            </w:r>
          </w:p>
          <w:p>
            <w:pPr>
              <w:pStyle w:val="133"/>
              <w:keepNext w:val="0"/>
              <w:keepLines w:val="0"/>
              <w:pageBreakBefore w:val="0"/>
              <w:kinsoku/>
              <w:wordWrap/>
              <w:overflowPunct/>
              <w:topLinePunct w:val="0"/>
              <w:bidi w:val="0"/>
              <w:snapToGrid w:val="0"/>
              <w:spacing w:line="360" w:lineRule="exact"/>
              <w:ind w:firstLine="480" w:firstLineChars="200"/>
              <w:textAlignment w:val="auto"/>
              <w:rPr>
                <w:rFonts w:ascii="宋体" w:hAnsi="宋体" w:cs="宋体"/>
                <w:color w:val="auto"/>
                <w:sz w:val="24"/>
                <w:highlight w:val="none"/>
                <w:lang w:val="zh-CN"/>
              </w:rPr>
            </w:pPr>
            <w:r>
              <w:rPr>
                <w:rFonts w:hint="eastAsia" w:ascii="宋体" w:hAnsi="宋体" w:eastAsia="宋体" w:cs="宋体"/>
                <w:color w:val="auto"/>
                <w:highlight w:val="none"/>
                <w:lang w:val="zh-CN"/>
              </w:rPr>
              <w:t>联系电话：</w:t>
            </w:r>
            <w:r>
              <w:rPr>
                <w:rFonts w:hint="eastAsia" w:ascii="宋体" w:hAnsi="宋体" w:eastAsia="宋体" w:cs="宋体"/>
                <w:color w:val="auto"/>
                <w:highlight w:val="none"/>
                <w:lang w:val="en-US" w:eastAsia="zh-CN"/>
              </w:rPr>
              <w:t>029-61819122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tblHeader/>
          <w:jc w:val="center"/>
        </w:trPr>
        <w:tc>
          <w:tcPr>
            <w:tcW w:w="681"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rPr>
            </w:pPr>
            <w:r>
              <w:rPr>
                <w:rFonts w:hint="eastAsia"/>
                <w:color w:val="auto"/>
                <w:highlight w:val="none"/>
              </w:rPr>
              <w:t>2</w:t>
            </w:r>
          </w:p>
        </w:tc>
        <w:tc>
          <w:tcPr>
            <w:tcW w:w="2464"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lang w:val="zh-CN"/>
              </w:rPr>
            </w:pPr>
            <w:r>
              <w:rPr>
                <w:rFonts w:hint="eastAsia"/>
                <w:color w:val="auto"/>
                <w:highlight w:val="none"/>
                <w:lang w:val="zh-CN"/>
              </w:rPr>
              <w:t>采购代理机构</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lang w:val="zh-CN"/>
              </w:rPr>
              <w:t>名  称：陕西明正招标有限公司</w:t>
            </w:r>
          </w:p>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rPr>
            </w:pPr>
            <w:r>
              <w:rPr>
                <w:rFonts w:hint="eastAsia"/>
                <w:color w:val="auto"/>
                <w:highlight w:val="none"/>
                <w:lang w:val="zh-CN"/>
              </w:rPr>
              <w:t>地  址：西安市雁塔区二环南路西段88号老三届世纪星大厦30层AB座</w:t>
            </w:r>
          </w:p>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rPr>
            </w:pPr>
            <w:r>
              <w:rPr>
                <w:rFonts w:hint="eastAsia"/>
                <w:color w:val="auto"/>
                <w:highlight w:val="none"/>
                <w:lang w:val="zh-CN"/>
              </w:rPr>
              <w:t>联系人：</w:t>
            </w:r>
            <w:r>
              <w:rPr>
                <w:rFonts w:hint="eastAsia"/>
                <w:color w:val="auto"/>
                <w:highlight w:val="none"/>
              </w:rPr>
              <w:t>冯 瑶  乔 艳</w:t>
            </w:r>
          </w:p>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lang w:val="zh-CN"/>
              </w:rPr>
              <w:t>联系</w:t>
            </w:r>
            <w:r>
              <w:rPr>
                <w:rFonts w:hint="eastAsia"/>
                <w:color w:val="auto"/>
                <w:highlight w:val="none"/>
              </w:rPr>
              <w:t>电话</w:t>
            </w:r>
            <w:r>
              <w:rPr>
                <w:rFonts w:hint="eastAsia"/>
                <w:color w:val="auto"/>
                <w:highlight w:val="none"/>
                <w:lang w:val="zh-CN"/>
              </w:rPr>
              <w:t>：029-87551608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blHeader/>
          <w:jc w:val="center"/>
        </w:trPr>
        <w:tc>
          <w:tcPr>
            <w:tcW w:w="681"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rPr>
            </w:pPr>
            <w:r>
              <w:rPr>
                <w:rFonts w:hint="eastAsia"/>
                <w:color w:val="auto"/>
                <w:highlight w:val="none"/>
              </w:rPr>
              <w:t>3</w:t>
            </w:r>
          </w:p>
        </w:tc>
        <w:tc>
          <w:tcPr>
            <w:tcW w:w="2464"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lang w:val="zh-CN"/>
              </w:rPr>
            </w:pPr>
            <w:r>
              <w:rPr>
                <w:rFonts w:hint="eastAsia"/>
                <w:color w:val="auto"/>
                <w:highlight w:val="none"/>
                <w:lang w:val="zh-CN"/>
              </w:rPr>
              <w:t>监督机构</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rPr>
            </w:pPr>
            <w:r>
              <w:rPr>
                <w:rFonts w:hint="eastAsia"/>
                <w:color w:val="auto"/>
                <w:highlight w:val="none"/>
              </w:rPr>
              <w:t>西安市财政局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blHeader/>
          <w:jc w:val="center"/>
        </w:trPr>
        <w:tc>
          <w:tcPr>
            <w:tcW w:w="681"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rPr>
            </w:pPr>
            <w:r>
              <w:rPr>
                <w:rFonts w:hint="eastAsia"/>
                <w:color w:val="auto"/>
                <w:highlight w:val="none"/>
              </w:rPr>
              <w:t>4</w:t>
            </w:r>
          </w:p>
        </w:tc>
        <w:tc>
          <w:tcPr>
            <w:tcW w:w="2464"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lang w:val="zh-CN"/>
              </w:rPr>
            </w:pPr>
            <w:r>
              <w:rPr>
                <w:rFonts w:hint="eastAsia"/>
                <w:color w:val="auto"/>
                <w:highlight w:val="none"/>
                <w:lang w:val="zh-CN"/>
              </w:rPr>
              <w:t>采购项目名称</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lang w:val="zh-CN"/>
              </w:rPr>
              <w:t>西安商贸旅游技师学院烹饪系、食品系实训课原材料采购项目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blHeader/>
          <w:jc w:val="center"/>
        </w:trPr>
        <w:tc>
          <w:tcPr>
            <w:tcW w:w="681"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rPr>
            </w:pPr>
            <w:r>
              <w:rPr>
                <w:rFonts w:hint="eastAsia"/>
                <w:color w:val="auto"/>
                <w:highlight w:val="none"/>
              </w:rPr>
              <w:t>5</w:t>
            </w:r>
          </w:p>
        </w:tc>
        <w:tc>
          <w:tcPr>
            <w:tcW w:w="2464"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lang w:val="zh-CN"/>
              </w:rPr>
            </w:pPr>
            <w:r>
              <w:rPr>
                <w:rFonts w:hint="eastAsia"/>
                <w:color w:val="auto"/>
                <w:highlight w:val="none"/>
                <w:lang w:val="zh-CN"/>
              </w:rPr>
              <w:t>采购项目编号</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rFonts w:hint="eastAsia" w:eastAsia="宋体"/>
                <w:color w:val="auto"/>
                <w:highlight w:val="none"/>
                <w:lang w:eastAsia="zh-CN"/>
              </w:rPr>
            </w:pPr>
            <w:r>
              <w:rPr>
                <w:rFonts w:hint="eastAsia"/>
                <w:color w:val="auto"/>
                <w:highlight w:val="none"/>
                <w:lang w:eastAsia="zh-CN"/>
              </w:rPr>
              <w:t>MZ2023-TP1007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blHeader/>
          <w:jc w:val="center"/>
        </w:trPr>
        <w:tc>
          <w:tcPr>
            <w:tcW w:w="681"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color w:val="auto"/>
                <w:highlight w:val="none"/>
              </w:rPr>
            </w:pPr>
            <w:r>
              <w:rPr>
                <w:rFonts w:hint="eastAsia"/>
                <w:color w:val="auto"/>
                <w:highlight w:val="none"/>
              </w:rPr>
              <w:t>6</w:t>
            </w:r>
          </w:p>
        </w:tc>
        <w:tc>
          <w:tcPr>
            <w:tcW w:w="2464" w:type="dxa"/>
            <w:vAlign w:val="center"/>
          </w:tcPr>
          <w:p>
            <w:pPr>
              <w:pStyle w:val="31"/>
              <w:keepNext w:val="0"/>
              <w:keepLines w:val="0"/>
              <w:pageBreakBefore w:val="0"/>
              <w:kinsoku/>
              <w:wordWrap/>
              <w:overflowPunct/>
              <w:topLinePunct w:val="0"/>
              <w:bidi w:val="0"/>
              <w:adjustRightInd w:val="0"/>
              <w:snapToGrid w:val="0"/>
              <w:spacing w:before="0" w:beforeAutospacing="0" w:after="0" w:afterAutospacing="0" w:line="360" w:lineRule="exact"/>
              <w:jc w:val="center"/>
              <w:textAlignment w:val="auto"/>
              <w:rPr>
                <w:rFonts w:cs="宋体"/>
                <w:color w:val="auto"/>
                <w:sz w:val="24"/>
                <w:szCs w:val="24"/>
                <w:highlight w:val="none"/>
              </w:rPr>
            </w:pPr>
            <w:r>
              <w:rPr>
                <w:rFonts w:hint="eastAsia" w:cs="宋体"/>
                <w:color w:val="auto"/>
                <w:sz w:val="24"/>
                <w:szCs w:val="24"/>
                <w:highlight w:val="none"/>
              </w:rPr>
              <w:t>采购预算金额</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rPr>
            </w:pPr>
            <w:r>
              <w:rPr>
                <w:rFonts w:hint="eastAsia"/>
                <w:color w:val="auto"/>
                <w:highlight w:val="none"/>
                <w:lang w:eastAsia="zh-CN"/>
              </w:rPr>
              <w:t>630,000.00</w:t>
            </w:r>
            <w:r>
              <w:rPr>
                <w:rFonts w:hint="eastAsia"/>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blHeader/>
          <w:jc w:val="center"/>
        </w:trPr>
        <w:tc>
          <w:tcPr>
            <w:tcW w:w="681"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color w:val="auto"/>
                <w:highlight w:val="none"/>
              </w:rPr>
              <w:t>7</w:t>
            </w:r>
          </w:p>
        </w:tc>
        <w:tc>
          <w:tcPr>
            <w:tcW w:w="2464" w:type="dxa"/>
            <w:vAlign w:val="center"/>
          </w:tcPr>
          <w:p>
            <w:pPr>
              <w:pStyle w:val="31"/>
              <w:keepNext w:val="0"/>
              <w:keepLines w:val="0"/>
              <w:pageBreakBefore w:val="0"/>
              <w:kinsoku/>
              <w:wordWrap/>
              <w:overflowPunct/>
              <w:topLinePunct w:val="0"/>
              <w:bidi w:val="0"/>
              <w:adjustRightInd w:val="0"/>
              <w:snapToGrid w:val="0"/>
              <w:spacing w:before="0" w:beforeAutospacing="0" w:after="0" w:afterAutospacing="0" w:line="360" w:lineRule="exact"/>
              <w:jc w:val="center"/>
              <w:textAlignment w:val="auto"/>
              <w:rPr>
                <w:rFonts w:hint="eastAsia" w:cs="宋体"/>
                <w:color w:val="auto"/>
                <w:sz w:val="24"/>
                <w:szCs w:val="24"/>
                <w:highlight w:val="none"/>
              </w:rPr>
            </w:pPr>
            <w:r>
              <w:rPr>
                <w:rFonts w:hint="eastAsia" w:cs="宋体"/>
                <w:color w:val="auto"/>
                <w:sz w:val="24"/>
                <w:szCs w:val="24"/>
                <w:highlight w:val="none"/>
              </w:rPr>
              <w:t>最高限价</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rFonts w:hint="eastAsia"/>
                <w:color w:val="auto"/>
                <w:highlight w:val="none"/>
              </w:rPr>
            </w:pPr>
            <w:r>
              <w:rPr>
                <w:rFonts w:hint="eastAsia" w:ascii="宋体" w:hAnsi="宋体" w:cs="宋体"/>
                <w:bCs/>
                <w:color w:val="auto"/>
                <w:sz w:val="24"/>
                <w:szCs w:val="24"/>
                <w:highlight w:val="none"/>
                <w:lang w:val="en-US" w:eastAsia="zh-CN"/>
              </w:rPr>
              <w:t>各类</w:t>
            </w:r>
            <w:r>
              <w:rPr>
                <w:rFonts w:hint="eastAsia" w:ascii="宋体" w:hAnsi="宋体" w:cs="宋体"/>
                <w:color w:val="auto"/>
                <w:sz w:val="24"/>
                <w:szCs w:val="21"/>
                <w:highlight w:val="none"/>
              </w:rPr>
              <w:t>货价（上浮率）不能超零售价的2</w:t>
            </w:r>
            <w:r>
              <w:rPr>
                <w:rFonts w:hint="eastAsia" w:ascii="宋体" w:hAnsi="宋体" w:cs="宋体"/>
                <w:color w:val="auto"/>
                <w:sz w:val="24"/>
                <w:szCs w:val="21"/>
                <w:highlight w:val="none"/>
                <w:lang w:val="en-US" w:eastAsia="zh-CN"/>
              </w:rPr>
              <w:t>3</w:t>
            </w:r>
            <w:r>
              <w:rPr>
                <w:rFonts w:hint="eastAsia" w:ascii="宋体" w:hAnsi="宋体" w:cs="宋体"/>
                <w:color w:val="auto"/>
                <w:sz w:val="2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8</w:t>
            </w:r>
          </w:p>
        </w:tc>
        <w:tc>
          <w:tcPr>
            <w:tcW w:w="2464" w:type="dxa"/>
            <w:vAlign w:val="center"/>
          </w:tcPr>
          <w:p>
            <w:pPr>
              <w:pStyle w:val="31"/>
              <w:keepNext w:val="0"/>
              <w:keepLines w:val="0"/>
              <w:pageBreakBefore w:val="0"/>
              <w:kinsoku/>
              <w:wordWrap/>
              <w:overflowPunct/>
              <w:topLinePunct w:val="0"/>
              <w:bidi w:val="0"/>
              <w:adjustRightInd w:val="0"/>
              <w:snapToGrid w:val="0"/>
              <w:spacing w:before="0" w:beforeAutospacing="0" w:after="0" w:afterAutospacing="0" w:line="360" w:lineRule="exact"/>
              <w:jc w:val="center"/>
              <w:textAlignment w:val="auto"/>
              <w:rPr>
                <w:rFonts w:cs="宋体"/>
                <w:color w:val="auto"/>
                <w:sz w:val="24"/>
                <w:szCs w:val="24"/>
                <w:highlight w:val="none"/>
              </w:rPr>
            </w:pPr>
            <w:r>
              <w:rPr>
                <w:rFonts w:hint="eastAsia" w:cs="宋体"/>
                <w:color w:val="auto"/>
                <w:sz w:val="24"/>
                <w:szCs w:val="24"/>
                <w:highlight w:val="none"/>
              </w:rPr>
              <w:t>资金来源</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rPr>
            </w:pPr>
            <w:r>
              <w:rPr>
                <w:rFonts w:hint="eastAsia"/>
                <w:color w:val="auto"/>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blHeader/>
          <w:jc w:val="center"/>
        </w:trPr>
        <w:tc>
          <w:tcPr>
            <w:tcW w:w="681"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9</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rPr>
            </w:pPr>
            <w:r>
              <w:rPr>
                <w:rFonts w:hint="eastAsia"/>
                <w:color w:val="auto"/>
                <w:highlight w:val="none"/>
                <w:lang w:val="zh-CN"/>
              </w:rPr>
              <w:t>联合体</w:t>
            </w:r>
            <w:r>
              <w:rPr>
                <w:rFonts w:hint="eastAsia"/>
                <w:color w:val="auto"/>
                <w:highlight w:val="none"/>
              </w:rPr>
              <w:t>谈判</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rPr>
            </w:pPr>
            <w:r>
              <w:rPr>
                <w:rFonts w:hint="eastAsia"/>
                <w:color w:val="auto"/>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blHeader/>
          <w:jc w:val="center"/>
        </w:trPr>
        <w:tc>
          <w:tcPr>
            <w:tcW w:w="681"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10</w:t>
            </w:r>
          </w:p>
        </w:tc>
        <w:tc>
          <w:tcPr>
            <w:tcW w:w="2464" w:type="dxa"/>
            <w:vAlign w:val="center"/>
          </w:tcPr>
          <w:p>
            <w:pPr>
              <w:pStyle w:val="31"/>
              <w:keepNext w:val="0"/>
              <w:keepLines w:val="0"/>
              <w:pageBreakBefore w:val="0"/>
              <w:kinsoku/>
              <w:wordWrap/>
              <w:overflowPunct/>
              <w:topLinePunct w:val="0"/>
              <w:bidi w:val="0"/>
              <w:adjustRightInd w:val="0"/>
              <w:snapToGrid w:val="0"/>
              <w:spacing w:before="0" w:beforeAutospacing="0" w:after="0" w:afterAutospacing="0" w:line="360" w:lineRule="exact"/>
              <w:ind w:left="559" w:leftChars="266"/>
              <w:textAlignment w:val="auto"/>
              <w:rPr>
                <w:rFonts w:cs="宋体"/>
                <w:color w:val="auto"/>
                <w:sz w:val="24"/>
                <w:szCs w:val="24"/>
                <w:highlight w:val="none"/>
              </w:rPr>
            </w:pPr>
            <w:r>
              <w:rPr>
                <w:rFonts w:hint="eastAsia" w:cs="宋体"/>
                <w:color w:val="auto"/>
                <w:sz w:val="24"/>
                <w:szCs w:val="24"/>
                <w:highlight w:val="none"/>
              </w:rPr>
              <w:t>项目属性</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rPr>
            </w:pPr>
            <w:r>
              <w:rPr>
                <w:rFonts w:hint="eastAsia"/>
                <w:color w:val="auto"/>
                <w:highlight w:val="none"/>
              </w:rPr>
              <w:t>政府采购货物类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11</w:t>
            </w:r>
          </w:p>
        </w:tc>
        <w:tc>
          <w:tcPr>
            <w:tcW w:w="2464" w:type="dxa"/>
            <w:vAlign w:val="center"/>
          </w:tcPr>
          <w:p>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color w:val="auto"/>
                <w:sz w:val="24"/>
                <w:highlight w:val="none"/>
                <w:lang w:val="zh-CN"/>
              </w:rPr>
            </w:pPr>
            <w:r>
              <w:rPr>
                <w:rFonts w:hint="eastAsia" w:ascii="宋体" w:hAnsi="宋体" w:cs="宋体"/>
                <w:color w:val="auto"/>
                <w:kern w:val="0"/>
                <w:sz w:val="24"/>
                <w:highlight w:val="none"/>
                <w:lang w:val="zh-CN"/>
              </w:rPr>
              <w:t>是否专门面向中小企业采购</w:t>
            </w:r>
          </w:p>
        </w:tc>
        <w:tc>
          <w:tcPr>
            <w:tcW w:w="6934" w:type="dxa"/>
            <w:vAlign w:val="center"/>
          </w:tcPr>
          <w:p>
            <w:pPr>
              <w:keepNext w:val="0"/>
              <w:keepLines w:val="0"/>
              <w:pageBreakBefore w:val="0"/>
              <w:widowControl/>
              <w:tabs>
                <w:tab w:val="left" w:pos="1620"/>
              </w:tabs>
              <w:kinsoku/>
              <w:wordWrap/>
              <w:overflowPunct/>
              <w:topLinePunct w:val="0"/>
              <w:bidi w:val="0"/>
              <w:adjustRightInd w:val="0"/>
              <w:snapToGrid w:val="0"/>
              <w:spacing w:line="36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sym w:font="Wingdings" w:char="00FE"/>
            </w:r>
            <w:r>
              <w:rPr>
                <w:rFonts w:hint="eastAsia" w:ascii="宋体" w:hAnsi="宋体" w:cs="宋体"/>
                <w:color w:val="auto"/>
                <w:kern w:val="0"/>
                <w:sz w:val="24"/>
                <w:highlight w:val="none"/>
              </w:rPr>
              <w:t>否</w:t>
            </w:r>
          </w:p>
          <w:p>
            <w:pPr>
              <w:pStyle w:val="31"/>
              <w:keepNext w:val="0"/>
              <w:keepLines w:val="0"/>
              <w:pageBreakBefore w:val="0"/>
              <w:kinsoku/>
              <w:wordWrap/>
              <w:overflowPunct/>
              <w:topLinePunct w:val="0"/>
              <w:bidi w:val="0"/>
              <w:adjustRightInd w:val="0"/>
              <w:snapToGrid w:val="0"/>
              <w:spacing w:before="0" w:beforeAutospacing="0" w:after="0" w:afterAutospacing="0" w:line="360" w:lineRule="exact"/>
              <w:ind w:firstLine="480" w:firstLineChars="200"/>
              <w:textAlignment w:val="auto"/>
              <w:rPr>
                <w:rFonts w:cs="宋体"/>
                <w:color w:val="auto"/>
                <w:sz w:val="24"/>
                <w:szCs w:val="24"/>
                <w:highlight w:val="none"/>
              </w:rPr>
            </w:pPr>
            <w:r>
              <w:rPr>
                <w:rFonts w:hint="eastAsia" w:cs="宋体"/>
                <w:color w:val="auto"/>
                <w:sz w:val="24"/>
                <w:szCs w:val="24"/>
                <w:highlight w:val="none"/>
              </w:rPr>
              <w:sym w:font="Wingdings" w:char="00A8"/>
            </w:r>
            <w:r>
              <w:rPr>
                <w:rFonts w:hint="eastAsia" w:cs="宋体"/>
                <w:color w:val="auto"/>
                <w:sz w:val="24"/>
                <w:szCs w:val="24"/>
                <w:highlight w:val="none"/>
              </w:rPr>
              <w:t>是，非中小微企业、监狱企业或者残疾人福利性单位的投标人，其投标无效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681" w:type="dxa"/>
            <w:vAlign w:val="center"/>
          </w:tcPr>
          <w:p>
            <w:pPr>
              <w:pStyle w:val="133"/>
              <w:keepNext w:val="0"/>
              <w:keepLines w:val="0"/>
              <w:pageBreakBefore w:val="0"/>
              <w:kinsoku/>
              <w:wordWrap/>
              <w:overflowPunct/>
              <w:topLinePunct w:val="0"/>
              <w:autoSpaceDE/>
              <w:autoSpaceDN/>
              <w:bidi w:val="0"/>
              <w:snapToGrid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12</w:t>
            </w:r>
          </w:p>
        </w:tc>
        <w:tc>
          <w:tcPr>
            <w:tcW w:w="2464" w:type="dxa"/>
            <w:vAlign w:val="center"/>
          </w:tcPr>
          <w:p>
            <w:pPr>
              <w:pStyle w:val="20"/>
              <w:keepNext w:val="0"/>
              <w:keepLines w:val="0"/>
              <w:pageBreakBefore w:val="0"/>
              <w:kinsoku/>
              <w:wordWrap/>
              <w:overflowPunct/>
              <w:topLinePunct w:val="0"/>
              <w:bidi w:val="0"/>
              <w:spacing w:line="360" w:lineRule="exact"/>
              <w:jc w:val="center"/>
              <w:textAlignment w:val="auto"/>
              <w:rPr>
                <w:rFonts w:hAnsi="宋体" w:cs="宋体"/>
                <w:color w:val="auto"/>
                <w:sz w:val="24"/>
                <w:szCs w:val="24"/>
                <w:highlight w:val="none"/>
              </w:rPr>
            </w:pPr>
            <w:r>
              <w:rPr>
                <w:rFonts w:hint="eastAsia" w:hAnsi="宋体" w:cs="宋体"/>
                <w:color w:val="auto"/>
                <w:kern w:val="0"/>
                <w:sz w:val="24"/>
                <w:szCs w:val="24"/>
                <w:highlight w:val="none"/>
                <w:lang w:val="zh-CN"/>
              </w:rPr>
              <w:t>采购标的对应的中小企业所属行业</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jc w:val="both"/>
              <w:textAlignment w:val="auto"/>
              <w:rPr>
                <w:color w:val="auto"/>
                <w:highlight w:val="none"/>
              </w:rPr>
            </w:pPr>
            <w:r>
              <w:rPr>
                <w:rFonts w:hint="eastAsia" w:ascii="宋体" w:hAnsi="宋体" w:eastAsia="宋体" w:cs="宋体"/>
                <w:color w:val="auto"/>
                <w:highlight w:val="none"/>
              </w:rPr>
              <w:t>零售业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13</w:t>
            </w:r>
          </w:p>
        </w:tc>
        <w:tc>
          <w:tcPr>
            <w:tcW w:w="2464" w:type="dxa"/>
            <w:vAlign w:val="center"/>
          </w:tcPr>
          <w:p>
            <w:pPr>
              <w:pStyle w:val="122"/>
              <w:keepNext w:val="0"/>
              <w:keepLines w:val="0"/>
              <w:pageBreakBefore w:val="0"/>
              <w:kinsoku/>
              <w:wordWrap/>
              <w:overflowPunct/>
              <w:topLinePunct w:val="0"/>
              <w:bidi w:val="0"/>
              <w:spacing w:line="360" w:lineRule="exact"/>
              <w:ind w:left="101" w:right="92"/>
              <w:jc w:val="center"/>
              <w:textAlignment w:val="auto"/>
              <w:rPr>
                <w:color w:val="auto"/>
                <w:sz w:val="28"/>
                <w:szCs w:val="24"/>
                <w:highlight w:val="none"/>
              </w:rPr>
            </w:pPr>
            <w:r>
              <w:rPr>
                <w:rFonts w:hint="eastAsia" w:ascii="仿宋" w:hAnsi="仿宋" w:cs="Courier New"/>
                <w:color w:val="auto"/>
                <w:sz w:val="24"/>
                <w:szCs w:val="24"/>
                <w:highlight w:val="none"/>
                <w:lang w:val="zh-CN"/>
              </w:rPr>
              <w:t>支持中小企业</w:t>
            </w:r>
          </w:p>
        </w:tc>
        <w:tc>
          <w:tcPr>
            <w:tcW w:w="6934" w:type="dxa"/>
            <w:vAlign w:val="center"/>
          </w:tcPr>
          <w:p>
            <w:pPr>
              <w:keepNext w:val="0"/>
              <w:keepLines w:val="0"/>
              <w:pageBreakBefore w:val="0"/>
              <w:kinsoku/>
              <w:wordWrap/>
              <w:overflowPunct/>
              <w:topLinePunct w:val="0"/>
              <w:bidi w:val="0"/>
              <w:spacing w:line="36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1、非专门面向中小企业采购项目(价格扣除)：</w:t>
            </w:r>
            <w:r>
              <w:rPr>
                <w:rFonts w:hint="eastAsia" w:ascii="宋体" w:hAnsi="宋体" w:cs="宋体"/>
                <w:color w:val="auto"/>
                <w:sz w:val="24"/>
                <w:highlight w:val="none"/>
              </w:rPr>
              <w:t>供应商提供的</w:t>
            </w:r>
            <w:r>
              <w:rPr>
                <w:rFonts w:hint="eastAsia" w:ascii="宋体" w:hAnsi="宋体" w:cs="宋体"/>
                <w:color w:val="auto"/>
                <w:kern w:val="0"/>
                <w:sz w:val="24"/>
                <w:highlight w:val="none"/>
                <w:lang w:val="en-US" w:eastAsia="zh-CN"/>
              </w:rPr>
              <w:t>货物</w:t>
            </w:r>
            <w:r>
              <w:rPr>
                <w:rFonts w:hint="eastAsia" w:ascii="宋体" w:hAnsi="宋体" w:cs="宋体"/>
                <w:color w:val="auto"/>
                <w:kern w:val="0"/>
                <w:sz w:val="24"/>
                <w:highlight w:val="none"/>
              </w:rPr>
              <w:t>全部由符合政策要求的中小企业</w:t>
            </w:r>
            <w:r>
              <w:rPr>
                <w:rFonts w:hint="eastAsia" w:ascii="宋体" w:hAnsi="宋体" w:cs="宋体"/>
                <w:color w:val="auto"/>
                <w:kern w:val="0"/>
                <w:sz w:val="24"/>
                <w:highlight w:val="none"/>
                <w:lang w:val="en-US" w:eastAsia="zh-CN"/>
              </w:rPr>
              <w:t>制造</w:t>
            </w:r>
            <w:r>
              <w:rPr>
                <w:rFonts w:hint="eastAsia" w:ascii="宋体" w:hAnsi="宋体" w:cs="宋体"/>
                <w:color w:val="auto"/>
                <w:kern w:val="0"/>
                <w:sz w:val="24"/>
                <w:highlight w:val="none"/>
              </w:rPr>
              <w:t>的价格给予 10%～20%的扣除，用扣除后的价格参与评审。</w:t>
            </w:r>
            <w:r>
              <w:rPr>
                <w:color w:val="auto"/>
                <w:spacing w:val="-3"/>
                <w:sz w:val="24"/>
                <w:szCs w:val="22"/>
                <w:highlight w:val="none"/>
              </w:rPr>
              <w:t>本项目的扣除比例为：</w:t>
            </w:r>
            <w:r>
              <w:rPr>
                <w:rFonts w:ascii="Times New Roman" w:hAnsi="Times New Roman" w:eastAsia="宋体" w:cs="Times New Roman"/>
                <w:color w:val="auto"/>
                <w:spacing w:val="-3"/>
                <w:sz w:val="24"/>
                <w:szCs w:val="22"/>
                <w:highlight w:val="none"/>
              </w:rPr>
              <w:t>扣除 10%。</w:t>
            </w:r>
            <w:r>
              <w:rPr>
                <w:rFonts w:hint="eastAsia" w:ascii="Times New Roman" w:hAnsi="Times New Roman" w:eastAsia="宋体" w:cs="Times New Roman"/>
                <w:color w:val="auto"/>
                <w:spacing w:val="-3"/>
                <w:sz w:val="24"/>
                <w:szCs w:val="22"/>
                <w:highlight w:val="none"/>
              </w:rPr>
              <w:t>中小企业划型标准按照《关于印发中小企业划型标准规定</w:t>
            </w:r>
            <w:r>
              <w:rPr>
                <w:rFonts w:hint="eastAsia" w:ascii="宋体" w:hAnsi="宋体" w:cs="宋体"/>
                <w:color w:val="auto"/>
                <w:kern w:val="0"/>
                <w:sz w:val="24"/>
                <w:highlight w:val="none"/>
              </w:rPr>
              <w:t>的通知（工信部联企业〔2011〕300 号） 文的相关规定认定。以联合体形式参加政府采购活动，联合体各方均为中小企业的，联合体视同中小企业。其中，联合体各方均为小微企业的，联合体视同小微企业。</w:t>
            </w:r>
          </w:p>
          <w:p>
            <w:pPr>
              <w:pStyle w:val="122"/>
              <w:keepNext w:val="0"/>
              <w:keepLines w:val="0"/>
              <w:pageBreakBefore w:val="0"/>
              <w:kinsoku/>
              <w:wordWrap/>
              <w:overflowPunct/>
              <w:topLinePunct w:val="0"/>
              <w:bidi w:val="0"/>
              <w:spacing w:before="5" w:line="360" w:lineRule="exact"/>
              <w:ind w:left="5" w:right="-15" w:firstLine="559"/>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2、监狱企业可视同小微企业在价格评审时给予10%～20%的扣除，用扣除后的价格参与评审。</w:t>
            </w:r>
            <w:r>
              <w:rPr>
                <w:color w:val="auto"/>
                <w:spacing w:val="-3"/>
                <w:sz w:val="24"/>
                <w:szCs w:val="22"/>
                <w:highlight w:val="none"/>
              </w:rPr>
              <w:t>本项目的扣除比例为：扣</w:t>
            </w:r>
            <w:r>
              <w:rPr>
                <w:rFonts w:hint="eastAsia" w:ascii="宋体" w:hAnsi="宋体" w:eastAsia="宋体" w:cs="宋体"/>
                <w:color w:val="auto"/>
                <w:kern w:val="0"/>
                <w:sz w:val="24"/>
                <w:szCs w:val="24"/>
                <w:highlight w:val="none"/>
                <w:lang w:val="en-US" w:eastAsia="zh-CN" w:bidi="ar-SA"/>
              </w:rPr>
              <w:t>除 10%。根据《财库〔2014〕68 号》监狱企业参加政府采购活动时， 应</w:t>
            </w:r>
            <w:r>
              <w:rPr>
                <w:rFonts w:hint="eastAsia" w:ascii="宋体" w:hAnsi="宋体" w:cs="宋体"/>
                <w:color w:val="auto"/>
                <w:kern w:val="0"/>
                <w:sz w:val="24"/>
                <w:szCs w:val="24"/>
                <w:highlight w:val="none"/>
              </w:rPr>
              <w:t>当提供由省级以上监狱管理局、戒毒管理局（含新疆生产建设兵团）出具的属于监狱企业的证明文件）。</w:t>
            </w:r>
          </w:p>
          <w:p>
            <w:pPr>
              <w:pStyle w:val="122"/>
              <w:keepNext w:val="0"/>
              <w:keepLines w:val="0"/>
              <w:pageBreakBefore w:val="0"/>
              <w:kinsoku/>
              <w:wordWrap/>
              <w:overflowPunct/>
              <w:topLinePunct w:val="0"/>
              <w:bidi w:val="0"/>
              <w:spacing w:before="5" w:line="360" w:lineRule="exact"/>
              <w:ind w:left="5" w:right="-15" w:firstLine="559"/>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3、残疾人福利性单位可视同小微企业在价格评审时给予 10%～20%的扣除，用扣除后的价格参与评审。</w:t>
            </w:r>
            <w:r>
              <w:rPr>
                <w:color w:val="auto"/>
                <w:spacing w:val="-3"/>
                <w:sz w:val="24"/>
                <w:szCs w:val="22"/>
                <w:highlight w:val="none"/>
              </w:rPr>
              <w:t>本项目的扣除比例为：扣</w:t>
            </w:r>
            <w:r>
              <w:rPr>
                <w:color w:val="auto"/>
                <w:spacing w:val="-35"/>
                <w:sz w:val="24"/>
                <w:szCs w:val="22"/>
                <w:highlight w:val="none"/>
              </w:rPr>
              <w:t>除</w:t>
            </w:r>
            <w:r>
              <w:rPr>
                <w:rFonts w:hint="eastAsia" w:ascii="宋体" w:hAnsi="宋体" w:eastAsia="宋体" w:cs="宋体"/>
                <w:color w:val="auto"/>
                <w:kern w:val="0"/>
                <w:sz w:val="24"/>
                <w:szCs w:val="24"/>
                <w:highlight w:val="none"/>
              </w:rPr>
              <w:t xml:space="preserve"> 10%。但应</w:t>
            </w:r>
            <w:r>
              <w:rPr>
                <w:rFonts w:hint="eastAsia" w:ascii="宋体" w:hAnsi="宋体" w:cs="宋体"/>
                <w:color w:val="auto"/>
                <w:kern w:val="0"/>
                <w:sz w:val="24"/>
                <w:szCs w:val="24"/>
                <w:highlight w:val="none"/>
              </w:rPr>
              <w:t>满足下列条件：</w:t>
            </w:r>
          </w:p>
          <w:p>
            <w:pPr>
              <w:pStyle w:val="122"/>
              <w:keepNext w:val="0"/>
              <w:keepLines w:val="0"/>
              <w:pageBreakBefore w:val="0"/>
              <w:kinsoku/>
              <w:wordWrap/>
              <w:overflowPunct/>
              <w:topLinePunct w:val="0"/>
              <w:bidi w:val="0"/>
              <w:spacing w:before="5" w:line="360" w:lineRule="exact"/>
              <w:ind w:left="5" w:right="-15" w:firstLine="559"/>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①残疾人福利性单位应符合《财政部、民政部、中国残疾人联合会关于促进残疾人就业政府采购政策的通知》（财库[2017]141 号）文件规定，并提供《残疾人福利性单位声明函》。</w:t>
            </w:r>
          </w:p>
          <w:p>
            <w:pPr>
              <w:pStyle w:val="122"/>
              <w:keepNext w:val="0"/>
              <w:keepLines w:val="0"/>
              <w:pageBreakBefore w:val="0"/>
              <w:kinsoku/>
              <w:wordWrap/>
              <w:overflowPunct/>
              <w:topLinePunct w:val="0"/>
              <w:bidi w:val="0"/>
              <w:spacing w:before="5" w:line="360" w:lineRule="exact"/>
              <w:ind w:left="5" w:right="-15" w:firstLine="559"/>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②残疾人福利性单位属于小型、微型企业的，不重复享受政策。</w:t>
            </w:r>
          </w:p>
          <w:p>
            <w:pPr>
              <w:pStyle w:val="122"/>
              <w:keepNext w:val="0"/>
              <w:keepLines w:val="0"/>
              <w:pageBreakBefore w:val="0"/>
              <w:kinsoku/>
              <w:wordWrap/>
              <w:overflowPunct/>
              <w:topLinePunct w:val="0"/>
              <w:bidi w:val="0"/>
              <w:spacing w:before="5" w:line="360" w:lineRule="exact"/>
              <w:ind w:left="5" w:right="-15" w:firstLine="559"/>
              <w:textAlignment w:val="auto"/>
              <w:rPr>
                <w:color w:val="auto"/>
                <w:sz w:val="27"/>
                <w:szCs w:val="24"/>
                <w:highlight w:val="none"/>
                <w:lang w:val="zh-CN"/>
              </w:rPr>
            </w:pPr>
            <w:r>
              <w:rPr>
                <w:rFonts w:hint="eastAsia" w:ascii="宋体" w:hAnsi="宋体" w:cs="宋体"/>
                <w:color w:val="auto"/>
                <w:kern w:val="0"/>
                <w:sz w:val="24"/>
                <w:szCs w:val="24"/>
                <w:highlight w:val="none"/>
              </w:rPr>
              <w:t>4、专门面向中小企业采购的项目或者采购包，不再执行价格评审优惠的扶持政策。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14</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rFonts w:ascii="Times New Roman"/>
                <w:color w:val="auto"/>
                <w:kern w:val="2"/>
                <w:highlight w:val="none"/>
                <w:lang w:val="zh-CN"/>
              </w:rPr>
            </w:pPr>
            <w:r>
              <w:rPr>
                <w:rFonts w:hint="eastAsia"/>
                <w:color w:val="auto"/>
                <w:highlight w:val="none"/>
              </w:rPr>
              <w:t>是否允许进口产品投标</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jc w:val="both"/>
              <w:textAlignment w:val="auto"/>
              <w:rPr>
                <w:rFonts w:ascii="Times New Roman"/>
                <w:color w:val="auto"/>
                <w:kern w:val="2"/>
                <w:highlight w:val="none"/>
                <w:lang w:val="zh-CN"/>
              </w:rPr>
            </w:pPr>
            <w:r>
              <w:rPr>
                <w:rFonts w:hint="eastAsia"/>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blHeader/>
          <w:jc w:val="center"/>
        </w:trPr>
        <w:tc>
          <w:tcPr>
            <w:tcW w:w="681" w:type="dxa"/>
            <w:vAlign w:val="center"/>
          </w:tcPr>
          <w:p>
            <w:pPr>
              <w:pStyle w:val="133"/>
              <w:keepNext w:val="0"/>
              <w:keepLines w:val="0"/>
              <w:pageBreakBefore w:val="0"/>
              <w:tabs>
                <w:tab w:val="left" w:pos="475"/>
              </w:tabs>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15</w:t>
            </w:r>
          </w:p>
        </w:tc>
        <w:tc>
          <w:tcPr>
            <w:tcW w:w="2464" w:type="dxa"/>
            <w:vAlign w:val="center"/>
          </w:tcPr>
          <w:p>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color w:val="auto"/>
                <w:sz w:val="24"/>
                <w:highlight w:val="none"/>
                <w:lang w:val="zh-CN"/>
              </w:rPr>
            </w:pPr>
            <w:r>
              <w:rPr>
                <w:rFonts w:hint="eastAsia" w:ascii="宋体" w:hAnsi="宋体" w:cs="宋体"/>
                <w:color w:val="auto"/>
                <w:sz w:val="24"/>
                <w:highlight w:val="none"/>
              </w:rPr>
              <w:t>现场踏勘</w:t>
            </w:r>
          </w:p>
        </w:tc>
        <w:tc>
          <w:tcPr>
            <w:tcW w:w="6934" w:type="dxa"/>
            <w:vAlign w:val="center"/>
          </w:tcPr>
          <w:p>
            <w:pPr>
              <w:pStyle w:val="31"/>
              <w:keepNext w:val="0"/>
              <w:keepLines w:val="0"/>
              <w:pageBreakBefore w:val="0"/>
              <w:kinsoku/>
              <w:wordWrap/>
              <w:overflowPunct/>
              <w:topLinePunct w:val="0"/>
              <w:bidi w:val="0"/>
              <w:adjustRightInd w:val="0"/>
              <w:snapToGrid w:val="0"/>
              <w:spacing w:before="0" w:beforeAutospacing="0" w:after="0" w:afterAutospacing="0" w:line="360" w:lineRule="exact"/>
              <w:ind w:firstLine="480" w:firstLineChars="200"/>
              <w:textAlignment w:val="auto"/>
              <w:rPr>
                <w:rFonts w:cs="宋体"/>
                <w:color w:val="auto"/>
                <w:sz w:val="24"/>
                <w:szCs w:val="24"/>
                <w:highlight w:val="none"/>
              </w:rPr>
            </w:pPr>
            <w:r>
              <w:rPr>
                <w:rFonts w:hint="eastAsia" w:cs="宋体"/>
                <w:color w:val="auto"/>
                <w:sz w:val="24"/>
                <w:szCs w:val="24"/>
                <w:highlight w:val="none"/>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16</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lang w:val="zh-CN"/>
              </w:rPr>
              <w:t>标前答疑会</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lang w:val="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17</w:t>
            </w:r>
          </w:p>
        </w:tc>
        <w:tc>
          <w:tcPr>
            <w:tcW w:w="2464" w:type="dxa"/>
            <w:vAlign w:val="center"/>
          </w:tcPr>
          <w:p>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color w:val="auto"/>
                <w:sz w:val="24"/>
                <w:highlight w:val="none"/>
                <w:lang w:val="zh-CN"/>
              </w:rPr>
            </w:pPr>
            <w:r>
              <w:rPr>
                <w:rFonts w:hint="eastAsia" w:ascii="宋体" w:hAnsi="宋体" w:cs="宋体"/>
                <w:color w:val="auto"/>
                <w:kern w:val="0"/>
                <w:sz w:val="24"/>
                <w:highlight w:val="none"/>
                <w:lang w:val="zh-CN"/>
              </w:rPr>
              <w:t>对</w:t>
            </w:r>
            <w:r>
              <w:rPr>
                <w:rFonts w:hint="eastAsia" w:ascii="宋体" w:hAnsi="宋体" w:cs="宋体"/>
                <w:color w:val="auto"/>
                <w:kern w:val="0"/>
                <w:sz w:val="24"/>
                <w:highlight w:val="none"/>
              </w:rPr>
              <w:t>谈判</w:t>
            </w:r>
            <w:r>
              <w:rPr>
                <w:rFonts w:hint="eastAsia" w:ascii="宋体" w:hAnsi="宋体" w:cs="宋体"/>
                <w:color w:val="auto"/>
                <w:kern w:val="0"/>
                <w:sz w:val="24"/>
                <w:highlight w:val="none"/>
                <w:lang w:val="zh-CN"/>
              </w:rPr>
              <w:t>文件澄清或修改的时间</w:t>
            </w:r>
          </w:p>
        </w:tc>
        <w:tc>
          <w:tcPr>
            <w:tcW w:w="6934" w:type="dxa"/>
            <w:vAlign w:val="center"/>
          </w:tcPr>
          <w:p>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color w:val="auto"/>
                <w:sz w:val="24"/>
                <w:highlight w:val="none"/>
                <w:lang w:val="zh-CN"/>
              </w:rPr>
            </w:pPr>
            <w:r>
              <w:rPr>
                <w:rFonts w:hint="eastAsia" w:ascii="宋体" w:hAnsi="宋体" w:cs="宋体"/>
                <w:color w:val="auto"/>
                <w:kern w:val="0"/>
                <w:sz w:val="24"/>
                <w:highlight w:val="none"/>
                <w:lang w:val="zh-CN"/>
              </w:rPr>
              <w:t>采购人或采购代理机构对已发出的</w:t>
            </w:r>
            <w:r>
              <w:rPr>
                <w:rFonts w:hint="eastAsia" w:ascii="宋体" w:hAnsi="宋体" w:cs="宋体"/>
                <w:color w:val="auto"/>
                <w:kern w:val="0"/>
                <w:sz w:val="24"/>
                <w:highlight w:val="none"/>
              </w:rPr>
              <w:t>谈判</w:t>
            </w:r>
            <w:r>
              <w:rPr>
                <w:rFonts w:hint="eastAsia" w:ascii="宋体" w:hAnsi="宋体" w:cs="宋体"/>
                <w:color w:val="auto"/>
                <w:kern w:val="0"/>
                <w:sz w:val="24"/>
                <w:highlight w:val="none"/>
                <w:lang w:val="zh-CN"/>
              </w:rPr>
              <w:t>文件进行必要的澄清或者修改，应当在</w:t>
            </w:r>
            <w:r>
              <w:rPr>
                <w:rFonts w:hint="eastAsia" w:ascii="宋体" w:hAnsi="宋体" w:cs="宋体"/>
                <w:color w:val="auto"/>
                <w:kern w:val="0"/>
                <w:sz w:val="24"/>
                <w:highlight w:val="none"/>
              </w:rPr>
              <w:t>谈判</w:t>
            </w:r>
            <w:r>
              <w:rPr>
                <w:rFonts w:hint="eastAsia" w:ascii="宋体" w:hAnsi="宋体" w:cs="宋体"/>
                <w:color w:val="auto"/>
                <w:kern w:val="0"/>
                <w:sz w:val="24"/>
                <w:highlight w:val="none"/>
                <w:lang w:val="zh-CN"/>
              </w:rPr>
              <w:t>文件要求提交</w:t>
            </w:r>
            <w:r>
              <w:rPr>
                <w:rFonts w:hint="eastAsia" w:ascii="宋体" w:hAnsi="宋体" w:cs="宋体"/>
                <w:color w:val="auto"/>
                <w:kern w:val="0"/>
                <w:sz w:val="24"/>
                <w:highlight w:val="none"/>
              </w:rPr>
              <w:t>谈判响应</w:t>
            </w:r>
            <w:r>
              <w:rPr>
                <w:rFonts w:hint="eastAsia" w:ascii="宋体" w:hAnsi="宋体" w:cs="宋体"/>
                <w:color w:val="auto"/>
                <w:kern w:val="0"/>
                <w:sz w:val="24"/>
                <w:highlight w:val="none"/>
                <w:lang w:val="zh-CN"/>
              </w:rPr>
              <w:t>文件截止时间</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日前，不足</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日的应当顺延提交</w:t>
            </w:r>
            <w:r>
              <w:rPr>
                <w:rFonts w:hint="eastAsia" w:ascii="宋体" w:hAnsi="宋体" w:cs="宋体"/>
                <w:color w:val="auto"/>
                <w:kern w:val="0"/>
                <w:sz w:val="24"/>
                <w:highlight w:val="none"/>
              </w:rPr>
              <w:t>谈判响应</w:t>
            </w:r>
            <w:r>
              <w:rPr>
                <w:rFonts w:hint="eastAsia" w:ascii="宋体" w:hAnsi="宋体" w:cs="宋体"/>
                <w:color w:val="auto"/>
                <w:kern w:val="0"/>
                <w:sz w:val="24"/>
                <w:highlight w:val="none"/>
                <w:lang w:val="zh-CN"/>
              </w:rPr>
              <w:t>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18</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rPr>
            </w:pPr>
            <w:r>
              <w:rPr>
                <w:rFonts w:hint="eastAsia"/>
                <w:color w:val="auto"/>
                <w:highlight w:val="none"/>
                <w:lang w:val="zh-CN"/>
              </w:rPr>
              <w:t>构成</w:t>
            </w:r>
            <w:r>
              <w:rPr>
                <w:rFonts w:hint="eastAsia"/>
                <w:color w:val="auto"/>
                <w:highlight w:val="none"/>
              </w:rPr>
              <w:t>谈判</w:t>
            </w:r>
            <w:r>
              <w:rPr>
                <w:rFonts w:hint="eastAsia"/>
                <w:color w:val="auto"/>
                <w:highlight w:val="none"/>
                <w:lang w:val="zh-CN"/>
              </w:rPr>
              <w:t>文件的</w:t>
            </w:r>
          </w:p>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lang w:val="zh-CN"/>
              </w:rPr>
              <w:t>其他文件</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lang w:val="zh-CN"/>
              </w:rPr>
              <w:t>以书面形式发出的答疑纪要或对</w:t>
            </w:r>
            <w:r>
              <w:rPr>
                <w:rFonts w:hint="eastAsia"/>
                <w:color w:val="auto"/>
                <w:highlight w:val="none"/>
              </w:rPr>
              <w:t>谈判</w:t>
            </w:r>
            <w:r>
              <w:rPr>
                <w:rFonts w:hint="eastAsia"/>
                <w:color w:val="auto"/>
                <w:highlight w:val="none"/>
                <w:lang w:val="zh-CN"/>
              </w:rPr>
              <w:t>文件的澄清或修改内容，均为</w:t>
            </w:r>
            <w:r>
              <w:rPr>
                <w:rFonts w:hint="eastAsia"/>
                <w:color w:val="auto"/>
                <w:highlight w:val="none"/>
              </w:rPr>
              <w:t>谈判</w:t>
            </w:r>
            <w:r>
              <w:rPr>
                <w:rFonts w:hint="eastAsia"/>
                <w:color w:val="auto"/>
                <w:highlight w:val="none"/>
                <w:lang w:val="zh-CN"/>
              </w:rPr>
              <w:t>文件的组成部分，对</w:t>
            </w:r>
            <w:r>
              <w:rPr>
                <w:rFonts w:hint="eastAsia"/>
                <w:color w:val="auto"/>
                <w:highlight w:val="none"/>
              </w:rPr>
              <w:t>供应商</w:t>
            </w:r>
            <w:r>
              <w:rPr>
                <w:rFonts w:hint="eastAsia"/>
                <w:color w:val="auto"/>
                <w:highlight w:val="none"/>
                <w:lang w:val="zh-CN"/>
              </w:rPr>
              <w:t>起约束作用。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19</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bCs/>
                <w:color w:val="auto"/>
                <w:highlight w:val="none"/>
              </w:rPr>
            </w:pPr>
            <w:r>
              <w:rPr>
                <w:rFonts w:hint="eastAsia"/>
                <w:color w:val="auto"/>
                <w:highlight w:val="none"/>
              </w:rPr>
              <w:t>谈判</w:t>
            </w:r>
            <w:r>
              <w:rPr>
                <w:rFonts w:hint="eastAsia"/>
                <w:color w:val="auto"/>
                <w:highlight w:val="none"/>
                <w:lang w:val="zh-CN"/>
              </w:rPr>
              <w:t>有效期</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jc w:val="both"/>
              <w:textAlignment w:val="auto"/>
              <w:rPr>
                <w:color w:val="auto"/>
                <w:highlight w:val="none"/>
                <w:lang w:val="zh-CN"/>
              </w:rPr>
            </w:pPr>
            <w:r>
              <w:rPr>
                <w:rFonts w:hint="eastAsia"/>
                <w:color w:val="auto"/>
                <w:highlight w:val="none"/>
                <w:lang w:val="zh-CN"/>
              </w:rPr>
              <w:t>从</w:t>
            </w:r>
            <w:r>
              <w:rPr>
                <w:rFonts w:hint="eastAsia"/>
                <w:color w:val="auto"/>
                <w:highlight w:val="none"/>
              </w:rPr>
              <w:t>谈判</w:t>
            </w:r>
            <w:r>
              <w:rPr>
                <w:rFonts w:hint="eastAsia"/>
                <w:color w:val="auto"/>
                <w:highlight w:val="none"/>
                <w:lang w:val="zh-CN"/>
              </w:rPr>
              <w:t>截止日起不少于90日历</w:t>
            </w:r>
            <w:r>
              <w:rPr>
                <w:rFonts w:hint="eastAsia"/>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20</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bCs/>
                <w:color w:val="auto"/>
                <w:highlight w:val="none"/>
              </w:rPr>
            </w:pPr>
            <w:r>
              <w:rPr>
                <w:rFonts w:hint="eastAsia"/>
                <w:color w:val="auto"/>
                <w:highlight w:val="none"/>
              </w:rPr>
              <w:t>谈判保证金</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rPr>
              <w:t>本项目不收取保证金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21</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bCs/>
                <w:color w:val="auto"/>
                <w:highlight w:val="none"/>
              </w:rPr>
            </w:pPr>
            <w:r>
              <w:rPr>
                <w:rFonts w:hint="eastAsia"/>
                <w:color w:val="auto"/>
                <w:highlight w:val="none"/>
              </w:rPr>
              <w:t>谈判文件售价</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rPr>
            </w:pPr>
            <w:r>
              <w:rPr>
                <w:rFonts w:hint="eastAsia"/>
                <w:color w:val="auto"/>
                <w:highlight w:val="none"/>
              </w:rPr>
              <w:t>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22</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lang w:val="zh-CN"/>
              </w:rPr>
              <w:t>是否允许递交多个</w:t>
            </w:r>
          </w:p>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lang w:val="zh-CN"/>
              </w:rPr>
              <w:t>备选</w:t>
            </w:r>
            <w:r>
              <w:rPr>
                <w:rFonts w:hint="eastAsia"/>
                <w:color w:val="auto"/>
                <w:highlight w:val="none"/>
              </w:rPr>
              <w:t>谈判</w:t>
            </w:r>
            <w:r>
              <w:rPr>
                <w:rFonts w:hint="eastAsia"/>
                <w:color w:val="auto"/>
                <w:highlight w:val="none"/>
                <w:lang w:val="zh-CN"/>
              </w:rPr>
              <w:t>方案</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jc w:val="both"/>
              <w:textAlignment w:val="auto"/>
              <w:rPr>
                <w:color w:val="auto"/>
                <w:highlight w:val="none"/>
              </w:rPr>
            </w:pPr>
            <w:r>
              <w:rPr>
                <w:rFonts w:hint="eastAsia"/>
                <w:color w:val="auto"/>
                <w:highlight w:val="none"/>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23</w:t>
            </w:r>
          </w:p>
        </w:tc>
        <w:tc>
          <w:tcPr>
            <w:tcW w:w="2464" w:type="dxa"/>
            <w:vAlign w:val="center"/>
          </w:tcPr>
          <w:p>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color w:val="auto"/>
                <w:sz w:val="24"/>
                <w:highlight w:val="none"/>
              </w:rPr>
            </w:pPr>
            <w:r>
              <w:rPr>
                <w:rFonts w:hint="eastAsia" w:ascii="宋体" w:hAnsi="宋体" w:cs="宋体"/>
                <w:color w:val="auto"/>
                <w:kern w:val="0"/>
                <w:sz w:val="24"/>
                <w:highlight w:val="none"/>
                <w:lang w:val="zh-CN"/>
              </w:rPr>
              <w:t>签字或盖章要求</w:t>
            </w:r>
          </w:p>
        </w:tc>
        <w:tc>
          <w:tcPr>
            <w:tcW w:w="6934" w:type="dxa"/>
            <w:vAlign w:val="center"/>
          </w:tcPr>
          <w:p>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color w:val="auto"/>
                <w:sz w:val="24"/>
                <w:highlight w:val="none"/>
              </w:rPr>
            </w:pPr>
            <w:r>
              <w:rPr>
                <w:rFonts w:hint="eastAsia" w:ascii="宋体" w:hAnsi="宋体" w:cs="宋体"/>
                <w:color w:val="auto"/>
                <w:kern w:val="0"/>
                <w:sz w:val="24"/>
                <w:highlight w:val="none"/>
              </w:rPr>
              <w:t>谈判响应</w:t>
            </w:r>
            <w:r>
              <w:rPr>
                <w:rFonts w:hint="eastAsia" w:ascii="宋体" w:hAnsi="宋体" w:cs="宋体"/>
                <w:color w:val="auto"/>
                <w:kern w:val="0"/>
                <w:sz w:val="24"/>
                <w:highlight w:val="none"/>
                <w:lang w:val="zh-CN"/>
              </w:rPr>
              <w:t>文件加盖</w:t>
            </w: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公章并经法定代表人或其授权代表签字。由授权代表签字的在</w:t>
            </w:r>
            <w:r>
              <w:rPr>
                <w:rFonts w:hint="eastAsia" w:ascii="宋体" w:hAnsi="宋体" w:cs="宋体"/>
                <w:color w:val="auto"/>
                <w:kern w:val="0"/>
                <w:sz w:val="24"/>
                <w:highlight w:val="none"/>
              </w:rPr>
              <w:t>谈判响应</w:t>
            </w:r>
            <w:r>
              <w:rPr>
                <w:rFonts w:hint="eastAsia" w:ascii="宋体" w:hAnsi="宋体" w:cs="宋体"/>
                <w:color w:val="auto"/>
                <w:kern w:val="0"/>
                <w:sz w:val="24"/>
                <w:highlight w:val="none"/>
                <w:lang w:val="zh-CN"/>
              </w:rPr>
              <w:t>文件中须同时提交有效</w:t>
            </w:r>
            <w:r>
              <w:rPr>
                <w:rFonts w:hint="eastAsia" w:ascii="宋体" w:hAnsi="宋体" w:cs="宋体"/>
                <w:color w:val="auto"/>
                <w:kern w:val="0"/>
                <w:sz w:val="24"/>
                <w:highlight w:val="none"/>
              </w:rPr>
              <w:t>谈判响应</w:t>
            </w:r>
            <w:r>
              <w:rPr>
                <w:rFonts w:hint="eastAsia" w:ascii="宋体" w:hAnsi="宋体" w:cs="宋体"/>
                <w:color w:val="auto"/>
                <w:kern w:val="0"/>
                <w:sz w:val="24"/>
                <w:highlight w:val="none"/>
                <w:lang w:val="zh-CN"/>
              </w:rPr>
              <w:t>文件签署授权委托书。</w:t>
            </w:r>
            <w:r>
              <w:rPr>
                <w:rFonts w:hint="eastAsia" w:ascii="宋体" w:hAnsi="宋体" w:cs="宋体"/>
                <w:color w:val="auto"/>
                <w:kern w:val="0"/>
                <w:sz w:val="24"/>
                <w:highlight w:val="none"/>
              </w:rPr>
              <w:t>谈判</w:t>
            </w:r>
            <w:r>
              <w:rPr>
                <w:rFonts w:hint="eastAsia" w:ascii="宋体" w:hAnsi="宋体" w:cs="宋体"/>
                <w:color w:val="auto"/>
                <w:kern w:val="0"/>
                <w:sz w:val="24"/>
                <w:highlight w:val="none"/>
                <w:lang w:val="zh-CN"/>
              </w:rPr>
              <w:t>文件中凡是需要法定代表人签字或盖章之处，非法人单位的负责人均参照执行。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8"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24</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rPr>
              <w:t>谈判响应</w:t>
            </w:r>
            <w:r>
              <w:rPr>
                <w:rFonts w:hint="eastAsia"/>
                <w:color w:val="auto"/>
                <w:highlight w:val="none"/>
                <w:lang w:val="zh-CN"/>
              </w:rPr>
              <w:t>文件份数</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rPr>
            </w:pPr>
            <w:r>
              <w:rPr>
                <w:rFonts w:hint="eastAsia"/>
                <w:color w:val="auto"/>
                <w:highlight w:val="none"/>
              </w:rPr>
              <w:t>正本1份；副本3份；电子版1份</w:t>
            </w:r>
            <w:r>
              <w:rPr>
                <w:rFonts w:hint="eastAsia"/>
                <w:color w:val="auto"/>
                <w:highlight w:val="none"/>
                <w:lang w:val="zh-CN"/>
              </w:rPr>
              <w:t>（WORD格式</w:t>
            </w:r>
            <w:r>
              <w:rPr>
                <w:rFonts w:hint="eastAsia"/>
                <w:color w:val="auto"/>
                <w:highlight w:val="none"/>
              </w:rPr>
              <w:t>和PDF格式</w:t>
            </w:r>
            <w:r>
              <w:rPr>
                <w:rFonts w:hint="eastAsia"/>
                <w:color w:val="auto"/>
                <w:highlight w:val="none"/>
                <w:lang w:val="zh-CN"/>
              </w:rPr>
              <w:t>存储</w:t>
            </w:r>
            <w:r>
              <w:rPr>
                <w:rFonts w:hint="eastAsia"/>
                <w:color w:val="auto"/>
                <w:highlight w:val="none"/>
              </w:rPr>
              <w:t>（供应商提供与纸质响应文件正本一致的PDF格式，且盖章、签字处必须扫描并清晰可辨），采用U盘存储（需在U盘面上标注供应商简称、项目编号）。</w:t>
            </w:r>
          </w:p>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rPr>
            </w:pPr>
            <w:r>
              <w:rPr>
                <w:rFonts w:hint="eastAsia"/>
                <w:color w:val="auto"/>
                <w:highlight w:val="none"/>
              </w:rPr>
              <w:t>供应商须在响应文件正本及副本的书脊标明：项目编号及供应商名称。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25</w:t>
            </w:r>
          </w:p>
        </w:tc>
        <w:tc>
          <w:tcPr>
            <w:tcW w:w="2464" w:type="dxa"/>
            <w:vAlign w:val="center"/>
          </w:tcPr>
          <w:p>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rPr>
              <w:t>谈判截止时间</w:t>
            </w:r>
          </w:p>
        </w:tc>
        <w:tc>
          <w:tcPr>
            <w:tcW w:w="6934" w:type="dxa"/>
            <w:vAlign w:val="center"/>
          </w:tcPr>
          <w:p>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02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17</w:t>
            </w:r>
            <w:r>
              <w:rPr>
                <w:rFonts w:hint="eastAsia" w:ascii="宋体" w:hAnsi="宋体" w:cs="宋体"/>
                <w:color w:val="auto"/>
                <w:sz w:val="24"/>
                <w:highlight w:val="none"/>
                <w:lang w:val="zh-CN"/>
              </w:rPr>
              <w:t xml:space="preserve"> </w:t>
            </w:r>
            <w:r>
              <w:rPr>
                <w:rFonts w:hint="eastAsia" w:ascii="宋体" w:hAnsi="宋体" w:cs="宋体"/>
                <w:color w:val="auto"/>
                <w:sz w:val="24"/>
                <w:highlight w:val="none"/>
                <w:lang w:val="en-US" w:eastAsia="zh-CN"/>
              </w:rPr>
              <w:t>14</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26</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rPr>
              <w:t>递交谈判响应文件地点</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lang w:val="zh-CN"/>
              </w:rPr>
              <w:t>西安市雁塔区二环南路西段88号老三届世纪星大厦30层AB座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27</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rPr>
              <w:t>谈判响应</w:t>
            </w:r>
            <w:r>
              <w:rPr>
                <w:rFonts w:hint="eastAsia"/>
                <w:color w:val="auto"/>
                <w:highlight w:val="none"/>
                <w:lang w:val="zh-CN"/>
              </w:rPr>
              <w:t>文件开标后是否退还</w:t>
            </w:r>
          </w:p>
        </w:tc>
        <w:tc>
          <w:tcPr>
            <w:tcW w:w="6934" w:type="dxa"/>
            <w:vAlign w:val="center"/>
          </w:tcPr>
          <w:p>
            <w:pPr>
              <w:keepNext w:val="0"/>
              <w:keepLines w:val="0"/>
              <w:pageBreakBefore w:val="0"/>
              <w:kinsoku/>
              <w:wordWrap/>
              <w:overflowPunct/>
              <w:topLinePunct w:val="0"/>
              <w:autoSpaceDE w:val="0"/>
              <w:autoSpaceDN w:val="0"/>
              <w:bidi w:val="0"/>
              <w:adjustRightInd w:val="0"/>
              <w:snapToGrid w:val="0"/>
              <w:spacing w:line="360" w:lineRule="exact"/>
              <w:ind w:firstLine="480" w:firstLineChars="200"/>
              <w:jc w:val="left"/>
              <w:textAlignment w:val="auto"/>
              <w:rPr>
                <w:rFonts w:ascii="宋体" w:hAnsi="宋体" w:cs="宋体"/>
                <w:color w:val="auto"/>
                <w:sz w:val="24"/>
                <w:highlight w:val="none"/>
                <w:lang w:val="zh-CN"/>
              </w:rPr>
            </w:pPr>
            <w:r>
              <w:rPr>
                <w:rFonts w:hint="eastAsia" w:ascii="宋体" w:hAnsi="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38</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lang w:val="zh-CN"/>
              </w:rPr>
              <w:t>谈判时间和地点</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lang w:val="zh-CN"/>
              </w:rPr>
              <w:t>谈判时间：</w:t>
            </w:r>
            <w:r>
              <w:rPr>
                <w:rFonts w:hint="eastAsia" w:ascii="宋体" w:hAnsi="宋体" w:cs="宋体"/>
                <w:color w:val="auto"/>
                <w:sz w:val="24"/>
                <w:highlight w:val="none"/>
                <w:lang w:val="zh-CN"/>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w:t>
            </w:r>
            <w:r>
              <w:rPr>
                <w:rFonts w:hint="eastAsia" w:cs="宋体"/>
                <w:color w:val="auto"/>
                <w:sz w:val="24"/>
                <w:highlight w:val="none"/>
                <w:lang w:val="en-US" w:eastAsia="zh-CN"/>
              </w:rPr>
              <w:t>02</w:t>
            </w:r>
            <w:r>
              <w:rPr>
                <w:rFonts w:hint="eastAsia" w:ascii="宋体" w:hAnsi="宋体" w:cs="宋体"/>
                <w:color w:val="auto"/>
                <w:sz w:val="24"/>
                <w:highlight w:val="none"/>
                <w:lang w:val="zh-CN"/>
              </w:rPr>
              <w:t>-</w:t>
            </w:r>
            <w:r>
              <w:rPr>
                <w:rFonts w:hint="eastAsia" w:cs="宋体"/>
                <w:color w:val="auto"/>
                <w:sz w:val="24"/>
                <w:highlight w:val="none"/>
                <w:lang w:val="en-US" w:eastAsia="zh-CN"/>
              </w:rPr>
              <w:t>17</w:t>
            </w:r>
            <w:r>
              <w:rPr>
                <w:rFonts w:hint="eastAsia" w:ascii="宋体" w:hAnsi="宋体" w:cs="宋体"/>
                <w:color w:val="auto"/>
                <w:sz w:val="24"/>
                <w:highlight w:val="none"/>
                <w:lang w:val="zh-CN"/>
              </w:rPr>
              <w:t xml:space="preserve"> </w:t>
            </w:r>
            <w:r>
              <w:rPr>
                <w:rFonts w:hint="eastAsia" w:cs="宋体"/>
                <w:color w:val="auto"/>
                <w:sz w:val="24"/>
                <w:highlight w:val="none"/>
                <w:lang w:val="en-US" w:eastAsia="zh-CN"/>
              </w:rPr>
              <w:t>14</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val="zh-CN"/>
              </w:rPr>
              <w:t>:00</w:t>
            </w:r>
          </w:p>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rPr>
            </w:pPr>
            <w:r>
              <w:rPr>
                <w:rFonts w:hint="eastAsia"/>
                <w:color w:val="auto"/>
                <w:highlight w:val="none"/>
                <w:lang w:val="zh-CN"/>
              </w:rPr>
              <w:t>谈判地点：西安市雁塔区二环南路西段88号老三届世纪星大厦30层AB座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39</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rPr>
              <w:t>成交</w:t>
            </w:r>
            <w:r>
              <w:rPr>
                <w:rFonts w:hint="eastAsia"/>
                <w:color w:val="auto"/>
                <w:highlight w:val="none"/>
                <w:lang w:val="zh-CN"/>
              </w:rPr>
              <w:t>公告</w:t>
            </w:r>
          </w:p>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lang w:val="zh-CN"/>
              </w:rPr>
              <w:t>媒介、期限</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lang w:val="zh-CN"/>
              </w:rPr>
              <w:t>公告媒介：陕西省政府采购网</w:t>
            </w:r>
          </w:p>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lang w:val="zh-CN"/>
              </w:rPr>
              <w:t>公告期限：</w:t>
            </w:r>
            <w:r>
              <w:rPr>
                <w:rFonts w:hint="eastAsia"/>
                <w:color w:val="auto"/>
                <w:highlight w:val="none"/>
                <w:lang w:val="en-US" w:eastAsia="zh-CN"/>
              </w:rPr>
              <w:t>1</w:t>
            </w:r>
            <w:r>
              <w:rPr>
                <w:rFonts w:hint="eastAsia"/>
                <w:color w:val="auto"/>
                <w:highlight w:val="none"/>
                <w:lang w:val="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40</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lang w:val="zh-CN"/>
              </w:rPr>
              <w:t>履约保证金</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rFonts w:hint="eastAsia" w:eastAsia="宋体"/>
                <w:color w:val="auto"/>
                <w:highlight w:val="none"/>
                <w:lang w:eastAsia="zh-CN"/>
              </w:rPr>
            </w:pPr>
            <w:r>
              <w:rPr>
                <w:rFonts w:hint="eastAsia" w:ascii="宋体" w:hAnsi="宋体" w:eastAsia="宋体" w:cs="宋体"/>
                <w:color w:val="auto"/>
                <w:sz w:val="24"/>
                <w:highlight w:val="none"/>
                <w:lang w:val="en-US" w:eastAsia="zh-CN"/>
              </w:rPr>
              <w:t>人民币</w:t>
            </w:r>
            <w:r>
              <w:rPr>
                <w:rFonts w:hint="eastAsia" w:cs="宋体"/>
                <w:color w:val="auto"/>
                <w:sz w:val="24"/>
                <w:highlight w:val="none"/>
                <w:lang w:val="en-US" w:eastAsia="zh-CN"/>
              </w:rPr>
              <w:t>1</w:t>
            </w:r>
            <w:r>
              <w:rPr>
                <w:rFonts w:hint="eastAsia" w:ascii="宋体" w:hAnsi="宋体" w:eastAsia="宋体" w:cs="宋体"/>
                <w:color w:val="auto"/>
                <w:sz w:val="24"/>
                <w:highlight w:val="none"/>
                <w:lang w:val="en-US" w:eastAsia="zh-CN"/>
              </w:rPr>
              <w:t>0000.00元整（</w:t>
            </w:r>
            <w:r>
              <w:rPr>
                <w:rFonts w:hint="eastAsia" w:cs="宋体"/>
                <w:color w:val="auto"/>
                <w:sz w:val="24"/>
                <w:highlight w:val="none"/>
                <w:lang w:val="en-US" w:eastAsia="zh-CN"/>
              </w:rPr>
              <w:t>壹</w:t>
            </w:r>
            <w:r>
              <w:rPr>
                <w:rFonts w:hint="eastAsia" w:ascii="宋体" w:hAnsi="宋体" w:eastAsia="宋体" w:cs="宋体"/>
                <w:color w:val="auto"/>
                <w:sz w:val="24"/>
                <w:highlight w:val="none"/>
                <w:lang w:val="en-US" w:eastAsia="zh-CN"/>
              </w:rPr>
              <w:t>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ascii="宋体" w:hAnsi="宋体" w:eastAsia="宋体" w:cs="宋体"/>
                <w:color w:val="auto"/>
                <w:sz w:val="24"/>
                <w:szCs w:val="24"/>
                <w:highlight w:val="none"/>
                <w:lang w:val="en-US" w:eastAsia="zh-CN" w:bidi="ar-SA"/>
              </w:rPr>
            </w:pPr>
            <w:r>
              <w:rPr>
                <w:rFonts w:hint="eastAsia"/>
                <w:color w:val="auto"/>
                <w:highlight w:val="none"/>
              </w:rPr>
              <w:t>41</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rPr>
              <w:t>成交</w:t>
            </w:r>
            <w:r>
              <w:rPr>
                <w:rFonts w:hint="eastAsia"/>
                <w:color w:val="auto"/>
                <w:highlight w:val="none"/>
                <w:lang w:val="zh-CN"/>
              </w:rPr>
              <w:t>服务费</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rPr>
              <w:t>成交</w:t>
            </w:r>
            <w:r>
              <w:rPr>
                <w:rFonts w:hint="eastAsia"/>
                <w:color w:val="auto"/>
                <w:highlight w:val="none"/>
                <w:lang w:val="zh-CN"/>
              </w:rPr>
              <w:t>服务费</w:t>
            </w:r>
            <w:r>
              <w:rPr>
                <w:rFonts w:hint="eastAsia"/>
                <w:color w:val="auto"/>
                <w:highlight w:val="none"/>
              </w:rPr>
              <w:t>由成交供应商支付，</w:t>
            </w:r>
            <w:r>
              <w:rPr>
                <w:rFonts w:hint="eastAsia"/>
                <w:color w:val="auto"/>
                <w:highlight w:val="none"/>
                <w:lang w:val="zh-CN"/>
              </w:rPr>
              <w:t>参考《国家计委关于印发〈招标代理服务</w:t>
            </w:r>
            <w:r>
              <w:rPr>
                <w:rFonts w:hint="eastAsia"/>
                <w:color w:val="auto"/>
                <w:highlight w:val="none"/>
              </w:rPr>
              <w:t>收</w:t>
            </w:r>
            <w:r>
              <w:rPr>
                <w:rFonts w:hint="eastAsia"/>
                <w:color w:val="auto"/>
                <w:highlight w:val="none"/>
                <w:lang w:val="zh-CN"/>
              </w:rPr>
              <w:t>费管理暂行办法〉的通知》（计价格〔200</w:t>
            </w:r>
            <w:r>
              <w:rPr>
                <w:rFonts w:hint="eastAsia"/>
                <w:color w:val="auto"/>
                <w:highlight w:val="none"/>
              </w:rPr>
              <w:t>2</w:t>
            </w:r>
            <w:r>
              <w:rPr>
                <w:rFonts w:hint="eastAsia"/>
                <w:color w:val="auto"/>
                <w:highlight w:val="none"/>
                <w:lang w:val="zh-CN"/>
              </w:rPr>
              <w:t>〕1980号）、《国家发展和改革委员会办公厅关于招标代理服务收费有关问题的通知》（发改办价格〔2003〕857号）规定，</w:t>
            </w:r>
            <w:r>
              <w:rPr>
                <w:rFonts w:hint="eastAsia"/>
                <w:color w:val="auto"/>
                <w:highlight w:val="none"/>
              </w:rPr>
              <w:t>具体收费金额将在结果公告中公布。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tblHeader/>
          <w:jc w:val="center"/>
        </w:trPr>
        <w:tc>
          <w:tcPr>
            <w:tcW w:w="681" w:type="dxa"/>
            <w:vAlign w:val="center"/>
          </w:tcPr>
          <w:p>
            <w:pPr>
              <w:pStyle w:val="133"/>
              <w:keepNext w:val="0"/>
              <w:keepLines w:val="0"/>
              <w:pageBreakBefore w:val="0"/>
              <w:kinsoku/>
              <w:wordWrap/>
              <w:overflowPunct/>
              <w:topLinePunct w:val="0"/>
              <w:bidi w:val="0"/>
              <w:spacing w:line="360" w:lineRule="exact"/>
              <w:jc w:val="center"/>
              <w:textAlignment w:val="auto"/>
              <w:rPr>
                <w:rFonts w:hint="default" w:eastAsia="宋体"/>
                <w:color w:val="auto"/>
                <w:highlight w:val="none"/>
                <w:lang w:val="en-US" w:eastAsia="zh-CN"/>
              </w:rPr>
            </w:pPr>
            <w:r>
              <w:rPr>
                <w:rFonts w:hint="eastAsia"/>
                <w:color w:val="auto"/>
                <w:highlight w:val="none"/>
                <w:lang w:val="en-US" w:eastAsia="zh-CN"/>
              </w:rPr>
              <w:t>42</w:t>
            </w:r>
          </w:p>
        </w:tc>
        <w:tc>
          <w:tcPr>
            <w:tcW w:w="2464" w:type="dxa"/>
            <w:vAlign w:val="center"/>
          </w:tcPr>
          <w:p>
            <w:pPr>
              <w:pStyle w:val="133"/>
              <w:keepNext w:val="0"/>
              <w:keepLines w:val="0"/>
              <w:pageBreakBefore w:val="0"/>
              <w:kinsoku/>
              <w:wordWrap/>
              <w:overflowPunct/>
              <w:topLinePunct w:val="0"/>
              <w:bidi w:val="0"/>
              <w:snapToGrid w:val="0"/>
              <w:spacing w:line="360" w:lineRule="exact"/>
              <w:jc w:val="center"/>
              <w:textAlignment w:val="auto"/>
              <w:rPr>
                <w:color w:val="auto"/>
                <w:highlight w:val="none"/>
                <w:lang w:val="zh-CN"/>
              </w:rPr>
            </w:pPr>
            <w:r>
              <w:rPr>
                <w:rFonts w:hint="eastAsia"/>
                <w:color w:val="auto"/>
                <w:highlight w:val="none"/>
                <w:lang w:val="zh-CN"/>
              </w:rPr>
              <w:t>其他</w:t>
            </w:r>
          </w:p>
        </w:tc>
        <w:tc>
          <w:tcPr>
            <w:tcW w:w="6934" w:type="dxa"/>
            <w:vAlign w:val="center"/>
          </w:tcPr>
          <w:p>
            <w:pPr>
              <w:pStyle w:val="133"/>
              <w:keepNext w:val="0"/>
              <w:keepLines w:val="0"/>
              <w:pageBreakBefore w:val="0"/>
              <w:kinsoku/>
              <w:wordWrap/>
              <w:overflowPunct/>
              <w:topLinePunct w:val="0"/>
              <w:bidi w:val="0"/>
              <w:snapToGrid w:val="0"/>
              <w:spacing w:line="360" w:lineRule="exact"/>
              <w:ind w:firstLine="480" w:firstLineChars="200"/>
              <w:textAlignment w:val="auto"/>
              <w:rPr>
                <w:color w:val="auto"/>
                <w:highlight w:val="none"/>
                <w:lang w:val="zh-CN"/>
              </w:rPr>
            </w:pPr>
            <w:r>
              <w:rPr>
                <w:rFonts w:hint="eastAsia"/>
                <w:color w:val="auto"/>
                <w:highlight w:val="none"/>
              </w:rPr>
              <w:t>谈判</w:t>
            </w:r>
            <w:r>
              <w:rPr>
                <w:rFonts w:hint="eastAsia"/>
                <w:color w:val="auto"/>
                <w:highlight w:val="none"/>
                <w:lang w:val="zh-CN"/>
              </w:rPr>
              <w:t>文件正文与</w:t>
            </w:r>
            <w:r>
              <w:rPr>
                <w:rFonts w:hint="eastAsia"/>
                <w:color w:val="auto"/>
                <w:highlight w:val="none"/>
              </w:rPr>
              <w:t>供应商</w:t>
            </w:r>
            <w:r>
              <w:rPr>
                <w:rFonts w:hint="eastAsia"/>
                <w:color w:val="auto"/>
                <w:highlight w:val="none"/>
                <w:lang w:val="zh-CN"/>
              </w:rPr>
              <w:t>须知前附表表述不一致时，以</w:t>
            </w:r>
            <w:r>
              <w:rPr>
                <w:rFonts w:hint="eastAsia"/>
                <w:color w:val="auto"/>
                <w:highlight w:val="none"/>
              </w:rPr>
              <w:t>供应商</w:t>
            </w:r>
            <w:r>
              <w:rPr>
                <w:rFonts w:hint="eastAsia"/>
                <w:color w:val="auto"/>
                <w:highlight w:val="none"/>
                <w:lang w:val="zh-CN"/>
              </w:rPr>
              <w:t>须知前附表为准。</w:t>
            </w:r>
          </w:p>
        </w:tc>
      </w:tr>
    </w:tbl>
    <w:p>
      <w:pPr>
        <w:pStyle w:val="3"/>
        <w:spacing w:line="240" w:lineRule="auto"/>
        <w:jc w:val="center"/>
        <w:rPr>
          <w:rFonts w:ascii="宋体" w:hAnsi="宋体" w:cs="宋体"/>
          <w:color w:val="auto"/>
          <w:highlight w:val="none"/>
        </w:rPr>
      </w:pPr>
      <w:r>
        <w:rPr>
          <w:rFonts w:hint="eastAsia" w:ascii="宋体" w:hAnsi="宋体" w:cs="宋体"/>
          <w:color w:val="auto"/>
          <w:sz w:val="44"/>
          <w:szCs w:val="44"/>
          <w:highlight w:val="none"/>
        </w:rPr>
        <w:br w:type="page"/>
      </w:r>
      <w:bookmarkStart w:id="26" w:name="_Toc2762"/>
      <w:r>
        <w:rPr>
          <w:rFonts w:hint="eastAsia" w:ascii="宋体" w:hAnsi="宋体" w:cs="宋体"/>
          <w:color w:val="auto"/>
          <w:sz w:val="44"/>
          <w:szCs w:val="44"/>
          <w:highlight w:val="none"/>
        </w:rPr>
        <w:t>第三章 供应商须知</w:t>
      </w:r>
      <w:bookmarkEnd w:id="26"/>
    </w:p>
    <w:p>
      <w:pPr>
        <w:pStyle w:val="4"/>
        <w:adjustRightInd w:val="0"/>
        <w:snapToGrid w:val="0"/>
        <w:spacing w:before="120" w:beforeLines="50" w:after="120" w:afterLines="50" w:line="360" w:lineRule="auto"/>
        <w:rPr>
          <w:rFonts w:ascii="宋体" w:hAnsi="宋体" w:eastAsia="宋体" w:cs="宋体"/>
          <w:color w:val="auto"/>
          <w:szCs w:val="28"/>
          <w:highlight w:val="none"/>
        </w:rPr>
      </w:pPr>
      <w:bookmarkStart w:id="27" w:name="_Toc16012"/>
      <w:bookmarkStart w:id="28" w:name="_Toc531253632"/>
      <w:r>
        <w:rPr>
          <w:rFonts w:hint="eastAsia" w:ascii="宋体" w:hAnsi="宋体" w:eastAsia="宋体" w:cs="宋体"/>
          <w:color w:val="auto"/>
          <w:szCs w:val="28"/>
          <w:highlight w:val="none"/>
        </w:rPr>
        <w:t>一、总  则</w:t>
      </w:r>
      <w:bookmarkEnd w:id="11"/>
      <w:bookmarkEnd w:id="12"/>
      <w:bookmarkEnd w:id="13"/>
      <w:bookmarkEnd w:id="14"/>
      <w:bookmarkEnd w:id="15"/>
      <w:bookmarkEnd w:id="27"/>
      <w:bookmarkEnd w:id="28"/>
      <w:bookmarkStart w:id="29" w:name="_Toc183582205"/>
      <w:bookmarkStart w:id="30" w:name="_Toc183682342"/>
      <w:bookmarkStart w:id="31" w:name="_Toc217446034"/>
    </w:p>
    <w:p>
      <w:pPr>
        <w:pStyle w:val="5"/>
        <w:adjustRightInd w:val="0"/>
        <w:snapToGrid w:val="0"/>
        <w:spacing w:before="120" w:beforeLines="50" w:after="120" w:afterLines="50" w:line="360" w:lineRule="auto"/>
        <w:rPr>
          <w:rFonts w:ascii="宋体" w:hAnsi="宋体" w:cs="宋体"/>
          <w:color w:val="auto"/>
          <w:highlight w:val="none"/>
        </w:rPr>
      </w:pPr>
      <w:bookmarkStart w:id="32" w:name="_Toc531253633"/>
      <w:r>
        <w:rPr>
          <w:rFonts w:hint="eastAsia" w:ascii="宋体" w:hAnsi="宋体" w:cs="宋体"/>
          <w:color w:val="auto"/>
          <w:highlight w:val="none"/>
        </w:rPr>
        <w:t>1.</w:t>
      </w:r>
      <w:bookmarkEnd w:id="29"/>
      <w:bookmarkEnd w:id="30"/>
      <w:r>
        <w:rPr>
          <w:rFonts w:hint="eastAsia" w:ascii="宋体" w:hAnsi="宋体" w:cs="宋体"/>
          <w:color w:val="auto"/>
          <w:highlight w:val="none"/>
        </w:rPr>
        <w:t>适用范围</w:t>
      </w:r>
      <w:bookmarkEnd w:id="31"/>
      <w:bookmarkEnd w:id="32"/>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1.1本谈判文件仅适用于本次竞争性谈判（以下简称谈判）所叙述的货物或服务项目采购活动。</w:t>
      </w:r>
      <w:bookmarkStart w:id="33" w:name="_Toc217446035"/>
      <w:bookmarkStart w:id="34" w:name="_Toc183582206"/>
      <w:bookmarkStart w:id="35" w:name="_Toc183682343"/>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1.2供应商须知前附表规定专门面向中小企业采购的，仅适用中小微企业、监狱企业和残疾人福利性单位参加投标的采购活动。</w:t>
      </w:r>
    </w:p>
    <w:p>
      <w:pPr>
        <w:pStyle w:val="5"/>
        <w:spacing w:before="120" w:beforeLines="50" w:after="120" w:afterLines="50" w:line="360" w:lineRule="auto"/>
        <w:rPr>
          <w:rFonts w:ascii="宋体" w:hAnsi="宋体" w:cs="宋体"/>
          <w:b w:val="0"/>
          <w:color w:val="auto"/>
          <w:sz w:val="24"/>
          <w:highlight w:val="none"/>
        </w:rPr>
      </w:pPr>
      <w:r>
        <w:rPr>
          <w:rFonts w:hint="eastAsia" w:ascii="宋体" w:hAnsi="宋体" w:cs="宋体"/>
          <w:color w:val="auto"/>
          <w:highlight w:val="none"/>
        </w:rPr>
        <w:t>2.</w:t>
      </w:r>
      <w:bookmarkEnd w:id="33"/>
      <w:bookmarkEnd w:id="34"/>
      <w:bookmarkEnd w:id="35"/>
      <w:r>
        <w:rPr>
          <w:rFonts w:hint="eastAsia" w:ascii="宋体" w:hAnsi="宋体" w:cs="宋体"/>
          <w:color w:val="auto"/>
          <w:highlight w:val="none"/>
        </w:rPr>
        <w:t>名词解释</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bookmarkStart w:id="36" w:name="_Toc183582207"/>
      <w:bookmarkStart w:id="37" w:name="_Toc217390843"/>
      <w:bookmarkStart w:id="38" w:name="_Toc183682344"/>
      <w:bookmarkStart w:id="39" w:name="_Toc217446036"/>
      <w:r>
        <w:rPr>
          <w:rFonts w:hint="eastAsia" w:ascii="宋体" w:hAnsi="宋体" w:cs="宋体"/>
          <w:color w:val="auto"/>
          <w:sz w:val="24"/>
          <w:highlight w:val="none"/>
        </w:rPr>
        <w:t>2.1采购人：</w:t>
      </w:r>
      <w:r>
        <w:rPr>
          <w:rFonts w:hint="eastAsia" w:ascii="宋体" w:hAnsi="宋体" w:cs="宋体"/>
          <w:color w:val="auto"/>
          <w:sz w:val="24"/>
          <w:highlight w:val="none"/>
          <w:lang w:eastAsia="zh-CN"/>
        </w:rPr>
        <w:t>西安商贸旅游技师学院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2.2监督机构：西安市财政局</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2.3采购代理机构：陕西明正招标有限公司</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2.4供应商：是指响应竞争性谈判文件（以下简称谈判文件），参加谈判竞争的法人或其他组织或个人。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2.5货物是指本谈判文件中第五章所述所有货物。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2.6服务是指人为满足谈判文件要求而提供的服务。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2.7节能产品或者环境标志产品是指符合财政部发布的《财政部发展改革委生态环境部 市场监管总局关于调整优化节能产品 环境标志产品政府采购执行机制的通知》（财库〔2019〕9号）文件要求采购清单中的产品。（如有）</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2.8进口产品是指通过中国海关报关验放进入中国境内且产自关境外的产品，详见《关于政府采购进口产品管理有关问题的通知》(财库[2007]119号)。</w:t>
      </w:r>
      <w:r>
        <w:rPr>
          <w:rFonts w:hint="eastAsia" w:ascii="宋体" w:hAnsi="宋体" w:cs="宋体"/>
          <w:color w:val="auto"/>
          <w:sz w:val="24"/>
          <w:highlight w:val="none"/>
        </w:rPr>
        <w:t>（如有）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中小企业是指满足财政部、工业和信息化部关于印发《政府采购促进中小企业发展管理办法》的通知--财库〔2020〕46号)文件规定，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2.11残疾人福利性单位是指符合《民政部 财政部 中国残疾人联合会关于促进残疾人就业政府采购政策的通知》（财库〔2017〕141号）规定的对残疾人福利性单位的划分标准的企业。</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3.合格的</w:t>
      </w:r>
      <w:bookmarkEnd w:id="36"/>
      <w:bookmarkEnd w:id="37"/>
      <w:bookmarkEnd w:id="38"/>
      <w:bookmarkEnd w:id="39"/>
      <w:r>
        <w:rPr>
          <w:rFonts w:hint="eastAsia" w:ascii="宋体" w:hAnsi="宋体" w:cs="宋体"/>
          <w:color w:val="auto"/>
          <w:highlight w:val="none"/>
        </w:rPr>
        <w:t>供应商</w:t>
      </w:r>
    </w:p>
    <w:p>
      <w:pPr>
        <w:tabs>
          <w:tab w:val="left" w:pos="7665"/>
        </w:tabs>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3.1合格的供应商应具备以下条件：</w:t>
      </w:r>
    </w:p>
    <w:p>
      <w:pPr>
        <w:tabs>
          <w:tab w:val="left" w:pos="7665"/>
        </w:tabs>
        <w:spacing w:line="360" w:lineRule="auto"/>
        <w:ind w:firstLine="480" w:firstLineChars="200"/>
        <w:rPr>
          <w:rFonts w:ascii="宋体" w:hAnsi="宋体" w:cs="宋体"/>
          <w:color w:val="auto"/>
          <w:spacing w:val="-4"/>
          <w:sz w:val="24"/>
          <w:highlight w:val="none"/>
        </w:rPr>
      </w:pPr>
      <w:r>
        <w:rPr>
          <w:rFonts w:hint="eastAsia" w:ascii="宋体" w:hAnsi="宋体" w:cs="宋体"/>
          <w:color w:val="auto"/>
          <w:sz w:val="24"/>
          <w:highlight w:val="none"/>
        </w:rPr>
        <w:t>（1）具备且满足“竞争性谈判公告”要求的</w:t>
      </w:r>
      <w:r>
        <w:rPr>
          <w:rFonts w:hint="eastAsia" w:ascii="宋体" w:hAnsi="宋体" w:cs="宋体"/>
          <w:color w:val="auto"/>
          <w:spacing w:val="-4"/>
          <w:sz w:val="24"/>
          <w:highlight w:val="none"/>
        </w:rPr>
        <w:t>；</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（2）向采购代理机构领取了谈判文件并登记备案；</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（3）遵守国家、陕西省、西安市有关的法律、法规和规范性文件要求；</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（4）谈判文件和法律、行政法规规定的其他条件。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3.2限制投标要求：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（l）与采购人、采购代理机构存在</w:t>
      </w:r>
      <w:r>
        <w:rPr>
          <w:rFonts w:hint="eastAsia" w:ascii="宋体" w:hAnsi="宋体" w:cs="宋体"/>
          <w:bCs/>
          <w:color w:val="auto"/>
          <w:sz w:val="24"/>
          <w:highlight w:val="none"/>
        </w:rPr>
        <w:t>隶属关系或者其他利害关系；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（2）与其他人的法定代表人（或者负责人）为同一人，或者与其他人存在控股、关联关系；</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（3）除单一来源采购项目外，为采购项目提供过整体设计、规范编制或者项目管理、监理、检测等服务的供应商，不得再参加同一项目的其他采购活动</w:t>
      </w:r>
      <w:r>
        <w:rPr>
          <w:rFonts w:hint="eastAsia" w:ascii="宋体" w:hAnsi="宋体" w:cs="宋体"/>
          <w:bCs/>
          <w:color w:val="auto"/>
          <w:sz w:val="24"/>
          <w:highlight w:val="none"/>
        </w:rPr>
        <w:t>；</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（4）因违法经营受到刑事处罚；</w:t>
      </w:r>
    </w:p>
    <w:p>
      <w:pPr>
        <w:adjustRightInd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（5）被责令停产停业、暂扣或者吊销许可证、暂扣或者吊销执照的行政处罚；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（6）在一至三年内禁止参加政府采购活动或存在</w:t>
      </w:r>
      <w:r>
        <w:rPr>
          <w:rFonts w:hint="eastAsia" w:ascii="宋体" w:hAnsi="宋体" w:cs="宋体"/>
          <w:color w:val="auto"/>
          <w:sz w:val="24"/>
          <w:highlight w:val="none"/>
        </w:rPr>
        <w:t>财政部门认定的其他重大违法记录。</w:t>
      </w:r>
    </w:p>
    <w:p>
      <w:pPr>
        <w:pStyle w:val="5"/>
        <w:spacing w:line="360" w:lineRule="auto"/>
        <w:rPr>
          <w:rFonts w:ascii="宋体" w:hAnsi="宋体" w:cs="宋体"/>
          <w:color w:val="auto"/>
          <w:highlight w:val="none"/>
        </w:rPr>
      </w:pPr>
      <w:bookmarkStart w:id="40" w:name="_Toc217446047"/>
      <w:bookmarkStart w:id="41" w:name="_Toc217446037"/>
      <w:bookmarkStart w:id="42" w:name="_Toc183682345"/>
      <w:bookmarkStart w:id="43" w:name="_Toc183582208"/>
      <w:r>
        <w:rPr>
          <w:rFonts w:hint="eastAsia" w:ascii="宋体" w:hAnsi="宋体" w:cs="宋体"/>
          <w:color w:val="auto"/>
          <w:highlight w:val="none"/>
        </w:rPr>
        <w:t>4.合格的货物（产品）和服务</w:t>
      </w:r>
    </w:p>
    <w:p>
      <w:pPr>
        <w:tabs>
          <w:tab w:val="left" w:pos="747"/>
        </w:tabs>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4.1</w:t>
      </w:r>
      <w:r>
        <w:rPr>
          <w:rFonts w:hint="eastAsia" w:ascii="宋体" w:hAnsi="宋体" w:cs="宋体"/>
          <w:color w:val="auto"/>
          <w:sz w:val="24"/>
          <w:highlight w:val="none"/>
        </w:rPr>
        <w:t>供应商提供的所有货物和服务，必须是合法生产、合法来源，符合国家有关标准要求。</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4.2采购人有权拒绝接受任何不合格的货物和服务，由此产生的费用及相关后果均由供应商自行承担。</w:t>
      </w:r>
    </w:p>
    <w:p>
      <w:pPr>
        <w:adjustRightInd w:val="0"/>
        <w:snapToGrid w:val="0"/>
        <w:spacing w:line="360" w:lineRule="auto"/>
        <w:outlineLvl w:val="2"/>
        <w:rPr>
          <w:rFonts w:ascii="宋体" w:hAnsi="宋体" w:cs="宋体"/>
          <w:b/>
          <w:color w:val="auto"/>
          <w:sz w:val="32"/>
          <w:szCs w:val="20"/>
          <w:highlight w:val="none"/>
        </w:rPr>
      </w:pPr>
      <w:r>
        <w:rPr>
          <w:rFonts w:hint="eastAsia" w:ascii="宋体" w:hAnsi="宋体" w:cs="宋体"/>
          <w:b/>
          <w:color w:val="auto"/>
          <w:sz w:val="32"/>
          <w:szCs w:val="20"/>
          <w:highlight w:val="none"/>
        </w:rPr>
        <w:t>5.知识产权</w:t>
      </w:r>
      <w:bookmarkEnd w:id="40"/>
    </w:p>
    <w:p>
      <w:pPr>
        <w:pStyle w:val="16"/>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6"/>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5.2采购人享有本项目实施过程中产生的知识成果及知识产权。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5.3供应商如欲在项目实施过程中采用自有知识成果，需在谈判响应文件中声明，并提供相关知识产权证明文件。使用该知识成果后，并承诺提供无限期技术支持，采购人享有永久使用权。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5.4如采用供应商所不拥有的知识产权，则在谈判报价中必须包括合法获取该知识产权的相关费用。</w:t>
      </w:r>
    </w:p>
    <w:p>
      <w:pPr>
        <w:pStyle w:val="5"/>
        <w:spacing w:line="360" w:lineRule="auto"/>
        <w:rPr>
          <w:rFonts w:ascii="宋体" w:hAnsi="宋体" w:cs="宋体"/>
          <w:color w:val="auto"/>
          <w:highlight w:val="none"/>
        </w:rPr>
      </w:pPr>
      <w:r>
        <w:rPr>
          <w:rFonts w:hint="eastAsia" w:ascii="宋体" w:hAnsi="宋体" w:cs="宋体"/>
          <w:color w:val="auto"/>
          <w:highlight w:val="none"/>
        </w:rPr>
        <w:t>6.谈判费用</w:t>
      </w:r>
      <w:bookmarkEnd w:id="41"/>
      <w:bookmarkEnd w:id="42"/>
      <w:bookmarkEnd w:id="4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不论谈判结果如何，供应商准备和参加谈判活动的费用自理。</w:t>
      </w:r>
      <w:bookmarkStart w:id="44" w:name="_Toc89075875"/>
      <w:bookmarkStart w:id="45" w:name="_Toc183582209"/>
      <w:bookmarkStart w:id="46" w:name="_Toc217446038"/>
      <w:bookmarkStart w:id="47" w:name="_Toc183682346"/>
      <w:bookmarkStart w:id="48" w:name="_Toc77400779"/>
    </w:p>
    <w:p>
      <w:pPr>
        <w:pStyle w:val="4"/>
        <w:spacing w:before="240" w:beforeLines="100" w:after="240" w:afterLines="100" w:line="360" w:lineRule="auto"/>
        <w:rPr>
          <w:rFonts w:ascii="宋体" w:hAnsi="宋体" w:eastAsia="宋体" w:cs="宋体"/>
          <w:color w:val="auto"/>
          <w:szCs w:val="28"/>
          <w:highlight w:val="none"/>
        </w:rPr>
      </w:pPr>
      <w:bookmarkStart w:id="49" w:name="_Toc15539"/>
      <w:r>
        <w:rPr>
          <w:rFonts w:hint="eastAsia" w:ascii="宋体" w:hAnsi="宋体" w:eastAsia="宋体" w:cs="宋体"/>
          <w:color w:val="auto"/>
          <w:szCs w:val="28"/>
          <w:highlight w:val="none"/>
        </w:rPr>
        <w:t>二、</w:t>
      </w:r>
      <w:bookmarkEnd w:id="44"/>
      <w:bookmarkEnd w:id="45"/>
      <w:bookmarkEnd w:id="46"/>
      <w:bookmarkEnd w:id="47"/>
      <w:bookmarkEnd w:id="48"/>
      <w:bookmarkStart w:id="50" w:name="_Toc217446039"/>
      <w:bookmarkStart w:id="51" w:name="_Toc183582210"/>
      <w:bookmarkStart w:id="52" w:name="_Toc183682347"/>
      <w:r>
        <w:rPr>
          <w:rFonts w:hint="eastAsia" w:ascii="宋体" w:hAnsi="宋体" w:eastAsia="宋体" w:cs="宋体"/>
          <w:color w:val="auto"/>
          <w:szCs w:val="28"/>
          <w:highlight w:val="none"/>
        </w:rPr>
        <w:t>谈判文件</w:t>
      </w:r>
      <w:bookmarkEnd w:id="49"/>
    </w:p>
    <w:p>
      <w:pPr>
        <w:pStyle w:val="5"/>
        <w:spacing w:before="0" w:after="0" w:line="360" w:lineRule="auto"/>
        <w:rPr>
          <w:rFonts w:ascii="宋体" w:hAnsi="宋体" w:cs="宋体"/>
          <w:color w:val="auto"/>
          <w:highlight w:val="none"/>
        </w:rPr>
      </w:pPr>
      <w:r>
        <w:rPr>
          <w:rFonts w:hint="eastAsia" w:ascii="宋体" w:hAnsi="宋体" w:cs="宋体"/>
          <w:color w:val="auto"/>
          <w:highlight w:val="none"/>
        </w:rPr>
        <w:t>7.谈判文件的</w:t>
      </w:r>
      <w:bookmarkEnd w:id="50"/>
      <w:bookmarkEnd w:id="51"/>
      <w:bookmarkEnd w:id="52"/>
      <w:r>
        <w:rPr>
          <w:rFonts w:hint="eastAsia" w:ascii="宋体" w:hAnsi="宋体" w:cs="宋体"/>
          <w:color w:val="auto"/>
          <w:highlight w:val="none"/>
        </w:rPr>
        <w:t>组成</w:t>
      </w:r>
    </w:p>
    <w:p>
      <w:pPr>
        <w:tabs>
          <w:tab w:val="left" w:pos="7665"/>
        </w:tabs>
        <w:spacing w:before="120" w:before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
          <w:bCs/>
          <w:color w:val="auto"/>
          <w:sz w:val="24"/>
          <w:highlight w:val="none"/>
        </w:rPr>
        <w:t>.</w:t>
      </w:r>
      <w:r>
        <w:rPr>
          <w:rFonts w:hint="eastAsia" w:ascii="宋体" w:hAnsi="宋体" w:cs="宋体"/>
          <w:color w:val="auto"/>
          <w:sz w:val="24"/>
          <w:highlight w:val="none"/>
        </w:rPr>
        <w:t>1谈判文件用以阐明招标项目所需的资质、技术服务及报价等要求、竞争性谈判程序、有关规定和注意事项以及合同主要条款等。本谈判文件包括以下内容：</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（1）采购邀请（竞争性谈判公告）；</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（2）供应商须知前附表；</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（3）供应商须知；</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（4）评审程序和评审办法；</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（5）采购需求；</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（6）拟签订的合同文本；</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（7）谈判响应文件格式；</w:t>
      </w:r>
    </w:p>
    <w:p>
      <w:pPr>
        <w:pStyle w:val="5"/>
        <w:spacing w:before="120" w:beforeLines="50" w:after="120" w:afterLines="50" w:line="360" w:lineRule="auto"/>
        <w:rPr>
          <w:rFonts w:ascii="宋体" w:hAnsi="宋体" w:cs="宋体"/>
          <w:color w:val="auto"/>
          <w:highlight w:val="none"/>
        </w:rPr>
      </w:pPr>
      <w:bookmarkStart w:id="53" w:name="_Toc183582211"/>
      <w:bookmarkStart w:id="54" w:name="_Toc183682348"/>
      <w:bookmarkStart w:id="55" w:name="_Toc217446040"/>
      <w:r>
        <w:rPr>
          <w:rFonts w:hint="eastAsia" w:ascii="宋体" w:hAnsi="宋体" w:cs="宋体"/>
          <w:color w:val="auto"/>
          <w:highlight w:val="none"/>
        </w:rPr>
        <w:t>8.谈判文件的澄清</w:t>
      </w:r>
      <w:bookmarkEnd w:id="53"/>
      <w:bookmarkEnd w:id="54"/>
      <w:r>
        <w:rPr>
          <w:rFonts w:hint="eastAsia" w:ascii="宋体" w:hAnsi="宋体" w:cs="宋体"/>
          <w:color w:val="auto"/>
          <w:highlight w:val="none"/>
        </w:rPr>
        <w:t>和修改</w:t>
      </w:r>
      <w:bookmarkEnd w:id="55"/>
    </w:p>
    <w:p>
      <w:pPr>
        <w:tabs>
          <w:tab w:val="left" w:pos="7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在谈判截止时间前，采购代理机构无论出于何种原因，可以对已发出谈判文件进行必要的澄清或者修改，但不得修改采购标的和资格条件。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采购人或采购代理机构对已发出的谈判文件进行必要的澄清或者修改，澄清或修改的内容可能影响谈判响应文件编制的，应当在谈判响应文件截止时间3日前，以书面形式将澄清或者修改的内容通知所有获取谈判文件的潜在供应商，同时在原信息发布媒体上发布澄清公告。供应商在收到上述通知后，应立即以书面形式向采购代理机构确认。如果澄清或者修改发出的时间距规定的谈判截止时间不足3日，将相应顺延谈判截止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8.3供应商应仔细阅读和检查谈判文件的全部内容。如发现缺页或附件不全，应及时向采购代理机构提出，以便补齐。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8.4应商对谈判文件有询问或者质疑的，应在获取采购文件之日起七个工作日内，以书面形式向采购代理机构提出，在此之后提出的询问和质疑均为无效，采购代理机构不予受理。对于在规定时间内收到的供应商依法提出的询问或者质疑，采购代理机构将按程序在3个工作日内书面答复询问，七个工作日内书面答复质疑，或认为有必要召开答疑会。超过该时间收到的需要询问或质疑，采购代理机构有权不予答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8.5在谈判截止时间前，采购代理机构可以视采购具体情况，延长谈判截止时间和谈判时间，并在谈判文件要求提交谈判响应文件的截止时间前，将变更时间以书面形式通知所有获取谈判文件的潜在供应商，同时在原信息发布媒体上发布变更公告。</w:t>
      </w:r>
      <w:bookmarkStart w:id="56" w:name="_Toc183682350"/>
      <w:bookmarkStart w:id="57" w:name="_Toc183582213"/>
      <w:bookmarkStart w:id="58" w:name="_Toc217446041"/>
      <w:bookmarkStart w:id="59" w:name="_Toc20884897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8.6 谈判文件澄清、答复、修改或补充的内容为谈判文件的组成部分。当谈判文件澄清、答复、修改或补充通知就同一内容表述不一致时，以最后发出的书面文件内容为准。</w:t>
      </w:r>
    </w:p>
    <w:bookmarkEnd w:id="56"/>
    <w:bookmarkEnd w:id="57"/>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9.答疑会</w:t>
      </w:r>
      <w:bookmarkEnd w:id="58"/>
      <w:bookmarkEnd w:id="5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根据采购项目和具体情况，采购代理机构认为有必要，可以组织召开谈判前答疑会或组织供应商对项目现场进行考察。答疑会或进行现场考察的时间，采购代理机构将以书面形式通知所有领取了谈判文件的供应商。</w:t>
      </w:r>
    </w:p>
    <w:p>
      <w:pPr>
        <w:adjustRightInd w:val="0"/>
        <w:snapToGrid w:val="0"/>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9.2 答疑会或现场考察后，采购人或采购代理机构对供应商所提问题的澄清（答复）以书面形式通知所有领取了谈判文件的供应商。该澄清内容为谈判文件的组成部分。</w:t>
      </w:r>
    </w:p>
    <w:p>
      <w:pPr>
        <w:adjustRightInd w:val="0"/>
        <w:snapToGrid w:val="0"/>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9.3 采购人不对供应商现场考察而做出的推论、理解和结论负责。一旦成交，成交供应商不得以任何借口，提出额外补偿，或延长合同期限的要求。</w:t>
      </w:r>
    </w:p>
    <w:p>
      <w:pPr>
        <w:adjustRightInd w:val="0"/>
        <w:snapToGrid w:val="0"/>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9.4 答疑或考察现场所发生的一切费用由供应商自行承担。</w:t>
      </w:r>
    </w:p>
    <w:p>
      <w:pPr>
        <w:adjustRightInd w:val="0"/>
        <w:snapToGrid w:val="0"/>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9.5本项目是否组织答疑会以供应商须知前附表中内容为准。</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10.谈判文件的解释权</w:t>
      </w:r>
    </w:p>
    <w:p>
      <w:pPr>
        <w:pStyle w:val="2"/>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谈判文件的解释权归采购代理机构，如发现谈判文件内容与现行法律法规不相符的情况，以现行法律法规为准。</w:t>
      </w:r>
      <w:bookmarkStart w:id="60" w:name="_Toc217446042"/>
      <w:bookmarkStart w:id="61" w:name="_Toc77400780"/>
      <w:bookmarkStart w:id="62" w:name="_Toc89075876"/>
      <w:bookmarkStart w:id="63" w:name="_Toc183582214"/>
      <w:bookmarkStart w:id="64" w:name="_Toc183682351"/>
    </w:p>
    <w:p>
      <w:pPr>
        <w:pStyle w:val="4"/>
        <w:spacing w:before="120" w:beforeLines="50" w:after="120" w:afterLines="50" w:line="360" w:lineRule="auto"/>
        <w:rPr>
          <w:rFonts w:ascii="宋体" w:hAnsi="宋体" w:eastAsia="宋体" w:cs="宋体"/>
          <w:bCs/>
          <w:color w:val="auto"/>
          <w:highlight w:val="none"/>
        </w:rPr>
      </w:pPr>
      <w:bookmarkStart w:id="65" w:name="_Toc18411"/>
      <w:r>
        <w:rPr>
          <w:rFonts w:hint="eastAsia" w:ascii="宋体" w:hAnsi="宋体" w:eastAsia="宋体" w:cs="宋体"/>
          <w:bCs/>
          <w:color w:val="auto"/>
          <w:highlight w:val="none"/>
        </w:rPr>
        <w:t>三、供应商</w:t>
      </w:r>
      <w:bookmarkEnd w:id="65"/>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11.</w:t>
      </w:r>
      <w:bookmarkEnd w:id="60"/>
      <w:bookmarkEnd w:id="61"/>
      <w:bookmarkEnd w:id="62"/>
      <w:bookmarkEnd w:id="63"/>
      <w:bookmarkEnd w:id="64"/>
      <w:bookmarkStart w:id="66" w:name="_Toc183682352"/>
      <w:bookmarkStart w:id="67" w:name="_Toc183582215"/>
      <w:bookmarkStart w:id="68" w:name="_Toc217446043"/>
      <w:r>
        <w:rPr>
          <w:rFonts w:hint="eastAsia" w:ascii="宋体" w:hAnsi="宋体" w:cs="宋体"/>
          <w:color w:val="auto"/>
          <w:highlight w:val="none"/>
        </w:rPr>
        <w:t>供应商资格要求</w:t>
      </w:r>
    </w:p>
    <w:p>
      <w:pPr>
        <w:adjustRightInd w:val="0"/>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11.1供应商应符合《中华人民共和国政府采购法》第二十二条规定的条件</w:t>
      </w:r>
      <w:r>
        <w:rPr>
          <w:rFonts w:hint="eastAsia" w:hAnsi="宋体" w:cs="宋体"/>
          <w:color w:val="auto"/>
          <w:highlight w:val="none"/>
        </w:rPr>
        <w:t>，</w:t>
      </w:r>
      <w:r>
        <w:rPr>
          <w:rFonts w:hint="eastAsia" w:hAnsi="宋体" w:cs="宋体"/>
          <w:color w:val="auto"/>
          <w:sz w:val="24"/>
          <w:highlight w:val="none"/>
        </w:rPr>
        <w:t>提供下列材料：</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1、供应商应具有独立承担民事责任的能力的企业法人、事业法人、其他组织或自然人，出具合法有效的营业执照等相关证明文件，自然人参与的提供其身份证明；</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2、法定代表人直接参加投标的，须出具法定代表人证明及法人身份证；法定代表人授权代表参加投标的，须出具法定代表人授权书及授权代表身份证。</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3、财务状况报告：提供经审计的</w:t>
      </w:r>
      <w:r>
        <w:rPr>
          <w:rFonts w:hint="eastAsia" w:ascii="宋体" w:hAnsi="宋体" w:cs="宋体"/>
          <w:bCs/>
          <w:color w:val="auto"/>
          <w:sz w:val="24"/>
          <w:szCs w:val="24"/>
          <w:highlight w:val="none"/>
        </w:rPr>
        <w:t>2020或</w:t>
      </w:r>
      <w:r>
        <w:rPr>
          <w:rFonts w:hint="eastAsia" w:hAnsi="宋体" w:cs="宋体"/>
          <w:color w:val="auto"/>
          <w:sz w:val="24"/>
          <w:szCs w:val="24"/>
          <w:highlight w:val="none"/>
        </w:rPr>
        <w:t>2021年度财务报告或开标前六个月内其本公司银行账户出具的资信证明；</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4、税收缴纳证明：供应商提供截止至开标时间前六个月任一月份的缴费凭据；依法免税的应提供相关文件证明；</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5、社会保障资金缴纳证明：供应商提供截止至开标时间前六个月任一月份的缴费凭据或社保机构开具的社会保险参保缴费情况证明；依法不需要缴纳社会保障资金的应提供相关文件证明；</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6、供应商提供具有履行本合同所必需的设备和专业技术能力的承诺函；</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7、供应商提供参加政府采购活动前三年内在经营活动中没有重大违法记录的承诺函；</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8、符合《财政部关于在政府采购活动中查询及使用信用记录有关问题的通知》（财库【2016】125号）文件中信用查询的要求；</w:t>
      </w:r>
    </w:p>
    <w:p>
      <w:pPr>
        <w:pStyle w:val="24"/>
        <w:adjustRightIn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采购人或采购代理机构将在</w:t>
      </w:r>
      <w:r>
        <w:rPr>
          <w:rFonts w:hint="eastAsia" w:cs="宋体"/>
          <w:bCs/>
          <w:color w:val="auto"/>
          <w:sz w:val="24"/>
          <w:szCs w:val="24"/>
          <w:highlight w:val="none"/>
        </w:rPr>
        <w:t>谈判</w:t>
      </w:r>
      <w:r>
        <w:rPr>
          <w:rFonts w:hint="eastAsia" w:hAnsi="宋体" w:cs="宋体"/>
          <w:color w:val="auto"/>
          <w:sz w:val="24"/>
          <w:szCs w:val="24"/>
          <w:highlight w:val="none"/>
        </w:rPr>
        <w:t>截止日当天资格审查阶段通过【信用中国（www.creditchina.gov.cn）】和【中国政府采购网（www.ccgp.gov.cn）】网站对供应商的信用情况进行查询，并将网页截图附在评审资料中作为留存依据（如相关失信记录已失效，供应商需提供相关证明资料，若没有则此项不需要提供）。</w:t>
      </w:r>
    </w:p>
    <w:p>
      <w:pPr>
        <w:spacing w:line="360" w:lineRule="auto"/>
        <w:ind w:firstLine="482" w:firstLineChars="200"/>
        <w:rPr>
          <w:rFonts w:hAnsi="宋体" w:cs="宋体"/>
          <w:b/>
          <w:bCs/>
          <w:color w:val="auto"/>
          <w:sz w:val="24"/>
          <w:highlight w:val="none"/>
        </w:rPr>
      </w:pPr>
      <w:r>
        <w:rPr>
          <w:rFonts w:hint="eastAsia" w:hAnsi="宋体" w:cs="宋体"/>
          <w:b/>
          <w:bCs/>
          <w:color w:val="auto"/>
          <w:sz w:val="24"/>
          <w:highlight w:val="none"/>
        </w:rPr>
        <w:t>说明：</w:t>
      </w:r>
    </w:p>
    <w:p>
      <w:pPr>
        <w:spacing w:line="360" w:lineRule="auto"/>
        <w:ind w:firstLine="482" w:firstLineChars="200"/>
        <w:rPr>
          <w:rFonts w:hAnsi="宋体" w:cs="宋体"/>
          <w:b/>
          <w:bCs/>
          <w:color w:val="auto"/>
          <w:sz w:val="24"/>
          <w:highlight w:val="none"/>
        </w:rPr>
      </w:pPr>
      <w:r>
        <w:rPr>
          <w:rFonts w:hint="eastAsia" w:hAnsi="宋体" w:cs="宋体"/>
          <w:b/>
          <w:bCs/>
          <w:color w:val="auto"/>
          <w:sz w:val="24"/>
          <w:highlight w:val="none"/>
        </w:rPr>
        <w:t>（1）以上为供应商必备资格要求，资格证明文件无效或缺项响应文件按无效响应文件处理。</w:t>
      </w:r>
    </w:p>
    <w:p>
      <w:pPr>
        <w:spacing w:line="360" w:lineRule="auto"/>
        <w:ind w:firstLine="482" w:firstLineChars="200"/>
        <w:rPr>
          <w:rFonts w:hAnsi="宋体" w:cs="宋体"/>
          <w:b/>
          <w:bCs/>
          <w:color w:val="auto"/>
          <w:sz w:val="24"/>
          <w:highlight w:val="none"/>
        </w:rPr>
      </w:pPr>
      <w:r>
        <w:rPr>
          <w:rFonts w:hint="eastAsia" w:hAnsi="宋体" w:cs="宋体"/>
          <w:b/>
          <w:bCs/>
          <w:color w:val="auto"/>
          <w:sz w:val="24"/>
          <w:highlight w:val="none"/>
        </w:rPr>
        <w:t>（2）</w:t>
      </w:r>
      <w:r>
        <w:rPr>
          <w:rFonts w:hint="eastAsia" w:hAnsi="宋体" w:cs="宋体"/>
          <w:b/>
          <w:color w:val="auto"/>
          <w:sz w:val="24"/>
          <w:highlight w:val="none"/>
        </w:rPr>
        <w:t>在谈判响应文件正副本中应附完整的资格证明材料复印件，正本加盖供应商红色鲜章。</w:t>
      </w:r>
    </w:p>
    <w:p>
      <w:pPr>
        <w:spacing w:line="360" w:lineRule="auto"/>
        <w:ind w:firstLine="482" w:firstLineChars="200"/>
        <w:rPr>
          <w:rFonts w:hAnsi="宋体" w:cs="宋体"/>
          <w:b/>
          <w:bCs/>
          <w:color w:val="auto"/>
          <w:sz w:val="24"/>
          <w:highlight w:val="none"/>
        </w:rPr>
      </w:pPr>
      <w:r>
        <w:rPr>
          <w:rFonts w:hint="eastAsia" w:hAnsi="宋体" w:cs="宋体"/>
          <w:b/>
          <w:bCs/>
          <w:color w:val="auto"/>
          <w:sz w:val="24"/>
          <w:highlight w:val="none"/>
        </w:rPr>
        <w:t>（3）依法免税或不需要缴纳社会保障资金的供应商提供相应证明文件；</w:t>
      </w:r>
    </w:p>
    <w:p>
      <w:pPr>
        <w:spacing w:line="360" w:lineRule="auto"/>
        <w:ind w:firstLine="482" w:firstLineChars="200"/>
        <w:rPr>
          <w:color w:val="auto"/>
          <w:highlight w:val="none"/>
        </w:rPr>
      </w:pPr>
      <w:r>
        <w:rPr>
          <w:rFonts w:hint="eastAsia" w:ascii="宋体" w:hAnsi="宋体" w:cs="宋体"/>
          <w:b/>
          <w:bCs/>
          <w:color w:val="auto"/>
          <w:kern w:val="0"/>
          <w:sz w:val="24"/>
          <w:highlight w:val="none"/>
        </w:rPr>
        <w:t>（4）分支机构参与投标时，投标文件中应附总公司出具的授权书。总公司只能授权一家分支机构参与投标，且不能与分支机构同时参加本项目投标。</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（5）供应商须知前附表如规定本项目专门面向中小企业采购的，供应商应符合政府采购政策规定的中小企业条件，提供相应证明材料。</w:t>
      </w:r>
    </w:p>
    <w:p>
      <w:pPr>
        <w:spacing w:line="360" w:lineRule="auto"/>
        <w:ind w:firstLine="480" w:firstLineChars="200"/>
        <w:rPr>
          <w:rFonts w:hAnsi="宋体" w:cs="宋体"/>
          <w:b/>
          <w:bCs/>
          <w:color w:val="auto"/>
          <w:sz w:val="24"/>
          <w:highlight w:val="none"/>
        </w:rPr>
      </w:pPr>
      <w:r>
        <w:rPr>
          <w:rFonts w:hint="eastAsia" w:hAnsi="宋体" w:cs="宋体"/>
          <w:color w:val="auto"/>
          <w:sz w:val="24"/>
          <w:highlight w:val="none"/>
        </w:rPr>
        <w:t>11.2供应商应保证所提供的全部证明材料的真实性，并保证愿意接受由采购人对其所提供材料的真实性的调查和考证。</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12.授权委托</w:t>
      </w:r>
    </w:p>
    <w:p>
      <w:pPr>
        <w:pStyle w:val="20"/>
        <w:adjustRightInd w:val="0"/>
        <w:snapToGrid w:val="0"/>
        <w:spacing w:line="360" w:lineRule="auto"/>
        <w:ind w:left="-178" w:leftChars="-85" w:firstLine="600" w:firstLineChars="250"/>
        <w:rPr>
          <w:rFonts w:hAnsi="宋体" w:cs="宋体"/>
          <w:color w:val="auto"/>
          <w:sz w:val="24"/>
          <w:szCs w:val="24"/>
          <w:highlight w:val="none"/>
        </w:rPr>
      </w:pPr>
      <w:r>
        <w:rPr>
          <w:rFonts w:hint="eastAsia" w:hAnsi="宋体" w:cs="宋体"/>
          <w:color w:val="auto"/>
          <w:sz w:val="24"/>
          <w:szCs w:val="24"/>
          <w:highlight w:val="none"/>
        </w:rPr>
        <w:t>供应商代表为法定代表人（单位负责人）的，应持有法定代表人（单位负责人）证明、身份证。供应商代表不是法定代表人（单位负责人）的，应持有法定代表人（单位负责人）授权书，被授权人代表身份证。</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13.联合谈判（适用于允许联合体谈判情形）</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13.1两个以上供应商可以组成一个谈判联合体，以一个供应商的身份谈判。以联合体形式参加谈判的，联合体各方均应当符合《中华人民共和国政府采购法》及实施条例规定的条件。</w:t>
      </w:r>
    </w:p>
    <w:p>
      <w:pPr>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13.2联合体各方之间应当签订共同谈判协议，明确约定联合体各方承担的合同工作量比例和相应的责任，并将共同谈判协议连同谈判响应文件一并提交采购单位。联合体各方签订共同谈判协议后，不得再以自己名义单独在同一项目中谈判，也不得组成新的联合体参加同一项目谈判。</w:t>
      </w:r>
    </w:p>
    <w:p>
      <w:pPr>
        <w:pStyle w:val="20"/>
        <w:adjustRightInd w:val="0"/>
        <w:snapToGrid w:val="0"/>
        <w:spacing w:line="360" w:lineRule="auto"/>
        <w:ind w:left="-178" w:leftChars="-85" w:firstLine="600" w:firstLineChars="250"/>
        <w:rPr>
          <w:rFonts w:hAnsi="宋体" w:cs="宋体"/>
          <w:color w:val="auto"/>
          <w:sz w:val="24"/>
          <w:szCs w:val="24"/>
          <w:highlight w:val="none"/>
        </w:rPr>
      </w:pPr>
      <w:r>
        <w:rPr>
          <w:rFonts w:hint="eastAsia" w:hAnsi="宋体" w:cs="宋体"/>
          <w:color w:val="auto"/>
          <w:sz w:val="24"/>
          <w:szCs w:val="24"/>
          <w:highlight w:val="none"/>
        </w:rPr>
        <w:t>13.3</w:t>
      </w:r>
      <w:r>
        <w:rPr>
          <w:rFonts w:hint="eastAsia" w:hAnsi="宋体" w:cs="宋体"/>
          <w:color w:val="auto"/>
          <w:sz w:val="24"/>
          <w:szCs w:val="24"/>
          <w:highlight w:val="none"/>
          <w:lang w:val="zh-CN"/>
        </w:rPr>
        <w:t>联合体中有同类资质的供应商按照联合体分工承担相同工作的，按照资质等级较低的供应商确定资质等级；</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13.4联合体应当确定其中一个单位为谈判的全权代表，负责参加谈判的一切事务，并承担谈判及履约中应承担的全部责任与义务。</w:t>
      </w:r>
    </w:p>
    <w:p>
      <w:pPr>
        <w:pStyle w:val="16"/>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13.5联合体各方应当共同与采购人签订采购合同，就采购合同约定的事项对采购人承担连带责任。</w:t>
      </w:r>
    </w:p>
    <w:p>
      <w:pPr>
        <w:pStyle w:val="16"/>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本项目不接受联合体谈判。</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14.落实政府采购政策</w:t>
      </w:r>
    </w:p>
    <w:p>
      <w:pPr>
        <w:pStyle w:val="20"/>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14.1中小企业落实政府采购政策</w:t>
      </w:r>
    </w:p>
    <w:p>
      <w:pPr>
        <w:adjustRightInd w:val="0"/>
        <w:snapToGrid w:val="0"/>
        <w:spacing w:line="360" w:lineRule="auto"/>
        <w:ind w:firstLine="480" w:firstLineChars="200"/>
        <w:jc w:val="left"/>
        <w:rPr>
          <w:rFonts w:hAnsi="宋体" w:cs="宋体"/>
          <w:color w:val="auto"/>
          <w:sz w:val="24"/>
          <w:highlight w:val="none"/>
        </w:rPr>
      </w:pPr>
      <w:bookmarkStart w:id="69" w:name="_Toc531253634"/>
      <w:r>
        <w:rPr>
          <w:rFonts w:hint="eastAsia" w:ascii="宋体" w:hAnsi="宋体" w:cs="宋体"/>
          <w:color w:val="auto"/>
          <w:sz w:val="24"/>
          <w:highlight w:val="none"/>
        </w:rPr>
        <w:t>中小企业应符合工信部联企业[2011]300号文件划型标准规定，采购活动执行</w:t>
      </w:r>
      <w:r>
        <w:rPr>
          <w:rFonts w:hint="eastAsia" w:ascii="宋体" w:hAnsi="宋体" w:cs="宋体"/>
          <w:color w:val="auto"/>
          <w:sz w:val="24"/>
          <w:szCs w:val="21"/>
          <w:highlight w:val="none"/>
        </w:rPr>
        <w:t>《政府采购促进中小企业发展管理办法》（财库〔2020〕46 号）及</w:t>
      </w:r>
      <w:r>
        <w:rPr>
          <w:rFonts w:hint="eastAsia" w:ascii="宋体" w:hAnsi="宋体" w:cs="宋体"/>
          <w:color w:val="auto"/>
          <w:sz w:val="24"/>
          <w:highlight w:val="none"/>
        </w:rPr>
        <w:t>《</w:t>
      </w:r>
      <w:r>
        <w:rPr>
          <w:rFonts w:hint="eastAsia" w:ascii="宋体" w:hAnsi="宋体" w:cs="宋体"/>
          <w:bCs/>
          <w:color w:val="auto"/>
          <w:sz w:val="24"/>
          <w:highlight w:val="none"/>
        </w:rPr>
        <w:t>陕西省财政厅关于落实政府采购支持中小企业政策有关事项的通知</w:t>
      </w:r>
      <w:r>
        <w:rPr>
          <w:rFonts w:hint="eastAsia" w:ascii="宋体" w:hAnsi="宋体" w:cs="宋体"/>
          <w:color w:val="auto"/>
          <w:sz w:val="24"/>
          <w:highlight w:val="none"/>
        </w:rPr>
        <w:t>》</w:t>
      </w:r>
      <w:r>
        <w:rPr>
          <w:rFonts w:hint="eastAsia" w:ascii="宋体" w:hAnsi="宋体" w:cs="宋体"/>
          <w:bCs/>
          <w:color w:val="auto"/>
          <w:sz w:val="24"/>
          <w:highlight w:val="none"/>
        </w:rPr>
        <w:t>(陕财办采函〔2022〕10号)</w:t>
      </w:r>
      <w:r>
        <w:rPr>
          <w:rFonts w:hint="eastAsia" w:ascii="宋体" w:hAnsi="宋体" w:cs="宋体"/>
          <w:color w:val="auto"/>
          <w:sz w:val="24"/>
          <w:highlight w:val="none"/>
        </w:rPr>
        <w:t>的规定。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20"/>
        <w:adjustRightInd w:val="0"/>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（2）供应商为中小企业应提供《政府采购促进中小企业发展管理办法》（财库〔2020〕46 号）文件规定的《中小企业声明函》（见第七章谈判响应文件格式），以此为依据享受政府采购政策，不提供或提供有瑕疵的：</w:t>
      </w:r>
      <w:r>
        <w:rPr>
          <w:rFonts w:hAnsi="宋体" w:cs="宋体"/>
          <w:color w:val="auto"/>
          <w:sz w:val="24"/>
          <w:highlight w:val="none"/>
        </w:rPr>
        <w:t>①</w:t>
      </w:r>
      <w:r>
        <w:rPr>
          <w:rFonts w:hint="eastAsia" w:hAnsi="宋体" w:cs="宋体"/>
          <w:color w:val="auto"/>
          <w:sz w:val="24"/>
          <w:highlight w:val="none"/>
        </w:rPr>
        <w:t>在评审时，不享受政府采购价格折扣的优惠政策；</w:t>
      </w:r>
      <w:r>
        <w:rPr>
          <w:rFonts w:hAnsi="宋体" w:cs="宋体"/>
          <w:color w:val="auto"/>
          <w:sz w:val="24"/>
          <w:highlight w:val="none"/>
        </w:rPr>
        <w:t>②</w:t>
      </w:r>
      <w:r>
        <w:rPr>
          <w:rFonts w:hint="eastAsia" w:hAnsi="宋体" w:cs="宋体"/>
          <w:color w:val="auto"/>
          <w:sz w:val="24"/>
          <w:highlight w:val="none"/>
        </w:rPr>
        <w:t>在资格审查时，不予通过资格审查（仅限专门面向中小企业采购的项目）。</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（3）在享受支持政策而中标或成交后，小微企业不得将合同分包给大中型企业，中型企业不得将合同分包给大型企业。</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w:t>
      </w:r>
      <w:r>
        <w:rPr>
          <w:rFonts w:hint="eastAsia" w:hAnsi="宋体" w:cs="宋体"/>
          <w:color w:val="auto"/>
          <w:sz w:val="24"/>
          <w:highlight w:val="none"/>
        </w:rPr>
        <w:t>供应商</w:t>
      </w:r>
      <w:r>
        <w:rPr>
          <w:rFonts w:hint="eastAsia" w:ascii="宋体" w:hAnsi="宋体" w:cs="宋体"/>
          <w:color w:val="auto"/>
          <w:sz w:val="24"/>
          <w:highlight w:val="none"/>
        </w:rPr>
        <w:t>须提供本企业制造的货物、承担的工程或者服务，或者提供其他中小企业制造的货物。本项所称货物是指由中小企业制造，即货物由中小企业生产且使用该中小企业商号或者注册商标；供应商提供的货物既有中小企业制造货物，也有大型企业制造货物的，不享受中小企业扶持政策。</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采购代理机构随</w:t>
      </w:r>
      <w:r>
        <w:rPr>
          <w:rFonts w:hint="eastAsia" w:ascii="宋体" w:hAnsi="宋体" w:cs="宋体"/>
          <w:color w:val="auto"/>
          <w:sz w:val="24"/>
          <w:highlight w:val="none"/>
        </w:rPr>
        <w:t>采购</w:t>
      </w:r>
      <w:r>
        <w:rPr>
          <w:rFonts w:ascii="宋体" w:hAnsi="宋体" w:cs="宋体"/>
          <w:color w:val="auto"/>
          <w:sz w:val="24"/>
          <w:highlight w:val="none"/>
        </w:rPr>
        <w:t>结果公开</w:t>
      </w:r>
      <w:r>
        <w:rPr>
          <w:rFonts w:hint="eastAsia" w:ascii="宋体" w:hAnsi="宋体" w:cs="宋体"/>
          <w:color w:val="auto"/>
          <w:sz w:val="24"/>
          <w:highlight w:val="none"/>
        </w:rPr>
        <w:t>成交</w:t>
      </w:r>
      <w:r>
        <w:rPr>
          <w:rFonts w:ascii="宋体" w:hAnsi="宋体" w:cs="宋体"/>
          <w:color w:val="auto"/>
          <w:sz w:val="24"/>
          <w:highlight w:val="none"/>
        </w:rPr>
        <w:t>供应商的《中小企业声明函》。</w:t>
      </w:r>
      <w:r>
        <w:rPr>
          <w:rFonts w:hint="eastAsia" w:ascii="宋体" w:hAnsi="宋体" w:cs="宋体"/>
          <w:color w:val="auto"/>
          <w:sz w:val="24"/>
          <w:highlight w:val="none"/>
        </w:rPr>
        <w:t>供应商提供的《中小企业声明函》必须真实有效，如果被举报经查实出具虚假声明函的，将被取消谈判资格，并按有关规定予以处理。</w:t>
      </w:r>
    </w:p>
    <w:p>
      <w:pPr>
        <w:adjustRightInd w:val="0"/>
        <w:snapToGrid w:val="0"/>
        <w:spacing w:line="360" w:lineRule="auto"/>
        <w:ind w:firstLine="480" w:firstLineChars="200"/>
        <w:jc w:val="left"/>
        <w:rPr>
          <w:rFonts w:ascii="宋体" w:hAnsi="宋体" w:cs="宋体"/>
          <w:color w:val="auto"/>
          <w:spacing w:val="6"/>
          <w:sz w:val="24"/>
          <w:highlight w:val="none"/>
        </w:rPr>
      </w:pPr>
      <w:r>
        <w:rPr>
          <w:rFonts w:hint="eastAsia" w:ascii="宋体" w:hAnsi="宋体" w:cs="宋体"/>
          <w:color w:val="auto"/>
          <w:sz w:val="24"/>
          <w:highlight w:val="none"/>
        </w:rPr>
        <w:t>14</w:t>
      </w:r>
      <w:r>
        <w:rPr>
          <w:rFonts w:hint="eastAsia" w:ascii="宋体" w:hAnsi="宋体" w:cs="宋体"/>
          <w:color w:val="auto"/>
          <w:spacing w:val="6"/>
          <w:sz w:val="24"/>
          <w:highlight w:val="none"/>
        </w:rPr>
        <w:t>.2监狱企业</w:t>
      </w:r>
    </w:p>
    <w:p>
      <w:pPr>
        <w:adjustRightInd w:val="0"/>
        <w:snapToGrid w:val="0"/>
        <w:spacing w:line="360" w:lineRule="auto"/>
        <w:ind w:firstLine="504"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z w:val="24"/>
          <w:highlight w:val="none"/>
        </w:rPr>
        <w:t>）监狱企业参加政府采购活动时，视同小型微型企业。符合（财库[2014]68号）文件规定的监狱企业，提供本企业制造的货物、承担的工程或者服务。</w:t>
      </w:r>
    </w:p>
    <w:p>
      <w:pPr>
        <w:adjustRightInd w:val="0"/>
        <w:snapToGrid w:val="0"/>
        <w:spacing w:line="360" w:lineRule="auto"/>
        <w:ind w:firstLine="504"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（2）提供由省级以上监狱管理局、戒毒管理局(含新疆生产建设兵团)出具的属于监狱企业的证明。不提供或提供有瑕疵的，不视为小型微型企业。</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14.3残疾人福利性单位</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残疾人福利性单位参加政府采购活动时，视同小型微型企业。符合（财库[2017]141号）文件规定的残疾人福利性单位，提供本单位制造的货物、承担的工程或者服务（以下简称产品），或者提供其他残疾人福利性单位制造的货物（不包括使用非残疾人福利性单位注册商标的货物）。</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（2）响应文件中须提供《残疾人福利性单位声明函》（见第七章谈判响应文件格式），并对声明的真实性负责。不提供或提供有瑕疵的，不视为小型微型企业。</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采购代理机构随</w:t>
      </w:r>
      <w:r>
        <w:rPr>
          <w:rFonts w:hint="eastAsia" w:ascii="宋体" w:hAnsi="宋体" w:cs="宋体"/>
          <w:color w:val="auto"/>
          <w:sz w:val="24"/>
          <w:highlight w:val="none"/>
        </w:rPr>
        <w:t>采购</w:t>
      </w:r>
      <w:r>
        <w:rPr>
          <w:rFonts w:ascii="宋体" w:hAnsi="宋体" w:cs="宋体"/>
          <w:color w:val="auto"/>
          <w:sz w:val="24"/>
          <w:highlight w:val="none"/>
        </w:rPr>
        <w:t>结果公开</w:t>
      </w:r>
      <w:r>
        <w:rPr>
          <w:rFonts w:hint="eastAsia" w:ascii="宋体" w:hAnsi="宋体" w:cs="宋体"/>
          <w:color w:val="auto"/>
          <w:sz w:val="24"/>
          <w:highlight w:val="none"/>
        </w:rPr>
        <w:t>成交</w:t>
      </w:r>
      <w:r>
        <w:rPr>
          <w:rFonts w:ascii="宋体" w:hAnsi="宋体" w:cs="宋体"/>
          <w:color w:val="auto"/>
          <w:sz w:val="24"/>
          <w:highlight w:val="none"/>
        </w:rPr>
        <w:t>供应商的《</w:t>
      </w:r>
      <w:r>
        <w:rPr>
          <w:rFonts w:hint="eastAsia" w:ascii="宋体" w:hAnsi="宋体" w:cs="宋体"/>
          <w:color w:val="auto"/>
          <w:sz w:val="24"/>
          <w:highlight w:val="none"/>
        </w:rPr>
        <w:t>残疾人福利性单位声明函》</w:t>
      </w:r>
      <w:r>
        <w:rPr>
          <w:rFonts w:ascii="宋体" w:hAnsi="宋体" w:cs="宋体"/>
          <w:color w:val="auto"/>
          <w:sz w:val="24"/>
          <w:highlight w:val="none"/>
        </w:rPr>
        <w:t>。</w:t>
      </w:r>
    </w:p>
    <w:p>
      <w:pPr>
        <w:adjustRightInd w:val="0"/>
        <w:snapToGrid w:val="0"/>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14.4所投产品符合政府采购强制采购政策的，实行强制采购。</w:t>
      </w:r>
    </w:p>
    <w:p>
      <w:pPr>
        <w:pStyle w:val="16"/>
        <w:adjustRightInd w:val="0"/>
        <w:snapToGrid w:val="0"/>
        <w:spacing w:line="360" w:lineRule="auto"/>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14.5投标产品政府采购政策</w:t>
      </w:r>
    </w:p>
    <w:p>
      <w:pPr>
        <w:pStyle w:val="16"/>
        <w:adjustRightInd w:val="0"/>
        <w:snapToGrid w:val="0"/>
        <w:spacing w:line="360" w:lineRule="auto"/>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1）供应商所投产品属于《关于印发环境标志产品政府采购品目清单的通知》（财库[2019]18号文）、《关于印发节能产品政府采购品目清单的通知》（财库[2019]19号文）中品目清单内的产品，在投标时提供经国家确定的认证机构出具的、处于有效期之内的节能产品、环境标志产品认证证书，采购人对获得证书的产品实施政府优先采购或强制采购。国家确定的节能产品、环境标志产品认证机构详见市场监管总局《关于发布参与实施政府采购节能产品、环境标志产品认证机构名录的公告》（2019年第16号）。</w:t>
      </w:r>
    </w:p>
    <w:p>
      <w:pPr>
        <w:pStyle w:val="16"/>
        <w:adjustRightInd w:val="0"/>
        <w:snapToGrid w:val="0"/>
        <w:spacing w:line="360" w:lineRule="auto"/>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（2）</w:t>
      </w:r>
      <w:r>
        <w:rPr>
          <w:rFonts w:hint="eastAsia" w:hAnsi="宋体" w:cs="宋体"/>
          <w:color w:val="auto"/>
          <w:sz w:val="24"/>
          <w:highlight w:val="none"/>
        </w:rPr>
        <w:t>供应商</w:t>
      </w:r>
      <w:r>
        <w:rPr>
          <w:rFonts w:hint="eastAsia" w:ascii="宋体" w:hAnsi="宋体" w:cs="宋体"/>
          <w:color w:val="auto"/>
          <w:spacing w:val="6"/>
          <w:sz w:val="24"/>
          <w:szCs w:val="24"/>
          <w:highlight w:val="none"/>
        </w:rPr>
        <w:t>在谈判响应文件中必须按照《节能产品、环境标志产品明细表》格式对此类产品单独分项报价计算出占投标报价总金额的百分比。</w:t>
      </w:r>
    </w:p>
    <w:p>
      <w:pPr>
        <w:pStyle w:val="16"/>
        <w:adjustRightInd w:val="0"/>
        <w:snapToGrid w:val="0"/>
        <w:spacing w:line="360" w:lineRule="auto"/>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（3）</w:t>
      </w:r>
      <w:bookmarkEnd w:id="69"/>
      <w:r>
        <w:rPr>
          <w:rFonts w:hint="eastAsia" w:ascii="宋体" w:hAnsi="宋体" w:cs="宋体"/>
          <w:color w:val="auto"/>
          <w:spacing w:val="6"/>
          <w:sz w:val="24"/>
          <w:szCs w:val="24"/>
          <w:highlight w:val="none"/>
        </w:rPr>
        <w:t>单一产品，提供相同品牌产品且通过资格审查、符合性审查的的不同供应商参加同一合同项下谈判的，以报价最低的参加谈判；最后报价相同的，如果供应商拟提供的所有产品列入了国家有关部门最新公布的政府采购节能产品、环境标志产品实施品目清单，并提供了由国家确定的认证机构出具的、处于有效期之内的节能产品、环境标志产品认证证书，则其排序在前优先采购。”其他同品牌供应商不作为成交候选人。</w:t>
      </w:r>
    </w:p>
    <w:p>
      <w:pPr>
        <w:pStyle w:val="16"/>
        <w:adjustRightInd w:val="0"/>
        <w:snapToGrid w:val="0"/>
        <w:spacing w:line="360" w:lineRule="auto"/>
        <w:ind w:firstLine="504" w:firstLineChars="200"/>
        <w:rPr>
          <w:rFonts w:ascii="宋体" w:hAnsi="宋体" w:cs="宋体"/>
          <w:b/>
          <w:bCs/>
          <w:color w:val="auto"/>
          <w:sz w:val="24"/>
          <w:szCs w:val="24"/>
          <w:highlight w:val="none"/>
        </w:rPr>
      </w:pPr>
      <w:r>
        <w:rPr>
          <w:rFonts w:hint="eastAsia" w:ascii="宋体" w:hAnsi="宋体" w:cs="宋体"/>
          <w:color w:val="auto"/>
          <w:spacing w:val="6"/>
          <w:sz w:val="24"/>
          <w:szCs w:val="24"/>
          <w:highlight w:val="none"/>
        </w:rPr>
        <w:t>（4）非单一产品，多家供应商提供的核心产品品牌全部相同的，按上述规定处理。</w:t>
      </w:r>
    </w:p>
    <w:p>
      <w:pPr>
        <w:pStyle w:val="20"/>
        <w:adjustRightInd w:val="0"/>
        <w:snapToGrid w:val="0"/>
        <w:spacing w:line="360" w:lineRule="auto"/>
        <w:ind w:firstLine="482" w:firstLineChars="200"/>
        <w:rPr>
          <w:rFonts w:hAnsi="宋体" w:cs="宋体"/>
          <w:color w:val="auto"/>
          <w:spacing w:val="6"/>
          <w:sz w:val="24"/>
          <w:szCs w:val="24"/>
          <w:highlight w:val="none"/>
          <w:lang w:val="zh-CN"/>
        </w:rPr>
      </w:pPr>
      <w:r>
        <w:rPr>
          <w:rFonts w:hint="eastAsia" w:hAnsi="宋体" w:cs="宋体"/>
          <w:b/>
          <w:bCs/>
          <w:color w:val="auto"/>
          <w:sz w:val="24"/>
          <w:szCs w:val="24"/>
          <w:highlight w:val="none"/>
        </w:rPr>
        <w:t>备注：供应商谈判响应文件中未按上述要求提供相关证明不给予优先采购。</w:t>
      </w:r>
    </w:p>
    <w:p>
      <w:pPr>
        <w:autoSpaceDE w:val="0"/>
        <w:autoSpaceDN w:val="0"/>
        <w:snapToGrid w:val="0"/>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14.6融资担保</w:t>
      </w:r>
    </w:p>
    <w:p>
      <w:pPr>
        <w:spacing w:line="360" w:lineRule="auto"/>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陕西省信用担保</w:t>
      </w:r>
      <w:r>
        <w:rPr>
          <w:rFonts w:hint="eastAsia" w:ascii="宋体" w:hAnsi="宋体" w:cs="宋体"/>
          <w:color w:val="auto"/>
          <w:sz w:val="24"/>
          <w:highlight w:val="none"/>
        </w:rPr>
        <w:t>及信用融资政策</w:t>
      </w:r>
    </w:p>
    <w:p>
      <w:pPr>
        <w:spacing w:line="360" w:lineRule="auto"/>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lang w:val="zh-CN"/>
        </w:rPr>
        <w:t>为支持和促进中小企业发展，进一步发挥政府采购政策功能作用，有效缓解中小企业融资难等问题，根据财政部财库【2011】124号文件的精神，陕西省财政厅制订了《陕西省中小企业政府采购信用融资办法》（陕财办采〔2018〕23号），为参与陕西省政府采购项目的投标人提供政府采购</w:t>
      </w:r>
      <w:r>
        <w:rPr>
          <w:rFonts w:hint="eastAsia" w:ascii="宋体" w:hAnsi="宋体" w:cs="宋体"/>
          <w:color w:val="auto"/>
          <w:sz w:val="24"/>
          <w:highlight w:val="none"/>
        </w:rPr>
        <w:t>信用融资服务</w:t>
      </w:r>
      <w:r>
        <w:rPr>
          <w:rFonts w:hint="eastAsia" w:ascii="宋体" w:hAnsi="宋体" w:cs="宋体"/>
          <w:color w:val="auto"/>
          <w:sz w:val="24"/>
          <w:highlight w:val="none"/>
          <w:lang w:val="zh-CN"/>
        </w:rPr>
        <w:t>，并按照程序确定了合作的</w:t>
      </w:r>
      <w:r>
        <w:rPr>
          <w:rFonts w:hint="eastAsia" w:ascii="宋体" w:hAnsi="宋体" w:cs="宋体"/>
          <w:color w:val="auto"/>
          <w:sz w:val="24"/>
          <w:highlight w:val="none"/>
        </w:rPr>
        <w:t>金融</w:t>
      </w:r>
      <w:r>
        <w:rPr>
          <w:rFonts w:hint="eastAsia" w:ascii="宋体" w:hAnsi="宋体" w:cs="宋体"/>
          <w:color w:val="auto"/>
          <w:sz w:val="24"/>
          <w:highlight w:val="none"/>
          <w:lang w:val="zh-CN"/>
        </w:rPr>
        <w:t>机构。</w:t>
      </w:r>
      <w:r>
        <w:rPr>
          <w:rFonts w:hint="eastAsia" w:ascii="宋体" w:hAnsi="宋体" w:cs="宋体"/>
          <w:color w:val="auto"/>
          <w:sz w:val="24"/>
          <w:highlight w:val="none"/>
        </w:rPr>
        <w:t>成交供应商</w:t>
      </w:r>
      <w:r>
        <w:rPr>
          <w:rFonts w:hint="eastAsia" w:ascii="宋体" w:hAnsi="宋体" w:cs="宋体"/>
          <w:color w:val="auto"/>
          <w:sz w:val="24"/>
          <w:highlight w:val="none"/>
          <w:lang w:val="zh-CN"/>
        </w:rPr>
        <w:t>如果需要融资贷款服务的，可凭</w:t>
      </w:r>
      <w:r>
        <w:rPr>
          <w:rFonts w:hint="eastAsia" w:ascii="宋体" w:hAnsi="宋体" w:cs="宋体"/>
          <w:color w:val="auto"/>
          <w:sz w:val="24"/>
          <w:highlight w:val="none"/>
        </w:rPr>
        <w:t>成交</w:t>
      </w:r>
      <w:r>
        <w:rPr>
          <w:rFonts w:hint="eastAsia" w:ascii="宋体" w:hAnsi="宋体" w:cs="宋体"/>
          <w:color w:val="auto"/>
          <w:sz w:val="24"/>
          <w:highlight w:val="none"/>
          <w:lang w:val="zh-CN"/>
        </w:rPr>
        <w:t>通知书、政府采购合同等相关资料，</w:t>
      </w:r>
      <w:r>
        <w:rPr>
          <w:rFonts w:hint="eastAsia" w:ascii="宋体" w:hAnsi="宋体" w:cs="宋体"/>
          <w:color w:val="auto"/>
          <w:sz w:val="24"/>
          <w:highlight w:val="none"/>
        </w:rPr>
        <w:t>按照</w:t>
      </w:r>
      <w:r>
        <w:rPr>
          <w:rFonts w:hint="eastAsia" w:hAnsi="宋体" w:cs="宋体"/>
          <w:color w:val="auto"/>
          <w:sz w:val="24"/>
          <w:highlight w:val="none"/>
        </w:rPr>
        <w:t>文件</w:t>
      </w:r>
      <w:r>
        <w:rPr>
          <w:rFonts w:hint="eastAsia" w:ascii="宋体" w:hAnsi="宋体" w:cs="宋体"/>
          <w:color w:val="auto"/>
          <w:sz w:val="24"/>
          <w:highlight w:val="none"/>
        </w:rPr>
        <w:t>规定的程</w:t>
      </w:r>
      <w:r>
        <w:rPr>
          <w:rFonts w:hint="eastAsia" w:hAnsi="宋体" w:cs="宋体"/>
          <w:color w:val="auto"/>
          <w:sz w:val="24"/>
          <w:highlight w:val="none"/>
        </w:rPr>
        <w:t>序向有资格的银行</w:t>
      </w:r>
      <w:r>
        <w:rPr>
          <w:rFonts w:hint="eastAsia" w:ascii="宋体" w:hAnsi="宋体" w:cs="宋体"/>
          <w:color w:val="auto"/>
          <w:sz w:val="24"/>
          <w:highlight w:val="none"/>
        </w:rPr>
        <w:t>申请办理。</w:t>
      </w:r>
      <w:r>
        <w:rPr>
          <w:rFonts w:hint="eastAsia" w:ascii="宋体" w:hAnsi="宋体" w:cs="宋体"/>
          <w:color w:val="auto"/>
          <w:sz w:val="24"/>
          <w:highlight w:val="none"/>
          <w:lang w:val="zh-CN"/>
        </w:rPr>
        <w:t>具体规定可登陆陕西省政府采购网(www.ccgp-shaanxi.gov.cn/)重要通知专栏中查询了解。</w:t>
      </w:r>
    </w:p>
    <w:p>
      <w:pPr>
        <w:spacing w:line="360" w:lineRule="auto"/>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rPr>
        <w:t>（2）西安市政府采购信用担保及信用融资政策</w:t>
      </w:r>
    </w:p>
    <w:p>
      <w:pPr>
        <w:pStyle w:val="20"/>
        <w:adjustRightInd w:val="0"/>
        <w:snapToGrid w:val="0"/>
        <w:spacing w:line="360" w:lineRule="auto"/>
        <w:ind w:firstLine="480" w:firstLineChars="200"/>
        <w:rPr>
          <w:rFonts w:hAnsi="宋体" w:cs="宋体"/>
          <w:color w:val="auto"/>
          <w:spacing w:val="6"/>
          <w:sz w:val="24"/>
          <w:szCs w:val="24"/>
          <w:highlight w:val="none"/>
          <w:lang w:val="zh-CN"/>
        </w:rPr>
      </w:pPr>
      <w:r>
        <w:rPr>
          <w:rFonts w:hint="eastAsia" w:hAnsi="宋体" w:cs="宋体"/>
          <w:color w:val="auto"/>
          <w:sz w:val="24"/>
          <w:highlight w:val="none"/>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文件规定的程序向有资格的担保合作银行申请办理，具体规定可登陆西安市财政局网站（</w:t>
      </w:r>
      <w:r>
        <w:rPr>
          <w:color w:val="auto"/>
          <w:highlight w:val="none"/>
        </w:rPr>
        <w:fldChar w:fldCharType="begin"/>
      </w:r>
      <w:r>
        <w:rPr>
          <w:color w:val="auto"/>
          <w:highlight w:val="none"/>
        </w:rPr>
        <w:instrText xml:space="preserve"> HYPERLINK "http://xaczj.xa.gov.cn/" </w:instrText>
      </w:r>
      <w:r>
        <w:rPr>
          <w:color w:val="auto"/>
          <w:highlight w:val="none"/>
        </w:rPr>
        <w:fldChar w:fldCharType="separate"/>
      </w:r>
      <w:r>
        <w:rPr>
          <w:rFonts w:hint="eastAsia" w:hAnsi="宋体" w:cs="宋体"/>
          <w:color w:val="auto"/>
          <w:sz w:val="24"/>
          <w:highlight w:val="none"/>
        </w:rPr>
        <w:t>http://xaczj.xa.gov.cn/</w:t>
      </w:r>
      <w:r>
        <w:rPr>
          <w:rFonts w:hint="eastAsia" w:hAnsi="宋体" w:cs="宋体"/>
          <w:color w:val="auto"/>
          <w:sz w:val="24"/>
          <w:highlight w:val="none"/>
        </w:rPr>
        <w:fldChar w:fldCharType="end"/>
      </w:r>
      <w:r>
        <w:rPr>
          <w:rFonts w:hint="eastAsia" w:hAnsi="宋体" w:cs="宋体"/>
          <w:color w:val="auto"/>
          <w:sz w:val="24"/>
          <w:highlight w:val="none"/>
        </w:rPr>
        <w:t>）查询了解。</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15.转包与分包</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15.1</w:t>
      </w:r>
      <w:r>
        <w:rPr>
          <w:rFonts w:hint="eastAsia" w:ascii="宋体" w:hAnsi="宋体" w:cs="宋体"/>
          <w:color w:val="auto"/>
          <w:sz w:val="24"/>
          <w:highlight w:val="none"/>
        </w:rPr>
        <w:t>本项目严禁采取转包方式履行合同。本项目所称转包，是指供应商将政府采购合同业务转让给第三人，并退出现有政府采购合同当事人双方权利业务关系，受让人（即第三人）成为政府采购合同的另一方当事人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成交供应商转包的，视同拒绝履行政府采购合同业务，将依法追究法律责任。</w:t>
      </w:r>
    </w:p>
    <w:p>
      <w:pPr>
        <w:spacing w:line="360" w:lineRule="auto"/>
        <w:ind w:firstLine="482" w:firstLineChars="200"/>
        <w:rPr>
          <w:rFonts w:ascii="宋体" w:hAnsi="宋体" w:cs="宋体"/>
          <w:color w:val="auto"/>
          <w:highlight w:val="none"/>
        </w:rPr>
      </w:pPr>
      <w:r>
        <w:rPr>
          <w:rFonts w:hint="eastAsia" w:ascii="宋体" w:hAnsi="宋体" w:cs="宋体"/>
          <w:b/>
          <w:bCs/>
          <w:color w:val="auto"/>
          <w:sz w:val="24"/>
          <w:highlight w:val="none"/>
        </w:rPr>
        <w:t>15.2本项目不允许分包。</w:t>
      </w:r>
    </w:p>
    <w:p>
      <w:pPr>
        <w:spacing w:line="360" w:lineRule="auto"/>
        <w:ind w:firstLine="480" w:firstLineChars="200"/>
        <w:rPr>
          <w:rFonts w:ascii="宋体" w:hAnsi="宋体" w:cs="宋体"/>
          <w:color w:val="auto"/>
          <w:highlight w:val="none"/>
        </w:rPr>
      </w:pPr>
      <w:r>
        <w:rPr>
          <w:rFonts w:hint="eastAsia" w:ascii="宋体" w:hAnsi="宋体" w:cs="宋体"/>
          <w:color w:val="auto"/>
          <w:kern w:val="0"/>
          <w:sz w:val="24"/>
          <w:highlight w:val="none"/>
        </w:rPr>
        <w:t>15.3未经采购人许可，不得将本采购项目采取转包实施的办法，一经发现，立即取消其成交资格，并承担由此产生的一切经济损失。</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16.供应商的风险</w:t>
      </w:r>
    </w:p>
    <w:p>
      <w:pPr>
        <w:tabs>
          <w:tab w:val="left" w:pos="7665"/>
        </w:tabs>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供应商应认真阅读和充分理解谈判文件中所有的事项、格式条款和规范要求，任何对</w:t>
      </w:r>
      <w:r>
        <w:rPr>
          <w:rFonts w:hint="eastAsia" w:ascii="宋体" w:hAnsi="宋体" w:cs="宋体"/>
          <w:bCs/>
          <w:color w:val="auto"/>
          <w:sz w:val="24"/>
          <w:highlight w:val="none"/>
        </w:rPr>
        <w:t>谈判文件</w:t>
      </w:r>
      <w:r>
        <w:rPr>
          <w:rFonts w:hint="eastAsia" w:ascii="宋体" w:hAnsi="宋体" w:cs="宋体"/>
          <w:color w:val="auto"/>
          <w:sz w:val="24"/>
          <w:highlight w:val="none"/>
        </w:rPr>
        <w:t>的忽略或误解不能作为谈判响应文件存在缺陷或瑕疵的理由；供应商</w:t>
      </w:r>
      <w:r>
        <w:rPr>
          <w:rFonts w:hint="eastAsia" w:ascii="宋体" w:hAnsi="宋体" w:cs="宋体"/>
          <w:color w:val="auto"/>
          <w:kern w:val="0"/>
          <w:sz w:val="24"/>
          <w:highlight w:val="none"/>
        </w:rPr>
        <w:t>没有按照谈判文件要求提供全部资料，</w:t>
      </w:r>
      <w:r>
        <w:rPr>
          <w:rFonts w:hint="eastAsia" w:ascii="宋体" w:hAnsi="宋体" w:cs="宋体"/>
          <w:color w:val="auto"/>
          <w:sz w:val="24"/>
          <w:highlight w:val="none"/>
        </w:rPr>
        <w:t>或对谈判文件全面做出实质性响应是供应商的风险，</w:t>
      </w:r>
      <w:r>
        <w:rPr>
          <w:rFonts w:hint="eastAsia" w:ascii="宋体" w:hAnsi="宋体" w:cs="宋体"/>
          <w:color w:val="auto"/>
          <w:kern w:val="0"/>
          <w:sz w:val="24"/>
          <w:highlight w:val="none"/>
        </w:rPr>
        <w:t>并可能导致其谈判响应文件被拒绝。</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17.供应商的纪律要求</w:t>
      </w:r>
    </w:p>
    <w:p>
      <w:pPr>
        <w:pStyle w:val="2"/>
        <w:spacing w:line="360" w:lineRule="auto"/>
        <w:ind w:firstLine="495"/>
        <w:rPr>
          <w:rFonts w:ascii="宋体" w:hAnsi="宋体" w:cs="宋体"/>
          <w:color w:val="auto"/>
          <w:sz w:val="24"/>
          <w:szCs w:val="24"/>
          <w:highlight w:val="none"/>
        </w:rPr>
      </w:pPr>
      <w:r>
        <w:rPr>
          <w:rFonts w:hint="eastAsia" w:ascii="宋体" w:hAnsi="宋体" w:cs="宋体"/>
          <w:color w:val="auto"/>
          <w:sz w:val="24"/>
          <w:szCs w:val="24"/>
          <w:highlight w:val="none"/>
        </w:rPr>
        <w:t>17.1有下列情形之一的，属于不合格供应商，其谈判或成交资格将被取消：</w:t>
      </w:r>
    </w:p>
    <w:p>
      <w:pPr>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（1）提供虚假材料谋取成交；</w:t>
      </w:r>
    </w:p>
    <w:p>
      <w:pPr>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（2）采取不正当手段诋毁、排挤其他供应商；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（3）与采购人、采购代理机构、其他供应商恶意串通；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（4）向采购人、采购代理机构、谈判小组成员行贿或者提供其他不正当利益；</w:t>
      </w:r>
    </w:p>
    <w:p>
      <w:pPr>
        <w:pStyle w:val="22"/>
        <w:tabs>
          <w:tab w:val="left" w:pos="720"/>
        </w:tabs>
        <w:spacing w:line="360" w:lineRule="auto"/>
        <w:ind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（5）在谈判过程中与</w:t>
      </w:r>
      <w:r>
        <w:rPr>
          <w:rFonts w:hint="eastAsia" w:ascii="宋体" w:hAnsi="宋体" w:cs="宋体"/>
          <w:color w:val="auto"/>
          <w:sz w:val="24"/>
          <w:highlight w:val="none"/>
        </w:rPr>
        <w:t>采购人、采购代理机构</w:t>
      </w:r>
      <w:r>
        <w:rPr>
          <w:rFonts w:hint="eastAsia" w:ascii="宋体" w:hAnsi="宋体" w:cs="宋体"/>
          <w:color w:val="auto"/>
          <w:sz w:val="24"/>
          <w:szCs w:val="24"/>
          <w:highlight w:val="none"/>
        </w:rPr>
        <w:t>进行协商谈判；</w:t>
      </w:r>
    </w:p>
    <w:p>
      <w:pPr>
        <w:pStyle w:val="22"/>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（6）拒绝有关部门的监督检查或者向监督检查部门提供虚假情况。</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17.2有下列情形之一的，视为供应商相互恶意串通谈判，其谈判无效：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（1）不同供应商的谈判响应文件由同一单位或者个人编制；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（2）不同供应商委托同一单位或者个人办理谈判事宜；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（3）不同供应商的谈判响应文件载明的项目管理成员为同一人；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（4）不同供应商的谈判响应文件异常一致或者谈判报价呈规律性差异；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（5）不同供应商的谈判响应文件相互混装；</w:t>
      </w:r>
    </w:p>
    <w:p>
      <w:pPr>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（6）不同供应商的响应文件由同一供应商送达。</w:t>
      </w:r>
    </w:p>
    <w:p>
      <w:pPr>
        <w:pStyle w:val="4"/>
        <w:spacing w:before="120" w:beforeLines="50" w:after="120" w:afterLines="50" w:line="360" w:lineRule="auto"/>
        <w:rPr>
          <w:rFonts w:ascii="宋体" w:hAnsi="宋体" w:eastAsia="宋体" w:cs="宋体"/>
          <w:bCs/>
          <w:color w:val="auto"/>
          <w:highlight w:val="none"/>
        </w:rPr>
      </w:pPr>
      <w:bookmarkStart w:id="70" w:name="_Toc24429"/>
      <w:r>
        <w:rPr>
          <w:rFonts w:hint="eastAsia" w:ascii="宋体" w:hAnsi="宋体" w:eastAsia="宋体" w:cs="宋体"/>
          <w:bCs/>
          <w:color w:val="auto"/>
          <w:highlight w:val="none"/>
        </w:rPr>
        <w:t>四、谈判响应文件</w:t>
      </w:r>
      <w:bookmarkEnd w:id="70"/>
    </w:p>
    <w:p>
      <w:pPr>
        <w:pStyle w:val="5"/>
        <w:spacing w:before="120" w:beforeLines="50" w:after="120" w:afterLines="50" w:line="360" w:lineRule="auto"/>
        <w:rPr>
          <w:rFonts w:ascii="宋体" w:hAnsi="宋体" w:cs="宋体"/>
          <w:color w:val="auto"/>
          <w:highlight w:val="none"/>
        </w:rPr>
      </w:pPr>
      <w:bookmarkStart w:id="71" w:name="_Toc531253635"/>
      <w:r>
        <w:rPr>
          <w:rFonts w:hint="eastAsia" w:ascii="宋体" w:hAnsi="宋体" w:cs="宋体"/>
          <w:color w:val="auto"/>
          <w:highlight w:val="none"/>
        </w:rPr>
        <w:t>18.谈判响应文件的编写原则和要求</w:t>
      </w:r>
      <w:bookmarkEnd w:id="71"/>
    </w:p>
    <w:p>
      <w:pPr>
        <w:tabs>
          <w:tab w:val="left" w:pos="72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供应商应仔细阅读谈判文件的所有内容，按谈判文件规定及要求编写，应当对谈判文件提出的实质性要求做出响应，并提交完整的谈判响应文件。供应商应对采购需求提供完整详细的谈判响应方案，若供应商对指定的采购内容及服务要求不能完全响应，应在谈判响应文件中清楚地注明。</w:t>
      </w:r>
      <w:r>
        <w:rPr>
          <w:rFonts w:hint="eastAsia"/>
          <w:b/>
          <w:color w:val="auto"/>
          <w:sz w:val="24"/>
          <w:highlight w:val="none"/>
          <w:lang w:val="en-US" w:eastAsia="zh-CN"/>
        </w:rPr>
        <w:t>成交供应商</w:t>
      </w:r>
      <w:r>
        <w:rPr>
          <w:b/>
          <w:color w:val="auto"/>
          <w:sz w:val="24"/>
          <w:highlight w:val="none"/>
        </w:rPr>
        <w:t>拟在</w:t>
      </w:r>
      <w:r>
        <w:rPr>
          <w:rFonts w:hint="eastAsia"/>
          <w:b/>
          <w:color w:val="auto"/>
          <w:sz w:val="24"/>
          <w:highlight w:val="none"/>
          <w:lang w:val="en-US" w:eastAsia="zh-CN"/>
        </w:rPr>
        <w:t>成交</w:t>
      </w:r>
      <w:r>
        <w:rPr>
          <w:b/>
          <w:color w:val="auto"/>
          <w:sz w:val="24"/>
          <w:highlight w:val="none"/>
        </w:rPr>
        <w:t>后将</w:t>
      </w:r>
      <w:r>
        <w:rPr>
          <w:rFonts w:hint="eastAsia"/>
          <w:b/>
          <w:color w:val="auto"/>
          <w:sz w:val="24"/>
          <w:highlight w:val="none"/>
          <w:lang w:val="en-US" w:eastAsia="zh-CN"/>
        </w:rPr>
        <w:t>成交</w:t>
      </w:r>
      <w:r>
        <w:rPr>
          <w:b/>
          <w:color w:val="auto"/>
          <w:sz w:val="24"/>
          <w:highlight w:val="none"/>
        </w:rPr>
        <w:t>项目的非主体、非关键性工作交由他人完成的，应当</w:t>
      </w:r>
      <w:r>
        <w:rPr>
          <w:b/>
          <w:color w:val="auto"/>
          <w:spacing w:val="-6"/>
          <w:sz w:val="24"/>
          <w:highlight w:val="none"/>
        </w:rPr>
        <w:t>在</w:t>
      </w:r>
      <w:r>
        <w:rPr>
          <w:rFonts w:hint="eastAsia"/>
          <w:b/>
          <w:color w:val="auto"/>
          <w:spacing w:val="-6"/>
          <w:sz w:val="24"/>
          <w:highlight w:val="none"/>
          <w:lang w:val="en-US" w:eastAsia="zh-CN"/>
        </w:rPr>
        <w:t>磋商响应</w:t>
      </w:r>
      <w:r>
        <w:rPr>
          <w:b/>
          <w:color w:val="auto"/>
          <w:spacing w:val="-6"/>
          <w:sz w:val="24"/>
          <w:highlight w:val="none"/>
        </w:rPr>
        <w:t>文件中载明。</w:t>
      </w:r>
      <w:r>
        <w:rPr>
          <w:rFonts w:hint="eastAsia" w:ascii="宋体" w:hAnsi="宋体" w:cs="宋体"/>
          <w:color w:val="auto"/>
          <w:sz w:val="24"/>
          <w:highlight w:val="none"/>
        </w:rPr>
        <w:t>供应商对本谈判文件的每一项要求所给予的响应必须是唯一的，否则将视为无效谈判响应文件。</w:t>
      </w:r>
    </w:p>
    <w:p>
      <w:pPr>
        <w:tabs>
          <w:tab w:val="left" w:pos="72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18.2真实性原则</w:t>
      </w:r>
    </w:p>
    <w:p>
      <w:pPr>
        <w:tabs>
          <w:tab w:val="left" w:pos="720"/>
        </w:tabs>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18.2.1供应商应保证所提供的谈判响应文件和所有资料的真实性、准确性和完整性。</w:t>
      </w:r>
    </w:p>
    <w:p>
      <w:pPr>
        <w:tabs>
          <w:tab w:val="left" w:pos="720"/>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18.2.2供应商在政府采购过程中提供不真实的材料，无论其材料是否重要，采购人均有权拒绝，并取消其谈判资格，供应商需承担相应的后果及法律责任。</w:t>
      </w:r>
    </w:p>
    <w:p>
      <w:pPr>
        <w:tabs>
          <w:tab w:val="left" w:pos="72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18.3谈判语言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18.3.1供应商提交的谈判响应文件以及供应商与采购代理机构就有关谈判的所有来往书面文件均须使用简体中文。谈判响应文件中如附有外文资料，必须逐一对应翻译成简体中文并加盖供应商公章后附在相关外文资料后面，否则，由此带来的一切影响后果自负。</w:t>
      </w:r>
    </w:p>
    <w:p>
      <w:pPr>
        <w:pStyle w:val="20"/>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18.3.2翻译的中文资料与外文资料如果出现差异和矛盾时，以中文为准。但不能故意错误翻译，否则，供应商的谈判响应文件将作为无效响应处理。</w:t>
      </w:r>
      <w:r>
        <w:rPr>
          <w:rFonts w:hint="eastAsia" w:hAnsi="宋体" w:cs="宋体"/>
          <w:color w:val="auto"/>
          <w:kern w:val="0"/>
          <w:sz w:val="24"/>
          <w:szCs w:val="24"/>
          <w:highlight w:val="none"/>
        </w:rPr>
        <w:t>必要时采购人可以要求供应商提供附有公证书的中文翻译文件或者与原版文件签章相一致的中文翻译文件。</w:t>
      </w:r>
    </w:p>
    <w:p>
      <w:pPr>
        <w:tabs>
          <w:tab w:val="left" w:pos="720"/>
        </w:tabs>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18.4计量单位</w:t>
      </w:r>
    </w:p>
    <w:p>
      <w:pPr>
        <w:tabs>
          <w:tab w:val="left" w:pos="720"/>
        </w:tabs>
        <w:snapToGrid w:val="0"/>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谈判文件已有明确规定的，使用谈判文件规定的计量单位；谈判文件没有规定的，应采用中华人民共和国法定计量单位</w:t>
      </w:r>
      <w:r>
        <w:rPr>
          <w:rFonts w:hint="eastAsia" w:ascii="宋体" w:hAnsi="宋体" w:cs="宋体"/>
          <w:color w:val="auto"/>
          <w:sz w:val="24"/>
          <w:highlight w:val="none"/>
        </w:rPr>
        <w:t>(国际单位制和国家选定的其他计量单位)</w:t>
      </w:r>
      <w:r>
        <w:rPr>
          <w:rFonts w:hint="eastAsia" w:ascii="宋体" w:hAnsi="宋体" w:cs="宋体"/>
          <w:color w:val="auto"/>
          <w:kern w:val="0"/>
          <w:sz w:val="24"/>
          <w:highlight w:val="none"/>
        </w:rPr>
        <w:t>。否则，视为对谈判文件未作出实质性响应。</w:t>
      </w:r>
    </w:p>
    <w:p>
      <w:pPr>
        <w:tabs>
          <w:tab w:val="left" w:pos="720"/>
        </w:tabs>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18.5谈判货币</w:t>
      </w:r>
    </w:p>
    <w:p>
      <w:pPr>
        <w:tabs>
          <w:tab w:val="left" w:pos="720"/>
        </w:tabs>
        <w:snapToGrid w:val="0"/>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本次采购项目的谈判报价均以人民币报价。</w:t>
      </w:r>
    </w:p>
    <w:p>
      <w:pPr>
        <w:pStyle w:val="20"/>
        <w:adjustRightInd w:val="0"/>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18.6谈判响应文件</w:t>
      </w:r>
      <w:r>
        <w:rPr>
          <w:rFonts w:hint="eastAsia" w:hAnsi="宋体" w:cs="宋体"/>
          <w:color w:val="auto"/>
          <w:sz w:val="24"/>
          <w:szCs w:val="24"/>
          <w:highlight w:val="none"/>
        </w:rPr>
        <w:t>形式</w:t>
      </w:r>
    </w:p>
    <w:p>
      <w:pPr>
        <w:pStyle w:val="20"/>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本项目谈判响应文件</w:t>
      </w:r>
      <w:r>
        <w:rPr>
          <w:rFonts w:hint="eastAsia" w:hAnsi="宋体" w:cs="宋体"/>
          <w:color w:val="auto"/>
          <w:sz w:val="24"/>
          <w:szCs w:val="24"/>
          <w:highlight w:val="none"/>
        </w:rPr>
        <w:t>应采用书面文件形式，电报、传真、电子邮件形式的谈判响应文件不予接受。</w:t>
      </w:r>
    </w:p>
    <w:p>
      <w:pPr>
        <w:tabs>
          <w:tab w:val="left" w:pos="72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18.7备选方案</w:t>
      </w:r>
    </w:p>
    <w:p>
      <w:pPr>
        <w:tabs>
          <w:tab w:val="left" w:pos="72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本项目不接受备选谈判方案，谈判响应文件的报价只允许有一个报价，不接受有任何选择或具有附加条件的报价，否则，在评审时将其视为无效响应</w:t>
      </w:r>
      <w:r>
        <w:rPr>
          <w:rFonts w:hint="eastAsia" w:ascii="宋体" w:hAnsi="宋体" w:cs="宋体"/>
          <w:color w:val="auto"/>
          <w:highlight w:val="none"/>
        </w:rPr>
        <w:t>。</w:t>
      </w:r>
    </w:p>
    <w:bookmarkEnd w:id="66"/>
    <w:bookmarkEnd w:id="67"/>
    <w:bookmarkEnd w:id="68"/>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19.谈判报价</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19.1</w:t>
      </w:r>
      <w:r>
        <w:rPr>
          <w:rFonts w:hint="eastAsia" w:ascii="宋体" w:hAnsi="宋体" w:cs="宋体"/>
          <w:bCs/>
          <w:color w:val="auto"/>
          <w:sz w:val="24"/>
          <w:highlight w:val="none"/>
        </w:rPr>
        <w:t>供应商应</w:t>
      </w:r>
      <w:r>
        <w:rPr>
          <w:rFonts w:hint="eastAsia" w:ascii="宋体" w:hAnsi="宋体" w:cs="宋体"/>
          <w:color w:val="auto"/>
          <w:sz w:val="24"/>
          <w:highlight w:val="none"/>
        </w:rPr>
        <w:t>按照谈判文件要求填报谈判报价，并充分了解该采购项目的总体情况以及影响谈判报价的其他要素。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19.2本项目采购预算金额或最高限价见供应商须知前附表，供应商报价超出采购预算金额或最高限价，作为不实质性响应谈判文件，按无效响应文件处理。</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19.3供应商的报价是供应商响应谈判项目要求的全部工作内容的价格体现，包括供应商所提供的产品费、运杂费（含保险）、仓储保管费、人工费、税金、中标人服务费</w:t>
      </w:r>
      <w:r>
        <w:rPr>
          <w:rFonts w:hint="eastAsia" w:ascii="宋体" w:hAnsi="宋体" w:cs="宋体"/>
          <w:color w:val="auto"/>
          <w:spacing w:val="4"/>
          <w:sz w:val="24"/>
          <w:highlight w:val="none"/>
        </w:rPr>
        <w:t>等</w:t>
      </w:r>
      <w:r>
        <w:rPr>
          <w:rFonts w:hint="eastAsia" w:ascii="宋体" w:hAnsi="宋体" w:cs="宋体"/>
          <w:color w:val="auto"/>
          <w:sz w:val="24"/>
          <w:highlight w:val="none"/>
        </w:rPr>
        <w:t>履行合同产生的一切相关费用。供应商所报的价格应考虑到可能发生的所有与完成本项目相关服务及履行合同义务有关的一切费用。</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19.4供应商</w:t>
      </w:r>
      <w:r>
        <w:rPr>
          <w:rFonts w:hint="eastAsia" w:ascii="宋体" w:hAnsi="宋体" w:cs="宋体"/>
          <w:color w:val="auto"/>
          <w:kern w:val="0"/>
          <w:sz w:val="24"/>
          <w:highlight w:val="none"/>
        </w:rPr>
        <w:t>应按</w:t>
      </w:r>
      <w:r>
        <w:rPr>
          <w:rFonts w:hint="eastAsia" w:ascii="宋体" w:hAnsi="宋体" w:cs="宋体"/>
          <w:color w:val="auto"/>
          <w:sz w:val="24"/>
          <w:highlight w:val="none"/>
        </w:rPr>
        <w:t>“第一次谈判报价表”</w:t>
      </w:r>
      <w:r>
        <w:rPr>
          <w:rFonts w:hint="eastAsia" w:ascii="宋体" w:hAnsi="宋体" w:cs="宋体"/>
          <w:color w:val="auto"/>
          <w:kern w:val="0"/>
          <w:sz w:val="24"/>
          <w:highlight w:val="none"/>
        </w:rPr>
        <w:t>的内容</w:t>
      </w:r>
      <w:r>
        <w:rPr>
          <w:rFonts w:hint="eastAsia" w:ascii="宋体" w:hAnsi="宋体" w:cs="宋体"/>
          <w:color w:val="auto"/>
          <w:sz w:val="24"/>
          <w:highlight w:val="none"/>
        </w:rPr>
        <w:t>和格式要求填写。谈判总价中不得包含谈判文件要求以外的内容，否则，在评审时不予核减。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19.5谈判最后报价，在采购需求无实质性变更下，不得高于首次谈判报价，各供应商分项报价中所有报价（与最终谈判报价比例一致）同比例下浮。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19.6当谈判小组认为，某供应商的报价存在明显低于其他通过符合性审查供应商的报价，有可能影响项目质量和不能诚信履约的，应当要求其在评审现场规定时间内，提供必要的书面文件予以解释和说明，必要时提交相关证明材料；若供应商不能证明其报价合理性，谈判小组将其作无效响应处理。</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20.谈判响应文件</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 xml:space="preserve">    </w:t>
      </w:r>
      <w:r>
        <w:rPr>
          <w:rFonts w:hint="eastAsia" w:ascii="宋体" w:hAnsi="宋体" w:cs="宋体"/>
          <w:bCs/>
          <w:color w:val="auto"/>
          <w:sz w:val="24"/>
          <w:highlight w:val="none"/>
        </w:rPr>
        <w:t>20.1供应商应</w:t>
      </w:r>
      <w:r>
        <w:rPr>
          <w:rFonts w:hint="eastAsia" w:ascii="宋体" w:hAnsi="宋体" w:cs="宋体"/>
          <w:color w:val="auto"/>
          <w:sz w:val="24"/>
          <w:highlight w:val="none"/>
        </w:rPr>
        <w:t>按照谈判文件商务要求做出完全响应。未作出商务响应的，作为不实质性响应谈判文件，按无效响应处理。</w:t>
      </w:r>
    </w:p>
    <w:p>
      <w:pPr>
        <w:pStyle w:val="2"/>
        <w:spacing w:line="360" w:lineRule="auto"/>
        <w:ind w:firstLine="465"/>
        <w:rPr>
          <w:rFonts w:ascii="宋体" w:hAnsi="宋体" w:cs="宋体"/>
          <w:color w:val="auto"/>
          <w:sz w:val="24"/>
          <w:szCs w:val="24"/>
          <w:highlight w:val="none"/>
        </w:rPr>
      </w:pPr>
      <w:bookmarkStart w:id="72" w:name="_Toc217446050"/>
      <w:bookmarkStart w:id="73" w:name="_Toc183582223"/>
      <w:bookmarkStart w:id="74" w:name="_Toc183682360"/>
      <w:r>
        <w:rPr>
          <w:rFonts w:hint="eastAsia" w:ascii="宋体" w:hAnsi="宋体" w:cs="宋体"/>
          <w:color w:val="auto"/>
          <w:sz w:val="24"/>
          <w:szCs w:val="24"/>
          <w:highlight w:val="none"/>
        </w:rPr>
        <w:t>20.2</w:t>
      </w:r>
      <w:r>
        <w:rPr>
          <w:rFonts w:hint="eastAsia" w:ascii="宋体" w:hAnsi="宋体" w:cs="宋体"/>
          <w:bCs/>
          <w:color w:val="auto"/>
          <w:sz w:val="24"/>
          <w:szCs w:val="24"/>
          <w:highlight w:val="none"/>
        </w:rPr>
        <w:t>供应商</w:t>
      </w:r>
      <w:r>
        <w:rPr>
          <w:rFonts w:hint="eastAsia" w:ascii="宋体" w:hAnsi="宋体" w:cs="宋体"/>
          <w:color w:val="auto"/>
          <w:sz w:val="24"/>
          <w:szCs w:val="24"/>
          <w:highlight w:val="none"/>
        </w:rPr>
        <w:t>按照谈判文件要求做出的响应方案，主要是针对谈判响应项目的采购需求做出的实质性响应和满足。</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21.谈判保证金</w:t>
      </w:r>
      <w:bookmarkEnd w:id="72"/>
      <w:bookmarkEnd w:id="73"/>
      <w:bookmarkEnd w:id="74"/>
    </w:p>
    <w:p>
      <w:pPr>
        <w:tabs>
          <w:tab w:val="left" w:pos="7665"/>
        </w:tabs>
        <w:spacing w:line="360" w:lineRule="auto"/>
        <w:ind w:left="13" w:leftChars="6" w:firstLine="480" w:firstLineChars="200"/>
        <w:rPr>
          <w:rFonts w:ascii="宋体" w:hAnsi="宋体" w:cs="宋体"/>
          <w:color w:val="auto"/>
          <w:sz w:val="24"/>
          <w:highlight w:val="none"/>
        </w:rPr>
      </w:pPr>
      <w:bookmarkStart w:id="75" w:name="_Toc183582224"/>
      <w:bookmarkStart w:id="76" w:name="_Toc183682361"/>
      <w:bookmarkStart w:id="77" w:name="_Toc217446051"/>
      <w:r>
        <w:rPr>
          <w:rFonts w:hint="eastAsia" w:ascii="宋体" w:hAnsi="宋体" w:cs="宋体"/>
          <w:color w:val="auto"/>
          <w:sz w:val="24"/>
          <w:highlight w:val="none"/>
        </w:rPr>
        <w:t>21.1本项目不收取保证金</w:t>
      </w:r>
    </w:p>
    <w:p>
      <w:pPr>
        <w:tabs>
          <w:tab w:val="left" w:pos="7665"/>
        </w:tabs>
        <w:spacing w:line="360" w:lineRule="auto"/>
        <w:ind w:left="13" w:leftChars="6" w:firstLine="480" w:firstLineChars="200"/>
        <w:rPr>
          <w:rFonts w:ascii="宋体" w:hAnsi="宋体" w:cs="宋体"/>
          <w:color w:val="auto"/>
          <w:sz w:val="24"/>
          <w:highlight w:val="none"/>
        </w:rPr>
      </w:pPr>
      <w:r>
        <w:rPr>
          <w:rFonts w:hint="eastAsia" w:ascii="宋体" w:hAnsi="宋体" w:cs="宋体"/>
          <w:color w:val="auto"/>
          <w:sz w:val="24"/>
          <w:highlight w:val="none"/>
        </w:rPr>
        <w:t>21.2成交供应商需在合同签订后两个工作日内，提供完整的合同复印件加盖公章以PDF格式发送至采购代理机构邮箱（邮箱：sxmzzb@163.com）。</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22.谈判有效期</w:t>
      </w:r>
      <w:bookmarkEnd w:id="75"/>
      <w:bookmarkEnd w:id="76"/>
      <w:bookmarkEnd w:id="77"/>
    </w:p>
    <w:p>
      <w:pPr>
        <w:tabs>
          <w:tab w:val="left" w:pos="7665"/>
        </w:tabs>
        <w:spacing w:line="360" w:lineRule="auto"/>
        <w:ind w:left="13" w:leftChars="6" w:firstLine="480" w:firstLineChars="200"/>
        <w:rPr>
          <w:rFonts w:ascii="宋体" w:hAnsi="宋体" w:cs="宋体"/>
          <w:color w:val="auto"/>
          <w:sz w:val="24"/>
          <w:highlight w:val="none"/>
        </w:rPr>
      </w:pPr>
      <w:r>
        <w:rPr>
          <w:rFonts w:hint="eastAsia" w:ascii="宋体" w:hAnsi="宋体" w:cs="宋体"/>
          <w:color w:val="auto"/>
          <w:sz w:val="24"/>
          <w:highlight w:val="none"/>
        </w:rPr>
        <w:t>22.1从谈判截止日起不少于90日历天。谈判有效期短于此规定期限的谈判，将按无效响应处理。</w:t>
      </w:r>
    </w:p>
    <w:p>
      <w:pPr>
        <w:tabs>
          <w:tab w:val="left" w:pos="7665"/>
        </w:tabs>
        <w:spacing w:line="360" w:lineRule="auto"/>
        <w:ind w:left="13" w:leftChars="6" w:firstLine="480" w:firstLineChars="200"/>
        <w:rPr>
          <w:rFonts w:ascii="宋体" w:hAnsi="宋体" w:cs="宋体"/>
          <w:color w:val="auto"/>
          <w:sz w:val="24"/>
          <w:highlight w:val="none"/>
        </w:rPr>
      </w:pPr>
      <w:bookmarkStart w:id="78" w:name="_Toc217446052"/>
      <w:bookmarkStart w:id="79" w:name="_Toc183582225"/>
      <w:bookmarkStart w:id="80" w:name="_Toc183682362"/>
      <w:r>
        <w:rPr>
          <w:rFonts w:hint="eastAsia" w:ascii="宋体" w:hAnsi="宋体" w:cs="宋体"/>
          <w:color w:val="auto"/>
          <w:sz w:val="24"/>
          <w:highlight w:val="none"/>
        </w:rPr>
        <w:t>22.2 出现特殊情况需要延长谈判有效期的，采购代理机构或采购人可于谈判有效期满之前要求供应商同意延长有效期，要求与答复均应为书面形式。供应商拒绝延长的，谈判在原谈判有效期期届满后将不再有效；供应商同意延长的，但不能修改或撤回其谈判响应文件。</w:t>
      </w:r>
    </w:p>
    <w:p>
      <w:pPr>
        <w:tabs>
          <w:tab w:val="left" w:pos="7665"/>
        </w:tabs>
        <w:spacing w:line="360" w:lineRule="auto"/>
        <w:ind w:left="13" w:leftChars="6" w:firstLine="480" w:firstLineChars="200"/>
        <w:rPr>
          <w:rFonts w:ascii="宋体" w:hAnsi="宋体" w:cs="宋体"/>
          <w:color w:val="auto"/>
          <w:sz w:val="24"/>
          <w:highlight w:val="none"/>
        </w:rPr>
      </w:pPr>
      <w:r>
        <w:rPr>
          <w:rFonts w:hint="eastAsia" w:ascii="宋体" w:hAnsi="宋体" w:cs="宋体"/>
          <w:color w:val="auto"/>
          <w:sz w:val="24"/>
          <w:highlight w:val="none"/>
        </w:rPr>
        <w:t>22.3 在谈判有效期内，供应商撤销谈判响应文件的，应承担谈判文件和法律规定的责任。</w:t>
      </w:r>
    </w:p>
    <w:p>
      <w:pPr>
        <w:tabs>
          <w:tab w:val="left" w:pos="7665"/>
        </w:tabs>
        <w:spacing w:line="360" w:lineRule="auto"/>
        <w:ind w:left="13" w:leftChars="6" w:firstLine="480" w:firstLineChars="200"/>
        <w:rPr>
          <w:rFonts w:ascii="宋体" w:hAnsi="宋体" w:cs="宋体"/>
          <w:color w:val="auto"/>
          <w:sz w:val="24"/>
          <w:highlight w:val="none"/>
        </w:rPr>
      </w:pPr>
      <w:r>
        <w:rPr>
          <w:rFonts w:hint="eastAsia" w:ascii="宋体" w:hAnsi="宋体" w:cs="宋体"/>
          <w:color w:val="auto"/>
          <w:sz w:val="24"/>
          <w:highlight w:val="none"/>
        </w:rPr>
        <w:t>22.4成交供应商的谈判有效期自动延长至合同终止为止</w:t>
      </w:r>
      <w:r>
        <w:rPr>
          <w:rFonts w:hint="eastAsia" w:ascii="宋体" w:hAnsi="宋体" w:cs="宋体"/>
          <w:color w:val="auto"/>
          <w:szCs w:val="21"/>
          <w:highlight w:val="none"/>
        </w:rPr>
        <w:t>。</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23.谈判响应文件的制作和签署</w:t>
      </w:r>
      <w:bookmarkEnd w:id="78"/>
      <w:bookmarkEnd w:id="79"/>
      <w:bookmarkEnd w:id="80"/>
    </w:p>
    <w:p>
      <w:pPr>
        <w:tabs>
          <w:tab w:val="left" w:pos="7665"/>
        </w:tabs>
        <w:spacing w:line="360" w:lineRule="auto"/>
        <w:ind w:left="13" w:leftChars="6" w:firstLine="480" w:firstLineChars="200"/>
        <w:rPr>
          <w:rFonts w:ascii="宋体" w:hAnsi="宋体" w:cs="宋体"/>
          <w:color w:val="auto"/>
          <w:sz w:val="24"/>
          <w:highlight w:val="none"/>
        </w:rPr>
      </w:pPr>
      <w:r>
        <w:rPr>
          <w:rFonts w:hint="eastAsia" w:ascii="宋体" w:hAnsi="宋体" w:cs="宋体"/>
          <w:color w:val="auto"/>
          <w:sz w:val="24"/>
          <w:highlight w:val="none"/>
        </w:rPr>
        <w:t>23.1谈判响应文件由资格部分、商务技术部分两部分组成，两部分谈判响应文件分开装订成册。谈判响应文件应根据谈判文件的要求制作，供应商应填写全称，同时加盖单位公章，签署、盖章、谈判响应文件内容应完整。</w:t>
      </w:r>
    </w:p>
    <w:p>
      <w:pPr>
        <w:tabs>
          <w:tab w:val="left" w:pos="7665"/>
        </w:tabs>
        <w:spacing w:line="360" w:lineRule="auto"/>
        <w:ind w:left="13" w:leftChars="6" w:firstLine="480" w:firstLineChars="200"/>
        <w:rPr>
          <w:color w:val="auto"/>
          <w:highlight w:val="none"/>
        </w:rPr>
      </w:pPr>
      <w:r>
        <w:rPr>
          <w:rFonts w:hint="eastAsia" w:ascii="宋体" w:hAnsi="宋体" w:cs="宋体"/>
          <w:color w:val="auto"/>
          <w:sz w:val="24"/>
          <w:highlight w:val="none"/>
        </w:rPr>
        <w:t>23.2 谈判响应文件格式。供应商应严格按照谈判文件第七章提供的“竞争性谈判响应文件格式”编写相关内容。除明确允许供应商可以自行编写的外，供应商不得以“竞争性谈判响应文件格式”规定之外的方式填写相关内容。谈判响应文件各项内容不能存在缺漏项，否则，供应商提供的谈判响应文件将作为无效响应文件处理。</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23.3对于没有格式要求的谈判响应文件由供应商自行编写。</w:t>
      </w:r>
    </w:p>
    <w:p>
      <w:pPr>
        <w:tabs>
          <w:tab w:val="left" w:pos="1080"/>
        </w:tabs>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23.4供应商应按“供应商须知前附表”准备谈判响应文件正本、副本和相应的电子文件。谈判响应文件的正本和副本应在其封面右上角清楚地标明“正本”、“副本”或“电子版”字样。</w:t>
      </w:r>
      <w:r>
        <w:rPr>
          <w:rFonts w:hint="eastAsia" w:ascii="宋体" w:hAnsi="宋体" w:cs="宋体"/>
          <w:b/>
          <w:bCs/>
          <w:color w:val="auto"/>
          <w:sz w:val="24"/>
          <w:highlight w:val="none"/>
        </w:rPr>
        <w:t>若正本和副本有不一致的内容，以正本书面谈判响应文件为准。</w:t>
      </w:r>
    </w:p>
    <w:p>
      <w:pPr>
        <w:tabs>
          <w:tab w:val="left" w:pos="1080"/>
        </w:tabs>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23.5 谈判响应文件的正本和副本均需打印或用不褪色、不变质的墨水书写，并由供应商的法定代表人或其授权代表在谈判文件的规定地方进行签署、盖章。谈判响应文件副本不可采用正本的复印件。</w:t>
      </w:r>
    </w:p>
    <w:p>
      <w:pPr>
        <w:tabs>
          <w:tab w:val="left" w:pos="1095"/>
        </w:tabs>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23.6谈判响应文件必须按照谈判文件第七章“谈判响应文件格式”中的要求进行签署、盖章；谈判文件中凡是需要法定代表人签字或盖章之处，非法人单位的负责人均参照执行。</w:t>
      </w:r>
    </w:p>
    <w:p>
      <w:pPr>
        <w:pStyle w:val="133"/>
        <w:spacing w:line="360" w:lineRule="auto"/>
        <w:ind w:firstLine="480" w:firstLineChars="200"/>
        <w:rPr>
          <w:color w:val="auto"/>
          <w:highlight w:val="none"/>
        </w:rPr>
      </w:pPr>
      <w:r>
        <w:rPr>
          <w:rFonts w:hint="eastAsia"/>
          <w:color w:val="auto"/>
          <w:highlight w:val="none"/>
        </w:rPr>
        <w:t>23.7谈判响应文件正本和副本</w:t>
      </w:r>
      <w:r>
        <w:rPr>
          <w:rFonts w:hint="eastAsia"/>
          <w:color w:val="auto"/>
          <w:highlight w:val="none"/>
          <w:lang w:val="zh-CN"/>
        </w:rPr>
        <w:t>分别装订成册，</w:t>
      </w:r>
      <w:r>
        <w:rPr>
          <w:rFonts w:hint="eastAsia"/>
          <w:color w:val="auto"/>
          <w:highlight w:val="none"/>
        </w:rPr>
        <w:t>并逐页编码。文件胶装装订后，页面不可抽取，不得有活动页，无破损、不可拆分。</w:t>
      </w:r>
      <w:r>
        <w:rPr>
          <w:rFonts w:hint="eastAsia"/>
          <w:b/>
          <w:bCs/>
          <w:color w:val="auto"/>
          <w:highlight w:val="none"/>
        </w:rPr>
        <w:t>供应商须在响应文件正本及副本的书脊标明：项目编号及供应商名称</w:t>
      </w:r>
      <w:r>
        <w:rPr>
          <w:rFonts w:hint="eastAsia"/>
          <w:color w:val="auto"/>
          <w:highlight w:val="none"/>
        </w:rPr>
        <w:t>。</w:t>
      </w:r>
    </w:p>
    <w:p>
      <w:pPr>
        <w:spacing w:line="360" w:lineRule="auto"/>
        <w:ind w:firstLine="480" w:firstLineChars="200"/>
        <w:jc w:val="left"/>
        <w:rPr>
          <w:rFonts w:hAnsi="宋体" w:cs="宋体"/>
          <w:b/>
          <w:color w:val="auto"/>
          <w:sz w:val="24"/>
          <w:highlight w:val="none"/>
        </w:rPr>
      </w:pPr>
      <w:r>
        <w:rPr>
          <w:rFonts w:hint="eastAsia" w:ascii="宋体" w:hAnsi="宋体" w:cs="宋体"/>
          <w:color w:val="auto"/>
          <w:sz w:val="24"/>
          <w:highlight w:val="none"/>
        </w:rPr>
        <w:t>23.8</w:t>
      </w:r>
      <w:r>
        <w:rPr>
          <w:rFonts w:hint="eastAsia" w:ascii="宋体" w:hAnsi="宋体" w:cs="宋体"/>
          <w:b/>
          <w:bCs/>
          <w:color w:val="auto"/>
          <w:sz w:val="24"/>
          <w:highlight w:val="none"/>
        </w:rPr>
        <w:t>谈判响应文件电子版与纸质正本谈判响应文件的内容应保持一致，具有同等法律效力。</w:t>
      </w:r>
      <w:bookmarkStart w:id="81" w:name="_Toc183582226"/>
      <w:bookmarkStart w:id="82" w:name="_Toc89075877"/>
      <w:bookmarkStart w:id="83" w:name="_Toc77400781"/>
      <w:bookmarkStart w:id="84" w:name="_Toc183682363"/>
      <w:bookmarkStart w:id="85" w:name="_Toc217446053"/>
      <w:r>
        <w:rPr>
          <w:rFonts w:hint="eastAsia" w:ascii="宋体" w:hAnsi="宋体" w:cs="宋体"/>
          <w:b/>
          <w:bCs/>
          <w:color w:val="auto"/>
          <w:sz w:val="24"/>
          <w:highlight w:val="none"/>
        </w:rPr>
        <w:t>采用Word格式及加盖公章的和PDF格式（供应商提供与纸质响应文件正本一致的PDF格式，且盖章、签字处必须扫描并清晰可辨），采用U盘存储（需在U盘面上标注供应商简称、项目编号）。</w:t>
      </w:r>
    </w:p>
    <w:p>
      <w:pPr>
        <w:pStyle w:val="4"/>
        <w:spacing w:before="120" w:beforeLines="50" w:after="120" w:afterLines="50" w:line="360" w:lineRule="auto"/>
        <w:rPr>
          <w:rFonts w:ascii="宋体" w:hAnsi="宋体" w:eastAsia="宋体" w:cs="宋体"/>
          <w:bCs/>
          <w:color w:val="auto"/>
          <w:highlight w:val="none"/>
        </w:rPr>
      </w:pPr>
      <w:bookmarkStart w:id="86" w:name="_Toc20184"/>
      <w:r>
        <w:rPr>
          <w:rFonts w:hint="eastAsia" w:ascii="宋体" w:hAnsi="宋体" w:eastAsia="宋体" w:cs="宋体"/>
          <w:bCs/>
          <w:color w:val="auto"/>
          <w:highlight w:val="none"/>
        </w:rPr>
        <w:t>五、响应文件的递交</w:t>
      </w:r>
      <w:bookmarkEnd w:id="86"/>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24.响应文件内容要求</w:t>
      </w:r>
    </w:p>
    <w:p>
      <w:pPr>
        <w:tabs>
          <w:tab w:val="left" w:pos="1080"/>
        </w:tabs>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供应商应仔细阅读采购谈判文件中的所有事项、格式、条款和要求，对采购谈判文件的全部内容及要求作出实质性响应，提交相应资料。若分包，应以包为单位递交响应文件，不得在其中选项谈判或将其中内容再行分解，否则其响应文件将被视为无效响应文件。</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25.谈判响应文件的密封和标</w:t>
      </w:r>
      <w:bookmarkEnd w:id="81"/>
      <w:bookmarkEnd w:id="82"/>
      <w:bookmarkEnd w:id="83"/>
      <w:bookmarkEnd w:id="84"/>
      <w:r>
        <w:rPr>
          <w:rFonts w:hint="eastAsia" w:ascii="宋体" w:hAnsi="宋体" w:cs="宋体"/>
          <w:color w:val="auto"/>
          <w:highlight w:val="none"/>
        </w:rPr>
        <w:t>注</w:t>
      </w:r>
      <w:bookmarkEnd w:id="85"/>
    </w:p>
    <w:p>
      <w:pPr>
        <w:adjustRightInd w:val="0"/>
        <w:snapToGrid w:val="0"/>
        <w:spacing w:line="360" w:lineRule="auto"/>
        <w:ind w:firstLine="480" w:firstLineChars="200"/>
        <w:rPr>
          <w:rFonts w:ascii="宋体" w:hAnsi="宋体" w:cs="宋体"/>
          <w:color w:val="auto"/>
          <w:sz w:val="24"/>
          <w:highlight w:val="none"/>
        </w:rPr>
      </w:pPr>
      <w:bookmarkStart w:id="87" w:name="_Toc183582227"/>
      <w:bookmarkStart w:id="88" w:name="_Toc183682364"/>
      <w:bookmarkStart w:id="89" w:name="_Toc217446054"/>
      <w:r>
        <w:rPr>
          <w:rFonts w:hint="eastAsia" w:ascii="宋体" w:hAnsi="宋体" w:cs="宋体"/>
          <w:color w:val="auto"/>
          <w:sz w:val="24"/>
          <w:highlight w:val="none"/>
        </w:rPr>
        <w:t>25.1密封包装方式：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（1）资格部分谈判响应文件正本用封袋单独密封，副本用封袋单独或一起密封。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（2）商务技术部分谈判响应文件正本用封袋单独密封，副本用封袋单独或一起密封。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（3）谈判响应文件电子版单独密封</w:t>
      </w:r>
      <w:r>
        <w:rPr>
          <w:rFonts w:hint="eastAsia" w:ascii="宋体" w:hAnsi="宋体" w:cs="宋体"/>
          <w:color w:val="auto"/>
          <w:kern w:val="0"/>
          <w:sz w:val="24"/>
          <w:highlight w:val="none"/>
        </w:rPr>
        <w:t>。</w:t>
      </w:r>
    </w:p>
    <w:p>
      <w:pPr>
        <w:tabs>
          <w:tab w:val="left" w:pos="1080"/>
        </w:tabs>
        <w:spacing w:line="360" w:lineRule="auto"/>
        <w:ind w:firstLine="435"/>
        <w:rPr>
          <w:rFonts w:ascii="宋体" w:hAnsi="宋体" w:cs="宋体"/>
          <w:color w:val="auto"/>
          <w:sz w:val="24"/>
          <w:highlight w:val="none"/>
        </w:rPr>
      </w:pPr>
      <w:r>
        <w:rPr>
          <w:rFonts w:hint="eastAsia" w:ascii="宋体" w:hAnsi="宋体" w:cs="宋体"/>
          <w:color w:val="auto"/>
          <w:kern w:val="0"/>
          <w:sz w:val="24"/>
          <w:highlight w:val="none"/>
        </w:rPr>
        <w:t>（4）</w:t>
      </w:r>
      <w:r>
        <w:rPr>
          <w:rFonts w:hint="eastAsia" w:ascii="宋体" w:hAnsi="宋体" w:cs="宋体"/>
          <w:color w:val="auto"/>
          <w:sz w:val="24"/>
          <w:highlight w:val="none"/>
        </w:rPr>
        <w:t>谈判响应</w:t>
      </w:r>
      <w:r>
        <w:rPr>
          <w:rFonts w:hint="eastAsia" w:ascii="宋体" w:hAnsi="宋体" w:cs="宋体"/>
          <w:color w:val="auto"/>
          <w:kern w:val="0"/>
          <w:sz w:val="24"/>
          <w:highlight w:val="none"/>
        </w:rPr>
        <w:t>文件</w:t>
      </w:r>
      <w:r>
        <w:rPr>
          <w:rFonts w:hint="eastAsia" w:ascii="宋体" w:hAnsi="宋体" w:cs="宋体"/>
          <w:color w:val="auto"/>
          <w:sz w:val="24"/>
          <w:highlight w:val="none"/>
        </w:rPr>
        <w:t>封袋包装应加封条密封，在封线处加盖公章（骑缝章），标明项目编号、项目名称、“正本”、“副本”、“电子版”字样、供应商全称（公章）及法定代表人或授权代表签字等内容。</w:t>
      </w:r>
    </w:p>
    <w:p>
      <w:pPr>
        <w:tabs>
          <w:tab w:val="left" w:pos="1080"/>
        </w:tabs>
        <w:spacing w:line="360" w:lineRule="auto"/>
        <w:ind w:firstLine="435"/>
        <w:rPr>
          <w:rFonts w:ascii="宋体" w:hAnsi="宋体" w:cs="宋体"/>
          <w:color w:val="auto"/>
          <w:sz w:val="24"/>
          <w:highlight w:val="none"/>
        </w:rPr>
      </w:pPr>
      <w:r>
        <w:rPr>
          <w:rFonts w:hint="eastAsia" w:ascii="宋体" w:hAnsi="宋体" w:cs="宋体"/>
          <w:color w:val="auto"/>
          <w:sz w:val="24"/>
          <w:highlight w:val="none"/>
        </w:rPr>
        <w:t>25.2 未按本章第25.1条款要求进行密封的谈判响应文件，采购代理机构将拒绝接收。</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26.谈判响应文件的</w:t>
      </w:r>
      <w:bookmarkEnd w:id="87"/>
      <w:bookmarkEnd w:id="88"/>
      <w:r>
        <w:rPr>
          <w:rFonts w:hint="eastAsia" w:ascii="宋体" w:hAnsi="宋体" w:cs="宋体"/>
          <w:color w:val="auto"/>
          <w:highlight w:val="none"/>
        </w:rPr>
        <w:t>递交</w:t>
      </w:r>
      <w:bookmarkEnd w:id="89"/>
    </w:p>
    <w:p>
      <w:pPr>
        <w:tabs>
          <w:tab w:val="left" w:pos="1095"/>
        </w:tabs>
        <w:spacing w:line="360" w:lineRule="auto"/>
        <w:ind w:firstLine="460" w:firstLineChars="192"/>
        <w:rPr>
          <w:rFonts w:ascii="宋体" w:hAnsi="宋体" w:cs="宋体"/>
          <w:color w:val="auto"/>
          <w:sz w:val="24"/>
          <w:highlight w:val="none"/>
        </w:rPr>
      </w:pPr>
      <w:bookmarkStart w:id="90" w:name="_Toc183582228"/>
      <w:bookmarkStart w:id="91" w:name="_Toc183682365"/>
      <w:bookmarkStart w:id="92" w:name="_Toc217446055"/>
      <w:r>
        <w:rPr>
          <w:rFonts w:hint="eastAsia" w:ascii="宋体" w:hAnsi="宋体" w:cs="宋体"/>
          <w:color w:val="auto"/>
          <w:sz w:val="24"/>
          <w:highlight w:val="none"/>
        </w:rPr>
        <w:t>26.1采购代理机构在收到谈判响应文件后记载谈判响应文件送达时间及密封情况，签收保存，并向供应商出具签收回执。采购代理机构在谈判文件规定的谈判响应文件递交截止时间前，只负责谈判响应文件的接收、登记和组织工作，对其谈判响应文件有效性不负任何责任。</w:t>
      </w:r>
    </w:p>
    <w:p>
      <w:pPr>
        <w:pStyle w:val="2"/>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26.2 本次招标不接受邮寄的谈判响应文件。</w:t>
      </w:r>
    </w:p>
    <w:p>
      <w:pPr>
        <w:pStyle w:val="2"/>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26.3谈判截止时间前按要求提供样品（如需要），迟到的样品不予接收。</w:t>
      </w:r>
    </w:p>
    <w:p>
      <w:pPr>
        <w:pStyle w:val="2"/>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26.4 除谈判文件另有规定外，供应商递交的谈判响应文件不予退还。</w:t>
      </w:r>
    </w:p>
    <w:p>
      <w:pPr>
        <w:pStyle w:val="2"/>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26.5供应商提交谈判响应文件时，出现下列情况之一的，其谈判响应文件将被拒绝接收：</w:t>
      </w:r>
    </w:p>
    <w:p>
      <w:pPr>
        <w:pStyle w:val="2"/>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（1）逾期送达的；</w:t>
      </w:r>
    </w:p>
    <w:p>
      <w:pPr>
        <w:pStyle w:val="2"/>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（2）未按照谈判文件要求密封或加写标注的；</w:t>
      </w:r>
    </w:p>
    <w:p>
      <w:pPr>
        <w:pStyle w:val="2"/>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（3）提交的谈判响应文件与本项目不相符的；</w:t>
      </w:r>
    </w:p>
    <w:p>
      <w:pPr>
        <w:tabs>
          <w:tab w:val="left" w:pos="1095"/>
        </w:tabs>
        <w:spacing w:line="360" w:lineRule="auto"/>
        <w:ind w:firstLine="460" w:firstLineChars="192"/>
        <w:rPr>
          <w:rFonts w:ascii="宋体" w:hAnsi="宋体" w:cs="宋体"/>
          <w:color w:val="auto"/>
          <w:sz w:val="24"/>
          <w:highlight w:val="none"/>
          <w:lang w:val="zh-CN"/>
        </w:rPr>
      </w:pPr>
      <w:r>
        <w:rPr>
          <w:rFonts w:hint="eastAsia" w:ascii="宋体" w:hAnsi="宋体" w:cs="宋体"/>
          <w:color w:val="auto"/>
          <w:sz w:val="24"/>
          <w:highlight w:val="none"/>
        </w:rPr>
        <w:t>（4）供应商名称与领取谈判文件时填写的文件领取登记表中名称不相符的</w:t>
      </w:r>
      <w:r>
        <w:rPr>
          <w:rFonts w:hint="eastAsia" w:ascii="宋体" w:hAnsi="宋体" w:cs="宋体"/>
          <w:color w:val="auto"/>
          <w:sz w:val="24"/>
          <w:highlight w:val="none"/>
          <w:lang w:val="zh-CN"/>
        </w:rPr>
        <w:t>。</w:t>
      </w:r>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27.谈判响应文件的修改和撤</w:t>
      </w:r>
      <w:bookmarkEnd w:id="90"/>
      <w:bookmarkEnd w:id="91"/>
      <w:r>
        <w:rPr>
          <w:rFonts w:hint="eastAsia" w:ascii="宋体" w:hAnsi="宋体" w:cs="宋体"/>
          <w:color w:val="auto"/>
          <w:highlight w:val="none"/>
        </w:rPr>
        <w:t>回</w:t>
      </w:r>
      <w:bookmarkEnd w:id="92"/>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27.1供应商在递交了谈判响应文件后，可以修改或撤回其谈判响应文件，但必须在规定的谈判截止时间前，以书面形式通知采购代理机构。</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27.2供应商的修改书或撤回通知书，应由其法定代表人或委托代理人签署并盖单位公章。修改书应按供应商须知前附表规定进行密封和标注，并在密封袋上标注“谈判响应文件修改”或“谈判响应文件撤回通知”字样，“修改文件”作为谈判响应文件的组成部分。</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27.3在谈判截止时间之后，供应商不得对其递交的谈判响应文件做任何修改或撤销谈判。</w:t>
      </w:r>
      <w:bookmarkStart w:id="93" w:name="_Toc77400782"/>
      <w:bookmarkStart w:id="94" w:name="_Toc217446056"/>
      <w:bookmarkStart w:id="95" w:name="_Toc183582231"/>
      <w:bookmarkStart w:id="96" w:name="_Toc183682368"/>
      <w:bookmarkStart w:id="97" w:name="_Toc89075878"/>
    </w:p>
    <w:p>
      <w:pPr>
        <w:pStyle w:val="4"/>
        <w:spacing w:before="120" w:beforeLines="50" w:after="120" w:afterLines="50" w:line="360" w:lineRule="auto"/>
        <w:rPr>
          <w:rFonts w:ascii="宋体" w:hAnsi="宋体" w:eastAsia="宋体" w:cs="宋体"/>
          <w:bCs/>
          <w:color w:val="auto"/>
          <w:highlight w:val="none"/>
        </w:rPr>
      </w:pPr>
      <w:bookmarkStart w:id="98" w:name="_Toc31341"/>
      <w:r>
        <w:rPr>
          <w:rFonts w:hint="eastAsia" w:ascii="宋体" w:hAnsi="宋体" w:eastAsia="宋体" w:cs="宋体"/>
          <w:bCs/>
          <w:color w:val="auto"/>
          <w:highlight w:val="none"/>
        </w:rPr>
        <w:t>六、</w:t>
      </w:r>
      <w:bookmarkEnd w:id="93"/>
      <w:bookmarkEnd w:id="94"/>
      <w:bookmarkEnd w:id="95"/>
      <w:bookmarkEnd w:id="96"/>
      <w:bookmarkEnd w:id="97"/>
      <w:r>
        <w:rPr>
          <w:rFonts w:hint="eastAsia" w:ascii="宋体" w:hAnsi="宋体" w:eastAsia="宋体" w:cs="宋体"/>
          <w:bCs/>
          <w:color w:val="auto"/>
          <w:highlight w:val="none"/>
        </w:rPr>
        <w:t>谈判</w:t>
      </w:r>
      <w:bookmarkEnd w:id="98"/>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28.谈判时间和地点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28.1采购代理机构在供应商须知前附表中规定的谈判截止时间和地点组织竞争性谈判。谈判由采购代理机构主持，采购人、供应商和有关方面代表参加，签名报到以证明其出席。</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28.2 供应商未参加谈判的，视同认可谈判结果。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28.3采购人或者采购代理机构负责组织评审工作，并履行相应职责。</w:t>
      </w:r>
      <w:bookmarkStart w:id="99" w:name="_Toc21744605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 竞争性谈判的特殊情况处理：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snapToGrid w:val="0"/>
          <w:color w:val="auto"/>
          <w:kern w:val="0"/>
          <w:sz w:val="24"/>
          <w:highlight w:val="none"/>
        </w:rPr>
        <w:t>谈判文件能够详细列明采购标的的技术、服务要求的，谈判结束后，谈判小组应当要求所有实质性响应的供应商在规定时间内提交最后报价，提交最后报价的供应商不得少于3家。但经财政部批准，只有2家供应商进行谈判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snapToGrid w:val="0"/>
          <w:color w:val="auto"/>
          <w:kern w:val="0"/>
          <w:sz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29.谈判程序</w:t>
      </w:r>
      <w:bookmarkEnd w:id="99"/>
    </w:p>
    <w:p>
      <w:pPr>
        <w:pStyle w:val="27"/>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29.1谈判会议由采购代理机构主持。主持人按照谈判文件规定的谈判时间宣布谈判，按照规定要求主持谈判会并按以下程序进行（但不限于）：</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（1）宣布谈判开始并致辞。</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（2）宣布谈判纪律和有关注意事项。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（3）公布参加谈判的供应商名单；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（4）宣布主持人、记录人等有关工作人员；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检查谈判响应文件密封情况是指，由供应商或者其推选的代表检查其自己递交的谈判响应文件的密封情况，以确认各供应商的谈判响应文件密封情况是否与递交时一致，没有被提前启封等异常情况，经检查无误后，签字确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（6）谈判拆标。主持人宣布谈判后，由现场工作人员按顺序对供应商的“谈判响应文件”当众进行拆封，并对所有供应商的响应文件数量进行核对，由供应商法人代表或授权代表签字确认；</w:t>
      </w:r>
    </w:p>
    <w:p>
      <w:pPr>
        <w:spacing w:line="360" w:lineRule="auto"/>
        <w:ind w:firstLine="460" w:firstLineChars="192"/>
        <w:rPr>
          <w:rFonts w:ascii="宋体" w:hAnsi="宋体" w:cs="宋体"/>
          <w:color w:val="auto"/>
          <w:sz w:val="24"/>
          <w:highlight w:val="none"/>
        </w:rPr>
      </w:pPr>
      <w:bookmarkStart w:id="100" w:name="_Toc217446059"/>
      <w:r>
        <w:rPr>
          <w:rFonts w:hint="eastAsia" w:ascii="宋体" w:hAnsi="宋体" w:cs="宋体"/>
          <w:color w:val="auto"/>
          <w:sz w:val="24"/>
          <w:highlight w:val="none"/>
        </w:rPr>
        <w:t>（7）宣布谈判会议结束。主持人宣布谈判会议结束后，所有供应商应立即退场（谈判文件要求有演示、介绍等的除外）。同时所有供应商应保持通讯设备的畅通，以方便在评审过程中谈判小组要求供应商对谈判响应文件的必要澄清。</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 xml:space="preserve">29.2 </w:t>
      </w:r>
      <w:r>
        <w:rPr>
          <w:rFonts w:hint="eastAsia" w:ascii="宋体" w:hAnsi="宋体" w:cs="宋体"/>
          <w:color w:val="auto"/>
          <w:kern w:val="0"/>
          <w:sz w:val="24"/>
          <w:highlight w:val="none"/>
        </w:rPr>
        <w:t>供应商对谈判过程和谈判记录有疑义，以及认为采购人、采购代理机构相关工作人员有需要回避的情形的，应当场提出询问或者回避申请。采购人、采购代理机构对供应商代表提出的询问或者回避申请应当及时处理，并制作记录。</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29.3采购代理机构对谈判、资格审查和评审全过程进行全程摄（录）像、文字记录，并存档备查。</w:t>
      </w:r>
    </w:p>
    <w:p>
      <w:pPr>
        <w:pStyle w:val="4"/>
        <w:spacing w:before="300" w:after="120" w:afterLines="50" w:line="360" w:lineRule="auto"/>
        <w:rPr>
          <w:rFonts w:ascii="宋体" w:hAnsi="宋体" w:eastAsia="宋体" w:cs="宋体"/>
          <w:bCs/>
          <w:color w:val="auto"/>
          <w:highlight w:val="none"/>
        </w:rPr>
      </w:pPr>
      <w:bookmarkStart w:id="101" w:name="_Toc30491"/>
      <w:bookmarkStart w:id="102" w:name="_Toc71729629"/>
      <w:r>
        <w:rPr>
          <w:rFonts w:hint="eastAsia" w:ascii="宋体" w:hAnsi="宋体" w:eastAsia="宋体" w:cs="宋体"/>
          <w:bCs/>
          <w:color w:val="auto"/>
          <w:highlight w:val="none"/>
        </w:rPr>
        <w:t>七、供应商资格审查</w:t>
      </w:r>
      <w:bookmarkEnd w:id="101"/>
      <w:bookmarkEnd w:id="102"/>
    </w:p>
    <w:p>
      <w:pPr>
        <w:pStyle w:val="5"/>
        <w:rPr>
          <w:rFonts w:ascii="宋体" w:hAnsi="宋体" w:cs="宋体"/>
          <w:color w:val="auto"/>
          <w:highlight w:val="none"/>
        </w:rPr>
      </w:pPr>
      <w:r>
        <w:rPr>
          <w:rFonts w:hint="eastAsia" w:ascii="宋体" w:hAnsi="宋体" w:cs="宋体"/>
          <w:color w:val="auto"/>
          <w:highlight w:val="none"/>
        </w:rPr>
        <w:t>30.1资格审查人员</w:t>
      </w:r>
    </w:p>
    <w:p>
      <w:pPr>
        <w:spacing w:after="120" w:afterLines="50"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开标结束后，采购人按照《中华人民共和国政府采购法》有关规定，对谈判响应文件正本中的供应商资格证明文件进行审查。资格审查结束后，资格审查人员对审查结果进行签字确认，若供应商资格审查未通过，注明未通过原因并告知其供应商。</w:t>
      </w:r>
    </w:p>
    <w:p>
      <w:pPr>
        <w:pStyle w:val="5"/>
        <w:rPr>
          <w:rFonts w:ascii="宋体" w:hAnsi="宋体" w:cs="宋体"/>
          <w:color w:val="auto"/>
          <w:highlight w:val="none"/>
        </w:rPr>
      </w:pPr>
      <w:r>
        <w:rPr>
          <w:rFonts w:hint="eastAsia" w:ascii="宋体" w:hAnsi="宋体" w:cs="宋体"/>
          <w:color w:val="auto"/>
          <w:highlight w:val="none"/>
        </w:rPr>
        <w:t>30.2资格审查办法</w:t>
      </w:r>
    </w:p>
    <w:p>
      <w:pPr>
        <w:tabs>
          <w:tab w:val="left" w:pos="0"/>
        </w:tabs>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30.2.1资格审查在开标之后评审之前进行。</w:t>
      </w:r>
    </w:p>
    <w:p>
      <w:pPr>
        <w:tabs>
          <w:tab w:val="left" w:pos="0"/>
        </w:tabs>
        <w:adjustRightInd w:val="0"/>
        <w:snapToGrid w:val="0"/>
        <w:spacing w:line="360" w:lineRule="auto"/>
        <w:ind w:firstLine="470" w:firstLineChars="196"/>
        <w:rPr>
          <w:rFonts w:ascii="宋体" w:hAnsi="宋体" w:cs="宋体"/>
          <w:color w:val="auto"/>
          <w:kern w:val="0"/>
          <w:sz w:val="24"/>
          <w:highlight w:val="none"/>
        </w:rPr>
      </w:pPr>
      <w:r>
        <w:rPr>
          <w:rFonts w:hint="eastAsia" w:ascii="宋体" w:hAnsi="宋体" w:cs="宋体"/>
          <w:color w:val="auto"/>
          <w:sz w:val="24"/>
          <w:highlight w:val="none"/>
        </w:rPr>
        <w:t>30.2.2资格审查人员将依据供应商谈判响应文件，按照谈判文件第三章11.1条款所述资格要求对供应商进行资格审查，以确定其是否具备相应资格。</w:t>
      </w:r>
      <w:r>
        <w:rPr>
          <w:rFonts w:hint="eastAsia" w:ascii="宋体" w:hAnsi="宋体" w:cs="宋体"/>
          <w:color w:val="auto"/>
          <w:kern w:val="0"/>
          <w:sz w:val="24"/>
          <w:highlight w:val="none"/>
        </w:rPr>
        <w:t>如果供应商不具备资格、不满足谈判文件所规定的资格条件,将被视为未实质性响应谈判文件,按无效投标处理，资格审查不合格的供应商，不得进入下一评审环节。</w:t>
      </w:r>
    </w:p>
    <w:p>
      <w:pPr>
        <w:tabs>
          <w:tab w:val="left" w:pos="0"/>
        </w:tabs>
        <w:adjustRightInd w:val="0"/>
        <w:snapToGrid w:val="0"/>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30.2.3 供应商须知前附表规定本项目专门面向中小企业采购的，供应商应符合政府采购政策规定的中小企业条件，并提供相应证明材料：《中小企业声明函》或者《残疾人福利性单位声明函》或者监狱企业的证明。</w:t>
      </w:r>
      <w:r>
        <w:rPr>
          <w:rFonts w:hint="eastAsia" w:ascii="宋体" w:hAnsi="宋体" w:cs="宋体"/>
          <w:color w:val="auto"/>
          <w:sz w:val="24"/>
          <w:highlight w:val="none"/>
        </w:rPr>
        <w:t>不提供或提供有瑕疵的，</w:t>
      </w:r>
      <w:r>
        <w:rPr>
          <w:rFonts w:hint="eastAsia" w:ascii="宋体" w:hAnsi="宋体" w:cs="宋体"/>
          <w:color w:val="auto"/>
          <w:kern w:val="0"/>
          <w:sz w:val="24"/>
          <w:highlight w:val="none"/>
        </w:rPr>
        <w:t>不得进入下一评审环节。</w:t>
      </w:r>
    </w:p>
    <w:p>
      <w:pPr>
        <w:tabs>
          <w:tab w:val="left" w:pos="0"/>
        </w:tabs>
        <w:adjustRightInd w:val="0"/>
        <w:snapToGrid w:val="0"/>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30.2.4供应商信用查询结果使用，凡存在下列情形之一的，审查不予通过：</w:t>
      </w:r>
    </w:p>
    <w:p>
      <w:pPr>
        <w:tabs>
          <w:tab w:val="left" w:pos="0"/>
        </w:tabs>
        <w:adjustRightInd w:val="0"/>
        <w:snapToGrid w:val="0"/>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（1）列入严重违法失信名单的；</w:t>
      </w:r>
    </w:p>
    <w:p>
      <w:pPr>
        <w:tabs>
          <w:tab w:val="left" w:pos="0"/>
        </w:tabs>
        <w:adjustRightInd w:val="0"/>
        <w:snapToGrid w:val="0"/>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sz w:val="24"/>
          <w:highlight w:val="none"/>
          <w:shd w:val="clear" w:color="auto" w:fill="FFFFFF"/>
        </w:rPr>
        <w:t>列入政府采购严重违法失信行为记录名单的；</w:t>
      </w:r>
    </w:p>
    <w:p>
      <w:pPr>
        <w:tabs>
          <w:tab w:val="left" w:pos="0"/>
        </w:tabs>
        <w:adjustRightInd w:val="0"/>
        <w:snapToGrid w:val="0"/>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（3）列入</w:t>
      </w:r>
      <w:r>
        <w:rPr>
          <w:rFonts w:hint="eastAsia" w:cs="宋体"/>
          <w:bCs/>
          <w:color w:val="auto"/>
          <w:sz w:val="24"/>
          <w:highlight w:val="none"/>
        </w:rPr>
        <w:t>重大税收违法失信主体</w:t>
      </w:r>
      <w:r>
        <w:rPr>
          <w:rFonts w:hint="eastAsia" w:ascii="宋体" w:hAnsi="宋体" w:cs="宋体"/>
          <w:color w:val="auto"/>
          <w:kern w:val="0"/>
          <w:sz w:val="24"/>
          <w:highlight w:val="none"/>
        </w:rPr>
        <w:t>的；</w:t>
      </w:r>
    </w:p>
    <w:p>
      <w:pPr>
        <w:tabs>
          <w:tab w:val="left" w:pos="0"/>
        </w:tabs>
        <w:adjustRightInd w:val="0"/>
        <w:snapToGrid w:val="0"/>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（4）近3年内受到暂扣或者吊销许可证、暂扣或者吊销执照行政处罚的；</w:t>
      </w:r>
    </w:p>
    <w:p>
      <w:pPr>
        <w:tabs>
          <w:tab w:val="left" w:pos="0"/>
        </w:tabs>
        <w:adjustRightInd w:val="0"/>
        <w:snapToGrid w:val="0"/>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（5）近3年内受到责令停产停业行政处罚的；</w:t>
      </w:r>
    </w:p>
    <w:p>
      <w:pPr>
        <w:tabs>
          <w:tab w:val="left" w:pos="0"/>
        </w:tabs>
        <w:adjustRightInd w:val="0"/>
        <w:snapToGrid w:val="0"/>
        <w:spacing w:line="360" w:lineRule="auto"/>
        <w:ind w:firstLine="470" w:firstLineChars="196"/>
        <w:rPr>
          <w:rFonts w:ascii="宋体" w:hAnsi="宋体" w:cs="宋体"/>
          <w:color w:val="auto"/>
          <w:kern w:val="0"/>
          <w:sz w:val="24"/>
          <w:highlight w:val="none"/>
        </w:rPr>
      </w:pPr>
      <w:r>
        <w:rPr>
          <w:rFonts w:hint="eastAsia" w:ascii="宋体" w:hAnsi="宋体" w:cs="宋体"/>
          <w:color w:val="auto"/>
          <w:sz w:val="24"/>
          <w:highlight w:val="none"/>
          <w:shd w:val="clear" w:color="auto" w:fill="FFFFFF"/>
        </w:rPr>
        <w:t>（6）</w:t>
      </w:r>
      <w:r>
        <w:rPr>
          <w:rFonts w:hint="eastAsia" w:ascii="宋体" w:hAnsi="宋体" w:cs="宋体"/>
          <w:color w:val="auto"/>
          <w:kern w:val="0"/>
          <w:sz w:val="24"/>
          <w:highlight w:val="none"/>
        </w:rPr>
        <w:t>法律法规规定的其他情形的。</w:t>
      </w:r>
    </w:p>
    <w:p>
      <w:pPr>
        <w:tabs>
          <w:tab w:val="left" w:pos="0"/>
        </w:tabs>
        <w:adjustRightInd w:val="0"/>
        <w:snapToGrid w:val="0"/>
        <w:spacing w:line="360" w:lineRule="auto"/>
        <w:ind w:left="488" w:leftChars="228" w:hanging="9" w:hangingChars="4"/>
        <w:rPr>
          <w:rFonts w:ascii="宋体" w:hAnsi="宋体" w:cs="宋体"/>
          <w:color w:val="auto"/>
          <w:kern w:val="0"/>
          <w:sz w:val="24"/>
          <w:highlight w:val="none"/>
        </w:rPr>
      </w:pPr>
      <w:r>
        <w:rPr>
          <w:rFonts w:hint="eastAsia" w:ascii="宋体" w:hAnsi="宋体" w:cs="宋体"/>
          <w:color w:val="auto"/>
          <w:kern w:val="0"/>
          <w:sz w:val="24"/>
          <w:highlight w:val="none"/>
        </w:rPr>
        <w:t>30.2.5资格审查标准</w:t>
      </w:r>
    </w:p>
    <w:p>
      <w:pPr>
        <w:pStyle w:val="130"/>
        <w:rPr>
          <w:rFonts w:ascii="宋体" w:hAnsi="宋体" w:cs="宋体"/>
          <w:color w:val="auto"/>
          <w:highlight w:val="none"/>
        </w:rPr>
      </w:pPr>
    </w:p>
    <w:tbl>
      <w:tblPr>
        <w:tblStyle w:val="3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6299"/>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7" w:type="dxa"/>
            <w:vAlign w:val="center"/>
          </w:tcPr>
          <w:p>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6299" w:type="dxa"/>
            <w:vAlign w:val="center"/>
          </w:tcPr>
          <w:p>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资格审查事项</w:t>
            </w:r>
          </w:p>
        </w:tc>
        <w:tc>
          <w:tcPr>
            <w:tcW w:w="2571" w:type="dxa"/>
            <w:vAlign w:val="center"/>
          </w:tcPr>
          <w:p>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597" w:type="dxa"/>
            <w:gridSpan w:val="3"/>
            <w:vAlign w:val="center"/>
          </w:tcPr>
          <w:p>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基本资格条件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727"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6299" w:type="dxa"/>
            <w:vAlign w:val="center"/>
          </w:tcPr>
          <w:p>
            <w:pPr>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供应商营业执照等证明文件，自然人的身份证明</w:t>
            </w:r>
          </w:p>
          <w:p>
            <w:pPr>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根据供应商类别进行审查：</w:t>
            </w:r>
          </w:p>
          <w:p>
            <w:pPr>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(1)企业投标的：营业执照(3证合1或多证合1)</w:t>
            </w:r>
          </w:p>
          <w:p>
            <w:pPr>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(2)事业单位投标的：事业单位法人证书</w:t>
            </w:r>
          </w:p>
          <w:p>
            <w:pPr>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(3)其他组织投标的：登记证书</w:t>
            </w:r>
          </w:p>
          <w:p>
            <w:pPr>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(4)自然人投标的：身份证</w:t>
            </w:r>
          </w:p>
        </w:tc>
        <w:tc>
          <w:tcPr>
            <w:tcW w:w="2571" w:type="dxa"/>
            <w:vAlign w:val="center"/>
          </w:tcPr>
          <w:p>
            <w:pPr>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7"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6299" w:type="dxa"/>
            <w:vAlign w:val="center"/>
          </w:tcPr>
          <w:p>
            <w:pPr>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法定代表人身份证明/法定代表人授权书</w:t>
            </w:r>
          </w:p>
          <w:p>
            <w:pPr>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（1）法定代表人（负责人）投标的：提供法定代表人（负责人）身份证明</w:t>
            </w:r>
          </w:p>
          <w:p>
            <w:pPr>
              <w:tabs>
                <w:tab w:val="left" w:pos="0"/>
              </w:tabs>
              <w:adjustRightInd w:val="0"/>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（2）法定代表人授权他人参加投标的：提供法定代表人委托授权书</w:t>
            </w:r>
          </w:p>
        </w:tc>
        <w:tc>
          <w:tcPr>
            <w:tcW w:w="2571" w:type="dxa"/>
            <w:vAlign w:val="center"/>
          </w:tcPr>
          <w:p>
            <w:pPr>
              <w:tabs>
                <w:tab w:val="left" w:pos="0"/>
              </w:tabs>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合法有效，按采购文件格式提供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7"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6299" w:type="dxa"/>
            <w:vAlign w:val="center"/>
          </w:tcPr>
          <w:p>
            <w:pPr>
              <w:tabs>
                <w:tab w:val="left" w:pos="0"/>
              </w:tabs>
              <w:adjustRightInd w:val="0"/>
              <w:snapToGrid w:val="0"/>
              <w:spacing w:line="400" w:lineRule="exact"/>
              <w:rPr>
                <w:rFonts w:ascii="宋体" w:hAnsi="宋体" w:cs="宋体"/>
                <w:b/>
                <w:bCs/>
                <w:color w:val="auto"/>
                <w:kern w:val="0"/>
                <w:sz w:val="24"/>
                <w:highlight w:val="none"/>
              </w:rPr>
            </w:pPr>
            <w:r>
              <w:rPr>
                <w:rFonts w:hint="eastAsia" w:ascii="宋体" w:hAnsi="宋体" w:cs="宋体"/>
                <w:b/>
                <w:bCs/>
                <w:color w:val="auto"/>
                <w:sz w:val="24"/>
                <w:highlight w:val="none"/>
              </w:rPr>
              <w:t>财务状况报告（满足其中任意一项）</w:t>
            </w:r>
          </w:p>
          <w:p>
            <w:pPr>
              <w:tabs>
                <w:tab w:val="left" w:pos="0"/>
              </w:tabs>
              <w:adjustRightInd w:val="0"/>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要求：</w:t>
            </w:r>
          </w:p>
          <w:p>
            <w:pPr>
              <w:numPr>
                <w:ilvl w:val="0"/>
                <w:numId w:val="6"/>
              </w:numPr>
              <w:tabs>
                <w:tab w:val="left" w:pos="0"/>
              </w:tabs>
              <w:adjustRightInd w:val="0"/>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财务报告：应提供2021全年度经审计的供应商财务报告。</w:t>
            </w:r>
          </w:p>
          <w:p>
            <w:pPr>
              <w:numPr>
                <w:ilvl w:val="0"/>
                <w:numId w:val="6"/>
              </w:numPr>
              <w:tabs>
                <w:tab w:val="left" w:pos="0"/>
              </w:tabs>
              <w:adjustRightInd w:val="0"/>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资信证明：提供谈判前六个月内由银行出具的资信证明。</w:t>
            </w:r>
          </w:p>
          <w:p>
            <w:pPr>
              <w:tabs>
                <w:tab w:val="left" w:pos="0"/>
              </w:tabs>
              <w:adjustRightInd w:val="0"/>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（3）自然人，提供谈判前六个月内由银行出具的资信证明。</w:t>
            </w:r>
          </w:p>
          <w:p>
            <w:pPr>
              <w:tabs>
                <w:tab w:val="left" w:pos="0"/>
              </w:tabs>
              <w:adjustRightInd w:val="0"/>
              <w:snapToGrid w:val="0"/>
              <w:spacing w:line="400" w:lineRule="exact"/>
              <w:rPr>
                <w:rFonts w:ascii="宋体" w:hAnsi="宋体" w:cs="宋体"/>
                <w:color w:val="auto"/>
                <w:sz w:val="24"/>
                <w:highlight w:val="none"/>
              </w:rPr>
            </w:pPr>
            <w:r>
              <w:rPr>
                <w:rFonts w:hint="eastAsia" w:ascii="宋体" w:hAnsi="宋体" w:cs="宋体"/>
                <w:color w:val="auto"/>
                <w:kern w:val="0"/>
                <w:sz w:val="24"/>
                <w:highlight w:val="none"/>
              </w:rPr>
              <w:t>（4）事业单位无需提供财务审计报告。</w:t>
            </w:r>
          </w:p>
        </w:tc>
        <w:tc>
          <w:tcPr>
            <w:tcW w:w="2571" w:type="dxa"/>
            <w:vAlign w:val="center"/>
          </w:tcPr>
          <w:p>
            <w:pPr>
              <w:tabs>
                <w:tab w:val="left" w:pos="0"/>
              </w:tabs>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1.2021年全年度经审计财务报告。</w:t>
            </w:r>
          </w:p>
          <w:p>
            <w:pPr>
              <w:tabs>
                <w:tab w:val="left" w:pos="0"/>
              </w:tabs>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2.资信证明未由银行出具或未在开标前六个月内开具的，视为不合格。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7"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6299" w:type="dxa"/>
            <w:vAlign w:val="center"/>
          </w:tcPr>
          <w:p>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税收缴纳证明</w:t>
            </w:r>
          </w:p>
          <w:p>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（1）供应商提供</w:t>
            </w:r>
            <w:r>
              <w:rPr>
                <w:rFonts w:hint="eastAsia" w:hAnsi="宋体" w:cs="宋体"/>
                <w:color w:val="auto"/>
                <w:sz w:val="24"/>
                <w:highlight w:val="none"/>
              </w:rPr>
              <w:t>截止至</w:t>
            </w:r>
            <w:r>
              <w:rPr>
                <w:rFonts w:hint="eastAsia" w:cs="宋体"/>
                <w:bCs/>
                <w:color w:val="auto"/>
                <w:sz w:val="24"/>
                <w:highlight w:val="none"/>
              </w:rPr>
              <w:t>谈判</w:t>
            </w:r>
            <w:r>
              <w:rPr>
                <w:rFonts w:hint="eastAsia" w:hAnsi="宋体" w:cs="宋体"/>
                <w:color w:val="auto"/>
                <w:sz w:val="24"/>
                <w:highlight w:val="none"/>
              </w:rPr>
              <w:t>时间前六个月</w:t>
            </w:r>
            <w:r>
              <w:rPr>
                <w:rFonts w:hint="eastAsia" w:ascii="宋体" w:hAnsi="宋体" w:cs="宋体"/>
                <w:color w:val="auto"/>
                <w:sz w:val="24"/>
                <w:highlight w:val="none"/>
              </w:rPr>
              <w:t>任一月份的缴费凭据或税务机关开具的完税证明</w:t>
            </w:r>
            <w:r>
              <w:rPr>
                <w:rFonts w:hint="eastAsia" w:ascii="宋体" w:hAnsi="宋体" w:cs="宋体"/>
                <w:color w:val="auto"/>
                <w:kern w:val="0"/>
                <w:sz w:val="24"/>
                <w:highlight w:val="none"/>
              </w:rPr>
              <w:t>（任意税种）；</w:t>
            </w:r>
          </w:p>
          <w:p>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（2）依法免税的应提供相关文件证明；</w:t>
            </w:r>
          </w:p>
          <w:p>
            <w:pPr>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（3）事业单位无需提供；</w:t>
            </w:r>
          </w:p>
        </w:tc>
        <w:tc>
          <w:tcPr>
            <w:tcW w:w="2571" w:type="dxa"/>
            <w:vAlign w:val="center"/>
          </w:tcPr>
          <w:p>
            <w:pPr>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7"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6299" w:type="dxa"/>
            <w:vAlign w:val="center"/>
          </w:tcPr>
          <w:p>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社会保障资金缴纳证明</w:t>
            </w:r>
          </w:p>
          <w:p>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供应商提供</w:t>
            </w:r>
            <w:r>
              <w:rPr>
                <w:rFonts w:hint="eastAsia" w:hAnsi="宋体" w:cs="宋体"/>
                <w:color w:val="auto"/>
                <w:sz w:val="24"/>
                <w:highlight w:val="none"/>
              </w:rPr>
              <w:t>截止至</w:t>
            </w:r>
            <w:r>
              <w:rPr>
                <w:rFonts w:hint="eastAsia" w:cs="宋体"/>
                <w:bCs/>
                <w:color w:val="auto"/>
                <w:sz w:val="24"/>
                <w:highlight w:val="none"/>
              </w:rPr>
              <w:t>谈判</w:t>
            </w:r>
            <w:r>
              <w:rPr>
                <w:rFonts w:hint="eastAsia" w:hAnsi="宋体" w:cs="宋体"/>
                <w:color w:val="auto"/>
                <w:sz w:val="24"/>
                <w:highlight w:val="none"/>
              </w:rPr>
              <w:t>时间前六个月</w:t>
            </w:r>
            <w:r>
              <w:rPr>
                <w:rFonts w:hint="eastAsia" w:ascii="宋体" w:hAnsi="宋体" w:cs="宋体"/>
                <w:color w:val="auto"/>
                <w:sz w:val="24"/>
                <w:highlight w:val="none"/>
              </w:rPr>
              <w:t>任一月份的缴费凭据或社保机构开具的社会保险参保缴费情况证明；</w:t>
            </w:r>
          </w:p>
          <w:p>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（2）依法不需要缴纳社会保障资金的供应商应提供相关文件证明；</w:t>
            </w:r>
          </w:p>
          <w:p>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（3）事业单位无需提供；</w:t>
            </w:r>
          </w:p>
        </w:tc>
        <w:tc>
          <w:tcPr>
            <w:tcW w:w="2571" w:type="dxa"/>
            <w:vAlign w:val="center"/>
          </w:tcPr>
          <w:p>
            <w:pPr>
              <w:tabs>
                <w:tab w:val="left" w:pos="0"/>
              </w:tabs>
              <w:adjustRightInd w:val="0"/>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7"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6299" w:type="dxa"/>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具有履行本合同所必需的设备和专业技术能力的承诺函</w:t>
            </w:r>
          </w:p>
        </w:tc>
        <w:tc>
          <w:tcPr>
            <w:tcW w:w="2571" w:type="dxa"/>
            <w:vAlign w:val="center"/>
          </w:tcPr>
          <w:p>
            <w:pPr>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按谈判文件格式提供</w:t>
            </w:r>
            <w:r>
              <w:rPr>
                <w:rFonts w:hint="eastAsia" w:ascii="宋体" w:hAnsi="宋体" w:cs="宋体"/>
                <w:color w:val="auto"/>
                <w:sz w:val="24"/>
                <w:highlight w:val="none"/>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27"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6299" w:type="dxa"/>
            <w:vAlign w:val="center"/>
          </w:tcPr>
          <w:p>
            <w:pPr>
              <w:spacing w:line="400" w:lineRule="exact"/>
              <w:jc w:val="left"/>
              <w:rPr>
                <w:rFonts w:ascii="宋体" w:hAnsi="宋体" w:cs="宋体"/>
                <w:color w:val="auto"/>
                <w:sz w:val="24"/>
                <w:highlight w:val="none"/>
                <w:lang w:val="zh-CN"/>
              </w:rPr>
            </w:pPr>
            <w:r>
              <w:rPr>
                <w:rFonts w:hint="eastAsia" w:ascii="宋体" w:hAnsi="宋体" w:cs="宋体"/>
                <w:color w:val="auto"/>
                <w:sz w:val="24"/>
                <w:highlight w:val="none"/>
              </w:rPr>
              <w:t>参加政府采购活动前三年内在经营活动中没有重大违法记录的承诺函</w:t>
            </w:r>
          </w:p>
        </w:tc>
        <w:tc>
          <w:tcPr>
            <w:tcW w:w="2571" w:type="dxa"/>
            <w:vAlign w:val="center"/>
          </w:tcPr>
          <w:p>
            <w:pPr>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按谈判文件格式提供</w:t>
            </w:r>
            <w:r>
              <w:rPr>
                <w:rFonts w:hint="eastAsia" w:ascii="宋体" w:hAnsi="宋体" w:cs="宋体"/>
                <w:color w:val="auto"/>
                <w:sz w:val="24"/>
                <w:highlight w:val="none"/>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27"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6299" w:type="dxa"/>
            <w:vAlign w:val="center"/>
          </w:tcPr>
          <w:p>
            <w:pPr>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信用查询</w:t>
            </w:r>
          </w:p>
          <w:p>
            <w:pPr>
              <w:spacing w:line="400" w:lineRule="exact"/>
              <w:jc w:val="left"/>
              <w:rPr>
                <w:rFonts w:ascii="宋体" w:hAnsi="宋体" w:cs="宋体"/>
                <w:color w:val="auto"/>
                <w:kern w:val="0"/>
                <w:sz w:val="24"/>
                <w:highlight w:val="none"/>
              </w:rPr>
            </w:pPr>
            <w:r>
              <w:rPr>
                <w:rFonts w:hint="eastAsia" w:ascii="宋体" w:hAnsi="宋体" w:cs="宋体"/>
                <w:color w:val="auto"/>
                <w:sz w:val="24"/>
                <w:highlight w:val="none"/>
              </w:rPr>
              <w:t>采购人或采购代理机构将在投标截止日当天资格审查阶段通过【信用中国（www.creditchina.gov.cn）】和【中国政府采购网（www.ccgp.gov.cn）】网站对供应商的信用情况进行查询，并将网页截图附在评审资料中作为留存依据（如相关失信记录已失效，供应商需提供相关证明资料，若没有则此项不需要提供）</w:t>
            </w:r>
          </w:p>
        </w:tc>
        <w:tc>
          <w:tcPr>
            <w:tcW w:w="257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供应商存在本章第</w:t>
            </w:r>
            <w:r>
              <w:rPr>
                <w:rFonts w:hint="eastAsia" w:ascii="宋体" w:hAnsi="宋体" w:cs="宋体"/>
                <w:color w:val="auto"/>
                <w:sz w:val="24"/>
                <w:highlight w:val="none"/>
              </w:rPr>
              <w:t>30.2.4条列举</w:t>
            </w:r>
            <w:r>
              <w:rPr>
                <w:rFonts w:hint="eastAsia" w:ascii="宋体" w:hAnsi="宋体" w:cs="宋体"/>
                <w:color w:val="auto"/>
                <w:kern w:val="0"/>
                <w:sz w:val="24"/>
                <w:highlight w:val="none"/>
              </w:rPr>
              <w:t>情形之一的，审查不予通过，即判定其限定资格条件审查结果为不合格，将不具备投标资格，按无效投标文件处理</w:t>
            </w:r>
          </w:p>
        </w:tc>
      </w:tr>
    </w:tbl>
    <w:p>
      <w:pPr>
        <w:tabs>
          <w:tab w:val="left" w:pos="0"/>
        </w:tabs>
        <w:adjustRightInd w:val="0"/>
        <w:snapToGrid w:val="0"/>
        <w:spacing w:line="360" w:lineRule="auto"/>
        <w:ind w:firstLine="470" w:firstLineChars="196"/>
        <w:rPr>
          <w:rFonts w:ascii="宋体" w:hAnsi="宋体" w:cs="宋体"/>
          <w:color w:val="auto"/>
          <w:kern w:val="0"/>
          <w:sz w:val="24"/>
          <w:highlight w:val="none"/>
        </w:rPr>
      </w:pPr>
      <w:r>
        <w:rPr>
          <w:rFonts w:hint="eastAsia" w:ascii="宋体" w:hAnsi="宋体" w:cs="宋体"/>
          <w:color w:val="auto"/>
          <w:sz w:val="24"/>
          <w:highlight w:val="none"/>
        </w:rPr>
        <w:t>30.2.6 合格供应商不足3家的，不得评标。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30.2.7 不合格的供应商，不得进入符合性审查环节。</w:t>
      </w:r>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31.谈判小组</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31.1采购代理机构按照《中华人民共和国政府采购法》、中华人民共和国2015年第658号国务院令--《中华人民共和国政府采购法实施条例》和《政府采购非招标采购方式管理办法》的规定，依法组建谈判小组。</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31.2谈判小组由采购人代表和评审专家共3人以上单数组成，其中评审专家人数不得少于谈判小组成员总数的三分之二。采购人代表不得以评审专家身份参与本部门或本单位采购项目的评审。采购代理机构人员不得参加本机构代理的采购项目的评审。</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采用竞争性谈判方式的政府采购项目，评审专家应当从政府采购评审专家库内相关专业的专家名单中随机抽取。</w:t>
      </w:r>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32.谈判与评审</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32.1 详见谈判文件第四章“评审办法”。</w:t>
      </w:r>
      <w:bookmarkEnd w:id="100"/>
      <w:bookmarkStart w:id="103" w:name="_Toc217446060"/>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32.2谈判小组成员到位后，推荐一名评审专家担任评审组长，并由评审组长牵头组织该项目评审工作，采购人授权的评审专家，不得担任评审组长。</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32.3 谈判小组成员有下列情形之一的，应当回避：</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（1）参加采购活动前三年内，与供应商存在劳动关系，或者担任过供应商的董事、监事，或者是供应商的控股股东或实际控制人；</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（2）参加采购活动前3年内与供应商发生过法律纠纷；</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（3）与供应商的法定代表人或者负责人有夫妻、直系血亲、三代以内旁系血亲或者近姻亲关系；</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（4）与供应商有其他可能影响政府采购活动公平、公正进行的关系。</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32.4 谈判小组成员名单在成交结果公告前，应当保密。</w:t>
      </w:r>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33.评审原则</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33.1“公平、公正、科学、择优”为本次评审的基本原则，谈判小组按照这一原则的要求，公正、平等地对待各供应商。同时，在评审中恪守以下原则：</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（1）统一性原则：谈判小组将按照统一的评审原则和评审方法，用统一标准进行评审。</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2）独立性原则:评审工作在谈判小组内部独立进行，不受外界任何因素的干扰和影响。谈判小组成员对其出具的意见承担个人责任。供应商试图影响或干预评审的任何行为，将导致其丧失谈判的资格，并承担相应的法律责任。</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（3）客观性原则：谈判小组将严格按照谈判文件要求，对供应商的谈判响应文件进行认真评审；谈判小组对谈判响应文件的评审仅依据谈判响应文件本身，而不依据谈判响应文件以外的任何因素。</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（4）保密性原则：采购代理机构应当采取必要的措施，保证评审在严格保密情况下进行。</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（5）综合性原则:谈判小组将综合分析、评审供应商的各项指标，而不以单项指标的优劣评定出成交供应商。</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33.2谈判小组有权对整个谈判过程中出现的一切问题，根据《中华人民共和国政府采购法》及实施条例和《政府采购非招标采购方式管理办法》等相关规定进行处理。</w:t>
      </w:r>
    </w:p>
    <w:p>
      <w:pPr>
        <w:tabs>
          <w:tab w:val="left" w:pos="0"/>
        </w:tabs>
        <w:adjustRightInd w:val="0"/>
        <w:snapToGrid w:val="0"/>
        <w:spacing w:line="360" w:lineRule="auto"/>
        <w:ind w:firstLine="470" w:firstLineChars="196"/>
        <w:rPr>
          <w:color w:val="auto"/>
          <w:highlight w:val="none"/>
        </w:rPr>
      </w:pPr>
      <w:r>
        <w:rPr>
          <w:rFonts w:hint="eastAsia" w:ascii="宋体" w:hAnsi="宋体" w:cs="宋体"/>
          <w:color w:val="auto"/>
          <w:sz w:val="24"/>
          <w:highlight w:val="none"/>
        </w:rPr>
        <w:t>33.3谈判后到向成交的供应商授予合同为止，凡与审查、澄清、评价和比较谈判的有关资料及评审意见等内容，谈判小组均不得向供应商及与谈判无关的其他人透露。</w:t>
      </w:r>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34.评审</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34.1 谈判小组严格按照谈判文件第四章“评审办法”规定的方法、评审因素、标准和程序对谈判响应文件进行评审。第四章“评审办法”没有规定的方法、评审因素和标准，不作为评审依据。</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34.2 谈判小组负责具体评审事务，并独立履行下列职责：</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（1）审查、评价谈判响应文件是否符合谈判文件的商务、技术、服务等实质性要求；</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（2）要求供应商对谈判响应文件有关事项作出澄清或者说明；</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（3）与合格的供应商进行技术和商务谈判；</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（4）对谈判响应文件进行比较和评价；</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（5）确定成交候选供应商名单，以及根据采购人委托直接确定成交供应商；</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（6）向采购人、采购代理机构或者有关部门报告评审过程中发现的违法行为；</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（7）配合采购代理机构答复供应商提出的质疑；</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（8）配合财政部门的投诉处理工作；</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34.3 采购代理机构负责组织评审工作并履行下列职责：</w:t>
      </w:r>
    </w:p>
    <w:p>
      <w:pPr>
        <w:spacing w:line="360" w:lineRule="auto"/>
        <w:ind w:firstLine="460" w:firstLineChars="192"/>
        <w:rPr>
          <w:rFonts w:ascii="宋体" w:hAnsi="宋体" w:cs="宋体"/>
          <w:bCs/>
          <w:color w:val="auto"/>
          <w:kern w:val="0"/>
          <w:sz w:val="24"/>
          <w:highlight w:val="none"/>
        </w:rPr>
      </w:pPr>
      <w:r>
        <w:rPr>
          <w:rFonts w:hint="eastAsia" w:ascii="宋体" w:hAnsi="宋体" w:cs="宋体"/>
          <w:bCs/>
          <w:color w:val="auto"/>
          <w:kern w:val="0"/>
          <w:sz w:val="24"/>
          <w:highlight w:val="none"/>
        </w:rPr>
        <w:t>（1）</w:t>
      </w:r>
      <w:r>
        <w:rPr>
          <w:rFonts w:hint="eastAsia" w:ascii="宋体" w:hAnsi="宋体" w:cs="宋体"/>
          <w:color w:val="auto"/>
          <w:kern w:val="0"/>
          <w:sz w:val="24"/>
          <w:highlight w:val="none"/>
        </w:rPr>
        <w:t>核对评审专家身份和采购人代表授权函，对评审专家在政府采购活动中的职责履行情况予以记录，并及时将有关违法违规行为向财政部门报告；</w:t>
      </w:r>
    </w:p>
    <w:p>
      <w:pPr>
        <w:spacing w:line="360" w:lineRule="auto"/>
        <w:ind w:firstLine="460" w:firstLineChars="192"/>
        <w:rPr>
          <w:rFonts w:ascii="宋体" w:hAnsi="宋体" w:cs="宋体"/>
          <w:bCs/>
          <w:color w:val="auto"/>
          <w:kern w:val="0"/>
          <w:sz w:val="24"/>
          <w:highlight w:val="none"/>
        </w:rPr>
      </w:pPr>
      <w:r>
        <w:rPr>
          <w:rFonts w:hint="eastAsia" w:ascii="宋体" w:hAnsi="宋体" w:cs="宋体"/>
          <w:bCs/>
          <w:color w:val="auto"/>
          <w:kern w:val="0"/>
          <w:sz w:val="24"/>
          <w:highlight w:val="none"/>
        </w:rPr>
        <w:t>（2）宣布评审纪律；</w:t>
      </w:r>
    </w:p>
    <w:p>
      <w:pPr>
        <w:spacing w:line="360" w:lineRule="auto"/>
        <w:ind w:firstLine="460" w:firstLineChars="192"/>
        <w:rPr>
          <w:rFonts w:ascii="宋体" w:hAnsi="宋体" w:cs="宋体"/>
          <w:bCs/>
          <w:color w:val="auto"/>
          <w:kern w:val="0"/>
          <w:sz w:val="24"/>
          <w:highlight w:val="none"/>
        </w:rPr>
      </w:pPr>
      <w:r>
        <w:rPr>
          <w:rFonts w:hint="eastAsia" w:ascii="宋体" w:hAnsi="宋体" w:cs="宋体"/>
          <w:bCs/>
          <w:color w:val="auto"/>
          <w:kern w:val="0"/>
          <w:sz w:val="24"/>
          <w:highlight w:val="none"/>
        </w:rPr>
        <w:t>（3）公布供应商名单，告知评审专家应当回避的情形；</w:t>
      </w:r>
    </w:p>
    <w:p>
      <w:pPr>
        <w:spacing w:line="360" w:lineRule="auto"/>
        <w:ind w:firstLine="460" w:firstLineChars="192"/>
        <w:rPr>
          <w:rFonts w:ascii="宋体" w:hAnsi="宋体" w:cs="宋体"/>
          <w:bCs/>
          <w:color w:val="auto"/>
          <w:kern w:val="0"/>
          <w:sz w:val="24"/>
          <w:highlight w:val="none"/>
        </w:rPr>
      </w:pPr>
      <w:r>
        <w:rPr>
          <w:rFonts w:hint="eastAsia" w:ascii="宋体" w:hAnsi="宋体" w:cs="宋体"/>
          <w:bCs/>
          <w:color w:val="auto"/>
          <w:kern w:val="0"/>
          <w:sz w:val="24"/>
          <w:highlight w:val="none"/>
        </w:rPr>
        <w:t>（4）组织谈判小组推选评审组长，采购人代表不得担任组长；</w:t>
      </w:r>
    </w:p>
    <w:p>
      <w:pPr>
        <w:spacing w:line="360" w:lineRule="auto"/>
        <w:ind w:firstLine="460" w:firstLineChars="192"/>
        <w:rPr>
          <w:rFonts w:ascii="宋体" w:hAnsi="宋体" w:cs="宋体"/>
          <w:color w:val="auto"/>
          <w:kern w:val="0"/>
          <w:sz w:val="24"/>
          <w:highlight w:val="none"/>
        </w:rPr>
      </w:pPr>
      <w:r>
        <w:rPr>
          <w:rFonts w:hint="eastAsia" w:ascii="宋体" w:hAnsi="宋体" w:cs="宋体"/>
          <w:bCs/>
          <w:color w:val="auto"/>
          <w:kern w:val="0"/>
          <w:sz w:val="24"/>
          <w:highlight w:val="none"/>
        </w:rPr>
        <w:t>（5）</w:t>
      </w:r>
      <w:r>
        <w:rPr>
          <w:rFonts w:hint="eastAsia" w:ascii="宋体" w:hAnsi="宋体" w:cs="宋体"/>
          <w:color w:val="auto"/>
          <w:kern w:val="0"/>
          <w:sz w:val="24"/>
          <w:highlight w:val="none"/>
        </w:rPr>
        <w:t>在评审期间采取必要的通讯管理措施，保证评审活动不受外界干扰；</w:t>
      </w:r>
    </w:p>
    <w:p>
      <w:pPr>
        <w:spacing w:line="360" w:lineRule="auto"/>
        <w:ind w:firstLine="460" w:firstLineChars="192"/>
        <w:rPr>
          <w:rFonts w:ascii="宋体" w:hAnsi="宋体" w:cs="宋体"/>
          <w:bCs/>
          <w:color w:val="auto"/>
          <w:kern w:val="0"/>
          <w:sz w:val="24"/>
          <w:highlight w:val="none"/>
        </w:rPr>
      </w:pPr>
      <w:r>
        <w:rPr>
          <w:rFonts w:hint="eastAsia" w:ascii="宋体" w:hAnsi="宋体" w:cs="宋体"/>
          <w:bCs/>
          <w:color w:val="auto"/>
          <w:kern w:val="0"/>
          <w:sz w:val="24"/>
          <w:highlight w:val="none"/>
        </w:rPr>
        <w:t>（6）根据谈判小组的要求介绍政府采购相关政策法规、谈判文件；</w:t>
      </w:r>
    </w:p>
    <w:p>
      <w:pPr>
        <w:spacing w:line="360" w:lineRule="auto"/>
        <w:ind w:firstLine="460" w:firstLineChars="192"/>
        <w:rPr>
          <w:rFonts w:ascii="宋体" w:hAnsi="宋体" w:cs="宋体"/>
          <w:bCs/>
          <w:color w:val="auto"/>
          <w:kern w:val="0"/>
          <w:sz w:val="24"/>
          <w:highlight w:val="none"/>
        </w:rPr>
      </w:pPr>
      <w:r>
        <w:rPr>
          <w:rFonts w:hint="eastAsia" w:ascii="宋体" w:hAnsi="宋体" w:cs="宋体"/>
          <w:bCs/>
          <w:color w:val="auto"/>
          <w:kern w:val="0"/>
          <w:sz w:val="24"/>
          <w:highlight w:val="none"/>
        </w:rPr>
        <w:t xml:space="preserve">（7）维护评审秩序，监督谈判小组依照谈判文件规定的评审程序、方法和标准进行独立评审，及时制止和纠正采购人代表、评审专家的倾向性言论或违法违规行为； </w:t>
      </w:r>
    </w:p>
    <w:p>
      <w:pPr>
        <w:spacing w:line="360" w:lineRule="auto"/>
        <w:ind w:firstLine="460" w:firstLineChars="192"/>
        <w:rPr>
          <w:rFonts w:ascii="宋体" w:hAnsi="宋体" w:cs="宋体"/>
          <w:bCs/>
          <w:color w:val="auto"/>
          <w:kern w:val="0"/>
          <w:sz w:val="24"/>
          <w:highlight w:val="none"/>
        </w:rPr>
      </w:pPr>
      <w:r>
        <w:rPr>
          <w:rFonts w:hint="eastAsia" w:ascii="宋体" w:hAnsi="宋体" w:cs="宋体"/>
          <w:bCs/>
          <w:color w:val="auto"/>
          <w:kern w:val="0"/>
          <w:sz w:val="24"/>
          <w:highlight w:val="none"/>
        </w:rPr>
        <w:t>（8）</w:t>
      </w:r>
      <w:r>
        <w:rPr>
          <w:rFonts w:hint="eastAsia" w:ascii="宋体" w:hAnsi="宋体" w:cs="宋体"/>
          <w:color w:val="auto"/>
          <w:kern w:val="0"/>
          <w:sz w:val="24"/>
          <w:highlight w:val="none"/>
        </w:rPr>
        <w:t>评审工作完成后，按照规定向评审专家支付劳务报酬和异地评审差旅费，不得向评审专家以外的其他人员支付评审劳务报酬；</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（9）处理与评审有关的其他事项。</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34.4 采购人可以在评审前介绍项目背景和采购需求，介绍内容不得含有歧视性、倾向性意见，不得超出谈判文件所述范围。介绍应当提交书面介绍材料，并随谈判文件一并存档。</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34.5 评审过程严格保密</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34.5.1 谈判后，直至授予成交供应商合同为止，凡属于对谈判响应文件的审查、澄清、评价和比较的有关资料以及成交候选供应商的推荐情况，与评审有关的其他任何情况均严格保密；</w:t>
      </w:r>
    </w:p>
    <w:p>
      <w:pPr>
        <w:spacing w:line="360" w:lineRule="auto"/>
        <w:ind w:firstLine="460" w:firstLineChars="192"/>
        <w:rPr>
          <w:rFonts w:ascii="宋体" w:hAnsi="宋体" w:cs="宋体"/>
          <w:color w:val="auto"/>
          <w:kern w:val="0"/>
          <w:sz w:val="24"/>
          <w:highlight w:val="none"/>
        </w:rPr>
      </w:pPr>
      <w:r>
        <w:rPr>
          <w:rFonts w:hint="eastAsia" w:ascii="宋体" w:hAnsi="宋体" w:cs="宋体"/>
          <w:color w:val="auto"/>
          <w:kern w:val="0"/>
          <w:sz w:val="24"/>
          <w:highlight w:val="none"/>
        </w:rPr>
        <w:t>34.5.2 供应商对谈判小组的评审过程或合同授予决定施加影响的任何行为都可能导致其谈判被拒绝。</w:t>
      </w:r>
    </w:p>
    <w:p>
      <w:pPr>
        <w:pStyle w:val="4"/>
        <w:spacing w:before="120" w:beforeLines="50" w:after="120" w:afterLines="50" w:line="360" w:lineRule="auto"/>
        <w:rPr>
          <w:rFonts w:ascii="宋体" w:hAnsi="宋体" w:eastAsia="宋体" w:cs="宋体"/>
          <w:bCs/>
          <w:color w:val="auto"/>
          <w:highlight w:val="none"/>
        </w:rPr>
      </w:pPr>
      <w:bookmarkStart w:id="104" w:name="_Toc31741"/>
      <w:r>
        <w:rPr>
          <w:rFonts w:hint="eastAsia" w:ascii="宋体" w:hAnsi="宋体" w:eastAsia="宋体" w:cs="宋体"/>
          <w:bCs/>
          <w:color w:val="auto"/>
          <w:highlight w:val="none"/>
        </w:rPr>
        <w:t>八、定标</w:t>
      </w:r>
      <w:bookmarkEnd w:id="103"/>
      <w:bookmarkEnd w:id="104"/>
      <w:bookmarkStart w:id="105" w:name="_Toc217446061"/>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35.定标原则</w:t>
      </w:r>
      <w:bookmarkEnd w:id="105"/>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采购人或其授权的谈判小组按照评审报告中推荐的成交候选供应商名单，按顺序确定成交供应商。</w:t>
      </w:r>
      <w:bookmarkStart w:id="106" w:name="_Toc217446062"/>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36.定标程序</w:t>
      </w:r>
      <w:bookmarkEnd w:id="10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36.1谈判小组应当从质量和服务均能满足采购文件实质性响应要求的供应商中，按照最后报价由低到高的顺序提出3名以上成交候选人，并编写评审报告。</w:t>
      </w:r>
    </w:p>
    <w:p>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36.2 采购代理机构在评审结束后1个工作日内将评审报告送采购人确认。</w:t>
      </w:r>
    </w:p>
    <w:p>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36.3 采购人应当在收到评审报告后4个工作日内，按照评审报告中推荐的成交候选供应商顺序和有关规定确定成交供应商，第一名成交供应商并列的，由采购人根据技术方案得分由高到低顺序确定。同时，复函采购代理机构。</w:t>
      </w:r>
    </w:p>
    <w:p>
      <w:pPr>
        <w:spacing w:line="360" w:lineRule="auto"/>
        <w:ind w:firstLine="422" w:firstLineChars="175"/>
        <w:rPr>
          <w:rFonts w:ascii="宋体" w:hAnsi="宋体" w:cs="宋体"/>
          <w:b/>
          <w:color w:val="auto"/>
          <w:sz w:val="24"/>
          <w:highlight w:val="none"/>
        </w:rPr>
      </w:pPr>
      <w:r>
        <w:rPr>
          <w:rFonts w:hint="eastAsia" w:ascii="宋体" w:hAnsi="宋体" w:cs="宋体"/>
          <w:b/>
          <w:color w:val="auto"/>
          <w:sz w:val="24"/>
          <w:highlight w:val="none"/>
        </w:rPr>
        <w:t>采购人在收到评审报告4个工作日内未按评审报告推荐的成交候选供应商顺序确定成交供应商，又不能说明合法理由的，视同按评审报告推荐的顺序确定排名第一的成交候选供应商为成交供应商。</w:t>
      </w:r>
    </w:p>
    <w:p>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36.4采购代理机构应当在接到采购人“成交”复函之日起1个工作日内，根据采购人确定的成交供应商，在省级以上财政部门指定的媒体上发布成交公告，同时向成交供应商发出《成交通知书》。</w:t>
      </w:r>
    </w:p>
    <w:p>
      <w:pPr>
        <w:pStyle w:val="5"/>
        <w:adjustRightInd w:val="0"/>
        <w:snapToGrid w:val="0"/>
        <w:spacing w:before="120" w:beforeLines="50" w:after="120" w:afterLines="50" w:line="360" w:lineRule="auto"/>
        <w:rPr>
          <w:rFonts w:ascii="宋体" w:hAnsi="宋体" w:cs="宋体"/>
          <w:color w:val="auto"/>
          <w:highlight w:val="none"/>
        </w:rPr>
      </w:pPr>
      <w:bookmarkStart w:id="107" w:name="_Toc183582238"/>
      <w:bookmarkStart w:id="108" w:name="_Toc217446063"/>
      <w:bookmarkStart w:id="109" w:name="_Toc183682375"/>
      <w:r>
        <w:rPr>
          <w:rFonts w:hint="eastAsia" w:ascii="宋体" w:hAnsi="宋体" w:cs="宋体"/>
          <w:color w:val="auto"/>
          <w:highlight w:val="none"/>
        </w:rPr>
        <w:t>3</w:t>
      </w:r>
      <w:bookmarkEnd w:id="107"/>
      <w:bookmarkEnd w:id="108"/>
      <w:bookmarkEnd w:id="109"/>
      <w:r>
        <w:rPr>
          <w:rFonts w:hint="eastAsia" w:ascii="宋体" w:hAnsi="宋体" w:cs="宋体"/>
          <w:color w:val="auto"/>
          <w:highlight w:val="none"/>
        </w:rPr>
        <w:t>7.成交通知书</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w:t>
      </w:r>
      <w:r>
        <w:rPr>
          <w:rFonts w:hint="eastAsia" w:ascii="宋体" w:hAnsi="宋体" w:cs="宋体"/>
          <w:b/>
          <w:bCs/>
          <w:color w:val="auto"/>
          <w:sz w:val="24"/>
          <w:highlight w:val="none"/>
        </w:rPr>
        <w:t>.</w:t>
      </w:r>
      <w:r>
        <w:rPr>
          <w:rFonts w:hint="eastAsia" w:ascii="宋体" w:hAnsi="宋体" w:cs="宋体"/>
          <w:color w:val="auto"/>
          <w:sz w:val="24"/>
          <w:highlight w:val="none"/>
        </w:rPr>
        <w:t>1成交通知书为签订政府采购合同的依据，是合同的有效组成部分。</w:t>
      </w:r>
    </w:p>
    <w:p>
      <w:pPr>
        <w:tabs>
          <w:tab w:val="left" w:pos="7665"/>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37.2成交通知书对采购人和成交供应商均具有法律效力。成交通知书发出后，采购人改变成交结果，或者成交供应商无正当理由放弃成交资格的，应当承担相应的法律责任。</w:t>
      </w:r>
    </w:p>
    <w:p>
      <w:pPr>
        <w:tabs>
          <w:tab w:val="left" w:pos="7665"/>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37.3成交供应商应当在接到采购代理机构通知之日起7个工作日内领取《成交通知书》。</w:t>
      </w:r>
    </w:p>
    <w:p>
      <w:pPr>
        <w:tabs>
          <w:tab w:val="left" w:pos="7665"/>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37.4在《成交通知书》发出后，发现成交供应商有政府采购法律法规规章制度规定的成交无效情形的，采购代理机构在取得监督管理机构的认定以后，应当宣布发出的成交通知书无效，并收回发出的成交通知书（成交供应商也应当交回），依法重新确定成交供应商或者重新开展采购活动。</w:t>
      </w:r>
    </w:p>
    <w:p>
      <w:pPr>
        <w:tabs>
          <w:tab w:val="left" w:pos="7665"/>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37.5 成交通知书发出后，采购人不得违法改变成交结果，成交供应商无正当理由不得放弃成交资格。</w:t>
      </w:r>
    </w:p>
    <w:p>
      <w:pPr>
        <w:pStyle w:val="4"/>
        <w:spacing w:before="120" w:beforeLines="50" w:after="120" w:afterLines="50" w:line="360" w:lineRule="auto"/>
        <w:rPr>
          <w:rFonts w:ascii="宋体" w:hAnsi="宋体" w:eastAsia="宋体" w:cs="宋体"/>
          <w:bCs/>
          <w:color w:val="auto"/>
          <w:highlight w:val="none"/>
        </w:rPr>
      </w:pPr>
      <w:bookmarkStart w:id="110" w:name="_Toc20745"/>
      <w:bookmarkStart w:id="111" w:name="_Toc217446064"/>
      <w:bookmarkStart w:id="112" w:name="_Toc183582240"/>
      <w:bookmarkStart w:id="113" w:name="_Toc183682377"/>
      <w:r>
        <w:rPr>
          <w:rFonts w:hint="eastAsia" w:ascii="宋体" w:hAnsi="宋体" w:eastAsia="宋体" w:cs="宋体"/>
          <w:bCs/>
          <w:color w:val="auto"/>
          <w:highlight w:val="none"/>
        </w:rPr>
        <w:t>九、</w:t>
      </w:r>
      <w:bookmarkStart w:id="114" w:name="_Toc217446072"/>
      <w:r>
        <w:rPr>
          <w:rFonts w:hint="eastAsia" w:ascii="宋体" w:hAnsi="宋体" w:eastAsia="宋体" w:cs="宋体"/>
          <w:bCs/>
          <w:color w:val="auto"/>
          <w:highlight w:val="none"/>
        </w:rPr>
        <w:t>废标或变更采购方式</w:t>
      </w:r>
      <w:bookmarkEnd w:id="110"/>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38.废标的情形</w:t>
      </w:r>
      <w:bookmarkEnd w:id="114"/>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38.1 竞争性谈判采购中，出现下列情形之一的，应予以废标：</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（1）符合专业条件的供应商或者对谈判文件作实质响应的供应商不足3家的；</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（3）供应商的报价均超过了采购预算，采购人不能支付的；</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38.2 废标后，采购代理机构应在财政部门指定采购网上公告，并公告废标的详细理由。</w:t>
      </w:r>
    </w:p>
    <w:p>
      <w:pPr>
        <w:pStyle w:val="4"/>
        <w:spacing w:before="120" w:beforeLines="50" w:after="120" w:afterLines="50" w:line="360" w:lineRule="auto"/>
        <w:rPr>
          <w:rFonts w:ascii="宋体" w:hAnsi="宋体" w:eastAsia="宋体" w:cs="宋体"/>
          <w:bCs/>
          <w:color w:val="auto"/>
          <w:highlight w:val="none"/>
        </w:rPr>
      </w:pPr>
      <w:bookmarkStart w:id="115" w:name="_Toc27009"/>
      <w:r>
        <w:rPr>
          <w:rFonts w:hint="eastAsia" w:ascii="宋体" w:hAnsi="宋体" w:eastAsia="宋体" w:cs="宋体"/>
          <w:bCs/>
          <w:color w:val="auto"/>
          <w:highlight w:val="none"/>
        </w:rPr>
        <w:t>十、合同</w:t>
      </w:r>
      <w:bookmarkEnd w:id="111"/>
      <w:r>
        <w:rPr>
          <w:rFonts w:hint="eastAsia" w:ascii="宋体" w:hAnsi="宋体" w:eastAsia="宋体" w:cs="宋体"/>
          <w:bCs/>
          <w:color w:val="auto"/>
          <w:highlight w:val="none"/>
        </w:rPr>
        <w:t>授予</w:t>
      </w:r>
      <w:bookmarkEnd w:id="115"/>
      <w:bookmarkStart w:id="116" w:name="_Toc217446065"/>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39.履约保证金</w:t>
      </w:r>
    </w:p>
    <w:p>
      <w:pPr>
        <w:tabs>
          <w:tab w:val="left" w:pos="7665"/>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39.1项目需要提交履约保证金的，适用本条。</w:t>
      </w:r>
      <w:r>
        <w:rPr>
          <w:rFonts w:hint="eastAsia" w:ascii="宋体" w:hAnsi="宋体" w:eastAsia="宋体" w:cs="宋体"/>
          <w:color w:val="auto"/>
          <w:sz w:val="24"/>
          <w:highlight w:val="none"/>
          <w:lang w:val="en-US" w:eastAsia="zh-CN"/>
        </w:rPr>
        <w:t>最后一次结完帐，无任何纠纷，15天之内全额无息银行转账退还，如逾期退还，每逾期1天赔偿投标人100元。产品质量一次不合格一个品种扣除履约保证金20元，前两周不计。配送迟到一次扣除履约保证金50元，如果有纠纷，两家协商，如果未能达成，可走司法程序。</w:t>
      </w:r>
      <w:r>
        <w:rPr>
          <w:rFonts w:hint="eastAsia" w:ascii="宋体" w:hAnsi="宋体" w:eastAsia="宋体" w:cs="宋体"/>
          <w:color w:val="auto"/>
          <w:sz w:val="24"/>
          <w:highlight w:val="none"/>
        </w:rPr>
        <w:t>履约保证金</w:t>
      </w:r>
      <w:r>
        <w:rPr>
          <w:rFonts w:hint="eastAsia" w:ascii="宋体" w:hAnsi="宋体" w:eastAsia="宋体" w:cs="宋体"/>
          <w:color w:val="auto"/>
          <w:sz w:val="24"/>
          <w:highlight w:val="none"/>
          <w:lang w:val="en-US" w:eastAsia="zh-CN"/>
        </w:rPr>
        <w:t>为人民币</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0000.00元整（</w:t>
      </w:r>
      <w:r>
        <w:rPr>
          <w:rFonts w:hint="eastAsia" w:ascii="宋体" w:hAnsi="宋体" w:cs="宋体"/>
          <w:color w:val="auto"/>
          <w:sz w:val="24"/>
          <w:highlight w:val="none"/>
          <w:lang w:val="en-US" w:eastAsia="zh-CN"/>
        </w:rPr>
        <w:t>壹</w:t>
      </w:r>
      <w:r>
        <w:rPr>
          <w:rFonts w:hint="eastAsia" w:ascii="宋体" w:hAnsi="宋体" w:eastAsia="宋体" w:cs="宋体"/>
          <w:color w:val="auto"/>
          <w:sz w:val="24"/>
          <w:highlight w:val="none"/>
          <w:lang w:val="en-US" w:eastAsia="zh-CN"/>
        </w:rPr>
        <w:t>万元整）</w:t>
      </w:r>
      <w:r>
        <w:rPr>
          <w:rFonts w:hint="eastAsia" w:ascii="宋体" w:hAnsi="宋体" w:eastAsia="宋体" w:cs="宋体"/>
          <w:color w:val="auto"/>
          <w:sz w:val="24"/>
          <w:highlight w:val="none"/>
          <w:lang w:eastAsia="zh-CN"/>
        </w:rPr>
        <w:t>。</w:t>
      </w:r>
    </w:p>
    <w:p>
      <w:pPr>
        <w:tabs>
          <w:tab w:val="left" w:pos="7665"/>
        </w:tabs>
        <w:spacing w:line="360" w:lineRule="auto"/>
        <w:ind w:firstLine="482"/>
        <w:rPr>
          <w:rFonts w:ascii="宋体" w:hAnsi="宋体" w:cs="宋体"/>
          <w:color w:val="auto"/>
          <w:sz w:val="24"/>
          <w:highlight w:val="none"/>
        </w:rPr>
      </w:pPr>
      <w:r>
        <w:rPr>
          <w:rFonts w:hint="eastAsia" w:ascii="宋体" w:hAnsi="宋体" w:cs="宋体"/>
          <w:color w:val="auto"/>
          <w:sz w:val="24"/>
          <w:highlight w:val="none"/>
        </w:rPr>
        <w:t>39.2成交供应商在收到采购代理机构的成交通知书后与甲方签订合同前，应按照供应商须知前附表的规定，向采购人提交履约保证金或履约担保。联合体成交的，履约保证金或履约担保由联合体中牵头人的名义提交。</w:t>
      </w:r>
    </w:p>
    <w:p>
      <w:pPr>
        <w:tabs>
          <w:tab w:val="left" w:pos="7665"/>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39.3采用</w:t>
      </w:r>
      <w:r>
        <w:rPr>
          <w:rFonts w:ascii="宋体" w:hAnsi="宋体" w:cs="宋体"/>
          <w:color w:val="auto"/>
          <w:sz w:val="24"/>
          <w:highlight w:val="none"/>
        </w:rPr>
        <w:t>转账、 网上银行</w:t>
      </w:r>
      <w:r>
        <w:rPr>
          <w:rFonts w:hint="eastAsia" w:ascii="宋体" w:hAnsi="宋体" w:cs="宋体"/>
          <w:color w:val="auto"/>
          <w:sz w:val="24"/>
          <w:highlight w:val="none"/>
        </w:rPr>
        <w:t>支付形式交纳时，应从其基本存款账户转出。</w:t>
      </w:r>
    </w:p>
    <w:p>
      <w:pPr>
        <w:tabs>
          <w:tab w:val="left" w:pos="7665"/>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39.4采用纸质履约保函形式交纳时，应注意以下事项：</w:t>
      </w:r>
    </w:p>
    <w:p>
      <w:pPr>
        <w:tabs>
          <w:tab w:val="left" w:pos="7665"/>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 xml:space="preserve">（1）履约保函的受益人为采购人，供应商未能按合同规定履行其义务时，采购人有权从履约保证金中取得补偿。 </w:t>
      </w:r>
    </w:p>
    <w:p>
      <w:pPr>
        <w:tabs>
          <w:tab w:val="left" w:pos="7665"/>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 xml:space="preserve">（2）履约保函的内容包括但不限于保函申请人、项目名称（如分包，还应写明所投包号）、担保金额、保函有效期（履约保函的有效期至少应覆盖至合同验收之日，履约保函有效期不足的，供应商应向履约保函签发机构办理担保续期手续）； </w:t>
      </w:r>
    </w:p>
    <w:p>
      <w:pPr>
        <w:tabs>
          <w:tab w:val="left" w:pos="7665"/>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 xml:space="preserve">（3）担保金额不少于《供应商须知前附表》中规定的履约保证金交纳金额； </w:t>
      </w:r>
    </w:p>
    <w:p>
      <w:pPr>
        <w:tabs>
          <w:tab w:val="left" w:pos="7665"/>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 xml:space="preserve">（4）保函申请人须与供应商名称一致，若为联合体参加投标的，则由联合体牵头人作为保函申请人。 </w:t>
      </w:r>
    </w:p>
    <w:p>
      <w:pPr>
        <w:tabs>
          <w:tab w:val="left" w:pos="7665"/>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39.5履约保证金在项目验收合格后，成交供应商</w:t>
      </w:r>
      <w:r>
        <w:rPr>
          <w:rFonts w:hint="eastAsia" w:ascii="宋体" w:hAnsi="宋体" w:cs="宋体"/>
          <w:color w:val="auto"/>
          <w:sz w:val="24"/>
          <w:highlight w:val="none"/>
          <w:lang w:val="zh-CN"/>
        </w:rPr>
        <w:t>无违约行为，</w:t>
      </w:r>
      <w:r>
        <w:rPr>
          <w:rFonts w:hint="eastAsia" w:ascii="宋体" w:hAnsi="宋体" w:cs="宋体"/>
          <w:color w:val="auto"/>
          <w:sz w:val="24"/>
          <w:highlight w:val="none"/>
        </w:rPr>
        <w:t>采购人与20天内</w:t>
      </w:r>
      <w:r>
        <w:rPr>
          <w:rFonts w:hint="eastAsia" w:ascii="宋体" w:hAnsi="宋体" w:cs="宋体"/>
          <w:color w:val="auto"/>
          <w:sz w:val="24"/>
          <w:highlight w:val="none"/>
          <w:lang w:val="zh-CN"/>
        </w:rPr>
        <w:t>无息退还，</w:t>
      </w:r>
      <w:r>
        <w:rPr>
          <w:rFonts w:hint="eastAsia" w:ascii="宋体" w:hAnsi="宋体" w:cs="宋体"/>
          <w:color w:val="auto"/>
          <w:sz w:val="24"/>
          <w:highlight w:val="none"/>
        </w:rPr>
        <w:t>每延迟一日补偿履约担保金额的百分之一</w:t>
      </w:r>
      <w:r>
        <w:rPr>
          <w:rFonts w:hint="eastAsia" w:ascii="宋体" w:hAnsi="宋体" w:cs="宋体"/>
          <w:color w:val="auto"/>
          <w:sz w:val="24"/>
          <w:highlight w:val="none"/>
          <w:lang w:val="zh-CN"/>
        </w:rPr>
        <w:t>。</w:t>
      </w:r>
    </w:p>
    <w:p>
      <w:pPr>
        <w:tabs>
          <w:tab w:val="left" w:pos="7665"/>
        </w:tabs>
        <w:spacing w:line="360" w:lineRule="auto"/>
        <w:ind w:firstLine="482"/>
        <w:rPr>
          <w:rFonts w:ascii="宋体" w:hAnsi="宋体" w:cs="宋体"/>
          <w:color w:val="auto"/>
          <w:spacing w:val="2"/>
          <w:sz w:val="24"/>
          <w:highlight w:val="none"/>
        </w:rPr>
      </w:pPr>
      <w:r>
        <w:rPr>
          <w:rFonts w:hint="eastAsia" w:ascii="宋体" w:hAnsi="宋体" w:cs="宋体"/>
          <w:color w:val="auto"/>
          <w:sz w:val="24"/>
          <w:highlight w:val="none"/>
        </w:rPr>
        <w:t>39.6 成交供应商</w:t>
      </w:r>
      <w:r>
        <w:rPr>
          <w:rFonts w:hint="eastAsia" w:ascii="宋体" w:hAnsi="宋体" w:cs="宋体"/>
          <w:color w:val="auto"/>
          <w:spacing w:val="4"/>
          <w:sz w:val="24"/>
          <w:highlight w:val="none"/>
        </w:rPr>
        <w:t>没有按照本章第38.2</w:t>
      </w:r>
      <w:r>
        <w:rPr>
          <w:rFonts w:hint="eastAsia" w:ascii="宋体" w:hAnsi="宋体" w:cs="宋体"/>
          <w:color w:val="auto"/>
          <w:kern w:val="0"/>
          <w:sz w:val="24"/>
          <w:highlight w:val="none"/>
          <w:lang w:val="zh-CN"/>
        </w:rPr>
        <w:t>条</w:t>
      </w:r>
      <w:r>
        <w:rPr>
          <w:rFonts w:hint="eastAsia" w:ascii="宋体" w:hAnsi="宋体" w:cs="宋体"/>
          <w:color w:val="auto"/>
          <w:spacing w:val="4"/>
          <w:sz w:val="24"/>
          <w:highlight w:val="none"/>
        </w:rPr>
        <w:t>规定</w:t>
      </w:r>
      <w:r>
        <w:rPr>
          <w:rFonts w:hint="eastAsia" w:ascii="宋体" w:hAnsi="宋体" w:cs="宋体"/>
          <w:color w:val="auto"/>
          <w:sz w:val="24"/>
          <w:highlight w:val="none"/>
        </w:rPr>
        <w:t>提交履约保证金或履约担保的</w:t>
      </w:r>
      <w:r>
        <w:rPr>
          <w:rFonts w:hint="eastAsia" w:ascii="宋体" w:hAnsi="宋体" w:cs="宋体"/>
          <w:color w:val="auto"/>
          <w:spacing w:val="4"/>
          <w:sz w:val="24"/>
          <w:highlight w:val="none"/>
        </w:rPr>
        <w:t>，视为放弃</w:t>
      </w:r>
      <w:r>
        <w:rPr>
          <w:rFonts w:hint="eastAsia" w:ascii="宋体" w:hAnsi="宋体" w:cs="宋体"/>
          <w:color w:val="auto"/>
          <w:sz w:val="24"/>
          <w:highlight w:val="none"/>
        </w:rPr>
        <w:t>成交资格</w:t>
      </w:r>
      <w:r>
        <w:rPr>
          <w:rFonts w:hint="eastAsia" w:ascii="宋体" w:hAnsi="宋体" w:cs="宋体"/>
          <w:color w:val="auto"/>
          <w:spacing w:val="4"/>
          <w:sz w:val="24"/>
          <w:highlight w:val="none"/>
        </w:rPr>
        <w:t>，</w:t>
      </w:r>
      <w:r>
        <w:rPr>
          <w:rFonts w:hint="eastAsia" w:ascii="宋体" w:hAnsi="宋体" w:cs="宋体"/>
          <w:color w:val="auto"/>
          <w:spacing w:val="2"/>
          <w:sz w:val="24"/>
          <w:highlight w:val="none"/>
        </w:rPr>
        <w:t>给采购人造成的损失的，成交供应商应当对此予以赔偿。</w:t>
      </w:r>
    </w:p>
    <w:p>
      <w:pPr>
        <w:tabs>
          <w:tab w:val="left" w:pos="7665"/>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39.7如遇以下情况，合同履约保证金不予退还：</w:t>
      </w:r>
    </w:p>
    <w:p>
      <w:pPr>
        <w:tabs>
          <w:tab w:val="left" w:pos="7665"/>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（1）合同签订后不能按合同期限要求完成的；</w:t>
      </w:r>
    </w:p>
    <w:p>
      <w:pPr>
        <w:tabs>
          <w:tab w:val="left" w:pos="7665"/>
        </w:tabs>
        <w:snapToGrid w:val="0"/>
        <w:spacing w:line="360" w:lineRule="auto"/>
        <w:ind w:firstLine="482"/>
        <w:rPr>
          <w:rFonts w:ascii="宋体" w:hAnsi="宋体" w:cs="宋体"/>
          <w:color w:val="auto"/>
          <w:sz w:val="24"/>
          <w:highlight w:val="none"/>
        </w:rPr>
      </w:pPr>
      <w:r>
        <w:rPr>
          <w:rFonts w:hint="eastAsia" w:ascii="宋体" w:hAnsi="宋体" w:cs="宋体"/>
          <w:color w:val="auto"/>
          <w:sz w:val="24"/>
          <w:highlight w:val="none"/>
        </w:rPr>
        <w:t>（2）交货内容与合同不符或验收不合格的；</w:t>
      </w:r>
    </w:p>
    <w:p>
      <w:pPr>
        <w:tabs>
          <w:tab w:val="left" w:pos="7665"/>
        </w:tabs>
        <w:snapToGrid w:val="0"/>
        <w:spacing w:line="360" w:lineRule="auto"/>
        <w:ind w:firstLine="482"/>
        <w:rPr>
          <w:color w:val="auto"/>
          <w:highlight w:val="none"/>
        </w:rPr>
      </w:pPr>
      <w:r>
        <w:rPr>
          <w:rFonts w:hint="eastAsia" w:ascii="宋体" w:hAnsi="宋体" w:cs="宋体"/>
          <w:color w:val="auto"/>
          <w:sz w:val="24"/>
          <w:highlight w:val="none"/>
        </w:rPr>
        <w:t>（3）不能按合同履约的。</w:t>
      </w:r>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40.合同</w:t>
      </w:r>
      <w:bookmarkEnd w:id="116"/>
      <w:r>
        <w:rPr>
          <w:rFonts w:hint="eastAsia" w:ascii="宋体" w:hAnsi="宋体" w:cs="宋体"/>
          <w:color w:val="auto"/>
          <w:highlight w:val="none"/>
        </w:rPr>
        <w:t>订立</w:t>
      </w:r>
    </w:p>
    <w:p>
      <w:pPr>
        <w:tabs>
          <w:tab w:val="left" w:pos="7665"/>
        </w:tabs>
        <w:spacing w:line="360" w:lineRule="auto"/>
        <w:ind w:firstLine="482"/>
        <w:rPr>
          <w:color w:val="auto"/>
          <w:highlight w:val="none"/>
        </w:rPr>
      </w:pPr>
      <w:r>
        <w:rPr>
          <w:rFonts w:hint="eastAsia" w:ascii="宋体" w:hAnsi="宋体" w:cs="宋体"/>
          <w:color w:val="auto"/>
          <w:sz w:val="24"/>
          <w:highlight w:val="none"/>
        </w:rPr>
        <w:t>40.1 成交供应商应在《成交通知书》发出之日起30日内按照谈判文件和谈判响应文件（包括评审中形成的澄清文件）确定的采购标的、规格型号、采购金额、采购数量、技术和服务要求及商务要求等事项与采购人签订采购合同。由于成交供应商的原因逾期未与采购人签订采购合同的，将视为放弃成交，取消其成交资格，给采购人造成的损失的，</w:t>
      </w:r>
      <w:r>
        <w:rPr>
          <w:rFonts w:hint="eastAsia" w:ascii="宋体" w:hAnsi="宋体" w:cs="宋体"/>
          <w:color w:val="auto"/>
          <w:spacing w:val="2"/>
          <w:sz w:val="24"/>
          <w:highlight w:val="none"/>
        </w:rPr>
        <w:t>成交供应商应当对此予以赔偿。</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40.2 发出成交通知书后，采购人无正当理由拒签合同或在合同签订时向成交供应商提出附加条件的，给成交供应商造成损失的，还应当赔偿损失。</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40.3成交供应商因不可抗力原因不能履行采购合同或放弃成交的，采购人可以与排在成交供应商之后第一位的成交候选供应商签订采购合同，以此类推。</w:t>
      </w:r>
      <w:bookmarkStart w:id="117" w:name="_Toc217446066"/>
    </w:p>
    <w:p>
      <w:pPr>
        <w:autoSpaceDE w:val="0"/>
        <w:autoSpaceDN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40</w:t>
      </w:r>
      <w:r>
        <w:rPr>
          <w:rFonts w:hint="eastAsia" w:ascii="宋体" w:hAnsi="宋体" w:cs="宋体"/>
          <w:bCs/>
          <w:color w:val="auto"/>
          <w:sz w:val="24"/>
          <w:highlight w:val="none"/>
        </w:rPr>
        <w:t>.4采购人与</w:t>
      </w:r>
      <w:r>
        <w:rPr>
          <w:rFonts w:hint="eastAsia" w:ascii="宋体" w:hAnsi="宋体" w:cs="宋体"/>
          <w:color w:val="auto"/>
          <w:sz w:val="24"/>
          <w:highlight w:val="none"/>
        </w:rPr>
        <w:t>成交供应商</w:t>
      </w:r>
      <w:r>
        <w:rPr>
          <w:rFonts w:hint="eastAsia" w:ascii="宋体" w:hAnsi="宋体" w:cs="宋体"/>
          <w:bCs/>
          <w:color w:val="auto"/>
          <w:sz w:val="24"/>
          <w:highlight w:val="none"/>
        </w:rPr>
        <w:t>所签订的合同不得对谈判文件确定的事项和成交供应商的响应文件做实质性修改。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40.5采购人与成交供应商不得擅自变更、中止、终止政府采购合同。</w:t>
      </w:r>
      <w:bookmarkStart w:id="118" w:name="_Toc32260664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40.6对于满足合同约定支付条件的，采购人应当自收到发票后30日内将资金支付到合同约定的供应商账户，不得以机构变动、人员更替、政策调整等为由延迟付款，不得将采购文件和合同中未规定的义务作为供应商付款的条件。</w:t>
      </w:r>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41.合同履行</w:t>
      </w:r>
      <w:bookmarkEnd w:id="118"/>
    </w:p>
    <w:p>
      <w:pPr>
        <w:tabs>
          <w:tab w:val="left" w:pos="426"/>
        </w:tabs>
        <w:autoSpaceDE w:val="0"/>
        <w:autoSpaceDN w:val="0"/>
        <w:adjustRightInd w:val="0"/>
        <w:snapToGri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 xml:space="preserve">41.1 </w:t>
      </w:r>
      <w:r>
        <w:rPr>
          <w:rFonts w:hint="eastAsia" w:ascii="宋体" w:hAnsi="宋体" w:cs="宋体"/>
          <w:color w:val="auto"/>
          <w:sz w:val="24"/>
          <w:highlight w:val="none"/>
          <w:lang w:eastAsia="zh-TW"/>
        </w:rPr>
        <w:t>政府采购合同订立后，合同各方不得擅自变更</w:t>
      </w:r>
      <w:r>
        <w:rPr>
          <w:rFonts w:hint="eastAsia" w:ascii="宋体" w:hAnsi="宋体" w:cs="宋体"/>
          <w:color w:val="auto"/>
          <w:sz w:val="24"/>
          <w:highlight w:val="none"/>
        </w:rPr>
        <w:t>或者</w:t>
      </w:r>
      <w:r>
        <w:rPr>
          <w:rFonts w:hint="eastAsia" w:ascii="宋体" w:hAnsi="宋体" w:cs="宋体"/>
          <w:color w:val="auto"/>
          <w:sz w:val="24"/>
          <w:highlight w:val="none"/>
          <w:lang w:eastAsia="zh-TW"/>
        </w:rPr>
        <w:t>中止或者终止合同。政府采购合同需要变更的，采购人应将有关合同变更内容，以书面形式报政府采购监督管理</w:t>
      </w:r>
      <w:r>
        <w:rPr>
          <w:rFonts w:hint="eastAsia" w:ascii="宋体" w:hAnsi="宋体" w:cs="宋体"/>
          <w:color w:val="auto"/>
          <w:sz w:val="24"/>
          <w:highlight w:val="none"/>
        </w:rPr>
        <w:t>部门</w:t>
      </w:r>
      <w:r>
        <w:rPr>
          <w:rFonts w:hint="eastAsia" w:ascii="宋体" w:hAnsi="宋体" w:cs="宋体"/>
          <w:color w:val="auto"/>
          <w:sz w:val="24"/>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 w:val="24"/>
          <w:highlight w:val="none"/>
        </w:rPr>
        <w:t>部门</w:t>
      </w:r>
      <w:r>
        <w:rPr>
          <w:rFonts w:hint="eastAsia" w:ascii="宋体" w:hAnsi="宋体" w:cs="宋体"/>
          <w:color w:val="auto"/>
          <w:sz w:val="24"/>
          <w:highlight w:val="none"/>
          <w:lang w:eastAsia="zh-TW"/>
        </w:rPr>
        <w:t>备案。</w:t>
      </w:r>
    </w:p>
    <w:p>
      <w:pPr>
        <w:tabs>
          <w:tab w:val="left" w:pos="426"/>
        </w:tabs>
        <w:autoSpaceDE w:val="0"/>
        <w:autoSpaceDN w:val="0"/>
        <w:adjustRightInd w:val="0"/>
        <w:snapToGri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 xml:space="preserve">41.2 </w:t>
      </w:r>
      <w:r>
        <w:rPr>
          <w:rFonts w:hint="eastAsia" w:ascii="宋体" w:hAnsi="宋体" w:cs="宋体"/>
          <w:color w:val="auto"/>
          <w:sz w:val="24"/>
          <w:highlight w:val="none"/>
          <w:lang w:eastAsia="zh-TW"/>
        </w:rPr>
        <w:t>政府采购合同履行中，采购人需追加与合同标的相同的货物的，在不改变合同其他条款的前提下，可以与</w:t>
      </w:r>
      <w:r>
        <w:rPr>
          <w:rFonts w:hint="eastAsia" w:ascii="宋体" w:hAnsi="宋体" w:cs="宋体"/>
          <w:color w:val="auto"/>
          <w:sz w:val="24"/>
          <w:highlight w:val="none"/>
        </w:rPr>
        <w:t>成交供应商</w:t>
      </w:r>
      <w:r>
        <w:rPr>
          <w:rFonts w:hint="eastAsia" w:ascii="宋体" w:hAnsi="宋体" w:cs="宋体"/>
          <w:color w:val="auto"/>
          <w:sz w:val="24"/>
          <w:highlight w:val="none"/>
          <w:lang w:eastAsia="zh-TW"/>
        </w:rPr>
        <w:t>签订补充合同，但须按照当地财政部门的规定要求执行</w:t>
      </w:r>
      <w:r>
        <w:rPr>
          <w:rFonts w:hint="eastAsia" w:ascii="宋体" w:hAnsi="宋体" w:cs="宋体"/>
          <w:color w:val="auto"/>
          <w:sz w:val="24"/>
          <w:highlight w:val="none"/>
        </w:rPr>
        <w:t>，</w:t>
      </w:r>
      <w:r>
        <w:rPr>
          <w:rFonts w:hint="eastAsia" w:ascii="宋体" w:hAnsi="宋体" w:cs="宋体"/>
          <w:color w:val="auto"/>
          <w:sz w:val="24"/>
          <w:highlight w:val="none"/>
          <w:lang w:eastAsia="zh-TW"/>
        </w:rPr>
        <w:t>所补充合同的采购金额不得超过原</w:t>
      </w:r>
      <w:r>
        <w:rPr>
          <w:rFonts w:hint="eastAsia" w:ascii="宋体" w:hAnsi="宋体" w:cs="宋体"/>
          <w:color w:val="auto"/>
          <w:sz w:val="24"/>
          <w:highlight w:val="none"/>
        </w:rPr>
        <w:t>合同</w:t>
      </w:r>
      <w:r>
        <w:rPr>
          <w:rFonts w:hint="eastAsia" w:ascii="宋体" w:hAnsi="宋体" w:cs="宋体"/>
          <w:color w:val="auto"/>
          <w:sz w:val="24"/>
          <w:highlight w:val="none"/>
          <w:lang w:eastAsia="zh-TW"/>
        </w:rPr>
        <w:t>采购金额的百分之十。签订补充合同的</w:t>
      </w:r>
      <w:r>
        <w:rPr>
          <w:rFonts w:hint="eastAsia" w:ascii="宋体" w:hAnsi="宋体" w:cs="宋体"/>
          <w:color w:val="auto"/>
          <w:sz w:val="24"/>
          <w:highlight w:val="none"/>
        </w:rPr>
        <w:t>应</w:t>
      </w:r>
      <w:r>
        <w:rPr>
          <w:rFonts w:hint="eastAsia" w:ascii="宋体" w:hAnsi="宋体" w:cs="宋体"/>
          <w:color w:val="auto"/>
          <w:sz w:val="24"/>
          <w:highlight w:val="none"/>
          <w:lang w:eastAsia="zh-TW"/>
        </w:rPr>
        <w:t>按规定备案。</w:t>
      </w:r>
    </w:p>
    <w:bookmarkEnd w:id="16"/>
    <w:bookmarkEnd w:id="17"/>
    <w:bookmarkEnd w:id="18"/>
    <w:bookmarkEnd w:id="19"/>
    <w:bookmarkEnd w:id="20"/>
    <w:bookmarkEnd w:id="21"/>
    <w:bookmarkEnd w:id="22"/>
    <w:bookmarkEnd w:id="23"/>
    <w:bookmarkEnd w:id="24"/>
    <w:bookmarkEnd w:id="112"/>
    <w:bookmarkEnd w:id="113"/>
    <w:bookmarkEnd w:id="117"/>
    <w:p>
      <w:pPr>
        <w:pStyle w:val="5"/>
        <w:spacing w:before="0" w:after="0" w:line="360" w:lineRule="auto"/>
        <w:rPr>
          <w:rFonts w:ascii="宋体" w:hAnsi="宋体" w:cs="宋体"/>
          <w:color w:val="auto"/>
          <w:highlight w:val="none"/>
        </w:rPr>
      </w:pPr>
      <w:bookmarkStart w:id="119" w:name="_Toc217446081"/>
      <w:r>
        <w:rPr>
          <w:rFonts w:hint="eastAsia" w:ascii="宋体" w:hAnsi="宋体" w:cs="宋体"/>
          <w:color w:val="auto"/>
          <w:highlight w:val="none"/>
        </w:rPr>
        <w:t>42.合同的履约验收</w:t>
      </w:r>
    </w:p>
    <w:p>
      <w:pPr>
        <w:tabs>
          <w:tab w:val="left" w:pos="426"/>
        </w:tabs>
        <w:autoSpaceDE w:val="0"/>
        <w:autoSpaceDN w:val="0"/>
        <w:adjustRightInd w:val="0"/>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lang w:val="zh-CN" w:eastAsia="zh-TW"/>
        </w:rPr>
        <w:t>政府采购合同的履行、违约责任和解决争议的方法等适用《中华人民共和国</w:t>
      </w:r>
      <w:r>
        <w:rPr>
          <w:rFonts w:hint="eastAsia" w:ascii="宋体" w:hAnsi="宋体" w:cs="宋体"/>
          <w:color w:val="auto"/>
          <w:sz w:val="24"/>
          <w:highlight w:val="none"/>
        </w:rPr>
        <w:t>政府采购法</w:t>
      </w:r>
      <w:r>
        <w:rPr>
          <w:rFonts w:hint="eastAsia" w:ascii="宋体" w:hAnsi="宋体" w:cs="宋体"/>
          <w:color w:val="auto"/>
          <w:sz w:val="24"/>
          <w:highlight w:val="none"/>
          <w:lang w:val="zh-CN" w:eastAsia="zh-TW"/>
        </w:rPr>
        <w:t>》、《中华人民共和国民法典》，采购人按照政府采购合同规定的技术、服务、安全标准组织对</w:t>
      </w:r>
      <w:r>
        <w:rPr>
          <w:rFonts w:hint="eastAsia" w:ascii="宋体" w:hAnsi="宋体" w:cs="宋体"/>
          <w:color w:val="auto"/>
          <w:sz w:val="24"/>
          <w:highlight w:val="none"/>
        </w:rPr>
        <w:t>供应商</w:t>
      </w:r>
      <w:r>
        <w:rPr>
          <w:rFonts w:hint="eastAsia" w:ascii="宋体" w:hAnsi="宋体" w:cs="宋体"/>
          <w:color w:val="auto"/>
          <w:sz w:val="24"/>
          <w:highlight w:val="none"/>
          <w:lang w:val="zh-CN" w:eastAsia="zh-TW"/>
        </w:rPr>
        <w:t>履约情况进行验收，并出具验收书。</w:t>
      </w:r>
    </w:p>
    <w:p>
      <w:pPr>
        <w:pStyle w:val="4"/>
        <w:spacing w:before="120" w:beforeLines="50" w:after="120" w:afterLines="50" w:line="360" w:lineRule="auto"/>
        <w:rPr>
          <w:rFonts w:ascii="宋体" w:hAnsi="宋体" w:eastAsia="宋体" w:cs="宋体"/>
          <w:bCs/>
          <w:color w:val="auto"/>
          <w:highlight w:val="none"/>
        </w:rPr>
      </w:pPr>
      <w:bookmarkStart w:id="120" w:name="_Toc4220"/>
      <w:bookmarkStart w:id="121" w:name="_Toc20785"/>
      <w:r>
        <w:rPr>
          <w:rFonts w:hint="eastAsia" w:ascii="宋体" w:hAnsi="宋体" w:eastAsia="宋体" w:cs="宋体"/>
          <w:bCs/>
          <w:color w:val="auto"/>
          <w:highlight w:val="none"/>
        </w:rPr>
        <w:t>十一、成交服务费</w:t>
      </w:r>
      <w:bookmarkEnd w:id="120"/>
      <w:bookmarkEnd w:id="121"/>
    </w:p>
    <w:p>
      <w:pPr>
        <w:pStyle w:val="5"/>
        <w:spacing w:before="0" w:after="0" w:line="360" w:lineRule="auto"/>
        <w:rPr>
          <w:rFonts w:ascii="宋体" w:hAnsi="宋体" w:cs="宋体"/>
          <w:color w:val="auto"/>
          <w:highlight w:val="none"/>
        </w:rPr>
      </w:pPr>
      <w:r>
        <w:rPr>
          <w:rFonts w:hint="eastAsia" w:ascii="宋体" w:hAnsi="宋体" w:cs="宋体"/>
          <w:color w:val="auto"/>
          <w:highlight w:val="none"/>
        </w:rPr>
        <w:t>43.成交服务费的数额及缴纳方式</w:t>
      </w:r>
    </w:p>
    <w:p>
      <w:pPr>
        <w:spacing w:line="360" w:lineRule="auto"/>
        <w:ind w:firstLine="573"/>
        <w:rPr>
          <w:rFonts w:ascii="宋体" w:hAnsi="宋体" w:cs="宋体"/>
          <w:color w:val="auto"/>
          <w:sz w:val="24"/>
          <w:highlight w:val="none"/>
        </w:rPr>
      </w:pPr>
      <w:r>
        <w:rPr>
          <w:rFonts w:hint="eastAsia" w:ascii="宋体" w:hAnsi="宋体" w:cs="宋体"/>
          <w:color w:val="auto"/>
          <w:sz w:val="24"/>
          <w:highlight w:val="none"/>
        </w:rPr>
        <w:t>43.1 成交供应商在领取《成交通知书》之前，应向采购代理机构缴纳成交服务费。</w:t>
      </w:r>
    </w:p>
    <w:p>
      <w:pPr>
        <w:spacing w:line="360" w:lineRule="auto"/>
        <w:ind w:firstLine="573"/>
        <w:jc w:val="left"/>
        <w:rPr>
          <w:rFonts w:ascii="宋体" w:hAnsi="宋体" w:cs="宋体"/>
          <w:color w:val="auto"/>
          <w:sz w:val="24"/>
          <w:highlight w:val="none"/>
        </w:rPr>
      </w:pPr>
      <w:r>
        <w:rPr>
          <w:rFonts w:hint="eastAsia" w:ascii="宋体" w:hAnsi="宋体" w:cs="宋体"/>
          <w:color w:val="auto"/>
          <w:sz w:val="24"/>
          <w:highlight w:val="none"/>
        </w:rPr>
        <w:t>43.2 成交服务费参考《国家计委关于印发〈招标代理服务收费管理暂行办法〉的通知》（计价格〔2002〕1980号）、《国家发展和改革委员会办公厅关于招标代理服务收费有关问题的通知》（发改办价格〔2003〕857号）规定，具体金额将在结果公告中公布。</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 成交服务费，可以采取现金、转账、网上银行等方式缴纳。</w:t>
      </w:r>
    </w:p>
    <w:p>
      <w:pPr>
        <w:spacing w:line="360" w:lineRule="auto"/>
        <w:ind w:firstLine="573"/>
        <w:jc w:val="left"/>
        <w:rPr>
          <w:rFonts w:ascii="宋体" w:hAnsi="宋体" w:cs="宋体"/>
          <w:b/>
          <w:color w:val="auto"/>
          <w:sz w:val="24"/>
          <w:highlight w:val="none"/>
        </w:rPr>
      </w:pPr>
      <w:r>
        <w:rPr>
          <w:rFonts w:hint="eastAsia" w:ascii="宋体" w:hAnsi="宋体" w:cs="宋体"/>
          <w:b/>
          <w:color w:val="auto"/>
          <w:sz w:val="24"/>
          <w:highlight w:val="none"/>
        </w:rPr>
        <w:t>招标代理服务费交纳转账信息：</w:t>
      </w:r>
    </w:p>
    <w:p>
      <w:pPr>
        <w:spacing w:line="360" w:lineRule="auto"/>
        <w:ind w:firstLine="573"/>
        <w:jc w:val="left"/>
        <w:rPr>
          <w:rFonts w:ascii="宋体" w:hAnsi="宋体" w:cs="宋体"/>
          <w:b/>
          <w:color w:val="auto"/>
          <w:sz w:val="24"/>
          <w:highlight w:val="none"/>
        </w:rPr>
      </w:pPr>
      <w:r>
        <w:rPr>
          <w:rFonts w:hint="eastAsia" w:ascii="宋体" w:hAnsi="宋体" w:cs="宋体"/>
          <w:b/>
          <w:color w:val="auto"/>
          <w:sz w:val="24"/>
          <w:highlight w:val="none"/>
        </w:rPr>
        <w:t>银行户名：陕西明正招标有限公司</w:t>
      </w:r>
    </w:p>
    <w:p>
      <w:pPr>
        <w:spacing w:line="360" w:lineRule="auto"/>
        <w:ind w:firstLine="573"/>
        <w:jc w:val="left"/>
        <w:rPr>
          <w:rFonts w:ascii="宋体" w:hAnsi="宋体" w:cs="宋体"/>
          <w:b/>
          <w:color w:val="auto"/>
          <w:sz w:val="24"/>
          <w:highlight w:val="none"/>
        </w:rPr>
      </w:pPr>
      <w:r>
        <w:rPr>
          <w:rFonts w:hint="eastAsia" w:ascii="宋体" w:hAnsi="宋体" w:cs="宋体"/>
          <w:b/>
          <w:color w:val="auto"/>
          <w:sz w:val="24"/>
          <w:highlight w:val="none"/>
        </w:rPr>
        <w:t>开户行名称：招商银行股份有限公司西安白沙路支行</w:t>
      </w:r>
    </w:p>
    <w:p>
      <w:pPr>
        <w:spacing w:line="360" w:lineRule="auto"/>
        <w:ind w:firstLine="573"/>
        <w:jc w:val="left"/>
        <w:rPr>
          <w:rFonts w:ascii="宋体" w:hAnsi="宋体" w:cs="宋体"/>
          <w:color w:val="auto"/>
          <w:sz w:val="24"/>
          <w:highlight w:val="none"/>
        </w:rPr>
      </w:pPr>
      <w:r>
        <w:rPr>
          <w:rFonts w:hint="eastAsia" w:ascii="宋体" w:hAnsi="宋体" w:cs="宋体"/>
          <w:b/>
          <w:color w:val="auto"/>
          <w:sz w:val="24"/>
          <w:highlight w:val="none"/>
        </w:rPr>
        <w:t>账      号：129907967910101</w:t>
      </w:r>
    </w:p>
    <w:p>
      <w:pPr>
        <w:spacing w:line="360" w:lineRule="auto"/>
        <w:ind w:firstLine="573"/>
        <w:rPr>
          <w:rFonts w:ascii="宋体" w:hAnsi="宋体" w:cs="宋体"/>
          <w:color w:val="auto"/>
          <w:sz w:val="24"/>
          <w:highlight w:val="none"/>
        </w:rPr>
      </w:pPr>
      <w:r>
        <w:rPr>
          <w:rFonts w:hint="eastAsia" w:ascii="宋体" w:hAnsi="宋体" w:cs="宋体"/>
          <w:color w:val="auto"/>
          <w:sz w:val="24"/>
          <w:highlight w:val="none"/>
        </w:rPr>
        <w:t>43.4供应商应将成交服务费计算入谈判总报价，但不在分项报价中单独列出。</w:t>
      </w:r>
    </w:p>
    <w:p>
      <w:pPr>
        <w:pStyle w:val="4"/>
        <w:spacing w:before="0" w:after="120" w:afterLines="50" w:line="360" w:lineRule="auto"/>
        <w:rPr>
          <w:rFonts w:ascii="宋体" w:hAnsi="宋体" w:eastAsia="宋体" w:cs="宋体"/>
          <w:bCs/>
          <w:color w:val="auto"/>
          <w:highlight w:val="none"/>
        </w:rPr>
      </w:pPr>
      <w:bookmarkStart w:id="122" w:name="_Toc22594"/>
      <w:bookmarkStart w:id="123" w:name="_Toc24327"/>
      <w:r>
        <w:rPr>
          <w:rFonts w:hint="eastAsia" w:ascii="宋体" w:hAnsi="宋体" w:eastAsia="宋体" w:cs="宋体"/>
          <w:bCs/>
          <w:color w:val="auto"/>
          <w:highlight w:val="none"/>
        </w:rPr>
        <w:t>十二、质疑与投诉</w:t>
      </w:r>
      <w:bookmarkEnd w:id="122"/>
      <w:bookmarkEnd w:id="123"/>
    </w:p>
    <w:p>
      <w:pPr>
        <w:pStyle w:val="5"/>
        <w:spacing w:before="0" w:after="0" w:line="360" w:lineRule="auto"/>
        <w:rPr>
          <w:rFonts w:ascii="宋体" w:hAnsi="宋体" w:cs="宋体"/>
          <w:color w:val="auto"/>
          <w:highlight w:val="none"/>
        </w:rPr>
      </w:pPr>
      <w:r>
        <w:rPr>
          <w:rFonts w:hint="eastAsia" w:ascii="宋体" w:hAnsi="宋体" w:cs="宋体"/>
          <w:color w:val="auto"/>
          <w:highlight w:val="none"/>
        </w:rPr>
        <w:t>44.质疑</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44.1 供应商对本次招标采购活动有疑问的，按照国家《中华人民共和国政府采购法》、《中华人民共和国政府采购法实施条例》及《政府采购质疑和投诉办法》（财政部94号令）的规定办理。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44.2 供应商认为采购文件、采购过程或成交结果使自身的合法权益受到损害时，应当在法定期限内一次性提出针对同一采购程序环节的质疑，按照质疑函范本格式要求以书面形式向采购代理机构或采购人提出质疑。对谈判文件提出质疑为获取采购文件之日起7个工作日内,对谈判过程提出质疑为各采购环节结束之日起7个工作日内,对成交结果提出质疑的为成交公告期限届满之日起7个工作日内。</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质疑书应当包括以下主要内容：被质疑项目名称、项目编号、包号、采购文件获取日期、质疑事项、证据及来源线索、法律依据（具体条款）、招标采购活动中自己权益受到侵害的实质内容、质疑人有效联系方式等。</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（2）质疑书应当由法定代表人或授权代表签字或盖章，并加盖单位公章，公章不得以合同章或其他印章代替，并附法人身份证明。</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（4）质疑函范本格式在中国政府采购网站（http://www.ccgp.gov.cn/）自行下载。</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（5）接收质疑函的联系部门、联系电话和通讯地址同采购公告。</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（6）供应商必须在法定质疑期内一次性提出针对同一采购程序环节的质疑。</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44.3 有下列情形之一的，属于无效质疑，采购代理机构和采购人不予受理：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（1）质疑人不是参与本次政府采购项目的供应商；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（2）质疑人与质疑事项不存在利害关系的；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（3）未在法定期限内提出质疑的；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（4）质疑未以书面形式提出，以传真、电子邮件、移动通信等形式即时收悉提交的质疑材料；</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（5）质疑未按质疑函范本格式提出的；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（6）质疑书主要内容构成不完整的；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（7）质疑书没有合法有效的签字、盖章或授权的；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（8）以非法手段取得证据、材料的；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（9）质疑答复后，同一质疑人就同一事项再次提出质疑的；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（10）不符合法律、法规、规章和政府采购监管机构规定的其他条件的。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44.4 采购代理机构或采购人将在收到书面质疑后7个工作日内做出答复，并以书面形式通知质疑人和其他有关供应商。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44.5质疑受理联系电话：029-87551608，联系人：冯瑶，通讯地址：西安市雁塔区二环南路西段88号老三届世纪星大厦30层AB座。</w:t>
      </w:r>
    </w:p>
    <w:p>
      <w:pPr>
        <w:pStyle w:val="5"/>
        <w:spacing w:before="0" w:after="0" w:line="360" w:lineRule="auto"/>
        <w:rPr>
          <w:rFonts w:ascii="宋体" w:hAnsi="宋体" w:cs="宋体"/>
          <w:color w:val="auto"/>
          <w:highlight w:val="none"/>
        </w:rPr>
      </w:pPr>
      <w:r>
        <w:rPr>
          <w:rFonts w:hint="eastAsia" w:ascii="宋体" w:hAnsi="宋体" w:cs="宋体"/>
          <w:color w:val="auto"/>
          <w:highlight w:val="none"/>
        </w:rPr>
        <w:t>45.投诉</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45.1 供应商和其他厉害关系人认为本次招标采购活动违反法律、法规和规章规定的，有权向有关行政监督机构投诉。</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（2）供应商投诉的事项不得超出已质疑事项的范围。</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（3）投诉书范本格式在中国政府采购网站（www.ccgp.gov.cn）自行下载。</w:t>
      </w:r>
    </w:p>
    <w:p>
      <w:pPr>
        <w:widowControl/>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依据《中华人民共和国政府采购法》及其实施条例、《中华人民共和国招标投标法》及其实施条例、《政府采购供应商投诉处理办法》等法律法规的规定，供应商质疑、投诉应当有明确的请求和必要的证明材料。</w:t>
      </w:r>
    </w:p>
    <w:p>
      <w:pPr>
        <w:widowControl/>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投诉人有下列行为之一的，属于虚假、恶意投诉，由财政部门列入不良行为记录名单，禁止其1至3年内参加政府采购活动：</w:t>
      </w:r>
    </w:p>
    <w:p>
      <w:pPr>
        <w:widowControl/>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（一）捏造事实；</w:t>
      </w:r>
    </w:p>
    <w:p>
      <w:pPr>
        <w:widowControl/>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（二）提供虚假材料；</w:t>
      </w:r>
    </w:p>
    <w:p>
      <w:pPr>
        <w:widowControl/>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（三）以非法手段取得证明材料。证据来源的合法性存在明显疑问，投诉人无法证明其取得方式合法的，视为以非法手段取得证明材料。</w:t>
      </w:r>
    </w:p>
    <w:p>
      <w:pPr>
        <w:pStyle w:val="5"/>
        <w:spacing w:before="0" w:after="0" w:line="360" w:lineRule="auto"/>
        <w:rPr>
          <w:rFonts w:ascii="宋体" w:hAnsi="宋体" w:cs="宋体"/>
          <w:color w:val="auto"/>
          <w:highlight w:val="none"/>
        </w:rPr>
      </w:pPr>
      <w:r>
        <w:rPr>
          <w:rFonts w:hint="eastAsia" w:ascii="宋体" w:hAnsi="宋体" w:cs="宋体"/>
          <w:color w:val="auto"/>
          <w:highlight w:val="none"/>
        </w:rPr>
        <w:t>46.其他</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46.1对捏造事实、提供虚假材料进行质疑、投诉的行为予以严肃处理：</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依据《政府采购质疑和投诉办法》（财政部94号令）有关规定，投诉供应商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46.2对捏造事实诬告陷害他人、诽谤他人的法律适用：</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《中华人民共和国刑法》第246条【侮辱罪、诽谤罪】以暴力或者其他方法公然侮辱他人或者捏造事实诽谤他人，情节严重的，处三年以下有期徒刑、拘役、管制或者剥夺政治权利。</w:t>
      </w:r>
    </w:p>
    <w:p>
      <w:pPr>
        <w:pStyle w:val="3"/>
        <w:spacing w:line="240" w:lineRule="auto"/>
        <w:jc w:val="center"/>
        <w:rPr>
          <w:rFonts w:ascii="宋体" w:hAnsi="宋体" w:cs="宋体"/>
          <w:b w:val="0"/>
          <w:color w:val="auto"/>
          <w:sz w:val="44"/>
          <w:szCs w:val="44"/>
          <w:highlight w:val="none"/>
        </w:rPr>
      </w:pPr>
      <w:r>
        <w:rPr>
          <w:rFonts w:hint="eastAsia" w:ascii="宋体" w:hAnsi="宋体" w:cs="宋体"/>
          <w:color w:val="auto"/>
          <w:sz w:val="44"/>
          <w:szCs w:val="44"/>
          <w:highlight w:val="none"/>
        </w:rPr>
        <w:br w:type="page"/>
      </w:r>
      <w:bookmarkStart w:id="124" w:name="_Toc7745"/>
      <w:r>
        <w:rPr>
          <w:rFonts w:hint="eastAsia" w:ascii="宋体" w:hAnsi="宋体" w:cs="宋体"/>
          <w:color w:val="auto"/>
          <w:sz w:val="44"/>
          <w:szCs w:val="44"/>
          <w:highlight w:val="none"/>
        </w:rPr>
        <w:t>第四章</w:t>
      </w:r>
      <w:bookmarkStart w:id="125" w:name="_Toc217446093"/>
      <w:r>
        <w:rPr>
          <w:rFonts w:hint="eastAsia" w:ascii="宋体" w:hAnsi="宋体" w:cs="宋体"/>
          <w:color w:val="auto"/>
          <w:sz w:val="44"/>
          <w:szCs w:val="44"/>
          <w:highlight w:val="none"/>
        </w:rPr>
        <w:t xml:space="preserve"> 评审程序和评审方法</w:t>
      </w:r>
      <w:bookmarkEnd w:id="12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根据《中华人民共和国政府采购法》及实施条例和</w:t>
      </w:r>
      <w:r>
        <w:rPr>
          <w:rFonts w:hint="eastAsia" w:ascii="宋体" w:hAnsi="宋体" w:cs="宋体"/>
          <w:bCs/>
          <w:color w:val="auto"/>
          <w:sz w:val="24"/>
          <w:highlight w:val="none"/>
        </w:rPr>
        <w:t>《</w:t>
      </w:r>
      <w:r>
        <w:rPr>
          <w:rFonts w:hint="eastAsia" w:ascii="宋体" w:hAnsi="宋体" w:cs="宋体"/>
          <w:color w:val="auto"/>
          <w:sz w:val="24"/>
          <w:highlight w:val="none"/>
          <w:lang w:val="zh-CN"/>
        </w:rPr>
        <w:t>政府采购非招标采购方式管理办法</w:t>
      </w:r>
      <w:r>
        <w:rPr>
          <w:rFonts w:hint="eastAsia" w:ascii="宋体" w:hAnsi="宋体" w:cs="宋体"/>
          <w:bCs/>
          <w:color w:val="auto"/>
          <w:sz w:val="24"/>
          <w:highlight w:val="none"/>
        </w:rPr>
        <w:t>》</w:t>
      </w:r>
      <w:r>
        <w:rPr>
          <w:rFonts w:hint="eastAsia" w:ascii="宋体" w:hAnsi="宋体" w:cs="宋体"/>
          <w:color w:val="auto"/>
          <w:sz w:val="24"/>
          <w:highlight w:val="none"/>
        </w:rPr>
        <w:t>等法律法规规定，结合采购项目特点制定本评审办法。</w:t>
      </w:r>
    </w:p>
    <w:p>
      <w:pPr>
        <w:pStyle w:val="4"/>
        <w:spacing w:before="120" w:beforeLines="50" w:after="120" w:afterLines="50" w:line="360" w:lineRule="auto"/>
        <w:rPr>
          <w:rFonts w:ascii="宋体" w:hAnsi="宋体" w:eastAsia="宋体" w:cs="宋体"/>
          <w:bCs/>
          <w:color w:val="auto"/>
          <w:highlight w:val="none"/>
        </w:rPr>
      </w:pPr>
      <w:bookmarkStart w:id="126" w:name="_Toc16404"/>
      <w:r>
        <w:rPr>
          <w:rFonts w:hint="eastAsia" w:ascii="宋体" w:hAnsi="宋体" w:eastAsia="宋体" w:cs="宋体"/>
          <w:bCs/>
          <w:color w:val="auto"/>
          <w:highlight w:val="none"/>
        </w:rPr>
        <w:t>一、谈判步骤与评审方法</w:t>
      </w:r>
      <w:bookmarkEnd w:id="126"/>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1.本采购项目评审工作应当按照下列工作程序进行：</w:t>
      </w:r>
    </w:p>
    <w:p>
      <w:pPr>
        <w:spacing w:line="360" w:lineRule="auto"/>
        <w:ind w:firstLine="495"/>
        <w:rPr>
          <w:rFonts w:ascii="宋体" w:hAnsi="宋体" w:cs="宋体"/>
          <w:color w:val="auto"/>
          <w:sz w:val="24"/>
          <w:highlight w:val="none"/>
        </w:rPr>
      </w:pPr>
      <w:r>
        <w:rPr>
          <w:rFonts w:hint="eastAsia" w:ascii="宋体" w:hAnsi="宋体" w:cs="宋体"/>
          <w:color w:val="auto"/>
          <w:sz w:val="24"/>
          <w:highlight w:val="none"/>
        </w:rPr>
        <w:t>（1）谈判小组确认谈判文件。</w:t>
      </w:r>
    </w:p>
    <w:p>
      <w:pPr>
        <w:spacing w:line="360" w:lineRule="auto"/>
        <w:ind w:firstLine="495"/>
        <w:rPr>
          <w:rFonts w:ascii="宋体" w:hAnsi="宋体" w:cs="宋体"/>
          <w:color w:val="auto"/>
          <w:sz w:val="24"/>
          <w:highlight w:val="none"/>
        </w:rPr>
      </w:pPr>
      <w:r>
        <w:rPr>
          <w:rFonts w:hint="eastAsia" w:ascii="宋体" w:hAnsi="宋体" w:cs="宋体"/>
          <w:color w:val="auto"/>
          <w:sz w:val="24"/>
          <w:highlight w:val="none"/>
        </w:rPr>
        <w:t>（2）资格性审查：谈判文件经确认后，采购人对响应文件正本中的供应商资格证明文件进行审查</w:t>
      </w:r>
    </w:p>
    <w:p>
      <w:pPr>
        <w:spacing w:line="360" w:lineRule="auto"/>
        <w:ind w:firstLine="495"/>
        <w:rPr>
          <w:rFonts w:ascii="宋体" w:hAnsi="宋体" w:cs="宋体"/>
          <w:color w:val="auto"/>
          <w:sz w:val="24"/>
          <w:highlight w:val="none"/>
        </w:rPr>
      </w:pPr>
      <w:r>
        <w:rPr>
          <w:rFonts w:hint="eastAsia" w:ascii="宋体" w:hAnsi="宋体" w:cs="宋体"/>
          <w:color w:val="auto"/>
          <w:sz w:val="24"/>
          <w:highlight w:val="none"/>
        </w:rPr>
        <w:t>（3）谈判响应文件符合性审查；</w:t>
      </w:r>
    </w:p>
    <w:p>
      <w:pPr>
        <w:spacing w:line="360" w:lineRule="auto"/>
        <w:ind w:firstLine="495"/>
        <w:rPr>
          <w:rFonts w:ascii="宋体" w:hAnsi="宋体" w:cs="宋体"/>
          <w:color w:val="auto"/>
          <w:sz w:val="24"/>
          <w:highlight w:val="none"/>
        </w:rPr>
      </w:pPr>
      <w:r>
        <w:rPr>
          <w:rFonts w:hint="eastAsia" w:ascii="宋体" w:hAnsi="宋体" w:cs="宋体"/>
          <w:color w:val="auto"/>
          <w:sz w:val="24"/>
          <w:highlight w:val="none"/>
        </w:rPr>
        <w:t>（4）谈判；</w:t>
      </w:r>
    </w:p>
    <w:p>
      <w:pPr>
        <w:spacing w:line="360" w:lineRule="auto"/>
        <w:ind w:firstLine="495"/>
        <w:rPr>
          <w:rFonts w:ascii="宋体" w:hAnsi="宋体" w:cs="宋体"/>
          <w:color w:val="auto"/>
          <w:sz w:val="24"/>
          <w:highlight w:val="none"/>
        </w:rPr>
      </w:pPr>
      <w:r>
        <w:rPr>
          <w:rFonts w:hint="eastAsia" w:ascii="宋体" w:hAnsi="宋体" w:cs="宋体"/>
          <w:color w:val="auto"/>
          <w:sz w:val="24"/>
          <w:highlight w:val="none"/>
        </w:rPr>
        <w:t>（5）最后报价；</w:t>
      </w:r>
    </w:p>
    <w:p>
      <w:pPr>
        <w:spacing w:line="360" w:lineRule="auto"/>
        <w:ind w:firstLine="495"/>
        <w:rPr>
          <w:rFonts w:ascii="宋体" w:hAnsi="宋体" w:cs="宋体"/>
          <w:color w:val="auto"/>
          <w:sz w:val="24"/>
          <w:highlight w:val="none"/>
        </w:rPr>
      </w:pPr>
      <w:r>
        <w:rPr>
          <w:rFonts w:hint="eastAsia" w:ascii="宋体" w:hAnsi="宋体" w:cs="宋体"/>
          <w:color w:val="auto"/>
          <w:sz w:val="24"/>
          <w:highlight w:val="none"/>
        </w:rPr>
        <w:t>（6）确定成交候选供应商名单；</w:t>
      </w:r>
    </w:p>
    <w:p>
      <w:pPr>
        <w:spacing w:line="360" w:lineRule="auto"/>
        <w:ind w:firstLine="495"/>
        <w:rPr>
          <w:rFonts w:ascii="宋体" w:hAnsi="宋体" w:cs="宋体"/>
          <w:color w:val="auto"/>
          <w:sz w:val="24"/>
          <w:highlight w:val="none"/>
        </w:rPr>
      </w:pPr>
      <w:r>
        <w:rPr>
          <w:rFonts w:hint="eastAsia" w:ascii="宋体" w:hAnsi="宋体" w:cs="宋体"/>
          <w:color w:val="auto"/>
          <w:sz w:val="24"/>
          <w:highlight w:val="none"/>
        </w:rPr>
        <w:t>（7）编写评审报告。</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2.谈判响应文件符合性审查</w:t>
      </w:r>
    </w:p>
    <w:p>
      <w:pPr>
        <w:spacing w:line="360" w:lineRule="auto"/>
        <w:ind w:firstLine="470" w:firstLineChars="196"/>
        <w:rPr>
          <w:color w:val="auto"/>
          <w:highlight w:val="none"/>
        </w:rPr>
      </w:pPr>
      <w:r>
        <w:rPr>
          <w:rFonts w:hint="eastAsia" w:ascii="宋体" w:hAnsi="宋体" w:cs="宋体"/>
          <w:color w:val="auto"/>
          <w:sz w:val="24"/>
          <w:highlight w:val="none"/>
        </w:rPr>
        <w:t>供应商资格性审查通过后，谈判小组依据谈判文件的规定，对供应商的谈判响应文件进行符合性审查。谈判小组从响应文件的有效性、完整性和对谈判文件的响应程度进行审查，以确定其是否对谈判文件实质性内容作出响应，具体审查内容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439"/>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82" w:type="dxa"/>
            <w:vAlign w:val="center"/>
          </w:tcPr>
          <w:p>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439" w:type="dxa"/>
            <w:vAlign w:val="center"/>
          </w:tcPr>
          <w:p>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符合性审查事项</w:t>
            </w:r>
          </w:p>
        </w:tc>
        <w:tc>
          <w:tcPr>
            <w:tcW w:w="5039" w:type="dxa"/>
            <w:vAlign w:val="center"/>
          </w:tcPr>
          <w:p>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882"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343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谈判响应文件项目名称</w:t>
            </w:r>
          </w:p>
        </w:tc>
        <w:tc>
          <w:tcPr>
            <w:tcW w:w="5039" w:type="dxa"/>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谈判响应文件以下三处的项目名称无遗漏，且与本项目完全一致：</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（1）封面；</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（2）谈判响应函；</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（3）法定代表人授权书；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2"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343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谈判响应文件组成</w:t>
            </w:r>
          </w:p>
        </w:tc>
        <w:tc>
          <w:tcPr>
            <w:tcW w:w="5039" w:type="dxa"/>
            <w:vAlign w:val="center"/>
          </w:tcPr>
          <w:p>
            <w:pPr>
              <w:spacing w:line="400" w:lineRule="exact"/>
              <w:jc w:val="left"/>
              <w:rPr>
                <w:rFonts w:ascii="宋体" w:hAnsi="宋体" w:cs="宋体"/>
                <w:color w:val="auto"/>
                <w:sz w:val="24"/>
                <w:highlight w:val="none"/>
              </w:rPr>
            </w:pPr>
            <w:r>
              <w:rPr>
                <w:rFonts w:hint="eastAsia" w:hAnsi="宋体" w:cs="宋体"/>
                <w:color w:val="auto"/>
                <w:sz w:val="24"/>
                <w:highlight w:val="none"/>
              </w:rPr>
              <w:t>采购需求未出现实质性内容的缺漏项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82"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343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谈判有效期</w:t>
            </w:r>
          </w:p>
        </w:tc>
        <w:tc>
          <w:tcPr>
            <w:tcW w:w="5039" w:type="dxa"/>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82"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343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谈判报价</w:t>
            </w:r>
          </w:p>
        </w:tc>
        <w:tc>
          <w:tcPr>
            <w:tcW w:w="5039" w:type="dxa"/>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同时满足以下条款：</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（1）谈判报价符合唯一性要求；</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谈判报价（上浮率）</w:t>
            </w:r>
            <w:r>
              <w:rPr>
                <w:rFonts w:hint="eastAsia" w:ascii="宋体" w:hAnsi="宋体" w:cs="宋体"/>
                <w:color w:val="auto"/>
                <w:sz w:val="24"/>
                <w:szCs w:val="21"/>
                <w:highlight w:val="none"/>
              </w:rPr>
              <w:t>不能超零售价的2</w:t>
            </w:r>
            <w:r>
              <w:rPr>
                <w:rFonts w:hint="eastAsia" w:ascii="宋体" w:hAnsi="宋体" w:cs="宋体"/>
                <w:color w:val="auto"/>
                <w:sz w:val="24"/>
                <w:szCs w:val="21"/>
                <w:highlight w:val="none"/>
                <w:lang w:val="en-US" w:eastAsia="zh-CN"/>
              </w:rPr>
              <w:t>3</w:t>
            </w:r>
            <w:r>
              <w:rPr>
                <w:rFonts w:hint="eastAsia" w:ascii="宋体" w:hAnsi="宋体" w:cs="宋体"/>
                <w:color w:val="auto"/>
                <w:sz w:val="2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82"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43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实质性条款</w:t>
            </w:r>
          </w:p>
        </w:tc>
        <w:tc>
          <w:tcPr>
            <w:tcW w:w="5039" w:type="dxa"/>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完全响应谈判文件要求的各项技术/服务/商务实质性条款。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2"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343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谈判响应文件签署、盖章</w:t>
            </w:r>
          </w:p>
        </w:tc>
        <w:tc>
          <w:tcPr>
            <w:tcW w:w="5039" w:type="dxa"/>
            <w:vAlign w:val="center"/>
          </w:tcPr>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签署、盖章合法、有效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82"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343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其他</w:t>
            </w:r>
          </w:p>
        </w:tc>
        <w:tc>
          <w:tcPr>
            <w:tcW w:w="5039" w:type="dxa"/>
            <w:vAlign w:val="center"/>
          </w:tcPr>
          <w:p>
            <w:pPr>
              <w:spacing w:line="400" w:lineRule="exact"/>
              <w:jc w:val="left"/>
              <w:rPr>
                <w:rFonts w:ascii="宋体" w:hAnsi="宋体" w:cs="宋体"/>
                <w:color w:val="auto"/>
                <w:sz w:val="24"/>
                <w:highlight w:val="none"/>
                <w:lang w:val="zh-CN"/>
              </w:rPr>
            </w:pPr>
            <w:r>
              <w:rPr>
                <w:rFonts w:hint="eastAsia" w:ascii="宋体" w:hAnsi="宋体" w:cs="宋体"/>
                <w:color w:val="auto"/>
                <w:sz w:val="24"/>
                <w:highlight w:val="none"/>
                <w:lang w:val="zh-CN"/>
              </w:rPr>
              <w:t>其他未达到</w:t>
            </w:r>
            <w:r>
              <w:rPr>
                <w:rFonts w:hint="eastAsia" w:ascii="宋体" w:hAnsi="宋体" w:cs="宋体"/>
                <w:color w:val="auto"/>
                <w:sz w:val="24"/>
                <w:highlight w:val="none"/>
              </w:rPr>
              <w:t>谈判</w:t>
            </w:r>
            <w:r>
              <w:rPr>
                <w:rFonts w:hint="eastAsia" w:ascii="宋体" w:hAnsi="宋体" w:cs="宋体"/>
                <w:color w:val="auto"/>
                <w:sz w:val="24"/>
                <w:highlight w:val="none"/>
                <w:lang w:val="zh-CN"/>
              </w:rPr>
              <w:t>文件要求的情况</w:t>
            </w:r>
          </w:p>
        </w:tc>
      </w:tr>
    </w:tbl>
    <w:p>
      <w:pPr>
        <w:spacing w:line="360" w:lineRule="auto"/>
        <w:ind w:firstLine="480" w:firstLineChars="200"/>
        <w:rPr>
          <w:rFonts w:ascii="宋体" w:hAnsi="宋体" w:cs="宋体"/>
          <w:color w:val="auto"/>
          <w:sz w:val="24"/>
          <w:highlight w:val="none"/>
          <w:lang w:val="zh-CN"/>
        </w:rPr>
      </w:pPr>
    </w:p>
    <w:p>
      <w:pPr>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lang w:val="zh-CN"/>
        </w:rPr>
        <w:t>说明：符合性审查结束后，</w:t>
      </w:r>
      <w:r>
        <w:rPr>
          <w:rFonts w:hint="eastAsia" w:ascii="宋体" w:hAnsi="宋体" w:cs="宋体"/>
          <w:color w:val="auto"/>
          <w:sz w:val="24"/>
          <w:highlight w:val="none"/>
        </w:rPr>
        <w:t>谈判小组</w:t>
      </w:r>
      <w:r>
        <w:rPr>
          <w:rFonts w:hint="eastAsia" w:ascii="宋体" w:hAnsi="宋体" w:cs="宋体"/>
          <w:color w:val="auto"/>
          <w:sz w:val="24"/>
          <w:highlight w:val="none"/>
          <w:lang w:val="zh-CN"/>
        </w:rPr>
        <w:t>当对审查结果进行签字确认。若</w:t>
      </w:r>
      <w:r>
        <w:rPr>
          <w:rFonts w:hint="eastAsia" w:ascii="宋体" w:hAnsi="宋体" w:cs="宋体"/>
          <w:color w:val="auto"/>
          <w:sz w:val="24"/>
          <w:highlight w:val="none"/>
        </w:rPr>
        <w:t>供应商</w:t>
      </w:r>
      <w:r>
        <w:rPr>
          <w:rFonts w:hint="eastAsia" w:ascii="宋体" w:hAnsi="宋体" w:cs="宋体"/>
          <w:color w:val="auto"/>
          <w:sz w:val="24"/>
          <w:highlight w:val="none"/>
          <w:lang w:val="zh-CN"/>
        </w:rPr>
        <w:t>符合性审查未通过，注明未通过原因并告知</w:t>
      </w:r>
      <w:r>
        <w:rPr>
          <w:rFonts w:hint="eastAsia" w:ascii="宋体" w:hAnsi="宋体" w:cs="宋体"/>
          <w:color w:val="auto"/>
          <w:sz w:val="24"/>
          <w:highlight w:val="none"/>
        </w:rPr>
        <w:t>供应商</w:t>
      </w:r>
      <w:r>
        <w:rPr>
          <w:rFonts w:hint="eastAsia" w:ascii="宋体" w:hAnsi="宋体" w:cs="宋体"/>
          <w:color w:val="auto"/>
          <w:sz w:val="24"/>
          <w:highlight w:val="none"/>
          <w:lang w:val="zh-CN"/>
        </w:rPr>
        <w:t>，符合性审查不合格的</w:t>
      </w:r>
      <w:r>
        <w:rPr>
          <w:rFonts w:hint="eastAsia" w:ascii="宋体" w:hAnsi="宋体" w:cs="宋体"/>
          <w:color w:val="auto"/>
          <w:sz w:val="24"/>
          <w:highlight w:val="none"/>
        </w:rPr>
        <w:t>供应商</w:t>
      </w:r>
      <w:r>
        <w:rPr>
          <w:rFonts w:hint="eastAsia" w:ascii="宋体" w:hAnsi="宋体" w:cs="宋体"/>
          <w:color w:val="auto"/>
          <w:sz w:val="24"/>
          <w:highlight w:val="none"/>
          <w:lang w:val="zh-CN"/>
        </w:rPr>
        <w:t>，不得进入下一评</w:t>
      </w:r>
      <w:r>
        <w:rPr>
          <w:rFonts w:hint="eastAsia" w:ascii="宋体" w:hAnsi="宋体" w:cs="宋体"/>
          <w:color w:val="auto"/>
          <w:sz w:val="24"/>
          <w:highlight w:val="none"/>
        </w:rPr>
        <w:t>审</w:t>
      </w:r>
      <w:r>
        <w:rPr>
          <w:rFonts w:hint="eastAsia" w:ascii="宋体" w:hAnsi="宋体" w:cs="宋体"/>
          <w:color w:val="auto"/>
          <w:sz w:val="24"/>
          <w:highlight w:val="none"/>
          <w:lang w:val="zh-CN"/>
        </w:rPr>
        <w:t>环节</w:t>
      </w:r>
      <w:r>
        <w:rPr>
          <w:rFonts w:hint="eastAsia" w:ascii="宋体" w:hAnsi="宋体" w:cs="宋体"/>
          <w:color w:val="auto"/>
          <w:sz w:val="24"/>
          <w:highlight w:val="none"/>
        </w:rPr>
        <w:t>。</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3.谈判响应文件的澄清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为有助于谈判响应文件的审查、比较和评价，谈判小组可要求供应商对其谈判响应文件中非实质性（谈判响应文件中含义不明确、同类问题表述不一致或者有明显文字和计算错误的内容）的有关问题进行澄清、说明或者补正。有关澄清、说明或者补正的要求和答复应以书面（含电传、传真）形式提交，并由其法定代表人或授权代表签字。供应商的澄清、说明或者补正不得超出谈判响应文件的范围或者改变谈判响应文件的实质性内容。谈判小组不接受供应商主动提出的澄清、说明。</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谈判小组对供应商提交的澄清、说明或者补正有疑问的，可以要求供应商进一步澄清、说明或者补正，直至满足谈判小组的要求。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有效的书面澄清、说明或补正材料，是谈判响应文件的补充材料，成为谈判响应文件的组成部分。</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4.谈判</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4.1谈判小组所有成员按照响应文件递交签到顺序集中与单一供应商分别进行谈判，并给予所有参加谈判的供应商平等的谈判机会。在谈判中，谈判的任何一方不得透露与谈判有关的其他供应商的技术资料、价格和其他信息。</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4.2在谈判过程中，谈判小组可以根据谈判文件和谈判情况实质性变动采购需求中的技术、服务要求以及合同草案条款，但不得变动谈判文件中的其他内容。若有实质性变动的内容，须经采购人代表确认。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5"/>
        <w:numPr>
          <w:ilvl w:val="0"/>
          <w:numId w:val="7"/>
        </w:numPr>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最后报价</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资格性审查和符合性审查通过的供应商进入最后报价阶段。</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 xml:space="preserve"> 5.1谈判结束后，谈判小组应当要求所有实质性响应的供应商在规定时间内提交最后报价，提交最后报价的供应商不得少于3家。</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5.2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5.3最后报价是供应商响应文件的有效组成部分。</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5.4已提交响应文件的供应商，在提交最后报价之前，可以根据谈判情况退出谈判。</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6.推荐成交候选供应商</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6.1谈判小组应当从质量和服务均能满足采购文件实质性响应要求的供应商中，按照政府采购政策对各供应商最后报价做相应的价格扣除，按扣除后的价格由低到高的顺序提出3名以上成交候选人（合格供应商家数不足时以实际合格数量为准）。</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6.2价格扣除比例：根据《政府采购促进中小企业发展管理办法》（财库〔2020〕46号）、《关于进一步加大政府采购支持中小企业力度的通知》财库〔2022〕19号的有关规定，供应商提供小微企业制造的货物或者承接的服务（不包括使用大型、中型企业商号或者注册商标的货物）参与政府采购活动时对小型和微型企业产品的报价给予10%的扣除，用扣除后的价格参加评审。供应商提供的产品并非完全由小微企业制造的，不享受中小企业扶持政策。</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6.3评审价格相同时，可能进行多轮报价。</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7.复核与核对评审结果</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7.1 谈判小组应当特别要对拟推荐成交候选供应商的、报价最低的、谈判响应文件被认定无效的进行重点复核。</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7.2 谈判小组应当从质量和服务均能满足采购文件实质性响应要求的供应商中，按照最后报价由低到高的顺序提出3名以上成交候选人，并编写评审报告。</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经复核发现存在以上情形之一的，谈判小组应当当场修改评审结果，并在评审报告中记载。</w:t>
      </w:r>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8.确定成交候选供应商名单</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定标及定标程序详见第三章第35、36条。</w:t>
      </w:r>
    </w:p>
    <w:p>
      <w:pPr>
        <w:pStyle w:val="5"/>
        <w:adjustRightInd w:val="0"/>
        <w:snapToGrid w:val="0"/>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9.编写评审报告</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9.1谈判小组在确定成交候选供应商名单后，应当编写评审报告并向采购人出具。评审报告应当包括以下内容：</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①邀请供应商参加采购活动的具体方式和相关情况，以及参加采购活动的供应商名单；</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②评审日期和地点，谈判小组、询价小组成员名单；</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③评审情况记录和说明，包括对供应商的资格审查情况、供应商响应文件评审情况、谈判情况、报价情况等；</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④提出的成交候选人的名单及理由。</w:t>
      </w:r>
    </w:p>
    <w:p>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9.2谈判小组成员应当对评审报告予以签字确认，对评审过程有不同意见的，应当在评审报告中写明并说明理由。签字但未写明不同意见或者未说明理由的，视同无意见。拒不签字又未另行书面说明其不同意见和理由的，视同同意评审报告。</w:t>
      </w:r>
    </w:p>
    <w:p>
      <w:pPr>
        <w:pStyle w:val="4"/>
        <w:spacing w:before="120" w:beforeLines="50" w:after="120" w:afterLines="50" w:line="360" w:lineRule="auto"/>
        <w:rPr>
          <w:rFonts w:ascii="宋体" w:hAnsi="宋体" w:eastAsia="宋体" w:cs="宋体"/>
          <w:bCs/>
          <w:color w:val="auto"/>
          <w:highlight w:val="none"/>
        </w:rPr>
      </w:pPr>
      <w:bookmarkStart w:id="127" w:name="_Toc12042"/>
      <w:r>
        <w:rPr>
          <w:rFonts w:hint="eastAsia" w:ascii="宋体" w:hAnsi="宋体" w:eastAsia="宋体" w:cs="宋体"/>
          <w:bCs/>
          <w:color w:val="auto"/>
          <w:highlight w:val="none"/>
        </w:rPr>
        <w:t>二、评审方法</w:t>
      </w:r>
      <w:bookmarkEnd w:id="127"/>
    </w:p>
    <w:p>
      <w:pPr>
        <w:pStyle w:val="5"/>
        <w:spacing w:before="0" w:after="0" w:line="360" w:lineRule="auto"/>
        <w:rPr>
          <w:rFonts w:ascii="宋体" w:hAnsi="宋体" w:cs="宋体"/>
          <w:color w:val="auto"/>
          <w:highlight w:val="none"/>
        </w:rPr>
      </w:pPr>
      <w:r>
        <w:rPr>
          <w:rFonts w:hint="eastAsia" w:ascii="宋体" w:hAnsi="宋体" w:cs="宋体"/>
          <w:color w:val="auto"/>
          <w:highlight w:val="none"/>
        </w:rPr>
        <w:t>10.最低评标价法</w:t>
      </w:r>
    </w:p>
    <w:p>
      <w:pPr>
        <w:pStyle w:val="2"/>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本采购项目评审方法采用最低评标价法。即谈判响应文件满足谈判文件全部实质性要求且谈判报价最低的供应商为成交候选供应商的评审方法。</w:t>
      </w:r>
    </w:p>
    <w:p>
      <w:pPr>
        <w:pStyle w:val="5"/>
        <w:spacing w:before="0" w:after="0" w:line="360" w:lineRule="auto"/>
        <w:rPr>
          <w:rFonts w:ascii="宋体" w:hAnsi="宋体" w:cs="宋体"/>
          <w:color w:val="auto"/>
          <w:highlight w:val="none"/>
        </w:rPr>
      </w:pPr>
      <w:r>
        <w:rPr>
          <w:rFonts w:hint="eastAsia" w:ascii="宋体" w:hAnsi="宋体" w:cs="宋体"/>
          <w:color w:val="auto"/>
          <w:highlight w:val="none"/>
        </w:rPr>
        <w:t>11.评审细则及标准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11.1谈判小组应当从质量和服务均能满足采购文件实质性响应要求的供应商中，按照最后报价由低到高的顺序提出3名以上成交候选人，并编写评审报告。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非实质性偏离是指谈判响应文件在实质上响应谈判文件的要求，但在个别地方存在一些不规则、不一致、不完整的内容，并且澄清、说明或者补正这些内容不会改变谈判响应文件的实质性内容。以下情况属于非实质性偏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（1）文字表述的内容含义不明确；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（2）同类问题表述不一致；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（3）有明显文字和计算错误；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（4）提供的技术信息和数据资料不完整；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（5）谈判响应文件未按谈判文件要求进行装订或未编制目录、页码；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（6）谈判小组认定的其他非实质性偏离。</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响应文件有上述（1）至（4）情形之一的，谈判小组应当书面要求供应商在规定的时间内予以澄清、说明或补正。供应商拒不或在规定的时间内没有进行澄清、说明或补正或澄清、说明、补正的内容也不能说明问题的，视为谈判响应文件制作不规范，按每一项非实质性偏离进行扣分处理，直至该项分值扣完为止。</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12.无效投标的认定</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在评审过程中，出现下列情形之一的，其谈判无效：</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（1）供应商没有经过正常渠道领取谈判文件或供应商的名称与登记领取谈判文件单位的名称不符；</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（2）不具备谈判文件中规定的资格要求，或谈判响应文件中提供的资格要求文件不符合谈判文件要求的；</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（3）谈判响应文件谈判有效期不符合谈判文件要求的；</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（4）谈判响应文件递交份数不满足谈判文件要求的；</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（5）谈判响应文件的商务响应不满足谈判文件商务要求（交货安装期、付款、质量保修范围和保修期或交货地点等项）或响应的内容附有采购人不能接受的附加条件的；</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（6）出现限制投标要求的，供应商谈判无效；</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（7）供应商出现多份报价，出现选择性报价的；</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（8）所投产品出现漏项或产品数量与要求不符，出现重大负偏差；</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（9）谈判内容特殊注明的技术指标达不到谈判文件要求，降低了服务的质量的（如未特殊注明，忽略此条）；</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（10）谈判报价与市场价偏离较大，低于成本，形成不正当竞争；</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（11）提供虚假证明，开具虚假资质，出现虚假应答，除按无效标处理外，还进行相应的处罚；</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（12）报价超过采购预算或最高限价的；</w:t>
      </w:r>
    </w:p>
    <w:p>
      <w:pPr>
        <w:pStyle w:val="2"/>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（13）</w:t>
      </w:r>
      <w:r>
        <w:rPr>
          <w:rFonts w:hint="eastAsia" w:ascii="宋体" w:hAnsi="宋体" w:cs="宋体"/>
          <w:color w:val="auto"/>
          <w:sz w:val="24"/>
          <w:highlight w:val="none"/>
        </w:rPr>
        <w:t>谈判响应文件的关键内容字迹模糊和无法辨认的</w:t>
      </w:r>
      <w:r>
        <w:rPr>
          <w:rFonts w:hint="eastAsia" w:ascii="宋体" w:hAnsi="宋体" w:cs="宋体"/>
          <w:color w:val="auto"/>
          <w:sz w:val="24"/>
          <w:szCs w:val="24"/>
          <w:highlight w:val="none"/>
        </w:rPr>
        <w:t>；</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（14）</w:t>
      </w:r>
      <w:r>
        <w:rPr>
          <w:rFonts w:hint="eastAsia" w:ascii="宋体" w:hAnsi="宋体" w:cs="宋体"/>
          <w:color w:val="auto"/>
          <w:sz w:val="24"/>
          <w:highlight w:val="none"/>
        </w:rPr>
        <w:t>法律法规和谈判文件规定的其他情形的</w:t>
      </w:r>
      <w:r>
        <w:rPr>
          <w:rFonts w:hint="eastAsia" w:ascii="宋体" w:hAnsi="宋体" w:cs="宋体"/>
          <w:color w:val="auto"/>
          <w:sz w:val="24"/>
          <w:szCs w:val="24"/>
          <w:highlight w:val="none"/>
        </w:rPr>
        <w:t>。</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13.特殊情况的处理</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13.1 谈判响应文件中如果出现计算错误，可按以下原则进行修正：</w:t>
      </w:r>
    </w:p>
    <w:p>
      <w:pPr>
        <w:pStyle w:val="2"/>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（1）响应文件中有关分项表内容与“第一次谈判报价表”不一致的，以“第一次谈判报价表”为准；</w:t>
      </w:r>
    </w:p>
    <w:p>
      <w:pPr>
        <w:pStyle w:val="2"/>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（2）响应文件中的大写金额与小写金额不一致的，以大写金额为准；</w:t>
      </w:r>
    </w:p>
    <w:p>
      <w:pPr>
        <w:pStyle w:val="2"/>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（3）响应文件中的单价金额有明显小数点错误的，以总价为准，并修改单价；</w:t>
      </w:r>
    </w:p>
    <w:p>
      <w:pPr>
        <w:pStyle w:val="2"/>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（4）响应文件中的总价金额与按单价计算的汇总金额不一致的，以单价计算的汇总金额为准；</w:t>
      </w:r>
    </w:p>
    <w:p>
      <w:pPr>
        <w:pStyle w:val="2"/>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（5）响应文件中图表与文字表述不一致的，以文字表述为准；</w:t>
      </w:r>
    </w:p>
    <w:p>
      <w:pPr>
        <w:pStyle w:val="2"/>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（6）响应文件正本与副本不一致的，以正本为准；</w:t>
      </w:r>
    </w:p>
    <w:p>
      <w:pPr>
        <w:pStyle w:val="2"/>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highlight w:val="none"/>
        </w:rPr>
        <w:t>（7）对不同文字文本响应文件的解释发生异议的，以中文文本为准。</w:t>
      </w:r>
    </w:p>
    <w:p>
      <w:pPr>
        <w:widowControl/>
        <w:autoSpaceDE w:val="0"/>
        <w:autoSpaceDN w:val="0"/>
        <w:spacing w:line="360" w:lineRule="auto"/>
        <w:ind w:right="53" w:firstLine="482" w:firstLineChars="200"/>
        <w:textAlignment w:val="bottom"/>
        <w:rPr>
          <w:rFonts w:ascii="宋体" w:hAnsi="宋体" w:cs="宋体"/>
          <w:b/>
          <w:bCs/>
          <w:color w:val="auto"/>
          <w:sz w:val="24"/>
          <w:highlight w:val="none"/>
        </w:rPr>
      </w:pPr>
      <w:r>
        <w:rPr>
          <w:rFonts w:hint="eastAsia" w:ascii="宋体" w:hAnsi="宋体" w:cs="宋体"/>
          <w:b/>
          <w:bCs/>
          <w:color w:val="auto"/>
          <w:sz w:val="24"/>
          <w:highlight w:val="none"/>
        </w:rPr>
        <w:t>同时出现两种以上不一致的，按照前款规定的顺序修正。修正后的报价经供应商确认后产生约束力，供应商不确认的，其响应文件按无效响应文件处理。</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13.2 谈判响应文件中，若某项有不合理报价（或零报价、漏报价）的，经谈判小组评审后，此项得分为零，不参与谈判报价分值的计算。</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13.3 评审过程中，各种数字的计算结果，均保留两位小数，第三位“四舍五入”，但计算百分数时应精确到千分位，万分位“四舍五入”。</w:t>
      </w:r>
    </w:p>
    <w:p>
      <w:pPr>
        <w:pStyle w:val="113"/>
        <w:spacing w:line="360" w:lineRule="auto"/>
        <w:ind w:firstLine="472" w:firstLineChars="197"/>
        <w:rPr>
          <w:rFonts w:hAnsi="宋体" w:cs="宋体"/>
          <w:color w:val="auto"/>
          <w:sz w:val="24"/>
          <w:szCs w:val="24"/>
          <w:highlight w:val="none"/>
        </w:rPr>
      </w:pPr>
      <w:r>
        <w:rPr>
          <w:rFonts w:hint="eastAsia" w:hAnsi="宋体" w:cs="宋体"/>
          <w:color w:val="auto"/>
          <w:sz w:val="24"/>
          <w:szCs w:val="24"/>
          <w:highlight w:val="none"/>
        </w:rPr>
        <w:t>13.4评审过程中，若出现本评审办法以外的特殊情况时，将暂停评审，待谈判小组商榷后，再进行评定。</w:t>
      </w:r>
    </w:p>
    <w:p>
      <w:pPr>
        <w:pStyle w:val="113"/>
        <w:spacing w:line="360" w:lineRule="auto"/>
        <w:ind w:firstLine="472" w:firstLineChars="197"/>
        <w:rPr>
          <w:rFonts w:hAnsi="宋体" w:cs="宋体"/>
          <w:color w:val="auto"/>
          <w:sz w:val="24"/>
          <w:szCs w:val="24"/>
          <w:highlight w:val="none"/>
        </w:rPr>
      </w:pPr>
      <w:r>
        <w:rPr>
          <w:rFonts w:hint="eastAsia" w:hAnsi="宋体" w:cs="宋体"/>
          <w:color w:val="auto"/>
          <w:sz w:val="24"/>
          <w:szCs w:val="24"/>
          <w:highlight w:val="none"/>
        </w:rPr>
        <w:t>13.5评审报告签署后，采购人或者采购代理机构发现存在本章6.2条情形之一的，应当组织原谈判小组进行重新评审，重新评审改变成交结果的，书面报本级财政部门认定。</w:t>
      </w:r>
    </w:p>
    <w:p>
      <w:pPr>
        <w:pStyle w:val="113"/>
        <w:spacing w:line="360" w:lineRule="auto"/>
        <w:ind w:firstLine="472" w:firstLineChars="197"/>
        <w:rPr>
          <w:rFonts w:hAnsi="宋体" w:cs="宋体"/>
          <w:color w:val="auto"/>
          <w:sz w:val="24"/>
          <w:szCs w:val="24"/>
          <w:highlight w:val="none"/>
        </w:rPr>
      </w:pPr>
      <w:r>
        <w:rPr>
          <w:rFonts w:hint="eastAsia" w:hAnsi="宋体" w:cs="宋体"/>
          <w:color w:val="auto"/>
          <w:sz w:val="24"/>
          <w:szCs w:val="24"/>
          <w:highlight w:val="none"/>
        </w:rPr>
        <w:t>供应商对本章6.2条情形提出质疑的，采购代理机构应当组织原谈判小组进行重新评审，重新评审改变成交结果的，应当报本级财政部门备案。</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13.6评审过程中，若出现合格供应商只有2家时，按照符合前款28.4规定的特殊情况进行处理。</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13.7评审争议处理原则</w:t>
      </w:r>
    </w:p>
    <w:p>
      <w:pPr>
        <w:pStyle w:val="2"/>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谈判小组在评审过程中，对谈判响应文件符合性审查、对供应商谈判响应文件做无效响应文件处理及其他需要共同认定的事项存在争议的，应当以少数服从多数的原则做出结论，但不得违反法律法规和谈判文件的规定。有不同意见的谈判小组成员认为认定过程和结果不符合法律法规或者谈判文件规定的，应当及时向采购人书面反映，采购人收到书面反映后，应当及时向同级财政部门报告依法处理。</w:t>
      </w:r>
    </w:p>
    <w:p>
      <w:pPr>
        <w:pStyle w:val="4"/>
        <w:spacing w:before="0" w:after="120" w:afterLines="50" w:line="360" w:lineRule="auto"/>
        <w:rPr>
          <w:rFonts w:ascii="宋体" w:hAnsi="宋体" w:eastAsia="宋体" w:cs="宋体"/>
          <w:bCs/>
          <w:color w:val="auto"/>
          <w:highlight w:val="none"/>
        </w:rPr>
      </w:pPr>
      <w:bookmarkStart w:id="128" w:name="_Toc19464"/>
      <w:r>
        <w:rPr>
          <w:rFonts w:hint="eastAsia" w:ascii="宋体" w:hAnsi="宋体" w:eastAsia="宋体" w:cs="宋体"/>
          <w:bCs/>
          <w:color w:val="auto"/>
          <w:highlight w:val="none"/>
        </w:rPr>
        <w:t>三、评审专家义务与纪律</w:t>
      </w:r>
      <w:bookmarkEnd w:id="128"/>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14.评审专家在政府采购活动中承担以下义务：</w:t>
      </w:r>
    </w:p>
    <w:p>
      <w:pPr>
        <w:widowControl/>
        <w:autoSpaceDE w:val="0"/>
        <w:autoSpaceDN w:val="0"/>
        <w:spacing w:line="360" w:lineRule="auto"/>
        <w:ind w:right="51"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14.1 遵纪守法，客观、公正、廉洁地履行职责。</w:t>
      </w:r>
    </w:p>
    <w:p>
      <w:pPr>
        <w:widowControl/>
        <w:autoSpaceDE w:val="0"/>
        <w:autoSpaceDN w:val="0"/>
        <w:spacing w:line="360" w:lineRule="auto"/>
        <w:ind w:right="51"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14.2 按照政府采购法律法规和采购文件的规定要求对供应商的资格条件和供应商提供的服务价格、技术、商务、服务等方面严格进行评判，提供科学合理、公平公正的评审意见，参与起草评审报告，并予签字确认。</w:t>
      </w:r>
    </w:p>
    <w:p>
      <w:pPr>
        <w:widowControl/>
        <w:autoSpaceDE w:val="0"/>
        <w:autoSpaceDN w:val="0"/>
        <w:spacing w:line="360" w:lineRule="auto"/>
        <w:ind w:right="51"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14.3 保守秘密。不得透露采购文件咨询情况，不得泄漏供应商的谈判响应文件及知悉的商业秘密，不得向供应商透露评审情况。</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14.4 发现供应商在政府采购活动中有不正当竞争或恶意串通等违规行为，及时向</w:t>
      </w:r>
    </w:p>
    <w:p>
      <w:pPr>
        <w:widowControl/>
        <w:autoSpaceDE w:val="0"/>
        <w:autoSpaceDN w:val="0"/>
        <w:spacing w:line="360" w:lineRule="auto"/>
        <w:ind w:right="51"/>
        <w:textAlignment w:val="bottom"/>
        <w:rPr>
          <w:rFonts w:ascii="宋体" w:hAnsi="宋体" w:cs="宋体"/>
          <w:color w:val="auto"/>
          <w:sz w:val="24"/>
          <w:highlight w:val="none"/>
        </w:rPr>
      </w:pPr>
      <w:r>
        <w:rPr>
          <w:rFonts w:hint="eastAsia" w:ascii="宋体" w:hAnsi="宋体" w:cs="宋体"/>
          <w:color w:val="auto"/>
          <w:sz w:val="24"/>
          <w:highlight w:val="none"/>
        </w:rPr>
        <w:t>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14.5 解答有关方面对政府采购评审工作中有关问题的询问，配合采购人或者政府采购代理机构答复供应商质疑，配合财政部门的投诉处理工作等事宜。</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14.6 法律、法规和规章规定的其他义务。</w:t>
      </w:r>
    </w:p>
    <w:p>
      <w:pPr>
        <w:pStyle w:val="5"/>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15.在评审过程中，谈判小组及其成员不得有下列行为：</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（1）收受采购人、采购代理机构、供应商、其他利害关系人的财物或者其他不正当利益的；</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（2）泄露评审情况以及评审过程中获悉的国家秘密、商业秘密的；</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（3）明知与供应商有利害关系而不依法回避的；</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（4）在评审过程中擅离职守，影响评审程序正常进行的；</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（5）在评审过程中有明显不合理或者不正当倾向性的；</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（6）未按照采购文件规定的评定成交的标准进行评审的。</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（7）记录、复制或带走任何评审资料；</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（8）有关部门（机构）制定的其他评审工作纪律。</w:t>
      </w:r>
    </w:p>
    <w:p>
      <w:pPr>
        <w:widowControl/>
        <w:autoSpaceDE w:val="0"/>
        <w:autoSpaceDN w:val="0"/>
        <w:spacing w:line="360" w:lineRule="auto"/>
        <w:ind w:right="53"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评审专家有前款情形之一，情节严重的，采购代理机构将上报财政部门。</w:t>
      </w:r>
    </w:p>
    <w:bookmarkEnd w:id="125"/>
    <w:p>
      <w:pPr>
        <w:pStyle w:val="3"/>
        <w:spacing w:before="0" w:after="120" w:afterLines="50" w:line="360" w:lineRule="auto"/>
        <w:jc w:val="center"/>
        <w:rPr>
          <w:rFonts w:ascii="宋体" w:hAnsi="宋体" w:cs="宋体"/>
          <w:b w:val="0"/>
          <w:bCs/>
          <w:color w:val="auto"/>
          <w:kern w:val="0"/>
          <w:sz w:val="44"/>
          <w:szCs w:val="44"/>
          <w:highlight w:val="none"/>
        </w:rPr>
      </w:pPr>
      <w:r>
        <w:rPr>
          <w:rFonts w:hint="eastAsia" w:ascii="宋体" w:hAnsi="宋体" w:cs="宋体"/>
          <w:color w:val="auto"/>
          <w:sz w:val="44"/>
          <w:szCs w:val="44"/>
          <w:highlight w:val="none"/>
        </w:rPr>
        <w:br w:type="page"/>
      </w:r>
      <w:bookmarkStart w:id="129" w:name="_Toc531253636"/>
      <w:bookmarkStart w:id="130" w:name="_Toc71729637"/>
      <w:bookmarkStart w:id="131" w:name="_Toc16862"/>
      <w:bookmarkStart w:id="132" w:name="_Toc71729638"/>
      <w:bookmarkStart w:id="133" w:name="_Toc531253640"/>
      <w:bookmarkStart w:id="134" w:name="_Toc217446094"/>
      <w:bookmarkStart w:id="135" w:name="_Toc6689"/>
      <w:r>
        <w:rPr>
          <w:rFonts w:hint="eastAsia" w:ascii="宋体" w:hAnsi="宋体" w:cs="宋体"/>
          <w:color w:val="auto"/>
          <w:kern w:val="0"/>
          <w:sz w:val="44"/>
          <w:szCs w:val="44"/>
          <w:highlight w:val="none"/>
        </w:rPr>
        <w:t>第五章 采购</w:t>
      </w:r>
      <w:bookmarkEnd w:id="129"/>
      <w:r>
        <w:rPr>
          <w:rFonts w:hint="eastAsia" w:ascii="宋体" w:hAnsi="宋体" w:cs="宋体"/>
          <w:color w:val="auto"/>
          <w:kern w:val="0"/>
          <w:sz w:val="44"/>
          <w:szCs w:val="44"/>
          <w:highlight w:val="none"/>
        </w:rPr>
        <w:t>需求</w:t>
      </w:r>
      <w:bookmarkEnd w:id="130"/>
      <w:bookmarkEnd w:id="131"/>
    </w:p>
    <w:p>
      <w:pPr>
        <w:pStyle w:val="4"/>
        <w:spacing w:before="0" w:after="120" w:afterLines="50" w:line="360" w:lineRule="auto"/>
        <w:rPr>
          <w:rFonts w:ascii="宋体" w:hAnsi="宋体" w:eastAsia="宋体" w:cs="宋体"/>
          <w:bCs/>
          <w:color w:val="auto"/>
          <w:sz w:val="24"/>
          <w:szCs w:val="24"/>
          <w:highlight w:val="none"/>
        </w:rPr>
      </w:pPr>
      <w:bookmarkStart w:id="136" w:name="_Toc6812"/>
      <w:r>
        <w:rPr>
          <w:rFonts w:hint="eastAsia" w:ascii="宋体" w:hAnsi="宋体" w:eastAsia="宋体" w:cs="宋体"/>
          <w:bCs/>
          <w:color w:val="auto"/>
          <w:sz w:val="24"/>
          <w:szCs w:val="24"/>
          <w:highlight w:val="none"/>
        </w:rPr>
        <w:t>一、商务要求</w:t>
      </w:r>
      <w:bookmarkEnd w:id="132"/>
      <w:bookmarkEnd w:id="136"/>
    </w:p>
    <w:p>
      <w:pPr>
        <w:pStyle w:val="4"/>
        <w:spacing w:before="0" w:after="120" w:afterLines="50" w:line="360" w:lineRule="auto"/>
        <w:rPr>
          <w:rFonts w:ascii="宋体" w:hAnsi="宋体" w:eastAsia="宋体" w:cs="宋体"/>
          <w:bCs/>
          <w:color w:val="auto"/>
          <w:sz w:val="24"/>
          <w:szCs w:val="24"/>
          <w:highlight w:val="none"/>
        </w:rPr>
      </w:pPr>
      <w:bookmarkStart w:id="137" w:name="_Toc16278"/>
      <w:bookmarkStart w:id="138" w:name="_Toc71729639"/>
      <w:r>
        <w:rPr>
          <w:rFonts w:hint="eastAsia" w:ascii="宋体" w:hAnsi="宋体" w:eastAsia="宋体" w:cs="宋体"/>
          <w:bCs/>
          <w:color w:val="auto"/>
          <w:sz w:val="24"/>
          <w:szCs w:val="24"/>
          <w:highlight w:val="none"/>
        </w:rPr>
        <w:t>（一）主要商务条款和要求</w:t>
      </w:r>
      <w:bookmarkEnd w:id="133"/>
      <w:bookmarkEnd w:id="137"/>
      <w:bookmarkEnd w:id="138"/>
    </w:p>
    <w:p>
      <w:pPr>
        <w:adjustRightInd w:val="0"/>
        <w:snapToGrid w:val="0"/>
        <w:spacing w:line="360" w:lineRule="auto"/>
        <w:rPr>
          <w:rFonts w:hint="eastAsia" w:hAnsi="宋体" w:eastAsia="宋体" w:cs="宋体"/>
          <w:color w:val="auto"/>
          <w:sz w:val="24"/>
          <w:highlight w:val="none"/>
          <w:lang w:eastAsia="zh-CN"/>
        </w:rPr>
      </w:pPr>
      <w:bookmarkStart w:id="139" w:name="_Toc26650"/>
      <w:bookmarkStart w:id="140" w:name="_Toc2633"/>
      <w:bookmarkStart w:id="141" w:name="_Toc221"/>
      <w:bookmarkStart w:id="142" w:name="_Toc21081"/>
      <w:bookmarkStart w:id="143" w:name="_Toc71729640"/>
      <w:r>
        <w:rPr>
          <w:rFonts w:hint="eastAsia" w:hAnsi="宋体" w:cs="宋体"/>
          <w:b/>
          <w:color w:val="auto"/>
          <w:sz w:val="24"/>
          <w:highlight w:val="none"/>
        </w:rPr>
        <w:t>1.1项目名称：</w:t>
      </w:r>
      <w:bookmarkEnd w:id="139"/>
      <w:bookmarkEnd w:id="140"/>
      <w:bookmarkEnd w:id="141"/>
      <w:bookmarkEnd w:id="142"/>
      <w:bookmarkStart w:id="144" w:name="_Toc24672"/>
      <w:bookmarkStart w:id="145" w:name="_Toc30641"/>
      <w:bookmarkStart w:id="146" w:name="_Toc1464"/>
      <w:bookmarkStart w:id="147" w:name="_Toc30575"/>
      <w:r>
        <w:rPr>
          <w:rFonts w:hint="eastAsia" w:hAnsi="宋体" w:cs="宋体"/>
          <w:color w:val="auto"/>
          <w:sz w:val="24"/>
          <w:highlight w:val="none"/>
          <w:lang w:eastAsia="zh-CN"/>
        </w:rPr>
        <w:t>西安商贸旅游技师学院烹饪系、食品系实训课原材料采购项目</w:t>
      </w:r>
    </w:p>
    <w:p>
      <w:pPr>
        <w:adjustRightInd w:val="0"/>
        <w:snapToGrid w:val="0"/>
        <w:spacing w:line="360" w:lineRule="auto"/>
        <w:rPr>
          <w:rFonts w:ascii="宋体" w:hAnsi="宋体" w:cs="宋体"/>
          <w:bCs/>
          <w:color w:val="auto"/>
          <w:sz w:val="24"/>
          <w:highlight w:val="none"/>
        </w:rPr>
      </w:pPr>
      <w:r>
        <w:rPr>
          <w:rFonts w:hint="eastAsia" w:hAnsi="宋体" w:cs="宋体"/>
          <w:b/>
          <w:color w:val="auto"/>
          <w:sz w:val="24"/>
          <w:highlight w:val="none"/>
        </w:rPr>
        <w:t>1.2</w:t>
      </w:r>
      <w:r>
        <w:rPr>
          <w:rFonts w:hint="eastAsia" w:hAnsi="宋体" w:cs="宋体"/>
          <w:b/>
          <w:color w:val="auto"/>
          <w:sz w:val="24"/>
          <w:highlight w:val="none"/>
          <w:lang w:val="en-US" w:eastAsia="zh-CN"/>
        </w:rPr>
        <w:t>供货</w:t>
      </w:r>
      <w:r>
        <w:rPr>
          <w:rFonts w:hint="eastAsia" w:hAnsi="宋体" w:cs="宋体"/>
          <w:b/>
          <w:color w:val="auto"/>
          <w:sz w:val="24"/>
          <w:highlight w:val="none"/>
        </w:rPr>
        <w:t>期：</w:t>
      </w:r>
      <w:bookmarkEnd w:id="144"/>
      <w:bookmarkEnd w:id="145"/>
      <w:bookmarkEnd w:id="146"/>
      <w:bookmarkEnd w:id="147"/>
      <w:r>
        <w:rPr>
          <w:rFonts w:hint="eastAsia" w:ascii="宋体" w:hAnsi="宋体" w:cs="宋体"/>
          <w:bCs/>
          <w:color w:val="auto"/>
          <w:sz w:val="24"/>
          <w:highlight w:val="none"/>
        </w:rPr>
        <w:t>按照采购</w:t>
      </w:r>
      <w:r>
        <w:rPr>
          <w:rFonts w:hint="eastAsia" w:ascii="宋体" w:hAnsi="宋体" w:cs="宋体"/>
          <w:bCs/>
          <w:color w:val="auto"/>
          <w:sz w:val="24"/>
          <w:highlight w:val="none"/>
          <w:lang w:val="en-US" w:eastAsia="zh-CN"/>
        </w:rPr>
        <w:t>需求</w:t>
      </w:r>
      <w:r>
        <w:rPr>
          <w:rFonts w:hint="eastAsia" w:ascii="宋体" w:hAnsi="宋体" w:cs="宋体"/>
          <w:bCs/>
          <w:color w:val="auto"/>
          <w:sz w:val="24"/>
          <w:highlight w:val="none"/>
        </w:rPr>
        <w:t>中</w:t>
      </w:r>
      <w:r>
        <w:rPr>
          <w:rFonts w:hint="eastAsia" w:ascii="宋体" w:hAnsi="宋体" w:cs="宋体"/>
          <w:bCs/>
          <w:color w:val="auto"/>
          <w:sz w:val="24"/>
          <w:highlight w:val="none"/>
          <w:lang w:val="en-US" w:eastAsia="zh-CN"/>
        </w:rPr>
        <w:t>的各项要求进行</w:t>
      </w:r>
      <w:r>
        <w:rPr>
          <w:rFonts w:hint="eastAsia" w:ascii="宋体" w:hAnsi="宋体" w:cs="宋体"/>
          <w:bCs/>
          <w:color w:val="auto"/>
          <w:sz w:val="24"/>
          <w:highlight w:val="none"/>
        </w:rPr>
        <w:t>供货</w:t>
      </w:r>
      <w:r>
        <w:rPr>
          <w:rFonts w:hint="eastAsia" w:ascii="宋体" w:hAnsi="宋体" w:cs="宋体"/>
          <w:bCs/>
          <w:color w:val="auto"/>
          <w:sz w:val="24"/>
          <w:highlight w:val="none"/>
          <w:lang w:val="en-US" w:eastAsia="zh-CN"/>
        </w:rPr>
        <w:t>及</w:t>
      </w:r>
      <w:r>
        <w:rPr>
          <w:rFonts w:hint="eastAsia" w:ascii="宋体" w:hAnsi="宋体" w:cs="宋体"/>
          <w:bCs/>
          <w:color w:val="auto"/>
          <w:sz w:val="24"/>
          <w:highlight w:val="none"/>
        </w:rPr>
        <w:t>配送，</w:t>
      </w:r>
      <w:r>
        <w:rPr>
          <w:rFonts w:hint="eastAsia" w:ascii="宋体" w:hAnsi="宋体" w:cs="宋体"/>
          <w:bCs/>
          <w:color w:val="auto"/>
          <w:sz w:val="24"/>
          <w:highlight w:val="none"/>
          <w:lang w:val="en-US" w:eastAsia="zh-CN"/>
        </w:rPr>
        <w:t>服务</w:t>
      </w:r>
      <w:r>
        <w:rPr>
          <w:rFonts w:hint="eastAsia" w:ascii="宋体" w:hAnsi="宋体" w:cs="宋体"/>
          <w:bCs/>
          <w:color w:val="auto"/>
          <w:sz w:val="24"/>
          <w:highlight w:val="none"/>
        </w:rPr>
        <w:t>至202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12</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31</w:t>
      </w:r>
      <w:r>
        <w:rPr>
          <w:rFonts w:hint="eastAsia" w:ascii="宋体" w:hAnsi="宋体" w:cs="宋体"/>
          <w:bCs/>
          <w:color w:val="auto"/>
          <w:sz w:val="24"/>
          <w:highlight w:val="none"/>
        </w:rPr>
        <w:t>日。</w:t>
      </w:r>
    </w:p>
    <w:p>
      <w:pPr>
        <w:adjustRightInd w:val="0"/>
        <w:snapToGrid w:val="0"/>
        <w:spacing w:line="360" w:lineRule="auto"/>
        <w:rPr>
          <w:rFonts w:hAnsi="宋体" w:cs="宋体"/>
          <w:b/>
          <w:color w:val="auto"/>
          <w:sz w:val="24"/>
          <w:highlight w:val="none"/>
        </w:rPr>
      </w:pPr>
      <w:bookmarkStart w:id="148" w:name="_Toc20580"/>
      <w:bookmarkStart w:id="149" w:name="_Toc26771"/>
      <w:bookmarkStart w:id="150" w:name="_Toc9113"/>
      <w:bookmarkStart w:id="151" w:name="_Toc8119"/>
      <w:r>
        <w:rPr>
          <w:rFonts w:hint="eastAsia" w:hAnsi="宋体" w:cs="宋体"/>
          <w:b/>
          <w:color w:val="auto"/>
          <w:sz w:val="24"/>
          <w:highlight w:val="none"/>
        </w:rPr>
        <w:t>1.3交货地点：</w:t>
      </w:r>
      <w:r>
        <w:rPr>
          <w:rFonts w:hint="eastAsia" w:hAnsi="宋体" w:cs="宋体"/>
          <w:bCs/>
          <w:color w:val="auto"/>
          <w:sz w:val="24"/>
          <w:highlight w:val="none"/>
        </w:rPr>
        <w:t>采购人指定地点。</w:t>
      </w:r>
      <w:bookmarkEnd w:id="148"/>
      <w:bookmarkEnd w:id="149"/>
      <w:bookmarkEnd w:id="150"/>
      <w:bookmarkEnd w:id="151"/>
    </w:p>
    <w:p>
      <w:pPr>
        <w:pStyle w:val="15"/>
        <w:rPr>
          <w:color w:val="auto"/>
          <w:highlight w:val="none"/>
        </w:rPr>
      </w:pPr>
      <w:bookmarkStart w:id="152" w:name="_Toc3110"/>
      <w:bookmarkStart w:id="153" w:name="_Toc4357"/>
      <w:bookmarkStart w:id="154" w:name="_Toc10026"/>
      <w:bookmarkStart w:id="155" w:name="_Toc20805"/>
      <w:r>
        <w:rPr>
          <w:rFonts w:hint="eastAsia" w:ascii="宋体" w:hAnsi="宋体" w:cs="宋体"/>
          <w:b/>
          <w:color w:val="auto"/>
          <w:sz w:val="24"/>
          <w:highlight w:val="none"/>
        </w:rPr>
        <w:t>1.4付款：</w:t>
      </w:r>
    </w:p>
    <w:p>
      <w:pPr>
        <w:widowControl/>
        <w:snapToGrid w:val="0"/>
        <w:spacing w:line="360" w:lineRule="auto"/>
        <w:ind w:firstLine="480" w:firstLineChars="200"/>
        <w:jc w:val="left"/>
        <w:rPr>
          <w:rFonts w:hAnsi="宋体" w:cs="宋体"/>
          <w:color w:val="auto"/>
          <w:sz w:val="24"/>
          <w:highlight w:val="none"/>
        </w:rPr>
      </w:pPr>
      <w:r>
        <w:rPr>
          <w:rFonts w:hint="eastAsia" w:hAnsi="宋体" w:cs="宋体"/>
          <w:color w:val="auto"/>
          <w:sz w:val="24"/>
          <w:highlight w:val="none"/>
        </w:rPr>
        <w:t>1.支付方式：银行转账。</w:t>
      </w:r>
    </w:p>
    <w:p>
      <w:pPr>
        <w:widowControl/>
        <w:snapToGrid w:val="0"/>
        <w:spacing w:line="360" w:lineRule="auto"/>
        <w:ind w:firstLine="480" w:firstLineChars="200"/>
        <w:jc w:val="left"/>
        <w:rPr>
          <w:rFonts w:hint="eastAsia" w:ascii="宋体" w:hAnsi="宋体" w:eastAsia="宋体" w:cs="宋体"/>
          <w:color w:val="auto"/>
          <w:sz w:val="24"/>
          <w:highlight w:val="none"/>
          <w:lang w:eastAsia="zh-CN" w:bidi="ar"/>
        </w:rPr>
      </w:pPr>
      <w:r>
        <w:rPr>
          <w:rFonts w:hint="eastAsia" w:hAnsi="宋体" w:cs="宋体"/>
          <w:color w:val="auto"/>
          <w:sz w:val="24"/>
          <w:highlight w:val="none"/>
        </w:rPr>
        <w:t>2.</w:t>
      </w:r>
      <w:r>
        <w:rPr>
          <w:rFonts w:hint="eastAsia" w:hAnsi="宋体" w:cs="宋体"/>
          <w:color w:val="auto"/>
          <w:sz w:val="24"/>
          <w:highlight w:val="none"/>
          <w:lang w:val="en-US" w:eastAsia="zh-CN"/>
        </w:rPr>
        <w:t>支付进度</w:t>
      </w:r>
      <w:r>
        <w:rPr>
          <w:rFonts w:hint="eastAsia" w:hAnsi="宋体" w:cs="宋体"/>
          <w:color w:val="auto"/>
          <w:sz w:val="24"/>
          <w:highlight w:val="none"/>
        </w:rPr>
        <w:t>：</w:t>
      </w:r>
      <w:r>
        <w:rPr>
          <w:rFonts w:hint="eastAsia" w:ascii="宋体" w:hAnsi="宋体" w:cs="宋体"/>
          <w:color w:val="auto"/>
          <w:sz w:val="24"/>
          <w:highlight w:val="none"/>
          <w:lang w:bidi="ar"/>
        </w:rPr>
        <w:t>每月结算一</w:t>
      </w:r>
      <w:r>
        <w:rPr>
          <w:rFonts w:hint="eastAsia" w:ascii="宋体" w:hAnsi="宋体" w:eastAsia="宋体" w:cs="宋体"/>
          <w:bCs/>
          <w:color w:val="auto"/>
          <w:sz w:val="24"/>
          <w:highlight w:val="none"/>
        </w:rPr>
        <w:t>次，（零售价</w:t>
      </w:r>
      <w:r>
        <w:rPr>
          <w:rFonts w:hint="default" w:ascii="宋体" w:hAnsi="宋体" w:eastAsia="宋体" w:cs="宋体"/>
          <w:bCs/>
          <w:color w:val="auto"/>
          <w:sz w:val="24"/>
          <w:highlight w:val="none"/>
        </w:rPr>
        <w:t>×</w:t>
      </w:r>
      <w:r>
        <w:rPr>
          <w:rFonts w:hint="eastAsia" w:ascii="宋体" w:hAnsi="宋体" w:eastAsia="宋体" w:cs="宋体"/>
          <w:bCs/>
          <w:color w:val="auto"/>
          <w:sz w:val="24"/>
          <w:highlight w:val="none"/>
        </w:rPr>
        <w:t>上浮率</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零售价）</w:t>
      </w:r>
      <w:r>
        <w:rPr>
          <w:rFonts w:hint="default" w:ascii="宋体" w:hAnsi="宋体" w:eastAsia="宋体" w:cs="宋体"/>
          <w:bCs/>
          <w:color w:val="auto"/>
          <w:sz w:val="24"/>
          <w:highlight w:val="none"/>
        </w:rPr>
        <w:t>×</w:t>
      </w:r>
      <w:r>
        <w:rPr>
          <w:rFonts w:hint="eastAsia" w:ascii="宋体" w:hAnsi="宋体" w:eastAsia="宋体" w:cs="宋体"/>
          <w:bCs/>
          <w:color w:val="auto"/>
          <w:sz w:val="24"/>
          <w:highlight w:val="none"/>
        </w:rPr>
        <w:t>数量</w:t>
      </w:r>
      <w:r>
        <w:rPr>
          <w:rFonts w:hint="eastAsia" w:ascii="宋体" w:hAnsi="宋体" w:eastAsia="宋体" w:cs="宋体"/>
          <w:bCs/>
          <w:color w:val="auto"/>
          <w:sz w:val="24"/>
          <w:highlight w:val="none"/>
          <w:lang w:eastAsia="zh-CN"/>
        </w:rPr>
        <w:t>。</w:t>
      </w:r>
    </w:p>
    <w:p>
      <w:pPr>
        <w:widowControl/>
        <w:snapToGrid w:val="0"/>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注：按实结算，各品类的报价以每月底双方到市场（</w:t>
      </w:r>
      <w:r>
        <w:rPr>
          <w:rFonts w:hint="eastAsia" w:ascii="宋体" w:hAnsi="宋体" w:cs="宋体"/>
          <w:color w:val="auto"/>
          <w:sz w:val="24"/>
          <w:highlight w:val="none"/>
          <w:lang w:val="en-US" w:eastAsia="zh-CN" w:bidi="ar"/>
        </w:rPr>
        <w:t>胡家庙蔬菜批发市场、欣桥蔬菜批发市场、朱雀蔬菜批发市场、西一路</w:t>
      </w:r>
      <w:r>
        <w:rPr>
          <w:rFonts w:hint="eastAsia" w:ascii="宋体" w:hAnsi="宋体" w:cs="宋体"/>
          <w:color w:val="auto"/>
          <w:sz w:val="24"/>
          <w:highlight w:val="none"/>
          <w:lang w:bidi="ar"/>
        </w:rPr>
        <w:t>）询价，询得零售价</w:t>
      </w:r>
      <w:r>
        <w:rPr>
          <w:rFonts w:hint="eastAsia" w:ascii="宋体" w:hAnsi="宋体" w:cs="宋体"/>
          <w:color w:val="auto"/>
          <w:sz w:val="24"/>
          <w:highlight w:val="none"/>
          <w:lang w:val="en-US" w:eastAsia="zh-CN" w:bidi="ar"/>
        </w:rPr>
        <w:t>为下月结算用</w:t>
      </w:r>
      <w:r>
        <w:rPr>
          <w:rFonts w:hint="eastAsia" w:ascii="宋体" w:hAnsi="宋体" w:cs="宋体"/>
          <w:color w:val="auto"/>
          <w:sz w:val="24"/>
          <w:highlight w:val="none"/>
          <w:lang w:bidi="ar"/>
        </w:rPr>
        <w:t>，（零售价×上浮率</w:t>
      </w:r>
      <w:r>
        <w:rPr>
          <w:rFonts w:hint="eastAsia" w:ascii="宋体" w:hAnsi="宋体" w:cs="宋体"/>
          <w:color w:val="auto"/>
          <w:sz w:val="24"/>
          <w:highlight w:val="none"/>
          <w:lang w:val="en-US" w:eastAsia="zh-CN" w:bidi="ar"/>
        </w:rPr>
        <w:t>+</w:t>
      </w:r>
      <w:r>
        <w:rPr>
          <w:rFonts w:hint="eastAsia" w:ascii="宋体" w:hAnsi="宋体" w:cs="宋体"/>
          <w:color w:val="auto"/>
          <w:sz w:val="24"/>
          <w:highlight w:val="none"/>
          <w:lang w:bidi="ar"/>
        </w:rPr>
        <w:t>零售价）×数量得出结算价。</w:t>
      </w:r>
    </w:p>
    <w:p>
      <w:pPr>
        <w:pStyle w:val="2"/>
        <w:rPr>
          <w:rFonts w:hint="default" w:eastAsia="宋体"/>
          <w:color w:val="auto"/>
          <w:highlight w:val="none"/>
          <w:lang w:val="en-US" w:eastAsia="zh-CN"/>
        </w:rPr>
      </w:pPr>
      <w:r>
        <w:rPr>
          <w:rFonts w:hint="eastAsia" w:ascii="宋体" w:hAnsi="宋体" w:cs="宋体"/>
          <w:color w:val="auto"/>
          <w:sz w:val="24"/>
          <w:highlight w:val="none"/>
          <w:lang w:val="en-US" w:eastAsia="zh-CN" w:bidi="ar"/>
        </w:rPr>
        <w:t>3、付款进度：</w:t>
      </w:r>
      <w:r>
        <w:rPr>
          <w:rFonts w:hint="eastAsia" w:ascii="宋体" w:hAnsi="宋体" w:eastAsia="宋体" w:cs="宋体"/>
          <w:bCs/>
          <w:color w:val="auto"/>
          <w:sz w:val="24"/>
          <w:highlight w:val="none"/>
          <w:lang w:val="en-US" w:eastAsia="zh-CN"/>
        </w:rPr>
        <w:t>当月15日结算上个月的费用。</w:t>
      </w:r>
    </w:p>
    <w:p>
      <w:pPr>
        <w:adjustRightInd w:val="0"/>
        <w:snapToGrid w:val="0"/>
        <w:spacing w:line="360" w:lineRule="auto"/>
        <w:rPr>
          <w:rFonts w:hAnsi="宋体" w:cs="宋体"/>
          <w:b/>
          <w:color w:val="auto"/>
          <w:sz w:val="24"/>
          <w:highlight w:val="none"/>
        </w:rPr>
      </w:pPr>
      <w:r>
        <w:rPr>
          <w:rFonts w:hint="eastAsia" w:hAnsi="宋体" w:cs="宋体"/>
          <w:b/>
          <w:color w:val="auto"/>
          <w:sz w:val="24"/>
          <w:highlight w:val="none"/>
        </w:rPr>
        <w:t>1.5</w:t>
      </w:r>
      <w:bookmarkEnd w:id="152"/>
      <w:bookmarkEnd w:id="153"/>
      <w:bookmarkEnd w:id="154"/>
      <w:bookmarkEnd w:id="155"/>
      <w:bookmarkStart w:id="156" w:name="_Toc23493"/>
      <w:bookmarkStart w:id="157" w:name="_Toc15532"/>
      <w:bookmarkStart w:id="158" w:name="_Toc14840"/>
      <w:bookmarkStart w:id="159" w:name="_Toc21696"/>
      <w:r>
        <w:rPr>
          <w:rFonts w:hint="eastAsia" w:hAnsi="宋体" w:cs="宋体"/>
          <w:b/>
          <w:color w:val="auto"/>
          <w:sz w:val="24"/>
          <w:highlight w:val="none"/>
        </w:rPr>
        <w:t>质  量：</w:t>
      </w:r>
      <w:bookmarkEnd w:id="156"/>
      <w:bookmarkEnd w:id="157"/>
      <w:bookmarkEnd w:id="158"/>
      <w:bookmarkEnd w:id="159"/>
    </w:p>
    <w:p>
      <w:pPr>
        <w:widowControl/>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食品质量按照《中华人民共和国食品安全法》</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中华人民共和国产品质量法</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中华人民共和国农产品质量安全法</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保证食品质量。提供的食品必须符合</w:t>
      </w:r>
      <w:r>
        <w:rPr>
          <w:rFonts w:hint="eastAsia" w:ascii="宋体" w:hAnsi="宋体" w:cs="宋体"/>
          <w:bCs/>
          <w:color w:val="auto"/>
          <w:sz w:val="24"/>
          <w:highlight w:val="none"/>
          <w:lang w:val="en-US" w:eastAsia="zh-CN"/>
        </w:rPr>
        <w:t>上述</w:t>
      </w:r>
      <w:r>
        <w:rPr>
          <w:rFonts w:hint="eastAsia" w:ascii="宋体" w:hAnsi="宋体" w:cs="宋体"/>
          <w:bCs/>
          <w:color w:val="auto"/>
          <w:sz w:val="24"/>
          <w:highlight w:val="none"/>
        </w:rPr>
        <w:t>法律法规的规定或国家或行业</w:t>
      </w:r>
      <w:r>
        <w:rPr>
          <w:rFonts w:hint="eastAsia" w:ascii="宋体" w:hAnsi="宋体" w:cs="宋体"/>
          <w:bCs/>
          <w:color w:val="auto"/>
          <w:sz w:val="24"/>
          <w:highlight w:val="none"/>
          <w:lang w:val="en-US" w:eastAsia="zh-CN"/>
        </w:rPr>
        <w:t>现行</w:t>
      </w:r>
      <w:r>
        <w:rPr>
          <w:rFonts w:hint="eastAsia" w:ascii="宋体" w:hAnsi="宋体" w:cs="宋体"/>
          <w:bCs/>
          <w:color w:val="auto"/>
          <w:sz w:val="24"/>
          <w:highlight w:val="none"/>
        </w:rPr>
        <w:t>规定的相关标准。</w:t>
      </w:r>
    </w:p>
    <w:p>
      <w:pPr>
        <w:widowControl/>
        <w:snapToGrid w:val="0"/>
        <w:spacing w:line="360" w:lineRule="auto"/>
        <w:jc w:val="left"/>
        <w:rPr>
          <w:rFonts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6</w:t>
      </w:r>
      <w:r>
        <w:rPr>
          <w:rFonts w:hint="eastAsia" w:hAnsi="宋体" w:cs="宋体"/>
          <w:b/>
          <w:color w:val="auto"/>
          <w:sz w:val="24"/>
          <w:highlight w:val="none"/>
        </w:rPr>
        <w:t>验  收：</w:t>
      </w:r>
      <w:r>
        <w:rPr>
          <w:rFonts w:hint="eastAsia" w:hAnsi="宋体" w:cs="宋体"/>
          <w:bCs/>
          <w:color w:val="auto"/>
          <w:sz w:val="24"/>
          <w:highlight w:val="none"/>
        </w:rPr>
        <w:t>成交供应商配合采购人验收；若存在验收费用，由乙方自行承担。</w:t>
      </w:r>
    </w:p>
    <w:p>
      <w:pPr>
        <w:widowControl/>
        <w:snapToGrid w:val="0"/>
        <w:spacing w:line="360" w:lineRule="auto"/>
        <w:jc w:val="left"/>
        <w:rPr>
          <w:rFonts w:hAnsi="宋体" w:cs="宋体"/>
          <w:b/>
          <w:color w:val="auto"/>
          <w:sz w:val="24"/>
          <w:highlight w:val="none"/>
        </w:rPr>
      </w:pPr>
      <w:r>
        <w:rPr>
          <w:rFonts w:hint="eastAsia" w:hAnsi="宋体" w:cs="宋体"/>
          <w:b/>
          <w:color w:val="auto"/>
          <w:sz w:val="24"/>
          <w:highlight w:val="none"/>
        </w:rPr>
        <w:t>1.</w:t>
      </w:r>
      <w:r>
        <w:rPr>
          <w:rFonts w:hint="eastAsia" w:hAnsi="宋体" w:cs="宋体"/>
          <w:b/>
          <w:color w:val="auto"/>
          <w:sz w:val="24"/>
          <w:highlight w:val="none"/>
          <w:lang w:val="en-US" w:eastAsia="zh-CN"/>
        </w:rPr>
        <w:t>7</w:t>
      </w:r>
      <w:r>
        <w:rPr>
          <w:rFonts w:hint="eastAsia" w:hAnsi="宋体" w:cs="宋体"/>
          <w:b/>
          <w:color w:val="auto"/>
          <w:sz w:val="24"/>
          <w:highlight w:val="none"/>
        </w:rPr>
        <w:t>验收</w:t>
      </w:r>
      <w:r>
        <w:rPr>
          <w:rFonts w:hint="eastAsia" w:hAnsi="宋体" w:cs="宋体"/>
          <w:b/>
          <w:color w:val="auto"/>
          <w:sz w:val="24"/>
          <w:highlight w:val="none"/>
          <w:lang w:val="en-US" w:eastAsia="zh-CN"/>
        </w:rPr>
        <w:t>标准</w:t>
      </w:r>
      <w:r>
        <w:rPr>
          <w:rFonts w:hint="eastAsia" w:hAnsi="宋体" w:cs="宋体"/>
          <w:b/>
          <w:color w:val="auto"/>
          <w:sz w:val="24"/>
          <w:highlight w:val="none"/>
        </w:rPr>
        <w:t>：</w:t>
      </w:r>
    </w:p>
    <w:p>
      <w:pPr>
        <w:widowControl/>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各类食材到达</w:t>
      </w:r>
      <w:r>
        <w:rPr>
          <w:rFonts w:hint="eastAsia" w:ascii="宋体" w:hAnsi="宋体" w:cs="宋体"/>
          <w:bCs/>
          <w:color w:val="auto"/>
          <w:sz w:val="24"/>
          <w:highlight w:val="none"/>
          <w:lang w:eastAsia="zh-CN"/>
        </w:rPr>
        <w:t>交</w:t>
      </w:r>
      <w:r>
        <w:rPr>
          <w:rFonts w:hint="eastAsia" w:ascii="宋体" w:hAnsi="宋体" w:cs="宋体"/>
          <w:bCs/>
          <w:color w:val="auto"/>
          <w:sz w:val="24"/>
          <w:highlight w:val="none"/>
        </w:rPr>
        <w:t>货地点，由采购人根据下料单，对食材的名称、品牌、规格、数量、要求进行检查。</w:t>
      </w:r>
    </w:p>
    <w:p>
      <w:pPr>
        <w:widowControl/>
        <w:adjustRightInd w:val="0"/>
        <w:snapToGrid w:val="0"/>
        <w:spacing w:line="360" w:lineRule="auto"/>
        <w:jc w:val="left"/>
        <w:rPr>
          <w:rFonts w:hint="eastAsia" w:ascii="宋体" w:hAnsi="宋体" w:cs="宋体"/>
          <w:bCs/>
          <w:color w:val="auto"/>
          <w:sz w:val="24"/>
          <w:highlight w:val="none"/>
        </w:rPr>
      </w:pPr>
      <w:r>
        <w:rPr>
          <w:rFonts w:hint="eastAsia" w:ascii="宋体" w:hAnsi="宋体" w:cs="宋体"/>
          <w:b/>
          <w:bCs w:val="0"/>
          <w:color w:val="auto"/>
          <w:sz w:val="24"/>
          <w:highlight w:val="none"/>
        </w:rPr>
        <w:t>1.</w:t>
      </w:r>
      <w:r>
        <w:rPr>
          <w:rFonts w:hint="eastAsia" w:ascii="宋体" w:hAnsi="宋体" w:cs="宋体"/>
          <w:b/>
          <w:bCs w:val="0"/>
          <w:color w:val="auto"/>
          <w:sz w:val="24"/>
          <w:highlight w:val="none"/>
          <w:lang w:val="en-US" w:eastAsia="zh-CN"/>
        </w:rPr>
        <w:t>8</w:t>
      </w:r>
      <w:r>
        <w:rPr>
          <w:rFonts w:hint="eastAsia" w:ascii="宋体" w:hAnsi="宋体" w:cs="宋体"/>
          <w:b/>
          <w:bCs w:val="0"/>
          <w:color w:val="auto"/>
          <w:sz w:val="24"/>
          <w:highlight w:val="none"/>
        </w:rPr>
        <w:t>包装：</w:t>
      </w:r>
      <w:r>
        <w:rPr>
          <w:rFonts w:hint="eastAsia" w:ascii="宋体" w:hAnsi="宋体" w:cs="宋体"/>
          <w:bCs/>
          <w:color w:val="auto"/>
          <w:sz w:val="24"/>
          <w:highlight w:val="none"/>
        </w:rPr>
        <w:t>按照《关于印发《商品包装政府采购需求标准（试行）》及相关规定执行。</w:t>
      </w:r>
    </w:p>
    <w:p>
      <w:pPr>
        <w:widowControl/>
        <w:snapToGrid w:val="0"/>
        <w:spacing w:line="360" w:lineRule="auto"/>
        <w:jc w:val="left"/>
        <w:rPr>
          <w:rFonts w:hint="eastAsia" w:ascii="宋体" w:hAnsi="宋体" w:eastAsia="宋体" w:cs="宋体"/>
          <w:bCs/>
          <w:color w:val="auto"/>
          <w:sz w:val="24"/>
          <w:highlight w:val="none"/>
        </w:rPr>
      </w:pPr>
      <w:r>
        <w:rPr>
          <w:rFonts w:hint="eastAsia" w:ascii="宋体" w:hAnsi="宋体" w:cs="宋体"/>
          <w:b/>
          <w:bCs w:val="0"/>
          <w:color w:val="auto"/>
          <w:sz w:val="24"/>
          <w:highlight w:val="none"/>
        </w:rPr>
        <w:t>1.</w:t>
      </w:r>
      <w:r>
        <w:rPr>
          <w:rFonts w:hint="eastAsia" w:ascii="宋体" w:hAnsi="宋体" w:cs="宋体"/>
          <w:b/>
          <w:bCs w:val="0"/>
          <w:color w:val="auto"/>
          <w:sz w:val="24"/>
          <w:highlight w:val="none"/>
          <w:lang w:val="en-US" w:eastAsia="zh-CN"/>
        </w:rPr>
        <w:t>9</w:t>
      </w:r>
      <w:r>
        <w:rPr>
          <w:rFonts w:hint="eastAsia" w:ascii="宋体" w:hAnsi="宋体" w:cs="宋体"/>
          <w:b/>
          <w:bCs w:val="0"/>
          <w:color w:val="auto"/>
          <w:sz w:val="24"/>
          <w:highlight w:val="none"/>
        </w:rPr>
        <w:t>运输：</w:t>
      </w:r>
      <w:r>
        <w:rPr>
          <w:rFonts w:hint="eastAsia" w:ascii="宋体" w:hAnsi="宋体" w:eastAsia="宋体" w:cs="宋体"/>
          <w:bCs/>
          <w:color w:val="auto"/>
          <w:sz w:val="24"/>
          <w:highlight w:val="none"/>
          <w:lang w:val="en-US" w:eastAsia="zh-CN"/>
        </w:rPr>
        <w:t>成交供应商</w:t>
      </w:r>
      <w:r>
        <w:rPr>
          <w:rFonts w:hint="eastAsia" w:ascii="宋体" w:hAnsi="宋体" w:eastAsia="宋体" w:cs="宋体"/>
          <w:bCs/>
          <w:color w:val="auto"/>
          <w:sz w:val="24"/>
          <w:highlight w:val="none"/>
        </w:rPr>
        <w:t>按项目情况自行选择适合的方式。</w:t>
      </w:r>
    </w:p>
    <w:p>
      <w:pPr>
        <w:pStyle w:val="29"/>
        <w:rPr>
          <w:rFonts w:hint="default"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sz w:val="24"/>
          <w:highlight w:val="none"/>
          <w:lang w:val="en-US" w:eastAsia="zh-CN"/>
        </w:rPr>
        <w:t>1</w:t>
      </w:r>
      <w:r>
        <w:rPr>
          <w:rFonts w:hint="eastAsia" w:ascii="宋体" w:hAnsi="宋体" w:eastAsia="宋体" w:cs="宋体"/>
          <w:b/>
          <w:bCs w:val="0"/>
          <w:color w:val="auto"/>
          <w:kern w:val="2"/>
          <w:sz w:val="24"/>
          <w:szCs w:val="24"/>
          <w:highlight w:val="none"/>
          <w:lang w:val="en-US" w:eastAsia="zh-CN" w:bidi="ar-SA"/>
        </w:rPr>
        <w:t>.10配送要求：</w:t>
      </w:r>
    </w:p>
    <w:p>
      <w:pPr>
        <w:widowControl/>
        <w:snapToGrid w:val="0"/>
        <w:spacing w:line="360" w:lineRule="auto"/>
        <w:ind w:firstLine="480" w:firstLineChars="200"/>
        <w:jc w:val="left"/>
        <w:rPr>
          <w:rFonts w:hint="eastAsia" w:ascii="宋体" w:hAnsi="Times New Roman" w:eastAsia="宋体" w:cs="宋体"/>
          <w:bCs/>
          <w:color w:val="auto"/>
          <w:sz w:val="24"/>
          <w:highlight w:val="none"/>
          <w:lang w:val="en-US" w:eastAsia="zh-CN"/>
        </w:rPr>
      </w:pPr>
      <w:r>
        <w:rPr>
          <w:rFonts w:hint="eastAsia" w:ascii="宋体" w:hAnsi="Times New Roman" w:eastAsia="宋体" w:cs="宋体"/>
          <w:bCs/>
          <w:color w:val="auto"/>
          <w:sz w:val="24"/>
          <w:highlight w:val="none"/>
          <w:lang w:val="en-US" w:eastAsia="zh-CN"/>
        </w:rPr>
        <w:t>1.按要求（数量、质量）以料单为准每天早上7：30分之前配送，如校方提出货物品质不符合要求，则供货方无条件上门更换。</w:t>
      </w:r>
    </w:p>
    <w:p>
      <w:pPr>
        <w:widowControl/>
        <w:snapToGrid w:val="0"/>
        <w:spacing w:line="360" w:lineRule="auto"/>
        <w:ind w:firstLine="480" w:firstLineChars="200"/>
        <w:jc w:val="left"/>
        <w:rPr>
          <w:rFonts w:hint="eastAsia" w:ascii="宋体" w:cs="宋体"/>
          <w:bCs/>
          <w:color w:val="auto"/>
          <w:sz w:val="24"/>
          <w:highlight w:val="none"/>
        </w:rPr>
      </w:pPr>
      <w:r>
        <w:rPr>
          <w:rFonts w:hint="eastAsia" w:ascii="宋体" w:cs="宋体"/>
          <w:bCs/>
          <w:color w:val="auto"/>
          <w:sz w:val="24"/>
          <w:highlight w:val="none"/>
        </w:rPr>
        <w:t>2</w:t>
      </w:r>
      <w:r>
        <w:rPr>
          <w:rFonts w:hint="eastAsia" w:ascii="宋体" w:cs="宋体"/>
          <w:bCs/>
          <w:color w:val="auto"/>
          <w:sz w:val="24"/>
          <w:highlight w:val="none"/>
          <w:lang w:val="en-US" w:eastAsia="zh-CN"/>
        </w:rPr>
        <w:t>.</w:t>
      </w:r>
      <w:r>
        <w:rPr>
          <w:rFonts w:hint="eastAsia" w:ascii="宋体" w:cs="宋体"/>
          <w:bCs/>
          <w:color w:val="auto"/>
          <w:sz w:val="24"/>
          <w:highlight w:val="none"/>
        </w:rPr>
        <w:t>如遇学校突发活动</w:t>
      </w:r>
      <w:r>
        <w:rPr>
          <w:rFonts w:hint="eastAsia" w:ascii="宋体" w:cs="宋体"/>
          <w:bCs/>
          <w:color w:val="auto"/>
          <w:sz w:val="24"/>
          <w:highlight w:val="none"/>
          <w:lang w:eastAsia="zh-CN"/>
        </w:rPr>
        <w:t>需</w:t>
      </w:r>
      <w:r>
        <w:rPr>
          <w:rFonts w:hint="eastAsia" w:ascii="宋体" w:cs="宋体"/>
          <w:bCs/>
          <w:color w:val="auto"/>
          <w:sz w:val="24"/>
          <w:highlight w:val="none"/>
        </w:rPr>
        <w:t>增加配送任务，</w:t>
      </w:r>
      <w:r>
        <w:rPr>
          <w:rFonts w:hint="eastAsia" w:ascii="宋体" w:cs="宋体"/>
          <w:bCs/>
          <w:color w:val="auto"/>
          <w:sz w:val="24"/>
          <w:highlight w:val="none"/>
          <w:lang w:val="en-US" w:eastAsia="zh-CN"/>
        </w:rPr>
        <w:t>成交供应商须</w:t>
      </w:r>
      <w:r>
        <w:rPr>
          <w:rFonts w:hint="eastAsia" w:ascii="宋体" w:cs="宋体"/>
          <w:bCs/>
          <w:color w:val="auto"/>
          <w:sz w:val="24"/>
          <w:highlight w:val="none"/>
        </w:rPr>
        <w:t>积极配合校方，校方须至少提前4小时</w:t>
      </w:r>
      <w:r>
        <w:rPr>
          <w:rFonts w:hint="eastAsia" w:ascii="宋体" w:cs="宋体"/>
          <w:bCs/>
          <w:color w:val="auto"/>
          <w:sz w:val="24"/>
          <w:highlight w:val="none"/>
          <w:lang w:val="en-US" w:eastAsia="zh-CN"/>
        </w:rPr>
        <w:t>与</w:t>
      </w:r>
      <w:r>
        <w:rPr>
          <w:rFonts w:hint="eastAsia" w:ascii="宋体" w:cs="宋体"/>
          <w:bCs/>
          <w:color w:val="auto"/>
          <w:sz w:val="24"/>
          <w:highlight w:val="none"/>
          <w:lang w:eastAsia="zh-CN"/>
        </w:rPr>
        <w:t>供应商</w:t>
      </w:r>
      <w:r>
        <w:rPr>
          <w:rFonts w:hint="eastAsia" w:ascii="宋体" w:cs="宋体"/>
          <w:bCs/>
          <w:color w:val="auto"/>
          <w:sz w:val="24"/>
          <w:highlight w:val="none"/>
          <w:lang w:val="en-US" w:eastAsia="zh-CN"/>
        </w:rPr>
        <w:t>沟通</w:t>
      </w:r>
      <w:r>
        <w:rPr>
          <w:rFonts w:hint="eastAsia" w:ascii="宋体" w:cs="宋体"/>
          <w:bCs/>
          <w:color w:val="auto"/>
          <w:sz w:val="24"/>
          <w:highlight w:val="none"/>
        </w:rPr>
        <w:t>确认配送数量及品</w:t>
      </w:r>
      <w:r>
        <w:rPr>
          <w:rFonts w:hint="eastAsia" w:ascii="宋体" w:hAnsi="Times New Roman" w:eastAsia="宋体" w:cs="宋体"/>
          <w:bCs/>
          <w:color w:val="auto"/>
          <w:sz w:val="24"/>
          <w:highlight w:val="none"/>
        </w:rPr>
        <w:t>类，</w:t>
      </w:r>
      <w:r>
        <w:rPr>
          <w:rFonts w:hint="eastAsia" w:ascii="宋体" w:cs="宋体"/>
          <w:bCs/>
          <w:color w:val="auto"/>
          <w:sz w:val="24"/>
          <w:highlight w:val="none"/>
          <w:lang w:val="en-US" w:eastAsia="zh-CN"/>
        </w:rPr>
        <w:t>成交供应商</w:t>
      </w:r>
      <w:r>
        <w:rPr>
          <w:rFonts w:hint="eastAsia" w:ascii="宋体" w:hAnsi="Times New Roman" w:eastAsia="宋体" w:cs="宋体"/>
          <w:bCs/>
          <w:color w:val="auto"/>
          <w:sz w:val="24"/>
          <w:highlight w:val="none"/>
        </w:rPr>
        <w:t>应无条件</w:t>
      </w:r>
      <w:r>
        <w:rPr>
          <w:rFonts w:hint="eastAsia" w:ascii="宋体" w:hAnsi="Times New Roman" w:eastAsia="宋体" w:cs="宋体"/>
          <w:bCs/>
          <w:color w:val="auto"/>
          <w:sz w:val="24"/>
          <w:highlight w:val="none"/>
          <w:lang w:val="en-US" w:eastAsia="zh-CN"/>
        </w:rPr>
        <w:t>按双方约定的时间</w:t>
      </w:r>
      <w:r>
        <w:rPr>
          <w:rFonts w:hint="eastAsia" w:ascii="宋体" w:hAnsi="Times New Roman" w:eastAsia="宋体" w:cs="宋体"/>
          <w:bCs/>
          <w:color w:val="auto"/>
          <w:sz w:val="24"/>
          <w:highlight w:val="none"/>
        </w:rPr>
        <w:t>给校方供货，</w:t>
      </w:r>
      <w:r>
        <w:rPr>
          <w:rFonts w:hint="eastAsia" w:ascii="宋体" w:cs="宋体"/>
          <w:bCs/>
          <w:color w:val="auto"/>
          <w:sz w:val="24"/>
          <w:highlight w:val="none"/>
        </w:rPr>
        <w:t>且不收取任何附加费用，只收取原材料的费用。</w:t>
      </w:r>
    </w:p>
    <w:p>
      <w:pPr>
        <w:pStyle w:val="2"/>
        <w:rPr>
          <w:rFonts w:hint="eastAsia"/>
          <w:color w:val="auto"/>
          <w:highlight w:val="none"/>
        </w:rPr>
      </w:pPr>
      <w:r>
        <w:rPr>
          <w:rFonts w:hint="eastAsia" w:ascii="宋体" w:hAnsi="Times New Roman" w:eastAsia="宋体" w:cs="宋体"/>
          <w:bCs/>
          <w:color w:val="auto"/>
          <w:kern w:val="2"/>
          <w:sz w:val="24"/>
          <w:szCs w:val="24"/>
          <w:highlight w:val="none"/>
          <w:lang w:val="en-US" w:eastAsia="zh-CN" w:bidi="ar-SA"/>
        </w:rPr>
        <w:t>3.</w:t>
      </w:r>
      <w:r>
        <w:rPr>
          <w:rFonts w:hint="eastAsia" w:ascii="宋体" w:cs="宋体"/>
          <w:bCs/>
          <w:color w:val="auto"/>
          <w:sz w:val="24"/>
          <w:highlight w:val="none"/>
          <w:lang w:val="en-US" w:eastAsia="zh-CN"/>
        </w:rPr>
        <w:t>成交供应商</w:t>
      </w:r>
      <w:r>
        <w:rPr>
          <w:rFonts w:hint="eastAsia" w:ascii="宋体" w:hAnsi="Times New Roman" w:eastAsia="宋体" w:cs="宋体"/>
          <w:bCs/>
          <w:color w:val="auto"/>
          <w:kern w:val="2"/>
          <w:sz w:val="24"/>
          <w:szCs w:val="24"/>
          <w:highlight w:val="none"/>
          <w:lang w:val="en-US" w:eastAsia="zh-CN" w:bidi="ar-SA"/>
        </w:rPr>
        <w:t>配送服务方案，优于学校要求时，以投标人服务方案执行。</w:t>
      </w:r>
    </w:p>
    <w:p>
      <w:pPr>
        <w:autoSpaceDE w:val="0"/>
        <w:autoSpaceDN w:val="0"/>
        <w:adjustRightInd w:val="0"/>
        <w:spacing w:line="348" w:lineRule="auto"/>
        <w:rPr>
          <w:rFonts w:hAnsi="宋体" w:cs="宋体"/>
          <w:bCs/>
          <w:color w:val="auto"/>
          <w:sz w:val="24"/>
          <w:highlight w:val="none"/>
        </w:rPr>
      </w:pPr>
      <w:r>
        <w:rPr>
          <w:rFonts w:hint="eastAsia" w:hAnsi="宋体" w:cs="宋体"/>
          <w:b/>
          <w:color w:val="auto"/>
          <w:sz w:val="24"/>
          <w:highlight w:val="none"/>
        </w:rPr>
        <w:t>1.1</w:t>
      </w:r>
      <w:r>
        <w:rPr>
          <w:rFonts w:hint="eastAsia" w:hAnsi="宋体" w:cs="宋体"/>
          <w:b/>
          <w:color w:val="auto"/>
          <w:sz w:val="24"/>
          <w:highlight w:val="none"/>
          <w:lang w:val="en-US" w:eastAsia="zh-CN"/>
        </w:rPr>
        <w:t>1</w:t>
      </w:r>
      <w:r>
        <w:rPr>
          <w:rFonts w:hint="eastAsia" w:hAnsi="宋体" w:cs="宋体"/>
          <w:b/>
          <w:color w:val="auto"/>
          <w:sz w:val="24"/>
          <w:highlight w:val="none"/>
        </w:rPr>
        <w:t>验收依据：</w:t>
      </w:r>
    </w:p>
    <w:p>
      <w:pPr>
        <w:widowControl/>
        <w:snapToGrid w:val="0"/>
        <w:spacing w:line="360" w:lineRule="auto"/>
        <w:ind w:firstLine="480" w:firstLineChars="200"/>
        <w:jc w:val="left"/>
        <w:rPr>
          <w:rFonts w:hint="eastAsia" w:ascii="宋体" w:hAnsi="宋体" w:eastAsia="宋体" w:cs="宋体"/>
          <w:bCs/>
          <w:color w:val="auto"/>
          <w:sz w:val="24"/>
          <w:highlight w:val="none"/>
        </w:rPr>
      </w:pPr>
      <w:bookmarkStart w:id="160" w:name="_Toc3102"/>
      <w:r>
        <w:rPr>
          <w:rFonts w:hint="eastAsia" w:ascii="宋体" w:hAnsi="宋体" w:eastAsia="宋体" w:cs="宋体"/>
          <w:bCs/>
          <w:color w:val="auto"/>
          <w:sz w:val="24"/>
          <w:highlight w:val="none"/>
        </w:rPr>
        <w:t>1.本合同及附加文本；</w:t>
      </w:r>
    </w:p>
    <w:p>
      <w:pPr>
        <w:widowControl/>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2.谈判文件、成交供应商的谈判响应文件及澄清函、承诺函；</w:t>
      </w:r>
    </w:p>
    <w:bookmarkEnd w:id="160"/>
    <w:p>
      <w:pPr>
        <w:pStyle w:val="4"/>
        <w:spacing w:before="0" w:after="120" w:afterLines="50" w:line="360" w:lineRule="auto"/>
        <w:rPr>
          <w:rFonts w:ascii="宋体" w:hAnsi="宋体" w:eastAsia="宋体" w:cs="宋体"/>
          <w:bCs/>
          <w:color w:val="auto"/>
          <w:sz w:val="24"/>
          <w:szCs w:val="24"/>
          <w:highlight w:val="none"/>
        </w:rPr>
      </w:pPr>
      <w:bookmarkStart w:id="161" w:name="_Toc26939"/>
      <w:r>
        <w:rPr>
          <w:rFonts w:hint="eastAsia" w:ascii="宋体" w:hAnsi="宋体" w:eastAsia="宋体" w:cs="宋体"/>
          <w:bCs/>
          <w:color w:val="auto"/>
          <w:sz w:val="24"/>
          <w:szCs w:val="24"/>
          <w:highlight w:val="none"/>
        </w:rPr>
        <w:t>（二）商务条件响应说明</w:t>
      </w:r>
      <w:bookmarkEnd w:id="143"/>
      <w:bookmarkEnd w:id="161"/>
    </w:p>
    <w:p>
      <w:pPr>
        <w:widowControl/>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1.主要商务条款为合同条款的补充内容，与合同格式中规定不一致的，以本商务条款为准。</w:t>
      </w:r>
    </w:p>
    <w:p>
      <w:pPr>
        <w:widowControl/>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2.供应商在谈判响应文件中应对上表所列的商务条款和要求做出逐条响应，供应商对商务条款的响应将作为合同的主要内容。</w:t>
      </w:r>
    </w:p>
    <w:p>
      <w:pPr>
        <w:widowControl/>
        <w:snapToGrid w:val="0"/>
        <w:spacing w:line="360" w:lineRule="auto"/>
        <w:jc w:val="left"/>
        <w:rPr>
          <w:color w:val="auto"/>
          <w:highlight w:val="none"/>
        </w:rPr>
      </w:pPr>
      <w:r>
        <w:rPr>
          <w:rFonts w:hint="eastAsia" w:ascii="宋体" w:hAnsi="宋体" w:cs="宋体"/>
          <w:bCs/>
          <w:color w:val="auto"/>
          <w:sz w:val="24"/>
          <w:highlight w:val="none"/>
        </w:rPr>
        <w:t>3.主要商务条款为实质性要求，不接受负偏离。</w:t>
      </w:r>
    </w:p>
    <w:bookmarkEnd w:id="134"/>
    <w:p>
      <w:pPr>
        <w:pStyle w:val="4"/>
        <w:spacing w:before="0" w:after="120" w:afterLines="50" w:line="360" w:lineRule="auto"/>
        <w:rPr>
          <w:rFonts w:ascii="宋体" w:hAnsi="宋体" w:eastAsia="宋体" w:cs="宋体"/>
          <w:bCs/>
          <w:color w:val="auto"/>
          <w:sz w:val="24"/>
          <w:szCs w:val="24"/>
          <w:highlight w:val="none"/>
        </w:rPr>
      </w:pPr>
      <w:bookmarkStart w:id="162" w:name="_Toc28670"/>
      <w:bookmarkStart w:id="163" w:name="_Toc71729641"/>
      <w:r>
        <w:rPr>
          <w:rFonts w:hint="eastAsia" w:ascii="宋体" w:hAnsi="宋体" w:eastAsia="宋体" w:cs="宋体"/>
          <w:bCs/>
          <w:color w:val="auto"/>
          <w:sz w:val="24"/>
          <w:szCs w:val="24"/>
          <w:highlight w:val="none"/>
        </w:rPr>
        <w:t>二、采购内容</w:t>
      </w:r>
      <w:bookmarkEnd w:id="162"/>
      <w:bookmarkEnd w:id="163"/>
    </w:p>
    <w:bookmarkEnd w:id="135"/>
    <w:p>
      <w:pPr>
        <w:pStyle w:val="2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64" w:name="_Toc71729642"/>
      <w:r>
        <w:rPr>
          <w:rFonts w:hint="eastAsia" w:ascii="宋体" w:hAnsi="宋体" w:eastAsia="宋体" w:cs="宋体"/>
          <w:b/>
          <w:bCs/>
          <w:color w:val="auto"/>
          <w:sz w:val="24"/>
          <w:szCs w:val="24"/>
          <w:highlight w:val="none"/>
          <w:lang w:val="en-US" w:eastAsia="zh-CN"/>
        </w:rPr>
        <w:t>第一 肉类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（一）肉品类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（1）家畜类：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猪肉：</w:t>
      </w:r>
      <w:r>
        <w:rPr>
          <w:rFonts w:hint="eastAsia" w:ascii="宋体" w:hAnsi="宋体" w:eastAsia="宋体" w:cs="宋体"/>
          <w:color w:val="auto"/>
          <w:sz w:val="24"/>
          <w:szCs w:val="24"/>
          <w:highlight w:val="none"/>
          <w:lang w:val="en-US" w:eastAsia="zh-CN"/>
        </w:rPr>
        <w:t>呈鲜红色，有光泽，脂肪洁白，肉的外表微干或微湿润，不粘手，指压后凹陷立即恢复，具有新鲜猪肉的正常气味。有检疫合格印章。</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牛肉：新鲜的模肉肌肉色泽呈鲜红色，有光泽，肥肉部分接近白色;表面微干，有风干膜，不黏手;弹性好，指压后凹陷能立即恢复;具有牛肉特有的气味。</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羊肉：肉色鲜红而且均匀，有光泽，肉细而紧密，有弹性，外表略干，不粘手，气味新鲜，无其他异味。</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（2）家禽类：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禽类:眼球饱满，皮肤有光泽，肌肉切面发光，外表微干或微湿润，不粘手，指压后凹陷能立即恢复。</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（3）水产类：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1、活鲜鱼类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神态——在水中游动自如</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体态——无伤残、无畸形、无病害</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体表——鳞片完整无损，无皮下出血现象及红色鱼鳞。</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行动迟缓、翻肚、慌乱、狂游的鱼表明己接近死亡或有己病害及有红色鱼鳞之鱼需挑出后拒收。</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2、虾类:个大而均匀，活蹦乱跳(或能活动)</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3、冰鲜虾</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有固有的颜色，不发白或红;头胸甲与躯千连接紧密，无断头现象;虾身清洁无污物。</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（二）冻品类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1、整箱包装完整、无破箱、生产地址明显。</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2、验货时，要拆箱检查，如含水量太多称重时适当按比例除冰块的重量。</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3、如冻品解冻、软化、出水带血水，则不能收货。</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4、称重时要扣除纸箱、冰块的重量，以货品净重为准。如果外包装箱上标有净重，按净重入库，如果没有净重标识，按5%扣除含冰量。</w:t>
      </w:r>
    </w:p>
    <w:p>
      <w:pPr>
        <w:pStyle w:val="2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第二 粮油类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（一）面粉及淀粉类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粉：均为整袋采购，要求完整原厂包装，生产合格证、SC证号完备，外包装无污损，保质期剩余至少二分之一以上。不同种类面粉的化学和卫生指标应符合《中华人民共和国国家标准》中面粉的指标要求。原袋分装应有完整包装、生产日期等信息，指标符合国家标准。</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淀粉类：整袋采购有完整原厂包装，生产合格证、SC证号完备，外包装无污损，保质期剩余至少二分之一以上。散装淀粉需在保质期内，色泽洁白，无杂质，无异味，无虫蚀，无霉变，分装盛器需使用食品级包材。</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（二）米及米粉类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整袋采购的必须有完整原厂包装，生产合格证、SC证号完备，外包装无污损，保质期剩余至少二分之一以上。不同种类米的化学和卫生指标应符合《中华人民共和国国家标准》中米的指标要求。散装米米粒饱满，光泽度高，腹白低，残缺粒、爆腰粒少，米香味正，无杂质，无虫害，分装盛器需使用食品级包材。</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粉类：整袋采购有完整原厂包装，生产合格证、SC证号完备，外包装无污损，保质期剩余至少二分之一以上。散装米粉需在保质期内，色泽洁白，无杂质，无异味，无虫蚀，无霉变，分装盛器需使用食品级包材。</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（三）食用油脂类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植物油：有完整的原厂包装，生产合格证、SC证号完备，外包装无污损，保质期剩余至少二分之一以上。</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动物油：精炼动物油应有完整的原厂包装，生产合格证、SC证号完备，外包装无污损，保质期剩余至少二分之一以上。</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合成油：有完整的原厂包装，生产合格证、SC证号完备，外包装无污损，保质期剩余至少二分之一以上，植脂鲜奶油应冷链运输保藏。</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（四）杂粮类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豆：豆类应无杂质、无霉变、无异味、无虫蚀、无杂豆、无鼠害、表面有光泽，均为当年新豆。</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豆沙：整包采购，应有生产合格证、SC证号完备，外包装无污损，保质期剩余至少二分之一以上。</w:t>
      </w:r>
    </w:p>
    <w:p>
      <w:pPr>
        <w:pStyle w:val="2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第三 蛋、乳类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（一）、乳品类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鲜乳和炼乳：均为整箱或整包采购，瓶装、罐装、利乐包装或康美包装等均可，拒绝散装和简易包装。有生产合格证、SC证号完备，外包装无污损，保质期剩余至少二分之一以上。</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乳粉：有完整包装，拒绝散装。纯乳含量不得低于60%，有生产合格证、SC证号完备，外包装无污损，保质期剩余至少二分之一以上。</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乳酪：整包采购，应有生产合格证、SC证号完备，外包装无污损，保质期剩余至少二分之一以上。</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（二）蛋品类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鲜蛋：新鲜无变质、无污染，破损率≤1%，秋冬季距生产日期不超过15天，春夏季距生产日期不超过7天。</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咸蛋、变蛋：无霉变，无污染，无破损，保质期剩余至少二分之一以上。</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咸蛋黄：100%咸蛋黄，拒绝再次加工品。整包采购，应有生产合格证、SC证号完备，外包装无污损，保质期剩余至少二分之一以上。</w:t>
      </w:r>
    </w:p>
    <w:p>
      <w:pPr>
        <w:pStyle w:val="2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第四 蔬菜类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根茎类:茎部不老化，机体均匀，未发芽、变色</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叶菜类:色泽鲜亮，切口不变色，叶片挺而不干枯、不发黄。质地脆嫩、坚挺，球形叶菜，结实，无老帮</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花果类:允许果形有轻微缺点，但不得变形、过熟</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菇菌类:外形饱满，不发霉、变黑</w:t>
      </w:r>
    </w:p>
    <w:p>
      <w:pPr>
        <w:pStyle w:val="2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 果品类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鲜果：二级果及以上，无虫害，无霉变，无失水萎蔫，农残符合国家标准。</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果酱、果脯、蜜饯、水果罐头、果汁：整包采购，应有生产合格证、SC证号完备，外包装无污损，保质期剩余至少二分之一以上。果干、干果、干果片、干果碎、干果粉：无变色、无杂质、无霉变、无异味、无虫蚀、无鼠害、均为当年新果。</w:t>
      </w:r>
    </w:p>
    <w:p>
      <w:pPr>
        <w:pStyle w:val="2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第六 调味品类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（一）食糖类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砂糖（糖粉）类：各类砂糖应符合《中华人民共和国国家标准》中对砂糖的色值、颗粒大小、杂质含量、甜度、含水量等标准的要求。袋装采购品应有完整的原厂包装，生产合格证、SC证号完备，外包装无污损，保质期剩余至少二分之一以上。散装品需在保质期内，无杂质，无异味，无虫蚀，无霉变，分装盛器需使用食品级包材。</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蜂蜜、糖浆类：均为整包采购，拒绝散装。品名准确，生产合格证、SC证号完备，外包装无污损，保质期剩余至少二分之一以上。</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（二）巧克力类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巧克力：整包采购，应有生产合格证、SC证号完备，外包装无污损，保质期剩余至少二分之一以上。</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（三）食品添加剂类</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食品添加剂：整包采购，应有生产合格证、SC证号完备，外包装无污损，保质期剩余至少二分之一以上，生物活性添加剂（如酵母）距离生产日期不超过6个月。</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（四）调味品</w:t>
      </w:r>
    </w:p>
    <w:p>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符合国标,距生产日期未超过2个月。外包装完整洁净，有检验合格证，食品生产许可证号。</w:t>
      </w: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pStyle w:val="24"/>
        <w:spacing w:line="360" w:lineRule="auto"/>
        <w:jc w:val="center"/>
        <w:outlineLvl w:val="0"/>
        <w:rPr>
          <w:rFonts w:ascii="宋体" w:hAnsi="宋体" w:cs="宋体"/>
          <w:b/>
          <w:bCs/>
          <w:color w:val="auto"/>
          <w:sz w:val="44"/>
          <w:szCs w:val="44"/>
          <w:highlight w:val="none"/>
        </w:rPr>
      </w:pPr>
      <w:bookmarkStart w:id="165" w:name="_Toc10319"/>
      <w:r>
        <w:rPr>
          <w:rFonts w:hint="eastAsia" w:ascii="宋体" w:hAnsi="宋体" w:cs="宋体"/>
          <w:b/>
          <w:bCs/>
          <w:color w:val="auto"/>
          <w:sz w:val="44"/>
          <w:szCs w:val="44"/>
          <w:highlight w:val="none"/>
        </w:rPr>
        <w:t>第六章 拟签订的合同文本</w:t>
      </w:r>
      <w:bookmarkEnd w:id="164"/>
      <w:bookmarkEnd w:id="165"/>
    </w:p>
    <w:p>
      <w:pPr>
        <w:tabs>
          <w:tab w:val="left" w:pos="735"/>
        </w:tabs>
        <w:autoSpaceDE w:val="0"/>
        <w:autoSpaceDN w:val="0"/>
        <w:adjustRightInd w:val="0"/>
        <w:snapToGrid w:val="0"/>
        <w:spacing w:line="420" w:lineRule="exact"/>
        <w:ind w:firstLine="472" w:firstLineChars="196"/>
        <w:rPr>
          <w:rFonts w:ascii="宋体" w:hAnsi="宋体"/>
          <w:b/>
          <w:color w:val="auto"/>
          <w:sz w:val="24"/>
          <w:highlight w:val="none"/>
        </w:rPr>
      </w:pPr>
      <w:r>
        <w:rPr>
          <w:rFonts w:hint="eastAsia" w:ascii="宋体" w:hAnsi="宋体"/>
          <w:b/>
          <w:color w:val="auto"/>
          <w:sz w:val="24"/>
          <w:highlight w:val="none"/>
        </w:rPr>
        <w:t>（</w:t>
      </w:r>
      <w:r>
        <w:rPr>
          <w:rFonts w:hint="eastAsia" w:ascii="宋体" w:hAnsi="宋体"/>
          <w:b/>
          <w:color w:val="auto"/>
          <w:sz w:val="24"/>
          <w:highlight w:val="none"/>
          <w:lang w:val="zh-CN"/>
        </w:rPr>
        <w:t>此合同草案条款，</w:t>
      </w:r>
      <w:r>
        <w:rPr>
          <w:rFonts w:hint="eastAsia" w:ascii="宋体" w:hAnsi="宋体"/>
          <w:b/>
          <w:color w:val="auto"/>
          <w:sz w:val="24"/>
          <w:highlight w:val="none"/>
        </w:rPr>
        <w:t>采购人和成交供应商</w:t>
      </w:r>
      <w:r>
        <w:rPr>
          <w:rFonts w:hint="eastAsia" w:ascii="宋体" w:hAnsi="宋体"/>
          <w:b/>
          <w:color w:val="auto"/>
          <w:sz w:val="24"/>
          <w:highlight w:val="none"/>
          <w:lang w:val="zh-CN"/>
        </w:rPr>
        <w:t>所签订的合同</w:t>
      </w:r>
      <w:r>
        <w:rPr>
          <w:rFonts w:hint="eastAsia" w:ascii="宋体" w:hAnsi="宋体"/>
          <w:b/>
          <w:color w:val="auto"/>
          <w:sz w:val="24"/>
          <w:highlight w:val="none"/>
        </w:rPr>
        <w:t>不得对谈判</w:t>
      </w:r>
      <w:r>
        <w:rPr>
          <w:rFonts w:hint="eastAsia" w:ascii="宋体" w:hAnsi="宋体"/>
          <w:b/>
          <w:color w:val="auto"/>
          <w:sz w:val="24"/>
          <w:highlight w:val="none"/>
          <w:lang w:val="zh-CN"/>
        </w:rPr>
        <w:t>文件确定的事项和</w:t>
      </w:r>
      <w:r>
        <w:rPr>
          <w:rFonts w:hint="eastAsia" w:ascii="宋体" w:hAnsi="宋体"/>
          <w:b/>
          <w:color w:val="auto"/>
          <w:sz w:val="24"/>
          <w:highlight w:val="none"/>
        </w:rPr>
        <w:t>成交供应商</w:t>
      </w:r>
      <w:r>
        <w:rPr>
          <w:rFonts w:hint="eastAsia" w:ascii="宋体" w:hAnsi="宋体"/>
          <w:b/>
          <w:color w:val="auto"/>
          <w:sz w:val="24"/>
          <w:highlight w:val="none"/>
          <w:lang w:val="zh-CN"/>
        </w:rPr>
        <w:t>的</w:t>
      </w:r>
      <w:r>
        <w:rPr>
          <w:rFonts w:hint="eastAsia" w:ascii="宋体" w:hAnsi="宋体"/>
          <w:b/>
          <w:color w:val="auto"/>
          <w:sz w:val="24"/>
          <w:highlight w:val="none"/>
        </w:rPr>
        <w:t>谈判响应</w:t>
      </w:r>
      <w:r>
        <w:rPr>
          <w:rFonts w:hint="eastAsia" w:ascii="宋体" w:hAnsi="宋体"/>
          <w:b/>
          <w:color w:val="auto"/>
          <w:sz w:val="24"/>
          <w:highlight w:val="none"/>
          <w:lang w:val="zh-CN"/>
        </w:rPr>
        <w:t>文件做实质性修改，最终签订的合同以采购人确定的合同内容为准。</w:t>
      </w:r>
      <w:r>
        <w:rPr>
          <w:rFonts w:hint="eastAsia" w:ascii="宋体" w:hAnsi="宋体"/>
          <w:b/>
          <w:color w:val="auto"/>
          <w:sz w:val="24"/>
          <w:highlight w:val="none"/>
        </w:rPr>
        <w:t>）</w:t>
      </w:r>
    </w:p>
    <w:p>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甲方（采购人）：</w:t>
      </w:r>
    </w:p>
    <w:p>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乙方（成交供应商）： </w:t>
      </w:r>
    </w:p>
    <w:p>
      <w:pPr>
        <w:autoSpaceDE w:val="0"/>
        <w:autoSpaceDN w:val="0"/>
        <w:adjustRightIn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u w:val="single"/>
        </w:rPr>
        <w:t>西安商贸旅游技师学院</w:t>
      </w:r>
      <w:r>
        <w:rPr>
          <w:rFonts w:hint="eastAsia" w:ascii="宋体" w:hAnsi="宋体" w:cs="宋体"/>
          <w:bCs/>
          <w:color w:val="auto"/>
          <w:sz w:val="24"/>
          <w:highlight w:val="none"/>
          <w:u w:val="single"/>
          <w:lang w:eastAsia="zh-CN"/>
        </w:rPr>
        <w:t>烹饪系、食品系实训课原材料采购项目</w:t>
      </w:r>
      <w:r>
        <w:rPr>
          <w:rFonts w:hint="eastAsia" w:ascii="宋体" w:hAnsi="宋体" w:cs="宋体"/>
          <w:bCs/>
          <w:color w:val="auto"/>
          <w:sz w:val="24"/>
          <w:highlight w:val="none"/>
          <w:u w:val="single"/>
        </w:rPr>
        <w:t>(项目编号：</w:t>
      </w:r>
      <w:r>
        <w:rPr>
          <w:rFonts w:hint="eastAsia" w:ascii="宋体" w:hAnsi="宋体" w:cs="宋体"/>
          <w:bCs/>
          <w:color w:val="auto"/>
          <w:sz w:val="24"/>
          <w:highlight w:val="none"/>
          <w:u w:val="single"/>
          <w:lang w:eastAsia="zh-CN"/>
        </w:rPr>
        <w:t>MZ2023-TP1007</w:t>
      </w:r>
      <w:r>
        <w:rPr>
          <w:rFonts w:hint="eastAsia" w:ascii="宋体" w:hAnsi="宋体" w:cs="宋体"/>
          <w:bCs/>
          <w:color w:val="auto"/>
          <w:sz w:val="24"/>
          <w:highlight w:val="none"/>
          <w:u w:val="single"/>
        </w:rPr>
        <w:t>)</w:t>
      </w:r>
      <w:r>
        <w:rPr>
          <w:rFonts w:hint="eastAsia" w:ascii="宋体" w:hAnsi="宋体" w:cs="宋体"/>
          <w:bCs/>
          <w:color w:val="auto"/>
          <w:sz w:val="24"/>
          <w:highlight w:val="none"/>
        </w:rPr>
        <w:t>在由陕西明正招标有限公司组织竞争性谈判采购，</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(以下简称“采购人”)确定</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（以下简称“乙方”）为的成交供应商。</w:t>
      </w:r>
    </w:p>
    <w:p>
      <w:pPr>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第一条  合同内容</w:t>
      </w:r>
    </w:p>
    <w:p>
      <w:pPr>
        <w:pStyle w:val="15"/>
        <w:numPr>
          <w:ilvl w:val="0"/>
          <w:numId w:val="8"/>
        </w:numPr>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乙方负责按照合同中明确的食材名称、品牌、产地、规格，依照采购人计划数量进行供货；按时运到采购人指定的交货地点，并配合采购人验收人员，对所送食材进行初步验收。</w:t>
      </w:r>
    </w:p>
    <w:p>
      <w:pPr>
        <w:numPr>
          <w:ilvl w:val="0"/>
          <w:numId w:val="8"/>
        </w:numPr>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文件、乙方的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文件及评审过程中的澄清表（函）、承诺内容均作为本合同的组成部分，具有同等法律效力。</w:t>
      </w:r>
    </w:p>
    <w:p>
      <w:pPr>
        <w:pStyle w:val="15"/>
        <w:snapToGrid w:val="0"/>
        <w:spacing w:line="360" w:lineRule="auto"/>
        <w:jc w:val="left"/>
        <w:rPr>
          <w:rFonts w:hint="eastAsia" w:ascii="宋体" w:hAnsi="宋体" w:cs="宋体"/>
          <w:color w:val="auto"/>
          <w:sz w:val="24"/>
          <w:highlight w:val="none"/>
        </w:rPr>
      </w:pPr>
      <w:r>
        <w:rPr>
          <w:rFonts w:hint="eastAsia" w:ascii="宋体" w:hAnsi="宋体" w:cs="宋体"/>
          <w:b/>
          <w:bCs/>
          <w:color w:val="auto"/>
          <w:sz w:val="24"/>
          <w:highlight w:val="none"/>
        </w:rPr>
        <w:t>第二条  合同价款</w:t>
      </w:r>
    </w:p>
    <w:p>
      <w:pPr>
        <w:tabs>
          <w:tab w:val="left" w:pos="480"/>
        </w:tabs>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（一）合同价包括但不限于产品费、配送费、装卸费、人工费费等履行合同产生的一切相关费用。</w:t>
      </w:r>
    </w:p>
    <w:p>
      <w:pPr>
        <w:tabs>
          <w:tab w:val="left" w:pos="480"/>
        </w:tabs>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（二）合同执行过程中以实际采购数量和合同单价为准进行结算。</w:t>
      </w:r>
    </w:p>
    <w:p>
      <w:pPr>
        <w:tabs>
          <w:tab w:val="left" w:pos="480"/>
        </w:tabs>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第三条  款项结算</w:t>
      </w:r>
    </w:p>
    <w:p>
      <w:pPr>
        <w:pStyle w:val="15"/>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结算方式：</w:t>
      </w:r>
    </w:p>
    <w:p>
      <w:pPr>
        <w:pStyle w:val="15"/>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付款方式：</w:t>
      </w:r>
    </w:p>
    <w:p>
      <w:pPr>
        <w:pStyle w:val="15"/>
        <w:numPr>
          <w:ilvl w:val="0"/>
          <w:numId w:val="9"/>
        </w:numPr>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 xml:space="preserve"> 双方的权利和义务</w:t>
      </w:r>
    </w:p>
    <w:p>
      <w:pPr>
        <w:pStyle w:val="15"/>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（一） 采购人责任</w:t>
      </w:r>
    </w:p>
    <w:p>
      <w:pPr>
        <w:pStyle w:val="15"/>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负责核准、认定本项目相关技术资料文档；参与采购计划的报送、食材的验收、监督乙方合同的履行；为乙方履行合同提供必要的工作条件及场地；按照合同约定，按时支付货款。</w:t>
      </w:r>
    </w:p>
    <w:p>
      <w:pPr>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（二）乙方责任</w:t>
      </w:r>
    </w:p>
    <w:p>
      <w:pPr>
        <w:pStyle w:val="15"/>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按照采购人报送的计划，按时为采购人提供符合合同约定且满足采购人要求的食材；配合采购人对食材进行验收；按时为采购人提供相应食材符合质量标准的证明文件或《质检报告》。</w:t>
      </w:r>
    </w:p>
    <w:p>
      <w:pPr>
        <w:numPr>
          <w:ilvl w:val="0"/>
          <w:numId w:val="9"/>
        </w:numPr>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 xml:space="preserve"> 交货条件</w:t>
      </w:r>
    </w:p>
    <w:p>
      <w:pPr>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（一）供货地点：采购人指定地点。</w:t>
      </w:r>
    </w:p>
    <w:p>
      <w:pPr>
        <w:pStyle w:val="15"/>
        <w:snapToGrid w:val="0"/>
        <w:spacing w:line="360" w:lineRule="auto"/>
        <w:ind w:firstLine="240" w:firstLineChars="100"/>
        <w:jc w:val="left"/>
        <w:rPr>
          <w:rFonts w:ascii="宋体" w:hAnsi="宋体" w:cs="宋体"/>
          <w:color w:val="auto"/>
          <w:sz w:val="24"/>
          <w:highlight w:val="none"/>
          <w:u w:val="single"/>
        </w:rPr>
      </w:pPr>
      <w:r>
        <w:rPr>
          <w:rFonts w:hint="eastAsia" w:ascii="宋体" w:hAnsi="宋体" w:cs="宋体"/>
          <w:color w:val="auto"/>
          <w:sz w:val="24"/>
          <w:highlight w:val="none"/>
        </w:rPr>
        <w:t>（二）供货期：</w:t>
      </w:r>
      <w:r>
        <w:rPr>
          <w:rFonts w:hint="eastAsia" w:ascii="宋体" w:hAnsi="宋体" w:cs="宋体"/>
          <w:color w:val="auto"/>
          <w:sz w:val="24"/>
          <w:highlight w:val="none"/>
          <w:u w:val="single"/>
        </w:rPr>
        <w:t xml:space="preserve">               </w:t>
      </w:r>
    </w:p>
    <w:p>
      <w:pPr>
        <w:numPr>
          <w:ilvl w:val="0"/>
          <w:numId w:val="9"/>
        </w:numPr>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 xml:space="preserve"> 运输</w:t>
      </w:r>
    </w:p>
    <w:p>
      <w:pPr>
        <w:pStyle w:val="15"/>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（一）运输由乙方负责，运杂费已包含在合同价款内，包括但不限于食材运输所产生的运输费、装卸费、仓储费、保险费等。</w:t>
      </w:r>
    </w:p>
    <w:p>
      <w:pPr>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（二）乙方保证食材安全、按时运输到采购人指定交货地点，在交付采购人之前发生的不可预见的风险由乙方承担。</w:t>
      </w:r>
    </w:p>
    <w:p>
      <w:pPr>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（三）所有货物在运输、装卸、搬运的过程中，造成采购人损失的，由中标单位负责。</w:t>
      </w:r>
    </w:p>
    <w:p>
      <w:pPr>
        <w:pStyle w:val="15"/>
        <w:numPr>
          <w:ilvl w:val="0"/>
          <w:numId w:val="9"/>
        </w:numPr>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 xml:space="preserve"> 乙方质量保证</w:t>
      </w:r>
    </w:p>
    <w:p>
      <w:pPr>
        <w:tabs>
          <w:tab w:val="left" w:pos="480"/>
        </w:tabs>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（一）乙方所供食材保证技术指标符合要求、质量可靠、进货渠道正常，符合国家《产品质量法》《食品安全法》等相关法律法规的要求。</w:t>
      </w:r>
    </w:p>
    <w:p>
      <w:pPr>
        <w:tabs>
          <w:tab w:val="left" w:pos="480"/>
        </w:tabs>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（二）生产工艺符合国家要求。</w:t>
      </w:r>
    </w:p>
    <w:p>
      <w:pPr>
        <w:tabs>
          <w:tab w:val="left" w:pos="480"/>
        </w:tabs>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（三）食材包装及标识符合国家有关规范要求。</w:t>
      </w:r>
    </w:p>
    <w:p>
      <w:pPr>
        <w:pStyle w:val="15"/>
        <w:numPr>
          <w:ilvl w:val="0"/>
          <w:numId w:val="9"/>
        </w:numPr>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 xml:space="preserve"> 乙方免费提供的服务</w:t>
      </w:r>
    </w:p>
    <w:p>
      <w:pPr>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（一）乙方为合法供应商的资格证明文件。</w:t>
      </w:r>
    </w:p>
    <w:p>
      <w:pPr>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（二）乙方随同货物提供相应的质检报告或货物符合国家标准的证明文件。</w:t>
      </w:r>
    </w:p>
    <w:p>
      <w:pPr>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（三）《原料购进验收单》。</w:t>
      </w:r>
    </w:p>
    <w:p>
      <w:pPr>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（四）乙方配送负责人：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pPr>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第九条  违约责任</w:t>
      </w:r>
    </w:p>
    <w:p>
      <w:pPr>
        <w:pStyle w:val="15"/>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（一）按照《中华人民共和国民法典》中相关条款执行。</w:t>
      </w:r>
    </w:p>
    <w:p>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（二）采购人责任</w:t>
      </w:r>
    </w:p>
    <w:p>
      <w:pPr>
        <w:pStyle w:val="15"/>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1、除乙方配送食材不符合合同约定的规格、型号、质量及质保期要求外，采购人不得拒绝接收或随意退（换）货。</w:t>
      </w:r>
    </w:p>
    <w:p>
      <w:pPr>
        <w:snapToGrid w:val="0"/>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2、乙方同一配送计划配送的食材</w:t>
      </w:r>
      <w:r>
        <w:rPr>
          <w:rFonts w:hint="eastAsia" w:ascii="宋体" w:hAnsi="宋体" w:cs="宋体"/>
          <w:color w:val="auto"/>
          <w:sz w:val="24"/>
          <w:highlight w:val="none"/>
          <w:lang w:val="en-US" w:eastAsia="zh-CN"/>
        </w:rPr>
        <w:t>一次不合格一个品种扣除履约保证金20元，前两周不计。</w:t>
      </w:r>
      <w:r>
        <w:rPr>
          <w:rFonts w:hint="eastAsia" w:ascii="宋体" w:hAnsi="宋体" w:cs="宋体"/>
          <w:color w:val="auto"/>
          <w:sz w:val="24"/>
          <w:highlight w:val="none"/>
        </w:rPr>
        <w:t>经过</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次验收，仍不能满足招标文件要求或采购人需求的，采购人有权解除本合同，并立即终</w:t>
      </w:r>
      <w:r>
        <w:rPr>
          <w:rFonts w:hint="eastAsia" w:ascii="宋体" w:hAnsi="宋体" w:eastAsia="宋体" w:cs="宋体"/>
          <w:color w:val="auto"/>
          <w:sz w:val="24"/>
          <w:highlight w:val="none"/>
        </w:rPr>
        <w:t>止乙方的供应资格。</w:t>
      </w:r>
    </w:p>
    <w:p>
      <w:pPr>
        <w:snapToGrid w:val="0"/>
        <w:spacing w:line="360" w:lineRule="auto"/>
        <w:ind w:firstLine="240" w:firstLineChars="1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3、乙方如果出现一月内迟到（20分钟以上）三次者，采购人有权解除本合同，并立即终止乙方的供应资格。迟到一次扣除履约保证金50元，一月迟到三次解除合同。</w:t>
      </w:r>
    </w:p>
    <w:p>
      <w:pPr>
        <w:pStyle w:val="15"/>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（三）乙方责任</w:t>
      </w:r>
    </w:p>
    <w:p>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1、乙方未能按期履行合同或未按合同要求提供食材或提供的食材经两次验收仍不能满足招标文件要求或采购人需求的，采购人有权解除合同，并对乙方的违约行为进行追究，同时按《中华人民共和国政府采购法》和陕西省政府采购供应商管理办法进行相应处罚，因此给采购人造成的一切损失均由乙方承担。</w:t>
      </w:r>
    </w:p>
    <w:p>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2、乙方对采购人解除合同不予认可的，应在收到采购人书面解除通知之日起7日内依法提出异议。</w:t>
      </w:r>
    </w:p>
    <w:p>
      <w:pPr>
        <w:pStyle w:val="15"/>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3、乙方提交的食材，在采购人验收前，出现的毁损灭失风险，由乙方承担。</w:t>
      </w:r>
    </w:p>
    <w:p>
      <w:pPr>
        <w:pStyle w:val="15"/>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第十条  不可抗力</w:t>
      </w:r>
    </w:p>
    <w:p>
      <w:pPr>
        <w:snapToGrid w:val="0"/>
        <w:spacing w:line="360" w:lineRule="auto"/>
        <w:jc w:val="left"/>
        <w:rPr>
          <w:rFonts w:hint="eastAsia" w:ascii="宋体" w:hAnsi="宋体" w:cs="宋体"/>
          <w:color w:val="auto"/>
          <w:sz w:val="24"/>
          <w:highlight w:val="none"/>
        </w:rPr>
      </w:pPr>
      <w:r>
        <w:rPr>
          <w:rFonts w:hint="eastAsia" w:ascii="宋体" w:hAnsi="宋体" w:cs="宋体"/>
          <w:b/>
          <w:bCs/>
          <w:color w:val="auto"/>
          <w:sz w:val="24"/>
          <w:highlight w:val="none"/>
        </w:rPr>
        <w:t xml:space="preserve">  </w:t>
      </w:r>
      <w:r>
        <w:rPr>
          <w:rFonts w:hint="eastAsia" w:ascii="宋体" w:hAnsi="宋体" w:cs="宋体"/>
          <w:color w:val="auto"/>
          <w:sz w:val="24"/>
          <w:highlight w:val="none"/>
        </w:rPr>
        <w:t>（一）本合同中不可抗力指地震、台风、水灾、战争、罢工以及其它双方不能预见、不能避免并不能克服的客观情况。</w:t>
      </w:r>
    </w:p>
    <w:p>
      <w:pPr>
        <w:pStyle w:val="15"/>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（二）由于不可抗力致使合同无法履行的，受不可抗力影响一方，应立即将履行本合同的事实书面通知对方，并在不可抗力发生之日起十五日内提供有关相关政府部门或公证机关出具的证明文件。</w:t>
      </w:r>
    </w:p>
    <w:p>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三）本合同在不可抗力影响范围及其持续期间内将中止履行，本合同执行时间可根据中止时间相应顺延，双方无须承担违约责任。不可抗力事件消除后，双方应就合同的履行及后续问题进行协商。如不可抗力原因造成合同中止超过60天，任何一方均有权解除本合同。</w:t>
      </w:r>
    </w:p>
    <w:p>
      <w:pPr>
        <w:pStyle w:val="15"/>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（四）一方延迟履行合同后发生不可抗力的，不能免除责任。</w:t>
      </w:r>
    </w:p>
    <w:p>
      <w:pPr>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第十一条  验收</w:t>
      </w:r>
    </w:p>
    <w:p>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验收依据：</w:t>
      </w:r>
    </w:p>
    <w:p>
      <w:pPr>
        <w:pStyle w:val="15"/>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（一）谈判文件、成交供应商的谈判响应文件及澄清函；</w:t>
      </w:r>
    </w:p>
    <w:p>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（二）本合同及附件文本；</w:t>
      </w:r>
    </w:p>
    <w:p>
      <w:pPr>
        <w:pStyle w:val="15"/>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（三）国家相应标准、规范。</w:t>
      </w:r>
    </w:p>
    <w:p>
      <w:pPr>
        <w:autoSpaceDE w:val="0"/>
        <w:autoSpaceDN w:val="0"/>
        <w:adjustRightInd w:val="0"/>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第十二条  合同争议解决的方式</w:t>
      </w:r>
    </w:p>
    <w:p>
      <w:pPr>
        <w:autoSpaceDE w:val="0"/>
        <w:autoSpaceDN w:val="0"/>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本合同在履行过程中发生的争议，由甲、乙双方当事人协商解决，协商不成的按下列 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种方式解决：</w:t>
      </w:r>
    </w:p>
    <w:p>
      <w:pPr>
        <w:autoSpaceDE w:val="0"/>
        <w:autoSpaceDN w:val="0"/>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（一）提交西安市仲裁委员会仲裁；</w:t>
      </w:r>
    </w:p>
    <w:p>
      <w:pPr>
        <w:autoSpaceDE w:val="0"/>
        <w:autoSpaceDN w:val="0"/>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（二）依法向采购人所在地人民法院起诉。</w:t>
      </w:r>
    </w:p>
    <w:p>
      <w:pPr>
        <w:autoSpaceDE w:val="0"/>
        <w:autoSpaceDN w:val="0"/>
        <w:adjustRightInd w:val="0"/>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第十三条  合同生效</w:t>
      </w:r>
    </w:p>
    <w:p>
      <w:pPr>
        <w:autoSpaceDE w:val="0"/>
        <w:autoSpaceDN w:val="0"/>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（一）本合同须经甲、乙双方的法定代表人（授权代理人）在合同书上签字并加盖本单位公章后正式生效。</w:t>
      </w:r>
    </w:p>
    <w:p>
      <w:pPr>
        <w:autoSpaceDE w:val="0"/>
        <w:autoSpaceDN w:val="0"/>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（二）合同生效后，甲、乙双方须严格执行本合同条款的规定，全面履行合同，违者按《中华人民共和国民法典》的有关规定承担相应责任。</w:t>
      </w:r>
    </w:p>
    <w:p>
      <w:pPr>
        <w:autoSpaceDE w:val="0"/>
        <w:autoSpaceDN w:val="0"/>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（三）本合同一式</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份，甲乙双方各执</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份。</w:t>
      </w:r>
    </w:p>
    <w:p>
      <w:pPr>
        <w:pStyle w:val="24"/>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szCs w:val="24"/>
          <w:highlight w:val="none"/>
        </w:rPr>
        <w:t>（四）本合同如有未尽事宜，甲、乙双方协商解决。</w:t>
      </w:r>
    </w:p>
    <w:p>
      <w:pPr>
        <w:pStyle w:val="24"/>
        <w:rPr>
          <w:rFonts w:hint="eastAsia" w:ascii="宋体" w:hAnsi="宋体" w:cs="宋体"/>
          <w:bCs/>
          <w:color w:val="auto"/>
          <w:sz w:val="24"/>
          <w:highlight w:val="none"/>
        </w:rPr>
      </w:pPr>
    </w:p>
    <w:p>
      <w:pPr>
        <w:pStyle w:val="24"/>
        <w:rPr>
          <w:rFonts w:hint="eastAsia" w:ascii="宋体" w:hAnsi="宋体" w:cs="宋体"/>
          <w:bCs/>
          <w:color w:val="auto"/>
          <w:sz w:val="24"/>
          <w:highlight w:val="none"/>
        </w:rPr>
      </w:pPr>
    </w:p>
    <w:tbl>
      <w:tblPr>
        <w:tblStyle w:val="36"/>
        <w:tblW w:w="0" w:type="auto"/>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567" w:hRule="exact"/>
          <w:jc w:val="center"/>
        </w:trPr>
        <w:tc>
          <w:tcPr>
            <w:tcW w:w="4201"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甲  方</w:t>
            </w:r>
          </w:p>
        </w:tc>
        <w:tc>
          <w:tcPr>
            <w:tcW w:w="4202"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乙  方</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（盖章）</w:t>
            </w:r>
          </w:p>
        </w:tc>
        <w:tc>
          <w:tcPr>
            <w:tcW w:w="4202"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（盖章）</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地址： </w:t>
            </w:r>
          </w:p>
        </w:tc>
        <w:tc>
          <w:tcPr>
            <w:tcW w:w="4202"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地址：</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邮编：</w:t>
            </w:r>
          </w:p>
        </w:tc>
        <w:tc>
          <w:tcPr>
            <w:tcW w:w="4202"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邮编：</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法定代表人： </w:t>
            </w:r>
          </w:p>
        </w:tc>
        <w:tc>
          <w:tcPr>
            <w:tcW w:w="4202"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法定代表人：</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被授权代表：</w:t>
            </w:r>
          </w:p>
        </w:tc>
        <w:tc>
          <w:tcPr>
            <w:tcW w:w="4202"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被授权代表：</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4202"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电话：</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传真：</w:t>
            </w:r>
          </w:p>
        </w:tc>
        <w:tc>
          <w:tcPr>
            <w:tcW w:w="4202"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传真：</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开户银行：</w:t>
            </w:r>
          </w:p>
        </w:tc>
        <w:tc>
          <w:tcPr>
            <w:tcW w:w="4202"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开户银行：</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日期：</w:t>
            </w:r>
          </w:p>
        </w:tc>
        <w:tc>
          <w:tcPr>
            <w:tcW w:w="4202" w:type="dxa"/>
            <w:noWrap w:val="0"/>
            <w:vAlign w:val="center"/>
          </w:tcPr>
          <w:p>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日期：</w:t>
            </w:r>
          </w:p>
        </w:tc>
      </w:tr>
    </w:tbl>
    <w:p>
      <w:pPr>
        <w:rPr>
          <w:rFonts w:hint="eastAsia" w:ascii="宋体" w:hAnsi="宋体" w:cs="宋体"/>
          <w:bCs/>
          <w:color w:val="auto"/>
          <w:sz w:val="24"/>
          <w:highlight w:val="none"/>
        </w:rPr>
      </w:pPr>
    </w:p>
    <w:p>
      <w:pPr>
        <w:rPr>
          <w:rFonts w:hint="eastAsia" w:ascii="宋体" w:hAnsi="宋体" w:cs="宋体"/>
          <w:bCs/>
          <w:color w:val="auto"/>
          <w:sz w:val="24"/>
          <w:highlight w:val="none"/>
        </w:rPr>
      </w:pPr>
      <w:r>
        <w:rPr>
          <w:rFonts w:hint="eastAsia" w:ascii="宋体" w:hAnsi="宋体" w:cs="宋体"/>
          <w:bCs/>
          <w:color w:val="auto"/>
          <w:sz w:val="24"/>
          <w:highlight w:val="none"/>
        </w:rPr>
        <w:t>备注：合同模板仅供参考，具体以实际签订合同为准。</w:t>
      </w:r>
    </w:p>
    <w:p>
      <w:pPr>
        <w:pStyle w:val="3"/>
        <w:spacing w:line="24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bookmarkStart w:id="166" w:name="_Toc71729643"/>
      <w:bookmarkStart w:id="167" w:name="_Toc21121"/>
      <w:r>
        <w:rPr>
          <w:rFonts w:hint="eastAsia" w:ascii="宋体" w:hAnsi="宋体" w:cs="宋体"/>
          <w:color w:val="auto"/>
          <w:sz w:val="44"/>
          <w:szCs w:val="44"/>
          <w:highlight w:val="none"/>
        </w:rPr>
        <w:t>第七章 谈判响应文件格式</w:t>
      </w:r>
      <w:bookmarkEnd w:id="166"/>
      <w:bookmarkEnd w:id="167"/>
    </w:p>
    <w:p>
      <w:pPr>
        <w:pStyle w:val="2"/>
        <w:spacing w:before="120" w:beforeLines="50"/>
        <w:ind w:firstLine="0"/>
        <w:rPr>
          <w:rFonts w:ascii="宋体" w:hAnsi="宋体" w:cs="宋体"/>
          <w:b/>
          <w:color w:val="auto"/>
          <w:sz w:val="28"/>
          <w:szCs w:val="28"/>
          <w:highlight w:val="none"/>
        </w:rPr>
      </w:pPr>
    </w:p>
    <w:p>
      <w:pPr>
        <w:pStyle w:val="2"/>
        <w:spacing w:before="120" w:beforeLines="50"/>
        <w:ind w:firstLine="0"/>
        <w:rPr>
          <w:rFonts w:ascii="宋体" w:hAnsi="宋体" w:cs="宋体"/>
          <w:b/>
          <w:color w:val="auto"/>
          <w:sz w:val="28"/>
          <w:szCs w:val="28"/>
          <w:highlight w:val="none"/>
        </w:rPr>
      </w:pPr>
      <w:r>
        <w:rPr>
          <w:rFonts w:hint="eastAsia" w:ascii="宋体" w:hAnsi="宋体" w:cs="宋体"/>
          <w:b/>
          <w:color w:val="auto"/>
          <w:sz w:val="28"/>
          <w:szCs w:val="28"/>
          <w:highlight w:val="none"/>
        </w:rPr>
        <w:t>政府采购项目                                         正本/副本</w:t>
      </w:r>
    </w:p>
    <w:p>
      <w:pPr>
        <w:pStyle w:val="2"/>
        <w:spacing w:before="120" w:beforeLines="50"/>
        <w:ind w:firstLine="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采购项目编号：</w:t>
      </w:r>
      <w:r>
        <w:rPr>
          <w:rFonts w:hint="eastAsia" w:ascii="宋体" w:hAnsi="宋体" w:cs="宋体"/>
          <w:b/>
          <w:color w:val="auto"/>
          <w:sz w:val="28"/>
          <w:szCs w:val="28"/>
          <w:highlight w:val="none"/>
          <w:lang w:eastAsia="zh-CN"/>
        </w:rPr>
        <w:t>MZ2023-TP1007</w:t>
      </w:r>
    </w:p>
    <w:p>
      <w:pPr>
        <w:pStyle w:val="29"/>
        <w:rPr>
          <w:rFonts w:ascii="宋体" w:hAnsi="宋体" w:eastAsia="宋体" w:cs="宋体"/>
          <w:color w:val="auto"/>
          <w:highlight w:val="none"/>
        </w:rPr>
      </w:pPr>
    </w:p>
    <w:p>
      <w:pPr>
        <w:jc w:val="center"/>
        <w:rPr>
          <w:rFonts w:ascii="宋体" w:hAnsi="宋体" w:cs="宋体"/>
          <w:b/>
          <w:color w:val="auto"/>
          <w:sz w:val="44"/>
          <w:szCs w:val="44"/>
          <w:highlight w:val="none"/>
        </w:rPr>
      </w:pPr>
    </w:p>
    <w:p>
      <w:pPr>
        <w:pStyle w:val="20"/>
        <w:adjustRightInd w:val="0"/>
        <w:snapToGrid w:val="0"/>
        <w:spacing w:line="360" w:lineRule="auto"/>
        <w:jc w:val="center"/>
        <w:rPr>
          <w:rFonts w:hint="eastAsia" w:hAnsi="宋体" w:cs="宋体"/>
          <w:b/>
          <w:color w:val="auto"/>
          <w:sz w:val="44"/>
          <w:szCs w:val="44"/>
          <w:highlight w:val="none"/>
          <w:lang w:eastAsia="zh-CN"/>
        </w:rPr>
      </w:pPr>
      <w:r>
        <w:rPr>
          <w:rFonts w:hint="eastAsia" w:hAnsi="宋体" w:cs="宋体"/>
          <w:b/>
          <w:color w:val="auto"/>
          <w:sz w:val="44"/>
          <w:szCs w:val="44"/>
          <w:highlight w:val="none"/>
          <w:lang w:eastAsia="zh-CN"/>
        </w:rPr>
        <w:t>西安商贸旅游技师学院</w:t>
      </w:r>
    </w:p>
    <w:p>
      <w:pPr>
        <w:pStyle w:val="20"/>
        <w:adjustRightInd w:val="0"/>
        <w:snapToGrid w:val="0"/>
        <w:spacing w:line="360" w:lineRule="auto"/>
        <w:jc w:val="center"/>
        <w:rPr>
          <w:rFonts w:hint="eastAsia" w:hAnsi="宋体" w:eastAsia="宋体" w:cs="宋体"/>
          <w:b/>
          <w:color w:val="auto"/>
          <w:sz w:val="44"/>
          <w:szCs w:val="44"/>
          <w:highlight w:val="none"/>
          <w:lang w:eastAsia="zh-CN"/>
        </w:rPr>
      </w:pPr>
      <w:r>
        <w:rPr>
          <w:rFonts w:hint="eastAsia" w:hAnsi="宋体" w:cs="宋体"/>
          <w:b/>
          <w:color w:val="auto"/>
          <w:sz w:val="44"/>
          <w:szCs w:val="44"/>
          <w:highlight w:val="none"/>
          <w:lang w:eastAsia="zh-CN"/>
        </w:rPr>
        <w:t>烹饪系、食品系实训课原材料采购项目</w:t>
      </w:r>
    </w:p>
    <w:p>
      <w:pPr>
        <w:pStyle w:val="20"/>
        <w:adjustRightInd w:val="0"/>
        <w:snapToGrid w:val="0"/>
        <w:spacing w:line="360" w:lineRule="auto"/>
        <w:jc w:val="center"/>
        <w:rPr>
          <w:rFonts w:hAnsi="宋体" w:cs="宋体"/>
          <w:b/>
          <w:color w:val="auto"/>
          <w:sz w:val="44"/>
          <w:szCs w:val="44"/>
          <w:highlight w:val="none"/>
        </w:rPr>
      </w:pPr>
    </w:p>
    <w:p>
      <w:pPr>
        <w:pStyle w:val="20"/>
        <w:adjustRightInd w:val="0"/>
        <w:snapToGrid w:val="0"/>
        <w:spacing w:line="360" w:lineRule="auto"/>
        <w:jc w:val="center"/>
        <w:rPr>
          <w:rFonts w:hAnsi="宋体" w:cs="宋体"/>
          <w:b/>
          <w:color w:val="auto"/>
          <w:sz w:val="44"/>
          <w:szCs w:val="44"/>
          <w:highlight w:val="none"/>
        </w:rPr>
      </w:pPr>
    </w:p>
    <w:p>
      <w:pPr>
        <w:pStyle w:val="20"/>
        <w:adjustRightInd w:val="0"/>
        <w:snapToGrid w:val="0"/>
        <w:spacing w:line="360" w:lineRule="auto"/>
        <w:jc w:val="center"/>
        <w:rPr>
          <w:rFonts w:hAnsi="宋体" w:cs="宋体"/>
          <w:b/>
          <w:color w:val="auto"/>
          <w:sz w:val="44"/>
          <w:szCs w:val="44"/>
          <w:highlight w:val="none"/>
        </w:rPr>
      </w:pPr>
      <w:r>
        <w:rPr>
          <w:rFonts w:hint="eastAsia" w:hAnsi="宋体" w:cs="宋体"/>
          <w:b/>
          <w:color w:val="auto"/>
          <w:sz w:val="44"/>
          <w:szCs w:val="44"/>
          <w:highlight w:val="none"/>
        </w:rPr>
        <w:t>谈判响应文件</w:t>
      </w:r>
    </w:p>
    <w:p>
      <w:pPr>
        <w:pStyle w:val="20"/>
        <w:adjustRightInd w:val="0"/>
        <w:snapToGrid w:val="0"/>
        <w:spacing w:line="360" w:lineRule="auto"/>
        <w:jc w:val="center"/>
        <w:rPr>
          <w:rFonts w:hAnsi="宋体" w:cs="宋体"/>
          <w:b/>
          <w:color w:val="auto"/>
          <w:sz w:val="44"/>
          <w:szCs w:val="44"/>
          <w:highlight w:val="none"/>
        </w:rPr>
      </w:pPr>
      <w:r>
        <w:rPr>
          <w:rFonts w:hint="eastAsia" w:hAnsi="宋体" w:cs="宋体"/>
          <w:b/>
          <w:color w:val="auto"/>
          <w:sz w:val="44"/>
          <w:szCs w:val="44"/>
          <w:highlight w:val="none"/>
        </w:rPr>
        <w:t>（资格部分）</w:t>
      </w:r>
    </w:p>
    <w:p>
      <w:pPr>
        <w:pStyle w:val="2"/>
        <w:rPr>
          <w:rFonts w:ascii="宋体" w:hAnsi="宋体" w:cs="宋体"/>
          <w:color w:val="auto"/>
          <w:sz w:val="28"/>
          <w:szCs w:val="28"/>
          <w:highlight w:val="none"/>
        </w:rPr>
      </w:pPr>
    </w:p>
    <w:p>
      <w:pPr>
        <w:pStyle w:val="2"/>
        <w:ind w:firstLine="0"/>
        <w:rPr>
          <w:rFonts w:ascii="宋体" w:hAnsi="宋体" w:cs="宋体"/>
          <w:color w:val="auto"/>
          <w:sz w:val="28"/>
          <w:szCs w:val="28"/>
          <w:highlight w:val="none"/>
        </w:rPr>
      </w:pPr>
    </w:p>
    <w:p>
      <w:pPr>
        <w:pStyle w:val="2"/>
        <w:spacing w:before="120" w:beforeLines="50"/>
        <w:ind w:firstLine="0"/>
        <w:rPr>
          <w:rFonts w:ascii="宋体" w:hAnsi="宋体" w:cs="宋体"/>
          <w:b/>
          <w:color w:val="auto"/>
          <w:sz w:val="28"/>
          <w:szCs w:val="28"/>
          <w:highlight w:val="none"/>
        </w:rPr>
      </w:pPr>
    </w:p>
    <w:p>
      <w:pPr>
        <w:pStyle w:val="2"/>
        <w:spacing w:before="120" w:beforeLines="50"/>
        <w:ind w:firstLine="1630" w:firstLineChars="580"/>
        <w:rPr>
          <w:rFonts w:ascii="宋体" w:hAnsi="宋体" w:cs="宋体"/>
          <w:b/>
          <w:color w:val="auto"/>
          <w:sz w:val="28"/>
          <w:szCs w:val="28"/>
          <w:highlight w:val="none"/>
        </w:rPr>
      </w:pPr>
    </w:p>
    <w:p>
      <w:pPr>
        <w:pStyle w:val="2"/>
        <w:spacing w:before="120" w:beforeLines="50"/>
        <w:ind w:firstLine="1630" w:firstLineChars="580"/>
        <w:rPr>
          <w:rFonts w:ascii="宋体" w:hAnsi="宋体" w:cs="宋体"/>
          <w:b/>
          <w:color w:val="auto"/>
          <w:sz w:val="28"/>
          <w:szCs w:val="28"/>
          <w:highlight w:val="none"/>
        </w:rPr>
      </w:pPr>
    </w:p>
    <w:p>
      <w:pPr>
        <w:pStyle w:val="2"/>
        <w:spacing w:line="360" w:lineRule="auto"/>
        <w:ind w:firstLine="1630" w:firstLineChars="580"/>
        <w:rPr>
          <w:rFonts w:ascii="宋体" w:hAnsi="宋体" w:cs="宋体"/>
          <w:b/>
          <w:bCs/>
          <w:color w:val="auto"/>
          <w:sz w:val="28"/>
          <w:szCs w:val="28"/>
          <w:highlight w:val="none"/>
        </w:rPr>
      </w:pPr>
      <w:r>
        <w:rPr>
          <w:rFonts w:hint="eastAsia" w:ascii="宋体" w:hAnsi="宋体" w:cs="宋体"/>
          <w:b/>
          <w:bCs/>
          <w:color w:val="auto"/>
          <w:sz w:val="28"/>
          <w:szCs w:val="28"/>
          <w:highlight w:val="none"/>
        </w:rPr>
        <w:t>供应商：</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（公章）</w:t>
      </w:r>
    </w:p>
    <w:p>
      <w:pPr>
        <w:pStyle w:val="2"/>
        <w:spacing w:line="360" w:lineRule="auto"/>
        <w:ind w:firstLine="1630" w:firstLineChars="580"/>
        <w:rPr>
          <w:rFonts w:ascii="宋体" w:hAnsi="宋体" w:cs="宋体"/>
          <w:b/>
          <w:bCs/>
          <w:color w:val="auto"/>
          <w:sz w:val="28"/>
          <w:szCs w:val="28"/>
          <w:highlight w:val="none"/>
        </w:rPr>
      </w:pPr>
      <w:r>
        <w:rPr>
          <w:rFonts w:hint="eastAsia" w:ascii="宋体" w:hAnsi="宋体" w:cs="宋体"/>
          <w:b/>
          <w:color w:val="auto"/>
          <w:sz w:val="28"/>
          <w:szCs w:val="28"/>
          <w:highlight w:val="none"/>
        </w:rPr>
        <w:t>法定代表人或授权代表：</w:t>
      </w:r>
      <w:r>
        <w:rPr>
          <w:rFonts w:hint="eastAsia" w:ascii="宋体" w:hAnsi="宋体" w:cs="宋体"/>
          <w:b/>
          <w:color w:val="auto"/>
          <w:sz w:val="28"/>
          <w:szCs w:val="28"/>
          <w:highlight w:val="none"/>
          <w:u w:val="single"/>
        </w:rPr>
        <w:t xml:space="preserve">             </w:t>
      </w:r>
      <w:r>
        <w:rPr>
          <w:rFonts w:hint="eastAsia" w:ascii="宋体" w:hAnsi="宋体" w:cs="宋体"/>
          <w:b/>
          <w:bCs/>
          <w:color w:val="auto"/>
          <w:sz w:val="28"/>
          <w:szCs w:val="28"/>
          <w:highlight w:val="none"/>
        </w:rPr>
        <w:t>（签字或盖章）</w:t>
      </w:r>
    </w:p>
    <w:p>
      <w:pPr>
        <w:pStyle w:val="2"/>
        <w:spacing w:line="360" w:lineRule="auto"/>
        <w:ind w:firstLine="1630" w:firstLineChars="580"/>
        <w:rPr>
          <w:rFonts w:ascii="宋体" w:hAnsi="宋体" w:cs="宋体"/>
          <w:color w:val="auto"/>
          <w:highlight w:val="none"/>
        </w:rPr>
      </w:pPr>
      <w:r>
        <w:rPr>
          <w:rFonts w:hint="eastAsia" w:ascii="宋体" w:hAnsi="宋体" w:cs="宋体"/>
          <w:b/>
          <w:bCs/>
          <w:color w:val="auto"/>
          <w:sz w:val="28"/>
          <w:szCs w:val="28"/>
          <w:highlight w:val="none"/>
        </w:rPr>
        <w:t>日    期：</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月</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日</w:t>
      </w:r>
    </w:p>
    <w:p>
      <w:pPr>
        <w:pStyle w:val="2"/>
        <w:spacing w:before="120" w:beforeLines="50" w:line="360" w:lineRule="auto"/>
        <w:ind w:firstLine="418" w:firstLineChars="95"/>
        <w:jc w:val="center"/>
        <w:outlineLvl w:val="1"/>
        <w:rPr>
          <w:rFonts w:ascii="宋体" w:hAnsi="宋体" w:cs="宋体"/>
          <w:color w:val="auto"/>
          <w:sz w:val="44"/>
          <w:szCs w:val="44"/>
          <w:highlight w:val="none"/>
        </w:rPr>
      </w:pPr>
      <w:r>
        <w:rPr>
          <w:rFonts w:hint="eastAsia" w:ascii="宋体" w:hAnsi="宋体" w:cs="宋体"/>
          <w:color w:val="auto"/>
          <w:sz w:val="44"/>
          <w:szCs w:val="44"/>
          <w:highlight w:val="none"/>
        </w:rPr>
        <w:br w:type="page"/>
      </w:r>
      <w:bookmarkStart w:id="168" w:name="_Toc28592"/>
      <w:bookmarkStart w:id="169" w:name="_Toc29137"/>
      <w:r>
        <w:rPr>
          <w:rFonts w:hint="eastAsia" w:ascii="宋体" w:hAnsi="宋体" w:cs="宋体"/>
          <w:b/>
          <w:color w:val="auto"/>
          <w:sz w:val="44"/>
          <w:szCs w:val="44"/>
          <w:highlight w:val="none"/>
        </w:rPr>
        <w:t>说     明</w:t>
      </w:r>
      <w:bookmarkEnd w:id="168"/>
      <w:bookmarkEnd w:id="169"/>
    </w:p>
    <w:p>
      <w:pPr>
        <w:pStyle w:val="16"/>
        <w:kinsoku w:val="0"/>
        <w:autoSpaceDE w:val="0"/>
        <w:autoSpaceDN w:val="0"/>
        <w:adjustRightInd w:val="0"/>
        <w:snapToGrid w:val="0"/>
        <w:spacing w:line="360" w:lineRule="auto"/>
        <w:ind w:firstLine="0"/>
        <w:rPr>
          <w:rFonts w:ascii="宋体" w:hAnsi="宋体" w:cs="宋体"/>
          <w:b/>
          <w:color w:val="auto"/>
          <w:sz w:val="24"/>
          <w:szCs w:val="24"/>
          <w:highlight w:val="none"/>
        </w:rPr>
      </w:pPr>
      <w:r>
        <w:rPr>
          <w:rFonts w:hint="eastAsia" w:ascii="宋体" w:hAnsi="宋体" w:cs="宋体"/>
          <w:b/>
          <w:color w:val="auto"/>
          <w:sz w:val="24"/>
          <w:szCs w:val="24"/>
          <w:highlight w:val="none"/>
        </w:rPr>
        <w:t xml:space="preserve">资格部分文件包括以下内容： </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1、供应商应具有独立承担民事责任的能力的企业法人、事业法人、其他组织或自然人，出具合法有效的营业执照等相关证明文件，自然人参与的提供其身份证明；</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2、法定代表人直接参加投标的，须出具法定代表人证明及法人身份证；法定代表人授权代表参加投标的，须出具法定代表人授权书及授权代表身份证。</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3、财务状况报告：提供</w:t>
      </w:r>
      <w:r>
        <w:rPr>
          <w:rFonts w:hint="eastAsia" w:ascii="Times New Roman" w:hAnsi="宋体" w:eastAsia="宋体" w:cs="宋体"/>
          <w:color w:val="auto"/>
          <w:sz w:val="24"/>
          <w:szCs w:val="24"/>
          <w:highlight w:val="none"/>
        </w:rPr>
        <w:t>经审计的2021年度财务报告</w:t>
      </w:r>
      <w:r>
        <w:rPr>
          <w:rFonts w:hint="eastAsia" w:hAnsi="宋体" w:cs="宋体"/>
          <w:color w:val="auto"/>
          <w:sz w:val="24"/>
          <w:szCs w:val="24"/>
          <w:highlight w:val="none"/>
        </w:rPr>
        <w:t>或开标前六个月内其本公司银行账户出具的资信证明；</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4、税收缴纳证明：供应商提供截止至开标时间前六个月任一月份的缴费凭据；依法免税的应提供相关文件证明；</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5、社会保障资金缴纳证明：供应商提供截止至开标时间前六个月任一月份的缴费凭据或社保机构开具的社会保险参保缴费情况证明；依法不需要缴纳社会保障资金的应提供相关文件证明；</w:t>
      </w:r>
    </w:p>
    <w:p>
      <w:pPr>
        <w:pStyle w:val="24"/>
        <w:adjustRightIn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6、供应商提供具有履行本合同所必需的设备和专业技术能力的承诺函；</w:t>
      </w:r>
    </w:p>
    <w:p>
      <w:pPr>
        <w:pStyle w:val="24"/>
        <w:adjustRightIn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7、供应商提供参加政府采购活动前三年内在经营活动中没有重大违法记录的承诺函；</w:t>
      </w:r>
    </w:p>
    <w:p>
      <w:pPr>
        <w:widowControl/>
        <w:tabs>
          <w:tab w:val="left" w:pos="1620"/>
        </w:tabs>
        <w:adjustRightInd w:val="0"/>
        <w:snapToGrid w:val="0"/>
        <w:spacing w:line="500" w:lineRule="exact"/>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注：</w:t>
      </w:r>
    </w:p>
    <w:p>
      <w:pPr>
        <w:widowControl/>
        <w:tabs>
          <w:tab w:val="left" w:pos="1620"/>
        </w:tabs>
        <w:adjustRightInd w:val="0"/>
        <w:snapToGrid w:val="0"/>
        <w:spacing w:line="500" w:lineRule="exact"/>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1、</w:t>
      </w:r>
      <w:r>
        <w:rPr>
          <w:rFonts w:hint="eastAsia" w:ascii="宋体" w:hAnsi="宋体" w:cs="宋体"/>
          <w:b/>
          <w:color w:val="auto"/>
          <w:sz w:val="24"/>
          <w:highlight w:val="none"/>
        </w:rPr>
        <w:t>在</w:t>
      </w:r>
      <w:r>
        <w:rPr>
          <w:rFonts w:hint="eastAsia" w:ascii="宋体" w:hAnsi="宋体" w:cs="宋体"/>
          <w:b/>
          <w:color w:val="auto"/>
          <w:sz w:val="24"/>
          <w:highlight w:val="none"/>
          <w:lang w:val="en-US" w:eastAsia="zh-CN"/>
        </w:rPr>
        <w:t>谈判响应</w:t>
      </w:r>
      <w:r>
        <w:rPr>
          <w:rFonts w:hint="eastAsia" w:ascii="宋体" w:hAnsi="宋体" w:cs="宋体"/>
          <w:b/>
          <w:color w:val="auto"/>
          <w:sz w:val="24"/>
          <w:highlight w:val="none"/>
        </w:rPr>
        <w:t>文件资格部分正副本中应附完整的资格证明材料复印件，正本加盖</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rPr>
        <w:t>红色鲜章。</w:t>
      </w:r>
    </w:p>
    <w:p>
      <w:pPr>
        <w:widowControl/>
        <w:tabs>
          <w:tab w:val="left" w:pos="1620"/>
        </w:tabs>
        <w:adjustRightInd w:val="0"/>
        <w:snapToGrid w:val="0"/>
        <w:spacing w:line="500" w:lineRule="exact"/>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2、</w:t>
      </w:r>
      <w:r>
        <w:rPr>
          <w:rFonts w:hint="eastAsia" w:ascii="宋体" w:hAnsi="宋体" w:cs="宋体"/>
          <w:b/>
          <w:bCs/>
          <w:color w:val="auto"/>
          <w:kern w:val="0"/>
          <w:sz w:val="24"/>
          <w:highlight w:val="none"/>
          <w:lang w:val="en-US" w:eastAsia="zh-CN"/>
        </w:rPr>
        <w:t>供应商</w:t>
      </w:r>
      <w:r>
        <w:rPr>
          <w:rFonts w:hint="eastAsia" w:ascii="宋体" w:hAnsi="宋体" w:cs="宋体"/>
          <w:b/>
          <w:bCs/>
          <w:color w:val="auto"/>
          <w:kern w:val="0"/>
          <w:sz w:val="24"/>
          <w:highlight w:val="none"/>
        </w:rPr>
        <w:t>应按照</w:t>
      </w:r>
      <w:r>
        <w:rPr>
          <w:rFonts w:hint="eastAsia" w:ascii="宋体" w:hAnsi="宋体" w:cs="宋体"/>
          <w:b/>
          <w:color w:val="auto"/>
          <w:sz w:val="24"/>
          <w:highlight w:val="none"/>
          <w:lang w:val="en-US" w:eastAsia="zh-CN"/>
        </w:rPr>
        <w:t>谈判</w:t>
      </w:r>
      <w:r>
        <w:rPr>
          <w:rFonts w:hint="eastAsia" w:ascii="宋体" w:hAnsi="宋体" w:cs="宋体"/>
          <w:b/>
          <w:bCs/>
          <w:color w:val="auto"/>
          <w:kern w:val="0"/>
          <w:sz w:val="24"/>
          <w:highlight w:val="none"/>
        </w:rPr>
        <w:t>文件的要求自行准备以上证明文件并编目录、封装。</w:t>
      </w:r>
    </w:p>
    <w:p>
      <w:pPr>
        <w:pStyle w:val="127"/>
        <w:spacing w:line="360" w:lineRule="auto"/>
        <w:jc w:val="left"/>
        <w:rPr>
          <w:rFonts w:ascii="宋体" w:hAnsi="宋体" w:cs="宋体"/>
          <w:b/>
          <w:color w:val="auto"/>
          <w:sz w:val="24"/>
          <w:szCs w:val="24"/>
          <w:highlight w:val="none"/>
        </w:rPr>
      </w:pPr>
      <w:r>
        <w:rPr>
          <w:rFonts w:hint="eastAsia" w:ascii="宋体" w:hAnsi="宋体" w:cs="宋体"/>
          <w:color w:val="auto"/>
          <w:sz w:val="44"/>
          <w:szCs w:val="44"/>
          <w:highlight w:val="none"/>
        </w:rPr>
        <w:br w:type="page"/>
      </w:r>
      <w:r>
        <w:rPr>
          <w:rFonts w:hint="eastAsia" w:ascii="宋体" w:hAnsi="宋体" w:cs="宋体"/>
          <w:b/>
          <w:color w:val="auto"/>
          <w:sz w:val="24"/>
          <w:szCs w:val="24"/>
          <w:highlight w:val="none"/>
        </w:rPr>
        <w:t>附件1：</w:t>
      </w:r>
    </w:p>
    <w:p>
      <w:pPr>
        <w:pStyle w:val="127"/>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法定代表人（单位负责人）身份证明及法定代表人授权书</w:t>
      </w:r>
    </w:p>
    <w:p>
      <w:pPr>
        <w:adjustRightInd w:val="0"/>
        <w:snapToGrid w:val="0"/>
        <w:spacing w:line="360" w:lineRule="auto"/>
        <w:jc w:val="center"/>
        <w:rPr>
          <w:rFonts w:hAnsi="宋体" w:cs="宋体"/>
          <w:b/>
          <w:color w:val="auto"/>
          <w:sz w:val="24"/>
          <w:highlight w:val="none"/>
        </w:rPr>
      </w:pPr>
      <w:r>
        <w:rPr>
          <w:rFonts w:hint="eastAsia" w:hAnsi="宋体" w:cs="宋体"/>
          <w:b/>
          <w:color w:val="auto"/>
          <w:sz w:val="24"/>
          <w:highlight w:val="none"/>
        </w:rPr>
        <w:t>（1）法定代表人身份证明</w:t>
      </w:r>
    </w:p>
    <w:p>
      <w:pPr>
        <w:autoSpaceDE w:val="0"/>
        <w:autoSpaceDN w:val="0"/>
        <w:adjustRightInd w:val="0"/>
        <w:snapToGrid w:val="0"/>
        <w:spacing w:before="120" w:beforeLines="50" w:line="360" w:lineRule="auto"/>
        <w:ind w:firstLine="480" w:firstLineChars="200"/>
        <w:jc w:val="left"/>
        <w:rPr>
          <w:rFonts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pPr>
        <w:autoSpaceDE w:val="0"/>
        <w:autoSpaceDN w:val="0"/>
        <w:adjustRightInd w:val="0"/>
        <w:snapToGrid w:val="0"/>
        <w:spacing w:before="120" w:beforeLines="50" w:line="360" w:lineRule="auto"/>
        <w:ind w:firstLine="480" w:firstLineChars="200"/>
        <w:jc w:val="left"/>
        <w:rPr>
          <w:rFonts w:hAnsi="宋体" w:cs="宋体"/>
          <w:color w:val="auto"/>
          <w:sz w:val="24"/>
          <w:highlight w:val="none"/>
        </w:rPr>
      </w:pPr>
      <w:r>
        <w:rPr>
          <w:rFonts w:hint="eastAsia" w:hAnsi="宋体" w:cs="宋体"/>
          <w:color w:val="auto"/>
          <w:sz w:val="24"/>
          <w:highlight w:val="none"/>
        </w:rPr>
        <w:t>统一社会信用代码：</w:t>
      </w:r>
      <w:r>
        <w:rPr>
          <w:rFonts w:hint="eastAsia" w:hAnsi="宋体" w:cs="宋体"/>
          <w:color w:val="auto"/>
          <w:sz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Ansi="宋体" w:cs="宋体"/>
          <w:color w:val="auto"/>
          <w:sz w:val="24"/>
          <w:highlight w:val="none"/>
          <w:u w:val="single"/>
        </w:rPr>
      </w:pPr>
      <w:r>
        <w:rPr>
          <w:rFonts w:hint="eastAsia" w:hAnsi="宋体" w:cs="宋体"/>
          <w:color w:val="auto"/>
          <w:sz w:val="24"/>
          <w:highlight w:val="none"/>
        </w:rPr>
        <w:t>注册地址：</w:t>
      </w:r>
      <w:r>
        <w:rPr>
          <w:rFonts w:hint="eastAsia" w:hAnsi="宋体" w:cs="宋体"/>
          <w:color w:val="auto"/>
          <w:sz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Ansi="宋体" w:cs="宋体"/>
          <w:color w:val="auto"/>
          <w:sz w:val="24"/>
          <w:highlight w:val="none"/>
        </w:rPr>
      </w:pPr>
      <w:r>
        <w:rPr>
          <w:rFonts w:hint="eastAsia" w:hAnsi="宋体" w:cs="宋体"/>
          <w:color w:val="auto"/>
          <w:sz w:val="24"/>
          <w:highlight w:val="none"/>
        </w:rPr>
        <w:t>成立时间：</w:t>
      </w:r>
      <w:r>
        <w:rPr>
          <w:rFonts w:hint="eastAsia" w:hAnsi="宋体" w:cs="宋体"/>
          <w:color w:val="auto"/>
          <w:sz w:val="24"/>
          <w:highlight w:val="none"/>
          <w:u w:val="single"/>
        </w:rPr>
        <w:t xml:space="preserve">  </w:t>
      </w:r>
      <w:r>
        <w:rPr>
          <w:rFonts w:hint="eastAsia" w:hAnsi="宋体" w:cs="宋体"/>
          <w:color w:val="auto"/>
          <w:sz w:val="24"/>
          <w:highlight w:val="none"/>
        </w:rPr>
        <w:t xml:space="preserve">年 </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日；经营期限：</w:t>
      </w:r>
      <w:r>
        <w:rPr>
          <w:rFonts w:hint="eastAsia" w:hAnsi="宋体" w:cs="宋体"/>
          <w:color w:val="auto"/>
          <w:sz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Ansi="宋体" w:cs="宋体"/>
          <w:color w:val="auto"/>
          <w:sz w:val="24"/>
          <w:highlight w:val="none"/>
          <w:u w:val="single"/>
        </w:rPr>
      </w:pPr>
      <w:r>
        <w:rPr>
          <w:rFonts w:hint="eastAsia" w:hAnsi="宋体" w:cs="宋体"/>
          <w:color w:val="auto"/>
          <w:sz w:val="24"/>
          <w:highlight w:val="none"/>
        </w:rPr>
        <w:t>经营范围：主营：</w:t>
      </w:r>
      <w:r>
        <w:rPr>
          <w:rFonts w:hint="eastAsia" w:hAnsi="宋体" w:cs="宋体"/>
          <w:color w:val="auto"/>
          <w:sz w:val="24"/>
          <w:highlight w:val="none"/>
          <w:u w:val="single"/>
        </w:rPr>
        <w:t xml:space="preserve">              </w:t>
      </w:r>
      <w:r>
        <w:rPr>
          <w:rFonts w:hint="eastAsia" w:hAnsi="宋体" w:cs="宋体"/>
          <w:color w:val="auto"/>
          <w:sz w:val="24"/>
          <w:highlight w:val="none"/>
        </w:rPr>
        <w:t xml:space="preserve"> ；兼营：</w:t>
      </w:r>
      <w:r>
        <w:rPr>
          <w:rFonts w:hint="eastAsia" w:hAnsi="宋体" w:cs="宋体"/>
          <w:color w:val="auto"/>
          <w:sz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Ansi="宋体" w:cs="宋体"/>
          <w:color w:val="auto"/>
          <w:sz w:val="24"/>
          <w:highlight w:val="none"/>
        </w:rPr>
      </w:pPr>
      <w:r>
        <w:rPr>
          <w:rFonts w:hint="eastAsia" w:hAnsi="宋体" w:cs="宋体"/>
          <w:color w:val="auto"/>
          <w:sz w:val="24"/>
          <w:highlight w:val="none"/>
        </w:rPr>
        <w:t>姓名：</w:t>
      </w:r>
      <w:r>
        <w:rPr>
          <w:rFonts w:hint="eastAsia" w:hAnsi="宋体" w:cs="宋体"/>
          <w:color w:val="auto"/>
          <w:sz w:val="24"/>
          <w:highlight w:val="none"/>
          <w:u w:val="single"/>
        </w:rPr>
        <w:t xml:space="preserve">      </w:t>
      </w:r>
      <w:r>
        <w:rPr>
          <w:rFonts w:hint="eastAsia" w:hAnsi="宋体" w:cs="宋体"/>
          <w:color w:val="auto"/>
          <w:sz w:val="24"/>
          <w:highlight w:val="none"/>
        </w:rPr>
        <w:t xml:space="preserve"> 性别：</w:t>
      </w:r>
      <w:r>
        <w:rPr>
          <w:rFonts w:hint="eastAsia" w:hAnsi="宋体" w:cs="宋体"/>
          <w:color w:val="auto"/>
          <w:sz w:val="24"/>
          <w:highlight w:val="none"/>
          <w:u w:val="single"/>
        </w:rPr>
        <w:t xml:space="preserve">   </w:t>
      </w:r>
      <w:r>
        <w:rPr>
          <w:rFonts w:hint="eastAsia" w:hAnsi="宋体" w:cs="宋体"/>
          <w:color w:val="auto"/>
          <w:sz w:val="24"/>
          <w:highlight w:val="none"/>
        </w:rPr>
        <w:t xml:space="preserve"> 年龄：</w:t>
      </w:r>
      <w:r>
        <w:rPr>
          <w:rFonts w:hint="eastAsia" w:hAnsi="宋体" w:cs="宋体"/>
          <w:color w:val="auto"/>
          <w:sz w:val="24"/>
          <w:highlight w:val="none"/>
          <w:u w:val="single"/>
        </w:rPr>
        <w:t xml:space="preserve">    </w:t>
      </w:r>
      <w:r>
        <w:rPr>
          <w:rFonts w:hint="eastAsia" w:hAnsi="宋体" w:cs="宋体"/>
          <w:color w:val="auto"/>
          <w:sz w:val="24"/>
          <w:highlight w:val="none"/>
        </w:rPr>
        <w:t xml:space="preserve"> 系</w:t>
      </w:r>
      <w:r>
        <w:rPr>
          <w:rFonts w:hint="eastAsia" w:hAnsi="宋体" w:cs="宋体"/>
          <w:color w:val="auto"/>
          <w:sz w:val="24"/>
          <w:highlight w:val="none"/>
          <w:u w:val="single"/>
        </w:rPr>
        <w:t xml:space="preserve">            </w:t>
      </w:r>
      <w:r>
        <w:rPr>
          <w:rFonts w:hint="eastAsia" w:hAnsi="宋体" w:cs="宋体"/>
          <w:color w:val="auto"/>
          <w:sz w:val="24"/>
          <w:highlight w:val="none"/>
        </w:rPr>
        <w:t>（供应商名称）的法定代表人。</w:t>
      </w:r>
    </w:p>
    <w:p>
      <w:pPr>
        <w:autoSpaceDE w:val="0"/>
        <w:autoSpaceDN w:val="0"/>
        <w:adjustRightInd w:val="0"/>
        <w:snapToGrid w:val="0"/>
        <w:spacing w:before="120" w:beforeLines="50" w:line="360" w:lineRule="auto"/>
        <w:ind w:firstLine="480" w:firstLineChars="200"/>
        <w:jc w:val="left"/>
        <w:rPr>
          <w:rFonts w:hAnsi="宋体" w:cs="宋体"/>
          <w:color w:val="auto"/>
          <w:sz w:val="24"/>
          <w:highlight w:val="none"/>
        </w:rPr>
      </w:pPr>
      <w:r>
        <w:rPr>
          <w:rFonts w:hint="eastAsia" w:hAnsi="宋体" w:cs="宋体"/>
          <w:color w:val="auto"/>
          <w:sz w:val="24"/>
          <w:highlight w:val="none"/>
        </w:rPr>
        <w:t>特此证明。</w:t>
      </w:r>
    </w:p>
    <w:p>
      <w:pPr>
        <w:autoSpaceDE w:val="0"/>
        <w:autoSpaceDN w:val="0"/>
        <w:adjustRightInd w:val="0"/>
        <w:snapToGrid w:val="0"/>
        <w:spacing w:before="120" w:beforeLines="50" w:line="360" w:lineRule="auto"/>
        <w:ind w:firstLine="480" w:firstLineChars="200"/>
        <w:jc w:val="left"/>
        <w:rPr>
          <w:rFonts w:hAnsi="宋体" w:cs="宋体"/>
          <w:color w:val="auto"/>
          <w:sz w:val="24"/>
          <w:highlight w:val="none"/>
        </w:rPr>
      </w:pPr>
      <w:r>
        <w:rPr>
          <w:rFonts w:hint="eastAsia" w:hAnsi="宋体" w:cs="宋体"/>
          <w:color w:val="auto"/>
          <w:sz w:val="24"/>
          <w:highlight w:val="none"/>
        </w:rPr>
        <w:t>附：法定代表人身份证复印件</w:t>
      </w:r>
    </w:p>
    <w:tbl>
      <w:tblPr>
        <w:tblStyle w:val="36"/>
        <w:tblW w:w="0" w:type="auto"/>
        <w:tblInd w:w="540" w:type="dxa"/>
        <w:tblLayout w:type="fixed"/>
        <w:tblCellMar>
          <w:top w:w="0" w:type="dxa"/>
          <w:left w:w="108" w:type="dxa"/>
          <w:bottom w:w="0" w:type="dxa"/>
          <w:right w:w="108" w:type="dxa"/>
        </w:tblCellMar>
      </w:tblPr>
      <w:tblGrid>
        <w:gridCol w:w="7996"/>
      </w:tblGrid>
      <w:tr>
        <w:tblPrEx>
          <w:tblCellMar>
            <w:top w:w="0" w:type="dxa"/>
            <w:left w:w="108" w:type="dxa"/>
            <w:bottom w:w="0" w:type="dxa"/>
            <w:right w:w="108" w:type="dxa"/>
          </w:tblCellMar>
        </w:tblPrEx>
        <w:trPr>
          <w:trHeight w:val="2818" w:hRule="atLeast"/>
        </w:trPr>
        <w:tc>
          <w:tcPr>
            <w:tcW w:w="799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color w:val="auto"/>
                <w:sz w:val="24"/>
                <w:highlight w:val="none"/>
                <w:lang w:val="zh-CN"/>
              </w:rPr>
            </w:pPr>
            <w:r>
              <w:rPr>
                <w:rFonts w:hint="eastAsia" w:hAnsi="宋体" w:cs="宋体"/>
                <w:color w:val="auto"/>
                <w:sz w:val="24"/>
                <w:highlight w:val="none"/>
                <w:lang w:val="zh-CN"/>
              </w:rPr>
              <w:t>法定代表人身份证</w:t>
            </w:r>
          </w:p>
          <w:p>
            <w:pPr>
              <w:spacing w:line="360" w:lineRule="auto"/>
              <w:jc w:val="center"/>
              <w:rPr>
                <w:rFonts w:hAnsi="宋体" w:cs="宋体"/>
                <w:color w:val="auto"/>
                <w:sz w:val="24"/>
                <w:highlight w:val="none"/>
                <w:u w:val="single"/>
              </w:rPr>
            </w:pPr>
            <w:r>
              <w:rPr>
                <w:rFonts w:hint="eastAsia" w:hAnsi="宋体" w:cs="宋体"/>
                <w:color w:val="auto"/>
                <w:sz w:val="24"/>
                <w:highlight w:val="none"/>
                <w:lang w:val="zh-CN"/>
              </w:rPr>
              <w:t>正反面复印件</w:t>
            </w:r>
          </w:p>
        </w:tc>
      </w:tr>
    </w:tbl>
    <w:p>
      <w:pPr>
        <w:autoSpaceDE w:val="0"/>
        <w:autoSpaceDN w:val="0"/>
        <w:adjustRightInd w:val="0"/>
        <w:snapToGrid w:val="0"/>
        <w:spacing w:before="120" w:beforeLines="50" w:line="360" w:lineRule="auto"/>
        <w:ind w:firstLine="480" w:firstLineChars="200"/>
        <w:jc w:val="left"/>
        <w:rPr>
          <w:rFonts w:hAnsi="宋体" w:cs="宋体"/>
          <w:color w:val="auto"/>
          <w:sz w:val="24"/>
          <w:highlight w:val="none"/>
        </w:rPr>
      </w:pPr>
      <w:r>
        <w:rPr>
          <w:rFonts w:hint="eastAsia" w:hAnsi="宋体" w:cs="宋体"/>
          <w:color w:val="auto"/>
          <w:sz w:val="24"/>
          <w:highlight w:val="none"/>
        </w:rPr>
        <w:t>说明：本表仅限法定代表人参加</w:t>
      </w:r>
      <w:r>
        <w:rPr>
          <w:rFonts w:hint="eastAsia" w:cs="宋体"/>
          <w:bCs/>
          <w:color w:val="auto"/>
          <w:sz w:val="24"/>
          <w:highlight w:val="none"/>
        </w:rPr>
        <w:t>谈判</w:t>
      </w:r>
      <w:r>
        <w:rPr>
          <w:rFonts w:hint="eastAsia" w:hAnsi="宋体" w:cs="宋体"/>
          <w:color w:val="auto"/>
          <w:sz w:val="24"/>
          <w:highlight w:val="none"/>
        </w:rPr>
        <w:t>时提供。</w:t>
      </w:r>
    </w:p>
    <w:p>
      <w:pPr>
        <w:spacing w:line="360" w:lineRule="auto"/>
        <w:ind w:firstLine="1920" w:firstLineChars="800"/>
        <w:rPr>
          <w:rFonts w:hAnsi="宋体" w:cs="宋体"/>
          <w:color w:val="auto"/>
          <w:sz w:val="24"/>
          <w:highlight w:val="none"/>
        </w:rPr>
      </w:pPr>
    </w:p>
    <w:p>
      <w:pPr>
        <w:spacing w:line="360" w:lineRule="auto"/>
        <w:ind w:firstLine="3840" w:firstLineChars="1600"/>
        <w:rPr>
          <w:rFonts w:hAnsi="宋体" w:cs="宋体"/>
          <w:color w:val="auto"/>
          <w:sz w:val="24"/>
          <w:highlight w:val="none"/>
        </w:rPr>
      </w:pPr>
      <w:r>
        <w:rPr>
          <w:rFonts w:hint="eastAsia" w:hAnsi="宋体" w:cs="宋体"/>
          <w:color w:val="auto"/>
          <w:sz w:val="24"/>
          <w:highlight w:val="none"/>
        </w:rPr>
        <w:t>供应商（公章）：</w:t>
      </w:r>
      <w:r>
        <w:rPr>
          <w:rFonts w:hint="eastAsia" w:hAnsi="宋体" w:cs="宋体"/>
          <w:color w:val="auto"/>
          <w:sz w:val="24"/>
          <w:highlight w:val="none"/>
          <w:u w:val="single"/>
        </w:rPr>
        <w:t xml:space="preserve">                       </w:t>
      </w:r>
    </w:p>
    <w:p>
      <w:pPr>
        <w:adjustRightInd w:val="0"/>
        <w:snapToGrid w:val="0"/>
        <w:spacing w:line="360" w:lineRule="auto"/>
        <w:ind w:firstLine="3840" w:firstLineChars="1600"/>
        <w:rPr>
          <w:rFonts w:hAnsi="宋体" w:cs="宋体"/>
          <w:color w:val="auto"/>
          <w:sz w:val="24"/>
          <w:highlight w:val="none"/>
          <w:u w:val="single"/>
        </w:rPr>
      </w:pPr>
      <w:r>
        <w:rPr>
          <w:rFonts w:hint="eastAsia" w:hAnsi="宋体" w:cs="宋体"/>
          <w:color w:val="auto"/>
          <w:sz w:val="24"/>
          <w:highlight w:val="none"/>
        </w:rPr>
        <w:t>日   期：</w:t>
      </w:r>
      <w:r>
        <w:rPr>
          <w:rFonts w:hint="eastAsia" w:hAnsi="宋体" w:cs="宋体"/>
          <w:color w:val="auto"/>
          <w:sz w:val="24"/>
          <w:highlight w:val="none"/>
          <w:u w:val="single"/>
        </w:rPr>
        <w:t xml:space="preserve">                              </w:t>
      </w:r>
    </w:p>
    <w:p>
      <w:pPr>
        <w:rPr>
          <w:rFonts w:hAnsi="宋体" w:cs="宋体"/>
          <w:color w:val="auto"/>
          <w:sz w:val="24"/>
          <w:highlight w:val="none"/>
          <w:u w:val="single"/>
        </w:rPr>
      </w:pPr>
    </w:p>
    <w:p>
      <w:pPr>
        <w:adjustRightInd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color w:val="auto"/>
          <w:sz w:val="24"/>
          <w:highlight w:val="none"/>
        </w:rPr>
        <w:t>（2）法定代表人授权书</w:t>
      </w:r>
    </w:p>
    <w:p>
      <w:pPr>
        <w:pStyle w:val="127"/>
        <w:adjustRightInd w:val="0"/>
        <w:snapToGrid w:val="0"/>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陕西明正招标有限公司：</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lang w:val="zh-CN"/>
        </w:rPr>
        <w:t>注册于</w:t>
      </w:r>
      <w:r>
        <w:rPr>
          <w:rFonts w:hint="eastAsia" w:hAnsi="宋体" w:cs="宋体"/>
          <w:color w:val="auto"/>
          <w:sz w:val="24"/>
          <w:highlight w:val="none"/>
          <w:u w:val="single"/>
          <w:lang w:val="zh-CN"/>
        </w:rPr>
        <w:t xml:space="preserve">      （工商行政管理局名称）</w:t>
      </w:r>
      <w:r>
        <w:rPr>
          <w:rFonts w:hint="eastAsia" w:hAnsi="宋体" w:cs="宋体"/>
          <w:color w:val="auto"/>
          <w:sz w:val="24"/>
          <w:highlight w:val="none"/>
          <w:lang w:val="zh-CN"/>
        </w:rPr>
        <w:t>之</w:t>
      </w:r>
      <w:r>
        <w:rPr>
          <w:rFonts w:hint="eastAsia" w:hAnsi="宋体" w:cs="宋体"/>
          <w:color w:val="auto"/>
          <w:sz w:val="24"/>
          <w:highlight w:val="none"/>
          <w:u w:val="single"/>
          <w:lang w:val="zh-CN"/>
        </w:rPr>
        <w:t xml:space="preserve">     （</w:t>
      </w:r>
      <w:r>
        <w:rPr>
          <w:rFonts w:hint="eastAsia" w:hAnsi="宋体" w:cs="宋体"/>
          <w:color w:val="auto"/>
          <w:sz w:val="24"/>
          <w:highlight w:val="none"/>
          <w:u w:val="single"/>
        </w:rPr>
        <w:t>供应商</w:t>
      </w:r>
      <w:r>
        <w:rPr>
          <w:rFonts w:hint="eastAsia" w:hAnsi="宋体" w:cs="宋体"/>
          <w:color w:val="auto"/>
          <w:sz w:val="24"/>
          <w:highlight w:val="none"/>
          <w:u w:val="single"/>
          <w:lang w:val="zh-CN"/>
        </w:rPr>
        <w:t>全称）</w:t>
      </w:r>
      <w:r>
        <w:rPr>
          <w:rFonts w:hint="eastAsia" w:hAnsi="宋体" w:cs="宋体"/>
          <w:color w:val="auto"/>
          <w:sz w:val="24"/>
          <w:highlight w:val="none"/>
          <w:lang w:val="zh-CN"/>
        </w:rPr>
        <w:t>的法定代表人</w:t>
      </w:r>
      <w:r>
        <w:rPr>
          <w:rFonts w:hint="eastAsia" w:hAnsi="宋体" w:cs="宋体"/>
          <w:color w:val="auto"/>
          <w:sz w:val="24"/>
          <w:highlight w:val="none"/>
          <w:u w:val="single"/>
          <w:lang w:val="zh-CN"/>
        </w:rPr>
        <w:t xml:space="preserve">      （姓名）</w:t>
      </w:r>
      <w:r>
        <w:rPr>
          <w:rFonts w:hint="eastAsia" w:hAnsi="宋体" w:cs="宋体"/>
          <w:color w:val="auto"/>
          <w:sz w:val="24"/>
          <w:highlight w:val="none"/>
          <w:lang w:val="zh-CN"/>
        </w:rPr>
        <w:t>授权</w:t>
      </w:r>
      <w:r>
        <w:rPr>
          <w:rFonts w:hint="eastAsia" w:hAnsi="宋体" w:cs="宋体"/>
          <w:color w:val="auto"/>
          <w:sz w:val="24"/>
          <w:highlight w:val="none"/>
          <w:u w:val="single"/>
          <w:lang w:val="zh-CN"/>
        </w:rPr>
        <w:t xml:space="preserve">     （被授权人姓名）</w:t>
      </w:r>
      <w:r>
        <w:rPr>
          <w:rFonts w:hint="eastAsia" w:hAnsi="宋体" w:cs="宋体"/>
          <w:color w:val="auto"/>
          <w:sz w:val="24"/>
          <w:highlight w:val="none"/>
        </w:rPr>
        <w:t>为我方合法授权代表。代理人根据授权，以我方名义签署、澄清、说明、递交、撤回、修改</w:t>
      </w:r>
      <w:r>
        <w:rPr>
          <w:rFonts w:hint="eastAsia" w:hAnsi="宋体" w:cs="宋体"/>
          <w:color w:val="auto"/>
          <w:sz w:val="24"/>
          <w:highlight w:val="none"/>
          <w:u w:val="single"/>
        </w:rPr>
        <w:t xml:space="preserve">     （项目名称）           </w:t>
      </w:r>
      <w:r>
        <w:rPr>
          <w:rFonts w:hint="eastAsia" w:cs="宋体"/>
          <w:bCs/>
          <w:color w:val="auto"/>
          <w:sz w:val="24"/>
          <w:highlight w:val="none"/>
        </w:rPr>
        <w:t>谈判</w:t>
      </w:r>
      <w:r>
        <w:rPr>
          <w:rFonts w:hint="eastAsia" w:hAnsi="宋体" w:cs="宋体"/>
          <w:color w:val="auto"/>
          <w:sz w:val="24"/>
          <w:highlight w:val="none"/>
        </w:rPr>
        <w:t>响应文件、签订合同和处理有关事宜，其法律后果由我方承担。</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代理人无转委托权。</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本授权书有效期为</w:t>
      </w:r>
      <w:r>
        <w:rPr>
          <w:rFonts w:hint="eastAsia" w:cs="宋体"/>
          <w:bCs/>
          <w:color w:val="auto"/>
          <w:sz w:val="24"/>
          <w:highlight w:val="none"/>
        </w:rPr>
        <w:t>谈判</w:t>
      </w:r>
      <w:r>
        <w:rPr>
          <w:rFonts w:hint="eastAsia" w:hAnsi="宋体" w:cs="宋体"/>
          <w:color w:val="auto"/>
          <w:sz w:val="24"/>
          <w:highlight w:val="none"/>
        </w:rPr>
        <w:t>标截止之日起不少于</w:t>
      </w:r>
      <w:r>
        <w:rPr>
          <w:rFonts w:hint="eastAsia" w:hAnsi="宋体" w:cs="宋体"/>
          <w:color w:val="auto"/>
          <w:sz w:val="24"/>
          <w:highlight w:val="none"/>
          <w:u w:val="single"/>
        </w:rPr>
        <w:t xml:space="preserve">      </w:t>
      </w:r>
      <w:r>
        <w:rPr>
          <w:rFonts w:hint="eastAsia" w:hAnsi="宋体" w:cs="宋体"/>
          <w:color w:val="auto"/>
          <w:sz w:val="24"/>
          <w:highlight w:val="none"/>
        </w:rPr>
        <w:t>个日历日。</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说明：本授权有效期与</w:t>
      </w:r>
      <w:r>
        <w:rPr>
          <w:rFonts w:hint="eastAsia" w:cs="宋体"/>
          <w:bCs/>
          <w:color w:val="auto"/>
          <w:sz w:val="24"/>
          <w:highlight w:val="none"/>
        </w:rPr>
        <w:t>谈判</w:t>
      </w:r>
      <w:r>
        <w:rPr>
          <w:rFonts w:hint="eastAsia" w:hAnsi="宋体" w:cs="宋体"/>
          <w:color w:val="auto"/>
          <w:sz w:val="24"/>
          <w:highlight w:val="none"/>
        </w:rPr>
        <w:t>响应文件有效期保持一致（自谈判截止之日起不少于90天）。</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（盖章） </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法定代表人：</w:t>
      </w:r>
      <w:r>
        <w:rPr>
          <w:rFonts w:hint="eastAsia" w:hAnsi="宋体" w:cs="宋体"/>
          <w:color w:val="auto"/>
          <w:sz w:val="24"/>
          <w:highlight w:val="none"/>
          <w:u w:val="single"/>
        </w:rPr>
        <w:t xml:space="preserve">                          </w:t>
      </w:r>
      <w:r>
        <w:rPr>
          <w:rFonts w:hint="eastAsia" w:hAnsi="宋体" w:cs="宋体"/>
          <w:color w:val="auto"/>
          <w:sz w:val="24"/>
          <w:highlight w:val="none"/>
        </w:rPr>
        <w:t>（签字）</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身份证号：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授权代表：</w:t>
      </w:r>
      <w:r>
        <w:rPr>
          <w:rFonts w:hint="eastAsia" w:hAnsi="宋体" w:cs="宋体"/>
          <w:color w:val="auto"/>
          <w:sz w:val="24"/>
          <w:highlight w:val="none"/>
          <w:u w:val="single"/>
        </w:rPr>
        <w:t xml:space="preserve">                            </w:t>
      </w:r>
      <w:r>
        <w:rPr>
          <w:rFonts w:hint="eastAsia" w:hAnsi="宋体" w:cs="宋体"/>
          <w:color w:val="auto"/>
          <w:sz w:val="24"/>
          <w:highlight w:val="none"/>
        </w:rPr>
        <w:t>（签字）</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身份证号：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pPr>
        <w:spacing w:line="360" w:lineRule="auto"/>
        <w:ind w:firstLine="600" w:firstLineChars="250"/>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tbl>
      <w:tblPr>
        <w:tblStyle w:val="36"/>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0"/>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4170" w:type="dxa"/>
            <w:vAlign w:val="center"/>
          </w:tcPr>
          <w:p>
            <w:pPr>
              <w:jc w:val="center"/>
              <w:rPr>
                <w:rFonts w:hAnsi="宋体" w:cs="宋体"/>
                <w:color w:val="auto"/>
                <w:sz w:val="24"/>
                <w:highlight w:val="none"/>
                <w:lang w:val="zh-CN"/>
              </w:rPr>
            </w:pPr>
            <w:r>
              <w:rPr>
                <w:rFonts w:hint="eastAsia" w:hAnsi="宋体" w:cs="宋体"/>
                <w:color w:val="auto"/>
                <w:sz w:val="24"/>
                <w:highlight w:val="none"/>
                <w:lang w:val="zh-CN"/>
              </w:rPr>
              <w:t>法定代表人身份证复印件</w:t>
            </w:r>
          </w:p>
          <w:p>
            <w:pPr>
              <w:jc w:val="center"/>
              <w:rPr>
                <w:rFonts w:hAnsi="宋体" w:cs="宋体"/>
                <w:bCs/>
                <w:color w:val="auto"/>
                <w:sz w:val="24"/>
                <w:highlight w:val="none"/>
              </w:rPr>
            </w:pPr>
            <w:r>
              <w:rPr>
                <w:rFonts w:hint="eastAsia" w:hAnsi="宋体" w:cs="宋体"/>
                <w:color w:val="auto"/>
                <w:sz w:val="24"/>
                <w:highlight w:val="none"/>
                <w:lang w:val="zh-CN"/>
              </w:rPr>
              <w:t>（正反两面）</w:t>
            </w:r>
          </w:p>
        </w:tc>
        <w:tc>
          <w:tcPr>
            <w:tcW w:w="4170" w:type="dxa"/>
            <w:vAlign w:val="center"/>
          </w:tcPr>
          <w:p>
            <w:pPr>
              <w:jc w:val="center"/>
              <w:rPr>
                <w:rFonts w:hAnsi="宋体" w:cs="宋体"/>
                <w:color w:val="auto"/>
                <w:sz w:val="24"/>
                <w:highlight w:val="none"/>
                <w:lang w:val="zh-CN"/>
              </w:rPr>
            </w:pPr>
            <w:r>
              <w:rPr>
                <w:rFonts w:hint="eastAsia" w:hAnsi="宋体" w:cs="宋体"/>
                <w:color w:val="auto"/>
                <w:sz w:val="24"/>
                <w:highlight w:val="none"/>
                <w:lang w:val="zh-CN"/>
              </w:rPr>
              <w:t>授权代表身份证复印件</w:t>
            </w:r>
          </w:p>
          <w:p>
            <w:pPr>
              <w:widowControl/>
              <w:jc w:val="center"/>
              <w:rPr>
                <w:rFonts w:hAnsi="宋体" w:cs="宋体"/>
                <w:bCs/>
                <w:color w:val="auto"/>
                <w:sz w:val="24"/>
                <w:highlight w:val="none"/>
              </w:rPr>
            </w:pPr>
            <w:r>
              <w:rPr>
                <w:rFonts w:hint="eastAsia" w:hAnsi="宋体" w:cs="宋体"/>
                <w:color w:val="auto"/>
                <w:sz w:val="24"/>
                <w:highlight w:val="none"/>
                <w:lang w:val="zh-CN"/>
              </w:rPr>
              <w:t>（正反两面）</w:t>
            </w:r>
          </w:p>
        </w:tc>
      </w:tr>
    </w:tbl>
    <w:p>
      <w:pPr>
        <w:pStyle w:val="127"/>
        <w:spacing w:line="400" w:lineRule="exact"/>
        <w:rPr>
          <w:rFonts w:ascii="宋体" w:hAnsi="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color w:val="auto"/>
          <w:sz w:val="24"/>
          <w:szCs w:val="24"/>
          <w:highlight w:val="none"/>
        </w:rPr>
        <w:t>附件2：</w:t>
      </w:r>
    </w:p>
    <w:p>
      <w:pPr>
        <w:pStyle w:val="127"/>
        <w:spacing w:line="400" w:lineRule="exact"/>
        <w:jc w:val="center"/>
        <w:rPr>
          <w:rFonts w:ascii="宋体" w:hAnsi="宋体" w:cs="宋体"/>
          <w:b/>
          <w:color w:val="auto"/>
          <w:sz w:val="24"/>
          <w:szCs w:val="24"/>
          <w:highlight w:val="none"/>
        </w:rPr>
      </w:pPr>
    </w:p>
    <w:p>
      <w:pPr>
        <w:pStyle w:val="127"/>
        <w:spacing w:line="400" w:lineRule="exact"/>
        <w:jc w:val="center"/>
        <w:rPr>
          <w:rFonts w:ascii="宋体" w:hAnsi="宋体" w:cs="宋体"/>
          <w:b/>
          <w:color w:val="auto"/>
          <w:sz w:val="24"/>
          <w:szCs w:val="24"/>
          <w:highlight w:val="none"/>
        </w:rPr>
      </w:pPr>
    </w:p>
    <w:p>
      <w:pPr>
        <w:pStyle w:val="127"/>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具备履行合同所必需的设备和专业技术能力的承诺函</w:t>
      </w:r>
    </w:p>
    <w:p>
      <w:pPr>
        <w:pStyle w:val="127"/>
        <w:spacing w:line="400" w:lineRule="exact"/>
        <w:rPr>
          <w:rFonts w:ascii="宋体" w:hAnsi="宋体" w:cs="宋体"/>
          <w:color w:val="auto"/>
          <w:sz w:val="24"/>
          <w:szCs w:val="24"/>
          <w:highlight w:val="none"/>
          <w:u w:val="single"/>
        </w:rPr>
      </w:pPr>
    </w:p>
    <w:p>
      <w:pPr>
        <w:pStyle w:val="127"/>
        <w:spacing w:line="400" w:lineRule="exact"/>
        <w:rPr>
          <w:rFonts w:ascii="宋体" w:hAnsi="宋体" w:cs="宋体"/>
          <w:color w:val="auto"/>
          <w:sz w:val="24"/>
          <w:szCs w:val="24"/>
          <w:highlight w:val="none"/>
          <w:u w:val="single"/>
        </w:rPr>
      </w:pPr>
    </w:p>
    <w:p>
      <w:pPr>
        <w:pStyle w:val="127"/>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（采购人名称）    ：</w:t>
      </w:r>
    </w:p>
    <w:p>
      <w:pPr>
        <w:pStyle w:val="127"/>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（供应商名称）    </w:t>
      </w:r>
      <w:r>
        <w:rPr>
          <w:rFonts w:hint="eastAsia" w:ascii="宋体" w:hAnsi="宋体" w:cs="宋体"/>
          <w:color w:val="auto"/>
          <w:sz w:val="24"/>
          <w:szCs w:val="24"/>
          <w:highlight w:val="none"/>
        </w:rPr>
        <w:t xml:space="preserve"> 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日在中华人民共和国境内</w:t>
      </w:r>
      <w:r>
        <w:rPr>
          <w:rFonts w:hint="eastAsia" w:ascii="宋体" w:hAnsi="宋体" w:cs="宋体"/>
          <w:color w:val="auto"/>
          <w:sz w:val="24"/>
          <w:szCs w:val="24"/>
          <w:highlight w:val="none"/>
          <w:u w:val="single"/>
        </w:rPr>
        <w:t xml:space="preserve">               （详细注册地址）     </w:t>
      </w:r>
      <w:r>
        <w:rPr>
          <w:rFonts w:hint="eastAsia" w:ascii="宋体" w:hAnsi="宋体" w:cs="宋体"/>
          <w:color w:val="auto"/>
          <w:sz w:val="24"/>
          <w:szCs w:val="24"/>
          <w:highlight w:val="none"/>
        </w:rPr>
        <w:t>合法注册并经营，公司主营业务为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，营业（生产经营）面积为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，现有员工数量为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，其中与履行本合同相关的专业技术人员有（</w:t>
      </w:r>
      <w:r>
        <w:rPr>
          <w:rFonts w:hint="eastAsia" w:ascii="宋体" w:hAnsi="宋体" w:cs="宋体"/>
          <w:color w:val="auto"/>
          <w:sz w:val="24"/>
          <w:szCs w:val="24"/>
          <w:highlight w:val="none"/>
          <w:u w:val="single"/>
        </w:rPr>
        <w:t xml:space="preserve">             专业能力、数量        </w:t>
      </w:r>
      <w:r>
        <w:rPr>
          <w:rFonts w:hint="eastAsia" w:ascii="宋体" w:hAnsi="宋体" w:cs="宋体"/>
          <w:color w:val="auto"/>
          <w:sz w:val="24"/>
          <w:szCs w:val="24"/>
          <w:highlight w:val="none"/>
        </w:rPr>
        <w:t>），本公司郑重承诺，具有履行本合同所必需的设备和专业技术能力。</w:t>
      </w:r>
    </w:p>
    <w:p>
      <w:pPr>
        <w:pStyle w:val="127"/>
        <w:adjustRightInd w:val="0"/>
        <w:snapToGrid w:val="0"/>
        <w:spacing w:line="360" w:lineRule="auto"/>
        <w:ind w:firstLine="480" w:firstLineChars="200"/>
        <w:rPr>
          <w:rFonts w:ascii="宋体" w:hAnsi="宋体" w:cs="宋体"/>
          <w:color w:val="auto"/>
          <w:sz w:val="24"/>
          <w:szCs w:val="24"/>
          <w:highlight w:val="none"/>
        </w:rPr>
      </w:pPr>
    </w:p>
    <w:p>
      <w:pPr>
        <w:pStyle w:val="127"/>
        <w:spacing w:line="400" w:lineRule="exact"/>
        <w:rPr>
          <w:rFonts w:ascii="宋体" w:hAnsi="宋体" w:cs="宋体"/>
          <w:color w:val="auto"/>
          <w:sz w:val="24"/>
          <w:szCs w:val="24"/>
          <w:highlight w:val="none"/>
        </w:rPr>
      </w:pPr>
    </w:p>
    <w:p>
      <w:pPr>
        <w:pStyle w:val="127"/>
        <w:spacing w:line="400" w:lineRule="exact"/>
        <w:rPr>
          <w:rFonts w:ascii="宋体" w:hAnsi="宋体" w:cs="宋体"/>
          <w:color w:val="auto"/>
          <w:sz w:val="24"/>
          <w:szCs w:val="24"/>
          <w:highlight w:val="none"/>
        </w:rPr>
      </w:pPr>
    </w:p>
    <w:p>
      <w:pPr>
        <w:pStyle w:val="127"/>
        <w:spacing w:line="360"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rPr>
        <w:t>供应商（公章）：</w:t>
      </w:r>
      <w:r>
        <w:rPr>
          <w:rFonts w:hint="eastAsia" w:ascii="宋体" w:hAnsi="宋体" w:cs="宋体"/>
          <w:color w:val="auto"/>
          <w:sz w:val="24"/>
          <w:szCs w:val="24"/>
          <w:highlight w:val="none"/>
          <w:u w:val="single"/>
        </w:rPr>
        <w:t xml:space="preserve">                           </w:t>
      </w:r>
    </w:p>
    <w:p>
      <w:pPr>
        <w:pStyle w:val="127"/>
        <w:spacing w:line="360"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法定代表人（签字）：</w:t>
      </w:r>
      <w:r>
        <w:rPr>
          <w:rFonts w:hint="eastAsia" w:ascii="宋体" w:hAnsi="宋体" w:cs="宋体"/>
          <w:color w:val="auto"/>
          <w:sz w:val="24"/>
          <w:szCs w:val="24"/>
          <w:highlight w:val="none"/>
          <w:u w:val="single"/>
        </w:rPr>
        <w:t xml:space="preserve">                       </w:t>
      </w:r>
    </w:p>
    <w:p>
      <w:pPr>
        <w:pStyle w:val="127"/>
        <w:spacing w:line="360"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pPr>
        <w:pStyle w:val="127"/>
        <w:spacing w:line="400" w:lineRule="exact"/>
        <w:rPr>
          <w:rFonts w:ascii="宋体" w:hAnsi="宋体" w:cs="宋体"/>
          <w:b/>
          <w:color w:val="auto"/>
          <w:sz w:val="24"/>
          <w:szCs w:val="24"/>
          <w:highlight w:val="none"/>
        </w:rPr>
      </w:pPr>
    </w:p>
    <w:p>
      <w:pP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color w:val="auto"/>
          <w:sz w:val="24"/>
          <w:highlight w:val="none"/>
        </w:rPr>
        <w:t>附件3：</w:t>
      </w:r>
    </w:p>
    <w:p>
      <w:pPr>
        <w:rPr>
          <w:rFonts w:hAnsi="宋体" w:cs="宋体"/>
          <w:b/>
          <w:color w:val="auto"/>
          <w:sz w:val="24"/>
          <w:highlight w:val="none"/>
        </w:rPr>
      </w:pPr>
    </w:p>
    <w:p>
      <w:pPr>
        <w:rPr>
          <w:rFonts w:hAnsi="宋体" w:cs="宋体"/>
          <w:b/>
          <w:color w:val="auto"/>
          <w:sz w:val="24"/>
          <w:highlight w:val="none"/>
        </w:rPr>
      </w:pPr>
    </w:p>
    <w:p>
      <w:pPr>
        <w:pStyle w:val="24"/>
        <w:rPr>
          <w:rFonts w:hAnsi="宋体" w:cs="宋体"/>
          <w:color w:val="auto"/>
          <w:sz w:val="24"/>
          <w:szCs w:val="24"/>
          <w:highlight w:val="none"/>
        </w:rPr>
      </w:pPr>
    </w:p>
    <w:p>
      <w:pPr>
        <w:adjustRightInd w:val="0"/>
        <w:snapToGrid w:val="0"/>
        <w:spacing w:line="360" w:lineRule="auto"/>
        <w:ind w:firstLine="482" w:firstLineChars="200"/>
        <w:jc w:val="center"/>
        <w:rPr>
          <w:rFonts w:hAnsi="宋体" w:cs="宋体"/>
          <w:b/>
          <w:color w:val="auto"/>
          <w:sz w:val="24"/>
          <w:highlight w:val="none"/>
        </w:rPr>
      </w:pPr>
      <w:r>
        <w:rPr>
          <w:rFonts w:hint="eastAsia" w:hAnsi="宋体" w:cs="宋体"/>
          <w:b/>
          <w:color w:val="auto"/>
          <w:sz w:val="24"/>
          <w:highlight w:val="none"/>
        </w:rPr>
        <w:t>参加政府采购活动前三年内无重大违法记录的承诺函</w:t>
      </w:r>
    </w:p>
    <w:p>
      <w:pPr>
        <w:pStyle w:val="2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 </w:t>
      </w:r>
    </w:p>
    <w:p>
      <w:pPr>
        <w:pStyle w:val="24"/>
        <w:spacing w:line="360" w:lineRule="auto"/>
        <w:ind w:firstLine="480" w:firstLineChars="200"/>
        <w:rPr>
          <w:rFonts w:hAnsi="宋体" w:cs="宋体"/>
          <w:color w:val="auto"/>
          <w:sz w:val="24"/>
          <w:szCs w:val="24"/>
          <w:highlight w:val="none"/>
        </w:rPr>
      </w:pPr>
    </w:p>
    <w:p>
      <w:pPr>
        <w:pStyle w:val="127"/>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（采购人名称）    ：</w:t>
      </w:r>
    </w:p>
    <w:p>
      <w:pPr>
        <w:pStyle w:val="24"/>
        <w:spacing w:line="360" w:lineRule="auto"/>
        <w:ind w:firstLine="480" w:firstLineChars="200"/>
        <w:rPr>
          <w:rFonts w:hAnsi="宋体" w:cs="宋体"/>
          <w:color w:val="auto"/>
          <w:sz w:val="24"/>
          <w:szCs w:val="24"/>
          <w:highlight w:val="none"/>
        </w:rPr>
      </w:pPr>
    </w:p>
    <w:p>
      <w:pPr>
        <w:pStyle w:val="2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我方_______________（供应商名称）郑重声明在参加本次政府采购活动前3年内的经营活动没有重大违法记录。如有不实，我方将无条件地退出本项目的采购活动，并遵照《政府采购法》有关"提供虚假材料的规定"接受处罚。</w:t>
      </w:r>
    </w:p>
    <w:p>
      <w:pPr>
        <w:pStyle w:val="2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     特此声明。</w:t>
      </w:r>
    </w:p>
    <w:p>
      <w:pPr>
        <w:pStyle w:val="127"/>
        <w:adjustRightInd w:val="0"/>
        <w:snapToGrid w:val="0"/>
        <w:spacing w:line="360" w:lineRule="auto"/>
        <w:ind w:firstLine="480" w:firstLineChars="200"/>
        <w:rPr>
          <w:rFonts w:ascii="宋体" w:hAnsi="宋体" w:cs="宋体"/>
          <w:color w:val="auto"/>
          <w:sz w:val="24"/>
          <w:szCs w:val="24"/>
          <w:highlight w:val="none"/>
        </w:rPr>
      </w:pPr>
    </w:p>
    <w:p>
      <w:pPr>
        <w:pStyle w:val="127"/>
        <w:spacing w:line="400" w:lineRule="exact"/>
        <w:rPr>
          <w:rFonts w:ascii="宋体" w:hAnsi="宋体" w:cs="宋体"/>
          <w:color w:val="auto"/>
          <w:sz w:val="24"/>
          <w:szCs w:val="24"/>
          <w:highlight w:val="none"/>
        </w:rPr>
      </w:pPr>
    </w:p>
    <w:p>
      <w:pPr>
        <w:pStyle w:val="127"/>
        <w:spacing w:line="400" w:lineRule="exact"/>
        <w:rPr>
          <w:rFonts w:ascii="宋体" w:hAnsi="宋体" w:cs="宋体"/>
          <w:color w:val="auto"/>
          <w:sz w:val="24"/>
          <w:szCs w:val="24"/>
          <w:highlight w:val="none"/>
        </w:rPr>
      </w:pPr>
    </w:p>
    <w:p>
      <w:pPr>
        <w:pStyle w:val="127"/>
        <w:spacing w:line="360"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rPr>
        <w:t>供应商（公章）：</w:t>
      </w:r>
      <w:r>
        <w:rPr>
          <w:rFonts w:hint="eastAsia" w:ascii="宋体" w:hAnsi="宋体" w:cs="宋体"/>
          <w:color w:val="auto"/>
          <w:sz w:val="24"/>
          <w:szCs w:val="24"/>
          <w:highlight w:val="none"/>
          <w:u w:val="single"/>
        </w:rPr>
        <w:t xml:space="preserve">                       </w:t>
      </w:r>
    </w:p>
    <w:p>
      <w:pPr>
        <w:pStyle w:val="127"/>
        <w:spacing w:line="360"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法定代表人（签字）：</w:t>
      </w:r>
      <w:r>
        <w:rPr>
          <w:rFonts w:hint="eastAsia" w:ascii="宋体" w:hAnsi="宋体" w:cs="宋体"/>
          <w:color w:val="auto"/>
          <w:sz w:val="24"/>
          <w:szCs w:val="24"/>
          <w:highlight w:val="none"/>
          <w:u w:val="single"/>
        </w:rPr>
        <w:t xml:space="preserve">                   </w:t>
      </w:r>
    </w:p>
    <w:p>
      <w:pPr>
        <w:pStyle w:val="127"/>
        <w:spacing w:line="360" w:lineRule="auto"/>
        <w:ind w:firstLine="3840" w:firstLineChars="1600"/>
        <w:rPr>
          <w:rFonts w:ascii="宋体" w:hAnsi="宋体" w:cs="宋体"/>
          <w:color w:val="auto"/>
          <w:sz w:val="24"/>
          <w:szCs w:val="24"/>
          <w:highlight w:val="none"/>
        </w:rPr>
      </w:pPr>
      <w:r>
        <w:rPr>
          <w:rFonts w:hint="eastAsia" w:ascii="宋体" w:hAnsi="宋体" w:cs="宋体"/>
          <w:color w:val="auto"/>
          <w:sz w:val="24"/>
          <w:szCs w:val="24"/>
          <w:highlight w:val="none"/>
        </w:rPr>
        <w:t xml:space="preserve">日    期： </w:t>
      </w:r>
      <w:r>
        <w:rPr>
          <w:rFonts w:hint="eastAsia" w:ascii="宋体" w:hAnsi="宋体" w:cs="宋体"/>
          <w:color w:val="auto"/>
          <w:sz w:val="24"/>
          <w:szCs w:val="24"/>
          <w:highlight w:val="none"/>
          <w:u w:val="single"/>
        </w:rPr>
        <w:t xml:space="preserve">                            </w:t>
      </w:r>
    </w:p>
    <w:p>
      <w:pPr>
        <w:rPr>
          <w:rFonts w:hAnsi="宋体" w:cs="宋体"/>
          <w:color w:val="auto"/>
          <w:sz w:val="24"/>
          <w:highlight w:val="none"/>
        </w:rPr>
      </w:pPr>
    </w:p>
    <w:p>
      <w:pPr>
        <w:ind w:firstLine="420"/>
        <w:jc w:val="center"/>
        <w:rPr>
          <w:rFonts w:hAnsi="宋体" w:cs="宋体"/>
          <w:b/>
          <w:color w:val="auto"/>
          <w:sz w:val="36"/>
          <w:szCs w:val="30"/>
          <w:highlight w:val="none"/>
        </w:rPr>
      </w:pPr>
    </w:p>
    <w:p>
      <w:pPr>
        <w:pStyle w:val="127"/>
        <w:spacing w:line="360" w:lineRule="auto"/>
        <w:ind w:firstLine="3840" w:firstLineChars="1600"/>
        <w:rPr>
          <w:rFonts w:hAnsi="宋体" w:cs="宋体"/>
          <w:color w:val="auto"/>
          <w:sz w:val="24"/>
          <w:highlight w:val="none"/>
        </w:rPr>
      </w:pPr>
      <w:r>
        <w:rPr>
          <w:rFonts w:hint="eastAsia" w:hAnsi="宋体" w:cs="宋体"/>
          <w:color w:val="auto"/>
          <w:sz w:val="24"/>
          <w:highlight w:val="none"/>
        </w:rPr>
        <w:br w:type="page"/>
      </w:r>
    </w:p>
    <w:bookmarkEnd w:id="119"/>
    <w:p>
      <w:pPr>
        <w:pStyle w:val="2"/>
        <w:spacing w:before="120" w:beforeLines="50"/>
        <w:ind w:right="280" w:firstLine="0"/>
        <w:jc w:val="right"/>
        <w:rPr>
          <w:rFonts w:ascii="宋体" w:hAnsi="宋体" w:cs="宋体"/>
          <w:b/>
          <w:color w:val="auto"/>
          <w:sz w:val="44"/>
          <w:szCs w:val="44"/>
          <w:highlight w:val="none"/>
        </w:rPr>
      </w:pPr>
      <w:bookmarkStart w:id="170" w:name="_Toc531253660"/>
      <w:bookmarkStart w:id="171" w:name="_Toc217446082"/>
    </w:p>
    <w:p>
      <w:pPr>
        <w:pStyle w:val="2"/>
        <w:spacing w:before="120" w:beforeLines="50"/>
        <w:ind w:right="280" w:firstLine="0"/>
        <w:jc w:val="right"/>
        <w:rPr>
          <w:rFonts w:ascii="宋体" w:hAnsi="宋体" w:cs="宋体"/>
          <w:b/>
          <w:color w:val="auto"/>
          <w:sz w:val="28"/>
          <w:szCs w:val="28"/>
          <w:highlight w:val="none"/>
        </w:rPr>
      </w:pPr>
      <w:r>
        <w:rPr>
          <w:rFonts w:hint="eastAsia" w:ascii="宋体" w:hAnsi="宋体" w:cs="宋体"/>
          <w:b/>
          <w:color w:val="auto"/>
          <w:sz w:val="28"/>
          <w:szCs w:val="28"/>
          <w:highlight w:val="none"/>
        </w:rPr>
        <w:t>正本/副本</w:t>
      </w:r>
    </w:p>
    <w:p>
      <w:pPr>
        <w:pStyle w:val="2"/>
        <w:spacing w:before="120" w:beforeLines="50"/>
        <w:ind w:firstLine="0"/>
        <w:rPr>
          <w:rFonts w:ascii="宋体" w:hAnsi="宋体" w:cs="宋体"/>
          <w:b/>
          <w:color w:val="auto"/>
          <w:sz w:val="28"/>
          <w:szCs w:val="28"/>
          <w:highlight w:val="none"/>
        </w:rPr>
      </w:pPr>
      <w:r>
        <w:rPr>
          <w:rFonts w:hint="eastAsia" w:ascii="宋体" w:hAnsi="宋体" w:cs="宋体"/>
          <w:b/>
          <w:color w:val="auto"/>
          <w:sz w:val="28"/>
          <w:szCs w:val="28"/>
          <w:highlight w:val="none"/>
        </w:rPr>
        <w:t xml:space="preserve">政府采购项目 </w:t>
      </w:r>
    </w:p>
    <w:p>
      <w:pPr>
        <w:pStyle w:val="2"/>
        <w:spacing w:before="120" w:beforeLines="50"/>
        <w:ind w:firstLine="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采购项目编号：</w:t>
      </w:r>
      <w:r>
        <w:rPr>
          <w:rFonts w:hint="eastAsia" w:ascii="宋体" w:hAnsi="宋体" w:cs="宋体"/>
          <w:b/>
          <w:color w:val="auto"/>
          <w:sz w:val="28"/>
          <w:szCs w:val="28"/>
          <w:highlight w:val="none"/>
          <w:lang w:eastAsia="zh-CN"/>
        </w:rPr>
        <w:t>MZ2023-TP1007</w:t>
      </w:r>
    </w:p>
    <w:p>
      <w:pPr>
        <w:pStyle w:val="2"/>
        <w:spacing w:before="120" w:beforeLines="50"/>
        <w:ind w:firstLine="0"/>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bookmarkEnd w:id="170"/>
    </w:p>
    <w:p>
      <w:pPr>
        <w:rPr>
          <w:rFonts w:ascii="宋体" w:hAnsi="宋体" w:cs="宋体"/>
          <w:b/>
          <w:color w:val="auto"/>
          <w:sz w:val="52"/>
          <w:szCs w:val="52"/>
          <w:highlight w:val="none"/>
        </w:rPr>
      </w:pPr>
    </w:p>
    <w:p>
      <w:pPr>
        <w:pStyle w:val="20"/>
        <w:adjustRightInd w:val="0"/>
        <w:snapToGrid w:val="0"/>
        <w:spacing w:line="360" w:lineRule="auto"/>
        <w:jc w:val="center"/>
        <w:rPr>
          <w:rFonts w:hint="eastAsia" w:hAnsi="宋体" w:cs="宋体"/>
          <w:b/>
          <w:color w:val="auto"/>
          <w:sz w:val="44"/>
          <w:szCs w:val="44"/>
          <w:highlight w:val="none"/>
          <w:lang w:eastAsia="zh-CN"/>
        </w:rPr>
      </w:pPr>
      <w:r>
        <w:rPr>
          <w:rFonts w:hint="eastAsia" w:hAnsi="宋体" w:cs="宋体"/>
          <w:b/>
          <w:color w:val="auto"/>
          <w:sz w:val="44"/>
          <w:szCs w:val="44"/>
          <w:highlight w:val="none"/>
          <w:lang w:eastAsia="zh-CN"/>
        </w:rPr>
        <w:t>西安商贸旅游技师学院</w:t>
      </w:r>
    </w:p>
    <w:p>
      <w:pPr>
        <w:pStyle w:val="20"/>
        <w:adjustRightInd w:val="0"/>
        <w:snapToGrid w:val="0"/>
        <w:spacing w:line="360" w:lineRule="auto"/>
        <w:jc w:val="center"/>
        <w:rPr>
          <w:rFonts w:hAnsi="宋体" w:cs="宋体"/>
          <w:b/>
          <w:color w:val="auto"/>
          <w:sz w:val="44"/>
          <w:szCs w:val="44"/>
          <w:highlight w:val="none"/>
        </w:rPr>
      </w:pPr>
      <w:r>
        <w:rPr>
          <w:rFonts w:hint="eastAsia" w:hAnsi="宋体" w:cs="宋体"/>
          <w:b/>
          <w:color w:val="auto"/>
          <w:sz w:val="44"/>
          <w:szCs w:val="44"/>
          <w:highlight w:val="none"/>
          <w:lang w:eastAsia="zh-CN"/>
        </w:rPr>
        <w:t>烹饪系、食品系实训课原材料采购项目</w:t>
      </w:r>
    </w:p>
    <w:p>
      <w:pPr>
        <w:pStyle w:val="20"/>
        <w:adjustRightInd w:val="0"/>
        <w:snapToGrid w:val="0"/>
        <w:spacing w:line="360" w:lineRule="auto"/>
        <w:jc w:val="center"/>
        <w:rPr>
          <w:rFonts w:hAnsi="宋体" w:cs="宋体"/>
          <w:b/>
          <w:color w:val="auto"/>
          <w:sz w:val="44"/>
          <w:szCs w:val="44"/>
          <w:highlight w:val="none"/>
        </w:rPr>
      </w:pPr>
      <w:r>
        <w:rPr>
          <w:rFonts w:hint="eastAsia" w:hAnsi="宋体" w:cs="宋体"/>
          <w:b/>
          <w:color w:val="auto"/>
          <w:sz w:val="44"/>
          <w:szCs w:val="44"/>
          <w:highlight w:val="none"/>
        </w:rPr>
        <w:t>谈判响应文件</w:t>
      </w:r>
    </w:p>
    <w:p>
      <w:pPr>
        <w:pStyle w:val="20"/>
        <w:adjustRightInd w:val="0"/>
        <w:snapToGrid w:val="0"/>
        <w:spacing w:line="360" w:lineRule="auto"/>
        <w:jc w:val="center"/>
        <w:rPr>
          <w:rFonts w:hAnsi="宋体" w:cs="宋体"/>
          <w:b/>
          <w:color w:val="auto"/>
          <w:sz w:val="44"/>
          <w:szCs w:val="44"/>
          <w:highlight w:val="none"/>
        </w:rPr>
      </w:pPr>
      <w:r>
        <w:rPr>
          <w:rFonts w:hint="eastAsia" w:hAnsi="宋体" w:cs="宋体"/>
          <w:b/>
          <w:color w:val="auto"/>
          <w:sz w:val="44"/>
          <w:szCs w:val="44"/>
          <w:highlight w:val="none"/>
        </w:rPr>
        <w:t>（商务技术部分）</w:t>
      </w:r>
    </w:p>
    <w:p>
      <w:pPr>
        <w:pStyle w:val="2"/>
        <w:spacing w:before="120" w:beforeLines="50"/>
        <w:ind w:firstLine="1630" w:firstLineChars="580"/>
        <w:rPr>
          <w:rFonts w:ascii="宋体" w:hAnsi="宋体" w:cs="宋体"/>
          <w:b/>
          <w:color w:val="auto"/>
          <w:sz w:val="28"/>
          <w:szCs w:val="28"/>
          <w:highlight w:val="none"/>
        </w:rPr>
      </w:pPr>
    </w:p>
    <w:p>
      <w:pPr>
        <w:pStyle w:val="2"/>
        <w:spacing w:before="120" w:beforeLines="50"/>
        <w:ind w:firstLine="1630" w:firstLineChars="580"/>
        <w:rPr>
          <w:rFonts w:ascii="宋体" w:hAnsi="宋体" w:cs="宋体"/>
          <w:b/>
          <w:color w:val="auto"/>
          <w:sz w:val="28"/>
          <w:szCs w:val="28"/>
          <w:highlight w:val="none"/>
        </w:rPr>
      </w:pPr>
    </w:p>
    <w:p>
      <w:pPr>
        <w:pStyle w:val="2"/>
        <w:spacing w:before="120" w:beforeLines="50"/>
        <w:ind w:firstLine="0"/>
        <w:rPr>
          <w:rFonts w:ascii="宋体" w:hAnsi="宋体" w:cs="宋体"/>
          <w:b/>
          <w:color w:val="auto"/>
          <w:sz w:val="28"/>
          <w:szCs w:val="28"/>
          <w:highlight w:val="none"/>
        </w:rPr>
      </w:pPr>
    </w:p>
    <w:p>
      <w:pPr>
        <w:pStyle w:val="2"/>
        <w:spacing w:before="120" w:beforeLines="50"/>
        <w:ind w:firstLine="1630" w:firstLineChars="580"/>
        <w:rPr>
          <w:rFonts w:ascii="宋体" w:hAnsi="宋体" w:cs="宋体"/>
          <w:b/>
          <w:color w:val="auto"/>
          <w:sz w:val="28"/>
          <w:szCs w:val="28"/>
          <w:highlight w:val="none"/>
        </w:rPr>
      </w:pPr>
    </w:p>
    <w:p>
      <w:pPr>
        <w:pStyle w:val="2"/>
        <w:spacing w:before="120" w:beforeLines="50"/>
        <w:ind w:firstLine="1630" w:firstLineChars="580"/>
        <w:rPr>
          <w:rFonts w:ascii="宋体" w:hAnsi="宋体" w:cs="宋体"/>
          <w:b/>
          <w:color w:val="auto"/>
          <w:sz w:val="28"/>
          <w:szCs w:val="28"/>
          <w:highlight w:val="none"/>
        </w:rPr>
      </w:pPr>
    </w:p>
    <w:p>
      <w:pPr>
        <w:pStyle w:val="2"/>
        <w:spacing w:before="120" w:beforeLines="50"/>
        <w:ind w:firstLine="1630" w:firstLineChars="580"/>
        <w:rPr>
          <w:rFonts w:ascii="宋体" w:hAnsi="宋体" w:cs="宋体"/>
          <w:b/>
          <w:bCs/>
          <w:color w:val="auto"/>
          <w:sz w:val="28"/>
          <w:szCs w:val="28"/>
          <w:highlight w:val="none"/>
        </w:rPr>
      </w:pPr>
      <w:r>
        <w:rPr>
          <w:rFonts w:hint="eastAsia" w:ascii="宋体" w:hAnsi="宋体" w:cs="宋体"/>
          <w:b/>
          <w:bCs/>
          <w:color w:val="auto"/>
          <w:sz w:val="28"/>
          <w:szCs w:val="28"/>
          <w:highlight w:val="none"/>
        </w:rPr>
        <w:t>供 应 商：</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（公章）</w:t>
      </w:r>
    </w:p>
    <w:p>
      <w:pPr>
        <w:pStyle w:val="2"/>
        <w:spacing w:before="120" w:beforeLines="50"/>
        <w:ind w:firstLine="1630" w:firstLineChars="580"/>
        <w:rPr>
          <w:rFonts w:ascii="宋体" w:hAnsi="宋体" w:cs="宋体"/>
          <w:b/>
          <w:bCs/>
          <w:color w:val="auto"/>
          <w:sz w:val="28"/>
          <w:szCs w:val="28"/>
          <w:highlight w:val="none"/>
        </w:rPr>
      </w:pPr>
      <w:r>
        <w:rPr>
          <w:rFonts w:hint="eastAsia" w:ascii="宋体" w:hAnsi="宋体" w:cs="宋体"/>
          <w:b/>
          <w:color w:val="auto"/>
          <w:sz w:val="28"/>
          <w:szCs w:val="28"/>
          <w:highlight w:val="none"/>
        </w:rPr>
        <w:t>法定代表人或授权代表：</w:t>
      </w:r>
      <w:r>
        <w:rPr>
          <w:rFonts w:hint="eastAsia" w:ascii="宋体" w:hAnsi="宋体" w:cs="宋体"/>
          <w:b/>
          <w:color w:val="auto"/>
          <w:sz w:val="28"/>
          <w:szCs w:val="28"/>
          <w:highlight w:val="none"/>
          <w:u w:val="single"/>
        </w:rPr>
        <w:t xml:space="preserve">             </w:t>
      </w:r>
      <w:r>
        <w:rPr>
          <w:rFonts w:hint="eastAsia" w:ascii="宋体" w:hAnsi="宋体" w:cs="宋体"/>
          <w:b/>
          <w:bCs/>
          <w:color w:val="auto"/>
          <w:sz w:val="28"/>
          <w:szCs w:val="28"/>
          <w:highlight w:val="none"/>
        </w:rPr>
        <w:t>（签字或盖章）</w:t>
      </w:r>
    </w:p>
    <w:p>
      <w:pPr>
        <w:pStyle w:val="2"/>
        <w:spacing w:before="120" w:beforeLines="50"/>
        <w:ind w:firstLine="1630" w:firstLineChars="580"/>
        <w:rPr>
          <w:rFonts w:ascii="宋体" w:hAnsi="宋体" w:cs="宋体"/>
          <w:b/>
          <w:bCs/>
          <w:color w:val="auto"/>
          <w:sz w:val="28"/>
          <w:szCs w:val="28"/>
          <w:highlight w:val="none"/>
        </w:rPr>
      </w:pPr>
      <w:r>
        <w:rPr>
          <w:rFonts w:hint="eastAsia" w:ascii="宋体" w:hAnsi="宋体" w:cs="宋体"/>
          <w:b/>
          <w:bCs/>
          <w:color w:val="auto"/>
          <w:sz w:val="28"/>
          <w:szCs w:val="28"/>
          <w:highlight w:val="none"/>
        </w:rPr>
        <w:t>日    期：</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月</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日</w:t>
      </w:r>
    </w:p>
    <w:bookmarkEnd w:id="171"/>
    <w:p>
      <w:pPr>
        <w:pStyle w:val="2"/>
        <w:spacing w:before="120" w:beforeLines="50"/>
        <w:ind w:firstLine="0"/>
        <w:jc w:val="center"/>
        <w:rPr>
          <w:rFonts w:ascii="宋体" w:hAnsi="宋体" w:cs="宋体"/>
          <w:b/>
          <w:color w:val="auto"/>
          <w:sz w:val="44"/>
          <w:szCs w:val="44"/>
          <w:highlight w:val="none"/>
        </w:rPr>
      </w:pPr>
    </w:p>
    <w:p>
      <w:pPr>
        <w:pStyle w:val="2"/>
        <w:spacing w:before="120" w:beforeLines="50"/>
        <w:ind w:firstLine="0"/>
        <w:jc w:val="center"/>
        <w:rPr>
          <w:rFonts w:ascii="宋体" w:hAnsi="宋体" w:cs="宋体"/>
          <w:b/>
          <w:color w:val="auto"/>
          <w:sz w:val="44"/>
          <w:szCs w:val="44"/>
          <w:highlight w:val="none"/>
        </w:rPr>
      </w:pPr>
    </w:p>
    <w:p>
      <w:pPr>
        <w:pStyle w:val="2"/>
        <w:spacing w:before="120" w:beforeLines="50"/>
        <w:ind w:firstLine="0"/>
        <w:jc w:val="center"/>
        <w:rPr>
          <w:rFonts w:ascii="宋体" w:hAnsi="宋体" w:cs="宋体"/>
          <w:b/>
          <w:color w:val="auto"/>
          <w:sz w:val="44"/>
          <w:szCs w:val="44"/>
          <w:highlight w:val="none"/>
        </w:rPr>
      </w:pPr>
      <w:r>
        <w:rPr>
          <w:rFonts w:hint="eastAsia" w:ascii="宋体" w:hAnsi="宋体" w:cs="宋体"/>
          <w:b/>
          <w:color w:val="auto"/>
          <w:sz w:val="44"/>
          <w:szCs w:val="44"/>
          <w:highlight w:val="none"/>
        </w:rPr>
        <w:br w:type="page"/>
      </w:r>
      <w:r>
        <w:rPr>
          <w:rFonts w:hint="eastAsia" w:ascii="宋体" w:hAnsi="宋体" w:cs="宋体"/>
          <w:b/>
          <w:color w:val="auto"/>
          <w:sz w:val="44"/>
          <w:szCs w:val="44"/>
          <w:highlight w:val="none"/>
        </w:rPr>
        <w:t>目  录</w:t>
      </w:r>
    </w:p>
    <w:p>
      <w:pPr>
        <w:spacing w:line="360" w:lineRule="auto"/>
        <w:rPr>
          <w:rFonts w:ascii="宋体" w:hAnsi="宋体" w:cs="宋体"/>
          <w:b/>
          <w:color w:val="auto"/>
          <w:sz w:val="24"/>
          <w:highlight w:val="none"/>
        </w:rPr>
      </w:pPr>
    </w:p>
    <w:p>
      <w:pPr>
        <w:spacing w:line="360" w:lineRule="auto"/>
        <w:ind w:firstLine="960" w:firstLineChars="400"/>
        <w:rPr>
          <w:rFonts w:ascii="宋体" w:hAnsi="宋体" w:cs="宋体"/>
          <w:b/>
          <w:bCs/>
          <w:color w:val="auto"/>
          <w:sz w:val="24"/>
          <w:highlight w:val="none"/>
          <w:lang w:val="zh-CN"/>
        </w:rPr>
      </w:pPr>
      <w:r>
        <w:rPr>
          <w:rFonts w:hint="eastAsia" w:ascii="宋体" w:hAnsi="宋体" w:cs="宋体"/>
          <w:color w:val="auto"/>
          <w:sz w:val="24"/>
          <w:highlight w:val="none"/>
        </w:rPr>
        <w:t xml:space="preserve">    </w:t>
      </w:r>
    </w:p>
    <w:p>
      <w:pPr>
        <w:pStyle w:val="20"/>
        <w:numPr>
          <w:ilvl w:val="0"/>
          <w:numId w:val="10"/>
        </w:numPr>
        <w:snapToGrid w:val="0"/>
        <w:spacing w:line="480" w:lineRule="auto"/>
        <w:ind w:firstLine="562" w:firstLineChars="200"/>
        <w:jc w:val="left"/>
        <w:rPr>
          <w:rFonts w:hAnsi="宋体" w:cs="宋体"/>
          <w:b/>
          <w:color w:val="auto"/>
          <w:sz w:val="28"/>
          <w:szCs w:val="28"/>
          <w:highlight w:val="none"/>
        </w:rPr>
      </w:pPr>
      <w:r>
        <w:rPr>
          <w:rFonts w:hint="eastAsia" w:hAnsi="宋体" w:cs="宋体"/>
          <w:b/>
          <w:bCs/>
          <w:color w:val="auto"/>
          <w:sz w:val="28"/>
          <w:szCs w:val="28"/>
          <w:highlight w:val="none"/>
        </w:rPr>
        <w:t>谈判响应函</w:t>
      </w:r>
      <w:r>
        <w:rPr>
          <w:rFonts w:hint="eastAsia" w:hAnsi="宋体" w:cs="宋体"/>
          <w:b/>
          <w:color w:val="auto"/>
          <w:sz w:val="28"/>
          <w:szCs w:val="28"/>
          <w:highlight w:val="none"/>
        </w:rPr>
        <w:t>………………………………………………… 页码</w:t>
      </w:r>
    </w:p>
    <w:p>
      <w:pPr>
        <w:pStyle w:val="20"/>
        <w:snapToGrid w:val="0"/>
        <w:spacing w:line="480" w:lineRule="auto"/>
        <w:ind w:firstLine="562" w:firstLineChars="200"/>
        <w:jc w:val="left"/>
        <w:rPr>
          <w:rFonts w:hAnsi="宋体" w:cs="宋体"/>
          <w:b/>
          <w:color w:val="auto"/>
          <w:sz w:val="28"/>
          <w:szCs w:val="28"/>
          <w:highlight w:val="none"/>
        </w:rPr>
      </w:pPr>
      <w:r>
        <w:rPr>
          <w:rFonts w:hint="eastAsia" w:hAnsi="宋体" w:cs="宋体"/>
          <w:b/>
          <w:bCs/>
          <w:color w:val="auto"/>
          <w:sz w:val="28"/>
          <w:szCs w:val="28"/>
          <w:highlight w:val="none"/>
        </w:rPr>
        <w:t>二、</w:t>
      </w:r>
      <w:r>
        <w:rPr>
          <w:rFonts w:hint="eastAsia" w:hAnsi="宋体" w:cs="宋体"/>
          <w:b/>
          <w:bCs/>
          <w:color w:val="auto"/>
          <w:sz w:val="28"/>
          <w:szCs w:val="28"/>
          <w:highlight w:val="none"/>
          <w:lang w:val="en-US" w:eastAsia="zh-CN"/>
        </w:rPr>
        <w:t xml:space="preserve"> </w:t>
      </w:r>
      <w:r>
        <w:rPr>
          <w:rFonts w:hint="eastAsia" w:hAnsi="宋体" w:cs="宋体"/>
          <w:b/>
          <w:bCs/>
          <w:color w:val="auto"/>
          <w:sz w:val="28"/>
          <w:szCs w:val="28"/>
          <w:highlight w:val="none"/>
        </w:rPr>
        <w:t>第一次谈判报价表</w:t>
      </w:r>
      <w:bookmarkStart w:id="172" w:name="_Toc2536"/>
      <w:bookmarkEnd w:id="172"/>
      <w:r>
        <w:rPr>
          <w:rFonts w:hint="eastAsia" w:hAnsi="宋体" w:cs="宋体"/>
          <w:b/>
          <w:color w:val="auto"/>
          <w:sz w:val="28"/>
          <w:szCs w:val="28"/>
          <w:highlight w:val="none"/>
        </w:rPr>
        <w:t xml:space="preserve">………………………………………… </w:t>
      </w:r>
    </w:p>
    <w:p>
      <w:pPr>
        <w:pStyle w:val="20"/>
        <w:snapToGrid w:val="0"/>
        <w:spacing w:line="480" w:lineRule="auto"/>
        <w:ind w:firstLine="562" w:firstLineChars="200"/>
        <w:jc w:val="left"/>
        <w:rPr>
          <w:rFonts w:hAnsi="宋体" w:cs="宋体"/>
          <w:b/>
          <w:bCs/>
          <w:color w:val="auto"/>
          <w:sz w:val="28"/>
          <w:szCs w:val="28"/>
          <w:highlight w:val="none"/>
        </w:rPr>
      </w:pPr>
      <w:r>
        <w:rPr>
          <w:rFonts w:hint="eastAsia" w:hAnsi="宋体" w:cs="宋体"/>
          <w:b/>
          <w:bCs/>
          <w:color w:val="auto"/>
          <w:sz w:val="28"/>
          <w:szCs w:val="28"/>
          <w:highlight w:val="none"/>
        </w:rPr>
        <w:t>三、</w:t>
      </w:r>
      <w:r>
        <w:rPr>
          <w:rFonts w:hint="eastAsia" w:hAnsi="宋体" w:cs="宋体"/>
          <w:b/>
          <w:bCs/>
          <w:color w:val="auto"/>
          <w:sz w:val="28"/>
          <w:szCs w:val="28"/>
          <w:highlight w:val="none"/>
          <w:lang w:val="en-US" w:eastAsia="zh-CN"/>
        </w:rPr>
        <w:t xml:space="preserve"> 原材料清单</w:t>
      </w:r>
      <w:r>
        <w:rPr>
          <w:rFonts w:hint="eastAsia" w:hAnsi="宋体" w:cs="宋体"/>
          <w:b/>
          <w:bCs/>
          <w:color w:val="auto"/>
          <w:sz w:val="28"/>
          <w:szCs w:val="28"/>
          <w:highlight w:val="none"/>
        </w:rPr>
        <w:t>………………………………………………</w:t>
      </w:r>
    </w:p>
    <w:p>
      <w:pPr>
        <w:pStyle w:val="20"/>
        <w:snapToGrid w:val="0"/>
        <w:spacing w:line="480" w:lineRule="auto"/>
        <w:ind w:firstLine="562" w:firstLineChars="200"/>
        <w:jc w:val="left"/>
        <w:rPr>
          <w:rFonts w:hAnsi="宋体" w:cs="宋体"/>
          <w:b/>
          <w:bCs/>
          <w:color w:val="auto"/>
          <w:sz w:val="28"/>
          <w:szCs w:val="28"/>
          <w:highlight w:val="none"/>
        </w:rPr>
      </w:pPr>
      <w:r>
        <w:rPr>
          <w:rFonts w:hint="eastAsia" w:hAnsi="宋体" w:cs="宋体"/>
          <w:b/>
          <w:bCs/>
          <w:color w:val="auto"/>
          <w:sz w:val="28"/>
          <w:szCs w:val="28"/>
          <w:highlight w:val="none"/>
        </w:rPr>
        <w:t>四、 采购内容偏离表…………………………………………</w:t>
      </w:r>
    </w:p>
    <w:p>
      <w:pPr>
        <w:pStyle w:val="20"/>
        <w:snapToGrid w:val="0"/>
        <w:spacing w:line="480" w:lineRule="auto"/>
        <w:ind w:firstLine="562" w:firstLineChars="200"/>
        <w:jc w:val="left"/>
        <w:rPr>
          <w:rFonts w:hAnsi="宋体" w:cs="宋体"/>
          <w:b/>
          <w:bCs/>
          <w:color w:val="auto"/>
          <w:sz w:val="28"/>
          <w:szCs w:val="28"/>
          <w:highlight w:val="none"/>
        </w:rPr>
      </w:pPr>
      <w:r>
        <w:rPr>
          <w:rFonts w:hint="eastAsia" w:hAnsi="宋体" w:cs="宋体"/>
          <w:b/>
          <w:bCs/>
          <w:color w:val="auto"/>
          <w:sz w:val="28"/>
          <w:szCs w:val="28"/>
          <w:highlight w:val="none"/>
        </w:rPr>
        <w:t>五、 商务响应偏离表…………………………………………</w:t>
      </w:r>
    </w:p>
    <w:p>
      <w:pPr>
        <w:pStyle w:val="20"/>
        <w:snapToGrid w:val="0"/>
        <w:spacing w:line="480" w:lineRule="auto"/>
        <w:ind w:firstLine="562" w:firstLineChars="200"/>
        <w:jc w:val="left"/>
        <w:rPr>
          <w:rFonts w:hAnsi="宋体" w:cs="宋体"/>
          <w:b/>
          <w:bCs/>
          <w:color w:val="auto"/>
          <w:sz w:val="28"/>
          <w:szCs w:val="28"/>
          <w:highlight w:val="none"/>
        </w:rPr>
      </w:pPr>
      <w:r>
        <w:rPr>
          <w:rFonts w:hint="eastAsia" w:hAnsi="宋体" w:cs="宋体"/>
          <w:b/>
          <w:bCs/>
          <w:color w:val="auto"/>
          <w:sz w:val="28"/>
          <w:szCs w:val="28"/>
          <w:highlight w:val="none"/>
        </w:rPr>
        <w:t>六、 谈判响应方案说明………………………………………</w:t>
      </w:r>
    </w:p>
    <w:p>
      <w:pPr>
        <w:pStyle w:val="20"/>
        <w:snapToGrid w:val="0"/>
        <w:spacing w:line="480" w:lineRule="auto"/>
        <w:ind w:firstLine="562" w:firstLineChars="200"/>
        <w:jc w:val="left"/>
        <w:rPr>
          <w:rFonts w:hAnsi="宋体" w:cs="宋体"/>
          <w:b/>
          <w:bCs/>
          <w:color w:val="auto"/>
          <w:sz w:val="28"/>
          <w:szCs w:val="28"/>
          <w:highlight w:val="none"/>
        </w:rPr>
      </w:pPr>
      <w:r>
        <w:rPr>
          <w:rFonts w:hint="eastAsia" w:hAnsi="宋体" w:cs="宋体"/>
          <w:b/>
          <w:bCs/>
          <w:color w:val="auto"/>
          <w:sz w:val="28"/>
          <w:szCs w:val="28"/>
          <w:highlight w:val="none"/>
        </w:rPr>
        <w:t>七、 业绩的有关证明材料……………………………………</w:t>
      </w:r>
    </w:p>
    <w:p>
      <w:pPr>
        <w:pStyle w:val="20"/>
        <w:snapToGrid w:val="0"/>
        <w:spacing w:line="480" w:lineRule="auto"/>
        <w:ind w:firstLine="562" w:firstLineChars="200"/>
        <w:jc w:val="left"/>
        <w:rPr>
          <w:rFonts w:hAnsi="宋体" w:cs="宋体"/>
          <w:b/>
          <w:bCs/>
          <w:color w:val="auto"/>
          <w:sz w:val="28"/>
          <w:szCs w:val="28"/>
          <w:highlight w:val="none"/>
        </w:rPr>
      </w:pPr>
      <w:r>
        <w:rPr>
          <w:rFonts w:hint="eastAsia" w:hAnsi="宋体" w:cs="宋体"/>
          <w:b/>
          <w:bCs/>
          <w:color w:val="auto"/>
          <w:sz w:val="28"/>
          <w:szCs w:val="28"/>
          <w:highlight w:val="none"/>
        </w:rPr>
        <w:t>八、 供应商承诺书……………………………………………</w:t>
      </w:r>
    </w:p>
    <w:p>
      <w:pPr>
        <w:pStyle w:val="20"/>
        <w:snapToGrid w:val="0"/>
        <w:spacing w:line="480" w:lineRule="auto"/>
        <w:ind w:firstLine="562" w:firstLineChars="200"/>
        <w:jc w:val="left"/>
        <w:rPr>
          <w:rFonts w:hAnsi="宋体" w:cs="宋体"/>
          <w:b/>
          <w:bCs/>
          <w:color w:val="auto"/>
          <w:sz w:val="28"/>
          <w:szCs w:val="28"/>
          <w:highlight w:val="none"/>
        </w:rPr>
      </w:pPr>
      <w:r>
        <w:rPr>
          <w:rFonts w:hint="eastAsia" w:hAnsi="宋体" w:cs="宋体"/>
          <w:b/>
          <w:bCs/>
          <w:color w:val="auto"/>
          <w:sz w:val="28"/>
          <w:szCs w:val="28"/>
          <w:highlight w:val="none"/>
        </w:rPr>
        <w:t>九、 拒绝政府采购领域商业贿赂承诺书……………………</w:t>
      </w:r>
    </w:p>
    <w:p>
      <w:pPr>
        <w:pStyle w:val="20"/>
        <w:snapToGrid w:val="0"/>
        <w:spacing w:line="480" w:lineRule="auto"/>
        <w:ind w:firstLine="562" w:firstLineChars="200"/>
        <w:jc w:val="left"/>
        <w:rPr>
          <w:rFonts w:hAnsi="宋体" w:cs="宋体"/>
          <w:b/>
          <w:bCs/>
          <w:color w:val="auto"/>
          <w:sz w:val="28"/>
          <w:szCs w:val="28"/>
          <w:highlight w:val="none"/>
        </w:rPr>
      </w:pPr>
      <w:r>
        <w:rPr>
          <w:rFonts w:hint="eastAsia" w:hAnsi="宋体" w:cs="宋体"/>
          <w:b/>
          <w:bCs/>
          <w:color w:val="auto"/>
          <w:sz w:val="28"/>
          <w:szCs w:val="28"/>
          <w:highlight w:val="none"/>
        </w:rPr>
        <w:t>十、落实政府采购政策需提供的相关材料及供应商认为有必要</w:t>
      </w:r>
    </w:p>
    <w:p>
      <w:pPr>
        <w:pStyle w:val="20"/>
        <w:snapToGrid w:val="0"/>
        <w:spacing w:line="480" w:lineRule="auto"/>
        <w:ind w:firstLine="562" w:firstLineChars="200"/>
        <w:jc w:val="left"/>
        <w:rPr>
          <w:rFonts w:hAnsi="宋体" w:cs="宋体"/>
          <w:b/>
          <w:bCs/>
          <w:color w:val="auto"/>
          <w:sz w:val="28"/>
          <w:szCs w:val="28"/>
          <w:highlight w:val="none"/>
        </w:rPr>
        <w:sectPr>
          <w:headerReference r:id="rId9" w:type="first"/>
          <w:footerReference r:id="rId11" w:type="first"/>
          <w:footerReference r:id="rId10" w:type="default"/>
          <w:pgSz w:w="11906" w:h="16838"/>
          <w:pgMar w:top="1418" w:right="1418" w:bottom="1418" w:left="1218" w:header="851" w:footer="737" w:gutter="0"/>
          <w:cols w:space="720" w:num="1"/>
          <w:titlePg/>
          <w:docGrid w:linePitch="312" w:charSpace="0"/>
        </w:sectPr>
      </w:pPr>
      <w:r>
        <w:rPr>
          <w:rFonts w:hint="eastAsia" w:hAnsi="宋体" w:cs="宋体"/>
          <w:b/>
          <w:bCs/>
          <w:color w:val="auto"/>
          <w:sz w:val="28"/>
          <w:szCs w:val="28"/>
          <w:highlight w:val="none"/>
        </w:rPr>
        <w:t>补充说明的事项……………………………………………</w:t>
      </w:r>
    </w:p>
    <w:p>
      <w:pPr>
        <w:pStyle w:val="4"/>
        <w:spacing w:before="0" w:after="0" w:line="440" w:lineRule="exact"/>
        <w:jc w:val="center"/>
        <w:rPr>
          <w:rFonts w:ascii="宋体" w:hAnsi="宋体" w:eastAsia="宋体" w:cs="宋体"/>
          <w:bCs/>
          <w:color w:val="auto"/>
          <w:sz w:val="32"/>
          <w:szCs w:val="32"/>
          <w:highlight w:val="none"/>
        </w:rPr>
      </w:pPr>
      <w:bookmarkStart w:id="173" w:name="_Toc17730"/>
      <w:r>
        <w:rPr>
          <w:rFonts w:hint="eastAsia" w:ascii="宋体" w:hAnsi="宋体" w:eastAsia="宋体" w:cs="宋体"/>
          <w:bCs/>
          <w:color w:val="auto"/>
          <w:sz w:val="32"/>
          <w:szCs w:val="32"/>
          <w:highlight w:val="none"/>
        </w:rPr>
        <w:t>一、谈判响应函</w:t>
      </w:r>
      <w:bookmarkEnd w:id="173"/>
    </w:p>
    <w:p>
      <w:pPr>
        <w:autoSpaceDE w:val="0"/>
        <w:autoSpaceDN w:val="0"/>
        <w:adjustRightInd w:val="0"/>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陕西明正招标有限公司：</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我单位收到贵公司关于</w:t>
      </w:r>
      <w:r>
        <w:rPr>
          <w:rFonts w:hint="eastAsia" w:ascii="宋体" w:hAnsi="宋体" w:cs="宋体"/>
          <w:color w:val="auto"/>
          <w:sz w:val="24"/>
          <w:highlight w:val="none"/>
          <w:u w:val="single"/>
        </w:rPr>
        <w:t xml:space="preserve">        (项目名称：）   （项目编号：）      </w:t>
      </w:r>
      <w:r>
        <w:rPr>
          <w:rFonts w:hint="eastAsia" w:ascii="宋体" w:hAnsi="宋体" w:cs="宋体"/>
          <w:color w:val="auto"/>
          <w:sz w:val="24"/>
          <w:highlight w:val="none"/>
        </w:rPr>
        <w:t>的谈判文件，经详细研究，我们决定参加本次竞争性谈判活动并响应。为此，我方郑重声明以下诸点，并负法律责任。</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一、愿意按照谈判文件中的一切要求，向采购人提供所需所有货物和服务。</w:t>
      </w:r>
    </w:p>
    <w:p>
      <w:pPr>
        <w:autoSpaceDE w:val="0"/>
        <w:autoSpaceDN w:val="0"/>
        <w:adjustRightIn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二、按谈判文件的规定，我公司的第一次谈判总报价为：</w:t>
      </w:r>
      <w:r>
        <w:rPr>
          <w:rFonts w:hint="eastAsia" w:ascii="宋体" w:hAnsi="宋体" w:cs="宋体"/>
          <w:color w:val="auto"/>
          <w:sz w:val="24"/>
          <w:highlight w:val="none"/>
          <w:lang w:val="en-US" w:eastAsia="zh-CN"/>
        </w:rPr>
        <w:t>上浮率</w:t>
      </w:r>
      <w:r>
        <w:rPr>
          <w:rFonts w:hint="eastAsia" w:ascii="宋体" w:hAnsi="宋体" w:cs="宋体"/>
          <w:color w:val="auto"/>
          <w:sz w:val="24"/>
          <w:highlight w:val="none"/>
        </w:rPr>
        <w:t>（大写）：</w:t>
      </w:r>
      <w:r>
        <w:rPr>
          <w:rFonts w:hint="eastAsia" w:ascii="宋体" w:hAnsi="宋体" w:cs="宋体"/>
          <w:color w:val="auto"/>
          <w:sz w:val="24"/>
          <w:highlight w:val="none"/>
          <w:lang w:val="en-US" w:eastAsia="zh-CN"/>
        </w:rPr>
        <w:t>百分之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rPr>
        <w:t xml:space="preserve">），并对其后的谈判报价负法律责任。 </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三、我方提交的谈判响应文件正本一份、副本三份及电子版一份，并保证谈判响应文件提供的数据和材料真实、准确。否则，愿承担相关的法律责任。</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四、我方已详细阅读了谈判文件，并同意和放弃对谈判文件不明或误解而询问、质疑和投诉的权利。</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五、我方愿意向贵方提供任何与本次谈判有关的数据、情况、样品（如涉及）和技术资料，若贵方需要，我方愿意提供我方做出的一切承诺的证明材料。</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六、我方的谈判响应文件有效期为自谈判截止之日起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个日历日。谈判后在规定的谈判有效期内撤回谈判，我们愿接受政府采购的有关处罚决定。</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七、我方承诺遵守《中华人民共和国政府采购法》及其实施条例的有关规定，保证在获得成交资格后：</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（1）按照谈判文件确定的事项签订合同，履行双方所签订的合同，并承担合同规定的责任和义务；</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（2）我方保证按规定和标准向贵方缴纳成交服务费；</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（3）谈判响应文件有效期延长至合同履行完毕。</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八、我方完全理解最低报价不是成交的唯一条件，并尊重谈判小组的评审结论和成交结果。</w:t>
      </w:r>
    </w:p>
    <w:p>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九、有关于本谈判响应文件的函电，请按下列地址联系:</w:t>
      </w:r>
    </w:p>
    <w:p>
      <w:pPr>
        <w:autoSpaceDE w:val="0"/>
        <w:autoSpaceDN w:val="0"/>
        <w:adjustRightIn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供应商全称（公章）：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utoSpaceDE w:val="0"/>
        <w:autoSpaceDN w:val="0"/>
        <w:adjustRightIn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法定代表人或授权代表（签字或盖章）：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utoSpaceDE w:val="0"/>
        <w:autoSpaceDN w:val="0"/>
        <w:adjustRightIn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b/>
          <w:bCs/>
          <w:color w:val="auto"/>
          <w:sz w:val="24"/>
          <w:highlight w:val="none"/>
          <w:u w:val="single"/>
        </w:rPr>
        <w:t xml:space="preserve">                                          </w:t>
      </w:r>
    </w:p>
    <w:p>
      <w:pPr>
        <w:autoSpaceDE w:val="0"/>
        <w:autoSpaceDN w:val="0"/>
        <w:adjustRightIn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b/>
          <w:bCs/>
          <w:color w:val="auto"/>
          <w:sz w:val="24"/>
          <w:highlight w:val="none"/>
          <w:u w:val="single"/>
        </w:rPr>
        <w:t xml:space="preserve">                                          </w:t>
      </w:r>
    </w:p>
    <w:p>
      <w:pPr>
        <w:autoSpaceDE w:val="0"/>
        <w:autoSpaceDN w:val="0"/>
        <w:adjustRightIn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帐    号：</w:t>
      </w:r>
      <w:r>
        <w:rPr>
          <w:rFonts w:hint="eastAsia" w:ascii="宋体" w:hAnsi="宋体" w:cs="宋体"/>
          <w:b/>
          <w:bCs/>
          <w:color w:val="auto"/>
          <w:sz w:val="24"/>
          <w:highlight w:val="none"/>
          <w:u w:val="single"/>
        </w:rPr>
        <w:t xml:space="preserve">                                          </w:t>
      </w:r>
    </w:p>
    <w:p>
      <w:pPr>
        <w:autoSpaceDE w:val="0"/>
        <w:autoSpaceDN w:val="0"/>
        <w:adjustRightIn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b/>
          <w:bCs/>
          <w:color w:val="auto"/>
          <w:sz w:val="24"/>
          <w:highlight w:val="none"/>
          <w:u w:val="single"/>
        </w:rPr>
        <w:t xml:space="preserve">                                          </w:t>
      </w:r>
    </w:p>
    <w:p>
      <w:pPr>
        <w:autoSpaceDE w:val="0"/>
        <w:autoSpaceDN w:val="0"/>
        <w:adjustRightInd w:val="0"/>
        <w:spacing w:line="360" w:lineRule="exact"/>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rPr>
        <w:t>邮    编：</w:t>
      </w:r>
      <w:r>
        <w:rPr>
          <w:rFonts w:hint="eastAsia" w:ascii="宋体" w:hAnsi="宋体" w:cs="宋体"/>
          <w:b/>
          <w:bCs/>
          <w:color w:val="auto"/>
          <w:sz w:val="24"/>
          <w:highlight w:val="none"/>
          <w:u w:val="single"/>
        </w:rPr>
        <w:t xml:space="preserve">                                          </w:t>
      </w:r>
    </w:p>
    <w:p>
      <w:pPr>
        <w:autoSpaceDE w:val="0"/>
        <w:autoSpaceDN w:val="0"/>
        <w:adjustRightInd w:val="0"/>
        <w:spacing w:line="360" w:lineRule="exact"/>
        <w:ind w:firstLine="6480" w:firstLineChars="27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4"/>
        <w:spacing w:line="360" w:lineRule="exact"/>
        <w:rPr>
          <w:rFonts w:ascii="宋体" w:hAnsi="宋体" w:cs="宋体"/>
          <w:color w:val="auto"/>
          <w:sz w:val="24"/>
          <w:highlight w:val="none"/>
        </w:rPr>
      </w:pPr>
    </w:p>
    <w:p>
      <w:pPr>
        <w:pStyle w:val="4"/>
        <w:spacing w:before="0" w:after="120" w:afterLines="50" w:line="360" w:lineRule="auto"/>
        <w:ind w:firstLine="2715" w:firstLineChars="845"/>
        <w:rPr>
          <w:rFonts w:ascii="宋体" w:hAnsi="宋体" w:eastAsia="宋体" w:cs="宋体"/>
          <w:bCs/>
          <w:color w:val="auto"/>
          <w:kern w:val="2"/>
          <w:sz w:val="32"/>
          <w:szCs w:val="32"/>
          <w:highlight w:val="none"/>
        </w:rPr>
      </w:pPr>
      <w:bookmarkStart w:id="174" w:name="_Toc28494"/>
      <w:bookmarkEnd w:id="174"/>
      <w:bookmarkStart w:id="175" w:name="_Toc16265264"/>
      <w:bookmarkStart w:id="176" w:name="_Toc29659"/>
      <w:bookmarkStart w:id="177" w:name="_Toc495913697"/>
      <w:bookmarkStart w:id="178" w:name="_Toc31706"/>
      <w:r>
        <w:rPr>
          <w:rFonts w:hint="eastAsia" w:ascii="宋体" w:hAnsi="宋体" w:eastAsia="宋体" w:cs="宋体"/>
          <w:bCs/>
          <w:color w:val="auto"/>
          <w:kern w:val="2"/>
          <w:sz w:val="32"/>
          <w:szCs w:val="32"/>
          <w:highlight w:val="none"/>
        </w:rPr>
        <w:t>二、第一次谈判报价表</w:t>
      </w:r>
      <w:bookmarkEnd w:id="175"/>
      <w:bookmarkEnd w:id="176"/>
      <w:bookmarkEnd w:id="177"/>
      <w:bookmarkEnd w:id="178"/>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89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736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lang w:eastAsia="zh-CN"/>
              </w:rPr>
              <w:t>西安商贸旅游技师学院烹饪系、食品系实训课原材料采购项目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89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项目编号</w:t>
            </w:r>
          </w:p>
        </w:tc>
        <w:tc>
          <w:tcPr>
            <w:tcW w:w="7366" w:type="dxa"/>
            <w:vAlign w:val="center"/>
          </w:tcPr>
          <w:p>
            <w:pPr>
              <w:jc w:val="center"/>
              <w:rPr>
                <w:rFonts w:hint="eastAsia" w:ascii="宋体" w:hAnsi="宋体" w:eastAsia="宋体" w:cs="宋体"/>
                <w:color w:val="auto"/>
                <w:sz w:val="24"/>
                <w:highlight w:val="none"/>
                <w:lang w:eastAsia="zh-CN"/>
              </w:rPr>
            </w:pPr>
            <w:r>
              <w:rPr>
                <w:rFonts w:hint="eastAsia" w:ascii="宋体" w:hAnsi="宋体" w:cs="宋体"/>
                <w:bCs/>
                <w:color w:val="auto"/>
                <w:sz w:val="24"/>
                <w:highlight w:val="none"/>
                <w:lang w:eastAsia="zh-CN"/>
              </w:rPr>
              <w:t>MZ2023-TP1007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893"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谈判总报价</w:t>
            </w:r>
          </w:p>
          <w:p>
            <w:pPr>
              <w:jc w:val="center"/>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上浮率</w:t>
            </w:r>
            <w:r>
              <w:rPr>
                <w:rFonts w:hint="eastAsia" w:ascii="宋体" w:hAnsi="宋体" w:cs="宋体"/>
                <w:color w:val="auto"/>
                <w:sz w:val="24"/>
                <w:highlight w:val="none"/>
              </w:rPr>
              <w:t>）</w:t>
            </w:r>
          </w:p>
        </w:tc>
        <w:tc>
          <w:tcPr>
            <w:tcW w:w="7366" w:type="dxa"/>
            <w:vAlign w:val="center"/>
          </w:tcPr>
          <w:p>
            <w:pPr>
              <w:widowControl/>
              <w:ind w:firstLine="240" w:firstLineChars="100"/>
              <w:jc w:val="left"/>
              <w:rPr>
                <w:rFonts w:ascii="宋体" w:hAnsi="宋体" w:cs="宋体"/>
                <w:color w:val="auto"/>
                <w:sz w:val="24"/>
                <w:highlight w:val="none"/>
              </w:rPr>
            </w:pPr>
            <w:r>
              <w:rPr>
                <w:rFonts w:hint="eastAsia" w:ascii="宋体" w:hAnsi="宋体" w:cs="宋体"/>
                <w:color w:val="auto"/>
                <w:sz w:val="24"/>
                <w:highlight w:val="none"/>
              </w:rPr>
              <w:t>大写：</w:t>
            </w:r>
            <w:r>
              <w:rPr>
                <w:rFonts w:hint="eastAsia" w:ascii="宋体" w:hAnsi="宋体" w:cs="宋体"/>
                <w:color w:val="auto"/>
                <w:sz w:val="24"/>
                <w:highlight w:val="none"/>
                <w:lang w:val="en-US" w:eastAsia="zh-CN"/>
              </w:rPr>
              <w:t>百分之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（精确到0.01%）</w:t>
            </w:r>
          </w:p>
          <w:p>
            <w:pPr>
              <w:widowControl/>
              <w:jc w:val="left"/>
              <w:rPr>
                <w:rFonts w:ascii="宋体" w:hAnsi="宋体" w:cs="宋体"/>
                <w:color w:val="auto"/>
                <w:sz w:val="24"/>
                <w:highlight w:val="none"/>
              </w:rPr>
            </w:pPr>
          </w:p>
          <w:p>
            <w:pPr>
              <w:ind w:firstLine="240" w:firstLineChars="100"/>
              <w:rPr>
                <w:rFonts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%（精确到0.01%）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9" w:hRule="atLeast"/>
        </w:trPr>
        <w:tc>
          <w:tcPr>
            <w:tcW w:w="9259" w:type="dxa"/>
            <w:gridSpan w:val="2"/>
            <w:vAlign w:val="center"/>
          </w:tcPr>
          <w:p>
            <w:pPr>
              <w:pStyle w:val="15"/>
              <w:numPr>
                <w:ilvl w:val="0"/>
                <w:numId w:val="0"/>
              </w:numPr>
              <w:adjustRightInd w:val="0"/>
              <w:snapToGrid w:val="0"/>
              <w:spacing w:line="360" w:lineRule="auto"/>
              <w:jc w:val="left"/>
              <w:rPr>
                <w:rFonts w:hint="eastAsia" w:ascii="宋体" w:hAnsi="宋体" w:cs="宋体"/>
                <w:color w:val="auto"/>
                <w:sz w:val="24"/>
                <w:szCs w:val="21"/>
                <w:highlight w:val="none"/>
              </w:rPr>
            </w:pPr>
            <w:r>
              <w:rPr>
                <w:rFonts w:hint="eastAsia" w:ascii="宋体" w:hAnsi="宋体" w:cs="宋体"/>
                <w:bCs/>
                <w:color w:val="auto"/>
                <w:kern w:val="0"/>
                <w:sz w:val="24"/>
                <w:highlight w:val="none"/>
              </w:rPr>
              <w:t>说明：</w:t>
            </w:r>
            <w:r>
              <w:rPr>
                <w:rFonts w:hint="eastAsia" w:ascii="宋体" w:hAnsi="宋体" w:cs="宋体"/>
                <w:bCs/>
                <w:color w:val="auto"/>
                <w:kern w:val="0"/>
                <w:sz w:val="24"/>
                <w:highlight w:val="none"/>
                <w:lang w:val="en-US" w:eastAsia="zh-CN"/>
              </w:rPr>
              <w:t>1、</w:t>
            </w:r>
            <w:r>
              <w:rPr>
                <w:rFonts w:hint="eastAsia" w:ascii="宋体" w:hAnsi="宋体" w:cs="宋体"/>
                <w:color w:val="auto"/>
                <w:sz w:val="24"/>
                <w:szCs w:val="21"/>
                <w:highlight w:val="none"/>
              </w:rPr>
              <w:t>每月底双方到市场（</w:t>
            </w:r>
            <w:r>
              <w:rPr>
                <w:rFonts w:hint="eastAsia" w:ascii="宋体" w:hAnsi="宋体" w:cs="宋体"/>
                <w:color w:val="auto"/>
                <w:sz w:val="24"/>
                <w:highlight w:val="none"/>
                <w:lang w:val="en-US" w:eastAsia="zh-CN" w:bidi="ar"/>
              </w:rPr>
              <w:t>胡家庙蔬菜批发市场、欣桥蔬菜批发市场、朱雀蔬菜批发市场、西一路</w:t>
            </w:r>
            <w:r>
              <w:rPr>
                <w:rFonts w:hint="eastAsia" w:ascii="宋体" w:hAnsi="宋体" w:cs="宋体"/>
                <w:color w:val="auto"/>
                <w:sz w:val="24"/>
                <w:szCs w:val="21"/>
                <w:highlight w:val="none"/>
              </w:rPr>
              <w:t>）询价。询到零售价之后得出结算价，结算价=（零售价×上浮率</w:t>
            </w:r>
            <w:r>
              <w:rPr>
                <w:rFonts w:hint="eastAsia" w:ascii="宋体" w:hAnsi="宋体" w:cs="宋体"/>
                <w:color w:val="auto"/>
                <w:sz w:val="24"/>
                <w:szCs w:val="21"/>
                <w:highlight w:val="none"/>
                <w:lang w:val="en-US" w:eastAsia="zh-CN"/>
              </w:rPr>
              <w:t>+</w:t>
            </w:r>
            <w:r>
              <w:rPr>
                <w:rFonts w:hint="eastAsia" w:ascii="宋体" w:hAnsi="宋体" w:cs="宋体"/>
                <w:color w:val="auto"/>
                <w:sz w:val="24"/>
                <w:szCs w:val="21"/>
                <w:highlight w:val="none"/>
              </w:rPr>
              <w:t>零售价）×数量。（举例：</w:t>
            </w:r>
            <w:r>
              <w:rPr>
                <w:rFonts w:hint="eastAsia" w:ascii="宋体" w:hAnsi="宋体" w:cs="宋体"/>
                <w:color w:val="auto"/>
                <w:sz w:val="24"/>
                <w:szCs w:val="21"/>
                <w:highlight w:val="none"/>
                <w:lang w:val="en-US" w:eastAsia="zh-CN"/>
              </w:rPr>
              <w:t>成交供应商</w:t>
            </w:r>
            <w:r>
              <w:rPr>
                <w:rFonts w:hint="eastAsia" w:ascii="宋体" w:hAnsi="宋体" w:cs="宋体"/>
                <w:color w:val="auto"/>
                <w:sz w:val="24"/>
                <w:szCs w:val="21"/>
                <w:highlight w:val="none"/>
              </w:rPr>
              <w:t>上浮率20%，月底学校代表及</w:t>
            </w:r>
            <w:r>
              <w:rPr>
                <w:rFonts w:hint="eastAsia" w:ascii="宋体" w:hAnsi="宋体" w:cs="宋体"/>
                <w:color w:val="auto"/>
                <w:sz w:val="24"/>
                <w:szCs w:val="21"/>
                <w:highlight w:val="none"/>
                <w:lang w:val="en-US" w:eastAsia="zh-CN"/>
              </w:rPr>
              <w:t>成交供应商</w:t>
            </w:r>
            <w:r>
              <w:rPr>
                <w:rFonts w:hint="eastAsia" w:ascii="宋体" w:hAnsi="宋体" w:cs="宋体"/>
                <w:color w:val="auto"/>
                <w:sz w:val="24"/>
                <w:szCs w:val="21"/>
                <w:highlight w:val="none"/>
              </w:rPr>
              <w:t>到市场询到该种类5元一斤，5+（5*20%）=6元）；</w:t>
            </w:r>
          </w:p>
          <w:p>
            <w:pPr>
              <w:numPr>
                <w:ilvl w:val="0"/>
                <w:numId w:val="0"/>
              </w:numPr>
              <w:autoSpaceDE w:val="0"/>
              <w:autoSpaceDN w:val="0"/>
              <w:adjustRightInd w:val="0"/>
              <w:snapToGrid w:val="0"/>
              <w:spacing w:line="360" w:lineRule="auto"/>
              <w:jc w:val="left"/>
              <w:rPr>
                <w:rFonts w:hint="eastAsia" w:ascii="宋体" w:hAnsi="宋体" w:cs="宋体"/>
                <w:color w:val="auto"/>
                <w:sz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各类</w:t>
            </w:r>
            <w:r>
              <w:rPr>
                <w:rFonts w:hint="eastAsia" w:ascii="宋体" w:hAnsi="宋体" w:cs="宋体"/>
                <w:color w:val="auto"/>
                <w:sz w:val="24"/>
                <w:szCs w:val="21"/>
                <w:highlight w:val="none"/>
              </w:rPr>
              <w:t>货价（上浮率）不能超零售价的2</w:t>
            </w:r>
            <w:r>
              <w:rPr>
                <w:rFonts w:hint="eastAsia" w:ascii="宋体" w:hAnsi="宋体" w:cs="宋体"/>
                <w:color w:val="auto"/>
                <w:sz w:val="24"/>
                <w:szCs w:val="21"/>
                <w:highlight w:val="none"/>
                <w:lang w:val="en-US" w:eastAsia="zh-CN"/>
              </w:rPr>
              <w:t>3</w:t>
            </w:r>
            <w:r>
              <w:rPr>
                <w:rFonts w:hint="eastAsia" w:ascii="宋体" w:hAnsi="宋体" w:cs="宋体"/>
                <w:color w:val="auto"/>
                <w:sz w:val="24"/>
                <w:szCs w:val="21"/>
                <w:highlight w:val="none"/>
              </w:rPr>
              <w:t>%。</w:t>
            </w:r>
            <w:r>
              <w:rPr>
                <w:rFonts w:hint="eastAsia" w:ascii="宋体" w:hAnsi="宋体" w:cs="宋体"/>
                <w:color w:val="auto"/>
                <w:sz w:val="24"/>
                <w:highlight w:val="none"/>
              </w:rPr>
              <w:t xml:space="preserve">      </w:t>
            </w:r>
          </w:p>
          <w:p>
            <w:pPr>
              <w:pStyle w:val="127"/>
              <w:spacing w:line="400" w:lineRule="exact"/>
              <w:rPr>
                <w:rFonts w:hint="eastAsia" w:ascii="宋体" w:hAnsi="宋体" w:eastAsia="宋体" w:cs="宋体"/>
                <w:bCs/>
                <w:color w:val="auto"/>
                <w:kern w:val="0"/>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此</w:t>
            </w:r>
            <w:r>
              <w:rPr>
                <w:rFonts w:hint="eastAsia" w:ascii="宋体" w:hAnsi="宋体" w:cs="宋体"/>
                <w:color w:val="auto"/>
                <w:sz w:val="24"/>
                <w:highlight w:val="none"/>
                <w:lang w:val="en-US" w:eastAsia="zh-CN"/>
              </w:rPr>
              <w:t>谈判</w:t>
            </w:r>
            <w:r>
              <w:rPr>
                <w:rFonts w:hint="eastAsia" w:ascii="宋体" w:hAnsi="宋体" w:cs="宋体"/>
                <w:color w:val="auto"/>
                <w:sz w:val="24"/>
                <w:highlight w:val="none"/>
              </w:rPr>
              <w:t>报价包含本项目所需全过程的一切费用。</w:t>
            </w:r>
          </w:p>
        </w:tc>
      </w:tr>
    </w:tbl>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b/>
          <w:bCs/>
          <w:color w:val="auto"/>
          <w:sz w:val="24"/>
          <w:highlight w:val="none"/>
        </w:rPr>
        <w:t xml:space="preserve">                                                                     </w:t>
      </w:r>
    </w:p>
    <w:p>
      <w:pPr>
        <w:pStyle w:val="125"/>
        <w:rPr>
          <w:rFonts w:ascii="宋体" w:hAnsi="宋体" w:cs="宋体"/>
          <w:color w:val="auto"/>
          <w:highlight w:val="none"/>
        </w:rPr>
      </w:pPr>
    </w:p>
    <w:p>
      <w:pPr>
        <w:pStyle w:val="125"/>
        <w:rPr>
          <w:rFonts w:ascii="宋体" w:hAnsi="宋体" w:cs="宋体"/>
          <w:color w:val="auto"/>
          <w:highlight w:val="none"/>
        </w:rPr>
      </w:pPr>
    </w:p>
    <w:p>
      <w:pPr>
        <w:spacing w:line="360" w:lineRule="auto"/>
        <w:ind w:firstLine="4560" w:firstLineChars="1900"/>
        <w:jc w:val="left"/>
        <w:rPr>
          <w:rFonts w:ascii="宋体" w:hAnsi="宋体" w:cs="宋体"/>
          <w:color w:val="auto"/>
          <w:sz w:val="24"/>
          <w:highlight w:val="none"/>
        </w:rPr>
      </w:pPr>
    </w:p>
    <w:p>
      <w:pPr>
        <w:adjustRightInd w:val="0"/>
        <w:snapToGrid w:val="0"/>
        <w:spacing w:line="360" w:lineRule="auto"/>
        <w:ind w:firstLine="3840" w:firstLineChars="1600"/>
        <w:jc w:val="left"/>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adjustRightInd w:val="0"/>
        <w:snapToGrid w:val="0"/>
        <w:spacing w:line="360" w:lineRule="auto"/>
        <w:ind w:firstLine="3840" w:firstLineChars="1600"/>
        <w:jc w:val="left"/>
        <w:rPr>
          <w:rFonts w:ascii="宋体" w:hAnsi="宋体" w:cs="宋体"/>
          <w:color w:val="auto"/>
          <w:sz w:val="24"/>
          <w:highlight w:val="none"/>
          <w:u w:val="single"/>
        </w:rPr>
      </w:pPr>
      <w:r>
        <w:rPr>
          <w:rFonts w:hint="eastAsia" w:ascii="宋体" w:hAnsi="宋体" w:cs="宋体"/>
          <w:color w:val="auto"/>
          <w:sz w:val="24"/>
          <w:highlight w:val="none"/>
        </w:rPr>
        <w:t>法定代表人或授权代表（签字或盖章）：</w:t>
      </w:r>
      <w:r>
        <w:rPr>
          <w:rFonts w:hint="eastAsia" w:ascii="宋体" w:hAnsi="宋体" w:cs="宋体"/>
          <w:color w:val="auto"/>
          <w:sz w:val="24"/>
          <w:highlight w:val="none"/>
          <w:u w:val="single"/>
        </w:rPr>
        <w:t xml:space="preserve">           </w:t>
      </w:r>
    </w:p>
    <w:p>
      <w:pPr>
        <w:adjustRightInd w:val="0"/>
        <w:snapToGrid w:val="0"/>
        <w:spacing w:line="360" w:lineRule="auto"/>
        <w:ind w:firstLine="3840" w:firstLineChars="1600"/>
        <w:jc w:val="left"/>
        <w:rPr>
          <w:rFonts w:ascii="宋体" w:hAnsi="宋体" w:cs="宋体"/>
          <w:b/>
          <w:bCs/>
          <w:color w:val="auto"/>
          <w:sz w:val="32"/>
          <w:szCs w:val="32"/>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bookmarkStart w:id="179" w:name="_Toc22273"/>
    </w:p>
    <w:p>
      <w:pPr>
        <w:pStyle w:val="4"/>
        <w:spacing w:before="0" w:after="120" w:afterLines="50" w:line="360" w:lineRule="auto"/>
        <w:jc w:val="center"/>
        <w:rPr>
          <w:rFonts w:ascii="宋体" w:hAnsi="宋体" w:eastAsia="宋体" w:cs="宋体"/>
          <w:bCs/>
          <w:color w:val="auto"/>
          <w:sz w:val="32"/>
          <w:szCs w:val="32"/>
          <w:highlight w:val="none"/>
        </w:rPr>
      </w:pPr>
      <w:r>
        <w:rPr>
          <w:rFonts w:hint="eastAsia" w:hAnsi="宋体" w:cs="宋体"/>
          <w:b w:val="0"/>
          <w:bCs/>
          <w:color w:val="auto"/>
          <w:sz w:val="32"/>
          <w:szCs w:val="32"/>
          <w:highlight w:val="none"/>
        </w:rPr>
        <w:br w:type="page"/>
      </w:r>
      <w:bookmarkEnd w:id="179"/>
      <w:bookmarkStart w:id="180" w:name="_Toc21080"/>
      <w:bookmarkStart w:id="181" w:name="_Toc10983"/>
      <w:bookmarkStart w:id="182" w:name="_Toc25790"/>
      <w:bookmarkStart w:id="183" w:name="_Toc536"/>
      <w:bookmarkStart w:id="184" w:name="_Toc5624"/>
      <w:bookmarkStart w:id="185" w:name="_Toc21487"/>
      <w:bookmarkStart w:id="186" w:name="_Toc6710"/>
      <w:bookmarkStart w:id="187" w:name="_Toc23697"/>
      <w:bookmarkStart w:id="188" w:name="_Toc13842"/>
      <w:r>
        <w:rPr>
          <w:rFonts w:hint="eastAsia" w:ascii="宋体" w:hAnsi="宋体" w:eastAsia="宋体" w:cs="宋体"/>
          <w:bCs/>
          <w:color w:val="auto"/>
          <w:sz w:val="32"/>
          <w:szCs w:val="32"/>
          <w:highlight w:val="none"/>
        </w:rPr>
        <w:t>三、</w:t>
      </w:r>
      <w:r>
        <w:rPr>
          <w:rFonts w:hint="eastAsia" w:ascii="宋体" w:hAnsi="宋体" w:eastAsia="宋体" w:cs="宋体"/>
          <w:bCs/>
          <w:color w:val="auto"/>
          <w:sz w:val="32"/>
          <w:szCs w:val="32"/>
          <w:highlight w:val="none"/>
          <w:lang w:val="en-US" w:eastAsia="zh-CN"/>
        </w:rPr>
        <w:t>原材料清单</w:t>
      </w:r>
      <w:bookmarkEnd w:id="180"/>
      <w:bookmarkEnd w:id="181"/>
      <w:bookmarkEnd w:id="182"/>
      <w:bookmarkEnd w:id="183"/>
      <w:bookmarkEnd w:id="184"/>
      <w:bookmarkEnd w:id="185"/>
      <w:bookmarkEnd w:id="186"/>
      <w:bookmarkEnd w:id="187"/>
      <w:bookmarkEnd w:id="188"/>
    </w:p>
    <w:tbl>
      <w:tblPr>
        <w:tblStyle w:val="36"/>
        <w:tblW w:w="991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992"/>
        <w:gridCol w:w="2134"/>
        <w:gridCol w:w="1798"/>
        <w:gridCol w:w="1688"/>
        <w:gridCol w:w="1461"/>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品类</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品牌/产地</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制造商</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99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一、肉类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肉类</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鸭</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草鱼</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鲤鱼</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猪肉</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p>
            <w:pPr>
              <w:rPr>
                <w:color w:val="auto"/>
                <w:highlight w:val="none"/>
              </w:rPr>
            </w:pPr>
          </w:p>
          <w:p>
            <w:pPr>
              <w:rPr>
                <w:color w:val="auto"/>
                <w:highlight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牛肉</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羊肉</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兔肉</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虾</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99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二、粮油类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粮油类</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大米</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特级</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糯米</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面粉</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特级高筋</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面粉</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特级中筋</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面粉</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特级低筋</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猪油</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大豆油</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99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三、蛋、乳类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17</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蛋、乳类</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鲜鸡蛋</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变蛋</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19</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咸蛋黄</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99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四、蔬菜类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蔬菜类</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广东青萝卜</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4"/>
                <w:szCs w:val="24"/>
                <w:highlight w:val="none"/>
                <w:u w:val="none"/>
                <w:lang w:val="en-US" w:eastAsia="zh-CN"/>
              </w:rPr>
              <w:t>21</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highlight w:val="none"/>
                <w:lang w:val="en-US" w:eastAsia="zh-CN"/>
              </w:rPr>
              <w:t>生姜</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p>
            <w:pPr>
              <w:rPr>
                <w:color w:val="auto"/>
                <w:highlight w:val="none"/>
              </w:rPr>
            </w:pPr>
          </w:p>
          <w:p>
            <w:pPr>
              <w:bidi w:val="0"/>
              <w:ind w:firstLine="510" w:firstLineChars="0"/>
              <w:jc w:val="left"/>
              <w:rPr>
                <w:rFonts w:ascii="Times New Roman" w:hAnsi="Times New Roman" w:eastAsia="宋体" w:cs="Times New Roman"/>
                <w:color w:val="auto"/>
                <w:kern w:val="2"/>
                <w:sz w:val="21"/>
                <w:szCs w:val="24"/>
                <w:highlight w:val="none"/>
                <w:lang w:val="en-US" w:eastAsia="zh-CN" w:bidi="ar-SA"/>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22</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highlight w:val="none"/>
                <w:lang w:val="en-US" w:eastAsia="zh-CN"/>
              </w:rPr>
              <w:t>西芹</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410"/>
              </w:tabs>
              <w:jc w:val="left"/>
              <w:rPr>
                <w:rFonts w:hint="eastAsia" w:ascii="宋体" w:hAnsi="宋体" w:eastAsia="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none"/>
                <w:lang w:eastAsia="zh-CN"/>
              </w:rPr>
              <w:tab/>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p>
            <w:pPr>
              <w:rPr>
                <w:color w:val="auto"/>
                <w:highlight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23</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心里美萝卜</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24</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小乳瓜</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土豆</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99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五、果品类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果品类</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果酱</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果脯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水果罐头</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29</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果汁</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99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六、调味品类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调味品类</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人造黄油（麦淇淋）</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人造酥片麦淇淋</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动物淡奶油</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动物黄油</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34</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烘焙枣泥</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blHead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乳酪（奶油奶酪）</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adjustRightInd w:val="0"/>
        <w:snapToGrid w:val="0"/>
        <w:spacing w:line="360" w:lineRule="auto"/>
        <w:ind w:firstLine="480" w:firstLineChars="200"/>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t>说明：</w:t>
      </w:r>
    </w:p>
    <w:p>
      <w:pPr>
        <w:numPr>
          <w:ilvl w:val="0"/>
          <w:numId w:val="11"/>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本表须对</w:t>
      </w:r>
      <w:r>
        <w:rPr>
          <w:rFonts w:hint="eastAsia" w:ascii="宋体" w:hAnsi="宋体" w:cs="宋体"/>
          <w:color w:val="auto"/>
          <w:sz w:val="24"/>
          <w:highlight w:val="none"/>
          <w:lang w:val="en-US" w:eastAsia="zh-CN"/>
        </w:rPr>
        <w:t>以上给出产品</w:t>
      </w:r>
      <w:r>
        <w:rPr>
          <w:rFonts w:hint="eastAsia" w:ascii="宋体" w:hAnsi="宋体" w:cs="宋体"/>
          <w:color w:val="auto"/>
          <w:sz w:val="24"/>
          <w:highlight w:val="none"/>
        </w:rPr>
        <w:t>的相关内容逐条响应，不得空缺；</w:t>
      </w:r>
    </w:p>
    <w:p>
      <w:pPr>
        <w:pStyle w:val="2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2.如无规格、型号可填无。</w:t>
      </w:r>
    </w:p>
    <w:p>
      <w:pPr>
        <w:adjustRightInd w:val="0"/>
        <w:snapToGrid w:val="0"/>
        <w:spacing w:line="360" w:lineRule="auto"/>
        <w:ind w:firstLine="3840" w:firstLineChars="1600"/>
        <w:jc w:val="left"/>
        <w:rPr>
          <w:rFonts w:ascii="宋体" w:hAnsi="宋体" w:cs="宋体"/>
          <w:color w:val="auto"/>
          <w:sz w:val="24"/>
          <w:highlight w:val="none"/>
        </w:rPr>
      </w:pPr>
    </w:p>
    <w:p>
      <w:pPr>
        <w:adjustRightInd w:val="0"/>
        <w:snapToGrid w:val="0"/>
        <w:spacing w:line="360" w:lineRule="auto"/>
        <w:ind w:firstLine="3840" w:firstLineChars="1600"/>
        <w:jc w:val="left"/>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adjustRightInd w:val="0"/>
        <w:snapToGrid w:val="0"/>
        <w:spacing w:line="360" w:lineRule="auto"/>
        <w:ind w:firstLine="3840" w:firstLineChars="1600"/>
        <w:jc w:val="left"/>
        <w:rPr>
          <w:rFonts w:ascii="宋体" w:hAnsi="宋体" w:cs="宋体"/>
          <w:color w:val="auto"/>
          <w:sz w:val="24"/>
          <w:highlight w:val="none"/>
          <w:u w:val="single"/>
        </w:rPr>
      </w:pPr>
      <w:r>
        <w:rPr>
          <w:rFonts w:hint="eastAsia" w:ascii="宋体" w:hAnsi="宋体" w:cs="宋体"/>
          <w:color w:val="auto"/>
          <w:sz w:val="24"/>
          <w:highlight w:val="none"/>
        </w:rPr>
        <w:t>法定代表人或授权代表（签字或盖章）：</w:t>
      </w:r>
      <w:r>
        <w:rPr>
          <w:rFonts w:hint="eastAsia" w:ascii="宋体" w:hAnsi="宋体" w:cs="宋体"/>
          <w:color w:val="auto"/>
          <w:sz w:val="24"/>
          <w:highlight w:val="none"/>
          <w:u w:val="single"/>
        </w:rPr>
        <w:t xml:space="preserve">           </w:t>
      </w:r>
    </w:p>
    <w:p>
      <w:pPr>
        <w:autoSpaceDE w:val="0"/>
        <w:autoSpaceDN w:val="0"/>
        <w:adjustRightInd w:val="0"/>
        <w:snapToGrid w:val="0"/>
        <w:spacing w:line="360" w:lineRule="auto"/>
        <w:ind w:firstLine="3840" w:firstLineChars="1600"/>
        <w:rPr>
          <w:rFonts w:ascii="宋体" w:hAnsi="宋体" w:cs="宋体"/>
          <w:color w:val="auto"/>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rPr>
          <w:rFonts w:ascii="宋体" w:hAnsi="宋体" w:cs="宋体"/>
          <w:color w:val="auto"/>
          <w:sz w:val="24"/>
          <w:highlight w:val="none"/>
          <w:u w:val="single"/>
        </w:rPr>
      </w:pPr>
      <w:r>
        <w:rPr>
          <w:rFonts w:hint="eastAsia" w:ascii="宋体" w:hAnsi="宋体" w:cs="宋体"/>
          <w:color w:val="auto"/>
          <w:sz w:val="24"/>
          <w:highlight w:val="none"/>
          <w:u w:val="single"/>
        </w:rPr>
        <w:br w:type="page"/>
      </w:r>
    </w:p>
    <w:p>
      <w:pPr>
        <w:spacing w:line="360" w:lineRule="auto"/>
        <w:jc w:val="center"/>
        <w:outlineLvl w:val="1"/>
        <w:rPr>
          <w:rFonts w:ascii="宋体" w:hAnsi="宋体" w:cs="宋体"/>
          <w:bCs/>
          <w:color w:val="auto"/>
          <w:sz w:val="24"/>
          <w:highlight w:val="none"/>
        </w:rPr>
      </w:pPr>
      <w:bookmarkStart w:id="189" w:name="_Toc27820"/>
      <w:bookmarkStart w:id="190" w:name="_Toc71729648"/>
      <w:bookmarkStart w:id="191" w:name="_Toc8606"/>
      <w:bookmarkStart w:id="192" w:name="_Toc495913702"/>
      <w:bookmarkStart w:id="193" w:name="_Toc3788"/>
      <w:r>
        <w:rPr>
          <w:rFonts w:hint="eastAsia" w:ascii="宋体" w:hAnsi="宋体" w:cs="宋体"/>
          <w:b/>
          <w:bCs/>
          <w:color w:val="auto"/>
          <w:kern w:val="0"/>
          <w:sz w:val="32"/>
          <w:szCs w:val="32"/>
          <w:highlight w:val="none"/>
        </w:rPr>
        <w:t>四、</w:t>
      </w:r>
      <w:bookmarkEnd w:id="189"/>
      <w:bookmarkEnd w:id="190"/>
      <w:r>
        <w:rPr>
          <w:rFonts w:hint="eastAsia" w:ascii="宋体" w:hAnsi="宋体" w:cs="宋体"/>
          <w:b/>
          <w:bCs/>
          <w:color w:val="auto"/>
          <w:kern w:val="0"/>
          <w:sz w:val="32"/>
          <w:szCs w:val="32"/>
          <w:highlight w:val="none"/>
        </w:rPr>
        <w:t>采购内容偏离表</w:t>
      </w:r>
      <w:bookmarkEnd w:id="191"/>
    </w:p>
    <w:p>
      <w:pPr>
        <w:spacing w:line="400" w:lineRule="exact"/>
        <w:rPr>
          <w:rFonts w:ascii="宋体" w:hAnsi="宋体" w:cs="宋体"/>
          <w:color w:val="auto"/>
          <w:sz w:val="24"/>
          <w:highlight w:val="none"/>
        </w:rPr>
      </w:pPr>
    </w:p>
    <w:tbl>
      <w:tblPr>
        <w:tblStyle w:val="36"/>
        <w:tblpPr w:leftFromText="180" w:rightFromText="180" w:vertAnchor="text" w:horzAnchor="page" w:tblpX="1405" w:tblpY="-176"/>
        <w:tblOverlap w:val="never"/>
        <w:tblW w:w="9162" w:type="dxa"/>
        <w:tblInd w:w="0" w:type="dxa"/>
        <w:tblLayout w:type="fixed"/>
        <w:tblCellMar>
          <w:top w:w="0" w:type="dxa"/>
          <w:left w:w="28" w:type="dxa"/>
          <w:bottom w:w="0" w:type="dxa"/>
          <w:right w:w="28" w:type="dxa"/>
        </w:tblCellMar>
      </w:tblPr>
      <w:tblGrid>
        <w:gridCol w:w="840"/>
        <w:gridCol w:w="1360"/>
        <w:gridCol w:w="1890"/>
        <w:gridCol w:w="2070"/>
        <w:gridCol w:w="1382"/>
        <w:gridCol w:w="1620"/>
      </w:tblGrid>
      <w:tr>
        <w:tblPrEx>
          <w:tblCellMar>
            <w:top w:w="0" w:type="dxa"/>
            <w:left w:w="28" w:type="dxa"/>
            <w:bottom w:w="0" w:type="dxa"/>
            <w:right w:w="28" w:type="dxa"/>
          </w:tblCellMar>
        </w:tblPrEx>
        <w:trPr>
          <w:trHeight w:val="586"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60"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产品名称</w:t>
            </w:r>
          </w:p>
        </w:tc>
        <w:tc>
          <w:tcPr>
            <w:tcW w:w="1890"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谈判文件采购</w:t>
            </w: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内容要求</w:t>
            </w:r>
          </w:p>
        </w:tc>
        <w:tc>
          <w:tcPr>
            <w:tcW w:w="2070"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谈判响应文件采购内容响应</w:t>
            </w:r>
          </w:p>
        </w:tc>
        <w:tc>
          <w:tcPr>
            <w:tcW w:w="1382" w:type="dxa"/>
            <w:tcBorders>
              <w:top w:val="single" w:color="000000" w:sz="6" w:space="0"/>
              <w:left w:val="nil"/>
              <w:bottom w:val="single" w:color="000000" w:sz="6" w:space="0"/>
              <w:right w:val="single" w:color="000000" w:sz="6" w:space="0"/>
            </w:tcBorders>
            <w:vAlign w:val="center"/>
          </w:tcPr>
          <w:p>
            <w:pPr>
              <w:pStyle w:val="127"/>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szCs w:val="24"/>
                <w:highlight w:val="none"/>
              </w:rPr>
              <w:t>偏离</w:t>
            </w:r>
          </w:p>
        </w:tc>
        <w:tc>
          <w:tcPr>
            <w:tcW w:w="1620" w:type="dxa"/>
            <w:tcBorders>
              <w:top w:val="single" w:color="000000" w:sz="6" w:space="0"/>
              <w:left w:val="nil"/>
              <w:bottom w:val="single" w:color="000000" w:sz="6" w:space="0"/>
              <w:right w:val="single" w:color="000000" w:sz="6" w:space="0"/>
            </w:tcBorders>
            <w:vAlign w:val="center"/>
          </w:tcPr>
          <w:p>
            <w:pPr>
              <w:pStyle w:val="127"/>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tblPrEx>
          <w:tblCellMar>
            <w:top w:w="0" w:type="dxa"/>
            <w:left w:w="28" w:type="dxa"/>
            <w:bottom w:w="0" w:type="dxa"/>
            <w:right w:w="28" w:type="dxa"/>
          </w:tblCellMar>
        </w:tblPrEx>
        <w:trPr>
          <w:cantSplit/>
          <w:trHeight w:val="606"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1</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7"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6"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3</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7"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4</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6"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5</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7"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6</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6"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7</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7"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bl>
    <w:p>
      <w:pPr>
        <w:spacing w:line="400" w:lineRule="exact"/>
        <w:rPr>
          <w:rFonts w:ascii="宋体" w:hAnsi="宋体" w:cs="宋体"/>
          <w:color w:val="auto"/>
          <w:sz w:val="24"/>
          <w:highlight w:val="none"/>
        </w:rPr>
      </w:pPr>
      <w:r>
        <w:rPr>
          <w:rFonts w:hint="eastAsia" w:ascii="宋体" w:hAnsi="宋体" w:cs="宋体"/>
          <w:color w:val="auto"/>
          <w:sz w:val="24"/>
          <w:highlight w:val="none"/>
        </w:rPr>
        <w:t>说明：</w:t>
      </w:r>
    </w:p>
    <w:p>
      <w:pPr>
        <w:spacing w:line="360" w:lineRule="auto"/>
        <w:rPr>
          <w:rFonts w:ascii="宋体" w:hAnsi="宋体" w:cs="宋体"/>
          <w:color w:val="auto"/>
          <w:sz w:val="24"/>
          <w:highlight w:val="none"/>
        </w:rPr>
      </w:pPr>
      <w:r>
        <w:rPr>
          <w:rFonts w:hint="eastAsia" w:ascii="宋体" w:hAnsi="宋体" w:cs="宋体"/>
          <w:color w:val="auto"/>
          <w:sz w:val="24"/>
          <w:highlight w:val="none"/>
        </w:rPr>
        <w:t>1.本表须对“第五章”采购需求中二、采购内容”相关内容逐条响应，不得空缺；</w:t>
      </w:r>
    </w:p>
    <w:p>
      <w:pPr>
        <w:spacing w:line="400" w:lineRule="exact"/>
        <w:rPr>
          <w:rFonts w:ascii="宋体" w:hAnsi="宋体" w:cs="宋体"/>
          <w:color w:val="auto"/>
          <w:sz w:val="24"/>
          <w:highlight w:val="none"/>
        </w:rPr>
      </w:pPr>
      <w:r>
        <w:rPr>
          <w:rFonts w:hint="eastAsia" w:ascii="宋体" w:hAnsi="宋体" w:cs="宋体"/>
          <w:color w:val="auto"/>
          <w:sz w:val="24"/>
          <w:highlight w:val="none"/>
        </w:rPr>
        <w:t>2.偏离填写：正偏离、负偏离、无偏离。偏离说明对偏离情况做出详细说明。</w:t>
      </w:r>
    </w:p>
    <w:p>
      <w:pPr>
        <w:spacing w:line="400" w:lineRule="exact"/>
        <w:rPr>
          <w:rFonts w:ascii="宋体" w:hAnsi="宋体" w:cs="宋体"/>
          <w:color w:val="auto"/>
          <w:sz w:val="24"/>
          <w:highlight w:val="none"/>
        </w:rPr>
      </w:pPr>
      <w:r>
        <w:rPr>
          <w:rFonts w:hint="eastAsia" w:ascii="宋体" w:hAnsi="宋体" w:cs="宋体"/>
          <w:color w:val="auto"/>
          <w:sz w:val="24"/>
          <w:highlight w:val="none"/>
        </w:rPr>
        <w:t>3.供应商必须据实填写，不得虚假响应，否则将取消其谈判或成交资格，并按有关规定进行处罚。</w:t>
      </w: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spacing w:line="360" w:lineRule="auto"/>
        <w:ind w:firstLine="3840" w:firstLineChars="1600"/>
        <w:rPr>
          <w:rFonts w:ascii="宋体" w:hAnsi="宋体" w:cs="宋体"/>
          <w:color w:val="auto"/>
          <w:sz w:val="24"/>
          <w:highlight w:val="none"/>
          <w:u w:val="single"/>
        </w:rPr>
      </w:pPr>
      <w:r>
        <w:rPr>
          <w:rFonts w:hint="eastAsia" w:ascii="宋体" w:hAnsi="宋体" w:cs="宋体"/>
          <w:color w:val="auto"/>
          <w:sz w:val="24"/>
          <w:highlight w:val="none"/>
        </w:rPr>
        <w:t>法定代表人或授权代表（签字或盖章）：</w:t>
      </w:r>
      <w:r>
        <w:rPr>
          <w:rFonts w:hint="eastAsia" w:ascii="宋体" w:hAnsi="宋体" w:cs="宋体"/>
          <w:color w:val="auto"/>
          <w:sz w:val="24"/>
          <w:highlight w:val="none"/>
          <w:u w:val="single"/>
        </w:rPr>
        <w:t xml:space="preserve">              </w:t>
      </w:r>
    </w:p>
    <w:p>
      <w:pPr>
        <w:spacing w:line="360" w:lineRule="auto"/>
        <w:ind w:firstLine="3840" w:firstLineChars="1600"/>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adjustRightInd w:val="0"/>
        <w:snapToGrid w:val="0"/>
        <w:spacing w:line="480" w:lineRule="auto"/>
        <w:ind w:firstLine="3840" w:firstLineChars="1600"/>
        <w:rPr>
          <w:rFonts w:ascii="宋体" w:hAnsi="宋体" w:cs="宋体"/>
          <w:color w:val="auto"/>
          <w:sz w:val="24"/>
          <w:highlight w:val="none"/>
          <w:u w:val="single"/>
        </w:rPr>
      </w:pPr>
    </w:p>
    <w:p>
      <w:pPr>
        <w:adjustRightInd w:val="0"/>
        <w:snapToGrid w:val="0"/>
        <w:spacing w:line="480" w:lineRule="auto"/>
        <w:rPr>
          <w:rFonts w:ascii="宋体" w:hAnsi="宋体" w:cs="宋体"/>
          <w:color w:val="auto"/>
          <w:sz w:val="24"/>
          <w:highlight w:val="none"/>
        </w:rPr>
      </w:pPr>
    </w:p>
    <w:p>
      <w:pPr>
        <w:adjustRightInd w:val="0"/>
        <w:snapToGrid w:val="0"/>
        <w:spacing w:line="480" w:lineRule="auto"/>
        <w:rPr>
          <w:rFonts w:ascii="宋体" w:hAnsi="宋体" w:cs="宋体"/>
          <w:color w:val="auto"/>
          <w:sz w:val="24"/>
          <w:highlight w:val="none"/>
        </w:rPr>
      </w:pPr>
    </w:p>
    <w:bookmarkEnd w:id="192"/>
    <w:bookmarkEnd w:id="193"/>
    <w:p>
      <w:pPr>
        <w:pStyle w:val="4"/>
        <w:spacing w:before="0" w:after="120" w:afterLines="50" w:line="360" w:lineRule="auto"/>
        <w:jc w:val="center"/>
        <w:rPr>
          <w:rFonts w:ascii="宋体" w:hAnsi="宋体" w:cs="宋体"/>
          <w:color w:val="auto"/>
          <w:sz w:val="24"/>
          <w:highlight w:val="none"/>
        </w:rPr>
      </w:pPr>
      <w:bookmarkStart w:id="194" w:name="_Toc7820"/>
      <w:bookmarkStart w:id="195" w:name="_Toc71729649"/>
      <w:bookmarkStart w:id="196" w:name="_Toc30826"/>
      <w:bookmarkStart w:id="197" w:name="_Toc28897"/>
      <w:bookmarkStart w:id="198" w:name="_Toc7285"/>
      <w:bookmarkStart w:id="199" w:name="_Toc1252"/>
      <w:bookmarkStart w:id="200" w:name="_Toc18893"/>
      <w:bookmarkStart w:id="201" w:name="_Toc23626"/>
      <w:bookmarkStart w:id="202" w:name="_Toc13267"/>
      <w:r>
        <w:rPr>
          <w:rFonts w:hint="eastAsia" w:ascii="宋体" w:hAnsi="宋体" w:eastAsia="宋体" w:cs="宋体"/>
          <w:bCs/>
          <w:color w:val="auto"/>
          <w:sz w:val="32"/>
          <w:szCs w:val="32"/>
          <w:highlight w:val="none"/>
        </w:rPr>
        <w:t>五、商务响应偏离表</w:t>
      </w:r>
      <w:bookmarkEnd w:id="194"/>
      <w:bookmarkEnd w:id="195"/>
      <w:bookmarkEnd w:id="196"/>
      <w:bookmarkEnd w:id="197"/>
      <w:bookmarkEnd w:id="198"/>
      <w:bookmarkEnd w:id="199"/>
      <w:bookmarkEnd w:id="200"/>
      <w:bookmarkEnd w:id="201"/>
      <w:bookmarkEnd w:id="202"/>
      <w:r>
        <w:rPr>
          <w:rFonts w:hint="eastAsia" w:ascii="宋体" w:hAnsi="宋体" w:cs="宋体"/>
          <w:b w:val="0"/>
          <w:bCs/>
          <w:color w:val="auto"/>
          <w:sz w:val="24"/>
          <w:highlight w:val="none"/>
        </w:rPr>
        <w:t xml:space="preserve">         </w:t>
      </w:r>
    </w:p>
    <w:tbl>
      <w:tblPr>
        <w:tblStyle w:val="36"/>
        <w:tblW w:w="0" w:type="auto"/>
        <w:jc w:val="center"/>
        <w:tblLayout w:type="fixed"/>
        <w:tblCellMar>
          <w:top w:w="0" w:type="dxa"/>
          <w:left w:w="28" w:type="dxa"/>
          <w:bottom w:w="0" w:type="dxa"/>
          <w:right w:w="28" w:type="dxa"/>
        </w:tblCellMar>
      </w:tblPr>
      <w:tblGrid>
        <w:gridCol w:w="840"/>
        <w:gridCol w:w="2811"/>
        <w:gridCol w:w="2626"/>
        <w:gridCol w:w="1216"/>
        <w:gridCol w:w="2157"/>
      </w:tblGrid>
      <w:tr>
        <w:tblPrEx>
          <w:tblCellMar>
            <w:top w:w="0" w:type="dxa"/>
            <w:left w:w="28" w:type="dxa"/>
            <w:bottom w:w="0" w:type="dxa"/>
            <w:right w:w="28" w:type="dxa"/>
          </w:tblCellMar>
        </w:tblPrEx>
        <w:trPr>
          <w:trHeight w:val="693"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811"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谈判文件商务要求</w:t>
            </w:r>
          </w:p>
        </w:tc>
        <w:tc>
          <w:tcPr>
            <w:tcW w:w="2626"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谈判响应文件商务响应</w:t>
            </w:r>
          </w:p>
        </w:tc>
        <w:tc>
          <w:tcPr>
            <w:tcW w:w="1216"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偏离</w:t>
            </w:r>
          </w:p>
        </w:tc>
        <w:tc>
          <w:tcPr>
            <w:tcW w:w="2157"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偏离说明</w:t>
            </w: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1</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3</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4</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5</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6</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7</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color w:val="auto"/>
                <w:sz w:val="24"/>
                <w:highlight w:val="none"/>
              </w:rPr>
            </w:pPr>
          </w:p>
        </w:tc>
      </w:tr>
    </w:tbl>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pPr>
        <w:numPr>
          <w:ilvl w:val="0"/>
          <w:numId w:val="12"/>
        </w:numPr>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本表只填写响应文件中与谈判文件</w:t>
      </w:r>
      <w:r>
        <w:rPr>
          <w:rFonts w:hint="eastAsia" w:ascii="宋体" w:hAnsi="宋体" w:cs="宋体"/>
          <w:color w:val="auto"/>
          <w:sz w:val="24"/>
          <w:highlight w:val="none"/>
        </w:rPr>
        <w:t>“第五章”</w:t>
      </w:r>
      <w:r>
        <w:rPr>
          <w:rFonts w:hint="eastAsia" w:ascii="宋体" w:hAnsi="宋体" w:cs="宋体"/>
          <w:color w:val="auto"/>
          <w:sz w:val="24"/>
          <w:szCs w:val="21"/>
          <w:highlight w:val="none"/>
        </w:rPr>
        <w:t>中的“</w:t>
      </w:r>
      <w:r>
        <w:rPr>
          <w:rFonts w:hint="eastAsia" w:ascii="宋体" w:hAnsi="宋体" w:cs="宋体"/>
          <w:bCs/>
          <w:color w:val="auto"/>
          <w:sz w:val="24"/>
          <w:highlight w:val="none"/>
        </w:rPr>
        <w:t>主要商务条款和要求</w:t>
      </w:r>
      <w:r>
        <w:rPr>
          <w:rFonts w:hint="eastAsia" w:ascii="宋体" w:hAnsi="宋体" w:cs="宋体"/>
          <w:color w:val="auto"/>
          <w:sz w:val="24"/>
          <w:szCs w:val="21"/>
          <w:highlight w:val="none"/>
        </w:rPr>
        <w:t>”</w:t>
      </w:r>
      <w:r>
        <w:rPr>
          <w:rFonts w:hint="eastAsia" w:ascii="宋体" w:hAnsi="宋体" w:cs="宋体"/>
          <w:color w:val="auto"/>
          <w:sz w:val="24"/>
          <w:highlight w:val="none"/>
        </w:rPr>
        <w:t>相关</w:t>
      </w:r>
      <w:r>
        <w:rPr>
          <w:rFonts w:hint="eastAsia" w:ascii="宋体" w:hAnsi="宋体" w:cs="宋体"/>
          <w:color w:val="auto"/>
          <w:sz w:val="24"/>
          <w:szCs w:val="21"/>
          <w:highlight w:val="none"/>
        </w:rPr>
        <w:t>有偏离（包括正偏离和负偏离）的内容，响应文件中商务响应与谈判文件要求完全一致的，不用在此表中列出，但必须提交空白表（需签字盖章）。</w:t>
      </w:r>
    </w:p>
    <w:p>
      <w:pPr>
        <w:numPr>
          <w:ilvl w:val="0"/>
          <w:numId w:val="12"/>
        </w:numPr>
        <w:spacing w:line="360" w:lineRule="auto"/>
        <w:rPr>
          <w:rFonts w:ascii="宋体" w:hAnsi="宋体" w:cs="宋体"/>
          <w:color w:val="auto"/>
          <w:sz w:val="24"/>
          <w:highlight w:val="none"/>
        </w:rPr>
      </w:pPr>
      <w:r>
        <w:rPr>
          <w:rFonts w:hint="eastAsia" w:ascii="宋体" w:hAnsi="宋体" w:cs="宋体"/>
          <w:color w:val="auto"/>
          <w:sz w:val="24"/>
          <w:highlight w:val="none"/>
        </w:rPr>
        <w:t>偏离填写：正偏离、负偏离。偏离说明对偏离情况做出详细说明。</w:t>
      </w:r>
    </w:p>
    <w:p>
      <w:pPr>
        <w:spacing w:line="360" w:lineRule="auto"/>
        <w:rPr>
          <w:rFonts w:ascii="宋体" w:hAnsi="宋体" w:cs="宋体"/>
          <w:color w:val="auto"/>
          <w:sz w:val="24"/>
          <w:highlight w:val="none"/>
        </w:rPr>
      </w:pPr>
      <w:r>
        <w:rPr>
          <w:rFonts w:hint="eastAsia" w:ascii="宋体" w:hAnsi="宋体" w:cs="宋体"/>
          <w:color w:val="auto"/>
          <w:sz w:val="24"/>
          <w:highlight w:val="none"/>
        </w:rPr>
        <w:t>3.供应商必须据实填写，不得虚假响应，否则将取消其谈判或成交资格，并按有关规定进处罚。</w:t>
      </w:r>
    </w:p>
    <w:p>
      <w:pPr>
        <w:spacing w:line="360" w:lineRule="auto"/>
        <w:ind w:firstLine="4560" w:firstLineChars="1900"/>
        <w:jc w:val="left"/>
        <w:rPr>
          <w:rFonts w:ascii="宋体" w:hAnsi="宋体" w:cs="宋体"/>
          <w:color w:val="auto"/>
          <w:sz w:val="24"/>
          <w:highlight w:val="none"/>
        </w:rPr>
      </w:pPr>
    </w:p>
    <w:p>
      <w:pPr>
        <w:spacing w:line="360" w:lineRule="auto"/>
        <w:ind w:firstLine="4560" w:firstLineChars="1900"/>
        <w:jc w:val="left"/>
        <w:rPr>
          <w:rFonts w:ascii="宋体" w:hAnsi="宋体" w:cs="宋体"/>
          <w:color w:val="auto"/>
          <w:sz w:val="24"/>
          <w:highlight w:val="none"/>
        </w:rPr>
      </w:pPr>
    </w:p>
    <w:p>
      <w:pPr>
        <w:spacing w:line="360" w:lineRule="auto"/>
        <w:ind w:firstLine="3840" w:firstLineChars="1600"/>
        <w:jc w:val="left"/>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spacing w:line="360" w:lineRule="auto"/>
        <w:ind w:firstLine="3840" w:firstLineChars="1600"/>
        <w:jc w:val="left"/>
        <w:rPr>
          <w:rFonts w:ascii="宋体" w:hAnsi="宋体" w:cs="宋体"/>
          <w:color w:val="auto"/>
          <w:sz w:val="24"/>
          <w:highlight w:val="none"/>
          <w:u w:val="single"/>
        </w:rPr>
      </w:pPr>
      <w:r>
        <w:rPr>
          <w:rFonts w:hint="eastAsia" w:ascii="宋体" w:hAnsi="宋体" w:cs="宋体"/>
          <w:color w:val="auto"/>
          <w:sz w:val="24"/>
          <w:highlight w:val="none"/>
        </w:rPr>
        <w:t>法定代表人或授权代表（签字或盖章）：</w:t>
      </w:r>
      <w:r>
        <w:rPr>
          <w:rFonts w:hint="eastAsia" w:ascii="宋体" w:hAnsi="宋体" w:cs="宋体"/>
          <w:color w:val="auto"/>
          <w:sz w:val="24"/>
          <w:highlight w:val="none"/>
          <w:u w:val="single"/>
        </w:rPr>
        <w:t xml:space="preserve">          </w:t>
      </w:r>
    </w:p>
    <w:p>
      <w:pPr>
        <w:spacing w:line="360" w:lineRule="auto"/>
        <w:ind w:firstLine="3840" w:firstLineChars="1600"/>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after="120" w:afterLines="50"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w:t>
      </w:r>
      <w:bookmarkStart w:id="203" w:name="_Toc18167"/>
      <w:bookmarkStart w:id="204" w:name="_Toc13607"/>
      <w:bookmarkStart w:id="205" w:name="_Toc16907"/>
      <w:bookmarkStart w:id="206" w:name="_Toc71729650"/>
      <w:bookmarkStart w:id="207" w:name="_Toc29643"/>
      <w:bookmarkStart w:id="208" w:name="_Toc11603"/>
      <w:bookmarkStart w:id="209" w:name="_Toc20974"/>
      <w:bookmarkStart w:id="210" w:name="_Toc24788"/>
      <w:bookmarkStart w:id="211" w:name="_Toc27913"/>
    </w:p>
    <w:p>
      <w:pPr>
        <w:spacing w:after="120" w:afterLines="50" w:line="360" w:lineRule="auto"/>
        <w:jc w:val="center"/>
        <w:outlineLvl w:val="1"/>
        <w:rPr>
          <w:rFonts w:ascii="宋体" w:hAnsi="宋体" w:cs="宋体"/>
          <w:b/>
          <w:bCs/>
          <w:color w:val="auto"/>
          <w:kern w:val="0"/>
          <w:sz w:val="32"/>
          <w:szCs w:val="32"/>
          <w:highlight w:val="none"/>
        </w:rPr>
      </w:pPr>
      <w:r>
        <w:rPr>
          <w:rFonts w:hint="eastAsia" w:ascii="宋体" w:hAnsi="宋体" w:cs="宋体"/>
          <w:color w:val="auto"/>
          <w:sz w:val="24"/>
          <w:highlight w:val="none"/>
        </w:rPr>
        <w:br w:type="page"/>
      </w:r>
      <w:bookmarkStart w:id="212" w:name="_Toc21591"/>
      <w:r>
        <w:rPr>
          <w:rFonts w:hint="eastAsia" w:ascii="宋体" w:hAnsi="宋体" w:cs="宋体"/>
          <w:b/>
          <w:bCs/>
          <w:color w:val="auto"/>
          <w:kern w:val="0"/>
          <w:sz w:val="32"/>
          <w:szCs w:val="32"/>
          <w:highlight w:val="none"/>
        </w:rPr>
        <w:t>六、谈判响应方案说明</w:t>
      </w:r>
      <w:bookmarkEnd w:id="203"/>
      <w:bookmarkEnd w:id="204"/>
      <w:bookmarkEnd w:id="205"/>
      <w:bookmarkEnd w:id="206"/>
      <w:bookmarkEnd w:id="207"/>
      <w:bookmarkEnd w:id="208"/>
      <w:bookmarkEnd w:id="209"/>
      <w:bookmarkEnd w:id="210"/>
      <w:bookmarkEnd w:id="212"/>
    </w:p>
    <w:p>
      <w:pPr>
        <w:spacing w:line="360" w:lineRule="auto"/>
        <w:ind w:firstLine="480" w:firstLineChars="200"/>
        <w:rPr>
          <w:color w:val="auto"/>
          <w:sz w:val="24"/>
          <w:szCs w:val="32"/>
          <w:highlight w:val="none"/>
        </w:rPr>
      </w:pPr>
      <w:r>
        <w:rPr>
          <w:rFonts w:hint="eastAsia"/>
          <w:color w:val="auto"/>
          <w:sz w:val="24"/>
          <w:szCs w:val="32"/>
          <w:highlight w:val="none"/>
        </w:rPr>
        <w:t>供应商根据采购需求可自行编制认为有必要说明的事项。</w:t>
      </w:r>
    </w:p>
    <w:p>
      <w:pPr>
        <w:spacing w:after="120" w:afterLines="50" w:line="360" w:lineRule="auto"/>
        <w:jc w:val="center"/>
        <w:rPr>
          <w:rFonts w:ascii="宋体" w:hAnsi="宋体" w:cs="宋体"/>
          <w:b/>
          <w:color w:val="auto"/>
          <w:sz w:val="24"/>
          <w:highlight w:val="none"/>
        </w:rPr>
      </w:pPr>
    </w:p>
    <w:p>
      <w:pPr>
        <w:spacing w:after="120" w:afterLines="50" w:line="360" w:lineRule="auto"/>
        <w:jc w:val="center"/>
        <w:rPr>
          <w:rFonts w:ascii="宋体" w:hAnsi="宋体" w:cs="宋体"/>
          <w:b/>
          <w:color w:val="auto"/>
          <w:sz w:val="24"/>
          <w:highlight w:val="none"/>
        </w:rPr>
      </w:pPr>
    </w:p>
    <w:p>
      <w:pPr>
        <w:spacing w:after="120" w:afterLines="50" w:line="360" w:lineRule="auto"/>
        <w:jc w:val="center"/>
        <w:rPr>
          <w:rFonts w:ascii="宋体" w:hAnsi="宋体" w:cs="宋体"/>
          <w:b/>
          <w:color w:val="auto"/>
          <w:sz w:val="28"/>
          <w:szCs w:val="28"/>
          <w:highlight w:val="none"/>
        </w:rPr>
      </w:pPr>
    </w:p>
    <w:p>
      <w:pPr>
        <w:adjustRightInd w:val="0"/>
        <w:snapToGrid w:val="0"/>
        <w:spacing w:line="360" w:lineRule="auto"/>
        <w:jc w:val="center"/>
        <w:outlineLvl w:val="1"/>
        <w:rPr>
          <w:rFonts w:ascii="宋体" w:hAnsi="宋体" w:cs="宋体"/>
          <w:b/>
          <w:bCs/>
          <w:color w:val="auto"/>
          <w:sz w:val="44"/>
          <w:szCs w:val="44"/>
          <w:highlight w:val="none"/>
        </w:rPr>
      </w:pPr>
      <w:r>
        <w:rPr>
          <w:rFonts w:hint="eastAsia" w:ascii="宋体" w:hAnsi="宋体" w:cs="宋体"/>
          <w:b/>
          <w:color w:val="auto"/>
          <w:szCs w:val="28"/>
          <w:highlight w:val="none"/>
        </w:rPr>
        <w:br w:type="page"/>
      </w:r>
      <w:bookmarkEnd w:id="211"/>
      <w:bookmarkStart w:id="213" w:name="_Toc11347"/>
      <w:bookmarkStart w:id="214" w:name="_Toc5842"/>
      <w:bookmarkStart w:id="215" w:name="_Toc27709"/>
      <w:bookmarkStart w:id="216" w:name="_Toc15515"/>
      <w:r>
        <w:rPr>
          <w:rFonts w:hint="eastAsia" w:ascii="宋体" w:hAnsi="宋体" w:cs="宋体"/>
          <w:b/>
          <w:bCs/>
          <w:color w:val="auto"/>
          <w:sz w:val="32"/>
          <w:szCs w:val="32"/>
          <w:highlight w:val="none"/>
        </w:rPr>
        <w:t>七、业绩的有关证明材料</w:t>
      </w:r>
      <w:bookmarkEnd w:id="213"/>
      <w:bookmarkEnd w:id="214"/>
      <w:bookmarkEnd w:id="215"/>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783"/>
        <w:gridCol w:w="2265"/>
        <w:gridCol w:w="2480"/>
        <w:gridCol w:w="17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48"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783"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合同签订时间</w:t>
            </w:r>
          </w:p>
        </w:tc>
        <w:tc>
          <w:tcPr>
            <w:tcW w:w="2265"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用户名称</w:t>
            </w:r>
          </w:p>
        </w:tc>
        <w:tc>
          <w:tcPr>
            <w:tcW w:w="2480"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1710"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合同金额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color w:val="auto"/>
                <w:sz w:val="24"/>
                <w:highlight w:val="none"/>
              </w:rPr>
            </w:pPr>
          </w:p>
        </w:tc>
        <w:tc>
          <w:tcPr>
            <w:tcW w:w="1783" w:type="dxa"/>
          </w:tcPr>
          <w:p>
            <w:pPr>
              <w:rPr>
                <w:rFonts w:ascii="宋体" w:hAnsi="宋体" w:cs="宋体"/>
                <w:bCs/>
                <w:color w:val="auto"/>
                <w:sz w:val="24"/>
                <w:highlight w:val="none"/>
              </w:rPr>
            </w:pPr>
          </w:p>
        </w:tc>
        <w:tc>
          <w:tcPr>
            <w:tcW w:w="2265" w:type="dxa"/>
          </w:tcPr>
          <w:p>
            <w:pPr>
              <w:rPr>
                <w:rFonts w:ascii="宋体" w:hAnsi="宋体" w:cs="宋体"/>
                <w:bCs/>
                <w:color w:val="auto"/>
                <w:sz w:val="24"/>
                <w:highlight w:val="none"/>
              </w:rPr>
            </w:pPr>
          </w:p>
        </w:tc>
        <w:tc>
          <w:tcPr>
            <w:tcW w:w="2480" w:type="dxa"/>
          </w:tcPr>
          <w:p>
            <w:pPr>
              <w:rPr>
                <w:rFonts w:ascii="宋体" w:hAnsi="宋体" w:cs="宋体"/>
                <w:bCs/>
                <w:color w:val="auto"/>
                <w:sz w:val="24"/>
                <w:highlight w:val="none"/>
              </w:rPr>
            </w:pPr>
          </w:p>
        </w:tc>
        <w:tc>
          <w:tcPr>
            <w:tcW w:w="1710" w:type="dxa"/>
          </w:tcPr>
          <w:p>
            <w:pPr>
              <w:rPr>
                <w:rFonts w:ascii="宋体" w:hAnsi="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color w:val="auto"/>
                <w:sz w:val="24"/>
                <w:highlight w:val="none"/>
              </w:rPr>
            </w:pPr>
          </w:p>
        </w:tc>
        <w:tc>
          <w:tcPr>
            <w:tcW w:w="1783" w:type="dxa"/>
          </w:tcPr>
          <w:p>
            <w:pPr>
              <w:rPr>
                <w:rFonts w:ascii="宋体" w:hAnsi="宋体" w:cs="宋体"/>
                <w:bCs/>
                <w:color w:val="auto"/>
                <w:sz w:val="24"/>
                <w:highlight w:val="none"/>
              </w:rPr>
            </w:pPr>
          </w:p>
        </w:tc>
        <w:tc>
          <w:tcPr>
            <w:tcW w:w="2265" w:type="dxa"/>
          </w:tcPr>
          <w:p>
            <w:pPr>
              <w:rPr>
                <w:rFonts w:ascii="宋体" w:hAnsi="宋体" w:cs="宋体"/>
                <w:bCs/>
                <w:color w:val="auto"/>
                <w:sz w:val="24"/>
                <w:highlight w:val="none"/>
              </w:rPr>
            </w:pPr>
          </w:p>
        </w:tc>
        <w:tc>
          <w:tcPr>
            <w:tcW w:w="2480" w:type="dxa"/>
          </w:tcPr>
          <w:p>
            <w:pPr>
              <w:rPr>
                <w:rFonts w:ascii="宋体" w:hAnsi="宋体" w:cs="宋体"/>
                <w:bCs/>
                <w:color w:val="auto"/>
                <w:sz w:val="24"/>
                <w:highlight w:val="none"/>
              </w:rPr>
            </w:pPr>
          </w:p>
        </w:tc>
        <w:tc>
          <w:tcPr>
            <w:tcW w:w="1710" w:type="dxa"/>
          </w:tcPr>
          <w:p>
            <w:pPr>
              <w:rPr>
                <w:rFonts w:ascii="宋体" w:hAnsi="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48" w:type="dxa"/>
          </w:tcPr>
          <w:p>
            <w:pPr>
              <w:rPr>
                <w:rFonts w:ascii="宋体" w:hAnsi="宋体" w:cs="宋体"/>
                <w:bCs/>
                <w:color w:val="auto"/>
                <w:sz w:val="24"/>
                <w:highlight w:val="none"/>
              </w:rPr>
            </w:pPr>
          </w:p>
        </w:tc>
        <w:tc>
          <w:tcPr>
            <w:tcW w:w="1783" w:type="dxa"/>
          </w:tcPr>
          <w:p>
            <w:pPr>
              <w:rPr>
                <w:rFonts w:ascii="宋体" w:hAnsi="宋体" w:cs="宋体"/>
                <w:bCs/>
                <w:color w:val="auto"/>
                <w:sz w:val="24"/>
                <w:highlight w:val="none"/>
              </w:rPr>
            </w:pPr>
          </w:p>
        </w:tc>
        <w:tc>
          <w:tcPr>
            <w:tcW w:w="2265" w:type="dxa"/>
          </w:tcPr>
          <w:p>
            <w:pPr>
              <w:rPr>
                <w:rFonts w:ascii="宋体" w:hAnsi="宋体" w:cs="宋体"/>
                <w:bCs/>
                <w:color w:val="auto"/>
                <w:sz w:val="24"/>
                <w:highlight w:val="none"/>
              </w:rPr>
            </w:pPr>
          </w:p>
        </w:tc>
        <w:tc>
          <w:tcPr>
            <w:tcW w:w="2480" w:type="dxa"/>
          </w:tcPr>
          <w:p>
            <w:pPr>
              <w:rPr>
                <w:rFonts w:ascii="宋体" w:hAnsi="宋体" w:cs="宋体"/>
                <w:bCs/>
                <w:color w:val="auto"/>
                <w:sz w:val="24"/>
                <w:highlight w:val="none"/>
              </w:rPr>
            </w:pPr>
          </w:p>
        </w:tc>
        <w:tc>
          <w:tcPr>
            <w:tcW w:w="1710" w:type="dxa"/>
          </w:tcPr>
          <w:p>
            <w:pPr>
              <w:rPr>
                <w:rFonts w:ascii="宋体" w:hAnsi="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color w:val="auto"/>
                <w:sz w:val="24"/>
                <w:highlight w:val="none"/>
              </w:rPr>
            </w:pPr>
          </w:p>
        </w:tc>
        <w:tc>
          <w:tcPr>
            <w:tcW w:w="1783" w:type="dxa"/>
          </w:tcPr>
          <w:p>
            <w:pPr>
              <w:rPr>
                <w:rFonts w:ascii="宋体" w:hAnsi="宋体" w:cs="宋体"/>
                <w:bCs/>
                <w:color w:val="auto"/>
                <w:sz w:val="24"/>
                <w:highlight w:val="none"/>
              </w:rPr>
            </w:pPr>
          </w:p>
        </w:tc>
        <w:tc>
          <w:tcPr>
            <w:tcW w:w="2265" w:type="dxa"/>
          </w:tcPr>
          <w:p>
            <w:pPr>
              <w:rPr>
                <w:rFonts w:ascii="宋体" w:hAnsi="宋体" w:cs="宋体"/>
                <w:bCs/>
                <w:color w:val="auto"/>
                <w:sz w:val="24"/>
                <w:highlight w:val="none"/>
              </w:rPr>
            </w:pPr>
          </w:p>
        </w:tc>
        <w:tc>
          <w:tcPr>
            <w:tcW w:w="2480" w:type="dxa"/>
          </w:tcPr>
          <w:p>
            <w:pPr>
              <w:rPr>
                <w:rFonts w:ascii="宋体" w:hAnsi="宋体" w:cs="宋体"/>
                <w:bCs/>
                <w:color w:val="auto"/>
                <w:sz w:val="24"/>
                <w:highlight w:val="none"/>
              </w:rPr>
            </w:pPr>
          </w:p>
        </w:tc>
        <w:tc>
          <w:tcPr>
            <w:tcW w:w="1710" w:type="dxa"/>
          </w:tcPr>
          <w:p>
            <w:pPr>
              <w:rPr>
                <w:rFonts w:ascii="宋体" w:hAnsi="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color w:val="auto"/>
                <w:sz w:val="24"/>
                <w:highlight w:val="none"/>
              </w:rPr>
            </w:pPr>
          </w:p>
        </w:tc>
        <w:tc>
          <w:tcPr>
            <w:tcW w:w="1783" w:type="dxa"/>
          </w:tcPr>
          <w:p>
            <w:pPr>
              <w:rPr>
                <w:rFonts w:ascii="宋体" w:hAnsi="宋体" w:cs="宋体"/>
                <w:bCs/>
                <w:color w:val="auto"/>
                <w:sz w:val="24"/>
                <w:highlight w:val="none"/>
              </w:rPr>
            </w:pPr>
          </w:p>
        </w:tc>
        <w:tc>
          <w:tcPr>
            <w:tcW w:w="2265" w:type="dxa"/>
          </w:tcPr>
          <w:p>
            <w:pPr>
              <w:rPr>
                <w:rFonts w:ascii="宋体" w:hAnsi="宋体" w:cs="宋体"/>
                <w:bCs/>
                <w:color w:val="auto"/>
                <w:sz w:val="24"/>
                <w:highlight w:val="none"/>
              </w:rPr>
            </w:pPr>
          </w:p>
        </w:tc>
        <w:tc>
          <w:tcPr>
            <w:tcW w:w="2480" w:type="dxa"/>
          </w:tcPr>
          <w:p>
            <w:pPr>
              <w:rPr>
                <w:rFonts w:ascii="宋体" w:hAnsi="宋体" w:cs="宋体"/>
                <w:bCs/>
                <w:color w:val="auto"/>
                <w:sz w:val="24"/>
                <w:highlight w:val="none"/>
              </w:rPr>
            </w:pPr>
          </w:p>
        </w:tc>
        <w:tc>
          <w:tcPr>
            <w:tcW w:w="1710" w:type="dxa"/>
          </w:tcPr>
          <w:p>
            <w:pPr>
              <w:rPr>
                <w:rFonts w:ascii="宋体" w:hAnsi="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color w:val="auto"/>
                <w:sz w:val="24"/>
                <w:highlight w:val="none"/>
              </w:rPr>
            </w:pPr>
          </w:p>
        </w:tc>
        <w:tc>
          <w:tcPr>
            <w:tcW w:w="1783" w:type="dxa"/>
          </w:tcPr>
          <w:p>
            <w:pPr>
              <w:rPr>
                <w:rFonts w:ascii="宋体" w:hAnsi="宋体" w:cs="宋体"/>
                <w:bCs/>
                <w:color w:val="auto"/>
                <w:sz w:val="24"/>
                <w:highlight w:val="none"/>
              </w:rPr>
            </w:pPr>
          </w:p>
        </w:tc>
        <w:tc>
          <w:tcPr>
            <w:tcW w:w="2265" w:type="dxa"/>
          </w:tcPr>
          <w:p>
            <w:pPr>
              <w:rPr>
                <w:rFonts w:ascii="宋体" w:hAnsi="宋体" w:cs="宋体"/>
                <w:bCs/>
                <w:color w:val="auto"/>
                <w:sz w:val="24"/>
                <w:highlight w:val="none"/>
              </w:rPr>
            </w:pPr>
          </w:p>
        </w:tc>
        <w:tc>
          <w:tcPr>
            <w:tcW w:w="2480" w:type="dxa"/>
          </w:tcPr>
          <w:p>
            <w:pPr>
              <w:rPr>
                <w:rFonts w:ascii="宋体" w:hAnsi="宋体" w:cs="宋体"/>
                <w:bCs/>
                <w:color w:val="auto"/>
                <w:sz w:val="24"/>
                <w:highlight w:val="none"/>
              </w:rPr>
            </w:pPr>
          </w:p>
        </w:tc>
        <w:tc>
          <w:tcPr>
            <w:tcW w:w="1710" w:type="dxa"/>
          </w:tcPr>
          <w:p>
            <w:pPr>
              <w:rPr>
                <w:rFonts w:ascii="宋体" w:hAnsi="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48" w:type="dxa"/>
          </w:tcPr>
          <w:p>
            <w:pPr>
              <w:rPr>
                <w:rFonts w:ascii="宋体" w:hAnsi="宋体" w:cs="宋体"/>
                <w:bCs/>
                <w:color w:val="auto"/>
                <w:sz w:val="24"/>
                <w:highlight w:val="none"/>
              </w:rPr>
            </w:pPr>
          </w:p>
        </w:tc>
        <w:tc>
          <w:tcPr>
            <w:tcW w:w="1783" w:type="dxa"/>
          </w:tcPr>
          <w:p>
            <w:pPr>
              <w:rPr>
                <w:rFonts w:ascii="宋体" w:hAnsi="宋体" w:cs="宋体"/>
                <w:bCs/>
                <w:color w:val="auto"/>
                <w:sz w:val="24"/>
                <w:highlight w:val="none"/>
              </w:rPr>
            </w:pPr>
          </w:p>
        </w:tc>
        <w:tc>
          <w:tcPr>
            <w:tcW w:w="2265" w:type="dxa"/>
          </w:tcPr>
          <w:p>
            <w:pPr>
              <w:rPr>
                <w:rFonts w:ascii="宋体" w:hAnsi="宋体" w:cs="宋体"/>
                <w:bCs/>
                <w:color w:val="auto"/>
                <w:sz w:val="24"/>
                <w:highlight w:val="none"/>
              </w:rPr>
            </w:pPr>
          </w:p>
        </w:tc>
        <w:tc>
          <w:tcPr>
            <w:tcW w:w="2480" w:type="dxa"/>
          </w:tcPr>
          <w:p>
            <w:pPr>
              <w:rPr>
                <w:rFonts w:ascii="宋体" w:hAnsi="宋体" w:cs="宋体"/>
                <w:bCs/>
                <w:color w:val="auto"/>
                <w:sz w:val="24"/>
                <w:highlight w:val="none"/>
              </w:rPr>
            </w:pPr>
          </w:p>
        </w:tc>
        <w:tc>
          <w:tcPr>
            <w:tcW w:w="1710" w:type="dxa"/>
          </w:tcPr>
          <w:p>
            <w:pPr>
              <w:rPr>
                <w:rFonts w:ascii="宋体" w:hAnsi="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color w:val="auto"/>
                <w:sz w:val="24"/>
                <w:highlight w:val="none"/>
              </w:rPr>
            </w:pPr>
          </w:p>
        </w:tc>
        <w:tc>
          <w:tcPr>
            <w:tcW w:w="1783" w:type="dxa"/>
          </w:tcPr>
          <w:p>
            <w:pPr>
              <w:rPr>
                <w:rFonts w:ascii="宋体" w:hAnsi="宋体" w:cs="宋体"/>
                <w:bCs/>
                <w:color w:val="auto"/>
                <w:sz w:val="24"/>
                <w:highlight w:val="none"/>
              </w:rPr>
            </w:pPr>
          </w:p>
        </w:tc>
        <w:tc>
          <w:tcPr>
            <w:tcW w:w="2265" w:type="dxa"/>
          </w:tcPr>
          <w:p>
            <w:pPr>
              <w:rPr>
                <w:rFonts w:ascii="宋体" w:hAnsi="宋体" w:cs="宋体"/>
                <w:bCs/>
                <w:color w:val="auto"/>
                <w:sz w:val="24"/>
                <w:highlight w:val="none"/>
              </w:rPr>
            </w:pPr>
          </w:p>
        </w:tc>
        <w:tc>
          <w:tcPr>
            <w:tcW w:w="2480" w:type="dxa"/>
          </w:tcPr>
          <w:p>
            <w:pPr>
              <w:rPr>
                <w:rFonts w:ascii="宋体" w:hAnsi="宋体" w:cs="宋体"/>
                <w:bCs/>
                <w:color w:val="auto"/>
                <w:sz w:val="24"/>
                <w:highlight w:val="none"/>
              </w:rPr>
            </w:pPr>
          </w:p>
        </w:tc>
        <w:tc>
          <w:tcPr>
            <w:tcW w:w="1710" w:type="dxa"/>
          </w:tcPr>
          <w:p>
            <w:pPr>
              <w:rPr>
                <w:rFonts w:ascii="宋体" w:hAnsi="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color w:val="auto"/>
                <w:sz w:val="24"/>
                <w:highlight w:val="none"/>
              </w:rPr>
            </w:pPr>
          </w:p>
        </w:tc>
        <w:tc>
          <w:tcPr>
            <w:tcW w:w="1783" w:type="dxa"/>
          </w:tcPr>
          <w:p>
            <w:pPr>
              <w:rPr>
                <w:rFonts w:ascii="宋体" w:hAnsi="宋体" w:cs="宋体"/>
                <w:bCs/>
                <w:color w:val="auto"/>
                <w:sz w:val="24"/>
                <w:highlight w:val="none"/>
              </w:rPr>
            </w:pPr>
          </w:p>
        </w:tc>
        <w:tc>
          <w:tcPr>
            <w:tcW w:w="2265" w:type="dxa"/>
          </w:tcPr>
          <w:p>
            <w:pPr>
              <w:rPr>
                <w:rFonts w:ascii="宋体" w:hAnsi="宋体" w:cs="宋体"/>
                <w:bCs/>
                <w:color w:val="auto"/>
                <w:sz w:val="24"/>
                <w:highlight w:val="none"/>
              </w:rPr>
            </w:pPr>
          </w:p>
        </w:tc>
        <w:tc>
          <w:tcPr>
            <w:tcW w:w="2480" w:type="dxa"/>
          </w:tcPr>
          <w:p>
            <w:pPr>
              <w:rPr>
                <w:rFonts w:ascii="宋体" w:hAnsi="宋体" w:cs="宋体"/>
                <w:bCs/>
                <w:color w:val="auto"/>
                <w:sz w:val="24"/>
                <w:highlight w:val="none"/>
              </w:rPr>
            </w:pPr>
          </w:p>
        </w:tc>
        <w:tc>
          <w:tcPr>
            <w:tcW w:w="1710" w:type="dxa"/>
          </w:tcPr>
          <w:p>
            <w:pPr>
              <w:rPr>
                <w:rFonts w:ascii="宋体" w:hAnsi="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color w:val="auto"/>
                <w:sz w:val="24"/>
                <w:highlight w:val="none"/>
              </w:rPr>
            </w:pPr>
          </w:p>
        </w:tc>
        <w:tc>
          <w:tcPr>
            <w:tcW w:w="1783" w:type="dxa"/>
          </w:tcPr>
          <w:p>
            <w:pPr>
              <w:rPr>
                <w:rFonts w:ascii="宋体" w:hAnsi="宋体" w:cs="宋体"/>
                <w:bCs/>
                <w:color w:val="auto"/>
                <w:sz w:val="24"/>
                <w:highlight w:val="none"/>
              </w:rPr>
            </w:pPr>
          </w:p>
        </w:tc>
        <w:tc>
          <w:tcPr>
            <w:tcW w:w="2265" w:type="dxa"/>
          </w:tcPr>
          <w:p>
            <w:pPr>
              <w:rPr>
                <w:rFonts w:ascii="宋体" w:hAnsi="宋体" w:cs="宋体"/>
                <w:bCs/>
                <w:color w:val="auto"/>
                <w:sz w:val="24"/>
                <w:highlight w:val="none"/>
              </w:rPr>
            </w:pPr>
          </w:p>
        </w:tc>
        <w:tc>
          <w:tcPr>
            <w:tcW w:w="2480" w:type="dxa"/>
          </w:tcPr>
          <w:p>
            <w:pPr>
              <w:rPr>
                <w:rFonts w:ascii="宋体" w:hAnsi="宋体" w:cs="宋体"/>
                <w:bCs/>
                <w:color w:val="auto"/>
                <w:sz w:val="24"/>
                <w:highlight w:val="none"/>
              </w:rPr>
            </w:pPr>
          </w:p>
        </w:tc>
        <w:tc>
          <w:tcPr>
            <w:tcW w:w="1710" w:type="dxa"/>
          </w:tcPr>
          <w:p>
            <w:pPr>
              <w:rPr>
                <w:rFonts w:ascii="宋体" w:hAnsi="宋体" w:cs="宋体"/>
                <w:bCs/>
                <w:color w:val="auto"/>
                <w:sz w:val="24"/>
                <w:highlight w:val="none"/>
              </w:rPr>
            </w:pPr>
          </w:p>
        </w:tc>
      </w:tr>
    </w:tbl>
    <w:p>
      <w:pPr>
        <w:rPr>
          <w:rFonts w:ascii="宋体" w:hAnsi="宋体" w:cs="宋体"/>
          <w:color w:val="auto"/>
          <w:highlight w:val="none"/>
        </w:rPr>
      </w:pPr>
    </w:p>
    <w:p>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说明：</w:t>
      </w:r>
    </w:p>
    <w:p>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1.本表后附合同复印件加盖</w:t>
      </w:r>
      <w:r>
        <w:rPr>
          <w:rFonts w:hint="eastAsia" w:ascii="宋体" w:hAnsi="宋体" w:cs="宋体"/>
          <w:color w:val="auto"/>
          <w:sz w:val="24"/>
          <w:highlight w:val="none"/>
        </w:rPr>
        <w:t>供应商</w:t>
      </w:r>
      <w:r>
        <w:rPr>
          <w:rFonts w:hint="eastAsia" w:ascii="宋体" w:hAnsi="宋体" w:cs="宋体"/>
          <w:color w:val="auto"/>
          <w:sz w:val="24"/>
          <w:highlight w:val="none"/>
          <w:lang w:val="zh-CN"/>
        </w:rPr>
        <w:t>公章，签订时间及金额以合同中的内容为准。</w:t>
      </w:r>
    </w:p>
    <w:p>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2.供应商应如实列出以上情况，如有隐瞒，一经查实将导致其谈判响应文件被拒绝。</w:t>
      </w:r>
    </w:p>
    <w:p>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3.未按上述要求提供、填写的，评审时不予以考虑。</w:t>
      </w:r>
    </w:p>
    <w:p>
      <w:pPr>
        <w:rPr>
          <w:rFonts w:ascii="宋体" w:hAnsi="宋体" w:cs="宋体"/>
          <w:color w:val="auto"/>
          <w:highlight w:val="none"/>
        </w:rPr>
      </w:pPr>
    </w:p>
    <w:p>
      <w:pPr>
        <w:spacing w:line="360" w:lineRule="auto"/>
        <w:ind w:firstLine="3360" w:firstLineChars="1400"/>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spacing w:line="360" w:lineRule="auto"/>
        <w:ind w:firstLine="3360" w:firstLineChars="1400"/>
        <w:rPr>
          <w:rFonts w:ascii="宋体" w:hAnsi="宋体" w:cs="宋体"/>
          <w:color w:val="auto"/>
          <w:sz w:val="24"/>
          <w:highlight w:val="none"/>
          <w:u w:val="single"/>
        </w:rPr>
      </w:pPr>
      <w:r>
        <w:rPr>
          <w:rFonts w:hint="eastAsia" w:ascii="宋体" w:hAnsi="宋体" w:cs="宋体"/>
          <w:color w:val="auto"/>
          <w:sz w:val="24"/>
          <w:highlight w:val="none"/>
        </w:rPr>
        <w:t>法定代表人或授权代表（签字或盖章）：</w:t>
      </w:r>
      <w:r>
        <w:rPr>
          <w:rFonts w:hint="eastAsia" w:ascii="宋体" w:hAnsi="宋体" w:cs="宋体"/>
          <w:color w:val="auto"/>
          <w:sz w:val="24"/>
          <w:highlight w:val="none"/>
          <w:u w:val="single"/>
        </w:rPr>
        <w:t xml:space="preserve">              </w:t>
      </w:r>
    </w:p>
    <w:p>
      <w:pPr>
        <w:spacing w:line="360" w:lineRule="auto"/>
        <w:ind w:firstLine="3360" w:firstLineChars="14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4"/>
        <w:spacing w:before="0" w:after="120" w:afterLines="50" w:line="360" w:lineRule="auto"/>
        <w:jc w:val="center"/>
        <w:rPr>
          <w:rFonts w:ascii="宋体" w:hAnsi="宋体" w:eastAsia="宋体" w:cs="宋体"/>
          <w:bCs/>
          <w:color w:val="auto"/>
          <w:highlight w:val="none"/>
        </w:rPr>
      </w:pPr>
      <w:r>
        <w:rPr>
          <w:rFonts w:hint="eastAsia" w:ascii="宋体" w:hAnsi="宋体" w:eastAsia="宋体" w:cs="宋体"/>
          <w:bCs/>
          <w:color w:val="auto"/>
          <w:kern w:val="2"/>
          <w:sz w:val="32"/>
          <w:szCs w:val="32"/>
          <w:highlight w:val="none"/>
        </w:rPr>
        <w:br w:type="page"/>
      </w:r>
      <w:bookmarkStart w:id="217" w:name="_Toc31482"/>
      <w:r>
        <w:rPr>
          <w:rFonts w:hint="eastAsia" w:ascii="宋体" w:hAnsi="宋体" w:eastAsia="宋体" w:cs="宋体"/>
          <w:bCs/>
          <w:color w:val="auto"/>
          <w:kern w:val="2"/>
          <w:sz w:val="32"/>
          <w:szCs w:val="32"/>
          <w:highlight w:val="none"/>
        </w:rPr>
        <w:t>八、供应商承诺书</w:t>
      </w:r>
      <w:bookmarkEnd w:id="216"/>
      <w:bookmarkEnd w:id="217"/>
    </w:p>
    <w:p>
      <w:pPr>
        <w:pStyle w:val="2"/>
        <w:jc w:val="center"/>
        <w:rPr>
          <w:rFonts w:ascii="宋体" w:hAnsi="宋体" w:cs="宋体"/>
          <w:color w:val="auto"/>
          <w:highlight w:val="none"/>
        </w:rPr>
      </w:pPr>
    </w:p>
    <w:p>
      <w:pPr>
        <w:autoSpaceDE w:val="0"/>
        <w:autoSpaceDN w:val="0"/>
        <w:adjustRightInd w:val="0"/>
        <w:spacing w:line="360" w:lineRule="auto"/>
        <w:rPr>
          <w:rFonts w:ascii="宋体" w:hAnsi="宋体" w:cs="宋体"/>
          <w:b/>
          <w:bCs/>
          <w:color w:val="auto"/>
          <w:sz w:val="24"/>
          <w:highlight w:val="none"/>
        </w:rPr>
      </w:pPr>
      <w:r>
        <w:rPr>
          <w:rFonts w:hint="eastAsia" w:ascii="宋体" w:hAnsi="宋体" w:cs="宋体"/>
          <w:color w:val="auto"/>
          <w:sz w:val="24"/>
          <w:highlight w:val="none"/>
        </w:rPr>
        <w:t>陕西明正招标有限公司：</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作为参加贵单位组织的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的供应商，本公司郑重承诺：</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一、在参加本项目谈判之前不存在被依法禁止经营行为、财产被接管或冻结的情况，如有隐瞒实情，愿承担一切责任及后果。</w:t>
      </w:r>
    </w:p>
    <w:p>
      <w:pPr>
        <w:autoSpaceDE w:val="0"/>
        <w:autoSpaceDN w:val="0"/>
        <w:adjustRightIn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二、</w:t>
      </w:r>
      <w:r>
        <w:rPr>
          <w:rFonts w:hint="eastAsia" w:ascii="宋体" w:hAnsi="宋体" w:cs="宋体"/>
          <w:color w:val="auto"/>
          <w:sz w:val="24"/>
          <w:highlight w:val="none"/>
        </w:rPr>
        <w:t>近三年受到有关行政主管部门的行政处理、不良行为记录为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次（没有填零），如有隐瞒实情，愿承担一切责任及后果。</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三、参加本次谈判提交的所有资质证明文件及业绩证明文件是真实的、有效的，如有隐瞒实情，愿承担一切责任及后果。</w:t>
      </w:r>
    </w:p>
    <w:p>
      <w:pPr>
        <w:autoSpaceDE w:val="0"/>
        <w:autoSpaceDN w:val="0"/>
        <w:adjustRightIn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ind w:firstLine="3360" w:firstLineChars="1400"/>
        <w:rPr>
          <w:rFonts w:ascii="宋体" w:hAnsi="宋体" w:cs="宋体"/>
          <w:color w:val="auto"/>
          <w:sz w:val="24"/>
          <w:highlight w:val="none"/>
        </w:rPr>
      </w:pPr>
    </w:p>
    <w:p>
      <w:pPr>
        <w:spacing w:line="360" w:lineRule="auto"/>
        <w:ind w:firstLine="3360" w:firstLineChars="1400"/>
        <w:rPr>
          <w:rFonts w:ascii="宋体" w:hAnsi="宋体" w:cs="宋体"/>
          <w:color w:val="auto"/>
          <w:sz w:val="24"/>
          <w:highlight w:val="none"/>
        </w:rPr>
      </w:pPr>
    </w:p>
    <w:p>
      <w:pPr>
        <w:spacing w:line="360" w:lineRule="auto"/>
        <w:ind w:firstLine="3360" w:firstLineChars="1400"/>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spacing w:line="360" w:lineRule="auto"/>
        <w:ind w:firstLine="3360" w:firstLineChars="1400"/>
        <w:rPr>
          <w:rFonts w:ascii="宋体" w:hAnsi="宋体" w:cs="宋体"/>
          <w:color w:val="auto"/>
          <w:sz w:val="24"/>
          <w:highlight w:val="none"/>
          <w:u w:val="single"/>
        </w:rPr>
      </w:pPr>
      <w:r>
        <w:rPr>
          <w:rFonts w:hint="eastAsia" w:ascii="宋体" w:hAnsi="宋体" w:cs="宋体"/>
          <w:color w:val="auto"/>
          <w:sz w:val="24"/>
          <w:highlight w:val="none"/>
        </w:rPr>
        <w:t>法定代表人（签字或盖章）：</w:t>
      </w:r>
      <w:r>
        <w:rPr>
          <w:rFonts w:hint="eastAsia" w:ascii="宋体" w:hAnsi="宋体" w:cs="宋体"/>
          <w:color w:val="auto"/>
          <w:sz w:val="24"/>
          <w:highlight w:val="none"/>
          <w:u w:val="single"/>
        </w:rPr>
        <w:t xml:space="preserve">                        </w:t>
      </w:r>
    </w:p>
    <w:p>
      <w:pPr>
        <w:spacing w:line="360" w:lineRule="auto"/>
        <w:ind w:firstLine="3360" w:firstLineChars="1400"/>
        <w:rPr>
          <w:rFonts w:ascii="宋体" w:hAnsi="宋体" w:cs="宋体"/>
          <w:color w:val="auto"/>
          <w:sz w:val="28"/>
          <w:szCs w:val="28"/>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8"/>
          <w:szCs w:val="28"/>
          <w:highlight w:val="none"/>
          <w:u w:val="single"/>
        </w:rPr>
        <w:t xml:space="preserve">       </w:t>
      </w:r>
    </w:p>
    <w:p>
      <w:pPr>
        <w:keepNext/>
        <w:keepLines/>
        <w:spacing w:after="120" w:afterLines="50" w:line="360" w:lineRule="auto"/>
        <w:jc w:val="center"/>
        <w:rPr>
          <w:rFonts w:ascii="宋体" w:hAnsi="宋体" w:cs="宋体"/>
          <w:b/>
          <w:bCs/>
          <w:color w:val="auto"/>
          <w:sz w:val="32"/>
          <w:szCs w:val="32"/>
          <w:highlight w:val="none"/>
        </w:rPr>
      </w:pPr>
      <w:r>
        <w:rPr>
          <w:rStyle w:val="51"/>
          <w:rFonts w:hint="eastAsia" w:ascii="宋体" w:hAnsi="宋体" w:eastAsia="宋体" w:cs="宋体"/>
          <w:b w:val="0"/>
          <w:color w:val="auto"/>
          <w:sz w:val="24"/>
          <w:szCs w:val="24"/>
          <w:highlight w:val="none"/>
        </w:rPr>
        <w:br w:type="page"/>
      </w:r>
      <w:bookmarkStart w:id="218" w:name="_Toc22766"/>
      <w:bookmarkEnd w:id="218"/>
      <w:bookmarkStart w:id="219" w:name="_Toc495913703"/>
      <w:bookmarkStart w:id="220" w:name="_Toc704"/>
      <w:r>
        <w:rPr>
          <w:rFonts w:hint="eastAsia" w:ascii="宋体" w:hAnsi="宋体" w:cs="宋体"/>
          <w:b/>
          <w:bCs/>
          <w:color w:val="auto"/>
          <w:sz w:val="32"/>
          <w:szCs w:val="32"/>
          <w:highlight w:val="none"/>
        </w:rPr>
        <w:t>供应商企业关系关联承诺书</w:t>
      </w:r>
      <w:bookmarkEnd w:id="219"/>
      <w:bookmarkEnd w:id="220"/>
    </w:p>
    <w:p>
      <w:pPr>
        <w:autoSpaceDE w:val="0"/>
        <w:autoSpaceDN w:val="0"/>
        <w:adjustRightInd w:val="0"/>
        <w:spacing w:line="360" w:lineRule="auto"/>
        <w:ind w:firstLine="480" w:firstLineChars="200"/>
        <w:rPr>
          <w:rFonts w:ascii="宋体" w:hAnsi="宋体" w:cs="宋体"/>
          <w:color w:val="auto"/>
          <w:sz w:val="24"/>
          <w:highlight w:val="none"/>
        </w:rPr>
      </w:pPr>
      <w:bookmarkStart w:id="221" w:name="_Toc26937"/>
      <w:bookmarkEnd w:id="221"/>
      <w:bookmarkStart w:id="222" w:name="_Toc19786"/>
      <w:bookmarkStart w:id="223" w:name="_Toc495913704"/>
      <w:r>
        <w:rPr>
          <w:rFonts w:hint="eastAsia" w:ascii="宋体" w:hAnsi="宋体" w:cs="宋体"/>
          <w:color w:val="auto"/>
          <w:sz w:val="24"/>
          <w:highlight w:val="none"/>
        </w:rPr>
        <w:t>一、供应商在本项目谈判中，不存在与其它供应商负责人为同一人，有控股、管理等关联关系承诺。</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1.管理关系说明：</w:t>
      </w:r>
    </w:p>
    <w:p>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我单位管理的具有独立法人的下属单位有：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(没有填无）。</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我单位的上级管理单位有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(没有填无）。</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2.股权关系说明：</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我单位控股的单位有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(没有填无）。</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我单位被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单位控股(没有填无）。</w:t>
      </w:r>
    </w:p>
    <w:p>
      <w:pPr>
        <w:autoSpaceDE w:val="0"/>
        <w:autoSpaceDN w:val="0"/>
        <w:adjustRightIn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3.单位负责人：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（是或否）为本次采购项目提供过整体设计、规范编制或者项目管理、监理、检测等服务的供应商。</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三、其他与本项目有关的利害关系说明：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（没有填无）</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我单位承诺以上说明真实有效，无虚假内容或隐瞒。</w:t>
      </w:r>
    </w:p>
    <w:p>
      <w:pPr>
        <w:autoSpaceDE w:val="0"/>
        <w:autoSpaceDN w:val="0"/>
        <w:adjustRightInd w:val="0"/>
        <w:spacing w:line="288" w:lineRule="auto"/>
        <w:ind w:firstLine="480" w:firstLineChars="200"/>
        <w:rPr>
          <w:rFonts w:ascii="宋体" w:hAnsi="宋体" w:cs="宋体"/>
          <w:color w:val="auto"/>
          <w:sz w:val="24"/>
          <w:highlight w:val="none"/>
        </w:rPr>
      </w:pPr>
    </w:p>
    <w:p>
      <w:pPr>
        <w:spacing w:line="360" w:lineRule="auto"/>
        <w:ind w:firstLine="3360" w:firstLineChars="1400"/>
        <w:rPr>
          <w:rFonts w:ascii="宋体" w:hAnsi="宋体" w:cs="宋体"/>
          <w:color w:val="auto"/>
          <w:sz w:val="24"/>
          <w:highlight w:val="none"/>
        </w:rPr>
      </w:pPr>
    </w:p>
    <w:p>
      <w:pPr>
        <w:spacing w:line="360" w:lineRule="auto"/>
        <w:ind w:firstLine="3360" w:firstLineChars="1400"/>
        <w:rPr>
          <w:rFonts w:ascii="宋体" w:hAnsi="宋体" w:cs="宋体"/>
          <w:color w:val="auto"/>
          <w:sz w:val="24"/>
          <w:highlight w:val="none"/>
        </w:rPr>
      </w:pPr>
    </w:p>
    <w:p>
      <w:pPr>
        <w:spacing w:line="360" w:lineRule="auto"/>
        <w:ind w:firstLine="3360" w:firstLineChars="1400"/>
        <w:rPr>
          <w:rFonts w:ascii="宋体" w:hAnsi="宋体" w:cs="宋体"/>
          <w:color w:val="auto"/>
          <w:sz w:val="24"/>
          <w:highlight w:val="none"/>
        </w:rPr>
      </w:pPr>
    </w:p>
    <w:p>
      <w:pPr>
        <w:spacing w:line="360" w:lineRule="auto"/>
        <w:ind w:firstLine="3360" w:firstLineChars="1400"/>
        <w:rPr>
          <w:rFonts w:ascii="宋体" w:hAnsi="宋体" w:cs="宋体"/>
          <w:color w:val="auto"/>
          <w:sz w:val="24"/>
          <w:highlight w:val="none"/>
        </w:rPr>
      </w:pPr>
      <w:r>
        <w:rPr>
          <w:rFonts w:hint="eastAsia" w:ascii="宋体" w:hAnsi="宋体" w:cs="宋体"/>
          <w:color w:val="auto"/>
          <w:sz w:val="24"/>
          <w:highlight w:val="none"/>
        </w:rPr>
        <w:t>供应商（盖章）：</w:t>
      </w:r>
      <w:r>
        <w:rPr>
          <w:rFonts w:hint="eastAsia" w:ascii="宋体" w:hAnsi="宋体" w:cs="宋体"/>
          <w:color w:val="auto"/>
          <w:sz w:val="24"/>
          <w:highlight w:val="none"/>
          <w:u w:val="single"/>
        </w:rPr>
        <w:t xml:space="preserve">                             </w:t>
      </w:r>
    </w:p>
    <w:p>
      <w:pPr>
        <w:spacing w:line="360" w:lineRule="auto"/>
        <w:ind w:firstLine="3360" w:firstLineChars="1400"/>
        <w:rPr>
          <w:rFonts w:ascii="宋体" w:hAnsi="宋体" w:cs="宋体"/>
          <w:color w:val="auto"/>
          <w:sz w:val="24"/>
          <w:highlight w:val="none"/>
          <w:u w:val="single"/>
        </w:rPr>
      </w:pPr>
      <w:r>
        <w:rPr>
          <w:rFonts w:hint="eastAsia" w:ascii="宋体" w:hAnsi="宋体" w:cs="宋体"/>
          <w:color w:val="auto"/>
          <w:sz w:val="24"/>
          <w:highlight w:val="none"/>
        </w:rPr>
        <w:t>法定代表人（签字或盖章）：</w:t>
      </w:r>
      <w:r>
        <w:rPr>
          <w:rFonts w:hint="eastAsia" w:ascii="宋体" w:hAnsi="宋体" w:cs="宋体"/>
          <w:color w:val="auto"/>
          <w:sz w:val="24"/>
          <w:highlight w:val="none"/>
          <w:u w:val="single"/>
        </w:rPr>
        <w:t xml:space="preserve">                         </w:t>
      </w:r>
    </w:p>
    <w:p>
      <w:pPr>
        <w:autoSpaceDE w:val="0"/>
        <w:autoSpaceDN w:val="0"/>
        <w:adjustRightInd w:val="0"/>
        <w:spacing w:line="360" w:lineRule="auto"/>
        <w:ind w:firstLine="3360" w:firstLineChars="1400"/>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4"/>
        <w:spacing w:before="0" w:after="120" w:afterLines="50" w:line="360" w:lineRule="auto"/>
        <w:jc w:val="center"/>
        <w:rPr>
          <w:rFonts w:ascii="宋体" w:hAnsi="宋体" w:eastAsia="宋体" w:cs="宋体"/>
          <w:b w:val="0"/>
          <w:bCs/>
          <w:color w:val="auto"/>
          <w:highlight w:val="none"/>
        </w:rPr>
      </w:pPr>
      <w:r>
        <w:rPr>
          <w:rFonts w:hint="eastAsia" w:ascii="宋体" w:hAnsi="宋体" w:eastAsia="宋体" w:cs="宋体"/>
          <w:b w:val="0"/>
          <w:bCs/>
          <w:color w:val="auto"/>
          <w:highlight w:val="none"/>
        </w:rPr>
        <w:br w:type="page"/>
      </w:r>
      <w:bookmarkEnd w:id="222"/>
      <w:bookmarkEnd w:id="223"/>
      <w:bookmarkStart w:id="224" w:name="_Toc16265272"/>
      <w:bookmarkStart w:id="225" w:name="_Toc16803"/>
      <w:bookmarkStart w:id="226" w:name="_Toc495913706"/>
      <w:bookmarkStart w:id="227" w:name="_Toc14562"/>
      <w:bookmarkStart w:id="228" w:name="_Toc6788"/>
      <w:r>
        <w:rPr>
          <w:rFonts w:hint="eastAsia" w:ascii="宋体" w:hAnsi="宋体" w:eastAsia="宋体" w:cs="宋体"/>
          <w:bCs/>
          <w:color w:val="auto"/>
          <w:kern w:val="2"/>
          <w:sz w:val="32"/>
          <w:szCs w:val="32"/>
          <w:highlight w:val="none"/>
        </w:rPr>
        <w:t>九、拒绝政府采购领域商业贿赂承诺书</w:t>
      </w:r>
      <w:bookmarkEnd w:id="224"/>
      <w:bookmarkEnd w:id="225"/>
      <w:bookmarkEnd w:id="226"/>
      <w:bookmarkEnd w:id="227"/>
      <w:bookmarkEnd w:id="228"/>
    </w:p>
    <w:p>
      <w:pPr>
        <w:autoSpaceDE w:val="0"/>
        <w:autoSpaceDN w:val="0"/>
        <w:adjustRightIn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为响应党中央、国务院关于治理政府采购领域商业贿赂行为的号召，我公司在此庄严承诺：</w:t>
      </w:r>
    </w:p>
    <w:p>
      <w:pPr>
        <w:autoSpaceDE w:val="0"/>
        <w:autoSpaceDN w:val="0"/>
        <w:adjustRightIn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一、在参与政府采购活动中遵纪守法、诚信经营、公平竞标。</w:t>
      </w:r>
    </w:p>
    <w:p>
      <w:pPr>
        <w:autoSpaceDE w:val="0"/>
        <w:autoSpaceDN w:val="0"/>
        <w:adjustRightIn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二、不向政府采购人、采购代理机构和政府采购评审专家进行任何形式的商业贿赂以谋取交易机会。</w:t>
      </w:r>
    </w:p>
    <w:p>
      <w:pPr>
        <w:autoSpaceDE w:val="0"/>
        <w:autoSpaceDN w:val="0"/>
        <w:adjustRightIn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三、不向政府采购代理机构和采购人提供虚假资质证明文件或采用虚假应标方式参与政府采购市场竞争并谋取成交、成交。</w:t>
      </w:r>
    </w:p>
    <w:p>
      <w:pPr>
        <w:autoSpaceDE w:val="0"/>
        <w:autoSpaceDN w:val="0"/>
        <w:adjustRightIn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四、不采取“围标、陪标”等商业欺诈手段获得政府采购订单。</w:t>
      </w:r>
    </w:p>
    <w:p>
      <w:pPr>
        <w:autoSpaceDE w:val="0"/>
        <w:autoSpaceDN w:val="0"/>
        <w:adjustRightIn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五、不采取不正当手段诋毁、排挤其他供应商。</w:t>
      </w:r>
    </w:p>
    <w:p>
      <w:pPr>
        <w:autoSpaceDE w:val="0"/>
        <w:autoSpaceDN w:val="0"/>
        <w:adjustRightIn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六、不在提供货物和服务时“偷梁换柱、以次充好”损害采购人的合法权益。</w:t>
      </w:r>
    </w:p>
    <w:p>
      <w:pPr>
        <w:autoSpaceDE w:val="0"/>
        <w:autoSpaceDN w:val="0"/>
        <w:adjustRightIn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七、不与采购人、采购代理机构、政府采购评审专家或其它供应商恶意串通，进行质疑和投诉，维护政府采购市场秩序。</w:t>
      </w:r>
    </w:p>
    <w:p>
      <w:pPr>
        <w:autoSpaceDE w:val="0"/>
        <w:autoSpaceDN w:val="0"/>
        <w:adjustRightIn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八、尊重和接受政府采购监督管理部门的监督和政府采购代理机构采购要求，承担因违约行为给采购人造成的损失。</w:t>
      </w:r>
    </w:p>
    <w:p>
      <w:pPr>
        <w:autoSpaceDE w:val="0"/>
        <w:autoSpaceDN w:val="0"/>
        <w:adjustRightIn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九、不发生其他有悖于政府采购公开、公平、公正和诚信原则的行为。                                    </w:t>
      </w:r>
    </w:p>
    <w:p>
      <w:pPr>
        <w:autoSpaceDE w:val="0"/>
        <w:autoSpaceDN w:val="0"/>
        <w:adjustRightInd w:val="0"/>
        <w:spacing w:line="336" w:lineRule="auto"/>
        <w:ind w:firstLine="645"/>
        <w:rPr>
          <w:rFonts w:ascii="宋体" w:hAnsi="宋体" w:cs="宋体"/>
          <w:color w:val="auto"/>
          <w:sz w:val="24"/>
          <w:highlight w:val="none"/>
        </w:rPr>
      </w:pPr>
      <w:r>
        <w:rPr>
          <w:rFonts w:hint="eastAsia" w:ascii="宋体" w:hAnsi="宋体" w:cs="宋体"/>
          <w:color w:val="auto"/>
          <w:sz w:val="24"/>
          <w:highlight w:val="none"/>
        </w:rPr>
        <w:t xml:space="preserve"> </w:t>
      </w:r>
    </w:p>
    <w:p>
      <w:pPr>
        <w:autoSpaceDE w:val="0"/>
        <w:autoSpaceDN w:val="0"/>
        <w:adjustRightInd w:val="0"/>
        <w:spacing w:line="336" w:lineRule="auto"/>
        <w:ind w:firstLine="645"/>
        <w:rPr>
          <w:rFonts w:ascii="宋体" w:hAnsi="宋体" w:cs="宋体"/>
          <w:color w:val="auto"/>
          <w:sz w:val="24"/>
          <w:highlight w:val="none"/>
        </w:rPr>
      </w:pPr>
    </w:p>
    <w:p>
      <w:pPr>
        <w:spacing w:line="360" w:lineRule="auto"/>
        <w:ind w:firstLine="3360" w:firstLineChars="1400"/>
        <w:rPr>
          <w:rFonts w:ascii="宋体" w:hAnsi="宋体" w:cs="宋体"/>
          <w:color w:val="auto"/>
          <w:sz w:val="24"/>
          <w:highlight w:val="none"/>
        </w:rPr>
      </w:pPr>
      <w:bookmarkStart w:id="229" w:name="_Toc19027"/>
      <w:r>
        <w:rPr>
          <w:rFonts w:hint="eastAsia" w:ascii="宋体" w:hAnsi="宋体" w:cs="宋体"/>
          <w:color w:val="auto"/>
          <w:sz w:val="24"/>
          <w:highlight w:val="none"/>
        </w:rPr>
        <w:t>供应商（盖章）：</w:t>
      </w:r>
      <w:r>
        <w:rPr>
          <w:rFonts w:hint="eastAsia" w:ascii="宋体" w:hAnsi="宋体" w:cs="宋体"/>
          <w:color w:val="auto"/>
          <w:sz w:val="24"/>
          <w:highlight w:val="none"/>
          <w:u w:val="single"/>
        </w:rPr>
        <w:t xml:space="preserve">                             </w:t>
      </w:r>
    </w:p>
    <w:p>
      <w:pPr>
        <w:spacing w:line="360" w:lineRule="auto"/>
        <w:ind w:firstLine="3360" w:firstLineChars="1400"/>
        <w:rPr>
          <w:rFonts w:ascii="宋体" w:hAnsi="宋体" w:cs="宋体"/>
          <w:color w:val="auto"/>
          <w:sz w:val="24"/>
          <w:highlight w:val="none"/>
          <w:u w:val="single"/>
        </w:rPr>
      </w:pPr>
      <w:r>
        <w:rPr>
          <w:rFonts w:hint="eastAsia" w:ascii="宋体" w:hAnsi="宋体" w:cs="宋体"/>
          <w:color w:val="auto"/>
          <w:sz w:val="24"/>
          <w:highlight w:val="none"/>
        </w:rPr>
        <w:t>法定代表人（签字或盖章）：</w:t>
      </w:r>
      <w:r>
        <w:rPr>
          <w:rFonts w:hint="eastAsia" w:ascii="宋体" w:hAnsi="宋体" w:cs="宋体"/>
          <w:color w:val="auto"/>
          <w:sz w:val="24"/>
          <w:highlight w:val="none"/>
          <w:u w:val="single"/>
        </w:rPr>
        <w:t xml:space="preserve">                         </w:t>
      </w:r>
    </w:p>
    <w:p>
      <w:pPr>
        <w:autoSpaceDE w:val="0"/>
        <w:autoSpaceDN w:val="0"/>
        <w:adjustRightInd w:val="0"/>
        <w:spacing w:line="360" w:lineRule="auto"/>
        <w:ind w:firstLine="3360" w:firstLineChars="1400"/>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127"/>
        <w:spacing w:line="400" w:lineRule="exact"/>
        <w:rPr>
          <w:rFonts w:ascii="宋体" w:hAnsi="宋体" w:cs="宋体"/>
          <w:b/>
          <w:color w:val="auto"/>
          <w:sz w:val="24"/>
          <w:szCs w:val="24"/>
          <w:highlight w:val="none"/>
        </w:rPr>
      </w:pPr>
    </w:p>
    <w:p>
      <w:pPr>
        <w:pStyle w:val="4"/>
        <w:spacing w:before="0" w:after="120" w:afterLines="50" w:line="360" w:lineRule="auto"/>
        <w:jc w:val="center"/>
        <w:rPr>
          <w:rFonts w:ascii="宋体" w:hAnsi="宋体" w:eastAsia="宋体" w:cs="宋体"/>
          <w:b w:val="0"/>
          <w:bCs/>
          <w:color w:val="auto"/>
          <w:highlight w:val="none"/>
        </w:rPr>
      </w:pPr>
      <w:r>
        <w:rPr>
          <w:rFonts w:hint="eastAsia" w:ascii="宋体" w:hAnsi="宋体" w:eastAsia="宋体" w:cs="宋体"/>
          <w:b w:val="0"/>
          <w:bCs/>
          <w:color w:val="auto"/>
          <w:highlight w:val="none"/>
        </w:rPr>
        <w:br w:type="page"/>
      </w:r>
      <w:bookmarkEnd w:id="229"/>
      <w:bookmarkStart w:id="230" w:name="_Toc16265273"/>
      <w:bookmarkStart w:id="231" w:name="_Toc10477"/>
      <w:bookmarkStart w:id="232" w:name="_Toc29305"/>
      <w:r>
        <w:rPr>
          <w:rFonts w:hint="eastAsia" w:ascii="宋体" w:hAnsi="宋体" w:eastAsia="宋体" w:cs="宋体"/>
          <w:bCs/>
          <w:color w:val="auto"/>
          <w:kern w:val="2"/>
          <w:sz w:val="32"/>
          <w:szCs w:val="32"/>
          <w:highlight w:val="none"/>
        </w:rPr>
        <w:t>十、</w:t>
      </w:r>
      <w:bookmarkEnd w:id="230"/>
      <w:r>
        <w:rPr>
          <w:rFonts w:hint="eastAsia" w:ascii="宋体" w:hAnsi="宋体" w:eastAsia="宋体" w:cs="宋体"/>
          <w:bCs/>
          <w:color w:val="auto"/>
          <w:kern w:val="2"/>
          <w:sz w:val="32"/>
          <w:szCs w:val="32"/>
          <w:highlight w:val="none"/>
        </w:rPr>
        <w:t>落实政府采购政策需提供的相关材料及供应商认为有必要补充说明的事项</w:t>
      </w:r>
      <w:bookmarkEnd w:id="231"/>
      <w:bookmarkEnd w:id="232"/>
    </w:p>
    <w:p>
      <w:pPr>
        <w:pStyle w:val="127"/>
        <w:spacing w:line="400" w:lineRule="exact"/>
        <w:rPr>
          <w:rFonts w:ascii="宋体" w:hAnsi="宋体" w:cs="宋体"/>
          <w:color w:val="auto"/>
          <w:sz w:val="24"/>
          <w:szCs w:val="24"/>
          <w:highlight w:val="none"/>
        </w:rPr>
      </w:pPr>
    </w:p>
    <w:p>
      <w:pPr>
        <w:pStyle w:val="127"/>
        <w:spacing w:line="400" w:lineRule="exact"/>
        <w:rPr>
          <w:rFonts w:ascii="宋体" w:hAnsi="宋体" w:cs="宋体"/>
          <w:color w:val="auto"/>
          <w:sz w:val="24"/>
          <w:szCs w:val="24"/>
          <w:highlight w:val="none"/>
        </w:rPr>
      </w:pPr>
    </w:p>
    <w:p>
      <w:pPr>
        <w:pStyle w:val="127"/>
        <w:spacing w:line="400" w:lineRule="exact"/>
        <w:rPr>
          <w:rFonts w:ascii="宋体" w:hAnsi="宋体" w:cs="宋体"/>
          <w:b/>
          <w:color w:val="auto"/>
          <w:sz w:val="24"/>
          <w:szCs w:val="24"/>
          <w:highlight w:val="none"/>
        </w:rPr>
      </w:pPr>
    </w:p>
    <w:p>
      <w:pPr>
        <w:pStyle w:val="127"/>
        <w:spacing w:line="400" w:lineRule="exact"/>
        <w:rPr>
          <w:rFonts w:ascii="宋体" w:hAnsi="宋体" w:cs="宋体"/>
          <w:color w:val="auto"/>
          <w:sz w:val="24"/>
          <w:szCs w:val="24"/>
          <w:highlight w:val="none"/>
          <w:u w:val="single"/>
        </w:rPr>
      </w:pPr>
      <w:bookmarkStart w:id="233" w:name="_Toc475451557"/>
      <w:bookmarkStart w:id="234" w:name="_Toc473056008"/>
      <w:bookmarkStart w:id="235" w:name="_Toc475451804"/>
    </w:p>
    <w:bookmarkEnd w:id="233"/>
    <w:bookmarkEnd w:id="234"/>
    <w:bookmarkEnd w:id="235"/>
    <w:p>
      <w:pPr>
        <w:adjustRightInd w:val="0"/>
        <w:snapToGrid w:val="0"/>
        <w:spacing w:line="360" w:lineRule="exact"/>
        <w:ind w:firstLine="525" w:firstLineChars="250"/>
        <w:rPr>
          <w:rFonts w:ascii="宋体" w:hAnsi="宋体" w:cs="宋体"/>
          <w:color w:val="auto"/>
          <w:highlight w:val="none"/>
        </w:rPr>
      </w:pPr>
      <w:r>
        <w:rPr>
          <w:rFonts w:hint="eastAsia" w:ascii="宋体" w:hAnsi="宋体" w:cs="宋体"/>
          <w:color w:val="auto"/>
          <w:highlight w:val="none"/>
        </w:rPr>
        <w:br w:type="page"/>
      </w:r>
    </w:p>
    <w:p>
      <w:pPr>
        <w:widowControl/>
        <w:jc w:val="center"/>
        <w:rPr>
          <w:rFonts w:hint="eastAsia" w:hAnsi="宋体" w:cs="宋体"/>
          <w:b/>
          <w:bCs/>
          <w:color w:val="auto"/>
          <w:sz w:val="28"/>
          <w:szCs w:val="28"/>
          <w:highlight w:val="none"/>
        </w:rPr>
      </w:pPr>
      <w:r>
        <w:rPr>
          <w:rFonts w:hint="eastAsia" w:hAnsi="宋体" w:cs="宋体"/>
          <w:b/>
          <w:bCs/>
          <w:color w:val="auto"/>
          <w:sz w:val="28"/>
          <w:szCs w:val="28"/>
          <w:highlight w:val="none"/>
        </w:rPr>
        <w:t>（附件根据实际情况填写，声明函将随结果公告一同公布，接受社会监督。）</w:t>
      </w:r>
    </w:p>
    <w:p>
      <w:pPr>
        <w:jc w:val="center"/>
        <w:rPr>
          <w:rFonts w:hint="eastAsia" w:hAnsi="宋体" w:cs="宋体"/>
          <w:color w:val="auto"/>
          <w:highlight w:val="none"/>
        </w:rPr>
      </w:pPr>
    </w:p>
    <w:p>
      <w:pPr>
        <w:rPr>
          <w:rFonts w:hint="eastAsia" w:hAnsi="宋体" w:cs="宋体"/>
          <w:b/>
          <w:color w:val="auto"/>
          <w:sz w:val="28"/>
          <w:szCs w:val="28"/>
          <w:highlight w:val="none"/>
        </w:rPr>
      </w:pP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w:t>
      </w:r>
    </w:p>
    <w:p>
      <w:pPr>
        <w:widowControl/>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w:t>
      </w:r>
      <w:r>
        <w:rPr>
          <w:rFonts w:hint="eastAsia" w:ascii="宋体" w:hAnsi="宋体" w:eastAsia="宋体" w:cs="宋体"/>
          <w:b/>
          <w:bCs/>
          <w:color w:val="auto"/>
          <w:sz w:val="28"/>
          <w:szCs w:val="28"/>
          <w:highlight w:val="none"/>
          <w:lang w:val="en-US" w:eastAsia="zh-CN"/>
        </w:rPr>
        <w:t>货物</w:t>
      </w:r>
      <w:r>
        <w:rPr>
          <w:rFonts w:hint="eastAsia" w:ascii="宋体" w:hAnsi="宋体" w:eastAsia="宋体" w:cs="宋体"/>
          <w:b/>
          <w:bCs/>
          <w:color w:val="auto"/>
          <w:sz w:val="28"/>
          <w:szCs w:val="28"/>
          <w:highlight w:val="none"/>
        </w:rPr>
        <w:t>）</w:t>
      </w:r>
    </w:p>
    <w:p>
      <w:pPr>
        <w:pStyle w:val="15"/>
        <w:rPr>
          <w:rFonts w:hint="eastAsia"/>
          <w:color w:val="auto"/>
          <w:highlight w:val="none"/>
        </w:rPr>
      </w:pPr>
    </w:p>
    <w:p>
      <w:pPr>
        <w:snapToGrid w:val="0"/>
        <w:spacing w:line="312" w:lineRule="auto"/>
        <w:ind w:firstLine="480" w:firstLineChars="200"/>
        <w:jc w:val="left"/>
        <w:rPr>
          <w:rFonts w:hint="eastAsia" w:ascii="宋体" w:hAnsi="宋体" w:cs="宋体"/>
          <w:color w:val="auto"/>
          <w:w w:val="95"/>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pPr>
        <w:tabs>
          <w:tab w:val="left" w:pos="1183"/>
          <w:tab w:val="left" w:pos="1484"/>
          <w:tab w:val="left" w:pos="4662"/>
          <w:tab w:val="left" w:pos="6903"/>
        </w:tabs>
        <w:snapToGrid w:val="0"/>
        <w:spacing w:line="312" w:lineRule="auto"/>
        <w:ind w:right="169"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w w:val="96"/>
          <w:sz w:val="24"/>
          <w:highlight w:val="none"/>
          <w:u w:val="singl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w:t>
      </w:r>
      <w:r>
        <w:rPr>
          <w:rFonts w:hint="eastAsia" w:ascii="宋体" w:hAnsi="宋体" w:cs="宋体"/>
          <w:color w:val="auto"/>
          <w:sz w:val="24"/>
          <w:highlight w:val="none"/>
          <w:u w:val="single"/>
        </w:rPr>
        <w:t>采购文件中明确的所属行业）行业</w:t>
      </w:r>
      <w:r>
        <w:rPr>
          <w:rFonts w:hint="eastAsia" w:ascii="宋体" w:hAnsi="宋体" w:cs="宋体"/>
          <w:color w:val="auto"/>
          <w:w w:val="99"/>
          <w:sz w:val="24"/>
          <w:highlight w:val="none"/>
        </w:rPr>
        <w:t>；</w:t>
      </w:r>
      <w:r>
        <w:rPr>
          <w:rFonts w:hint="eastAsia" w:ascii="宋体" w:hAnsi="宋体" w:cs="宋体"/>
          <w:color w:val="auto"/>
          <w:sz w:val="24"/>
          <w:highlight w:val="none"/>
        </w:rPr>
        <w:t>制造商为</w:t>
      </w:r>
      <w:r>
        <w:rPr>
          <w:rFonts w:hint="eastAsia" w:ascii="宋体" w:hAnsi="宋体" w:cs="宋体"/>
          <w:color w:val="auto"/>
          <w:w w:val="96"/>
          <w:sz w:val="24"/>
          <w:highlight w:val="none"/>
          <w:u w:val="single"/>
        </w:rPr>
        <w:t>（</w:t>
      </w:r>
      <w:r>
        <w:rPr>
          <w:rFonts w:hint="eastAsia" w:ascii="宋体" w:hAnsi="宋体" w:cs="宋体"/>
          <w:color w:val="auto"/>
          <w:sz w:val="24"/>
          <w:highlight w:val="none"/>
          <w:u w:val="single"/>
        </w:rPr>
        <w:t>企业名称）</w:t>
      </w:r>
      <w:r>
        <w:rPr>
          <w:rFonts w:hint="eastAsia" w:ascii="宋体" w:hAnsi="宋体" w:cs="宋体"/>
          <w:color w:val="auto"/>
          <w:w w:val="99"/>
          <w:sz w:val="24"/>
          <w:highlight w:val="none"/>
        </w:rPr>
        <w:t>，</w:t>
      </w:r>
      <w:r>
        <w:rPr>
          <w:rFonts w:hint="eastAsia" w:ascii="宋体" w:hAnsi="宋体" w:cs="宋体"/>
          <w:color w:val="auto"/>
          <w:sz w:val="24"/>
          <w:highlight w:val="none"/>
        </w:rPr>
        <w:t xml:space="preserve">从业人员 </w:t>
      </w:r>
      <w:r>
        <w:rPr>
          <w:rFonts w:hint="eastAsia" w:ascii="宋体" w:hAnsi="宋体" w:cs="宋体"/>
          <w:color w:val="auto"/>
          <w:w w:val="99"/>
          <w:sz w:val="24"/>
          <w:highlight w:val="none"/>
          <w:u w:val="single"/>
        </w:rPr>
        <w:t xml:space="preserve">    </w:t>
      </w:r>
      <w:r>
        <w:rPr>
          <w:rFonts w:hint="eastAsia" w:ascii="宋体" w:hAnsi="宋体" w:cs="宋体"/>
          <w:color w:val="auto"/>
          <w:sz w:val="24"/>
          <w:highlight w:val="none"/>
        </w:rPr>
        <w:t>人</w:t>
      </w:r>
      <w:r>
        <w:rPr>
          <w:rFonts w:hint="eastAsia" w:ascii="宋体" w:hAnsi="宋体" w:cs="宋体"/>
          <w:color w:val="auto"/>
          <w:w w:val="99"/>
          <w:sz w:val="24"/>
          <w:highlight w:val="none"/>
        </w:rPr>
        <w:t>，</w:t>
      </w:r>
      <w:r>
        <w:rPr>
          <w:rFonts w:hint="eastAsia" w:ascii="宋体" w:hAnsi="宋体" w:cs="宋体"/>
          <w:color w:val="auto"/>
          <w:sz w:val="24"/>
          <w:highlight w:val="none"/>
        </w:rPr>
        <w:t>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万元，资产总额为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w w:val="95"/>
          <w:sz w:val="24"/>
          <w:highlight w:val="none"/>
          <w:u w:val="single"/>
        </w:rPr>
        <w:t>（</w:t>
      </w:r>
      <w:r>
        <w:rPr>
          <w:rFonts w:hint="eastAsia" w:ascii="宋体" w:hAnsi="宋体" w:cs="宋体"/>
          <w:color w:val="auto"/>
          <w:sz w:val="24"/>
          <w:highlight w:val="none"/>
          <w:u w:val="single"/>
        </w:rPr>
        <w:t>中型企业、小型企业、微型企业）</w:t>
      </w:r>
      <w:r>
        <w:rPr>
          <w:rFonts w:hint="eastAsia" w:ascii="宋体" w:hAnsi="宋体" w:cs="宋体"/>
          <w:color w:val="auto"/>
          <w:w w:val="99"/>
          <w:sz w:val="24"/>
          <w:highlight w:val="none"/>
        </w:rPr>
        <w:t>；</w:t>
      </w:r>
    </w:p>
    <w:p>
      <w:pPr>
        <w:tabs>
          <w:tab w:val="left" w:pos="1165"/>
          <w:tab w:val="left" w:pos="1183"/>
          <w:tab w:val="left" w:pos="4362"/>
          <w:tab w:val="left" w:pos="6577"/>
        </w:tabs>
        <w:snapToGrid w:val="0"/>
        <w:spacing w:line="312" w:lineRule="auto"/>
        <w:ind w:firstLine="499" w:firstLineChars="208"/>
        <w:jc w:val="left"/>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w w:val="96"/>
          <w:sz w:val="24"/>
          <w:highlight w:val="none"/>
          <w:u w:val="singl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w:t>
      </w:r>
      <w:r>
        <w:rPr>
          <w:rFonts w:hint="eastAsia" w:ascii="宋体" w:hAnsi="宋体" w:cs="宋体"/>
          <w:color w:val="auto"/>
          <w:sz w:val="24"/>
          <w:highlight w:val="none"/>
          <w:u w:val="single"/>
        </w:rPr>
        <w:t>采购文件中明确的所属行业）行业</w:t>
      </w:r>
      <w:r>
        <w:rPr>
          <w:rFonts w:hint="eastAsia" w:ascii="宋体" w:hAnsi="宋体" w:cs="宋体"/>
          <w:color w:val="auto"/>
          <w:w w:val="99"/>
          <w:sz w:val="24"/>
          <w:highlight w:val="none"/>
        </w:rPr>
        <w:t>；</w:t>
      </w:r>
      <w:r>
        <w:rPr>
          <w:rFonts w:hint="eastAsia" w:ascii="宋体" w:hAnsi="宋体" w:cs="宋体"/>
          <w:color w:val="auto"/>
          <w:sz w:val="24"/>
          <w:highlight w:val="none"/>
        </w:rPr>
        <w:t>制造商为</w:t>
      </w:r>
      <w:r>
        <w:rPr>
          <w:rFonts w:hint="eastAsia" w:ascii="宋体" w:hAnsi="宋体" w:cs="宋体"/>
          <w:color w:val="auto"/>
          <w:w w:val="96"/>
          <w:sz w:val="24"/>
          <w:highlight w:val="none"/>
          <w:u w:val="single"/>
        </w:rPr>
        <w:t>（</w:t>
      </w:r>
      <w:r>
        <w:rPr>
          <w:rFonts w:hint="eastAsia" w:ascii="宋体" w:hAnsi="宋体" w:cs="宋体"/>
          <w:color w:val="auto"/>
          <w:sz w:val="24"/>
          <w:highlight w:val="none"/>
          <w:u w:val="single"/>
        </w:rPr>
        <w:t>企业名称）</w:t>
      </w:r>
      <w:r>
        <w:rPr>
          <w:rFonts w:hint="eastAsia" w:ascii="宋体" w:hAnsi="宋体" w:cs="宋体"/>
          <w:color w:val="auto"/>
          <w:w w:val="99"/>
          <w:sz w:val="24"/>
          <w:highlight w:val="none"/>
        </w:rPr>
        <w:t>，</w:t>
      </w:r>
      <w:r>
        <w:rPr>
          <w:rFonts w:hint="eastAsia" w:ascii="宋体" w:hAnsi="宋体" w:cs="宋体"/>
          <w:color w:val="auto"/>
          <w:sz w:val="24"/>
          <w:highlight w:val="none"/>
        </w:rPr>
        <w:t>从业人员</w:t>
      </w:r>
      <w:r>
        <w:rPr>
          <w:rFonts w:hint="eastAsia" w:ascii="宋体" w:hAnsi="宋体" w:cs="宋体"/>
          <w:color w:val="auto"/>
          <w:w w:val="99"/>
          <w:sz w:val="24"/>
          <w:highlight w:val="none"/>
          <w:u w:val="single"/>
        </w:rPr>
        <w:t xml:space="preserve">    </w:t>
      </w:r>
      <w:r>
        <w:rPr>
          <w:rFonts w:hint="eastAsia" w:ascii="宋体" w:hAnsi="宋体" w:cs="宋体"/>
          <w:color w:val="auto"/>
          <w:w w:val="99"/>
          <w:sz w:val="24"/>
          <w:highlight w:val="none"/>
        </w:rPr>
        <w:t>人，</w:t>
      </w:r>
      <w:r>
        <w:rPr>
          <w:rFonts w:hint="eastAsia" w:ascii="宋体" w:hAnsi="宋体" w:cs="宋体"/>
          <w:color w:val="auto"/>
          <w:sz w:val="24"/>
          <w:highlight w:val="none"/>
        </w:rPr>
        <w:t>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w w:val="95"/>
          <w:sz w:val="24"/>
          <w:highlight w:val="non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（中型企业、小型企业、微型企业）；</w:t>
      </w:r>
    </w:p>
    <w:p>
      <w:pPr>
        <w:snapToGrid w:val="0"/>
        <w:spacing w:line="312" w:lineRule="auto"/>
        <w:ind w:left="860" w:firstLine="480" w:firstLineChars="200"/>
        <w:jc w:val="left"/>
        <w:rPr>
          <w:rFonts w:hint="eastAsia"/>
          <w:color w:val="auto"/>
          <w:highlight w:val="none"/>
        </w:rPr>
      </w:pPr>
      <w:r>
        <w:rPr>
          <w:rFonts w:hint="eastAsia" w:ascii="宋体" w:hAnsi="宋体" w:cs="宋体"/>
          <w:color w:val="auto"/>
          <w:sz w:val="24"/>
          <w:highlight w:val="none"/>
        </w:rPr>
        <w:t>……</w:t>
      </w:r>
    </w:p>
    <w:p>
      <w:pPr>
        <w:adjustRightInd w:val="0"/>
        <w:snapToGrid w:val="0"/>
        <w:spacing w:line="360" w:lineRule="auto"/>
        <w:ind w:firstLine="722" w:firstLineChars="301"/>
        <w:jc w:val="left"/>
        <w:rPr>
          <w:rFonts w:hAnsi="宋体"/>
          <w:color w:val="auto"/>
          <w:sz w:val="24"/>
          <w:highlight w:val="none"/>
        </w:rPr>
      </w:pPr>
      <w:r>
        <w:rPr>
          <w:rFonts w:hAnsi="宋体"/>
          <w:color w:val="auto"/>
          <w:sz w:val="24"/>
          <w:highlight w:val="none"/>
        </w:rPr>
        <w:t>以上企业，不属于大企业的分支机构，不存在控股股东为大企业的情形，也不存在与大企业的负责人为同一人的情形。</w:t>
      </w:r>
    </w:p>
    <w:p>
      <w:pPr>
        <w:adjustRightInd w:val="0"/>
        <w:snapToGrid w:val="0"/>
        <w:spacing w:line="360" w:lineRule="auto"/>
        <w:ind w:firstLine="484" w:firstLineChars="202"/>
        <w:jc w:val="left"/>
        <w:rPr>
          <w:rFonts w:hAnsi="宋体"/>
          <w:color w:val="auto"/>
          <w:sz w:val="24"/>
          <w:highlight w:val="none"/>
        </w:rPr>
      </w:pPr>
      <w:r>
        <w:rPr>
          <w:rFonts w:hAnsi="宋体"/>
          <w:color w:val="auto"/>
          <w:sz w:val="24"/>
          <w:highlight w:val="none"/>
        </w:rPr>
        <w:t>本企业对上述声明内容的真实性负责。如有虚假，将依法承担相应责任。</w:t>
      </w:r>
    </w:p>
    <w:p>
      <w:pPr>
        <w:adjustRightInd w:val="0"/>
        <w:snapToGrid w:val="0"/>
        <w:spacing w:line="360" w:lineRule="auto"/>
        <w:ind w:firstLine="484" w:firstLineChars="202"/>
        <w:jc w:val="left"/>
        <w:rPr>
          <w:rFonts w:hint="eastAsia" w:hAnsi="宋体"/>
          <w:color w:val="auto"/>
          <w:sz w:val="24"/>
          <w:highlight w:val="none"/>
        </w:rPr>
      </w:pPr>
    </w:p>
    <w:p>
      <w:pPr>
        <w:adjustRightInd w:val="0"/>
        <w:snapToGrid w:val="0"/>
        <w:spacing w:line="360" w:lineRule="auto"/>
        <w:ind w:firstLine="5522" w:firstLineChars="2301"/>
        <w:jc w:val="left"/>
        <w:rPr>
          <w:rFonts w:hAnsi="宋体"/>
          <w:color w:val="auto"/>
          <w:sz w:val="24"/>
          <w:highlight w:val="none"/>
        </w:rPr>
      </w:pPr>
      <w:r>
        <w:rPr>
          <w:rFonts w:hAnsi="宋体"/>
          <w:color w:val="auto"/>
          <w:sz w:val="24"/>
          <w:highlight w:val="none"/>
        </w:rPr>
        <w:t>企业名称（盖章）：</w:t>
      </w:r>
    </w:p>
    <w:p>
      <w:pPr>
        <w:adjustRightInd w:val="0"/>
        <w:snapToGrid w:val="0"/>
        <w:spacing w:line="360" w:lineRule="auto"/>
        <w:ind w:firstLine="5520" w:firstLineChars="2300"/>
        <w:jc w:val="left"/>
        <w:rPr>
          <w:rFonts w:hint="eastAsia" w:hAnsi="宋体" w:eastAsia="宋体"/>
          <w:color w:val="auto"/>
          <w:sz w:val="24"/>
          <w:highlight w:val="none"/>
          <w:lang w:eastAsia="zh-CN"/>
        </w:rPr>
      </w:pPr>
      <w:r>
        <w:rPr>
          <w:rFonts w:hAnsi="宋体"/>
          <w:color w:val="auto"/>
          <w:sz w:val="24"/>
          <w:highlight w:val="none"/>
        </w:rPr>
        <w:t>日期：</w:t>
      </w:r>
    </w:p>
    <w:p>
      <w:pPr>
        <w:pStyle w:val="15"/>
        <w:rPr>
          <w:rFonts w:hint="eastAsia"/>
          <w:color w:val="auto"/>
          <w:highlight w:val="none"/>
          <w:lang w:eastAsia="zh-CN"/>
        </w:rPr>
      </w:pPr>
    </w:p>
    <w:p>
      <w:pPr>
        <w:snapToGrid w:val="0"/>
        <w:spacing w:line="312"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备注：</w:t>
      </w:r>
    </w:p>
    <w:p>
      <w:pPr>
        <w:numPr>
          <w:ilvl w:val="0"/>
          <w:numId w:val="13"/>
        </w:numPr>
        <w:snapToGrid w:val="0"/>
        <w:spacing w:line="312"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提供的货物全部由符合政策要求的中小企业制造的，应填写本表，否则不得享受相关中小企业扶持政策。</w:t>
      </w:r>
    </w:p>
    <w:p>
      <w:pPr>
        <w:numPr>
          <w:ilvl w:val="0"/>
          <w:numId w:val="13"/>
        </w:numPr>
        <w:snapToGrid w:val="0"/>
        <w:spacing w:line="312" w:lineRule="auto"/>
        <w:rPr>
          <w:rFonts w:hint="eastAsia" w:ascii="宋体" w:hAnsi="宋体" w:cs="宋体"/>
          <w:color w:val="auto"/>
          <w:sz w:val="24"/>
          <w:highlight w:val="none"/>
        </w:rPr>
      </w:pPr>
      <w:r>
        <w:rPr>
          <w:rFonts w:hint="eastAsia" w:ascii="宋体" w:hAnsi="宋体" w:cs="宋体"/>
          <w:color w:val="auto"/>
          <w:sz w:val="24"/>
          <w:highlight w:val="none"/>
        </w:rPr>
        <w:t>从业人员、营业收入、资产总额填报上一年度数据，无上一年度数据的新成立企业可不填报。</w:t>
      </w:r>
    </w:p>
    <w:p>
      <w:pPr>
        <w:snapToGrid w:val="0"/>
        <w:spacing w:line="312" w:lineRule="auto"/>
        <w:rPr>
          <w:rFonts w:hint="eastAsia" w:ascii="宋体" w:hAnsi="宋体" w:eastAsia="宋体" w:cs="宋体"/>
          <w:color w:val="auto"/>
          <w:sz w:val="24"/>
          <w:highlight w:val="none"/>
        </w:rPr>
      </w:pPr>
      <w:r>
        <w:rPr>
          <w:rFonts w:hint="eastAsia" w:ascii="宋体" w:hAnsi="宋体" w:cs="宋体"/>
          <w:color w:val="auto"/>
          <w:sz w:val="24"/>
          <w:highlight w:val="none"/>
        </w:rPr>
        <w:t>（3）根据《工业和信息化部、国家统计局、国家发展和改革委员会、财政部关于印发中小企业划型标准规</w:t>
      </w:r>
      <w:r>
        <w:rPr>
          <w:rFonts w:hint="eastAsia" w:ascii="宋体" w:hAnsi="宋体" w:eastAsia="宋体" w:cs="宋体"/>
          <w:color w:val="auto"/>
          <w:sz w:val="24"/>
          <w:highlight w:val="none"/>
        </w:rPr>
        <w:t>定的通知》（工信部联企业〔2011〕300号），本项目采购标的对应的中小企业所属行业为</w:t>
      </w:r>
      <w:r>
        <w:rPr>
          <w:rFonts w:hint="eastAsia" w:ascii="宋体" w:hAnsi="宋体" w:cs="宋体"/>
          <w:b/>
          <w:bCs/>
          <w:color w:val="auto"/>
          <w:sz w:val="24"/>
          <w:highlight w:val="none"/>
          <w:lang w:val="en-US" w:eastAsia="zh-CN"/>
        </w:rPr>
        <w:t>零售业。</w:t>
      </w:r>
    </w:p>
    <w:p>
      <w:pPr>
        <w:pStyle w:val="15"/>
        <w:jc w:val="left"/>
        <w:rPr>
          <w:rFonts w:hint="eastAsia" w:ascii="宋体" w:hAnsi="宋体" w:cs="宋体"/>
          <w:color w:val="auto"/>
          <w:sz w:val="24"/>
          <w:highlight w:val="none"/>
        </w:rPr>
      </w:pPr>
    </w:p>
    <w:p>
      <w:pPr>
        <w:adjustRightInd w:val="0"/>
        <w:snapToGrid w:val="0"/>
        <w:spacing w:line="360" w:lineRule="auto"/>
        <w:jc w:val="center"/>
        <w:rPr>
          <w:rFonts w:hint="eastAsia" w:hAnsi="宋体" w:cs="宋体"/>
          <w:color w:val="auto"/>
          <w:sz w:val="24"/>
          <w:highlight w:val="none"/>
        </w:rPr>
      </w:pPr>
      <w:r>
        <w:rPr>
          <w:rFonts w:hint="eastAsia" w:hAnsi="宋体" w:cs="宋体"/>
          <w:color w:val="auto"/>
          <w:sz w:val="24"/>
          <w:highlight w:val="none"/>
        </w:rPr>
        <w:br w:type="page"/>
      </w:r>
      <w:r>
        <w:rPr>
          <w:rFonts w:hint="eastAsia" w:ascii="宋体" w:hAnsi="宋体" w:eastAsia="宋体" w:cs="宋体"/>
          <w:b/>
          <w:bCs/>
          <w:color w:val="auto"/>
          <w:sz w:val="28"/>
          <w:szCs w:val="28"/>
          <w:highlight w:val="none"/>
        </w:rPr>
        <w:t>（以下附件根据实际情况提供，没有则不提供。声明函将随结果公告一同公布，接受社会监督。）</w:t>
      </w:r>
    </w:p>
    <w:p>
      <w:pPr>
        <w:adjustRightInd w:val="0"/>
        <w:snapToGrid w:val="0"/>
        <w:spacing w:line="360" w:lineRule="auto"/>
        <w:rPr>
          <w:rFonts w:hint="eastAsia" w:hAnsi="宋体" w:cs="宋体"/>
          <w:b/>
          <w:color w:val="auto"/>
          <w:sz w:val="28"/>
          <w:szCs w:val="28"/>
          <w:highlight w:val="none"/>
        </w:rPr>
      </w:pP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5</w:t>
      </w:r>
      <w:r>
        <w:rPr>
          <w:rFonts w:hint="eastAsia" w:hAnsi="宋体" w:cs="宋体"/>
          <w:b/>
          <w:color w:val="auto"/>
          <w:sz w:val="28"/>
          <w:szCs w:val="28"/>
          <w:highlight w:val="none"/>
        </w:rPr>
        <w:t>：</w:t>
      </w:r>
    </w:p>
    <w:p>
      <w:pPr>
        <w:spacing w:line="588" w:lineRule="exact"/>
        <w:jc w:val="center"/>
        <w:rPr>
          <w:rFonts w:hint="eastAsia" w:hAnsi="宋体" w:cs="宋体"/>
          <w:b/>
          <w:color w:val="auto"/>
          <w:spacing w:val="6"/>
          <w:sz w:val="36"/>
          <w:szCs w:val="36"/>
          <w:highlight w:val="none"/>
        </w:rPr>
      </w:pPr>
    </w:p>
    <w:p>
      <w:pPr>
        <w:spacing w:line="588" w:lineRule="exact"/>
        <w:jc w:val="center"/>
        <w:rPr>
          <w:rFonts w:hint="eastAsia" w:hAnsi="宋体" w:cs="宋体"/>
          <w:b/>
          <w:color w:val="auto"/>
          <w:spacing w:val="6"/>
          <w:sz w:val="36"/>
          <w:szCs w:val="36"/>
          <w:highlight w:val="none"/>
        </w:rPr>
      </w:pPr>
      <w:r>
        <w:rPr>
          <w:rFonts w:hint="eastAsia" w:hAnsi="宋体" w:cs="宋体"/>
          <w:b/>
          <w:color w:val="auto"/>
          <w:spacing w:val="6"/>
          <w:sz w:val="36"/>
          <w:szCs w:val="36"/>
          <w:highlight w:val="none"/>
        </w:rPr>
        <w:t>残疾人福利性单位声明函</w:t>
      </w:r>
    </w:p>
    <w:p>
      <w:pPr>
        <w:spacing w:line="588" w:lineRule="exact"/>
        <w:rPr>
          <w:rFonts w:hint="eastAsia" w:hAnsi="宋体" w:cs="宋体"/>
          <w:b/>
          <w:color w:val="auto"/>
          <w:spacing w:val="6"/>
          <w:sz w:val="30"/>
          <w:szCs w:val="30"/>
          <w:highlight w:val="none"/>
        </w:rPr>
      </w:pPr>
    </w:p>
    <w:p>
      <w:pPr>
        <w:spacing w:line="360" w:lineRule="auto"/>
        <w:ind w:firstLine="504" w:firstLineChars="200"/>
        <w:rPr>
          <w:rFonts w:hint="eastAsia" w:hAnsi="宋体" w:cs="宋体"/>
          <w:color w:val="auto"/>
          <w:spacing w:val="6"/>
          <w:sz w:val="24"/>
          <w:highlight w:val="none"/>
        </w:rPr>
      </w:pPr>
      <w:r>
        <w:rPr>
          <w:rFonts w:hint="eastAsia" w:hAnsi="宋体" w:cs="宋体"/>
          <w:color w:val="auto"/>
          <w:spacing w:val="6"/>
          <w:sz w:val="24"/>
          <w:highlight w:val="none"/>
        </w:rPr>
        <w:t>本单位郑重声明，根据《财政部 民政部 中国残疾人联合会关于促进残疾人就业政府采购政策的通知》（财库</w:t>
      </w:r>
      <w:r>
        <w:rPr>
          <w:rFonts w:hint="eastAsia" w:hAnsi="宋体" w:cs="宋体"/>
          <w:color w:val="auto"/>
          <w:sz w:val="24"/>
          <w:highlight w:val="none"/>
        </w:rPr>
        <w:t>〔2017〕 141</w:t>
      </w:r>
      <w:r>
        <w:rPr>
          <w:rFonts w:hint="eastAsia" w:hAnsi="宋体" w:cs="宋体"/>
          <w:color w:val="auto"/>
          <w:spacing w:val="6"/>
          <w:sz w:val="24"/>
          <w:highlight w:val="none"/>
        </w:rPr>
        <w:t>号）的规定，本单位为符合条件的残疾人福利性单位，且本单位参加______单位的______项目采购活动提供本单位制造的货物（由本单位承担货物/提供服务），或者提供其他残疾人福利性单位制造的货物（不包括使用非残疾人福利性单位注册商标的货物）。</w:t>
      </w:r>
    </w:p>
    <w:p>
      <w:pPr>
        <w:spacing w:line="360" w:lineRule="auto"/>
        <w:ind w:firstLine="504" w:firstLineChars="200"/>
        <w:rPr>
          <w:rFonts w:hint="eastAsia" w:hAnsi="宋体" w:cs="宋体"/>
          <w:color w:val="auto"/>
          <w:spacing w:val="6"/>
          <w:sz w:val="24"/>
          <w:highlight w:val="none"/>
        </w:rPr>
      </w:pPr>
      <w:r>
        <w:rPr>
          <w:rFonts w:hint="eastAsia" w:hAnsi="宋体" w:cs="宋体"/>
          <w:color w:val="auto"/>
          <w:spacing w:val="6"/>
          <w:sz w:val="24"/>
          <w:highlight w:val="none"/>
        </w:rPr>
        <w:t>本单位对上述声明的真实性负责。如有虚假，将依法承担相应责任。</w:t>
      </w:r>
    </w:p>
    <w:p>
      <w:pPr>
        <w:spacing w:line="360" w:lineRule="auto"/>
        <w:ind w:firstLine="504" w:firstLineChars="200"/>
        <w:rPr>
          <w:rFonts w:hint="eastAsia" w:hAnsi="宋体" w:cs="宋体"/>
          <w:color w:val="auto"/>
          <w:spacing w:val="6"/>
          <w:sz w:val="24"/>
          <w:highlight w:val="none"/>
        </w:rPr>
      </w:pPr>
    </w:p>
    <w:p>
      <w:pPr>
        <w:spacing w:line="360" w:lineRule="auto"/>
        <w:ind w:firstLine="504" w:firstLineChars="200"/>
        <w:rPr>
          <w:rFonts w:hint="eastAsia" w:hAnsi="宋体" w:cs="宋体"/>
          <w:color w:val="auto"/>
          <w:spacing w:val="6"/>
          <w:sz w:val="24"/>
          <w:highlight w:val="none"/>
        </w:rPr>
      </w:pPr>
    </w:p>
    <w:p>
      <w:pPr>
        <w:tabs>
          <w:tab w:val="left" w:pos="4860"/>
        </w:tabs>
        <w:spacing w:line="360" w:lineRule="auto"/>
        <w:ind w:right="1560" w:firstLine="504" w:firstLineChars="200"/>
        <w:jc w:val="center"/>
        <w:rPr>
          <w:rFonts w:hint="eastAsia" w:hAnsi="宋体" w:cs="宋体"/>
          <w:color w:val="auto"/>
          <w:spacing w:val="6"/>
          <w:sz w:val="24"/>
          <w:highlight w:val="none"/>
        </w:rPr>
      </w:pPr>
      <w:r>
        <w:rPr>
          <w:rFonts w:hint="eastAsia" w:hAnsi="宋体" w:cs="宋体"/>
          <w:color w:val="auto"/>
          <w:spacing w:val="6"/>
          <w:sz w:val="24"/>
          <w:highlight w:val="none"/>
        </w:rPr>
        <w:t xml:space="preserve">                   单位名称：</w:t>
      </w:r>
      <w:r>
        <w:rPr>
          <w:rFonts w:hint="eastAsia" w:hAnsi="宋体" w:cs="宋体"/>
          <w:color w:val="auto"/>
          <w:spacing w:val="6"/>
          <w:sz w:val="24"/>
          <w:highlight w:val="none"/>
          <w:u w:val="single"/>
        </w:rPr>
        <w:t xml:space="preserve">              </w:t>
      </w:r>
      <w:r>
        <w:rPr>
          <w:rFonts w:hint="eastAsia" w:hAnsi="宋体" w:cs="宋体"/>
          <w:color w:val="auto"/>
          <w:spacing w:val="6"/>
          <w:sz w:val="24"/>
          <w:highlight w:val="none"/>
        </w:rPr>
        <w:t>（盖单位章）：</w:t>
      </w:r>
    </w:p>
    <w:p>
      <w:pPr>
        <w:tabs>
          <w:tab w:val="left" w:pos="4860"/>
        </w:tabs>
        <w:spacing w:line="360" w:lineRule="auto"/>
        <w:ind w:right="1560" w:firstLine="504" w:firstLineChars="200"/>
        <w:jc w:val="center"/>
        <w:rPr>
          <w:rFonts w:hint="eastAsia" w:hAnsi="宋体" w:cs="宋体"/>
          <w:color w:val="auto"/>
          <w:spacing w:val="6"/>
          <w:sz w:val="24"/>
          <w:highlight w:val="none"/>
        </w:rPr>
      </w:pPr>
      <w:r>
        <w:rPr>
          <w:rFonts w:hint="eastAsia" w:hAnsi="宋体" w:cs="宋体"/>
          <w:color w:val="auto"/>
          <w:spacing w:val="6"/>
          <w:sz w:val="24"/>
          <w:highlight w:val="none"/>
        </w:rPr>
        <w:t xml:space="preserve"> </w:t>
      </w:r>
    </w:p>
    <w:p>
      <w:pPr>
        <w:tabs>
          <w:tab w:val="left" w:pos="4860"/>
        </w:tabs>
        <w:spacing w:line="360" w:lineRule="auto"/>
        <w:ind w:right="1560" w:firstLine="504" w:firstLineChars="200"/>
        <w:jc w:val="center"/>
        <w:rPr>
          <w:rFonts w:hint="eastAsia" w:hAnsi="宋体" w:cs="宋体"/>
          <w:color w:val="auto"/>
          <w:sz w:val="24"/>
          <w:highlight w:val="none"/>
        </w:rPr>
      </w:pPr>
      <w:r>
        <w:rPr>
          <w:rFonts w:hint="eastAsia" w:hAnsi="宋体" w:cs="宋体"/>
          <w:color w:val="auto"/>
          <w:spacing w:val="6"/>
          <w:sz w:val="24"/>
          <w:highlight w:val="none"/>
        </w:rPr>
        <w:t xml:space="preserve">                  日  期：    年   月  日</w:t>
      </w:r>
    </w:p>
    <w:p>
      <w:pPr>
        <w:adjustRightInd w:val="0"/>
        <w:snapToGrid w:val="0"/>
        <w:spacing w:before="50" w:line="360" w:lineRule="auto"/>
        <w:rPr>
          <w:rFonts w:hint="eastAsia" w:hAnsi="宋体" w:cs="宋体"/>
          <w:b/>
          <w:color w:val="auto"/>
          <w:sz w:val="36"/>
          <w:szCs w:val="36"/>
          <w:highlight w:val="none"/>
        </w:rPr>
      </w:pPr>
    </w:p>
    <w:p>
      <w:pPr>
        <w:adjustRightInd w:val="0"/>
        <w:snapToGrid w:val="0"/>
        <w:spacing w:before="50" w:line="360" w:lineRule="auto"/>
        <w:jc w:val="center"/>
        <w:rPr>
          <w:rFonts w:hint="eastAsia" w:hAnsi="宋体" w:cs="宋体"/>
          <w:b/>
          <w:color w:val="auto"/>
          <w:sz w:val="36"/>
          <w:szCs w:val="36"/>
          <w:highlight w:val="none"/>
        </w:rPr>
      </w:pPr>
    </w:p>
    <w:p>
      <w:pPr>
        <w:adjustRightInd w:val="0"/>
        <w:snapToGrid w:val="0"/>
        <w:spacing w:before="50" w:line="360" w:lineRule="auto"/>
        <w:jc w:val="center"/>
        <w:rPr>
          <w:rFonts w:hint="eastAsia" w:hAnsi="宋体" w:cs="宋体"/>
          <w:b/>
          <w:color w:val="auto"/>
          <w:sz w:val="36"/>
          <w:szCs w:val="36"/>
          <w:highlight w:val="none"/>
        </w:rPr>
      </w:pPr>
    </w:p>
    <w:p>
      <w:pPr>
        <w:adjustRightInd w:val="0"/>
        <w:snapToGrid w:val="0"/>
        <w:spacing w:before="50" w:line="360" w:lineRule="auto"/>
        <w:jc w:val="center"/>
        <w:rPr>
          <w:rFonts w:hint="eastAsia" w:hAnsi="宋体" w:cs="宋体"/>
          <w:b/>
          <w:color w:val="auto"/>
          <w:sz w:val="36"/>
          <w:szCs w:val="36"/>
          <w:highlight w:val="none"/>
        </w:rPr>
      </w:pPr>
    </w:p>
    <w:p>
      <w:pPr>
        <w:kinsoku w:val="0"/>
        <w:spacing w:line="360" w:lineRule="auto"/>
        <w:rPr>
          <w:rFonts w:hint="eastAsia" w:hAnsi="宋体" w:cs="宋体"/>
          <w:color w:val="auto"/>
          <w:szCs w:val="21"/>
          <w:highlight w:val="none"/>
        </w:rPr>
      </w:pPr>
    </w:p>
    <w:p>
      <w:pPr>
        <w:kinsoku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说明：</w:t>
      </w:r>
      <w:r>
        <w:rPr>
          <w:rFonts w:hint="eastAsia" w:hAnsi="宋体" w:cs="宋体"/>
          <w:bCs/>
          <w:color w:val="auto"/>
          <w:sz w:val="24"/>
          <w:highlight w:val="none"/>
        </w:rPr>
        <w:t>未按上述要求提供、</w:t>
      </w:r>
      <w:r>
        <w:rPr>
          <w:rFonts w:hint="eastAsia" w:hAnsi="宋体" w:cs="宋体"/>
          <w:color w:val="auto"/>
          <w:sz w:val="24"/>
          <w:highlight w:val="none"/>
        </w:rPr>
        <w:t>填写</w:t>
      </w:r>
      <w:r>
        <w:rPr>
          <w:rFonts w:hint="eastAsia" w:hAnsi="宋体" w:cs="宋体"/>
          <w:bCs/>
          <w:color w:val="auto"/>
          <w:sz w:val="24"/>
          <w:highlight w:val="none"/>
        </w:rPr>
        <w:t>的，评审时不予以考虑。供应商提供的《残疾人福利性单位声明函》必须真实有效，如果被举报经查实出具虚假声明函的，将被取消投标资格，并按有关规定予以处理。</w:t>
      </w:r>
    </w:p>
    <w:p>
      <w:pPr>
        <w:spacing w:line="360" w:lineRule="auto"/>
        <w:ind w:firstLine="480"/>
        <w:rPr>
          <w:rFonts w:hint="eastAsia" w:hAnsi="宋体" w:cs="宋体"/>
          <w:color w:val="auto"/>
          <w:sz w:val="24"/>
          <w:highlight w:val="none"/>
        </w:rPr>
      </w:pPr>
      <w:r>
        <w:rPr>
          <w:rFonts w:hint="eastAsia" w:hAnsi="宋体" w:cs="宋体"/>
          <w:color w:val="auto"/>
          <w:sz w:val="24"/>
          <w:highlight w:val="none"/>
        </w:rPr>
        <w:br w:type="page"/>
      </w: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6</w:t>
      </w:r>
      <w:r>
        <w:rPr>
          <w:rFonts w:hint="eastAsia" w:hAnsi="宋体" w:cs="宋体"/>
          <w:b/>
          <w:color w:val="auto"/>
          <w:sz w:val="28"/>
          <w:szCs w:val="28"/>
          <w:highlight w:val="none"/>
        </w:rPr>
        <w:t>：</w:t>
      </w:r>
    </w:p>
    <w:p>
      <w:pPr>
        <w:spacing w:line="360" w:lineRule="auto"/>
        <w:ind w:firstLine="480"/>
        <w:rPr>
          <w:rFonts w:hint="eastAsia" w:hAnsi="宋体" w:cs="宋体"/>
          <w:b/>
          <w:color w:val="auto"/>
          <w:spacing w:val="6"/>
          <w:sz w:val="36"/>
          <w:szCs w:val="36"/>
          <w:highlight w:val="none"/>
        </w:rPr>
      </w:pPr>
    </w:p>
    <w:p>
      <w:pPr>
        <w:spacing w:line="360" w:lineRule="auto"/>
        <w:ind w:firstLine="480"/>
        <w:jc w:val="center"/>
        <w:rPr>
          <w:rFonts w:hint="eastAsia" w:hAnsi="宋体" w:cs="宋体"/>
          <w:color w:val="auto"/>
          <w:sz w:val="24"/>
          <w:highlight w:val="none"/>
        </w:rPr>
      </w:pPr>
      <w:r>
        <w:rPr>
          <w:rFonts w:hint="eastAsia" w:hAnsi="宋体" w:cs="宋体"/>
          <w:b/>
          <w:color w:val="auto"/>
          <w:spacing w:val="6"/>
          <w:sz w:val="36"/>
          <w:szCs w:val="36"/>
          <w:highlight w:val="none"/>
        </w:rPr>
        <w:t>监狱、戒毒企业声明函</w:t>
      </w:r>
    </w:p>
    <w:p>
      <w:pPr>
        <w:spacing w:line="360" w:lineRule="auto"/>
        <w:ind w:firstLine="480"/>
        <w:rPr>
          <w:rFonts w:hint="eastAsia" w:hAnsi="宋体" w:cs="宋体"/>
          <w:color w:val="auto"/>
          <w:sz w:val="24"/>
          <w:highlight w:val="none"/>
        </w:rPr>
      </w:pPr>
    </w:p>
    <w:p>
      <w:pPr>
        <w:spacing w:line="360" w:lineRule="auto"/>
        <w:rPr>
          <w:rFonts w:hint="eastAsia" w:hAnsi="宋体" w:cs="宋体"/>
          <w:color w:val="auto"/>
          <w:sz w:val="24"/>
          <w:highlight w:val="none"/>
        </w:rPr>
      </w:pPr>
    </w:p>
    <w:p>
      <w:pPr>
        <w:spacing w:line="360" w:lineRule="auto"/>
        <w:ind w:firstLine="480"/>
        <w:rPr>
          <w:rFonts w:hint="eastAsia" w:hAnsi="宋体" w:cs="宋体"/>
          <w:color w:val="auto"/>
          <w:sz w:val="24"/>
          <w:highlight w:val="none"/>
        </w:rPr>
      </w:pPr>
      <w:r>
        <w:rPr>
          <w:rFonts w:hint="eastAsia" w:hAnsi="宋体" w:cs="宋体"/>
          <w:color w:val="auto"/>
          <w:sz w:val="24"/>
          <w:highlight w:val="none"/>
        </w:rPr>
        <w:t>本单位郑重声明，根据《</w:t>
      </w:r>
      <w:r>
        <w:rPr>
          <w:rFonts w:hint="eastAsia" w:hAnsi="宋体" w:cs="宋体"/>
          <w:color w:val="auto"/>
          <w:spacing w:val="-4"/>
          <w:sz w:val="24"/>
          <w:highlight w:val="none"/>
        </w:rPr>
        <w:t>财政部 司法部 关于政府采购支持监狱企业发展有关问题的通知</w:t>
      </w:r>
      <w:r>
        <w:rPr>
          <w:rFonts w:hint="eastAsia" w:hAnsi="宋体" w:cs="宋体"/>
          <w:color w:val="auto"/>
          <w:sz w:val="24"/>
          <w:highlight w:val="none"/>
        </w:rPr>
        <w:t>》（财库〔2014〕68号）的规定，本单位为符合条件的监狱、戒毒企业，且本单位参加的</w:t>
      </w:r>
      <w:r>
        <w:rPr>
          <w:rFonts w:hint="eastAsia" w:hAnsi="宋体" w:cs="宋体"/>
          <w:color w:val="auto"/>
          <w:sz w:val="24"/>
          <w:highlight w:val="none"/>
          <w:u w:val="single"/>
        </w:rPr>
        <w:t xml:space="preserve">                  </w:t>
      </w:r>
      <w:r>
        <w:rPr>
          <w:rFonts w:hint="eastAsia" w:hAnsi="宋体" w:cs="宋体"/>
          <w:color w:val="auto"/>
          <w:sz w:val="24"/>
          <w:highlight w:val="none"/>
        </w:rPr>
        <w:t>项目采购活动提供本单位制造的货物（由本单位承担工程/提供服务），或者提供其他监狱、戒毒企业制造的货物（不包括使用非监狱、戒毒企业注册商标的货物）。</w:t>
      </w:r>
    </w:p>
    <w:p>
      <w:pPr>
        <w:spacing w:line="360" w:lineRule="auto"/>
        <w:ind w:firstLine="480"/>
        <w:rPr>
          <w:rFonts w:hint="eastAsia" w:hAnsi="宋体" w:cs="宋体"/>
          <w:color w:val="auto"/>
          <w:sz w:val="24"/>
          <w:highlight w:val="none"/>
        </w:rPr>
      </w:pPr>
      <w:r>
        <w:rPr>
          <w:rFonts w:hint="eastAsia" w:hAnsi="宋体" w:cs="宋体"/>
          <w:color w:val="auto"/>
          <w:sz w:val="24"/>
          <w:highlight w:val="none"/>
        </w:rPr>
        <w:t>本单位对上述声明的真实性负责。如有虚假，将依法承担相应责任。</w:t>
      </w:r>
    </w:p>
    <w:p>
      <w:pPr>
        <w:spacing w:line="360" w:lineRule="auto"/>
        <w:ind w:firstLine="480"/>
        <w:rPr>
          <w:rFonts w:hint="eastAsia" w:hAnsi="宋体" w:cs="宋体"/>
          <w:color w:val="auto"/>
          <w:sz w:val="24"/>
          <w:highlight w:val="none"/>
        </w:rPr>
      </w:pPr>
    </w:p>
    <w:p>
      <w:pPr>
        <w:spacing w:line="360" w:lineRule="auto"/>
        <w:ind w:firstLine="480"/>
        <w:rPr>
          <w:rFonts w:hint="eastAsia" w:hAnsi="宋体" w:cs="宋体"/>
          <w:color w:val="auto"/>
          <w:sz w:val="24"/>
          <w:highlight w:val="none"/>
        </w:rPr>
      </w:pPr>
    </w:p>
    <w:p>
      <w:pPr>
        <w:tabs>
          <w:tab w:val="left" w:pos="4860"/>
          <w:tab w:val="left" w:pos="8040"/>
          <w:tab w:val="left" w:pos="8160"/>
        </w:tabs>
        <w:spacing w:line="360" w:lineRule="auto"/>
        <w:ind w:right="862" w:firstLine="480"/>
        <w:jc w:val="center"/>
        <w:rPr>
          <w:rFonts w:hint="eastAsia" w:hAnsi="宋体" w:cs="宋体"/>
          <w:color w:val="auto"/>
          <w:sz w:val="24"/>
          <w:highlight w:val="none"/>
          <w:u w:val="single"/>
        </w:rPr>
      </w:pPr>
      <w:r>
        <w:rPr>
          <w:rFonts w:hint="eastAsia" w:hAnsi="宋体" w:cs="宋体"/>
          <w:color w:val="auto"/>
          <w:sz w:val="24"/>
          <w:highlight w:val="none"/>
        </w:rPr>
        <w:t xml:space="preserve">        单位名称（盖章）：</w:t>
      </w:r>
      <w:r>
        <w:rPr>
          <w:rFonts w:hint="eastAsia" w:hAnsi="宋体" w:cs="宋体"/>
          <w:color w:val="auto"/>
          <w:sz w:val="24"/>
          <w:highlight w:val="none"/>
          <w:u w:val="single"/>
        </w:rPr>
        <w:t xml:space="preserve">                   </w:t>
      </w:r>
    </w:p>
    <w:p>
      <w:pPr>
        <w:tabs>
          <w:tab w:val="left" w:pos="4860"/>
        </w:tabs>
        <w:spacing w:line="360" w:lineRule="auto"/>
        <w:ind w:right="1560" w:firstLine="480"/>
        <w:jc w:val="center"/>
        <w:rPr>
          <w:rFonts w:hint="eastAsia" w:hAnsi="宋体" w:cs="宋体"/>
          <w:color w:val="auto"/>
          <w:sz w:val="24"/>
          <w:highlight w:val="none"/>
        </w:rPr>
      </w:pPr>
      <w:r>
        <w:rPr>
          <w:rFonts w:hint="eastAsia" w:hAnsi="宋体" w:cs="宋体"/>
          <w:color w:val="auto"/>
          <w:sz w:val="24"/>
          <w:highlight w:val="none"/>
        </w:rPr>
        <w:t xml:space="preserve">       </w:t>
      </w:r>
    </w:p>
    <w:p>
      <w:pPr>
        <w:tabs>
          <w:tab w:val="left" w:pos="4860"/>
        </w:tabs>
        <w:spacing w:line="360" w:lineRule="auto"/>
        <w:ind w:right="1560" w:firstLine="480"/>
        <w:jc w:val="center"/>
        <w:rPr>
          <w:rFonts w:hint="eastAsia" w:hAnsi="宋体" w:cs="宋体"/>
          <w:color w:val="auto"/>
          <w:sz w:val="24"/>
          <w:highlight w:val="none"/>
        </w:rPr>
      </w:pPr>
      <w:r>
        <w:rPr>
          <w:rFonts w:hint="eastAsia" w:hAnsi="宋体" w:cs="宋体"/>
          <w:color w:val="auto"/>
          <w:sz w:val="24"/>
          <w:highlight w:val="none"/>
        </w:rPr>
        <w:t xml:space="preserve">                          日  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pPr>
        <w:spacing w:line="360" w:lineRule="auto"/>
        <w:ind w:firstLine="504"/>
        <w:rPr>
          <w:rFonts w:hint="eastAsia" w:hAnsi="宋体" w:cs="宋体"/>
          <w:b/>
          <w:color w:val="auto"/>
          <w:spacing w:val="6"/>
          <w:sz w:val="24"/>
          <w:highlight w:val="none"/>
          <w:shd w:val="pct10" w:color="000000" w:fill="FFFFFF"/>
        </w:rPr>
      </w:pPr>
    </w:p>
    <w:p>
      <w:pPr>
        <w:spacing w:line="360" w:lineRule="auto"/>
        <w:ind w:firstLine="504"/>
        <w:rPr>
          <w:rFonts w:hint="eastAsia" w:hAnsi="宋体" w:cs="宋体"/>
          <w:b/>
          <w:color w:val="auto"/>
          <w:spacing w:val="6"/>
          <w:sz w:val="24"/>
          <w:highlight w:val="none"/>
          <w:shd w:val="pct10" w:color="000000" w:fill="FFFFFF"/>
        </w:rPr>
      </w:pPr>
    </w:p>
    <w:p>
      <w:pPr>
        <w:spacing w:line="360" w:lineRule="auto"/>
        <w:ind w:firstLine="480"/>
        <w:rPr>
          <w:rFonts w:hint="eastAsia" w:hAnsi="宋体" w:cs="宋体"/>
          <w:color w:val="auto"/>
          <w:sz w:val="24"/>
          <w:highlight w:val="none"/>
        </w:rPr>
      </w:pPr>
      <w:r>
        <w:rPr>
          <w:rFonts w:hint="eastAsia" w:hAnsi="宋体" w:cs="宋体"/>
          <w:color w:val="auto"/>
          <w:sz w:val="24"/>
          <w:highlight w:val="none"/>
        </w:rPr>
        <w:t>备注：未按上述要求提供、填写的，评审时不予以考虑。供应商提供的《监狱、戒毒企业声明函》必须真实有效，供应商应当提供由省级以上监狱管理局、戒毒管理局(含新疆生产建设兵团)出具的属于监狱企业的证明文件。</w:t>
      </w:r>
    </w:p>
    <w:p>
      <w:pPr>
        <w:pStyle w:val="127"/>
        <w:spacing w:line="360" w:lineRule="auto"/>
        <w:jc w:val="both"/>
        <w:rPr>
          <w:rFonts w:hint="eastAsia" w:hAnsi="宋体" w:cs="宋体"/>
          <w:color w:val="auto"/>
          <w:sz w:val="24"/>
          <w:highlight w:val="none"/>
        </w:rPr>
      </w:pPr>
    </w:p>
    <w:p>
      <w:pPr>
        <w:pStyle w:val="127"/>
        <w:spacing w:line="360" w:lineRule="auto"/>
        <w:ind w:firstLine="4498" w:firstLineChars="1600"/>
        <w:rPr>
          <w:rFonts w:ascii="宋体" w:hAnsi="宋体" w:cs="宋体"/>
          <w:bCs/>
          <w:color w:val="auto"/>
          <w:kern w:val="0"/>
          <w:sz w:val="44"/>
          <w:szCs w:val="44"/>
          <w:highlight w:val="none"/>
        </w:rPr>
      </w:pPr>
      <w:r>
        <w:rPr>
          <w:rFonts w:hint="eastAsia" w:ascii="宋体" w:hAnsi="宋体" w:cs="宋体"/>
          <w:b/>
          <w:color w:val="auto"/>
          <w:sz w:val="28"/>
          <w:szCs w:val="28"/>
          <w:highlight w:val="none"/>
        </w:rPr>
        <w:br w:type="page"/>
      </w:r>
    </w:p>
    <w:p>
      <w:pPr>
        <w:pStyle w:val="24"/>
        <w:rPr>
          <w:rFonts w:ascii="宋体" w:hAnsi="宋体" w:cs="宋体"/>
          <w:color w:val="auto"/>
          <w:highlight w:val="none"/>
        </w:rPr>
      </w:pPr>
    </w:p>
    <w:p>
      <w:pPr>
        <w:pStyle w:val="24"/>
        <w:rPr>
          <w:rFonts w:ascii="宋体" w:hAnsi="宋体" w:cs="宋体"/>
          <w:color w:val="auto"/>
          <w:highlight w:val="none"/>
        </w:rPr>
      </w:pPr>
    </w:p>
    <w:p>
      <w:pPr>
        <w:pStyle w:val="24"/>
        <w:rPr>
          <w:rFonts w:ascii="宋体" w:hAnsi="宋体" w:cs="宋体"/>
          <w:color w:val="auto"/>
          <w:highlight w:val="none"/>
        </w:rPr>
      </w:pPr>
    </w:p>
    <w:p>
      <w:pPr>
        <w:pStyle w:val="24"/>
        <w:rPr>
          <w:rFonts w:ascii="宋体" w:hAnsi="宋体" w:cs="宋体"/>
          <w:color w:val="auto"/>
          <w:highlight w:val="none"/>
        </w:rPr>
      </w:pPr>
    </w:p>
    <w:p>
      <w:pPr>
        <w:spacing w:line="640" w:lineRule="exact"/>
        <w:ind w:firstLine="3092" w:firstLineChars="700"/>
        <w:rPr>
          <w:rFonts w:ascii="宋体" w:hAnsi="宋体" w:cs="宋体"/>
          <w:b/>
          <w:color w:val="auto"/>
          <w:sz w:val="44"/>
          <w:szCs w:val="44"/>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spacing w:line="640" w:lineRule="exact"/>
        <w:ind w:firstLine="3092" w:firstLineChars="700"/>
        <w:rPr>
          <w:rFonts w:ascii="宋体" w:hAnsi="宋体" w:cs="宋体"/>
          <w:b/>
          <w:color w:val="auto"/>
          <w:sz w:val="44"/>
          <w:szCs w:val="44"/>
          <w:highlight w:val="none"/>
        </w:rPr>
      </w:pPr>
      <w:r>
        <w:rPr>
          <w:rFonts w:hint="eastAsia" w:ascii="宋体" w:hAnsi="宋体" w:cs="宋体"/>
          <w:b/>
          <w:color w:val="auto"/>
          <w:sz w:val="44"/>
          <w:szCs w:val="44"/>
          <w:highlight w:val="none"/>
        </w:rPr>
        <w:t>本页以下无内容</w:t>
      </w:r>
    </w:p>
    <w:p>
      <w:pPr>
        <w:spacing w:line="640" w:lineRule="exact"/>
        <w:rPr>
          <w:rFonts w:ascii="宋体" w:hAnsi="宋体" w:cs="宋体"/>
          <w:b/>
          <w:color w:val="auto"/>
          <w:sz w:val="44"/>
          <w:szCs w:val="44"/>
          <w:highlight w:val="none"/>
        </w:rPr>
      </w:pPr>
    </w:p>
    <w:p>
      <w:pPr>
        <w:pBdr>
          <w:bottom w:val="single" w:color="auto" w:sz="6" w:space="12"/>
        </w:pBdr>
        <w:spacing w:line="640" w:lineRule="exact"/>
        <w:rPr>
          <w:rFonts w:ascii="宋体" w:hAnsi="宋体" w:cs="宋体"/>
          <w:b/>
          <w:color w:val="auto"/>
          <w:sz w:val="44"/>
          <w:szCs w:val="44"/>
          <w:highlight w:val="none"/>
        </w:rPr>
      </w:pPr>
    </w:p>
    <w:p>
      <w:pPr>
        <w:pBdr>
          <w:bottom w:val="single" w:color="auto" w:sz="6" w:space="12"/>
        </w:pBdr>
        <w:spacing w:line="640" w:lineRule="exact"/>
        <w:rPr>
          <w:rFonts w:ascii="宋体" w:hAnsi="宋体" w:cs="宋体"/>
          <w:b/>
          <w:color w:val="auto"/>
          <w:sz w:val="44"/>
          <w:szCs w:val="44"/>
          <w:highlight w:val="none"/>
        </w:rPr>
      </w:pPr>
    </w:p>
    <w:p>
      <w:pPr>
        <w:pBdr>
          <w:bottom w:val="single" w:color="auto" w:sz="6" w:space="12"/>
        </w:pBdr>
        <w:spacing w:line="640" w:lineRule="exact"/>
        <w:rPr>
          <w:rFonts w:ascii="宋体" w:hAnsi="宋体" w:cs="宋体"/>
          <w:b/>
          <w:color w:val="auto"/>
          <w:sz w:val="44"/>
          <w:szCs w:val="44"/>
          <w:highlight w:val="none"/>
        </w:rPr>
      </w:pPr>
    </w:p>
    <w:p>
      <w:pPr>
        <w:pBdr>
          <w:bottom w:val="single" w:color="auto" w:sz="6" w:space="12"/>
        </w:pBdr>
        <w:spacing w:line="640" w:lineRule="exact"/>
        <w:rPr>
          <w:rFonts w:ascii="宋体" w:hAnsi="宋体" w:cs="宋体"/>
          <w:b/>
          <w:color w:val="auto"/>
          <w:sz w:val="44"/>
          <w:szCs w:val="44"/>
          <w:highlight w:val="none"/>
        </w:rPr>
      </w:pPr>
    </w:p>
    <w:p>
      <w:pPr>
        <w:pBdr>
          <w:bottom w:val="single" w:color="auto" w:sz="6" w:space="12"/>
        </w:pBdr>
        <w:spacing w:line="640" w:lineRule="exact"/>
        <w:rPr>
          <w:rFonts w:ascii="宋体" w:hAnsi="宋体" w:cs="宋体"/>
          <w:b/>
          <w:color w:val="auto"/>
          <w:sz w:val="44"/>
          <w:szCs w:val="44"/>
          <w:highlight w:val="none"/>
        </w:rPr>
      </w:pPr>
    </w:p>
    <w:p>
      <w:pPr>
        <w:pStyle w:val="127"/>
        <w:spacing w:line="340" w:lineRule="exact"/>
        <w:rPr>
          <w:rFonts w:ascii="宋体" w:hAnsi="宋体" w:cs="宋体"/>
          <w:color w:val="auto"/>
          <w:highlight w:val="none"/>
        </w:rPr>
      </w:pPr>
    </w:p>
    <w:sectPr>
      <w:footerReference r:id="rId12" w:type="default"/>
      <w:pgSz w:w="11906" w:h="16838"/>
      <w:pgMar w:top="1440" w:right="1080" w:bottom="1440" w:left="1080"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rPr>
        <w:kern w:val="0"/>
        <w:szCs w:val="21"/>
      </w:rPr>
    </w:pPr>
  </w:p>
  <w:p>
    <w:pPr>
      <w:pStyle w:val="24"/>
      <w:spacing w:line="240" w:lineRule="exact"/>
      <w:ind w:right="357"/>
      <w:jc w:val="center"/>
      <w:rPr>
        <w:b/>
        <w:kern w:val="0"/>
        <w:szCs w:val="21"/>
      </w:rPr>
    </w:pPr>
    <w:r>
      <w:rPr>
        <w:rFonts w:hint="eastAsia"/>
        <w:b/>
        <w:kern w:val="0"/>
        <w:szCs w:val="21"/>
      </w:rPr>
      <w:t>陕西明正招标有限公司 SHAANXI  MINGZHENG TENDERING CO,LTD</w:t>
    </w:r>
  </w:p>
  <w:p>
    <w:pPr>
      <w:pStyle w:val="24"/>
      <w:spacing w:line="240" w:lineRule="exact"/>
      <w:ind w:right="357"/>
      <w:jc w:val="center"/>
      <w:rPr>
        <w:b/>
      </w:rPr>
    </w:pPr>
    <w:r>
      <w:rPr>
        <w:rFonts w:hint="eastAsia"/>
        <w:b/>
        <w:kern w:val="0"/>
        <w:szCs w:val="21"/>
      </w:rPr>
      <w:t>地址：西安市雁塔区太白南路191号崇立金世园2308室  电话：029-87551608</w:t>
    </w:r>
  </w:p>
  <w:p>
    <w:pPr>
      <w:pStyle w:val="24"/>
      <w:rPr>
        <w:b/>
        <w:kern w:val="0"/>
        <w:szCs w:val="21"/>
      </w:rPr>
    </w:pPr>
  </w:p>
  <w:p>
    <w:pPr>
      <w:rPr>
        <w:b/>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exact"/>
      <w:ind w:right="357"/>
      <w:jc w:val="center"/>
      <w:rPr>
        <w:b/>
        <w:kern w:val="0"/>
        <w:szCs w:val="21"/>
      </w:rPr>
    </w:pPr>
    <w:r>
      <w:rPr>
        <w:rFonts w:hint="eastAsia"/>
        <w:b/>
        <w:kern w:val="0"/>
        <w:szCs w:val="21"/>
      </w:rPr>
      <w:t>陕西明正招标有限公司 SHAANXI  MINGZHENG TENDERING CO,LTD</w:t>
    </w:r>
  </w:p>
  <w:p>
    <w:pPr>
      <w:pStyle w:val="24"/>
    </w:pPr>
    <w:r>
      <w:rPr>
        <w:rFonts w:hint="eastAsia"/>
        <w:b/>
        <w:kern w:val="0"/>
        <w:szCs w:val="21"/>
      </w:rPr>
      <w:t>地址：西安市雁塔区二环南路西段88号老三届世纪星大厦30层AB座     电话：029-87551608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exact"/>
      <w:ind w:right="357"/>
      <w:jc w:val="center"/>
      <w:rPr>
        <w:b/>
        <w:kern w:val="0"/>
        <w:szCs w:val="21"/>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80</w:t>
                    </w:r>
                    <w:r>
                      <w:t xml:space="preserve"> 页</w:t>
                    </w:r>
                  </w:p>
                </w:txbxContent>
              </v:textbox>
            </v:shape>
          </w:pict>
        </mc:Fallback>
      </mc:AlternateContent>
    </w:r>
  </w:p>
  <w:p>
    <w:pPr>
      <w:pStyle w:val="24"/>
      <w:spacing w:line="240" w:lineRule="exact"/>
      <w:ind w:right="357"/>
      <w:jc w:val="center"/>
      <w:rPr>
        <w:b/>
        <w:kern w:val="0"/>
        <w:szCs w:val="21"/>
      </w:rPr>
    </w:pPr>
    <w:r>
      <w:rPr>
        <w:rFonts w:hint="eastAsia"/>
        <w:b/>
        <w:kern w:val="0"/>
        <w:szCs w:val="21"/>
      </w:rPr>
      <w:t>陕西明正招标有限公司 SHAANXI  MINGZHENG TENDERING CO,LTD</w:t>
    </w:r>
  </w:p>
  <w:p>
    <w:pPr>
      <w:pStyle w:val="24"/>
      <w:spacing w:line="240" w:lineRule="exact"/>
      <w:ind w:right="357"/>
      <w:jc w:val="center"/>
      <w:rPr>
        <w:b/>
        <w:kern w:val="0"/>
        <w:szCs w:val="21"/>
      </w:rPr>
    </w:pPr>
    <w:r>
      <w:rPr>
        <w:rFonts w:hint="eastAsia"/>
        <w:b/>
        <w:kern w:val="0"/>
        <w:szCs w:val="21"/>
      </w:rPr>
      <w:t>地址：西安市雁塔区二环南路西段88号老三届世纪星大厦30层AB座     电话：029-87551608</w:t>
    </w:r>
  </w:p>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exact"/>
      <w:ind w:right="357"/>
      <w:jc w:val="center"/>
      <w:rPr>
        <w:b/>
        <w:kern w:val="0"/>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 xml:space="preserve">77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 xml:space="preserve">77 </w:t>
                    </w:r>
                    <w:r>
                      <w:t>页</w:t>
                    </w:r>
                  </w:p>
                </w:txbxContent>
              </v:textbox>
            </v:shape>
          </w:pict>
        </mc:Fallback>
      </mc:AlternateContent>
    </w:r>
  </w:p>
  <w:p>
    <w:pPr>
      <w:pStyle w:val="24"/>
      <w:spacing w:line="240" w:lineRule="exact"/>
      <w:ind w:right="357"/>
      <w:jc w:val="center"/>
      <w:rPr>
        <w:b/>
        <w:kern w:val="0"/>
        <w:szCs w:val="21"/>
      </w:rPr>
    </w:pPr>
    <w:r>
      <w:rPr>
        <w:rFonts w:hint="eastAsia"/>
        <w:b/>
        <w:kern w:val="0"/>
        <w:szCs w:val="21"/>
      </w:rPr>
      <w:t>陕西明正招标有限公司 SHAANXI  MINGZHENG TENDERING CO,LTD</w:t>
    </w:r>
  </w:p>
  <w:p>
    <w:pPr>
      <w:pStyle w:val="24"/>
      <w:spacing w:line="240" w:lineRule="exact"/>
      <w:ind w:right="357"/>
      <w:jc w:val="center"/>
      <w:rPr>
        <w:b/>
        <w:kern w:val="0"/>
        <w:szCs w:val="21"/>
      </w:rPr>
    </w:pPr>
    <w:r>
      <w:rPr>
        <w:rFonts w:hint="eastAsia"/>
        <w:b/>
        <w:kern w:val="0"/>
        <w:szCs w:val="21"/>
      </w:rPr>
      <w:t>地址：西安市雁塔区二环南路西段88号老三届世纪星大厦30层AB座     电话：029-87551608</w:t>
    </w:r>
  </w:p>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exact"/>
      <w:ind w:right="357"/>
      <w:jc w:val="center"/>
      <w:rPr>
        <w:b/>
        <w:kern w:val="0"/>
        <w:szCs w:val="21"/>
      </w:rPr>
    </w:pPr>
    <w:r>
      <mc:AlternateContent>
        <mc:Choice Requires="wps">
          <w:drawing>
            <wp:anchor distT="0" distB="0" distL="114300" distR="114300" simplePos="0" relativeHeight="251661312" behindDoc="0" locked="0" layoutInCell="1" allowOverlap="1">
              <wp:simplePos x="0" y="0"/>
              <wp:positionH relativeFrom="margin">
                <wp:posOffset>2463800</wp:posOffset>
              </wp:positionH>
              <wp:positionV relativeFrom="paragraph">
                <wp:posOffset>-133350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80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4pt;margin-top:-10.5pt;height:144pt;width:144pt;mso-position-horizontal-relative:margin;mso-wrap-style:none;z-index:251661312;mso-width-relative:page;mso-height-relative:page;" filled="f" stroked="f" coordsize="21600,21600" o:gfxdata="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o5DV9gAAAAL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80</w:t>
                    </w:r>
                    <w:r>
                      <w:t xml:space="preserve"> 页</w:t>
                    </w:r>
                  </w:p>
                </w:txbxContent>
              </v:textbox>
            </v:shape>
          </w:pict>
        </mc:Fallback>
      </mc:AlternateContent>
    </w:r>
    <w:r>
      <w:rPr>
        <w:rFonts w:hint="eastAsia"/>
        <w:b/>
        <w:kern w:val="0"/>
        <w:szCs w:val="21"/>
      </w:rPr>
      <w:t>陕西明正招标有限公司 SHAANXI  MINGZHENG TENDERING CO,LTD</w:t>
    </w:r>
  </w:p>
  <w:p>
    <w:pPr>
      <w:pStyle w:val="24"/>
    </w:pPr>
    <w:r>
      <w:rPr>
        <w:rFonts w:hint="eastAsia"/>
        <w:b/>
        <w:kern w:val="0"/>
        <w:szCs w:val="21"/>
      </w:rPr>
      <w:t>地址：西安市雁塔区二环南路西段88号老三届世纪星大厦30层AB座     电话：029-87551608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rPr>
        <w:color w:val="FF0000"/>
        <w:kern w:val="0"/>
        <w:szCs w:val="21"/>
        <w:highlight w:val="yellow"/>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78</w:t>
                          </w:r>
                          <w:r>
                            <w:fldChar w:fldCharType="end"/>
                          </w:r>
                          <w:r>
                            <w:t xml:space="preserve"> 页 共 </w:t>
                          </w:r>
                          <w:r>
                            <w:rPr>
                              <w:rFonts w:hint="eastAsia"/>
                              <w:lang w:val="en-US" w:eastAsia="zh-CN"/>
                            </w:rPr>
                            <w:t>80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78</w:t>
                    </w:r>
                    <w:r>
                      <w:fldChar w:fldCharType="end"/>
                    </w:r>
                    <w:r>
                      <w:t xml:space="preserve"> 页 共 </w:t>
                    </w:r>
                    <w:r>
                      <w:rPr>
                        <w:rFonts w:hint="eastAsia"/>
                        <w:lang w:val="en-US" w:eastAsia="zh-CN"/>
                      </w:rPr>
                      <w:t>80</w:t>
                    </w:r>
                    <w:r>
                      <w:t xml:space="preserve"> 页</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4"/>
                            <w:rPr>
                              <w:rFonts w:ascii="宋体" w:hAnsi="宋体" w:cs="宋体"/>
                            </w:rPr>
                          </w:pPr>
                        </w:p>
                      </w:txbxContent>
                    </wps:txbx>
                    <wps:bodyPr wrap="none" lIns="0" tIns="0" rIns="0" bIns="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0Ctnob0BAAB7AwAADgAAAAAAAAABACAAAAAfAQAAZHJzL2Uyb0RvYy54bWxQSwUGAAAA&#10;AAYABgBZAQAATgUAAAAA&#10;">
              <v:fill on="f" focussize="0,0"/>
              <v:stroke on="f"/>
              <v:imagedata o:title=""/>
              <o:lock v:ext="edit" aspectratio="f"/>
              <v:textbox inset="0mm,0mm,0mm,0mm" style="mso-fit-shape-to-text:t;">
                <w:txbxContent>
                  <w:p>
                    <w:pPr>
                      <w:pStyle w:val="24"/>
                      <w:rPr>
                        <w:rFonts w:ascii="宋体" w:hAnsi="宋体" w:cs="宋体"/>
                      </w:rPr>
                    </w:pPr>
                  </w:p>
                </w:txbxContent>
              </v:textbox>
            </v:rect>
          </w:pict>
        </mc:Fallback>
      </mc:AlternateContent>
    </w:r>
  </w:p>
  <w:p>
    <w:pPr>
      <w:pStyle w:val="24"/>
      <w:spacing w:line="240" w:lineRule="exact"/>
      <w:ind w:right="357"/>
      <w:jc w:val="center"/>
      <w:rPr>
        <w:b/>
        <w:kern w:val="0"/>
        <w:szCs w:val="21"/>
      </w:rPr>
    </w:pPr>
    <w:r>
      <w:rPr>
        <w:rFonts w:hint="eastAsia"/>
        <w:b/>
        <w:kern w:val="0"/>
        <w:szCs w:val="21"/>
      </w:rPr>
      <w:t>陕西明正招标有限公司 SHAANXI  MINGZHENG TENDERING CO,LTD</w:t>
    </w:r>
  </w:p>
  <w:p>
    <w:pPr>
      <w:pStyle w:val="24"/>
      <w:spacing w:line="240" w:lineRule="exact"/>
      <w:ind w:right="357"/>
      <w:jc w:val="center"/>
      <w:rPr>
        <w:b/>
        <w:kern w:val="0"/>
        <w:szCs w:val="21"/>
      </w:rPr>
    </w:pPr>
    <w:r>
      <w:rPr>
        <w:rFonts w:hint="eastAsia"/>
        <w:b/>
        <w:kern w:val="0"/>
        <w:szCs w:val="21"/>
      </w:rPr>
      <w:t>地址：西安市雁塔区二环南路西段88号老三届世纪星大厦30层AB座     电话：029-87551608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1620"/>
      </w:tabs>
      <w:spacing w:line="360" w:lineRule="auto"/>
      <w:ind w:right="-197" w:rightChars="-94"/>
      <w:jc w:val="left"/>
      <w:rPr>
        <w:rFonts w:hint="eastAsia" w:eastAsia="宋体"/>
        <w:u w:val="single"/>
        <w:lang w:eastAsia="zh-CN"/>
      </w:rPr>
    </w:pPr>
    <w:r>
      <w:rPr>
        <w:rFonts w:hint="eastAsia" w:ascii="宋体" w:hAnsi="宋体"/>
        <w:b/>
        <w:sz w:val="18"/>
        <w:szCs w:val="20"/>
        <w:u w:val="single"/>
      </w:rPr>
      <w:t>项目名称：西安市长安区水政水资源管理办公室长安区水资源中长期规划采购项目                          项目编号：</w:t>
    </w:r>
    <w:r>
      <w:rPr>
        <w:rFonts w:hint="eastAsia" w:ascii="宋体" w:hAnsi="宋体"/>
        <w:b/>
        <w:sz w:val="18"/>
        <w:szCs w:val="20"/>
        <w:u w:val="single"/>
        <w:lang w:eastAsia="zh-CN"/>
      </w:rPr>
      <w:t>MZ2023-TP1007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1620"/>
      </w:tabs>
      <w:spacing w:line="360" w:lineRule="auto"/>
      <w:ind w:right="-197" w:rightChars="-94"/>
      <w:jc w:val="left"/>
      <w:rPr>
        <w:rFonts w:hint="eastAsia" w:eastAsia="宋体"/>
        <w:sz w:val="18"/>
        <w:szCs w:val="18"/>
        <w:lang w:eastAsia="zh-CN"/>
      </w:rPr>
    </w:pPr>
    <w:r>
      <w:rPr>
        <w:rFonts w:hint="eastAsia" w:ascii="宋体" w:hAnsi="宋体"/>
        <w:b/>
        <w:sz w:val="18"/>
        <w:szCs w:val="18"/>
        <w:u w:val="single"/>
      </w:rPr>
      <w:t>项目名称：</w:t>
    </w:r>
    <w:r>
      <w:rPr>
        <w:rFonts w:hint="eastAsia" w:ascii="宋体" w:hAnsi="宋体"/>
        <w:b/>
        <w:sz w:val="18"/>
        <w:szCs w:val="18"/>
        <w:u w:val="single"/>
        <w:lang w:eastAsia="zh-CN"/>
      </w:rPr>
      <w:t>西安商贸旅游技师学院烹饪系、食品系实训课原材料采购项目</w:t>
    </w:r>
    <w:r>
      <w:rPr>
        <w:rFonts w:hint="eastAsia" w:ascii="宋体" w:hAnsi="宋体"/>
        <w:b/>
        <w:sz w:val="18"/>
        <w:szCs w:val="18"/>
        <w:u w:val="single"/>
      </w:rPr>
      <w:t xml:space="preserve">                   项目编号：</w:t>
    </w:r>
    <w:r>
      <w:rPr>
        <w:rFonts w:hint="eastAsia" w:ascii="宋体" w:hAnsi="宋体"/>
        <w:b/>
        <w:sz w:val="18"/>
        <w:szCs w:val="18"/>
        <w:u w:val="single"/>
        <w:lang w:eastAsia="zh-CN"/>
      </w:rPr>
      <w:t>MZ2023-TP1007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adjustRightInd w:val="0"/>
      <w:jc w:val="left"/>
      <w:rPr>
        <w:rFonts w:hint="eastAsia" w:ascii="宋体" w:hAnsi="宋体" w:eastAsia="宋体"/>
        <w:b/>
        <w:bCs/>
        <w:lang w:eastAsia="zh-CN"/>
      </w:rPr>
    </w:pPr>
    <w:r>
      <w:rPr>
        <w:rFonts w:hint="eastAsia" w:ascii="宋体" w:hAnsi="宋体"/>
        <w:b/>
        <w:bCs/>
      </w:rPr>
      <w:t>项目名称：西安商贸旅游技师学院多功能录播厅设备采购项目                           项目编号：</w:t>
    </w:r>
    <w:r>
      <w:rPr>
        <w:rFonts w:hint="eastAsia" w:ascii="宋体" w:hAnsi="宋体"/>
        <w:b/>
        <w:szCs w:val="18"/>
        <w:lang w:eastAsia="zh-CN"/>
      </w:rPr>
      <w:t>MZ2023-TP1007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8A590"/>
    <w:multiLevelType w:val="singleLevel"/>
    <w:tmpl w:val="A378A590"/>
    <w:lvl w:ilvl="0" w:tentative="0">
      <w:start w:val="1"/>
      <w:numFmt w:val="decimal"/>
      <w:suff w:val="nothing"/>
      <w:lvlText w:val="（%1）"/>
      <w:lvlJc w:val="left"/>
    </w:lvl>
  </w:abstractNum>
  <w:abstractNum w:abstractNumId="1">
    <w:nsid w:val="BBCD18C2"/>
    <w:multiLevelType w:val="singleLevel"/>
    <w:tmpl w:val="BBCD18C2"/>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1"/>
      <w:numFmt w:val="decimal"/>
      <w:lvlText w:val="%1."/>
      <w:lvlJc w:val="left"/>
      <w:pPr>
        <w:tabs>
          <w:tab w:val="left" w:pos="312"/>
        </w:tabs>
      </w:pPr>
    </w:lvl>
  </w:abstractNum>
  <w:abstractNum w:abstractNumId="3">
    <w:nsid w:val="00000004"/>
    <w:multiLevelType w:val="singleLevel"/>
    <w:tmpl w:val="00000004"/>
    <w:lvl w:ilvl="0" w:tentative="0">
      <w:start w:val="5"/>
      <w:numFmt w:val="decimal"/>
      <w:lvlText w:val="%1."/>
      <w:lvlJc w:val="left"/>
      <w:pPr>
        <w:tabs>
          <w:tab w:val="left" w:pos="312"/>
        </w:tabs>
      </w:pPr>
    </w:lvl>
  </w:abstractNum>
  <w:abstractNum w:abstractNumId="4">
    <w:nsid w:val="00000005"/>
    <w:multiLevelType w:val="multilevel"/>
    <w:tmpl w:val="00000005"/>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pStyle w:val="8"/>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5">
    <w:nsid w:val="00000006"/>
    <w:multiLevelType w:val="singleLevel"/>
    <w:tmpl w:val="00000006"/>
    <w:lvl w:ilvl="0" w:tentative="0">
      <w:start w:val="3"/>
      <w:numFmt w:val="decimal"/>
      <w:suff w:val="nothing"/>
      <w:lvlText w:val="%1、"/>
      <w:lvlJc w:val="left"/>
    </w:lvl>
  </w:abstractNum>
  <w:abstractNum w:abstractNumId="6">
    <w:nsid w:val="00000008"/>
    <w:multiLevelType w:val="singleLevel"/>
    <w:tmpl w:val="00000008"/>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7">
    <w:nsid w:val="0000000B"/>
    <w:multiLevelType w:val="singleLevel"/>
    <w:tmpl w:val="0000000B"/>
    <w:lvl w:ilvl="0" w:tentative="0">
      <w:start w:val="1"/>
      <w:numFmt w:val="decimal"/>
      <w:suff w:val="nothing"/>
      <w:lvlText w:val="（%1）"/>
      <w:lvlJc w:val="left"/>
    </w:lvl>
  </w:abstractNum>
  <w:abstractNum w:abstractNumId="8">
    <w:nsid w:val="0000000C"/>
    <w:multiLevelType w:val="multilevel"/>
    <w:tmpl w:val="0000000C"/>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05C419C1"/>
    <w:multiLevelType w:val="singleLevel"/>
    <w:tmpl w:val="05C419C1"/>
    <w:lvl w:ilvl="0" w:tentative="0">
      <w:start w:val="1"/>
      <w:numFmt w:val="chineseCounting"/>
      <w:suff w:val="space"/>
      <w:lvlText w:val="%1、"/>
      <w:lvlJc w:val="left"/>
      <w:rPr>
        <w:rFonts w:hint="eastAsia"/>
      </w:rPr>
    </w:lvl>
  </w:abstractNum>
  <w:abstractNum w:abstractNumId="10">
    <w:nsid w:val="1D29F893"/>
    <w:multiLevelType w:val="singleLevel"/>
    <w:tmpl w:val="1D29F893"/>
    <w:lvl w:ilvl="0" w:tentative="0">
      <w:start w:val="4"/>
      <w:numFmt w:val="chineseCounting"/>
      <w:suff w:val="space"/>
      <w:lvlText w:val="第%1条"/>
      <w:lvlJc w:val="left"/>
      <w:rPr>
        <w:rFonts w:hint="eastAsia"/>
      </w:rPr>
    </w:lvl>
  </w:abstractNum>
  <w:abstractNum w:abstractNumId="11">
    <w:nsid w:val="2C5FDB48"/>
    <w:multiLevelType w:val="singleLevel"/>
    <w:tmpl w:val="2C5FDB48"/>
    <w:lvl w:ilvl="0" w:tentative="0">
      <w:start w:val="1"/>
      <w:numFmt w:val="decimal"/>
      <w:suff w:val="nothing"/>
      <w:lvlText w:val="（%1）"/>
      <w:lvlJc w:val="left"/>
      <w:pPr>
        <w:ind w:left="-60"/>
      </w:pPr>
    </w:lvl>
  </w:abstractNum>
  <w:abstractNum w:abstractNumId="12">
    <w:nsid w:val="7EA0C275"/>
    <w:multiLevelType w:val="singleLevel"/>
    <w:tmpl w:val="7EA0C275"/>
    <w:lvl w:ilvl="0" w:tentative="0">
      <w:start w:val="1"/>
      <w:numFmt w:val="decimal"/>
      <w:lvlText w:val="%1."/>
      <w:lvlJc w:val="left"/>
      <w:pPr>
        <w:tabs>
          <w:tab w:val="left" w:pos="312"/>
        </w:tabs>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1"/>
  </w:num>
  <w:num w:numId="5">
    <w:abstractNumId w:val="5"/>
  </w:num>
  <w:num w:numId="6">
    <w:abstractNumId w:val="7"/>
  </w:num>
  <w:num w:numId="7">
    <w:abstractNumId w:val="3"/>
  </w:num>
  <w:num w:numId="8">
    <w:abstractNumId w:val="1"/>
  </w:num>
  <w:num w:numId="9">
    <w:abstractNumId w:val="10"/>
  </w:num>
  <w:num w:numId="10">
    <w:abstractNumId w:val="9"/>
  </w:num>
  <w:num w:numId="11">
    <w:abstractNumId w:val="12"/>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MjljMThlMzEzYmM3OTVkNjUzNjhjY2Q1NmEwNjUifQ=="/>
    <w:docVar w:name="KSO_WPS_MARK_KEY" w:val="2c341d36-c4ff-4394-89a2-b7151836c8eb"/>
  </w:docVars>
  <w:rsids>
    <w:rsidRoot w:val="00494027"/>
    <w:rsid w:val="000B18D2"/>
    <w:rsid w:val="000B223D"/>
    <w:rsid w:val="00356BF1"/>
    <w:rsid w:val="003D49CE"/>
    <w:rsid w:val="00494027"/>
    <w:rsid w:val="00A35F83"/>
    <w:rsid w:val="00B54185"/>
    <w:rsid w:val="00C4021B"/>
    <w:rsid w:val="00F268A8"/>
    <w:rsid w:val="010B3507"/>
    <w:rsid w:val="012807F8"/>
    <w:rsid w:val="014D0B1B"/>
    <w:rsid w:val="01824C77"/>
    <w:rsid w:val="018362EB"/>
    <w:rsid w:val="01987FE8"/>
    <w:rsid w:val="01FA4F6D"/>
    <w:rsid w:val="02286BAE"/>
    <w:rsid w:val="024A50C8"/>
    <w:rsid w:val="02555ED9"/>
    <w:rsid w:val="0256755B"/>
    <w:rsid w:val="02663C42"/>
    <w:rsid w:val="028903F4"/>
    <w:rsid w:val="02D90516"/>
    <w:rsid w:val="03045209"/>
    <w:rsid w:val="035C032D"/>
    <w:rsid w:val="040C0819"/>
    <w:rsid w:val="041B6CAE"/>
    <w:rsid w:val="04215311"/>
    <w:rsid w:val="04351B1E"/>
    <w:rsid w:val="04955B72"/>
    <w:rsid w:val="04A42800"/>
    <w:rsid w:val="04E15802"/>
    <w:rsid w:val="05A33CCE"/>
    <w:rsid w:val="05D22107"/>
    <w:rsid w:val="062F23E9"/>
    <w:rsid w:val="07054490"/>
    <w:rsid w:val="07351E35"/>
    <w:rsid w:val="07801F79"/>
    <w:rsid w:val="07A54517"/>
    <w:rsid w:val="07BC66DB"/>
    <w:rsid w:val="07C82CA9"/>
    <w:rsid w:val="080D690E"/>
    <w:rsid w:val="084E7652"/>
    <w:rsid w:val="08966904"/>
    <w:rsid w:val="089C4739"/>
    <w:rsid w:val="08FA6E92"/>
    <w:rsid w:val="0906715B"/>
    <w:rsid w:val="095D5673"/>
    <w:rsid w:val="095F3199"/>
    <w:rsid w:val="097906FF"/>
    <w:rsid w:val="098842C3"/>
    <w:rsid w:val="09C13E54"/>
    <w:rsid w:val="09DD26C4"/>
    <w:rsid w:val="0A1649DF"/>
    <w:rsid w:val="0A717628"/>
    <w:rsid w:val="0B1B308B"/>
    <w:rsid w:val="0B5F05A3"/>
    <w:rsid w:val="0B6727D9"/>
    <w:rsid w:val="0B6E758E"/>
    <w:rsid w:val="0BD04822"/>
    <w:rsid w:val="0BED3778"/>
    <w:rsid w:val="0C0149DC"/>
    <w:rsid w:val="0C542D5E"/>
    <w:rsid w:val="0C6866EA"/>
    <w:rsid w:val="0C886EAB"/>
    <w:rsid w:val="0CA710DF"/>
    <w:rsid w:val="0CBC2645"/>
    <w:rsid w:val="0CD02BA2"/>
    <w:rsid w:val="0D056F2A"/>
    <w:rsid w:val="0D1B1ACD"/>
    <w:rsid w:val="0D613984"/>
    <w:rsid w:val="0DDA48B9"/>
    <w:rsid w:val="0DDC74AE"/>
    <w:rsid w:val="0DEF32CC"/>
    <w:rsid w:val="0E1F1149"/>
    <w:rsid w:val="0E5E4367"/>
    <w:rsid w:val="0E6354DA"/>
    <w:rsid w:val="0E6965C9"/>
    <w:rsid w:val="0EEA79A9"/>
    <w:rsid w:val="0F24110D"/>
    <w:rsid w:val="0F6E2388"/>
    <w:rsid w:val="0FD755C8"/>
    <w:rsid w:val="0FDC361C"/>
    <w:rsid w:val="100F3B6B"/>
    <w:rsid w:val="10102D2D"/>
    <w:rsid w:val="10196798"/>
    <w:rsid w:val="10694D6D"/>
    <w:rsid w:val="10CF32FA"/>
    <w:rsid w:val="120216F8"/>
    <w:rsid w:val="121A714F"/>
    <w:rsid w:val="12353631"/>
    <w:rsid w:val="125064A8"/>
    <w:rsid w:val="12A85A64"/>
    <w:rsid w:val="12EA61CA"/>
    <w:rsid w:val="134648AC"/>
    <w:rsid w:val="137B1518"/>
    <w:rsid w:val="139D148E"/>
    <w:rsid w:val="13E1796C"/>
    <w:rsid w:val="13F4549D"/>
    <w:rsid w:val="140B0D20"/>
    <w:rsid w:val="143F60A1"/>
    <w:rsid w:val="14667AD2"/>
    <w:rsid w:val="156222A6"/>
    <w:rsid w:val="15A05265"/>
    <w:rsid w:val="15AE0555"/>
    <w:rsid w:val="15F61375"/>
    <w:rsid w:val="164602CB"/>
    <w:rsid w:val="165247B2"/>
    <w:rsid w:val="16A379B8"/>
    <w:rsid w:val="16C805D0"/>
    <w:rsid w:val="16FB04AD"/>
    <w:rsid w:val="172C724F"/>
    <w:rsid w:val="17401121"/>
    <w:rsid w:val="17650515"/>
    <w:rsid w:val="17824C23"/>
    <w:rsid w:val="17E56F60"/>
    <w:rsid w:val="17FC737D"/>
    <w:rsid w:val="18512847"/>
    <w:rsid w:val="187D363C"/>
    <w:rsid w:val="192E0037"/>
    <w:rsid w:val="199B6470"/>
    <w:rsid w:val="19A67D2B"/>
    <w:rsid w:val="19B4308D"/>
    <w:rsid w:val="1A240213"/>
    <w:rsid w:val="1A576816"/>
    <w:rsid w:val="1A7E7DAF"/>
    <w:rsid w:val="1B3112D2"/>
    <w:rsid w:val="1B4C69CD"/>
    <w:rsid w:val="1C0C71B1"/>
    <w:rsid w:val="1C2E0B06"/>
    <w:rsid w:val="1D0B09B6"/>
    <w:rsid w:val="1D5C1A72"/>
    <w:rsid w:val="1D6F3E9B"/>
    <w:rsid w:val="1DC00253"/>
    <w:rsid w:val="1DF3687A"/>
    <w:rsid w:val="1E636E30"/>
    <w:rsid w:val="1EFC2612"/>
    <w:rsid w:val="1F043969"/>
    <w:rsid w:val="1FED10A7"/>
    <w:rsid w:val="20515ADA"/>
    <w:rsid w:val="20686980"/>
    <w:rsid w:val="20841CDA"/>
    <w:rsid w:val="20847C5E"/>
    <w:rsid w:val="20DD55C0"/>
    <w:rsid w:val="20F23172"/>
    <w:rsid w:val="20FF1092"/>
    <w:rsid w:val="21120767"/>
    <w:rsid w:val="21B7738B"/>
    <w:rsid w:val="21B87493"/>
    <w:rsid w:val="21C94850"/>
    <w:rsid w:val="21FB3F4F"/>
    <w:rsid w:val="22B10AB2"/>
    <w:rsid w:val="22C5031D"/>
    <w:rsid w:val="22E625B8"/>
    <w:rsid w:val="231F3C6E"/>
    <w:rsid w:val="237C4C89"/>
    <w:rsid w:val="2393640A"/>
    <w:rsid w:val="23AD74CB"/>
    <w:rsid w:val="23C10881"/>
    <w:rsid w:val="23E21113"/>
    <w:rsid w:val="23E97DD8"/>
    <w:rsid w:val="240B0553"/>
    <w:rsid w:val="243A4909"/>
    <w:rsid w:val="24594095"/>
    <w:rsid w:val="24AA57B9"/>
    <w:rsid w:val="250D7AF6"/>
    <w:rsid w:val="2520106F"/>
    <w:rsid w:val="252C44E9"/>
    <w:rsid w:val="259C15A5"/>
    <w:rsid w:val="25F211C5"/>
    <w:rsid w:val="262275D1"/>
    <w:rsid w:val="26396DF4"/>
    <w:rsid w:val="267E0CAB"/>
    <w:rsid w:val="26AB5818"/>
    <w:rsid w:val="27FA3894"/>
    <w:rsid w:val="2890288D"/>
    <w:rsid w:val="297E0FC2"/>
    <w:rsid w:val="29C63095"/>
    <w:rsid w:val="29E256DD"/>
    <w:rsid w:val="29E90B31"/>
    <w:rsid w:val="2A73664D"/>
    <w:rsid w:val="2A866380"/>
    <w:rsid w:val="2ADC41F2"/>
    <w:rsid w:val="2AFC7E42"/>
    <w:rsid w:val="2B0025D7"/>
    <w:rsid w:val="2B837419"/>
    <w:rsid w:val="2BBC123F"/>
    <w:rsid w:val="2BEA3F12"/>
    <w:rsid w:val="2C1C76CA"/>
    <w:rsid w:val="2C781B33"/>
    <w:rsid w:val="2CED26E7"/>
    <w:rsid w:val="2CF0667B"/>
    <w:rsid w:val="2D636E4D"/>
    <w:rsid w:val="2D745BE9"/>
    <w:rsid w:val="2D834DF9"/>
    <w:rsid w:val="2D8C0151"/>
    <w:rsid w:val="2E60513A"/>
    <w:rsid w:val="2F4131BE"/>
    <w:rsid w:val="2F846934"/>
    <w:rsid w:val="2F9D4288"/>
    <w:rsid w:val="2FA06136"/>
    <w:rsid w:val="2FC35981"/>
    <w:rsid w:val="2FD23E16"/>
    <w:rsid w:val="309C4B4F"/>
    <w:rsid w:val="30AB758A"/>
    <w:rsid w:val="30D53BBD"/>
    <w:rsid w:val="313308E4"/>
    <w:rsid w:val="319E2321"/>
    <w:rsid w:val="31C12394"/>
    <w:rsid w:val="31F2079F"/>
    <w:rsid w:val="322B71D7"/>
    <w:rsid w:val="32355A5A"/>
    <w:rsid w:val="32737B32"/>
    <w:rsid w:val="328C29A2"/>
    <w:rsid w:val="32AB72CC"/>
    <w:rsid w:val="32B016F7"/>
    <w:rsid w:val="33150BE9"/>
    <w:rsid w:val="334A6CCC"/>
    <w:rsid w:val="339064C2"/>
    <w:rsid w:val="33E13A0E"/>
    <w:rsid w:val="353F3CFB"/>
    <w:rsid w:val="356E3498"/>
    <w:rsid w:val="35702107"/>
    <w:rsid w:val="36B92657"/>
    <w:rsid w:val="36CA1CEB"/>
    <w:rsid w:val="36CC7811"/>
    <w:rsid w:val="36E712E8"/>
    <w:rsid w:val="373D5B83"/>
    <w:rsid w:val="374E0226"/>
    <w:rsid w:val="3766401B"/>
    <w:rsid w:val="376C68FE"/>
    <w:rsid w:val="379A346B"/>
    <w:rsid w:val="379F0A81"/>
    <w:rsid w:val="37D22C05"/>
    <w:rsid w:val="38B346B8"/>
    <w:rsid w:val="38B7004D"/>
    <w:rsid w:val="38FA6AC4"/>
    <w:rsid w:val="3905525C"/>
    <w:rsid w:val="390A63CE"/>
    <w:rsid w:val="39496DF2"/>
    <w:rsid w:val="39693A3D"/>
    <w:rsid w:val="398408EC"/>
    <w:rsid w:val="39B50A30"/>
    <w:rsid w:val="39BE5B37"/>
    <w:rsid w:val="39E9692C"/>
    <w:rsid w:val="3A2A6D70"/>
    <w:rsid w:val="3A2D0084"/>
    <w:rsid w:val="3A704957"/>
    <w:rsid w:val="3ADB2718"/>
    <w:rsid w:val="3B126028"/>
    <w:rsid w:val="3B6E0E96"/>
    <w:rsid w:val="3B7A5A8D"/>
    <w:rsid w:val="3B9D279F"/>
    <w:rsid w:val="3CBE62EC"/>
    <w:rsid w:val="3CED6733"/>
    <w:rsid w:val="3D073351"/>
    <w:rsid w:val="3D1B32A0"/>
    <w:rsid w:val="3D6911E9"/>
    <w:rsid w:val="3DAF1FE8"/>
    <w:rsid w:val="3DDD2303"/>
    <w:rsid w:val="3E1C3D19"/>
    <w:rsid w:val="3E1D6052"/>
    <w:rsid w:val="3E9230EE"/>
    <w:rsid w:val="3E955EB1"/>
    <w:rsid w:val="3F5D34B9"/>
    <w:rsid w:val="3F710F55"/>
    <w:rsid w:val="3F7B4550"/>
    <w:rsid w:val="3FAD1920"/>
    <w:rsid w:val="3FC217B1"/>
    <w:rsid w:val="3FEF631E"/>
    <w:rsid w:val="40104C12"/>
    <w:rsid w:val="402315E4"/>
    <w:rsid w:val="402A28C6"/>
    <w:rsid w:val="40B977E5"/>
    <w:rsid w:val="41061B71"/>
    <w:rsid w:val="41C95079"/>
    <w:rsid w:val="41CA0DAE"/>
    <w:rsid w:val="41CE08E1"/>
    <w:rsid w:val="41D103D1"/>
    <w:rsid w:val="422C1AAB"/>
    <w:rsid w:val="42DD6902"/>
    <w:rsid w:val="42DE0FF8"/>
    <w:rsid w:val="42E83E81"/>
    <w:rsid w:val="42EB68A5"/>
    <w:rsid w:val="430A1DED"/>
    <w:rsid w:val="4348021F"/>
    <w:rsid w:val="44597F78"/>
    <w:rsid w:val="44A678F3"/>
    <w:rsid w:val="44EB17AA"/>
    <w:rsid w:val="450629A4"/>
    <w:rsid w:val="45216F7A"/>
    <w:rsid w:val="45394D05"/>
    <w:rsid w:val="459260C9"/>
    <w:rsid w:val="4594599D"/>
    <w:rsid w:val="45BB45C9"/>
    <w:rsid w:val="46273A6C"/>
    <w:rsid w:val="463351B6"/>
    <w:rsid w:val="46340F2E"/>
    <w:rsid w:val="469D2F78"/>
    <w:rsid w:val="46BF7458"/>
    <w:rsid w:val="46CE4EDF"/>
    <w:rsid w:val="46D21AC8"/>
    <w:rsid w:val="46D71FE6"/>
    <w:rsid w:val="471329DA"/>
    <w:rsid w:val="480A0199"/>
    <w:rsid w:val="489668B2"/>
    <w:rsid w:val="48D12A65"/>
    <w:rsid w:val="48F14EB5"/>
    <w:rsid w:val="493C4382"/>
    <w:rsid w:val="499E7D97"/>
    <w:rsid w:val="49AA2236"/>
    <w:rsid w:val="49AD5280"/>
    <w:rsid w:val="49FA5FEB"/>
    <w:rsid w:val="4A7B712C"/>
    <w:rsid w:val="4AA06B93"/>
    <w:rsid w:val="4ACE3677"/>
    <w:rsid w:val="4AF11A0D"/>
    <w:rsid w:val="4B6D4F60"/>
    <w:rsid w:val="4B9366F7"/>
    <w:rsid w:val="4B937EF6"/>
    <w:rsid w:val="4B94040C"/>
    <w:rsid w:val="4BA56959"/>
    <w:rsid w:val="4C0970ED"/>
    <w:rsid w:val="4C5440D8"/>
    <w:rsid w:val="4C87000A"/>
    <w:rsid w:val="4C8F5E92"/>
    <w:rsid w:val="4CEE1E37"/>
    <w:rsid w:val="4D227A97"/>
    <w:rsid w:val="4D31441A"/>
    <w:rsid w:val="4E2D2E33"/>
    <w:rsid w:val="4FE6773D"/>
    <w:rsid w:val="4FF63522"/>
    <w:rsid w:val="50120532"/>
    <w:rsid w:val="502344EE"/>
    <w:rsid w:val="50506965"/>
    <w:rsid w:val="50700DB5"/>
    <w:rsid w:val="50B62F55"/>
    <w:rsid w:val="50CF32F8"/>
    <w:rsid w:val="50E83CCB"/>
    <w:rsid w:val="51450494"/>
    <w:rsid w:val="51473C5A"/>
    <w:rsid w:val="5147420C"/>
    <w:rsid w:val="51F85506"/>
    <w:rsid w:val="51FD48CA"/>
    <w:rsid w:val="521F2A93"/>
    <w:rsid w:val="52531188"/>
    <w:rsid w:val="526037D7"/>
    <w:rsid w:val="529572F3"/>
    <w:rsid w:val="52990A97"/>
    <w:rsid w:val="531C4F2A"/>
    <w:rsid w:val="534B4A7D"/>
    <w:rsid w:val="5387004D"/>
    <w:rsid w:val="53E32C60"/>
    <w:rsid w:val="54813591"/>
    <w:rsid w:val="54D424ED"/>
    <w:rsid w:val="54ED5EEC"/>
    <w:rsid w:val="54FA643C"/>
    <w:rsid w:val="55592415"/>
    <w:rsid w:val="55795567"/>
    <w:rsid w:val="557D5AAF"/>
    <w:rsid w:val="55D911AB"/>
    <w:rsid w:val="55F91C03"/>
    <w:rsid w:val="55F935FB"/>
    <w:rsid w:val="5601569A"/>
    <w:rsid w:val="5643645D"/>
    <w:rsid w:val="564A3F14"/>
    <w:rsid w:val="56B06FAA"/>
    <w:rsid w:val="56DB7934"/>
    <w:rsid w:val="56E85B49"/>
    <w:rsid w:val="572C06BE"/>
    <w:rsid w:val="5746597E"/>
    <w:rsid w:val="576155CA"/>
    <w:rsid w:val="57A37CC2"/>
    <w:rsid w:val="57B939B0"/>
    <w:rsid w:val="57C32112"/>
    <w:rsid w:val="57EF2B4E"/>
    <w:rsid w:val="581872E3"/>
    <w:rsid w:val="59034B0E"/>
    <w:rsid w:val="594607BC"/>
    <w:rsid w:val="5955323E"/>
    <w:rsid w:val="59757A12"/>
    <w:rsid w:val="59F842F5"/>
    <w:rsid w:val="5A3572F7"/>
    <w:rsid w:val="5A512CC1"/>
    <w:rsid w:val="5A867B53"/>
    <w:rsid w:val="5ACC6324"/>
    <w:rsid w:val="5B1F66E3"/>
    <w:rsid w:val="5B365339"/>
    <w:rsid w:val="5B6E4135"/>
    <w:rsid w:val="5BB47799"/>
    <w:rsid w:val="5BDB7A2A"/>
    <w:rsid w:val="5BEF5A4C"/>
    <w:rsid w:val="5BF60D08"/>
    <w:rsid w:val="5C1E3DBB"/>
    <w:rsid w:val="5C565A08"/>
    <w:rsid w:val="5C5C2FCC"/>
    <w:rsid w:val="5CFC64BB"/>
    <w:rsid w:val="5D942587"/>
    <w:rsid w:val="5DFE3EA4"/>
    <w:rsid w:val="5E2C6C63"/>
    <w:rsid w:val="5E385608"/>
    <w:rsid w:val="5E5B12F6"/>
    <w:rsid w:val="5E5D3844"/>
    <w:rsid w:val="5E6D638B"/>
    <w:rsid w:val="5EA92062"/>
    <w:rsid w:val="5EC21376"/>
    <w:rsid w:val="5ECC5D50"/>
    <w:rsid w:val="5EDD7F5D"/>
    <w:rsid w:val="5EE237C6"/>
    <w:rsid w:val="5EF1126B"/>
    <w:rsid w:val="5F6E0BB6"/>
    <w:rsid w:val="5F775CBC"/>
    <w:rsid w:val="5F864151"/>
    <w:rsid w:val="5F942D12"/>
    <w:rsid w:val="5FCD30ED"/>
    <w:rsid w:val="5FD17AC2"/>
    <w:rsid w:val="60030FBC"/>
    <w:rsid w:val="60416DCA"/>
    <w:rsid w:val="6042276E"/>
    <w:rsid w:val="60522285"/>
    <w:rsid w:val="60AD095A"/>
    <w:rsid w:val="60B116A2"/>
    <w:rsid w:val="60C969EB"/>
    <w:rsid w:val="60FB46CB"/>
    <w:rsid w:val="61047A23"/>
    <w:rsid w:val="617F70AA"/>
    <w:rsid w:val="61891CD7"/>
    <w:rsid w:val="61CE5201"/>
    <w:rsid w:val="620C3034"/>
    <w:rsid w:val="62614A02"/>
    <w:rsid w:val="638B442C"/>
    <w:rsid w:val="638B61DA"/>
    <w:rsid w:val="63A92B04"/>
    <w:rsid w:val="64C57328"/>
    <w:rsid w:val="64E738E4"/>
    <w:rsid w:val="659C0A10"/>
    <w:rsid w:val="65BE2094"/>
    <w:rsid w:val="66014531"/>
    <w:rsid w:val="669B2BD8"/>
    <w:rsid w:val="66E225B5"/>
    <w:rsid w:val="66F2031E"/>
    <w:rsid w:val="670047E9"/>
    <w:rsid w:val="6703252B"/>
    <w:rsid w:val="67555832"/>
    <w:rsid w:val="681744E0"/>
    <w:rsid w:val="68B27D65"/>
    <w:rsid w:val="68D67EF7"/>
    <w:rsid w:val="692C3FBB"/>
    <w:rsid w:val="6933534A"/>
    <w:rsid w:val="69653029"/>
    <w:rsid w:val="69757903"/>
    <w:rsid w:val="69937B96"/>
    <w:rsid w:val="69C910D0"/>
    <w:rsid w:val="6ABC4ECB"/>
    <w:rsid w:val="6B250CC2"/>
    <w:rsid w:val="6B4B0C7C"/>
    <w:rsid w:val="6BB203D3"/>
    <w:rsid w:val="6BC37211"/>
    <w:rsid w:val="6BDE3B21"/>
    <w:rsid w:val="6C0A6286"/>
    <w:rsid w:val="6C4B6506"/>
    <w:rsid w:val="6C612E60"/>
    <w:rsid w:val="6D5238C5"/>
    <w:rsid w:val="6DD32F5E"/>
    <w:rsid w:val="6DE85FD7"/>
    <w:rsid w:val="6E484E8C"/>
    <w:rsid w:val="6E5A0C83"/>
    <w:rsid w:val="6ED515BE"/>
    <w:rsid w:val="6EFD48A9"/>
    <w:rsid w:val="6F0B6421"/>
    <w:rsid w:val="6F152DFC"/>
    <w:rsid w:val="6F2D283B"/>
    <w:rsid w:val="6F3911E0"/>
    <w:rsid w:val="6F543924"/>
    <w:rsid w:val="6F5A4CB2"/>
    <w:rsid w:val="6FFD3FBC"/>
    <w:rsid w:val="701178C5"/>
    <w:rsid w:val="706913D3"/>
    <w:rsid w:val="708A461B"/>
    <w:rsid w:val="70A02B99"/>
    <w:rsid w:val="70B03A3A"/>
    <w:rsid w:val="7101188A"/>
    <w:rsid w:val="71804EA4"/>
    <w:rsid w:val="71963E7B"/>
    <w:rsid w:val="71A32941"/>
    <w:rsid w:val="71D01A24"/>
    <w:rsid w:val="71E60A7F"/>
    <w:rsid w:val="72113D4E"/>
    <w:rsid w:val="722515A8"/>
    <w:rsid w:val="7294672D"/>
    <w:rsid w:val="72B73CFC"/>
    <w:rsid w:val="72CE46CA"/>
    <w:rsid w:val="73107486"/>
    <w:rsid w:val="732A3742"/>
    <w:rsid w:val="73FB6A64"/>
    <w:rsid w:val="740022CC"/>
    <w:rsid w:val="74082F2F"/>
    <w:rsid w:val="74AE6813"/>
    <w:rsid w:val="74C27582"/>
    <w:rsid w:val="74D177C5"/>
    <w:rsid w:val="7507768A"/>
    <w:rsid w:val="754D7793"/>
    <w:rsid w:val="75AF3FAA"/>
    <w:rsid w:val="76214447"/>
    <w:rsid w:val="766C1E9B"/>
    <w:rsid w:val="766D176F"/>
    <w:rsid w:val="766D79C1"/>
    <w:rsid w:val="76724FD8"/>
    <w:rsid w:val="774A30EC"/>
    <w:rsid w:val="77843214"/>
    <w:rsid w:val="778B45A3"/>
    <w:rsid w:val="77974CF6"/>
    <w:rsid w:val="78E636FA"/>
    <w:rsid w:val="79D51B05"/>
    <w:rsid w:val="7A08012D"/>
    <w:rsid w:val="7A5F5873"/>
    <w:rsid w:val="7A635363"/>
    <w:rsid w:val="7A6D4434"/>
    <w:rsid w:val="7A8A6D94"/>
    <w:rsid w:val="7A9D1014"/>
    <w:rsid w:val="7AA92C52"/>
    <w:rsid w:val="7AF24B92"/>
    <w:rsid w:val="7B183729"/>
    <w:rsid w:val="7B540F3E"/>
    <w:rsid w:val="7B6A44CF"/>
    <w:rsid w:val="7BE44282"/>
    <w:rsid w:val="7C2122A0"/>
    <w:rsid w:val="7C4100C4"/>
    <w:rsid w:val="7C8F6AF9"/>
    <w:rsid w:val="7CBE0F77"/>
    <w:rsid w:val="7D513544"/>
    <w:rsid w:val="7DAF3037"/>
    <w:rsid w:val="7DE20C95"/>
    <w:rsid w:val="7E7A2C7B"/>
    <w:rsid w:val="7E953F59"/>
    <w:rsid w:val="7EF1219D"/>
    <w:rsid w:val="7F0D3AEF"/>
    <w:rsid w:val="7F234F28"/>
    <w:rsid w:val="7F4B00E7"/>
    <w:rsid w:val="7F565496"/>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link w:val="51"/>
    <w:qFormat/>
    <w:uiPriority w:val="0"/>
    <w:pPr>
      <w:keepNext/>
      <w:keepLines/>
      <w:spacing w:before="260" w:after="260" w:line="500" w:lineRule="exact"/>
      <w:outlineLvl w:val="1"/>
    </w:pPr>
    <w:rPr>
      <w:rFonts w:ascii="Arial" w:hAnsi="Arial" w:eastAsia="黑体"/>
      <w:b/>
      <w:kern w:val="0"/>
      <w:sz w:val="28"/>
      <w:szCs w:val="20"/>
    </w:rPr>
  </w:style>
  <w:style w:type="paragraph" w:styleId="5">
    <w:name w:val="heading 3"/>
    <w:basedOn w:val="1"/>
    <w:next w:val="1"/>
    <w:qFormat/>
    <w:uiPriority w:val="0"/>
    <w:pPr>
      <w:keepNext/>
      <w:keepLines/>
      <w:spacing w:before="260" w:after="260" w:line="412" w:lineRule="auto"/>
      <w:outlineLvl w:val="2"/>
    </w:pPr>
    <w:rPr>
      <w:b/>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qFormat/>
    <w:uiPriority w:val="0"/>
    <w:pPr>
      <w:keepNext/>
      <w:keepLines/>
      <w:numPr>
        <w:ilvl w:val="4"/>
        <w:numId w:val="1"/>
      </w:numPr>
      <w:spacing w:before="280" w:after="290" w:line="372" w:lineRule="auto"/>
      <w:outlineLvl w:val="4"/>
    </w:pPr>
    <w:rPr>
      <w:b/>
      <w:sz w:val="28"/>
    </w:rPr>
  </w:style>
  <w:style w:type="paragraph" w:styleId="8">
    <w:name w:val="heading 6"/>
    <w:basedOn w:val="1"/>
    <w:next w:val="2"/>
    <w:qFormat/>
    <w:uiPriority w:val="0"/>
    <w:pPr>
      <w:keepNext/>
      <w:keepLines/>
      <w:numPr>
        <w:ilvl w:val="5"/>
        <w:numId w:val="1"/>
      </w:numPr>
      <w:spacing w:before="240" w:after="64" w:line="316" w:lineRule="auto"/>
      <w:outlineLvl w:val="5"/>
    </w:pPr>
    <w:rPr>
      <w:rFonts w:ascii="Arial" w:hAnsi="Arial" w:eastAsia="黑体"/>
      <w:b/>
      <w:sz w:val="24"/>
    </w:rPr>
  </w:style>
  <w:style w:type="paragraph" w:styleId="9">
    <w:name w:val="heading 7"/>
    <w:basedOn w:val="1"/>
    <w:next w:val="2"/>
    <w:qFormat/>
    <w:uiPriority w:val="0"/>
    <w:pPr>
      <w:keepNext/>
      <w:keepLines/>
      <w:numPr>
        <w:ilvl w:val="6"/>
        <w:numId w:val="1"/>
      </w:numPr>
      <w:spacing w:before="240" w:after="64" w:line="316" w:lineRule="auto"/>
      <w:outlineLvl w:val="6"/>
    </w:pPr>
    <w:rPr>
      <w:b/>
      <w:sz w:val="24"/>
    </w:rPr>
  </w:style>
  <w:style w:type="paragraph" w:styleId="10">
    <w:name w:val="heading 8"/>
    <w:basedOn w:val="1"/>
    <w:next w:val="2"/>
    <w:qFormat/>
    <w:uiPriority w:val="0"/>
    <w:pPr>
      <w:keepNext/>
      <w:keepLines/>
      <w:numPr>
        <w:ilvl w:val="7"/>
        <w:numId w:val="1"/>
      </w:numPr>
      <w:spacing w:before="240" w:after="64" w:line="316" w:lineRule="auto"/>
      <w:outlineLvl w:val="7"/>
    </w:pPr>
    <w:rPr>
      <w:rFonts w:ascii="Arial" w:hAnsi="Arial" w:eastAsia="黑体"/>
      <w:sz w:val="24"/>
    </w:rPr>
  </w:style>
  <w:style w:type="paragraph" w:styleId="11">
    <w:name w:val="heading 9"/>
    <w:basedOn w:val="1"/>
    <w:next w:val="2"/>
    <w:qFormat/>
    <w:uiPriority w:val="0"/>
    <w:pPr>
      <w:keepNext/>
      <w:keepLines/>
      <w:numPr>
        <w:ilvl w:val="8"/>
        <w:numId w:val="1"/>
      </w:numPr>
      <w:spacing w:before="240" w:after="64" w:line="316" w:lineRule="auto"/>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2"/>
    <w:qFormat/>
    <w:uiPriority w:val="0"/>
    <w:pPr>
      <w:ind w:firstLine="420"/>
    </w:pPr>
    <w:rPr>
      <w:szCs w:val="20"/>
    </w:rPr>
  </w:style>
  <w:style w:type="paragraph" w:styleId="12">
    <w:name w:val="List Bullet"/>
    <w:basedOn w:val="1"/>
    <w:qFormat/>
    <w:uiPriority w:val="0"/>
    <w:pPr>
      <w:numPr>
        <w:ilvl w:val="0"/>
        <w:numId w:val="2"/>
      </w:numPr>
    </w:pPr>
  </w:style>
  <w:style w:type="paragraph" w:styleId="13">
    <w:name w:val="Document Map"/>
    <w:basedOn w:val="1"/>
    <w:link w:val="53"/>
    <w:qFormat/>
    <w:uiPriority w:val="0"/>
    <w:rPr>
      <w:rFonts w:ascii="宋体"/>
      <w:sz w:val="18"/>
      <w:szCs w:val="18"/>
    </w:rPr>
  </w:style>
  <w:style w:type="paragraph" w:styleId="14">
    <w:name w:val="annotation text"/>
    <w:basedOn w:val="1"/>
    <w:link w:val="54"/>
    <w:qFormat/>
    <w:uiPriority w:val="0"/>
    <w:pPr>
      <w:jc w:val="left"/>
    </w:pPr>
  </w:style>
  <w:style w:type="paragraph" w:styleId="15">
    <w:name w:val="Body Text"/>
    <w:basedOn w:val="1"/>
    <w:next w:val="1"/>
    <w:qFormat/>
    <w:uiPriority w:val="0"/>
    <w:pPr>
      <w:spacing w:after="120"/>
    </w:pPr>
  </w:style>
  <w:style w:type="paragraph" w:styleId="16">
    <w:name w:val="Body Text Indent"/>
    <w:basedOn w:val="1"/>
    <w:next w:val="17"/>
    <w:link w:val="55"/>
    <w:qFormat/>
    <w:uiPriority w:val="0"/>
    <w:pPr>
      <w:ind w:firstLine="630"/>
    </w:pPr>
    <w:rPr>
      <w:sz w:val="32"/>
      <w:szCs w:val="20"/>
    </w:rPr>
  </w:style>
  <w:style w:type="paragraph" w:styleId="17">
    <w:name w:val="envelope return"/>
    <w:basedOn w:val="1"/>
    <w:qFormat/>
    <w:uiPriority w:val="0"/>
    <w:pPr>
      <w:snapToGrid w:val="0"/>
    </w:pPr>
    <w:rPr>
      <w:rFonts w:ascii="Arial" w:hAnsi="Arial"/>
    </w:rPr>
  </w:style>
  <w:style w:type="paragraph" w:styleId="18">
    <w:name w:val="index 4"/>
    <w:basedOn w:val="1"/>
    <w:next w:val="1"/>
    <w:qFormat/>
    <w:uiPriority w:val="0"/>
    <w:pPr>
      <w:ind w:left="428" w:firstLine="140"/>
    </w:pPr>
  </w:style>
  <w:style w:type="paragraph" w:styleId="19">
    <w:name w:val="toc 3"/>
    <w:basedOn w:val="1"/>
    <w:next w:val="1"/>
    <w:qFormat/>
    <w:uiPriority w:val="0"/>
    <w:pPr>
      <w:ind w:left="840" w:leftChars="400"/>
    </w:pPr>
  </w:style>
  <w:style w:type="paragraph" w:styleId="20">
    <w:name w:val="Plain Text"/>
    <w:basedOn w:val="1"/>
    <w:link w:val="56"/>
    <w:qFormat/>
    <w:uiPriority w:val="0"/>
    <w:rPr>
      <w:rFonts w:ascii="宋体" w:hAnsi="Courier New" w:cs="Courier New"/>
      <w:szCs w:val="21"/>
    </w:rPr>
  </w:style>
  <w:style w:type="paragraph" w:styleId="21">
    <w:name w:val="Date"/>
    <w:basedOn w:val="1"/>
    <w:next w:val="1"/>
    <w:link w:val="57"/>
    <w:qFormat/>
    <w:uiPriority w:val="0"/>
    <w:pPr>
      <w:ind w:left="100" w:leftChars="2500"/>
    </w:pPr>
  </w:style>
  <w:style w:type="paragraph" w:styleId="22">
    <w:name w:val="Body Text Indent 2"/>
    <w:basedOn w:val="1"/>
    <w:qFormat/>
    <w:uiPriority w:val="0"/>
    <w:pPr>
      <w:ind w:firstLine="630"/>
    </w:pPr>
    <w:rPr>
      <w:sz w:val="32"/>
      <w:szCs w:val="20"/>
    </w:rPr>
  </w:style>
  <w:style w:type="paragraph" w:styleId="23">
    <w:name w:val="Balloon Text"/>
    <w:basedOn w:val="1"/>
    <w:link w:val="58"/>
    <w:qFormat/>
    <w:uiPriority w:val="0"/>
    <w:rPr>
      <w:sz w:val="18"/>
      <w:szCs w:val="18"/>
    </w:rPr>
  </w:style>
  <w:style w:type="paragraph" w:styleId="24">
    <w:name w:val="footer"/>
    <w:basedOn w:val="1"/>
    <w:link w:val="59"/>
    <w:qFormat/>
    <w:uiPriority w:val="0"/>
    <w:pPr>
      <w:tabs>
        <w:tab w:val="center" w:pos="4153"/>
        <w:tab w:val="right" w:pos="8306"/>
      </w:tabs>
      <w:snapToGrid w:val="0"/>
      <w:jc w:val="left"/>
    </w:pPr>
    <w:rPr>
      <w:sz w:val="18"/>
      <w:szCs w:val="20"/>
    </w:rPr>
  </w:style>
  <w:style w:type="paragraph" w:styleId="25">
    <w:name w:val="header"/>
    <w:basedOn w:val="1"/>
    <w:link w:val="60"/>
    <w:qFormat/>
    <w:uiPriority w:val="0"/>
    <w:pPr>
      <w:pBdr>
        <w:bottom w:val="single" w:color="auto" w:sz="6" w:space="1"/>
      </w:pBdr>
      <w:tabs>
        <w:tab w:val="center" w:pos="4153"/>
        <w:tab w:val="right" w:pos="8306"/>
      </w:tabs>
      <w:snapToGrid w:val="0"/>
      <w:jc w:val="center"/>
    </w:pPr>
    <w:rPr>
      <w:sz w:val="18"/>
      <w:szCs w:val="20"/>
    </w:rPr>
  </w:style>
  <w:style w:type="paragraph" w:styleId="26">
    <w:name w:val="toc 1"/>
    <w:basedOn w:val="1"/>
    <w:next w:val="1"/>
    <w:qFormat/>
    <w:uiPriority w:val="0"/>
    <w:pPr>
      <w:tabs>
        <w:tab w:val="right" w:leader="dot" w:pos="9060"/>
      </w:tabs>
      <w:spacing w:line="276" w:lineRule="auto"/>
    </w:pPr>
    <w:rPr>
      <w:rFonts w:ascii="宋体" w:hAnsi="宋体"/>
      <w:b/>
      <w:sz w:val="24"/>
    </w:rPr>
  </w:style>
  <w:style w:type="paragraph" w:styleId="27">
    <w:name w:val="Body Text Indent 3"/>
    <w:basedOn w:val="1"/>
    <w:link w:val="61"/>
    <w:qFormat/>
    <w:uiPriority w:val="0"/>
    <w:pPr>
      <w:adjustRightInd w:val="0"/>
      <w:snapToGrid w:val="0"/>
      <w:spacing w:line="360" w:lineRule="auto"/>
      <w:ind w:firstLine="600" w:firstLineChars="200"/>
    </w:pPr>
    <w:rPr>
      <w:rFonts w:ascii="黑体" w:eastAsia="黑体"/>
      <w:sz w:val="30"/>
      <w:szCs w:val="28"/>
    </w:rPr>
  </w:style>
  <w:style w:type="paragraph" w:styleId="28">
    <w:name w:val="toc 2"/>
    <w:basedOn w:val="1"/>
    <w:next w:val="1"/>
    <w:qFormat/>
    <w:uiPriority w:val="0"/>
    <w:pPr>
      <w:ind w:left="420" w:leftChars="200"/>
    </w:pPr>
  </w:style>
  <w:style w:type="paragraph" w:styleId="29">
    <w:name w:val="Body Text 2"/>
    <w:basedOn w:val="1"/>
    <w:qFormat/>
    <w:uiPriority w:val="0"/>
    <w:rPr>
      <w:rFonts w:ascii="楷体_GB2312" w:hAnsi="Copperplate Gothic Bold" w:eastAsia="楷体_GB2312"/>
      <w:sz w:val="28"/>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32">
    <w:name w:val="Title"/>
    <w:basedOn w:val="1"/>
    <w:next w:val="1"/>
    <w:link w:val="62"/>
    <w:qFormat/>
    <w:uiPriority w:val="0"/>
    <w:pPr>
      <w:spacing w:before="240" w:after="60"/>
      <w:jc w:val="center"/>
      <w:outlineLvl w:val="0"/>
    </w:pPr>
    <w:rPr>
      <w:rFonts w:ascii="Cambria" w:hAnsi="Cambria"/>
      <w:b/>
      <w:bCs/>
      <w:sz w:val="32"/>
      <w:szCs w:val="32"/>
    </w:rPr>
  </w:style>
  <w:style w:type="paragraph" w:styleId="33">
    <w:name w:val="annotation subject"/>
    <w:basedOn w:val="14"/>
    <w:next w:val="14"/>
    <w:link w:val="63"/>
    <w:qFormat/>
    <w:uiPriority w:val="0"/>
    <w:rPr>
      <w:b/>
      <w:bCs/>
    </w:rPr>
  </w:style>
  <w:style w:type="paragraph" w:styleId="34">
    <w:name w:val="Body Text First Indent"/>
    <w:basedOn w:val="15"/>
    <w:next w:val="1"/>
    <w:qFormat/>
    <w:uiPriority w:val="0"/>
    <w:pPr>
      <w:ind w:firstLine="420" w:firstLineChars="100"/>
    </w:pPr>
  </w:style>
  <w:style w:type="paragraph" w:styleId="35">
    <w:name w:val="Body Text First Indent 2"/>
    <w:basedOn w:val="16"/>
    <w:qFormat/>
    <w:uiPriority w:val="0"/>
    <w:pPr>
      <w:spacing w:before="50"/>
      <w:ind w:firstLine="20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333333"/>
      <w:u w:val="none"/>
    </w:rPr>
  </w:style>
  <w:style w:type="character" w:styleId="42">
    <w:name w:val="Emphasis"/>
    <w:qFormat/>
    <w:uiPriority w:val="0"/>
    <w:rPr>
      <w:rFonts w:ascii="Times New Roman" w:hAnsi="Times New Roman" w:eastAsia="宋体" w:cs="Times New Roman"/>
    </w:rPr>
  </w:style>
  <w:style w:type="character" w:styleId="43">
    <w:name w:val="HTML Definition"/>
    <w:qFormat/>
    <w:uiPriority w:val="0"/>
    <w:rPr>
      <w:rFonts w:ascii="Times New Roman" w:hAnsi="Times New Roman" w:eastAsia="宋体" w:cs="Times New Roman"/>
      <w:i/>
    </w:rPr>
  </w:style>
  <w:style w:type="character" w:styleId="44">
    <w:name w:val="HTML Variable"/>
    <w:qFormat/>
    <w:uiPriority w:val="0"/>
  </w:style>
  <w:style w:type="character" w:styleId="45">
    <w:name w:val="Hyperlink"/>
    <w:qFormat/>
    <w:uiPriority w:val="0"/>
    <w:rPr>
      <w:rFonts w:ascii="Times New Roman" w:hAnsi="Times New Roman" w:eastAsia="宋体" w:cs="Times New Roman"/>
      <w:color w:val="136EC2"/>
      <w:u w:val="single"/>
    </w:rPr>
  </w:style>
  <w:style w:type="character" w:styleId="46">
    <w:name w:val="HTML Code"/>
    <w:qFormat/>
    <w:uiPriority w:val="0"/>
    <w:rPr>
      <w:rFonts w:hint="default" w:ascii="Consolas" w:hAnsi="Consolas" w:eastAsia="Consolas" w:cs="Consolas"/>
      <w:color w:val="C7254E"/>
      <w:sz w:val="21"/>
      <w:szCs w:val="21"/>
      <w:shd w:val="clear" w:color="auto" w:fill="F9F2F4"/>
    </w:rPr>
  </w:style>
  <w:style w:type="character" w:styleId="47">
    <w:name w:val="annotation reference"/>
    <w:qFormat/>
    <w:uiPriority w:val="0"/>
    <w:rPr>
      <w:rFonts w:ascii="Times New Roman" w:hAnsi="Times New Roman" w:eastAsia="宋体" w:cs="Times New Roman"/>
      <w:sz w:val="21"/>
      <w:szCs w:val="21"/>
    </w:rPr>
  </w:style>
  <w:style w:type="character" w:styleId="48">
    <w:name w:val="HTML Cite"/>
    <w:qFormat/>
    <w:uiPriority w:val="0"/>
  </w:style>
  <w:style w:type="character" w:styleId="49">
    <w:name w:val="HTML Keyboard"/>
    <w:qFormat/>
    <w:uiPriority w:val="0"/>
    <w:rPr>
      <w:rFonts w:ascii="Consolas" w:hAnsi="Consolas" w:eastAsia="Consolas" w:cs="Consolas"/>
      <w:color w:val="FFFFFF"/>
      <w:sz w:val="21"/>
      <w:szCs w:val="21"/>
      <w:shd w:val="clear" w:color="auto" w:fill="333333"/>
    </w:rPr>
  </w:style>
  <w:style w:type="character" w:styleId="50">
    <w:name w:val="HTML Sample"/>
    <w:qFormat/>
    <w:uiPriority w:val="0"/>
    <w:rPr>
      <w:rFonts w:hint="default" w:ascii="Consolas" w:hAnsi="Consolas" w:eastAsia="Consolas" w:cs="Consolas"/>
      <w:sz w:val="21"/>
      <w:szCs w:val="21"/>
    </w:rPr>
  </w:style>
  <w:style w:type="character" w:customStyle="1" w:styleId="51">
    <w:name w:val="标题 2 Char1"/>
    <w:link w:val="4"/>
    <w:qFormat/>
    <w:uiPriority w:val="0"/>
    <w:rPr>
      <w:rFonts w:ascii="Arial" w:hAnsi="Arial" w:eastAsia="黑体" w:cs="Times New Roman"/>
      <w:b/>
      <w:sz w:val="28"/>
      <w:szCs w:val="20"/>
    </w:rPr>
  </w:style>
  <w:style w:type="character" w:customStyle="1" w:styleId="52">
    <w:name w:val="正文缩进 Char"/>
    <w:link w:val="2"/>
    <w:qFormat/>
    <w:uiPriority w:val="0"/>
    <w:rPr>
      <w:rFonts w:ascii="Times New Roman" w:hAnsi="Times New Roman" w:eastAsia="宋体" w:cs="Times New Roman"/>
      <w:kern w:val="2"/>
      <w:sz w:val="21"/>
      <w:lang w:val="en-US" w:eastAsia="zh-CN" w:bidi="ar-SA"/>
    </w:rPr>
  </w:style>
  <w:style w:type="character" w:customStyle="1" w:styleId="53">
    <w:name w:val="文档结构图 Char"/>
    <w:link w:val="13"/>
    <w:qFormat/>
    <w:uiPriority w:val="0"/>
    <w:rPr>
      <w:rFonts w:ascii="宋体" w:hAnsi="Times New Roman" w:eastAsia="宋体" w:cs="Times New Roman"/>
      <w:kern w:val="2"/>
      <w:sz w:val="18"/>
      <w:szCs w:val="18"/>
    </w:rPr>
  </w:style>
  <w:style w:type="character" w:customStyle="1" w:styleId="54">
    <w:name w:val="批注文字 Char"/>
    <w:link w:val="14"/>
    <w:qFormat/>
    <w:uiPriority w:val="0"/>
    <w:rPr>
      <w:rFonts w:ascii="Times New Roman" w:hAnsi="Times New Roman" w:eastAsia="宋体" w:cs="Times New Roman"/>
      <w:kern w:val="2"/>
      <w:sz w:val="21"/>
      <w:szCs w:val="24"/>
    </w:rPr>
  </w:style>
  <w:style w:type="character" w:customStyle="1" w:styleId="55">
    <w:name w:val="正文文本缩进 Char"/>
    <w:link w:val="16"/>
    <w:qFormat/>
    <w:uiPriority w:val="0"/>
    <w:rPr>
      <w:rFonts w:ascii="Times New Roman" w:hAnsi="Times New Roman" w:eastAsia="宋体" w:cs="Times New Roman"/>
      <w:kern w:val="2"/>
      <w:sz w:val="32"/>
    </w:rPr>
  </w:style>
  <w:style w:type="character" w:customStyle="1" w:styleId="56">
    <w:name w:val="纯文本 Char"/>
    <w:link w:val="20"/>
    <w:qFormat/>
    <w:uiPriority w:val="0"/>
    <w:rPr>
      <w:rFonts w:ascii="宋体" w:hAnsi="Courier New" w:eastAsia="宋体" w:cs="Courier New"/>
      <w:kern w:val="2"/>
      <w:sz w:val="21"/>
      <w:szCs w:val="21"/>
      <w:lang w:val="en-US" w:eastAsia="zh-CN" w:bidi="ar-SA"/>
    </w:rPr>
  </w:style>
  <w:style w:type="character" w:customStyle="1" w:styleId="57">
    <w:name w:val="日期 Char"/>
    <w:link w:val="21"/>
    <w:qFormat/>
    <w:uiPriority w:val="0"/>
    <w:rPr>
      <w:rFonts w:ascii="Times New Roman" w:hAnsi="Times New Roman" w:eastAsia="宋体" w:cs="Times New Roman"/>
      <w:kern w:val="2"/>
      <w:sz w:val="21"/>
      <w:szCs w:val="24"/>
    </w:rPr>
  </w:style>
  <w:style w:type="character" w:customStyle="1" w:styleId="58">
    <w:name w:val="批注框文本 Char"/>
    <w:link w:val="23"/>
    <w:qFormat/>
    <w:uiPriority w:val="0"/>
    <w:rPr>
      <w:rFonts w:ascii="Times New Roman" w:hAnsi="Times New Roman" w:eastAsia="宋体" w:cs="Times New Roman"/>
      <w:kern w:val="2"/>
      <w:sz w:val="18"/>
      <w:szCs w:val="18"/>
    </w:rPr>
  </w:style>
  <w:style w:type="character" w:customStyle="1" w:styleId="59">
    <w:name w:val="页脚 Char"/>
    <w:link w:val="24"/>
    <w:qFormat/>
    <w:uiPriority w:val="0"/>
    <w:rPr>
      <w:rFonts w:ascii="Times New Roman" w:hAnsi="Times New Roman" w:eastAsia="宋体" w:cs="Times New Roman"/>
      <w:kern w:val="2"/>
      <w:sz w:val="18"/>
      <w:lang w:val="en-US" w:eastAsia="zh-CN" w:bidi="ar-SA"/>
    </w:rPr>
  </w:style>
  <w:style w:type="character" w:customStyle="1" w:styleId="60">
    <w:name w:val="页眉 Char"/>
    <w:link w:val="25"/>
    <w:qFormat/>
    <w:uiPriority w:val="0"/>
    <w:rPr>
      <w:rFonts w:ascii="Times New Roman" w:hAnsi="Times New Roman" w:eastAsia="宋体" w:cs="Times New Roman"/>
      <w:kern w:val="2"/>
      <w:sz w:val="18"/>
      <w:lang w:val="en-US" w:eastAsia="zh-CN" w:bidi="ar-SA"/>
    </w:rPr>
  </w:style>
  <w:style w:type="character" w:customStyle="1" w:styleId="61">
    <w:name w:val="正文文本缩进 3 Char"/>
    <w:link w:val="27"/>
    <w:qFormat/>
    <w:uiPriority w:val="0"/>
    <w:rPr>
      <w:rFonts w:ascii="黑体" w:hAnsi="Times New Roman" w:eastAsia="黑体" w:cs="Times New Roman"/>
      <w:kern w:val="2"/>
      <w:sz w:val="30"/>
      <w:szCs w:val="28"/>
    </w:rPr>
  </w:style>
  <w:style w:type="character" w:customStyle="1" w:styleId="62">
    <w:name w:val="标题 Char"/>
    <w:link w:val="32"/>
    <w:qFormat/>
    <w:uiPriority w:val="0"/>
    <w:rPr>
      <w:rFonts w:ascii="Cambria" w:hAnsi="Cambria" w:eastAsia="宋体" w:cs="Times New Roman"/>
      <w:b/>
      <w:bCs/>
      <w:kern w:val="2"/>
      <w:sz w:val="32"/>
      <w:szCs w:val="32"/>
    </w:rPr>
  </w:style>
  <w:style w:type="character" w:customStyle="1" w:styleId="63">
    <w:name w:val="批注主题 Char"/>
    <w:link w:val="33"/>
    <w:qFormat/>
    <w:uiPriority w:val="0"/>
    <w:rPr>
      <w:rFonts w:ascii="Times New Roman" w:hAnsi="Times New Roman" w:eastAsia="宋体" w:cs="Times New Roman"/>
      <w:b/>
      <w:bCs/>
      <w:kern w:val="2"/>
      <w:sz w:val="21"/>
      <w:szCs w:val="24"/>
    </w:rPr>
  </w:style>
  <w:style w:type="character" w:customStyle="1" w:styleId="64">
    <w:name w:val="font51"/>
    <w:basedOn w:val="38"/>
    <w:qFormat/>
    <w:uiPriority w:val="0"/>
    <w:rPr>
      <w:rFonts w:hint="eastAsia" w:ascii="宋体" w:hAnsi="宋体" w:eastAsia="宋体" w:cs="宋体"/>
      <w:color w:val="000000"/>
      <w:sz w:val="22"/>
      <w:szCs w:val="22"/>
      <w:u w:val="none"/>
    </w:rPr>
  </w:style>
  <w:style w:type="character" w:customStyle="1" w:styleId="65">
    <w:name w:val="number"/>
    <w:qFormat/>
    <w:uiPriority w:val="0"/>
    <w:rPr>
      <w:rFonts w:ascii="Times New Roman" w:hAnsi="Times New Roman" w:eastAsia="宋体" w:cs="Times New Roman"/>
      <w:color w:val="FF8833"/>
      <w:sz w:val="18"/>
      <w:szCs w:val="18"/>
    </w:rPr>
  </w:style>
  <w:style w:type="character" w:customStyle="1" w:styleId="66">
    <w:name w:val="active"/>
    <w:qFormat/>
    <w:uiPriority w:val="0"/>
    <w:rPr>
      <w:rFonts w:ascii="Times New Roman" w:hAnsi="Times New Roman" w:eastAsia="宋体" w:cs="Times New Roman"/>
      <w:color w:val="00FF00"/>
      <w:shd w:val="clear" w:color="auto" w:fill="000000"/>
    </w:rPr>
  </w:style>
  <w:style w:type="character" w:customStyle="1" w:styleId="67">
    <w:name w:val="Char Char12"/>
    <w:qFormat/>
    <w:uiPriority w:val="0"/>
    <w:rPr>
      <w:rFonts w:ascii="Arial" w:hAnsi="Arial" w:eastAsia="黑体" w:cs="Times New Roman"/>
      <w:b/>
      <w:sz w:val="28"/>
      <w:szCs w:val="20"/>
    </w:rPr>
  </w:style>
  <w:style w:type="character" w:customStyle="1" w:styleId="68">
    <w:name w:val="font31"/>
    <w:qFormat/>
    <w:uiPriority w:val="0"/>
    <w:rPr>
      <w:rFonts w:ascii="Cambria" w:hAnsi="Cambria" w:eastAsia="Cambria" w:cs="Cambria"/>
      <w:color w:val="000000"/>
      <w:sz w:val="18"/>
      <w:szCs w:val="18"/>
      <w:u w:val="none"/>
    </w:rPr>
  </w:style>
  <w:style w:type="character" w:customStyle="1" w:styleId="69">
    <w:name w:val="glyphicon"/>
    <w:qFormat/>
    <w:uiPriority w:val="0"/>
  </w:style>
  <w:style w:type="character" w:customStyle="1" w:styleId="70">
    <w:name w:val="after"/>
    <w:qFormat/>
    <w:uiPriority w:val="0"/>
    <w:rPr>
      <w:rFonts w:ascii="Times New Roman" w:hAnsi="Times New Roman" w:eastAsia="宋体" w:cs="Times New Roman"/>
      <w:shd w:val="clear" w:color="auto" w:fill="FFFFFF"/>
    </w:rPr>
  </w:style>
  <w:style w:type="character" w:customStyle="1" w:styleId="71">
    <w:name w:val="font61"/>
    <w:qFormat/>
    <w:uiPriority w:val="0"/>
    <w:rPr>
      <w:rFonts w:hint="eastAsia" w:ascii="宋体" w:hAnsi="宋体" w:eastAsia="宋体" w:cs="宋体"/>
      <w:color w:val="000000"/>
      <w:sz w:val="18"/>
      <w:szCs w:val="18"/>
      <w:u w:val="none"/>
    </w:rPr>
  </w:style>
  <w:style w:type="character" w:customStyle="1" w:styleId="72">
    <w:name w:val="列出段落 Char"/>
    <w:link w:val="73"/>
    <w:qFormat/>
    <w:uiPriority w:val="0"/>
    <w:rPr>
      <w:rFonts w:ascii="宋体" w:hAnsi="宋体" w:eastAsia="宋体" w:cs="Times New Roman"/>
      <w:sz w:val="24"/>
      <w:szCs w:val="24"/>
      <w:lang w:val="zh-CN"/>
    </w:rPr>
  </w:style>
  <w:style w:type="paragraph" w:customStyle="1" w:styleId="73">
    <w:name w:val="列出段落1"/>
    <w:basedOn w:val="1"/>
    <w:link w:val="72"/>
    <w:qFormat/>
    <w:uiPriority w:val="0"/>
    <w:pPr>
      <w:widowControl/>
      <w:ind w:firstLine="420" w:firstLineChars="200"/>
      <w:jc w:val="left"/>
    </w:pPr>
    <w:rPr>
      <w:rFonts w:ascii="宋体" w:hAnsi="宋体"/>
      <w:kern w:val="0"/>
      <w:sz w:val="24"/>
      <w:lang w:val="zh-CN"/>
    </w:rPr>
  </w:style>
  <w:style w:type="character" w:customStyle="1" w:styleId="74">
    <w:name w:val="style61"/>
    <w:qFormat/>
    <w:uiPriority w:val="0"/>
    <w:rPr>
      <w:rFonts w:ascii="Times New Roman" w:hAnsi="Times New Roman" w:eastAsia="宋体" w:cs="Times New Roman"/>
      <w:color w:val="FF0000"/>
    </w:rPr>
  </w:style>
  <w:style w:type="character" w:customStyle="1" w:styleId="75">
    <w:name w:val="font71"/>
    <w:qFormat/>
    <w:uiPriority w:val="0"/>
    <w:rPr>
      <w:rFonts w:hint="default" w:ascii="Times New Roman" w:hAnsi="Times New Roman" w:eastAsia="宋体" w:cs="Times New Roman"/>
      <w:color w:val="000000"/>
      <w:sz w:val="22"/>
      <w:szCs w:val="22"/>
      <w:u w:val="none"/>
    </w:rPr>
  </w:style>
  <w:style w:type="character" w:customStyle="1" w:styleId="76">
    <w:name w:val="hour_pm"/>
    <w:qFormat/>
    <w:uiPriority w:val="0"/>
    <w:rPr>
      <w:rFonts w:ascii="Times New Roman" w:hAnsi="Times New Roman" w:eastAsia="宋体" w:cs="Times New Roman"/>
    </w:rPr>
  </w:style>
  <w:style w:type="character" w:customStyle="1" w:styleId="77">
    <w:name w:val="span-long"/>
    <w:qFormat/>
    <w:uiPriority w:val="0"/>
    <w:rPr>
      <w:rFonts w:ascii="Times New Roman" w:hAnsi="Times New Roman" w:eastAsia="宋体" w:cs="Times New Roman"/>
    </w:rPr>
  </w:style>
  <w:style w:type="character" w:customStyle="1" w:styleId="78">
    <w:name w:val="input-direction"/>
    <w:qFormat/>
    <w:uiPriority w:val="0"/>
    <w:rPr>
      <w:rFonts w:ascii="Times New Roman" w:hAnsi="Times New Roman" w:eastAsia="宋体" w:cs="Times New Roman"/>
      <w:color w:val="FF6600"/>
    </w:rPr>
  </w:style>
  <w:style w:type="character" w:customStyle="1" w:styleId="79">
    <w:name w:val="phone"/>
    <w:qFormat/>
    <w:uiPriority w:val="0"/>
    <w:rPr>
      <w:rFonts w:ascii="Times New Roman" w:hAnsi="Times New Roman" w:eastAsia="宋体" w:cs="Times New Roman"/>
      <w:color w:val="FF8833"/>
      <w:sz w:val="18"/>
      <w:szCs w:val="18"/>
    </w:rPr>
  </w:style>
  <w:style w:type="character" w:customStyle="1" w:styleId="80">
    <w:name w:val="bds_nopic2"/>
    <w:qFormat/>
    <w:uiPriority w:val="0"/>
    <w:rPr>
      <w:rFonts w:ascii="Times New Roman" w:hAnsi="Times New Roman" w:eastAsia="宋体" w:cs="Times New Roman"/>
    </w:rPr>
  </w:style>
  <w:style w:type="character" w:customStyle="1" w:styleId="81">
    <w:name w:val="old"/>
    <w:qFormat/>
    <w:uiPriority w:val="0"/>
    <w:rPr>
      <w:rFonts w:ascii="Times New Roman" w:hAnsi="Times New Roman" w:eastAsia="宋体" w:cs="Times New Roman"/>
      <w:color w:val="999999"/>
    </w:rPr>
  </w:style>
  <w:style w:type="character" w:customStyle="1" w:styleId="82">
    <w:name w:val="bsharetext"/>
    <w:qFormat/>
    <w:uiPriority w:val="0"/>
    <w:rPr>
      <w:rFonts w:ascii="Times New Roman" w:hAnsi="Times New Roman" w:eastAsia="宋体" w:cs="Times New Roman"/>
    </w:rPr>
  </w:style>
  <w:style w:type="character" w:customStyle="1" w:styleId="83">
    <w:name w:val="font101"/>
    <w:qFormat/>
    <w:uiPriority w:val="0"/>
    <w:rPr>
      <w:rFonts w:hint="eastAsia" w:ascii="宋体" w:hAnsi="宋体" w:eastAsia="宋体" w:cs="宋体"/>
      <w:color w:val="FF0000"/>
      <w:sz w:val="20"/>
      <w:szCs w:val="20"/>
      <w:u w:val="none"/>
    </w:rPr>
  </w:style>
  <w:style w:type="character" w:customStyle="1" w:styleId="84">
    <w:name w:val="stclosebtn"/>
    <w:qFormat/>
    <w:uiPriority w:val="0"/>
    <w:rPr>
      <w:rFonts w:ascii="Times New Roman" w:hAnsi="Times New Roman" w:eastAsia="宋体" w:cs="Times New Roman"/>
    </w:rPr>
  </w:style>
  <w:style w:type="character" w:customStyle="1" w:styleId="85">
    <w:name w:val="无"/>
    <w:qFormat/>
    <w:uiPriority w:val="0"/>
    <w:rPr>
      <w:rFonts w:ascii="Times New Roman" w:hAnsi="Times New Roman" w:eastAsia="宋体" w:cs="Times New Roman"/>
    </w:rPr>
  </w:style>
  <w:style w:type="character" w:customStyle="1" w:styleId="86">
    <w:name w:val="font111"/>
    <w:qFormat/>
    <w:uiPriority w:val="0"/>
    <w:rPr>
      <w:rFonts w:ascii="Arial" w:hAnsi="Arial" w:eastAsia="宋体" w:cs="Arial"/>
      <w:color w:val="000000"/>
      <w:sz w:val="18"/>
      <w:szCs w:val="18"/>
      <w:u w:val="none"/>
    </w:rPr>
  </w:style>
  <w:style w:type="character" w:customStyle="1" w:styleId="87">
    <w:name w:val="普通文字1 Char"/>
    <w:qFormat/>
    <w:uiPriority w:val="0"/>
    <w:rPr>
      <w:rFonts w:ascii="宋体" w:hAnsi="Courier New" w:eastAsia="宋体" w:cs="Times New Roman"/>
      <w:kern w:val="2"/>
      <w:sz w:val="21"/>
      <w:lang w:val="en-US" w:eastAsia="zh-CN" w:bidi="ar-SA"/>
    </w:rPr>
  </w:style>
  <w:style w:type="character" w:customStyle="1" w:styleId="88">
    <w:name w:val="proollist"/>
    <w:qFormat/>
    <w:uiPriority w:val="0"/>
    <w:rPr>
      <w:rFonts w:ascii="Times New Roman" w:hAnsi="Times New Roman" w:eastAsia="宋体" w:cs="Times New Roman"/>
    </w:rPr>
  </w:style>
  <w:style w:type="character" w:customStyle="1" w:styleId="89">
    <w:name w:val="font21"/>
    <w:qFormat/>
    <w:uiPriority w:val="0"/>
    <w:rPr>
      <w:rFonts w:hint="eastAsia" w:ascii="宋体" w:hAnsi="宋体" w:eastAsia="宋体" w:cs="宋体"/>
      <w:color w:val="000000"/>
      <w:sz w:val="21"/>
      <w:szCs w:val="21"/>
      <w:u w:val="none"/>
    </w:rPr>
  </w:style>
  <w:style w:type="character" w:customStyle="1" w:styleId="90">
    <w:name w:val="font171"/>
    <w:qFormat/>
    <w:uiPriority w:val="0"/>
    <w:rPr>
      <w:rFonts w:hint="eastAsia" w:ascii="宋体" w:hAnsi="宋体" w:eastAsia="宋体" w:cs="宋体"/>
      <w:b/>
      <w:color w:val="000000"/>
      <w:sz w:val="20"/>
      <w:szCs w:val="20"/>
      <w:u w:val="none"/>
    </w:rPr>
  </w:style>
  <w:style w:type="character" w:customStyle="1" w:styleId="91">
    <w:name w:val="标题 2 Char"/>
    <w:qFormat/>
    <w:uiPriority w:val="0"/>
    <w:rPr>
      <w:rFonts w:ascii="Arial" w:hAnsi="Arial" w:eastAsia="黑体" w:cs="Times New Roman"/>
      <w:b/>
      <w:sz w:val="28"/>
      <w:szCs w:val="20"/>
    </w:rPr>
  </w:style>
  <w:style w:type="character" w:customStyle="1" w:styleId="92">
    <w:name w:val="tmpztreemove_arrow"/>
    <w:qFormat/>
    <w:uiPriority w:val="0"/>
    <w:rPr>
      <w:rFonts w:ascii="Times New Roman" w:hAnsi="Times New Roman" w:eastAsia="宋体" w:cs="Times New Roman"/>
      <w:shd w:val="clear" w:color="auto" w:fill="FFFFFF"/>
    </w:rPr>
  </w:style>
  <w:style w:type="character" w:customStyle="1" w:styleId="93">
    <w:name w:val="active6"/>
    <w:qFormat/>
    <w:uiPriority w:val="0"/>
    <w:rPr>
      <w:rFonts w:ascii="Times New Roman" w:hAnsi="Times New Roman" w:eastAsia="宋体" w:cs="Times New Roman"/>
      <w:color w:val="00FF00"/>
      <w:shd w:val="clear" w:color="auto" w:fill="000000"/>
    </w:rPr>
  </w:style>
  <w:style w:type="character" w:customStyle="1" w:styleId="94">
    <w:name w:val="正文缩进 Char1"/>
    <w:qFormat/>
    <w:uiPriority w:val="0"/>
    <w:rPr>
      <w:rFonts w:ascii="Times New Roman" w:hAnsi="Times New Roman" w:eastAsia="宋体" w:cs="Times New Roman"/>
      <w:kern w:val="2"/>
      <w:sz w:val="21"/>
      <w:lang w:val="en-US" w:eastAsia="zh-CN" w:bidi="ar-SA"/>
    </w:rPr>
  </w:style>
  <w:style w:type="character" w:customStyle="1" w:styleId="95">
    <w:name w:val="font11"/>
    <w:qFormat/>
    <w:uiPriority w:val="0"/>
    <w:rPr>
      <w:rFonts w:hint="eastAsia" w:ascii="宋体" w:hAnsi="宋体" w:eastAsia="宋体" w:cs="宋体"/>
      <w:color w:val="000000"/>
      <w:sz w:val="24"/>
      <w:szCs w:val="24"/>
      <w:u w:val="none"/>
    </w:rPr>
  </w:style>
  <w:style w:type="character" w:customStyle="1" w:styleId="96">
    <w:name w:val="button2"/>
    <w:qFormat/>
    <w:uiPriority w:val="0"/>
    <w:rPr>
      <w:rFonts w:ascii="Times New Roman" w:hAnsi="Times New Roman" w:eastAsia="宋体" w:cs="Times New Roman"/>
    </w:rPr>
  </w:style>
  <w:style w:type="character" w:customStyle="1" w:styleId="97">
    <w:name w:val="font01"/>
    <w:basedOn w:val="38"/>
    <w:qFormat/>
    <w:uiPriority w:val="0"/>
    <w:rPr>
      <w:rFonts w:ascii="Calibri" w:hAnsi="Calibri" w:eastAsia="宋体" w:cs="Calibri"/>
      <w:color w:val="000000"/>
      <w:sz w:val="24"/>
      <w:szCs w:val="24"/>
      <w:u w:val="none"/>
    </w:rPr>
  </w:style>
  <w:style w:type="character" w:customStyle="1" w:styleId="98">
    <w:name w:val="fontborder"/>
    <w:qFormat/>
    <w:uiPriority w:val="0"/>
    <w:rPr>
      <w:bdr w:val="single" w:color="000000" w:sz="4" w:space="0"/>
    </w:rPr>
  </w:style>
  <w:style w:type="character" w:customStyle="1" w:styleId="99">
    <w:name w:val="beforeinfotext"/>
    <w:qFormat/>
    <w:uiPriority w:val="0"/>
    <w:rPr>
      <w:rFonts w:ascii="Times New Roman" w:hAnsi="Times New Roman" w:eastAsia="宋体" w:cs="Times New Roman"/>
      <w:color w:val="666666"/>
    </w:rPr>
  </w:style>
  <w:style w:type="character" w:customStyle="1" w:styleId="100">
    <w:name w:val="font41"/>
    <w:basedOn w:val="38"/>
    <w:qFormat/>
    <w:uiPriority w:val="0"/>
    <w:rPr>
      <w:rFonts w:hint="eastAsia" w:ascii="宋体" w:hAnsi="宋体" w:eastAsia="宋体" w:cs="宋体"/>
      <w:color w:val="000000"/>
      <w:sz w:val="24"/>
      <w:szCs w:val="24"/>
      <w:u w:val="none"/>
    </w:rPr>
  </w:style>
  <w:style w:type="character" w:customStyle="1" w:styleId="101">
    <w:name w:val="fontstrikethrough"/>
    <w:qFormat/>
    <w:uiPriority w:val="0"/>
    <w:rPr>
      <w:strike/>
    </w:rPr>
  </w:style>
  <w:style w:type="character" w:customStyle="1" w:styleId="102">
    <w:name w:val="button"/>
    <w:qFormat/>
    <w:uiPriority w:val="0"/>
    <w:rPr>
      <w:rFonts w:ascii="Times New Roman" w:hAnsi="Times New Roman" w:eastAsia="宋体" w:cs="Times New Roman"/>
    </w:rPr>
  </w:style>
  <w:style w:type="character" w:customStyle="1" w:styleId="103">
    <w:name w:val="font81"/>
    <w:qFormat/>
    <w:uiPriority w:val="0"/>
    <w:rPr>
      <w:rFonts w:hint="eastAsia" w:ascii="宋体" w:hAnsi="宋体" w:eastAsia="宋体" w:cs="宋体"/>
      <w:color w:val="333333"/>
      <w:sz w:val="18"/>
      <w:szCs w:val="18"/>
      <w:u w:val="none"/>
    </w:rPr>
  </w:style>
  <w:style w:type="character" w:customStyle="1" w:styleId="104">
    <w:name w:val="hour_am"/>
    <w:qFormat/>
    <w:uiPriority w:val="0"/>
    <w:rPr>
      <w:rFonts w:ascii="Times New Roman" w:hAnsi="Times New Roman" w:eastAsia="宋体" w:cs="Times New Roman"/>
    </w:rPr>
  </w:style>
  <w:style w:type="character" w:customStyle="1" w:styleId="105">
    <w:name w:val="p0 Char"/>
    <w:link w:val="106"/>
    <w:qFormat/>
    <w:uiPriority w:val="0"/>
    <w:rPr>
      <w:rFonts w:ascii="Times New Roman" w:hAnsi="Times New Roman" w:eastAsia="宋体" w:cs="Times New Roman"/>
      <w:sz w:val="21"/>
      <w:szCs w:val="21"/>
      <w:lang w:val="en-US" w:eastAsia="zh-CN" w:bidi="ar-SA"/>
    </w:rPr>
  </w:style>
  <w:style w:type="paragraph" w:customStyle="1" w:styleId="106">
    <w:name w:val="p0"/>
    <w:basedOn w:val="1"/>
    <w:link w:val="105"/>
    <w:qFormat/>
    <w:uiPriority w:val="0"/>
    <w:pPr>
      <w:widowControl/>
    </w:pPr>
    <w:rPr>
      <w:kern w:val="0"/>
      <w:szCs w:val="21"/>
    </w:rPr>
  </w:style>
  <w:style w:type="character" w:customStyle="1" w:styleId="107">
    <w:name w:val="indent"/>
    <w:qFormat/>
    <w:uiPriority w:val="0"/>
    <w:rPr>
      <w:rFonts w:ascii="Times New Roman" w:hAnsi="Times New Roman" w:eastAsia="宋体" w:cs="Times New Roman"/>
    </w:rPr>
  </w:style>
  <w:style w:type="character" w:customStyle="1" w:styleId="108">
    <w:name w:val="glyphicon4"/>
    <w:qFormat/>
    <w:uiPriority w:val="0"/>
    <w:rPr>
      <w:rFonts w:ascii="Times New Roman" w:hAnsi="Times New Roman" w:eastAsia="宋体" w:cs="Times New Roman"/>
    </w:rPr>
  </w:style>
  <w:style w:type="character" w:customStyle="1" w:styleId="109">
    <w:name w:val="hilite6"/>
    <w:qFormat/>
    <w:uiPriority w:val="0"/>
    <w:rPr>
      <w:rFonts w:ascii="Times New Roman" w:hAnsi="Times New Roman" w:eastAsia="宋体" w:cs="Times New Roman"/>
      <w:color w:val="FFFFFF"/>
      <w:shd w:val="clear" w:color="auto" w:fill="666677"/>
    </w:rPr>
  </w:style>
  <w:style w:type="character" w:customStyle="1" w:styleId="110">
    <w:name w:val="hover3"/>
    <w:qFormat/>
    <w:uiPriority w:val="0"/>
    <w:rPr>
      <w:rFonts w:ascii="Times New Roman" w:hAnsi="Times New Roman" w:eastAsia="宋体" w:cs="Times New Roman"/>
      <w:shd w:val="clear" w:color="auto" w:fill="EEEEEE"/>
    </w:rPr>
  </w:style>
  <w:style w:type="character" w:customStyle="1" w:styleId="111">
    <w:name w:val="font91"/>
    <w:qFormat/>
    <w:uiPriority w:val="0"/>
    <w:rPr>
      <w:rFonts w:hint="default" w:ascii="Arial" w:hAnsi="Arial" w:eastAsia="宋体" w:cs="Arial"/>
      <w:color w:val="000000"/>
      <w:sz w:val="24"/>
      <w:szCs w:val="24"/>
      <w:u w:val="none"/>
    </w:rPr>
  </w:style>
  <w:style w:type="character" w:customStyle="1" w:styleId="112">
    <w:name w:val="hilite"/>
    <w:qFormat/>
    <w:uiPriority w:val="0"/>
    <w:rPr>
      <w:rFonts w:ascii="Times New Roman" w:hAnsi="Times New Roman" w:eastAsia="宋体" w:cs="Times New Roman"/>
      <w:color w:val="FFFFFF"/>
      <w:shd w:val="clear" w:color="auto" w:fill="666677"/>
    </w:rPr>
  </w:style>
  <w:style w:type="paragraph" w:customStyle="1" w:styleId="113">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14">
    <w:name w:val="正文 A"/>
    <w:qFormat/>
    <w:uiPriority w:val="0"/>
    <w:rPr>
      <w:rFonts w:ascii="Arial Unicode MS" w:hAnsi="Arial Unicode MS" w:eastAsia="Arial Unicode MS" w:cs="Arial Unicode MS"/>
      <w:color w:val="000000"/>
      <w:sz w:val="21"/>
      <w:szCs w:val="21"/>
      <w:lang w:val="en-US" w:eastAsia="zh-CN" w:bidi="ar-SA"/>
    </w:rPr>
  </w:style>
  <w:style w:type="paragraph" w:customStyle="1" w:styleId="115">
    <w:name w:val="title11"/>
    <w:basedOn w:val="1"/>
    <w:qFormat/>
    <w:uiPriority w:val="0"/>
    <w:pPr>
      <w:spacing w:before="150"/>
      <w:jc w:val="left"/>
    </w:pPr>
    <w:rPr>
      <w:b/>
      <w:kern w:val="0"/>
      <w:sz w:val="22"/>
      <w:szCs w:val="22"/>
    </w:rPr>
  </w:style>
  <w:style w:type="paragraph" w:customStyle="1" w:styleId="116">
    <w:name w:val="正文 New"/>
    <w:qFormat/>
    <w:uiPriority w:val="0"/>
    <w:pPr>
      <w:widowControl w:val="0"/>
      <w:jc w:val="both"/>
    </w:pPr>
    <w:rPr>
      <w:rFonts w:ascii="Times New Roman" w:hAnsi="Times New Roman" w:eastAsia="宋体" w:cs="Times New Roman"/>
      <w:lang w:val="en-US" w:eastAsia="zh-CN" w:bidi="ar-SA"/>
    </w:rPr>
  </w:style>
  <w:style w:type="paragraph" w:customStyle="1" w:styleId="117">
    <w:name w:val="_Style 7"/>
    <w:basedOn w:val="1"/>
    <w:next w:val="1"/>
    <w:qFormat/>
    <w:uiPriority w:val="0"/>
    <w:pPr>
      <w:pBdr>
        <w:top w:val="single" w:color="auto" w:sz="6" w:space="1"/>
      </w:pBdr>
      <w:jc w:val="center"/>
    </w:pPr>
    <w:rPr>
      <w:rFonts w:ascii="Arial"/>
      <w:vanish/>
      <w:sz w:val="16"/>
    </w:rPr>
  </w:style>
  <w:style w:type="paragraph" w:customStyle="1" w:styleId="118">
    <w:name w:val="正文（绿盟科技）"/>
    <w:qFormat/>
    <w:uiPriority w:val="0"/>
    <w:pPr>
      <w:spacing w:line="300" w:lineRule="auto"/>
    </w:pPr>
    <w:rPr>
      <w:rFonts w:ascii="Times New Roman" w:hAnsi="Times New Roman" w:eastAsia="宋体" w:cs="黑体"/>
      <w:sz w:val="21"/>
      <w:szCs w:val="21"/>
      <w:lang w:val="en-US" w:eastAsia="zh-CN" w:bidi="ar-SA"/>
    </w:rPr>
  </w:style>
  <w:style w:type="paragraph" w:customStyle="1" w:styleId="119">
    <w:name w:val="标题 5（有编号）（绿盟科技）"/>
    <w:basedOn w:val="1"/>
    <w:next w:val="118"/>
    <w:qFormat/>
    <w:uiPriority w:val="0"/>
    <w:pPr>
      <w:keepNext/>
      <w:keepLines/>
      <w:numPr>
        <w:ilvl w:val="4"/>
        <w:numId w:val="3"/>
      </w:numPr>
      <w:spacing w:before="280" w:after="156" w:line="377" w:lineRule="auto"/>
      <w:outlineLvl w:val="4"/>
    </w:pPr>
    <w:rPr>
      <w:rFonts w:eastAsia="黑体"/>
      <w:b/>
      <w:szCs w:val="28"/>
    </w:rPr>
  </w:style>
  <w:style w:type="paragraph" w:customStyle="1" w:styleId="120">
    <w:name w:val="样式2"/>
    <w:basedOn w:val="1"/>
    <w:qFormat/>
    <w:uiPriority w:val="0"/>
    <w:pPr>
      <w:spacing w:line="360" w:lineRule="auto"/>
      <w:ind w:firstLine="480" w:firstLineChars="200"/>
    </w:pPr>
    <w:rPr>
      <w:rFonts w:ascii="Calibri" w:hAnsi="Calibri" w:cs="黑体"/>
      <w:sz w:val="24"/>
    </w:rPr>
  </w:style>
  <w:style w:type="paragraph" w:customStyle="1" w:styleId="121">
    <w:name w:val="_Style 120"/>
    <w:basedOn w:val="3"/>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122">
    <w:name w:val="Table Paragraph"/>
    <w:basedOn w:val="1"/>
    <w:qFormat/>
    <w:uiPriority w:val="0"/>
    <w:rPr>
      <w:szCs w:val="20"/>
    </w:rPr>
  </w:style>
  <w:style w:type="paragraph" w:customStyle="1" w:styleId="123">
    <w:name w:val="正文首行缩进两字符"/>
    <w:basedOn w:val="1"/>
    <w:qFormat/>
    <w:uiPriority w:val="0"/>
    <w:pPr>
      <w:spacing w:line="360" w:lineRule="auto"/>
      <w:ind w:firstLine="200" w:firstLineChars="200"/>
    </w:pPr>
  </w:style>
  <w:style w:type="paragraph" w:customStyle="1" w:styleId="124">
    <w:name w:val="正文 New New New New New New New New New New New New New New New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表格文字"/>
    <w:basedOn w:val="1"/>
    <w:qFormat/>
    <w:uiPriority w:val="0"/>
    <w:pPr>
      <w:spacing w:before="25" w:after="25"/>
      <w:jc w:val="left"/>
    </w:pPr>
    <w:rPr>
      <w:bCs/>
      <w:spacing w:val="10"/>
      <w:kern w:val="0"/>
      <w:sz w:val="24"/>
    </w:rPr>
  </w:style>
  <w:style w:type="paragraph" w:customStyle="1" w:styleId="126">
    <w:name w:val="title13"/>
    <w:basedOn w:val="1"/>
    <w:qFormat/>
    <w:uiPriority w:val="0"/>
    <w:pPr>
      <w:spacing w:before="150"/>
      <w:jc w:val="left"/>
    </w:pPr>
    <w:rPr>
      <w:b/>
      <w:kern w:val="0"/>
      <w:sz w:val="22"/>
      <w:szCs w:val="22"/>
    </w:rPr>
  </w:style>
  <w:style w:type="paragraph" w:customStyle="1" w:styleId="127">
    <w:name w:val="Char1"/>
    <w:basedOn w:val="1"/>
    <w:qFormat/>
    <w:uiPriority w:val="0"/>
    <w:rPr>
      <w:szCs w:val="21"/>
    </w:rPr>
  </w:style>
  <w:style w:type="paragraph" w:customStyle="1" w:styleId="128">
    <w:name w:val="默认段落字体 Para Char Char Char Char Char Char Char"/>
    <w:basedOn w:val="1"/>
    <w:qFormat/>
    <w:uiPriority w:val="0"/>
    <w:rPr>
      <w:rFonts w:ascii="Tahoma" w:hAnsi="Tahoma"/>
      <w:sz w:val="24"/>
      <w:szCs w:val="20"/>
    </w:rPr>
  </w:style>
  <w:style w:type="paragraph" w:styleId="129">
    <w:name w:val="List Paragraph"/>
    <w:basedOn w:val="1"/>
    <w:qFormat/>
    <w:uiPriority w:val="0"/>
    <w:pPr>
      <w:ind w:firstLine="420" w:firstLineChars="200"/>
    </w:pPr>
    <w:rPr>
      <w:rFonts w:ascii="Calibri" w:hAnsi="Calibri"/>
    </w:rPr>
  </w:style>
  <w:style w:type="paragraph" w:customStyle="1" w:styleId="1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1">
    <w:name w:val="_Style 5"/>
    <w:basedOn w:val="1"/>
    <w:qFormat/>
    <w:uiPriority w:val="0"/>
    <w:pPr>
      <w:ind w:firstLine="420" w:firstLineChars="200"/>
    </w:pPr>
    <w:rPr>
      <w:rFonts w:ascii="Calibri" w:hAnsi="Calibri"/>
      <w:szCs w:val="21"/>
    </w:rPr>
  </w:style>
  <w:style w:type="paragraph" w:customStyle="1" w:styleId="132">
    <w:name w:val="_Style 6"/>
    <w:basedOn w:val="1"/>
    <w:next w:val="1"/>
    <w:qFormat/>
    <w:uiPriority w:val="0"/>
    <w:pPr>
      <w:pBdr>
        <w:bottom w:val="single" w:color="auto" w:sz="6" w:space="1"/>
      </w:pBdr>
      <w:jc w:val="center"/>
    </w:pPr>
    <w:rPr>
      <w:rFonts w:ascii="Arial"/>
      <w:vanish/>
      <w:sz w:val="16"/>
    </w:rPr>
  </w:style>
  <w:style w:type="paragraph" w:customStyle="1" w:styleId="1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4">
    <w:name w:val="样式 首行缩进:  2 字符"/>
    <w:basedOn w:val="1"/>
    <w:qFormat/>
    <w:uiPriority w:val="0"/>
    <w:pPr>
      <w:spacing w:line="400" w:lineRule="exact"/>
      <w:ind w:firstLine="200" w:firstLineChars="200"/>
    </w:pPr>
    <w:rPr>
      <w:rFonts w:cs="宋体"/>
      <w:sz w:val="24"/>
    </w:rPr>
  </w:style>
  <w:style w:type="paragraph" w:customStyle="1" w:styleId="135">
    <w:name w:val="Char Char Char Char"/>
    <w:basedOn w:val="1"/>
    <w:qFormat/>
    <w:uiPriority w:val="0"/>
    <w:rPr>
      <w:rFonts w:ascii="Tahoma" w:hAnsi="Tahoma"/>
      <w:sz w:val="24"/>
      <w:szCs w:val="20"/>
    </w:rPr>
  </w:style>
  <w:style w:type="paragraph" w:customStyle="1" w:styleId="136">
    <w:name w:val="正文四号"/>
    <w:basedOn w:val="1"/>
    <w:qFormat/>
    <w:uiPriority w:val="0"/>
    <w:rPr>
      <w:rFonts w:ascii="宋体" w:hAnsi="仿宋_GB2312" w:cs="仿宋_GB2312"/>
      <w:szCs w:val="28"/>
    </w:rPr>
  </w:style>
  <w:style w:type="paragraph" w:customStyle="1" w:styleId="137">
    <w:name w:val="表格"/>
    <w:basedOn w:val="1"/>
    <w:qFormat/>
    <w:uiPriority w:val="0"/>
    <w:pPr>
      <w:spacing w:line="400" w:lineRule="exact"/>
    </w:pPr>
    <w:rPr>
      <w:sz w:val="24"/>
    </w:rPr>
  </w:style>
  <w:style w:type="paragraph" w:customStyle="1" w:styleId="138">
    <w:name w:val="CM15"/>
    <w:basedOn w:val="130"/>
    <w:next w:val="130"/>
    <w:qFormat/>
    <w:uiPriority w:val="0"/>
    <w:pPr>
      <w:spacing w:line="468" w:lineRule="atLeast"/>
    </w:pPr>
    <w:rPr>
      <w:rFonts w:hint="eastAsia"/>
    </w:rPr>
  </w:style>
  <w:style w:type="paragraph" w:customStyle="1" w:styleId="139">
    <w:name w:val="列出段落2"/>
    <w:basedOn w:val="1"/>
    <w:qFormat/>
    <w:uiPriority w:val="0"/>
    <w:pPr>
      <w:ind w:firstLine="420" w:firstLineChars="200"/>
    </w:pPr>
  </w:style>
  <w:style w:type="character" w:customStyle="1" w:styleId="140">
    <w:name w:val="font131"/>
    <w:basedOn w:val="38"/>
    <w:qFormat/>
    <w:uiPriority w:val="0"/>
    <w:rPr>
      <w:rFonts w:hint="eastAsia" w:ascii="宋体" w:hAnsi="宋体" w:eastAsia="宋体" w:cs="宋体"/>
      <w:b/>
      <w:bCs/>
      <w:color w:val="FF0000"/>
      <w:sz w:val="20"/>
      <w:szCs w:val="20"/>
      <w:u w:val="none"/>
    </w:rPr>
  </w:style>
  <w:style w:type="paragraph" w:customStyle="1" w:styleId="141">
    <w:name w:val="MessageHeader"/>
    <w:basedOn w:val="1"/>
    <w:next w:val="142"/>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sz w:val="28"/>
    </w:rPr>
  </w:style>
  <w:style w:type="paragraph" w:customStyle="1" w:styleId="142">
    <w:name w:val="BodyText"/>
    <w:basedOn w:val="1"/>
    <w:next w:val="1"/>
    <w:qFormat/>
    <w:uiPriority w:val="0"/>
    <w:pPr>
      <w:jc w:val="center"/>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81</Pages>
  <Words>40387</Words>
  <Characters>42347</Characters>
  <Lines>332</Lines>
  <Paragraphs>93</Paragraphs>
  <TotalTime>20</TotalTime>
  <ScaleCrop>false</ScaleCrop>
  <LinksUpToDate>false</LinksUpToDate>
  <CharactersWithSpaces>45280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2022-07-13T06:20:00Z</dcterms:created>
  <dc:creator>xb21cn</dc:creator>
  <cp:lastModifiedBy>乔公子</cp:lastModifiedBy>
  <cp:lastPrinted>2023-02-10T02:04:18Z</cp:lastPrinted>
  <dcterms:modified xsi:type="dcterms:W3CDTF">2023-02-10T05:51:40Z</dcterms:modified>
  <dc:title>招标编号：xxx政采招[20xxx] xxx号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4AA842CB392C496682BBCF2B4B1F2FF4</vt:lpwstr>
  </property>
</Properties>
</file>