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宋体"/>
          <w:b/>
          <w:sz w:val="30"/>
        </w:rPr>
      </w:pPr>
      <w:bookmarkStart w:id="0" w:name="OLE_LINK9"/>
      <w:r>
        <w:rPr>
          <w:rFonts w:hint="eastAsia" w:ascii="宋体" w:hAnsi="宋体" w:eastAsia="宋体" w:cs="宋体"/>
          <w:b/>
          <w:sz w:val="30"/>
        </w:rPr>
        <w:t>政府采购项目</w:t>
      </w:r>
    </w:p>
    <w:p>
      <w:pPr>
        <w:adjustRightInd w:val="0"/>
        <w:snapToGrid w:val="0"/>
        <w:spacing w:line="360" w:lineRule="auto"/>
        <w:jc w:val="left"/>
        <w:rPr>
          <w:rFonts w:ascii="宋体" w:hAnsi="宋体" w:eastAsia="宋体" w:cs="宋体"/>
          <w:b/>
          <w:sz w:val="30"/>
        </w:rPr>
      </w:pPr>
      <w:r>
        <w:rPr>
          <w:rFonts w:hint="eastAsia" w:ascii="宋体" w:hAnsi="宋体" w:eastAsia="宋体" w:cs="宋体"/>
          <w:b/>
          <w:sz w:val="30"/>
        </w:rPr>
        <w:t>项目编号：</w:t>
      </w:r>
      <w:r>
        <w:rPr>
          <w:rFonts w:hint="eastAsia" w:ascii="宋体" w:hAnsi="宋体" w:eastAsia="宋体" w:cs="宋体"/>
          <w:b/>
          <w:sz w:val="30"/>
          <w:lang w:eastAsia="zh-CN"/>
        </w:rPr>
        <w:t>ZMZB2022BLLZ-137</w:t>
      </w:r>
    </w:p>
    <w:p>
      <w:pPr>
        <w:adjustRightInd w:val="0"/>
        <w:snapToGrid w:val="0"/>
        <w:spacing w:line="360" w:lineRule="auto"/>
        <w:rPr>
          <w:rFonts w:ascii="宋体" w:hAnsi="宋体" w:eastAsia="宋体" w:cs="宋体"/>
          <w:b/>
          <w:sz w:val="48"/>
          <w:szCs w:val="48"/>
        </w:rPr>
      </w:pPr>
    </w:p>
    <w:p>
      <w:pPr>
        <w:adjustRightInd w:val="0"/>
        <w:snapToGrid w:val="0"/>
        <w:spacing w:line="360" w:lineRule="auto"/>
        <w:jc w:val="center"/>
        <w:rPr>
          <w:rFonts w:hint="eastAsia" w:ascii="宋体" w:hAnsi="宋体" w:cs="宋体" w:eastAsiaTheme="minorEastAsia"/>
          <w:b/>
          <w:color w:val="000000"/>
          <w:sz w:val="48"/>
          <w:szCs w:val="48"/>
          <w:lang w:eastAsia="zh-CN"/>
        </w:rPr>
      </w:pPr>
      <w:r>
        <w:rPr>
          <w:rFonts w:hint="eastAsia" w:ascii="宋体" w:hAnsi="宋体" w:cs="宋体"/>
          <w:b/>
          <w:color w:val="000000"/>
          <w:sz w:val="48"/>
          <w:szCs w:val="48"/>
          <w:lang w:eastAsia="zh-CN"/>
        </w:rPr>
        <w:t>西安市第六中学分校</w:t>
      </w:r>
    </w:p>
    <w:p>
      <w:pPr>
        <w:adjustRightInd w:val="0"/>
        <w:snapToGrid w:val="0"/>
        <w:spacing w:line="360" w:lineRule="auto"/>
        <w:jc w:val="center"/>
        <w:rPr>
          <w:rFonts w:hint="eastAsia" w:ascii="宋体" w:hAnsi="宋体" w:cs="宋体"/>
          <w:b/>
          <w:color w:val="000000"/>
          <w:sz w:val="48"/>
          <w:szCs w:val="48"/>
        </w:rPr>
      </w:pPr>
      <w:r>
        <w:rPr>
          <w:rFonts w:hint="eastAsia" w:ascii="宋体" w:hAnsi="宋体" w:cs="宋体"/>
          <w:b/>
          <w:color w:val="000000"/>
          <w:sz w:val="48"/>
          <w:szCs w:val="48"/>
        </w:rPr>
        <w:t>图书馆智慧系统及监控系统采购项目</w:t>
      </w:r>
    </w:p>
    <w:p>
      <w:pPr>
        <w:tabs>
          <w:tab w:val="left" w:pos="0"/>
        </w:tabs>
        <w:adjustRightInd w:val="0"/>
        <w:snapToGrid w:val="0"/>
        <w:spacing w:line="360" w:lineRule="auto"/>
        <w:jc w:val="left"/>
        <w:rPr>
          <w:rFonts w:ascii="宋体" w:hAnsi="宋体" w:eastAsia="宋体" w:cs="宋体"/>
          <w:b/>
          <w:sz w:val="72"/>
          <w:szCs w:val="72"/>
        </w:rPr>
      </w:pPr>
      <w:r>
        <w:drawing>
          <wp:anchor distT="0" distB="0" distL="114300" distR="114300" simplePos="0" relativeHeight="251667456" behindDoc="0" locked="0" layoutInCell="1" allowOverlap="1">
            <wp:simplePos x="0" y="0"/>
            <wp:positionH relativeFrom="column">
              <wp:posOffset>2202180</wp:posOffset>
            </wp:positionH>
            <wp:positionV relativeFrom="paragraph">
              <wp:posOffset>528955</wp:posOffset>
            </wp:positionV>
            <wp:extent cx="2095500" cy="1087120"/>
            <wp:effectExtent l="0" t="0" r="0" b="1778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0" cstate="print"/>
                    <a:stretch>
                      <a:fillRect/>
                    </a:stretch>
                  </pic:blipFill>
                  <pic:spPr>
                    <a:xfrm>
                      <a:off x="0" y="0"/>
                      <a:ext cx="2095500" cy="1087120"/>
                    </a:xfrm>
                    <a:prstGeom prst="rect">
                      <a:avLst/>
                    </a:prstGeom>
                    <a:noFill/>
                    <a:ln>
                      <a:noFill/>
                    </a:ln>
                  </pic:spPr>
                </pic:pic>
              </a:graphicData>
            </a:graphic>
          </wp:anchor>
        </w:drawing>
      </w:r>
    </w:p>
    <w:p>
      <w:pPr>
        <w:tabs>
          <w:tab w:val="left" w:pos="0"/>
        </w:tabs>
        <w:adjustRightInd w:val="0"/>
        <w:snapToGrid w:val="0"/>
        <w:spacing w:line="360" w:lineRule="auto"/>
        <w:jc w:val="both"/>
        <w:rPr>
          <w:rFonts w:hint="eastAsia" w:ascii="宋体" w:hAnsi="宋体" w:eastAsia="宋体" w:cs="宋体"/>
          <w:b/>
          <w:sz w:val="72"/>
          <w:szCs w:val="72"/>
        </w:rPr>
      </w:pPr>
    </w:p>
    <w:p>
      <w:pPr>
        <w:pStyle w:val="8"/>
        <w:rPr>
          <w:rFonts w:hint="eastAsia"/>
        </w:rPr>
      </w:pPr>
    </w:p>
    <w:p>
      <w:pPr>
        <w:tabs>
          <w:tab w:val="left" w:pos="0"/>
        </w:tabs>
        <w:adjustRightInd w:val="0"/>
        <w:snapToGrid w:val="0"/>
        <w:spacing w:line="360" w:lineRule="auto"/>
        <w:jc w:val="center"/>
        <w:rPr>
          <w:rFonts w:ascii="宋体" w:hAnsi="宋体" w:eastAsia="宋体" w:cs="宋体"/>
          <w:b/>
          <w:sz w:val="30"/>
        </w:rPr>
      </w:pPr>
      <w:r>
        <w:rPr>
          <w:rFonts w:hint="eastAsia" w:ascii="宋体" w:hAnsi="宋体" w:eastAsia="宋体" w:cs="宋体"/>
          <w:b/>
          <w:sz w:val="72"/>
          <w:szCs w:val="72"/>
        </w:rPr>
        <w:t>竞争性谈判文件</w:t>
      </w:r>
    </w:p>
    <w:p>
      <w:pPr>
        <w:adjustRightInd w:val="0"/>
        <w:snapToGrid w:val="0"/>
        <w:spacing w:line="360" w:lineRule="auto"/>
        <w:jc w:val="center"/>
        <w:rPr>
          <w:rFonts w:ascii="宋体" w:hAnsi="宋体" w:eastAsia="宋体" w:cs="宋体"/>
          <w:b/>
          <w:sz w:val="30"/>
        </w:rPr>
      </w:pPr>
    </w:p>
    <w:p>
      <w:pPr>
        <w:rPr>
          <w:rFonts w:ascii="宋体" w:hAnsi="宋体" w:eastAsia="宋体" w:cs="宋体"/>
          <w:b/>
          <w:sz w:val="30"/>
        </w:rPr>
      </w:pPr>
    </w:p>
    <w:p/>
    <w:p/>
    <w:p>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陕西卓佲项目管理有限公司</w:t>
      </w:r>
    </w:p>
    <w:p>
      <w:pPr>
        <w:adjustRightInd w:val="0"/>
        <w:snapToGrid w:val="0"/>
        <w:spacing w:line="600" w:lineRule="auto"/>
        <w:jc w:val="center"/>
        <w:rPr>
          <w:rFonts w:ascii="宋体" w:hAnsi="宋体" w:eastAsia="宋体" w:cs="宋体"/>
          <w:b/>
          <w:sz w:val="32"/>
          <w:szCs w:val="32"/>
        </w:rPr>
        <w:sectPr>
          <w:headerReference r:id="rId4" w:type="first"/>
          <w:headerReference r:id="rId3" w:type="default"/>
          <w:footerReference r:id="rId5" w:type="default"/>
          <w:pgSz w:w="11906" w:h="16838"/>
          <w:pgMar w:top="1440" w:right="1080" w:bottom="1440" w:left="1080" w:header="851" w:footer="992" w:gutter="0"/>
          <w:pgNumType w:fmt="decimal" w:start="1"/>
          <w:cols w:space="720" w:num="1"/>
          <w:docGrid w:type="lines" w:linePitch="312" w:charSpace="0"/>
        </w:sectPr>
      </w:pPr>
      <w:r>
        <w:rPr>
          <w:rFonts w:hint="eastAsia" w:ascii="宋体" w:hAnsi="宋体" w:eastAsia="宋体" w:cs="宋体"/>
          <w:b/>
          <w:sz w:val="32"/>
          <w:szCs w:val="32"/>
        </w:rPr>
        <w:t>202</w:t>
      </w:r>
      <w:r>
        <w:rPr>
          <w:rFonts w:hint="eastAsia" w:ascii="宋体" w:hAnsi="宋体" w:eastAsia="宋体" w:cs="宋体"/>
          <w:b/>
          <w:sz w:val="32"/>
          <w:szCs w:val="32"/>
          <w:lang w:val="en-US" w:eastAsia="zh-CN"/>
        </w:rPr>
        <w:t>2</w:t>
      </w:r>
      <w:r>
        <w:rPr>
          <w:rFonts w:hint="eastAsia" w:ascii="宋体" w:hAnsi="宋体" w:eastAsia="宋体" w:cs="宋体"/>
          <w:b/>
          <w:sz w:val="32"/>
          <w:szCs w:val="32"/>
        </w:rPr>
        <w:t>年</w:t>
      </w:r>
      <w:r>
        <w:rPr>
          <w:rFonts w:hint="eastAsia" w:ascii="宋体" w:hAnsi="宋体" w:eastAsia="宋体" w:cs="宋体"/>
          <w:b/>
          <w:sz w:val="32"/>
          <w:szCs w:val="32"/>
          <w:lang w:val="en-US" w:eastAsia="zh-CN"/>
        </w:rPr>
        <w:t>8</w:t>
      </w:r>
      <w:r>
        <w:rPr>
          <w:rFonts w:hint="eastAsia" w:ascii="宋体" w:hAnsi="宋体" w:eastAsia="宋体" w:cs="宋体"/>
          <w:b/>
          <w:sz w:val="32"/>
          <w:szCs w:val="32"/>
        </w:rPr>
        <w:t>月</w:t>
      </w:r>
    </w:p>
    <w:p>
      <w:pPr>
        <w:pStyle w:val="16"/>
        <w:tabs>
          <w:tab w:val="right" w:leader="dot" w:pos="8306"/>
        </w:tabs>
        <w:spacing w:line="360" w:lineRule="auto"/>
        <w:jc w:val="center"/>
        <w:rPr>
          <w:rFonts w:ascii="宋体" w:hAnsi="宋体" w:eastAsia="宋体" w:cs="宋体"/>
          <w:b/>
          <w:bCs/>
          <w:sz w:val="52"/>
          <w:szCs w:val="52"/>
        </w:rPr>
      </w:pPr>
      <w:r>
        <w:rPr>
          <w:rFonts w:hint="eastAsia" w:ascii="宋体" w:hAnsi="宋体" w:eastAsia="宋体" w:cs="宋体"/>
          <w:b/>
          <w:bCs/>
          <w:sz w:val="52"/>
          <w:szCs w:val="52"/>
        </w:rPr>
        <w:t>目录</w:t>
      </w:r>
    </w:p>
    <w:p>
      <w:pPr>
        <w:pStyle w:val="16"/>
        <w:tabs>
          <w:tab w:val="right" w:leader="dot" w:pos="9746"/>
        </w:tabs>
      </w:pPr>
      <w:r>
        <w:rPr>
          <w:rFonts w:hint="eastAsia" w:asciiTheme="minorEastAsia" w:hAnsiTheme="minorEastAsia" w:cstheme="minorEastAsia"/>
          <w:sz w:val="96"/>
          <w:szCs w:val="96"/>
        </w:rPr>
        <w:fldChar w:fldCharType="begin"/>
      </w:r>
      <w:r>
        <w:rPr>
          <w:rFonts w:hint="eastAsia" w:asciiTheme="minorEastAsia" w:hAnsiTheme="minorEastAsia" w:cstheme="minorEastAsia"/>
          <w:sz w:val="96"/>
          <w:szCs w:val="96"/>
        </w:rPr>
        <w:instrText xml:space="preserve">TOC \o "1-2" \h \u </w:instrText>
      </w:r>
      <w:r>
        <w:rPr>
          <w:rFonts w:hint="eastAsia" w:asciiTheme="minorEastAsia" w:hAnsiTheme="minorEastAsia" w:cstheme="minorEastAsia"/>
          <w:sz w:val="96"/>
          <w:szCs w:val="96"/>
        </w:rPr>
        <w:fldChar w:fldCharType="separate"/>
      </w:r>
      <w:r>
        <w:rPr>
          <w:rFonts w:hint="eastAsia" w:asciiTheme="minorEastAsia" w:hAnsiTheme="minorEastAsia" w:cstheme="minorEastAsia"/>
          <w:szCs w:val="96"/>
        </w:rPr>
        <w:fldChar w:fldCharType="begin"/>
      </w:r>
      <w:r>
        <w:rPr>
          <w:rFonts w:hint="eastAsia" w:asciiTheme="minorEastAsia" w:hAnsiTheme="minorEastAsia" w:cstheme="minorEastAsia"/>
          <w:szCs w:val="96"/>
        </w:rPr>
        <w:instrText xml:space="preserve"> HYPERLINK \l _Toc10769 </w:instrText>
      </w:r>
      <w:r>
        <w:rPr>
          <w:rFonts w:hint="eastAsia" w:asciiTheme="minorEastAsia" w:hAnsiTheme="minorEastAsia" w:cstheme="minorEastAsia"/>
          <w:szCs w:val="96"/>
        </w:rPr>
        <w:fldChar w:fldCharType="separate"/>
      </w:r>
      <w:r>
        <w:rPr>
          <w:rFonts w:hint="eastAsia" w:ascii="宋体" w:hAnsi="宋体" w:cs="宋体"/>
          <w:szCs w:val="36"/>
        </w:rPr>
        <w:t>第一部分  竞争性谈判公告</w:t>
      </w:r>
      <w:r>
        <w:tab/>
      </w:r>
      <w:r>
        <w:fldChar w:fldCharType="begin"/>
      </w:r>
      <w:r>
        <w:instrText xml:space="preserve"> PAGEREF _Toc10769 \h </w:instrText>
      </w:r>
      <w:r>
        <w:fldChar w:fldCharType="separate"/>
      </w:r>
      <w:r>
        <w:t>1</w:t>
      </w:r>
      <w:r>
        <w:fldChar w:fldCharType="end"/>
      </w:r>
      <w:r>
        <w:rPr>
          <w:rFonts w:hint="eastAsia" w:asciiTheme="minorEastAsia" w:hAnsi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_Toc3251 </w:instrText>
      </w:r>
      <w:r>
        <w:rPr>
          <w:rFonts w:hint="eastAsia" w:asciiTheme="minorEastAsia" w:hAnsiTheme="minorEastAsia" w:eastAsiaTheme="minorEastAsia" w:cstheme="minorEastAsia"/>
          <w:szCs w:val="96"/>
        </w:rPr>
        <w:fldChar w:fldCharType="separate"/>
      </w:r>
      <w:r>
        <w:rPr>
          <w:rFonts w:hint="eastAsia" w:ascii="宋体" w:hAnsi="宋体" w:cs="宋体"/>
        </w:rPr>
        <w:t>第二部分  供应商须知前附表</w:t>
      </w:r>
      <w:r>
        <w:tab/>
      </w:r>
      <w:r>
        <w:fldChar w:fldCharType="begin"/>
      </w:r>
      <w:r>
        <w:instrText xml:space="preserve"> PAGEREF _Toc3251 \h </w:instrText>
      </w:r>
      <w:r>
        <w:fldChar w:fldCharType="separate"/>
      </w:r>
      <w:r>
        <w:t>5</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_Toc23304 </w:instrText>
      </w:r>
      <w:r>
        <w:rPr>
          <w:rFonts w:hint="eastAsia" w:asciiTheme="minorEastAsia" w:hAnsiTheme="minorEastAsia" w:eastAsiaTheme="minorEastAsia" w:cstheme="minorEastAsia"/>
          <w:szCs w:val="96"/>
        </w:rPr>
        <w:fldChar w:fldCharType="separate"/>
      </w:r>
      <w:r>
        <w:rPr>
          <w:rFonts w:hint="eastAsia" w:ascii="宋体" w:hAnsi="宋体" w:cs="宋体"/>
        </w:rPr>
        <w:t>第三部分  供应商须知</w:t>
      </w:r>
      <w:r>
        <w:tab/>
      </w:r>
      <w:r>
        <w:fldChar w:fldCharType="begin"/>
      </w:r>
      <w:r>
        <w:instrText xml:space="preserve"> PAGEREF _Toc23304 \h </w:instrText>
      </w:r>
      <w:r>
        <w:fldChar w:fldCharType="separate"/>
      </w:r>
      <w:r>
        <w:t>11</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_Toc11336 </w:instrText>
      </w:r>
      <w:r>
        <w:rPr>
          <w:rFonts w:hint="eastAsia" w:asciiTheme="minorEastAsia" w:hAnsiTheme="minorEastAsia" w:eastAsiaTheme="minorEastAsia" w:cstheme="minorEastAsia"/>
          <w:szCs w:val="96"/>
        </w:rPr>
        <w:fldChar w:fldCharType="separate"/>
      </w:r>
      <w:r>
        <w:rPr>
          <w:rFonts w:hint="eastAsia" w:ascii="宋体" w:hAnsi="宋体" w:cs="宋体"/>
        </w:rPr>
        <w:t>一、 总 则</w:t>
      </w:r>
      <w:r>
        <w:tab/>
      </w:r>
      <w:r>
        <w:fldChar w:fldCharType="begin"/>
      </w:r>
      <w:r>
        <w:instrText xml:space="preserve"> PAGEREF _Toc11336 \h </w:instrText>
      </w:r>
      <w:r>
        <w:fldChar w:fldCharType="separate"/>
      </w:r>
      <w:r>
        <w:t>11</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_Toc26363 </w:instrText>
      </w:r>
      <w:r>
        <w:rPr>
          <w:rFonts w:hint="eastAsia" w:asciiTheme="minorEastAsia" w:hAnsiTheme="minorEastAsia" w:eastAsiaTheme="minorEastAsia" w:cstheme="minorEastAsia"/>
          <w:szCs w:val="96"/>
        </w:rPr>
        <w:fldChar w:fldCharType="separate"/>
      </w:r>
      <w:r>
        <w:rPr>
          <w:rFonts w:hint="eastAsia" w:ascii="宋体" w:hAnsi="宋体" w:cs="宋体"/>
        </w:rPr>
        <w:t>二、 竞争性谈判文件</w:t>
      </w:r>
      <w:r>
        <w:tab/>
      </w:r>
      <w:r>
        <w:fldChar w:fldCharType="begin"/>
      </w:r>
      <w:r>
        <w:instrText xml:space="preserve"> PAGEREF _Toc26363 \h </w:instrText>
      </w:r>
      <w:r>
        <w:fldChar w:fldCharType="separate"/>
      </w:r>
      <w:r>
        <w:t>13</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_Toc3177 </w:instrText>
      </w:r>
      <w:r>
        <w:rPr>
          <w:rFonts w:hint="eastAsia" w:asciiTheme="minorEastAsia" w:hAnsiTheme="minorEastAsia" w:eastAsiaTheme="minorEastAsia" w:cstheme="minorEastAsia"/>
          <w:szCs w:val="96"/>
        </w:rPr>
        <w:fldChar w:fldCharType="separate"/>
      </w:r>
      <w:r>
        <w:rPr>
          <w:rFonts w:hint="eastAsia" w:ascii="宋体" w:hAnsi="宋体" w:cs="宋体"/>
        </w:rPr>
        <w:t>三、 响应文件</w:t>
      </w:r>
      <w:r>
        <w:tab/>
      </w:r>
      <w:r>
        <w:fldChar w:fldCharType="begin"/>
      </w:r>
      <w:r>
        <w:instrText xml:space="preserve"> PAGEREF _Toc3177 \h </w:instrText>
      </w:r>
      <w:r>
        <w:fldChar w:fldCharType="separate"/>
      </w:r>
      <w:r>
        <w:t>15</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_Toc5818 </w:instrText>
      </w:r>
      <w:r>
        <w:rPr>
          <w:rFonts w:hint="eastAsia" w:asciiTheme="minorEastAsia" w:hAnsiTheme="minorEastAsia" w:eastAsiaTheme="minorEastAsia" w:cstheme="minorEastAsia"/>
          <w:szCs w:val="96"/>
        </w:rPr>
        <w:fldChar w:fldCharType="separate"/>
      </w:r>
      <w:r>
        <w:rPr>
          <w:rFonts w:hint="eastAsia" w:ascii="宋体" w:hAnsi="宋体" w:cs="宋体"/>
        </w:rPr>
        <w:t>四、 响应文件的递交</w:t>
      </w:r>
      <w:r>
        <w:tab/>
      </w:r>
      <w:r>
        <w:fldChar w:fldCharType="begin"/>
      </w:r>
      <w:r>
        <w:instrText xml:space="preserve"> PAGEREF _Toc5818 \h </w:instrText>
      </w:r>
      <w:r>
        <w:fldChar w:fldCharType="separate"/>
      </w:r>
      <w:r>
        <w:t>16</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_Toc26906 </w:instrText>
      </w:r>
      <w:r>
        <w:rPr>
          <w:rFonts w:hint="eastAsia" w:asciiTheme="minorEastAsia" w:hAnsiTheme="minorEastAsia" w:eastAsiaTheme="minorEastAsia" w:cstheme="minorEastAsia"/>
          <w:szCs w:val="96"/>
        </w:rPr>
        <w:fldChar w:fldCharType="separate"/>
      </w:r>
      <w:r>
        <w:rPr>
          <w:rFonts w:hint="eastAsia" w:ascii="宋体" w:hAnsi="宋体" w:cs="宋体"/>
        </w:rPr>
        <w:t>五、 谈判、评审、定标</w:t>
      </w:r>
      <w:r>
        <w:tab/>
      </w:r>
      <w:r>
        <w:fldChar w:fldCharType="begin"/>
      </w:r>
      <w:r>
        <w:instrText xml:space="preserve"> PAGEREF _Toc26906 \h </w:instrText>
      </w:r>
      <w:r>
        <w:fldChar w:fldCharType="separate"/>
      </w:r>
      <w:r>
        <w:t>16</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_Toc11567 </w:instrText>
      </w:r>
      <w:r>
        <w:rPr>
          <w:rFonts w:hint="eastAsia" w:asciiTheme="minorEastAsia" w:hAnsiTheme="minorEastAsia" w:eastAsiaTheme="minorEastAsia" w:cstheme="minorEastAsia"/>
          <w:szCs w:val="96"/>
        </w:rPr>
        <w:fldChar w:fldCharType="separate"/>
      </w:r>
      <w:r>
        <w:rPr>
          <w:rFonts w:hint="eastAsia" w:ascii="宋体" w:hAnsi="宋体" w:cs="宋体"/>
        </w:rPr>
        <w:t>六、 签订合同</w:t>
      </w:r>
      <w:r>
        <w:tab/>
      </w:r>
      <w:r>
        <w:fldChar w:fldCharType="begin"/>
      </w:r>
      <w:r>
        <w:instrText xml:space="preserve"> PAGEREF _Toc11567 \h </w:instrText>
      </w:r>
      <w:r>
        <w:fldChar w:fldCharType="separate"/>
      </w:r>
      <w:r>
        <w:t>19</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_Toc5187 </w:instrText>
      </w:r>
      <w:r>
        <w:rPr>
          <w:rFonts w:hint="eastAsia" w:asciiTheme="minorEastAsia" w:hAnsiTheme="minorEastAsia" w:eastAsiaTheme="minorEastAsia" w:cstheme="minorEastAsia"/>
          <w:szCs w:val="96"/>
        </w:rPr>
        <w:fldChar w:fldCharType="separate"/>
      </w:r>
      <w:r>
        <w:rPr>
          <w:rFonts w:hint="eastAsia" w:ascii="宋体" w:hAnsi="宋体" w:cs="宋体"/>
        </w:rPr>
        <w:t>七、 质疑和投诉</w:t>
      </w:r>
      <w:r>
        <w:tab/>
      </w:r>
      <w:r>
        <w:fldChar w:fldCharType="begin"/>
      </w:r>
      <w:r>
        <w:instrText xml:space="preserve"> PAGEREF _Toc5187 \h </w:instrText>
      </w:r>
      <w:r>
        <w:fldChar w:fldCharType="separate"/>
      </w:r>
      <w:r>
        <w:t>19</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_Toc22078 </w:instrText>
      </w:r>
      <w:r>
        <w:rPr>
          <w:rFonts w:hint="eastAsia" w:asciiTheme="minorEastAsia" w:hAnsiTheme="minorEastAsia" w:eastAsiaTheme="minorEastAsia" w:cstheme="minorEastAsia"/>
          <w:szCs w:val="96"/>
        </w:rPr>
        <w:fldChar w:fldCharType="separate"/>
      </w:r>
      <w:r>
        <w:rPr>
          <w:rFonts w:hint="eastAsia" w:ascii="宋体" w:hAnsi="宋体" w:cs="宋体"/>
        </w:rPr>
        <w:t>第四部分  评审标准</w:t>
      </w:r>
      <w:r>
        <w:tab/>
      </w:r>
      <w:r>
        <w:fldChar w:fldCharType="begin"/>
      </w:r>
      <w:r>
        <w:instrText xml:space="preserve"> PAGEREF _Toc22078 \h </w:instrText>
      </w:r>
      <w:r>
        <w:fldChar w:fldCharType="separate"/>
      </w:r>
      <w:r>
        <w:t>22</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_Toc14100 </w:instrText>
      </w:r>
      <w:r>
        <w:rPr>
          <w:rFonts w:hint="eastAsia" w:asciiTheme="minorEastAsia" w:hAnsiTheme="minorEastAsia" w:eastAsiaTheme="minorEastAsia" w:cstheme="minorEastAsia"/>
          <w:szCs w:val="96"/>
        </w:rPr>
        <w:fldChar w:fldCharType="separate"/>
      </w:r>
      <w:r>
        <w:rPr>
          <w:rFonts w:hint="eastAsia" w:ascii="宋体" w:hAnsi="宋体" w:cs="宋体"/>
        </w:rPr>
        <w:t>第五部分  采购要求</w:t>
      </w:r>
      <w:r>
        <w:tab/>
      </w:r>
      <w:r>
        <w:fldChar w:fldCharType="begin"/>
      </w:r>
      <w:r>
        <w:instrText xml:space="preserve"> PAGEREF _Toc14100 \h </w:instrText>
      </w:r>
      <w:r>
        <w:fldChar w:fldCharType="separate"/>
      </w:r>
      <w:r>
        <w:t>23</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_Toc15088 </w:instrText>
      </w:r>
      <w:r>
        <w:rPr>
          <w:rFonts w:hint="eastAsia" w:asciiTheme="minorEastAsia" w:hAnsiTheme="minorEastAsia" w:eastAsiaTheme="minorEastAsia" w:cstheme="minorEastAsia"/>
          <w:szCs w:val="96"/>
        </w:rPr>
        <w:fldChar w:fldCharType="separate"/>
      </w:r>
      <w:r>
        <w:rPr>
          <w:rFonts w:hint="eastAsia" w:ascii="宋体" w:hAnsi="宋体" w:cs="宋体"/>
          <w:szCs w:val="36"/>
          <w:lang w:eastAsia="zh-CN"/>
        </w:rPr>
        <w:t>第六部分</w:t>
      </w:r>
      <w:r>
        <w:rPr>
          <w:rFonts w:hint="eastAsia" w:ascii="宋体" w:hAnsi="宋体" w:cs="宋体"/>
          <w:szCs w:val="36"/>
          <w:lang w:val="en-US" w:eastAsia="zh-CN"/>
        </w:rPr>
        <w:t xml:space="preserve"> </w:t>
      </w:r>
      <w:r>
        <w:rPr>
          <w:rFonts w:hint="eastAsia" w:ascii="宋体" w:hAnsi="宋体" w:cs="宋体"/>
          <w:szCs w:val="36"/>
        </w:rPr>
        <w:t>合同条款</w:t>
      </w:r>
      <w:r>
        <w:tab/>
      </w:r>
      <w:r>
        <w:fldChar w:fldCharType="begin"/>
      </w:r>
      <w:r>
        <w:instrText xml:space="preserve"> PAGEREF _Toc15088 \h </w:instrText>
      </w:r>
      <w:r>
        <w:fldChar w:fldCharType="separate"/>
      </w:r>
      <w:r>
        <w:t>38</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_Toc11321 </w:instrText>
      </w:r>
      <w:r>
        <w:rPr>
          <w:rFonts w:hint="eastAsia" w:asciiTheme="minorEastAsia" w:hAnsiTheme="minorEastAsia" w:eastAsiaTheme="minorEastAsia" w:cstheme="minorEastAsia"/>
          <w:szCs w:val="96"/>
        </w:rPr>
        <w:fldChar w:fldCharType="separate"/>
      </w:r>
      <w:r>
        <w:rPr>
          <w:rFonts w:hint="eastAsia" w:ascii="宋体" w:hAnsi="宋体" w:cs="宋体"/>
        </w:rPr>
        <w:t>第七部分  响应文件格式</w:t>
      </w:r>
      <w:r>
        <w:tab/>
      </w:r>
      <w:r>
        <w:fldChar w:fldCharType="begin"/>
      </w:r>
      <w:r>
        <w:instrText xml:space="preserve"> PAGEREF _Toc11321 \h </w:instrText>
      </w:r>
      <w:r>
        <w:fldChar w:fldCharType="separate"/>
      </w:r>
      <w:r>
        <w:t>42</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_Toc20977 </w:instrText>
      </w:r>
      <w:r>
        <w:rPr>
          <w:rFonts w:hint="eastAsia" w:asciiTheme="minorEastAsia" w:hAnsiTheme="minorEastAsia" w:eastAsiaTheme="minorEastAsia" w:cstheme="minorEastAsia"/>
          <w:szCs w:val="96"/>
        </w:rPr>
        <w:fldChar w:fldCharType="separate"/>
      </w:r>
      <w:r>
        <w:rPr>
          <w:rFonts w:hint="eastAsia" w:ascii="宋体" w:hAnsi="宋体" w:cs="宋体"/>
        </w:rPr>
        <w:t>第一部分响应函</w:t>
      </w:r>
      <w:r>
        <w:tab/>
      </w:r>
      <w:r>
        <w:fldChar w:fldCharType="begin"/>
      </w:r>
      <w:r>
        <w:instrText xml:space="preserve"> PAGEREF _Toc20977 \h </w:instrText>
      </w:r>
      <w:r>
        <w:fldChar w:fldCharType="separate"/>
      </w:r>
      <w:r>
        <w:t>44</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_Toc25467 </w:instrText>
      </w:r>
      <w:r>
        <w:rPr>
          <w:rFonts w:hint="eastAsia" w:asciiTheme="minorEastAsia" w:hAnsiTheme="minorEastAsia" w:eastAsiaTheme="minorEastAsia" w:cstheme="minorEastAsia"/>
          <w:szCs w:val="96"/>
        </w:rPr>
        <w:fldChar w:fldCharType="separate"/>
      </w:r>
      <w:r>
        <w:rPr>
          <w:rFonts w:hint="eastAsia" w:ascii="宋体" w:hAnsi="宋体" w:cs="宋体"/>
        </w:rPr>
        <w:t>第二部分响应一览表</w:t>
      </w:r>
      <w:r>
        <w:tab/>
      </w:r>
      <w:r>
        <w:fldChar w:fldCharType="begin"/>
      </w:r>
      <w:r>
        <w:instrText xml:space="preserve"> PAGEREF _Toc25467 \h </w:instrText>
      </w:r>
      <w:r>
        <w:fldChar w:fldCharType="separate"/>
      </w:r>
      <w:r>
        <w:t>45</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_Toc6268 </w:instrText>
      </w:r>
      <w:r>
        <w:rPr>
          <w:rFonts w:hint="eastAsia" w:asciiTheme="minorEastAsia" w:hAnsiTheme="minorEastAsia" w:eastAsiaTheme="minorEastAsia" w:cstheme="minorEastAsia"/>
          <w:szCs w:val="96"/>
        </w:rPr>
        <w:fldChar w:fldCharType="separate"/>
      </w:r>
      <w:r>
        <w:rPr>
          <w:rFonts w:hint="eastAsia"/>
          <w:szCs w:val="36"/>
        </w:rPr>
        <w:t>分项报价表</w:t>
      </w:r>
      <w:r>
        <w:tab/>
      </w:r>
      <w:r>
        <w:fldChar w:fldCharType="begin"/>
      </w:r>
      <w:r>
        <w:instrText xml:space="preserve"> PAGEREF _Toc6268 \h </w:instrText>
      </w:r>
      <w:r>
        <w:fldChar w:fldCharType="separate"/>
      </w:r>
      <w:r>
        <w:t>46</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_Toc10126 </w:instrText>
      </w:r>
      <w:r>
        <w:rPr>
          <w:rFonts w:hint="eastAsia" w:asciiTheme="minorEastAsia" w:hAnsiTheme="minorEastAsia" w:eastAsiaTheme="minorEastAsia" w:cstheme="minorEastAsia"/>
          <w:szCs w:val="96"/>
        </w:rPr>
        <w:fldChar w:fldCharType="separate"/>
      </w:r>
      <w:r>
        <w:rPr>
          <w:rFonts w:hint="eastAsia" w:ascii="宋体" w:hAnsi="宋体" w:cs="宋体"/>
        </w:rPr>
        <w:t>第三部分 商务及技术响应说明</w:t>
      </w:r>
      <w:r>
        <w:tab/>
      </w:r>
      <w:r>
        <w:fldChar w:fldCharType="begin"/>
      </w:r>
      <w:r>
        <w:instrText xml:space="preserve"> PAGEREF _Toc10126 \h </w:instrText>
      </w:r>
      <w:r>
        <w:fldChar w:fldCharType="separate"/>
      </w:r>
      <w:r>
        <w:t>47</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_Toc28488 </w:instrText>
      </w:r>
      <w:r>
        <w:rPr>
          <w:rFonts w:hint="eastAsia" w:asciiTheme="minorEastAsia" w:hAnsiTheme="minorEastAsia" w:eastAsiaTheme="minorEastAsia" w:cstheme="minorEastAsia"/>
          <w:szCs w:val="96"/>
        </w:rPr>
        <w:fldChar w:fldCharType="separate"/>
      </w:r>
      <w:r>
        <w:rPr>
          <w:rFonts w:hint="eastAsia" w:ascii="宋体" w:hAnsi="宋体" w:cs="宋体"/>
        </w:rPr>
        <w:t>第四部分 供应商资格要求</w:t>
      </w:r>
      <w:r>
        <w:tab/>
      </w:r>
      <w:r>
        <w:fldChar w:fldCharType="begin"/>
      </w:r>
      <w:r>
        <w:instrText xml:space="preserve"> PAGEREF _Toc28488 \h </w:instrText>
      </w:r>
      <w:r>
        <w:fldChar w:fldCharType="separate"/>
      </w:r>
      <w:r>
        <w:t>49</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_Toc31680 </w:instrText>
      </w:r>
      <w:r>
        <w:rPr>
          <w:rFonts w:hint="eastAsia" w:asciiTheme="minorEastAsia" w:hAnsiTheme="minorEastAsia" w:eastAsiaTheme="minorEastAsia" w:cstheme="minorEastAsia"/>
          <w:szCs w:val="96"/>
        </w:rPr>
        <w:fldChar w:fldCharType="separate"/>
      </w:r>
      <w:r>
        <w:rPr>
          <w:rFonts w:hint="eastAsia" w:ascii="宋体" w:hAnsi="宋体" w:cs="宋体"/>
          <w:szCs w:val="36"/>
        </w:rPr>
        <w:t>第五部分 技术与服务方案</w:t>
      </w:r>
      <w:r>
        <w:tab/>
      </w:r>
      <w:r>
        <w:fldChar w:fldCharType="begin"/>
      </w:r>
      <w:r>
        <w:instrText xml:space="preserve"> PAGEREF _Toc31680 \h </w:instrText>
      </w:r>
      <w:r>
        <w:fldChar w:fldCharType="separate"/>
      </w:r>
      <w:r>
        <w:t>58</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_Toc9235 </w:instrText>
      </w:r>
      <w:r>
        <w:rPr>
          <w:rFonts w:hint="eastAsia" w:asciiTheme="minorEastAsia" w:hAnsiTheme="minorEastAsia" w:eastAsiaTheme="minorEastAsia" w:cstheme="minorEastAsia"/>
          <w:szCs w:val="96"/>
        </w:rPr>
        <w:fldChar w:fldCharType="separate"/>
      </w:r>
      <w:r>
        <w:rPr>
          <w:rFonts w:hint="eastAsia" w:ascii="宋体" w:hAnsi="宋体" w:cs="宋体"/>
          <w:szCs w:val="36"/>
        </w:rPr>
        <w:t>第六部分 服务承诺</w:t>
      </w:r>
      <w:r>
        <w:tab/>
      </w:r>
      <w:r>
        <w:fldChar w:fldCharType="begin"/>
      </w:r>
      <w:r>
        <w:instrText xml:space="preserve"> PAGEREF _Toc9235 \h </w:instrText>
      </w:r>
      <w:r>
        <w:fldChar w:fldCharType="separate"/>
      </w:r>
      <w:r>
        <w:t>59</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_Toc6099 </w:instrText>
      </w:r>
      <w:r>
        <w:rPr>
          <w:rFonts w:hint="eastAsia" w:asciiTheme="minorEastAsia" w:hAnsiTheme="minorEastAsia" w:eastAsiaTheme="minorEastAsia" w:cstheme="minorEastAsia"/>
          <w:szCs w:val="96"/>
        </w:rPr>
        <w:fldChar w:fldCharType="separate"/>
      </w:r>
      <w:r>
        <w:rPr>
          <w:rFonts w:hint="eastAsia" w:ascii="宋体" w:hAnsi="宋体" w:eastAsia="宋体" w:cs="宋体"/>
        </w:rPr>
        <w:t>第七部分 供应商认为有必要说明的其他问题</w:t>
      </w:r>
      <w:r>
        <w:tab/>
      </w:r>
      <w:r>
        <w:fldChar w:fldCharType="begin"/>
      </w:r>
      <w:r>
        <w:instrText xml:space="preserve"> PAGEREF _Toc6099 \h </w:instrText>
      </w:r>
      <w:r>
        <w:fldChar w:fldCharType="separate"/>
      </w:r>
      <w:r>
        <w:t>61</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_Toc13463 </w:instrText>
      </w:r>
      <w:r>
        <w:rPr>
          <w:rFonts w:hint="eastAsia" w:asciiTheme="minorEastAsia" w:hAnsiTheme="minorEastAsia" w:eastAsiaTheme="minorEastAsia" w:cstheme="minorEastAsia"/>
          <w:szCs w:val="96"/>
        </w:rPr>
        <w:fldChar w:fldCharType="separate"/>
      </w:r>
      <w:r>
        <w:rPr>
          <w:rFonts w:hint="eastAsia" w:ascii="宋体" w:hAnsi="宋体" w:cs="宋体"/>
        </w:rPr>
        <w:t>附件一、封袋正面标识式样</w:t>
      </w:r>
      <w:r>
        <w:tab/>
      </w:r>
      <w:r>
        <w:fldChar w:fldCharType="begin"/>
      </w:r>
      <w:r>
        <w:instrText xml:space="preserve"> PAGEREF _Toc13463 \h </w:instrText>
      </w:r>
      <w:r>
        <w:fldChar w:fldCharType="separate"/>
      </w:r>
      <w:r>
        <w:t>62</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_Toc31667 </w:instrText>
      </w:r>
      <w:r>
        <w:rPr>
          <w:rFonts w:hint="eastAsia" w:asciiTheme="minorEastAsia" w:hAnsiTheme="minorEastAsia" w:eastAsiaTheme="minorEastAsia" w:cstheme="minorEastAsia"/>
          <w:szCs w:val="96"/>
        </w:rPr>
        <w:fldChar w:fldCharType="separate"/>
      </w:r>
      <w:r>
        <w:rPr>
          <w:rFonts w:hint="eastAsia" w:ascii="宋体" w:hAnsi="宋体" w:cs="宋体"/>
        </w:rPr>
        <w:t>附件二、中小企业</w:t>
      </w:r>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r>
        <w:tab/>
      </w:r>
      <w:r>
        <w:fldChar w:fldCharType="begin"/>
      </w:r>
      <w:r>
        <w:instrText xml:space="preserve"> PAGEREF _Toc31667 \h </w:instrText>
      </w:r>
      <w:r>
        <w:fldChar w:fldCharType="separate"/>
      </w:r>
      <w:r>
        <w:t>64</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_Toc32214 </w:instrText>
      </w:r>
      <w:r>
        <w:rPr>
          <w:rFonts w:hint="eastAsia" w:asciiTheme="minorEastAsia" w:hAnsiTheme="minorEastAsia" w:eastAsiaTheme="minorEastAsia" w:cstheme="minorEastAsia"/>
          <w:szCs w:val="96"/>
        </w:rPr>
        <w:fldChar w:fldCharType="separate"/>
      </w:r>
      <w:r>
        <w:rPr>
          <w:rFonts w:hint="eastAsia" w:ascii="宋体" w:hAnsi="宋体" w:cs="宋体"/>
        </w:rPr>
        <w:t>附件三、残疾人福利性单位声明</w:t>
      </w:r>
      <w:r>
        <w:tab/>
      </w:r>
      <w:r>
        <w:fldChar w:fldCharType="begin"/>
      </w:r>
      <w:r>
        <w:instrText xml:space="preserve"> PAGEREF _Toc32214 \h </w:instrText>
      </w:r>
      <w:r>
        <w:fldChar w:fldCharType="separate"/>
      </w:r>
      <w:r>
        <w:t>68</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_Toc8694 </w:instrText>
      </w:r>
      <w:r>
        <w:rPr>
          <w:rFonts w:hint="eastAsia" w:asciiTheme="minorEastAsia" w:hAnsiTheme="minorEastAsia" w:eastAsiaTheme="minorEastAsia" w:cstheme="minorEastAsia"/>
          <w:szCs w:val="96"/>
        </w:rPr>
        <w:fldChar w:fldCharType="separate"/>
      </w:r>
      <w:r>
        <w:rPr>
          <w:rFonts w:hint="eastAsia" w:ascii="宋体" w:hAnsi="宋体" w:cs="宋体"/>
        </w:rPr>
        <w:t>附件四、监狱企业证明文件</w:t>
      </w:r>
      <w:r>
        <w:tab/>
      </w:r>
      <w:r>
        <w:fldChar w:fldCharType="begin"/>
      </w:r>
      <w:r>
        <w:instrText xml:space="preserve"> PAGEREF _Toc8694 \h </w:instrText>
      </w:r>
      <w:r>
        <w:fldChar w:fldCharType="separate"/>
      </w:r>
      <w:r>
        <w:t>68</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_Toc25385 </w:instrText>
      </w:r>
      <w:r>
        <w:rPr>
          <w:rFonts w:hint="eastAsia" w:asciiTheme="minorEastAsia" w:hAnsiTheme="minorEastAsia" w:eastAsiaTheme="minorEastAsia" w:cstheme="minorEastAsia"/>
          <w:szCs w:val="96"/>
        </w:rPr>
        <w:fldChar w:fldCharType="separate"/>
      </w:r>
      <w:r>
        <w:rPr>
          <w:rFonts w:hint="eastAsia" w:ascii="宋体" w:hAnsi="宋体" w:cs="宋体"/>
        </w:rPr>
        <w:t>附件五、“节能产品”，“环境标志产品”证明材料</w:t>
      </w:r>
      <w:r>
        <w:tab/>
      </w:r>
      <w:r>
        <w:fldChar w:fldCharType="begin"/>
      </w:r>
      <w:r>
        <w:instrText xml:space="preserve"> PAGEREF _Toc25385 \h </w:instrText>
      </w:r>
      <w:r>
        <w:fldChar w:fldCharType="separate"/>
      </w:r>
      <w:r>
        <w:t>68</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_Toc20295 </w:instrText>
      </w:r>
      <w:r>
        <w:rPr>
          <w:rFonts w:hint="eastAsia" w:asciiTheme="minorEastAsia" w:hAnsiTheme="minorEastAsia" w:eastAsiaTheme="minorEastAsia" w:cstheme="minorEastAsia"/>
          <w:szCs w:val="96"/>
        </w:rPr>
        <w:fldChar w:fldCharType="separate"/>
      </w:r>
      <w:r>
        <w:rPr>
          <w:rFonts w:hint="eastAsia" w:ascii="宋体" w:hAnsi="宋体" w:cs="宋体"/>
        </w:rPr>
        <w:t>附件六、质疑函范本</w:t>
      </w:r>
      <w:r>
        <w:tab/>
      </w:r>
      <w:r>
        <w:fldChar w:fldCharType="begin"/>
      </w:r>
      <w:r>
        <w:instrText xml:space="preserve"> PAGEREF _Toc20295 \h </w:instrText>
      </w:r>
      <w:r>
        <w:fldChar w:fldCharType="separate"/>
      </w:r>
      <w:r>
        <w:t>69</w:t>
      </w:r>
      <w:r>
        <w:fldChar w:fldCharType="end"/>
      </w:r>
      <w:r>
        <w:rPr>
          <w:rFonts w:hint="eastAsia" w:asciiTheme="minorEastAsia" w:hAnsiTheme="minorEastAsia" w:eastAsiaTheme="minorEastAsia" w:cstheme="minorEastAsia"/>
          <w:szCs w:val="96"/>
        </w:rPr>
        <w:fldChar w:fldCharType="end"/>
      </w:r>
    </w:p>
    <w:p>
      <w:pPr>
        <w:pStyle w:val="3"/>
        <w:spacing w:line="312" w:lineRule="auto"/>
        <w:ind w:firstLine="643" w:firstLineChars="200"/>
        <w:rPr>
          <w:rFonts w:asciiTheme="minorEastAsia" w:hAnsiTheme="minorEastAsia" w:eastAsiaTheme="minorEastAsia" w:cstheme="minorEastAsia"/>
          <w:sz w:val="24"/>
          <w:szCs w:val="24"/>
        </w:rPr>
        <w:sectPr>
          <w:headerReference r:id="rId6" w:type="default"/>
          <w:footerReference r:id="rId7" w:type="default"/>
          <w:pgSz w:w="11906" w:h="16838"/>
          <w:pgMar w:top="1440" w:right="1080" w:bottom="1440" w:left="1080" w:header="851" w:footer="992" w:gutter="0"/>
          <w:pgNumType w:fmt="decimal"/>
          <w:cols w:space="720" w:num="1"/>
          <w:docGrid w:type="lines" w:linePitch="312" w:charSpace="0"/>
        </w:sectPr>
      </w:pPr>
      <w:r>
        <w:rPr>
          <w:rFonts w:hint="eastAsia" w:asciiTheme="minorEastAsia" w:hAnsiTheme="minorEastAsia" w:eastAsiaTheme="minorEastAsia" w:cstheme="minorEastAsia"/>
          <w:szCs w:val="96"/>
        </w:rPr>
        <w:fldChar w:fldCharType="end"/>
      </w:r>
      <w:bookmarkStart w:id="136" w:name="_GoBack"/>
      <w:bookmarkEnd w:id="136"/>
    </w:p>
    <w:p>
      <w:pPr>
        <w:pStyle w:val="3"/>
        <w:rPr>
          <w:rFonts w:ascii="宋体" w:cs="宋体"/>
        </w:rPr>
      </w:pPr>
      <w:bookmarkStart w:id="1" w:name="_Toc10769"/>
      <w:bookmarkStart w:id="2" w:name="_Toc438048787"/>
      <w:bookmarkStart w:id="3" w:name="_Toc30089"/>
      <w:r>
        <w:rPr>
          <w:rFonts w:hint="eastAsia" w:ascii="宋体" w:hAnsi="宋体" w:cs="宋体"/>
          <w:sz w:val="36"/>
          <w:szCs w:val="36"/>
        </w:rPr>
        <w:t>第一部分  竞争性谈判公告</w:t>
      </w:r>
      <w:bookmarkEnd w:id="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项目概况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图书馆智慧系统及监控系统采购项目</w:t>
      </w:r>
      <w:r>
        <w:rPr>
          <w:rFonts w:hint="eastAsia" w:ascii="宋体" w:hAnsi="宋体" w:eastAsia="宋体" w:cs="宋体"/>
          <w:color w:val="auto"/>
          <w:sz w:val="24"/>
          <w:szCs w:val="28"/>
        </w:rPr>
        <w:t>采购项目的潜在供应商应在西安市雁塔区科技路10号华奥大厦A座20层2002室获取采购文件，并于2022年</w:t>
      </w:r>
      <w:r>
        <w:rPr>
          <w:rFonts w:hint="eastAsia" w:ascii="宋体" w:hAnsi="宋体" w:eastAsia="宋体" w:cs="宋体"/>
          <w:color w:val="auto"/>
          <w:sz w:val="24"/>
          <w:szCs w:val="28"/>
          <w:u w:val="single"/>
          <w:lang w:val="en-US" w:eastAsia="zh-CN"/>
        </w:rPr>
        <w:t xml:space="preserve">08 </w:t>
      </w:r>
      <w:r>
        <w:rPr>
          <w:rFonts w:hint="eastAsia" w:ascii="宋体" w:hAnsi="宋体" w:eastAsia="宋体" w:cs="宋体"/>
          <w:color w:val="auto"/>
          <w:sz w:val="24"/>
          <w:szCs w:val="28"/>
        </w:rPr>
        <w:t>月</w:t>
      </w:r>
      <w:r>
        <w:rPr>
          <w:rFonts w:hint="eastAsia" w:ascii="宋体" w:hAnsi="宋体" w:eastAsia="宋体" w:cs="宋体"/>
          <w:color w:val="auto"/>
          <w:sz w:val="24"/>
          <w:szCs w:val="28"/>
          <w:u w:val="single"/>
          <w:lang w:val="en-US" w:eastAsia="zh-CN"/>
        </w:rPr>
        <w:t xml:space="preserve"> 09 </w:t>
      </w:r>
      <w:r>
        <w:rPr>
          <w:rFonts w:hint="eastAsia" w:ascii="宋体" w:hAnsi="宋体" w:eastAsia="宋体" w:cs="宋体"/>
          <w:color w:val="auto"/>
          <w:sz w:val="24"/>
          <w:szCs w:val="28"/>
        </w:rPr>
        <w:t xml:space="preserve">日 </w:t>
      </w:r>
      <w:r>
        <w:rPr>
          <w:rFonts w:hint="eastAsia" w:ascii="宋体" w:hAnsi="宋体" w:eastAsia="宋体" w:cs="宋体"/>
          <w:color w:val="auto"/>
          <w:sz w:val="24"/>
          <w:szCs w:val="28"/>
          <w:lang w:val="en-US" w:eastAsia="zh-CN"/>
        </w:rPr>
        <w:t>14</w:t>
      </w:r>
      <w:r>
        <w:rPr>
          <w:rFonts w:hint="eastAsia" w:ascii="宋体" w:hAnsi="宋体" w:eastAsia="宋体" w:cs="宋体"/>
          <w:color w:val="auto"/>
          <w:sz w:val="24"/>
          <w:szCs w:val="28"/>
        </w:rPr>
        <w:t>时30分（北京时间）前提交响应文件。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一、项目基本情况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rPr>
        <w:t>项目编号：</w:t>
      </w:r>
      <w:r>
        <w:rPr>
          <w:rFonts w:hint="eastAsia" w:ascii="宋体" w:hAnsi="宋体" w:eastAsia="宋体" w:cs="宋体"/>
          <w:color w:val="auto"/>
          <w:sz w:val="24"/>
          <w:szCs w:val="28"/>
          <w:lang w:eastAsia="zh-CN"/>
        </w:rPr>
        <w:t>ZMZB2022BLLZ-137</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rPr>
        <w:t>项目名称：</w:t>
      </w:r>
      <w:r>
        <w:rPr>
          <w:rFonts w:hint="eastAsia" w:ascii="宋体" w:hAnsi="宋体" w:eastAsia="宋体" w:cs="宋体"/>
          <w:color w:val="auto"/>
          <w:sz w:val="24"/>
          <w:szCs w:val="28"/>
          <w:lang w:eastAsia="zh-CN"/>
        </w:rPr>
        <w:t>图书馆智慧系统及监控系统采购项目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采购方式：竞争性谈判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预算金额：796</w:t>
      </w:r>
      <w:r>
        <w:rPr>
          <w:rFonts w:hint="eastAsia" w:ascii="宋体" w:hAnsi="宋体" w:eastAsia="宋体" w:cs="宋体"/>
          <w:color w:val="auto"/>
          <w:sz w:val="24"/>
          <w:szCs w:val="28"/>
          <w:lang w:val="en-US" w:eastAsia="zh-CN"/>
        </w:rPr>
        <w:t>3</w:t>
      </w:r>
      <w:r>
        <w:rPr>
          <w:rFonts w:hint="eastAsia" w:ascii="宋体" w:hAnsi="宋体" w:eastAsia="宋体" w:cs="宋体"/>
          <w:color w:val="auto"/>
          <w:sz w:val="24"/>
          <w:szCs w:val="28"/>
        </w:rPr>
        <w:t>00.00元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合同包1(</w:t>
      </w:r>
      <w:r>
        <w:rPr>
          <w:rFonts w:hint="eastAsia" w:ascii="宋体" w:hAnsi="宋体" w:eastAsia="宋体" w:cs="宋体"/>
          <w:color w:val="auto"/>
          <w:sz w:val="24"/>
          <w:szCs w:val="28"/>
          <w:lang w:eastAsia="zh-CN"/>
        </w:rPr>
        <w:t>图书馆智慧系统及监控系统采购项目</w:t>
      </w:r>
      <w:r>
        <w:rPr>
          <w:rFonts w:hint="eastAsia" w:ascii="宋体" w:hAnsi="宋体" w:eastAsia="宋体" w:cs="宋体"/>
          <w:color w:val="auto"/>
          <w:sz w:val="24"/>
          <w:szCs w:val="28"/>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合同包预算金额：796</w:t>
      </w:r>
      <w:r>
        <w:rPr>
          <w:rFonts w:hint="eastAsia" w:ascii="宋体" w:hAnsi="宋体" w:eastAsia="宋体" w:cs="宋体"/>
          <w:color w:val="auto"/>
          <w:sz w:val="24"/>
          <w:szCs w:val="28"/>
          <w:lang w:val="en-US" w:eastAsia="zh-CN"/>
        </w:rPr>
        <w:t>3</w:t>
      </w:r>
      <w:r>
        <w:rPr>
          <w:rFonts w:hint="eastAsia" w:ascii="宋体" w:hAnsi="宋体" w:eastAsia="宋体" w:cs="宋体"/>
          <w:color w:val="auto"/>
          <w:sz w:val="24"/>
          <w:szCs w:val="28"/>
        </w:rPr>
        <w:t>00.00元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合同包最高限价：796</w:t>
      </w:r>
      <w:r>
        <w:rPr>
          <w:rFonts w:hint="eastAsia" w:ascii="宋体" w:hAnsi="宋体" w:eastAsia="宋体" w:cs="宋体"/>
          <w:color w:val="auto"/>
          <w:sz w:val="24"/>
          <w:szCs w:val="28"/>
          <w:lang w:val="en-US" w:eastAsia="zh-CN"/>
        </w:rPr>
        <w:t>3</w:t>
      </w:r>
      <w:r>
        <w:rPr>
          <w:rFonts w:hint="eastAsia" w:ascii="宋体" w:hAnsi="宋体" w:eastAsia="宋体" w:cs="宋体"/>
          <w:color w:val="auto"/>
          <w:sz w:val="24"/>
          <w:szCs w:val="28"/>
        </w:rPr>
        <w:t>00.00元</w:t>
      </w:r>
    </w:p>
    <w:tbl>
      <w:tblPr>
        <w:tblStyle w:val="22"/>
        <w:tblW w:w="9744"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3"/>
        <w:gridCol w:w="1642"/>
        <w:gridCol w:w="1840"/>
        <w:gridCol w:w="1349"/>
        <w:gridCol w:w="1060"/>
        <w:gridCol w:w="162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53" w:hRule="atLeast"/>
          <w:tblHeader/>
        </w:trPr>
        <w:tc>
          <w:tcPr>
            <w:tcW w:w="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品目号</w:t>
            </w:r>
          </w:p>
        </w:tc>
        <w:tc>
          <w:tcPr>
            <w:tcW w:w="16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品目名称</w:t>
            </w:r>
          </w:p>
        </w:tc>
        <w:tc>
          <w:tcPr>
            <w:tcW w:w="1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采购标的</w:t>
            </w:r>
          </w:p>
        </w:tc>
        <w:tc>
          <w:tcPr>
            <w:tcW w:w="13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数量</w:t>
            </w:r>
          </w:p>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（单位）</w:t>
            </w:r>
          </w:p>
        </w:tc>
        <w:tc>
          <w:tcPr>
            <w:tcW w:w="1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技术规格、参数及要求</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品目预算(元)</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8" w:hRule="atLeast"/>
        </w:trPr>
        <w:tc>
          <w:tcPr>
            <w:tcW w:w="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1-1</w:t>
            </w:r>
          </w:p>
        </w:tc>
        <w:tc>
          <w:tcPr>
            <w:tcW w:w="16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图书档案设备的零附件</w:t>
            </w:r>
          </w:p>
        </w:tc>
        <w:tc>
          <w:tcPr>
            <w:tcW w:w="1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796300</w:t>
            </w:r>
          </w:p>
        </w:tc>
        <w:tc>
          <w:tcPr>
            <w:tcW w:w="13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1(项)</w:t>
            </w:r>
          </w:p>
        </w:tc>
        <w:tc>
          <w:tcPr>
            <w:tcW w:w="1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详见采购文件</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796</w:t>
            </w:r>
            <w:r>
              <w:rPr>
                <w:rFonts w:hint="eastAsia" w:ascii="宋体" w:hAnsi="宋体" w:eastAsia="宋体" w:cs="宋体"/>
                <w:color w:val="auto"/>
                <w:sz w:val="24"/>
                <w:szCs w:val="28"/>
                <w:lang w:val="en-US" w:eastAsia="zh-CN"/>
              </w:rPr>
              <w:t>3</w:t>
            </w:r>
            <w:r>
              <w:rPr>
                <w:rFonts w:hint="eastAsia" w:ascii="宋体" w:hAnsi="宋体" w:eastAsia="宋体" w:cs="宋体"/>
                <w:color w:val="auto"/>
                <w:sz w:val="24"/>
                <w:szCs w:val="28"/>
              </w:rPr>
              <w:t>00.00</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796</w:t>
            </w:r>
            <w:r>
              <w:rPr>
                <w:rFonts w:hint="eastAsia" w:ascii="宋体" w:hAnsi="宋体" w:eastAsia="宋体" w:cs="宋体"/>
                <w:color w:val="auto"/>
                <w:sz w:val="24"/>
                <w:szCs w:val="28"/>
                <w:lang w:val="en-US" w:eastAsia="zh-CN"/>
              </w:rPr>
              <w:t>3</w:t>
            </w:r>
            <w:r>
              <w:rPr>
                <w:rFonts w:hint="eastAsia" w:ascii="宋体" w:hAnsi="宋体" w:eastAsia="宋体" w:cs="宋体"/>
                <w:color w:val="auto"/>
                <w:sz w:val="24"/>
                <w:szCs w:val="28"/>
              </w:rPr>
              <w:t>00.00</w:t>
            </w:r>
          </w:p>
        </w:tc>
      </w:tr>
    </w:tbl>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本合同包不接受联合体投标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 xml:space="preserve">合同履行期限：自合同签订后到该项目质保期结束（具体服务起止日期可随合同签订时间相应顺延）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二、申请人的资格要求：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1.满足《中华人民共和国政府采购法》第二十二条规定;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2.落实政府采购政策需满足的资格要求：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合同包1</w:t>
      </w:r>
      <w:r>
        <w:rPr>
          <w:rFonts w:hint="eastAsia" w:ascii="宋体" w:hAnsi="宋体" w:eastAsia="宋体" w:cs="宋体"/>
          <w:color w:val="auto"/>
          <w:sz w:val="24"/>
          <w:szCs w:val="28"/>
          <w:lang w:eastAsia="zh-CN"/>
        </w:rPr>
        <w:t>（图书馆智慧系统及监控系统采购项目）</w:t>
      </w:r>
      <w:r>
        <w:rPr>
          <w:rFonts w:hint="eastAsia" w:ascii="宋体" w:hAnsi="宋体" w:eastAsia="宋体" w:cs="宋体"/>
          <w:color w:val="auto"/>
          <w:sz w:val="24"/>
          <w:szCs w:val="28"/>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（1）《政府采购促进中小企业发展管理办法》（财库〔2020〕46号）； </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（8）陕西省财政厅关于印发《陕西省中小企业政府采购信用融资办法》（陕财办采〔2018〕23号）。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3.本项目的特定资格要求：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合同包1</w:t>
      </w:r>
      <w:r>
        <w:rPr>
          <w:rFonts w:hint="eastAsia" w:ascii="宋体" w:hAnsi="宋体" w:eastAsia="宋体" w:cs="宋体"/>
          <w:color w:val="auto"/>
          <w:sz w:val="24"/>
          <w:szCs w:val="28"/>
          <w:lang w:eastAsia="zh-CN"/>
        </w:rPr>
        <w:t>（图书馆智慧系统及监控系统采购项目）</w:t>
      </w:r>
      <w:r>
        <w:rPr>
          <w:rFonts w:hint="eastAsia" w:ascii="宋体" w:hAnsi="宋体" w:eastAsia="宋体" w:cs="宋体"/>
          <w:color w:val="auto"/>
          <w:sz w:val="24"/>
          <w:szCs w:val="28"/>
        </w:rPr>
        <w:t>特定资格要求如下: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rPr>
        <w:t>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rPr>
        <w:t>财务状况证明：供应商提供2020年</w:t>
      </w:r>
      <w:r>
        <w:rPr>
          <w:rFonts w:hint="eastAsia" w:ascii="宋体" w:hAnsi="宋体" w:eastAsia="宋体" w:cs="宋体"/>
          <w:color w:val="auto"/>
          <w:sz w:val="24"/>
          <w:szCs w:val="28"/>
          <w:lang w:val="en-US" w:eastAsia="zh-CN"/>
        </w:rPr>
        <w:t>度</w:t>
      </w:r>
      <w:r>
        <w:rPr>
          <w:rFonts w:hint="eastAsia" w:ascii="宋体" w:hAnsi="宋体" w:eastAsia="宋体" w:cs="宋体"/>
          <w:color w:val="auto"/>
          <w:sz w:val="24"/>
          <w:szCs w:val="28"/>
        </w:rPr>
        <w:t>或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rPr>
        <w:t>具有履行合同所必需的设备和专业技术能力的书面声明；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rPr>
        <w:t>税收缴纳证明：提供2021年9月以来至少一个月的纳税证明或完税证明，依法免税的单位应提供相关证明材料；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rPr>
        <w:t>社会保障资金缴纳证明：提供2021年9月以来至少一个月的社会保障资金缴存单据或社保机构开具的社会保险参保缴费情况证明。依法不需要缴纳社会保障资金的供应商应提供相关文件证明；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6</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参加政府采购活动前 3 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非法定代表人参加投标的，须提供法定代表人委托授权书及被授权人身份证，法定代表人参加投标时,</w:t>
      </w:r>
      <w:r>
        <w:rPr>
          <w:rFonts w:hint="eastAsia" w:ascii="宋体" w:hAnsi="宋体" w:eastAsia="宋体" w:cs="宋体"/>
          <w:sz w:val="24"/>
          <w:szCs w:val="24"/>
          <w:highlight w:val="none"/>
          <w:lang w:eastAsia="zh-CN"/>
        </w:rPr>
        <w:t>只需</w:t>
      </w:r>
      <w:r>
        <w:rPr>
          <w:rFonts w:hint="eastAsia" w:ascii="宋体" w:hAnsi="宋体" w:eastAsia="宋体" w:cs="宋体"/>
          <w:sz w:val="24"/>
          <w:szCs w:val="24"/>
          <w:highlight w:val="none"/>
        </w:rPr>
        <w:t>提供法定代表人身份证；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8</w:t>
      </w:r>
      <w:r>
        <w:rPr>
          <w:rFonts w:hint="eastAsia" w:ascii="宋体" w:hAnsi="宋体" w:eastAsia="宋体" w:cs="宋体"/>
          <w:color w:val="auto"/>
          <w:sz w:val="24"/>
          <w:szCs w:val="28"/>
        </w:rPr>
        <w:t>）本项目不接受联合体响应。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三、获取采购文件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时间：2022年</w:t>
      </w:r>
      <w:r>
        <w:rPr>
          <w:rFonts w:hint="eastAsia" w:ascii="宋体" w:hAnsi="宋体" w:eastAsia="宋体" w:cs="宋体"/>
          <w:color w:val="auto"/>
          <w:sz w:val="24"/>
          <w:szCs w:val="28"/>
          <w:u w:val="single"/>
          <w:lang w:val="en-US" w:eastAsia="zh-CN"/>
        </w:rPr>
        <w:t xml:space="preserve"> 08 </w:t>
      </w:r>
      <w:r>
        <w:rPr>
          <w:rFonts w:hint="eastAsia" w:ascii="宋体" w:hAnsi="宋体" w:eastAsia="宋体" w:cs="宋体"/>
          <w:color w:val="auto"/>
          <w:sz w:val="24"/>
          <w:szCs w:val="28"/>
        </w:rPr>
        <w:t>月</w:t>
      </w:r>
      <w:r>
        <w:rPr>
          <w:rFonts w:hint="eastAsia" w:ascii="宋体" w:hAnsi="宋体" w:eastAsia="宋体" w:cs="宋体"/>
          <w:color w:val="auto"/>
          <w:sz w:val="24"/>
          <w:szCs w:val="28"/>
          <w:u w:val="single"/>
          <w:lang w:val="en-US" w:eastAsia="zh-CN"/>
        </w:rPr>
        <w:t xml:space="preserve"> 01 </w:t>
      </w:r>
      <w:r>
        <w:rPr>
          <w:rFonts w:hint="eastAsia" w:ascii="宋体" w:hAnsi="宋体" w:eastAsia="宋体" w:cs="宋体"/>
          <w:color w:val="auto"/>
          <w:sz w:val="24"/>
          <w:szCs w:val="28"/>
        </w:rPr>
        <w:t>日至2022年</w:t>
      </w:r>
      <w:r>
        <w:rPr>
          <w:rFonts w:hint="eastAsia" w:ascii="宋体" w:hAnsi="宋体" w:eastAsia="宋体" w:cs="宋体"/>
          <w:color w:val="auto"/>
          <w:sz w:val="24"/>
          <w:szCs w:val="28"/>
          <w:u w:val="single"/>
          <w:lang w:val="en-US" w:eastAsia="zh-CN"/>
        </w:rPr>
        <w:t xml:space="preserve"> 08 </w:t>
      </w:r>
      <w:r>
        <w:rPr>
          <w:rFonts w:hint="eastAsia" w:ascii="宋体" w:hAnsi="宋体" w:eastAsia="宋体" w:cs="宋体"/>
          <w:color w:val="auto"/>
          <w:sz w:val="24"/>
          <w:szCs w:val="28"/>
        </w:rPr>
        <w:t>月</w:t>
      </w:r>
      <w:r>
        <w:rPr>
          <w:rFonts w:hint="eastAsia" w:ascii="宋体" w:hAnsi="宋体" w:eastAsia="宋体" w:cs="宋体"/>
          <w:color w:val="auto"/>
          <w:sz w:val="24"/>
          <w:szCs w:val="28"/>
          <w:u w:val="single"/>
          <w:lang w:val="en-US" w:eastAsia="zh-CN"/>
        </w:rPr>
        <w:t xml:space="preserve"> 04 </w:t>
      </w:r>
      <w:r>
        <w:rPr>
          <w:rFonts w:hint="eastAsia" w:ascii="宋体" w:hAnsi="宋体" w:eastAsia="宋体" w:cs="宋体"/>
          <w:color w:val="auto"/>
          <w:sz w:val="24"/>
          <w:szCs w:val="28"/>
        </w:rPr>
        <w:t>日，每天上午09:00:00至12:00:00，下午13:30:00至17:00:00（北京时间,法定节假日除外）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地点：西安市雁塔区科技路10号华奥大厦A座20层2002室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方式：现场获取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售价：免费赠送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四、响应文件提交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截止时间：2022年</w:t>
      </w:r>
      <w:r>
        <w:rPr>
          <w:rFonts w:hint="eastAsia" w:ascii="宋体" w:hAnsi="宋体" w:eastAsia="宋体" w:cs="宋体"/>
          <w:color w:val="auto"/>
          <w:sz w:val="24"/>
          <w:szCs w:val="28"/>
          <w:u w:val="single"/>
          <w:lang w:val="en-US" w:eastAsia="zh-CN"/>
        </w:rPr>
        <w:t xml:space="preserve"> 08 </w:t>
      </w:r>
      <w:r>
        <w:rPr>
          <w:rFonts w:hint="eastAsia" w:ascii="宋体" w:hAnsi="宋体" w:eastAsia="宋体" w:cs="宋体"/>
          <w:color w:val="auto"/>
          <w:sz w:val="24"/>
          <w:szCs w:val="28"/>
        </w:rPr>
        <w:t>月</w:t>
      </w:r>
      <w:r>
        <w:rPr>
          <w:rFonts w:hint="eastAsia" w:ascii="宋体" w:hAnsi="宋体" w:eastAsia="宋体" w:cs="宋体"/>
          <w:color w:val="auto"/>
          <w:sz w:val="24"/>
          <w:szCs w:val="28"/>
          <w:u w:val="single"/>
          <w:lang w:val="en-US" w:eastAsia="zh-CN"/>
        </w:rPr>
        <w:t xml:space="preserve"> 09 </w:t>
      </w:r>
      <w:r>
        <w:rPr>
          <w:rFonts w:hint="eastAsia" w:ascii="宋体" w:hAnsi="宋体" w:eastAsia="宋体" w:cs="宋体"/>
          <w:color w:val="auto"/>
          <w:sz w:val="24"/>
          <w:szCs w:val="28"/>
        </w:rPr>
        <w:t>日</w:t>
      </w:r>
      <w:r>
        <w:rPr>
          <w:rFonts w:hint="eastAsia" w:ascii="宋体" w:hAnsi="宋体" w:eastAsia="宋体" w:cs="宋体"/>
          <w:color w:val="auto"/>
          <w:sz w:val="24"/>
          <w:szCs w:val="28"/>
          <w:lang w:val="en-US" w:eastAsia="zh-CN"/>
        </w:rPr>
        <w:t>14</w:t>
      </w:r>
      <w:r>
        <w:rPr>
          <w:rFonts w:hint="eastAsia" w:ascii="宋体" w:hAnsi="宋体" w:eastAsia="宋体" w:cs="宋体"/>
          <w:color w:val="auto"/>
          <w:sz w:val="24"/>
          <w:szCs w:val="28"/>
        </w:rPr>
        <w:t>时30分00秒 （北京时间）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地点：西安市雁塔区科技路10号华奥大厦A座20层2002室开标室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五、开启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时间：2022年</w:t>
      </w:r>
      <w:r>
        <w:rPr>
          <w:rFonts w:hint="eastAsia" w:ascii="宋体" w:hAnsi="宋体" w:eastAsia="宋体" w:cs="宋体"/>
          <w:color w:val="auto"/>
          <w:sz w:val="24"/>
          <w:szCs w:val="28"/>
          <w:u w:val="single"/>
          <w:lang w:val="en-US" w:eastAsia="zh-CN"/>
        </w:rPr>
        <w:t xml:space="preserve"> 08 </w:t>
      </w:r>
      <w:r>
        <w:rPr>
          <w:rFonts w:hint="eastAsia" w:ascii="宋体" w:hAnsi="宋体" w:eastAsia="宋体" w:cs="宋体"/>
          <w:color w:val="auto"/>
          <w:sz w:val="24"/>
          <w:szCs w:val="28"/>
        </w:rPr>
        <w:t>月</w:t>
      </w:r>
      <w:r>
        <w:rPr>
          <w:rFonts w:hint="eastAsia" w:ascii="宋体" w:hAnsi="宋体" w:eastAsia="宋体" w:cs="宋体"/>
          <w:color w:val="auto"/>
          <w:sz w:val="24"/>
          <w:szCs w:val="28"/>
          <w:u w:val="single"/>
          <w:lang w:val="en-US" w:eastAsia="zh-CN"/>
        </w:rPr>
        <w:t xml:space="preserve"> 09 </w:t>
      </w:r>
      <w:r>
        <w:rPr>
          <w:rFonts w:hint="eastAsia" w:ascii="宋体" w:hAnsi="宋体" w:eastAsia="宋体" w:cs="宋体"/>
          <w:color w:val="auto"/>
          <w:sz w:val="24"/>
          <w:szCs w:val="28"/>
        </w:rPr>
        <w:t>日</w:t>
      </w:r>
      <w:r>
        <w:rPr>
          <w:rFonts w:hint="eastAsia" w:ascii="宋体" w:hAnsi="宋体" w:eastAsia="宋体" w:cs="宋体"/>
          <w:color w:val="auto"/>
          <w:sz w:val="24"/>
          <w:szCs w:val="28"/>
          <w:lang w:val="en-US" w:eastAsia="zh-CN"/>
        </w:rPr>
        <w:t>14</w:t>
      </w:r>
      <w:r>
        <w:rPr>
          <w:rFonts w:hint="eastAsia" w:ascii="宋体" w:hAnsi="宋体" w:eastAsia="宋体" w:cs="宋体"/>
          <w:color w:val="auto"/>
          <w:sz w:val="24"/>
          <w:szCs w:val="28"/>
        </w:rPr>
        <w:t>时30分00秒 （北京时间）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地点：西安市雁塔区科技路10号华奥大厦A座20层2002室开标室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六、公告期限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自本公告发布之日起3个工作日。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七、其他补充事宜</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（1）现场</w:t>
      </w:r>
      <w:r>
        <w:rPr>
          <w:rFonts w:hint="eastAsia" w:ascii="宋体" w:hAnsi="宋体" w:eastAsia="宋体" w:cs="宋体"/>
          <w:color w:val="auto"/>
          <w:sz w:val="24"/>
          <w:szCs w:val="28"/>
          <w:lang w:val="en-US" w:eastAsia="zh-CN"/>
        </w:rPr>
        <w:t>获取</w:t>
      </w:r>
      <w:r>
        <w:rPr>
          <w:rFonts w:hint="eastAsia" w:ascii="宋体" w:hAnsi="宋体" w:eastAsia="宋体" w:cs="宋体"/>
          <w:color w:val="auto"/>
          <w:sz w:val="24"/>
          <w:szCs w:val="28"/>
        </w:rPr>
        <w:t>竞争性谈判文件时请提供单位介绍信原件、身份证原件及复印件加盖公章；网上</w:t>
      </w:r>
      <w:r>
        <w:rPr>
          <w:rFonts w:hint="eastAsia" w:ascii="宋体" w:hAnsi="宋体" w:eastAsia="宋体" w:cs="宋体"/>
          <w:color w:val="auto"/>
          <w:sz w:val="24"/>
          <w:szCs w:val="28"/>
          <w:lang w:val="en-US" w:eastAsia="zh-CN"/>
        </w:rPr>
        <w:t>获取</w:t>
      </w:r>
      <w:r>
        <w:rPr>
          <w:rFonts w:hint="eastAsia" w:ascii="宋体" w:hAnsi="宋体" w:eastAsia="宋体" w:cs="宋体"/>
          <w:color w:val="auto"/>
          <w:sz w:val="24"/>
          <w:szCs w:val="28"/>
        </w:rPr>
        <w:t>请提前电话咨询后，提供单位介绍信、身份证复印件加盖公章扫描件发送至shanxizhuoming_zb@163.com邮箱（邮件标题命名格式为“供应商名称+联系人+联系电话+项目名称”）。</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（2）请供应商按照陕西省财政厅关于政府采购供应商注册登记有关事项的通知中的要求，通过陕西省政府采购网（http://www.ccgp-shaanxi.gov.cn/）注册登记加入陕西省政府采购供应商库。</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八、凡对本次采购提出询问，请按以下方式联系。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1</w:t>
      </w:r>
      <w:r>
        <w:rPr>
          <w:rFonts w:hint="eastAsia" w:ascii="宋体" w:hAnsi="宋体" w:eastAsia="宋体" w:cs="宋体"/>
          <w:color w:val="auto"/>
          <w:sz w:val="24"/>
          <w:szCs w:val="28"/>
          <w:lang w:val="en-US" w:eastAsia="zh-CN"/>
        </w:rPr>
        <w:t>.</w:t>
      </w:r>
      <w:r>
        <w:rPr>
          <w:rFonts w:hint="eastAsia" w:ascii="宋体" w:hAnsi="宋体" w:eastAsia="宋体" w:cs="宋体"/>
          <w:color w:val="auto"/>
          <w:sz w:val="24"/>
          <w:szCs w:val="28"/>
        </w:rPr>
        <w:t>采购人信息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lang w:eastAsia="zh-CN"/>
        </w:rPr>
        <w:t>名称：西安市第六中学分校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地址：雁塔寺街5号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联系</w:t>
      </w:r>
      <w:r>
        <w:rPr>
          <w:rFonts w:hint="eastAsia" w:ascii="宋体" w:hAnsi="宋体" w:eastAsia="宋体" w:cs="宋体"/>
          <w:color w:val="auto"/>
          <w:sz w:val="24"/>
          <w:szCs w:val="28"/>
          <w:highlight w:val="none"/>
          <w:lang w:eastAsia="zh-CN"/>
        </w:rPr>
        <w:t>方式</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孙老师</w:t>
      </w:r>
      <w:r>
        <w:rPr>
          <w:rFonts w:hint="eastAsia" w:ascii="宋体" w:hAnsi="宋体" w:eastAsia="宋体" w:cs="宋体"/>
          <w:color w:val="auto"/>
          <w:sz w:val="24"/>
          <w:szCs w:val="28"/>
          <w:highlight w:val="none"/>
          <w:lang w:val="en-US" w:eastAsia="zh-CN"/>
        </w:rPr>
        <w:t xml:space="preserve"> 13891940455</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2.采购代理机构信息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名称：陕西卓佲项目管理有限公司</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地址：西安市雁塔区科技路10号华奥大厦A座20层2002室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联系方式：029-88440695</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3.项目联系方式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 xml:space="preserve">项目联系人：米文佳 </w:t>
      </w:r>
      <w:r>
        <w:rPr>
          <w:rFonts w:hint="eastAsia" w:ascii="宋体" w:hAnsi="宋体" w:eastAsia="宋体" w:cs="宋体"/>
          <w:color w:val="auto"/>
          <w:sz w:val="24"/>
          <w:szCs w:val="28"/>
          <w:lang w:val="en-US" w:eastAsia="zh-CN"/>
        </w:rPr>
        <w:t>张倩</w:t>
      </w:r>
      <w:r>
        <w:rPr>
          <w:rFonts w:hint="eastAsia" w:ascii="宋体" w:hAnsi="宋体" w:eastAsia="宋体" w:cs="宋体"/>
          <w:color w:val="auto"/>
          <w:sz w:val="24"/>
          <w:szCs w:val="28"/>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电话：029-88440695</w:t>
      </w: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陕西卓佲项目管理有限公司</w:t>
      </w:r>
    </w:p>
    <w:p>
      <w:pPr>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2022年</w:t>
      </w:r>
      <w:r>
        <w:rPr>
          <w:rFonts w:hint="eastAsia" w:ascii="宋体" w:hAnsi="宋体" w:eastAsia="宋体" w:cs="宋体"/>
          <w:color w:val="auto"/>
          <w:sz w:val="24"/>
          <w:szCs w:val="28"/>
          <w:u w:val="single"/>
          <w:lang w:val="en-US" w:eastAsia="zh-CN"/>
        </w:rPr>
        <w:t xml:space="preserve"> 08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8"/>
          <w:u w:val="single"/>
          <w:lang w:val="en-US" w:eastAsia="zh-CN"/>
        </w:rPr>
        <w:t xml:space="preserve"> 01 </w:t>
      </w:r>
      <w:r>
        <w:rPr>
          <w:rFonts w:hint="eastAsia" w:ascii="宋体" w:hAnsi="宋体" w:eastAsia="宋体" w:cs="宋体"/>
          <w:color w:val="auto"/>
          <w:sz w:val="24"/>
          <w:szCs w:val="24"/>
          <w:lang w:val="en-US" w:eastAsia="zh-CN"/>
        </w:rPr>
        <w:t>日</w:t>
      </w:r>
    </w:p>
    <w:p>
      <w:pPr>
        <w:pStyle w:val="3"/>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sectPr>
          <w:footerReference r:id="rId8" w:type="default"/>
          <w:pgSz w:w="11906" w:h="16838"/>
          <w:pgMar w:top="1440" w:right="1423" w:bottom="1440" w:left="1463" w:header="851" w:footer="992" w:gutter="0"/>
          <w:pgNumType w:fmt="decimal" w:start="1"/>
          <w:cols w:space="0" w:num="1"/>
          <w:docGrid w:type="lines" w:linePitch="312" w:charSpace="0"/>
        </w:sectPr>
      </w:pPr>
    </w:p>
    <w:p>
      <w:pPr>
        <w:pStyle w:val="3"/>
        <w:rPr>
          <w:rFonts w:ascii="宋体" w:hAnsi="宋体" w:cs="宋体"/>
        </w:rPr>
      </w:pPr>
      <w:bookmarkStart w:id="4" w:name="_Toc3251"/>
      <w:r>
        <w:rPr>
          <w:rFonts w:hint="eastAsia" w:ascii="宋体" w:hAnsi="宋体" w:cs="宋体"/>
        </w:rPr>
        <w:t>第二部分  供应商须知前附表</w:t>
      </w:r>
      <w:bookmarkEnd w:id="2"/>
      <w:bookmarkEnd w:id="3"/>
      <w:bookmarkEnd w:id="4"/>
    </w:p>
    <w:p>
      <w:pPr>
        <w:ind w:firstLine="240" w:firstLineChars="100"/>
        <w:rPr>
          <w:rFonts w:ascii="宋体" w:hAnsi="宋体" w:eastAsia="宋体" w:cs="宋体"/>
          <w:sz w:val="24"/>
          <w:szCs w:val="24"/>
        </w:rPr>
      </w:pPr>
    </w:p>
    <w:tbl>
      <w:tblPr>
        <w:tblStyle w:val="22"/>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336"/>
        <w:gridCol w:w="7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336"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377"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377" w:type="dxa"/>
          </w:tcPr>
          <w:p>
            <w:pPr>
              <w:numPr>
                <w:ilvl w:val="0"/>
                <w:numId w:val="2"/>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（二）特定资格条件：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2）</w:t>
            </w:r>
            <w:r>
              <w:rPr>
                <w:rFonts w:hint="eastAsia" w:ascii="宋体" w:hAnsi="宋体" w:eastAsia="宋体" w:cs="宋体"/>
                <w:color w:val="auto"/>
                <w:sz w:val="24"/>
                <w:szCs w:val="28"/>
              </w:rPr>
              <w:t>财务状况证明：供应商提供2020年</w:t>
            </w:r>
            <w:r>
              <w:rPr>
                <w:rFonts w:hint="eastAsia" w:ascii="宋体" w:hAnsi="宋体" w:eastAsia="宋体" w:cs="宋体"/>
                <w:color w:val="auto"/>
                <w:sz w:val="24"/>
                <w:szCs w:val="28"/>
                <w:lang w:val="en-US" w:eastAsia="zh-CN"/>
              </w:rPr>
              <w:t>度</w:t>
            </w:r>
            <w:r>
              <w:rPr>
                <w:rFonts w:hint="eastAsia" w:ascii="宋体" w:hAnsi="宋体" w:eastAsia="宋体" w:cs="宋体"/>
                <w:color w:val="auto"/>
                <w:sz w:val="24"/>
                <w:szCs w:val="28"/>
              </w:rPr>
              <w:t>或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3）</w:t>
            </w:r>
            <w:r>
              <w:rPr>
                <w:rFonts w:hint="eastAsia" w:ascii="宋体" w:hAnsi="宋体" w:eastAsia="宋体" w:cs="宋体"/>
                <w:color w:val="auto"/>
                <w:sz w:val="24"/>
                <w:szCs w:val="28"/>
              </w:rPr>
              <w:t>具有履行合同所必需的设备和专业技术能力的书面声明；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4</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税收缴纳证明：提供2021年9月以来至少一个月的纳税证明或完税证明，依法免税的单位应提供相关证明材料；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5</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社会保障资金缴纳证明：提供2021年9月以来至少一个月的社会保障资金缴存单据或社保机构开具的社会保险参保缴费情况证明。依法不需要缴纳社会保障资金的供应商应提供相关文件证明；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6</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7</w:t>
            </w:r>
            <w:r>
              <w:rPr>
                <w:rFonts w:hint="eastAsia" w:ascii="宋体" w:hAnsi="宋体" w:eastAsia="宋体" w:cs="宋体"/>
                <w:color w:val="auto"/>
                <w:sz w:val="24"/>
                <w:szCs w:val="28"/>
                <w:lang w:eastAsia="zh-CN"/>
              </w:rPr>
              <w:t>）</w:t>
            </w:r>
            <w:r>
              <w:rPr>
                <w:rFonts w:hint="eastAsia" w:ascii="宋体" w:hAnsi="宋体" w:eastAsia="宋体" w:cs="宋体"/>
                <w:sz w:val="24"/>
                <w:szCs w:val="24"/>
                <w:highlight w:val="none"/>
              </w:rPr>
              <w:t>非法定代表人参加投标的，须提供法定代表人委托授权书及被授权人身份证，法定代表人参加投标时,</w:t>
            </w:r>
            <w:r>
              <w:rPr>
                <w:rFonts w:hint="eastAsia" w:ascii="宋体" w:hAnsi="宋体" w:eastAsia="宋体" w:cs="宋体"/>
                <w:sz w:val="24"/>
                <w:szCs w:val="24"/>
                <w:highlight w:val="none"/>
                <w:lang w:eastAsia="zh-CN"/>
              </w:rPr>
              <w:t>只需</w:t>
            </w:r>
            <w:r>
              <w:rPr>
                <w:rFonts w:hint="eastAsia" w:ascii="宋体" w:hAnsi="宋体" w:eastAsia="宋体" w:cs="宋体"/>
                <w:sz w:val="24"/>
                <w:szCs w:val="24"/>
                <w:highlight w:val="none"/>
              </w:rPr>
              <w:t>提供法定代表人身份证；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8</w:t>
            </w:r>
            <w:r>
              <w:rPr>
                <w:rFonts w:hint="eastAsia" w:ascii="宋体" w:hAnsi="宋体" w:eastAsia="宋体" w:cs="宋体"/>
                <w:color w:val="auto"/>
                <w:sz w:val="24"/>
                <w:szCs w:val="28"/>
                <w:lang w:eastAsia="zh-CN"/>
              </w:rPr>
              <w:t>）本项目不接受联合体响应。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cs="宋体"/>
                <w:sz w:val="24"/>
                <w:szCs w:val="24"/>
              </w:rPr>
            </w:pPr>
            <w:r>
              <w:rPr>
                <w:rFonts w:hint="eastAsia" w:ascii="宋体" w:hAnsi="宋体" w:cs="宋体"/>
                <w:b/>
                <w:bCs/>
                <w:sz w:val="24"/>
                <w:szCs w:val="24"/>
                <w:lang w:eastAsia="zh-CN"/>
              </w:rPr>
              <w:t>以上项</w:t>
            </w:r>
            <w:r>
              <w:rPr>
                <w:rFonts w:hint="eastAsia" w:ascii="宋体" w:hAnsi="宋体" w:cs="宋体"/>
                <w:b/>
                <w:bCs/>
                <w:sz w:val="24"/>
                <w:szCs w:val="24"/>
              </w:rPr>
              <w:t>为资格审查必备资质。响应文件的正本和全部副本必须附上述资格证明文件，缺少其中一项或某项达不到采购文件要求，其响应文件按无效文件处理。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377" w:type="dxa"/>
          </w:tcPr>
          <w:p>
            <w:pPr>
              <w:pStyle w:val="9"/>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有下列情形之一的，应在符合性审查时按照无效响应处理。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响应报价超过采购预算或者最高限价；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响应文件的</w:t>
            </w:r>
            <w:r>
              <w:rPr>
                <w:rFonts w:hint="eastAsia" w:ascii="宋体" w:hAnsi="宋体" w:cs="宋体"/>
                <w:sz w:val="24"/>
                <w:szCs w:val="24"/>
                <w:highlight w:val="none"/>
                <w:lang w:val="en-US" w:eastAsia="zh-CN"/>
              </w:rPr>
              <w:t>交货期</w:t>
            </w:r>
            <w:r>
              <w:rPr>
                <w:rFonts w:hint="eastAsia" w:ascii="宋体" w:hAnsi="宋体" w:cs="宋体"/>
                <w:sz w:val="24"/>
                <w:szCs w:val="24"/>
                <w:highlight w:val="none"/>
              </w:rPr>
              <w:t>不满足竞争性谈判文件要求；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响应文件的</w:t>
            </w:r>
            <w:r>
              <w:rPr>
                <w:rFonts w:hint="eastAsia" w:ascii="宋体" w:hAnsi="宋体" w:cs="宋体"/>
                <w:sz w:val="24"/>
                <w:szCs w:val="24"/>
                <w:highlight w:val="none"/>
                <w:lang w:val="en-US" w:eastAsia="zh-CN"/>
              </w:rPr>
              <w:t>质保期</w:t>
            </w:r>
            <w:r>
              <w:rPr>
                <w:rFonts w:hint="eastAsia" w:ascii="宋体" w:hAnsi="宋体" w:cs="宋体"/>
                <w:sz w:val="24"/>
                <w:szCs w:val="24"/>
                <w:highlight w:val="none"/>
              </w:rPr>
              <w:t>不满足竞争性谈判文件要求；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响应文件的数量、签署、盖章、装订不符合竞争性谈判文件要求；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响应文件无投标有效期或有效期达不到竞争性谈判文件要求的；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rPr>
              <w:t>供应商针对同一项目递交两份或多份内容不同的响应文件，未书面声明哪一份是有效的或出现选择性报价的；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sz w:val="24"/>
                <w:szCs w:val="24"/>
              </w:rPr>
              <w:t>响应文件标的数量不满足采购要求；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cs="宋体"/>
                <w:sz w:val="24"/>
                <w:szCs w:val="24"/>
                <w:highlight w:val="none"/>
              </w:rPr>
              <w:t>“★”符号标明的条款为实质性要求和条件，</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文件对其中任何一条的负偏离，为实质性偏离，其</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无效</w:t>
            </w:r>
            <w:r>
              <w:rPr>
                <w:rFonts w:hint="eastAsia" w:ascii="宋体" w:hAnsi="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w:t>
            </w:r>
            <w:r>
              <w:rPr>
                <w:rFonts w:hint="eastAsia" w:ascii="宋体" w:hAnsi="宋体" w:cs="宋体"/>
                <w:sz w:val="24"/>
                <w:szCs w:val="24"/>
              </w:rPr>
              <w:t>响应产品的技术参数、性能指标与竞争性谈判文件要求出现重大负偏差的或不满足实质性条款；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10</w:t>
            </w:r>
            <w:r>
              <w:rPr>
                <w:rFonts w:hint="eastAsia" w:ascii="宋体" w:hAnsi="宋体" w:cs="宋体"/>
                <w:sz w:val="24"/>
                <w:szCs w:val="24"/>
                <w:lang w:eastAsia="zh-CN"/>
              </w:rPr>
              <w:t>）</w:t>
            </w:r>
            <w:r>
              <w:rPr>
                <w:rFonts w:hint="eastAsia" w:ascii="宋体" w:hAnsi="宋体" w:cs="宋体"/>
                <w:sz w:val="24"/>
                <w:szCs w:val="24"/>
              </w:rPr>
              <w:t>响应文件含有采购人不能接受的附加条件的；</w:t>
            </w:r>
          </w:p>
          <w:p>
            <w:pPr>
              <w:spacing w:line="360" w:lineRule="auto"/>
            </w:pP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11</w:t>
            </w:r>
            <w:r>
              <w:rPr>
                <w:rFonts w:hint="eastAsia" w:ascii="宋体" w:hAnsi="宋体" w:cs="宋体"/>
                <w:b/>
                <w:bCs/>
                <w:sz w:val="24"/>
                <w:szCs w:val="24"/>
                <w:highlight w:val="none"/>
              </w:rPr>
              <w:t>）</w:t>
            </w:r>
            <w:r>
              <w:rPr>
                <w:rFonts w:ascii="宋体" w:hAnsi="宋体" w:cs="宋体"/>
                <w:b/>
                <w:bCs/>
                <w:sz w:val="24"/>
                <w:szCs w:val="24"/>
                <w:highlight w:val="none"/>
              </w:rPr>
              <w:t>供应商</w:t>
            </w:r>
            <w:r>
              <w:rPr>
                <w:rFonts w:hint="eastAsia" w:ascii="宋体" w:hAnsi="宋体" w:cs="宋体"/>
                <w:b/>
                <w:bCs/>
                <w:sz w:val="24"/>
                <w:szCs w:val="24"/>
                <w:highlight w:val="none"/>
              </w:rPr>
              <w:t>提供赠品、回扣或者与采购无关的其他商品、服务（不包括采购项目本身所包括涉及的采购事项，</w:t>
            </w:r>
            <w:r>
              <w:rPr>
                <w:rFonts w:ascii="宋体" w:hAnsi="宋体" w:cs="宋体"/>
                <w:b/>
                <w:bCs/>
                <w:sz w:val="24"/>
                <w:szCs w:val="24"/>
                <w:highlight w:val="none"/>
              </w:rPr>
              <w:t>供应商</w:t>
            </w:r>
            <w:r>
              <w:rPr>
                <w:rFonts w:hint="eastAsia" w:ascii="宋体" w:hAnsi="宋体" w:cs="宋体"/>
                <w:b/>
                <w:bCs/>
                <w:sz w:val="24"/>
                <w:szCs w:val="24"/>
                <w:highlight w:val="none"/>
              </w:rPr>
              <w:t>不能以“赠送、赠予”等任何名义提供货物和服务以规避</w:t>
            </w:r>
            <w:r>
              <w:rPr>
                <w:rFonts w:hint="eastAsia" w:ascii="宋体" w:hAnsi="宋体" w:cs="宋体"/>
                <w:b/>
                <w:bCs/>
                <w:sz w:val="24"/>
                <w:szCs w:val="24"/>
                <w:highlight w:val="none"/>
                <w:lang w:eastAsia="zh-CN"/>
              </w:rPr>
              <w:t>竞争性谈判文件</w:t>
            </w:r>
            <w:r>
              <w:rPr>
                <w:rFonts w:hint="eastAsia" w:ascii="宋体" w:hAnsi="宋体" w:cs="宋体"/>
                <w:b/>
                <w:bCs/>
                <w:sz w:val="24"/>
                <w:szCs w:val="24"/>
                <w:highlight w:val="none"/>
              </w:rPr>
              <w:t>的约束）。否则，供应商的投标行为将作为以不正当手段排挤其他供应商认定；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）法律、法规和竞争性谈判文件规定的其他无效情形。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商务条款</w:t>
            </w:r>
          </w:p>
        </w:tc>
        <w:tc>
          <w:tcPr>
            <w:tcW w:w="7377" w:type="dxa"/>
          </w:tcPr>
          <w:p>
            <w:pPr>
              <w:spacing w:line="360" w:lineRule="auto"/>
              <w:rPr>
                <w:rFonts w:hint="eastAsia" w:ascii="宋体" w:hAnsi="宋体" w:eastAsia="宋体" w:cs="宋体"/>
                <w:sz w:val="24"/>
                <w:szCs w:val="28"/>
              </w:rPr>
            </w:pPr>
            <w:r>
              <w:rPr>
                <w:rFonts w:hint="eastAsia" w:ascii="宋体" w:hAnsi="宋体" w:eastAsia="宋体" w:cs="宋体"/>
                <w:sz w:val="24"/>
                <w:szCs w:val="24"/>
              </w:rPr>
              <w:t>★1、</w:t>
            </w:r>
            <w:r>
              <w:rPr>
                <w:rFonts w:hint="eastAsia" w:ascii="宋体" w:hAnsi="宋体" w:eastAsia="宋体" w:cs="宋体"/>
                <w:sz w:val="24"/>
                <w:szCs w:val="28"/>
              </w:rPr>
              <w:t>交货期：合同签订后25 日历天</w:t>
            </w:r>
          </w:p>
          <w:p>
            <w:pPr>
              <w:spacing w:line="360" w:lineRule="auto"/>
              <w:rPr>
                <w:rFonts w:hint="eastAsia" w:ascii="宋体" w:hAnsi="宋体" w:eastAsia="宋体" w:cs="宋体"/>
                <w:sz w:val="24"/>
                <w:szCs w:val="28"/>
              </w:rPr>
            </w:pPr>
            <w:r>
              <w:rPr>
                <w:rFonts w:hint="eastAsia" w:ascii="宋体" w:hAnsi="宋体" w:eastAsia="宋体" w:cs="宋体"/>
                <w:sz w:val="24"/>
                <w:szCs w:val="24"/>
              </w:rPr>
              <w:t>★2、</w:t>
            </w:r>
            <w:r>
              <w:rPr>
                <w:rFonts w:hint="eastAsia" w:ascii="宋体" w:hAnsi="宋体" w:eastAsia="宋体" w:cs="宋体"/>
                <w:sz w:val="24"/>
                <w:szCs w:val="28"/>
              </w:rPr>
              <w:t>质保期：验收合格后12个月</w:t>
            </w:r>
          </w:p>
          <w:p>
            <w:pPr>
              <w:pStyle w:val="2"/>
              <w:spacing w:line="360" w:lineRule="auto"/>
              <w:rPr>
                <w:rFonts w:hint="eastAsia" w:ascii="宋体" w:hAnsi="宋体" w:eastAsia="宋体" w:cs="宋体"/>
                <w:sz w:val="24"/>
                <w:szCs w:val="28"/>
              </w:rPr>
            </w:pPr>
            <w:r>
              <w:rPr>
                <w:rFonts w:hint="eastAsia" w:ascii="宋体" w:hAnsi="宋体" w:eastAsia="宋体" w:cs="宋体"/>
                <w:sz w:val="24"/>
                <w:szCs w:val="24"/>
              </w:rPr>
              <w:t>★</w:t>
            </w:r>
            <w:r>
              <w:rPr>
                <w:rFonts w:hint="eastAsia" w:ascii="宋体" w:hAnsi="宋体" w:eastAsia="宋体" w:cs="宋体"/>
                <w:sz w:val="24"/>
                <w:szCs w:val="28"/>
              </w:rPr>
              <w:t>3、交货地点：采购人指定地点</w:t>
            </w:r>
          </w:p>
          <w:p>
            <w:pPr>
              <w:spacing w:line="360" w:lineRule="auto"/>
              <w:rPr>
                <w:rFonts w:hint="eastAsia" w:ascii="宋体" w:hAnsi="宋体" w:eastAsia="宋体" w:cs="宋体"/>
                <w:sz w:val="24"/>
                <w:szCs w:val="28"/>
              </w:rPr>
            </w:pPr>
            <w:r>
              <w:rPr>
                <w:rFonts w:hint="eastAsia" w:ascii="宋体" w:hAnsi="宋体" w:eastAsia="宋体" w:cs="宋体"/>
                <w:sz w:val="24"/>
                <w:szCs w:val="24"/>
              </w:rPr>
              <w:t>★</w:t>
            </w:r>
            <w:r>
              <w:rPr>
                <w:rFonts w:hint="eastAsia" w:ascii="宋体" w:hAnsi="宋体" w:eastAsia="宋体" w:cs="宋体"/>
                <w:sz w:val="24"/>
                <w:szCs w:val="28"/>
              </w:rPr>
              <w:t>4、付款方式：</w:t>
            </w:r>
          </w:p>
          <w:p>
            <w:pPr>
              <w:spacing w:line="360" w:lineRule="auto"/>
              <w:rPr>
                <w:rFonts w:hint="eastAsia" w:ascii="宋体" w:hAnsi="宋体" w:eastAsia="宋体" w:cs="宋体"/>
                <w:sz w:val="24"/>
                <w:szCs w:val="28"/>
              </w:rPr>
            </w:pPr>
            <w:r>
              <w:rPr>
                <w:rFonts w:hint="eastAsia" w:ascii="宋体" w:hAnsi="宋体" w:eastAsia="宋体" w:cs="宋体"/>
                <w:sz w:val="24"/>
                <w:szCs w:val="28"/>
              </w:rPr>
              <w:t>4.1款项结算</w:t>
            </w:r>
          </w:p>
          <w:p>
            <w:pPr>
              <w:spacing w:line="360" w:lineRule="auto"/>
              <w:rPr>
                <w:rFonts w:hint="eastAsia" w:ascii="宋体" w:hAnsi="宋体" w:eastAsia="宋体" w:cs="宋体"/>
                <w:sz w:val="24"/>
                <w:szCs w:val="28"/>
              </w:rPr>
            </w:pPr>
            <w:r>
              <w:rPr>
                <w:rFonts w:hint="eastAsia" w:ascii="宋体" w:hAnsi="宋体" w:eastAsia="宋体" w:cs="宋体"/>
                <w:sz w:val="24"/>
                <w:szCs w:val="28"/>
              </w:rPr>
              <w:t>全部产品安装调试完毕并验收合格后，甲方向乙方支付合同总价</w:t>
            </w:r>
            <w:r>
              <w:rPr>
                <w:rFonts w:hint="eastAsia" w:ascii="宋体" w:hAnsi="宋体" w:eastAsia="宋体" w:cs="宋体"/>
                <w:sz w:val="24"/>
                <w:szCs w:val="28"/>
                <w:lang w:val="en-US" w:eastAsia="zh-CN"/>
              </w:rPr>
              <w:t>100</w:t>
            </w:r>
            <w:r>
              <w:rPr>
                <w:rFonts w:hint="eastAsia" w:ascii="宋体" w:hAnsi="宋体" w:eastAsia="宋体" w:cs="宋体"/>
                <w:sz w:val="24"/>
                <w:szCs w:val="28"/>
              </w:rPr>
              <w:t>%的价款。</w:t>
            </w:r>
          </w:p>
          <w:p>
            <w:pPr>
              <w:spacing w:line="360" w:lineRule="auto"/>
              <w:rPr>
                <w:rFonts w:hint="eastAsia" w:ascii="宋体" w:hAnsi="宋体" w:eastAsia="宋体" w:cs="宋体"/>
                <w:sz w:val="24"/>
                <w:szCs w:val="28"/>
              </w:rPr>
            </w:pPr>
            <w:r>
              <w:rPr>
                <w:rFonts w:hint="eastAsia" w:ascii="宋体" w:hAnsi="宋体" w:eastAsia="宋体" w:cs="宋体"/>
                <w:sz w:val="24"/>
                <w:szCs w:val="28"/>
              </w:rPr>
              <w:t>4.2结算方式：银行转账。</w:t>
            </w:r>
          </w:p>
          <w:p>
            <w:pPr>
              <w:spacing w:line="360" w:lineRule="auto"/>
              <w:rPr>
                <w:rFonts w:hint="eastAsia" w:ascii="宋体" w:hAnsi="宋体" w:eastAsia="宋体" w:cs="宋体"/>
                <w:sz w:val="24"/>
                <w:szCs w:val="28"/>
              </w:rPr>
            </w:pPr>
            <w:r>
              <w:rPr>
                <w:rFonts w:hint="eastAsia" w:ascii="宋体" w:hAnsi="宋体" w:eastAsia="宋体" w:cs="宋体"/>
                <w:sz w:val="24"/>
                <w:szCs w:val="28"/>
              </w:rPr>
              <w:t>4.3结算单位：由采购人负责结算，每次付款前，乙方开具合同总价数的全额发票交采购人。</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sz w:val="24"/>
                <w:szCs w:val="24"/>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4</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377"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5</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377"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6</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法定代表人授权书期限及响应文件有效期为从谈判之日起有效期为</w:t>
            </w:r>
            <w:r>
              <w:rPr>
                <w:rFonts w:hint="eastAsia" w:ascii="宋体" w:hAnsi="宋体" w:cs="宋体"/>
                <w:sz w:val="24"/>
                <w:szCs w:val="24"/>
                <w:lang w:val="en-US" w:eastAsia="zh-CN"/>
              </w:rPr>
              <w:t>9</w:t>
            </w:r>
            <w:r>
              <w:rPr>
                <w:rFonts w:hint="eastAsia" w:ascii="宋体" w:hAnsi="宋体" w:cs="宋体"/>
                <w:sz w:val="24"/>
                <w:szCs w:val="24"/>
              </w:rPr>
              <w:t>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77"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7</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377" w:type="dxa"/>
            <w:vAlign w:val="center"/>
          </w:tcPr>
          <w:p>
            <w:pPr>
              <w:numPr>
                <w:ilvl w:val="0"/>
                <w:numId w:val="3"/>
              </w:numPr>
              <w:spacing w:line="360" w:lineRule="auto"/>
              <w:ind w:firstLine="0"/>
              <w:jc w:val="left"/>
              <w:rPr>
                <w:rFonts w:ascii="宋体" w:hAnsi="宋体" w:cs="宋体"/>
                <w:sz w:val="24"/>
                <w:szCs w:val="24"/>
              </w:rPr>
            </w:pPr>
            <w:r>
              <w:rPr>
                <w:rFonts w:hint="eastAsia" w:ascii="宋体" w:hAnsi="宋体" w:cs="宋体"/>
                <w:sz w:val="24"/>
                <w:szCs w:val="24"/>
              </w:rPr>
              <w:t>供应商应当根据竞争性谈判文件的要求和范围，以人民币为货币，以元为报价单位，保留小数点后两位。</w:t>
            </w:r>
          </w:p>
          <w:p>
            <w:pPr>
              <w:numPr>
                <w:ilvl w:val="0"/>
                <w:numId w:val="3"/>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采购所要求的货物、服务且验收合格的所有费用，包括产品费、安装调试费、运杂费（含保险）、仓储保管费、技术培训费、检测费、施工费、运输费、人工费、税金及进口产品国家按现行税收政策征收的一切税费等。任何有选择的报价将不予接受，否则按无效响应处理。</w:t>
            </w:r>
          </w:p>
          <w:p>
            <w:pPr>
              <w:spacing w:line="360" w:lineRule="auto"/>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供应商应在响应文件中的响应一览表上</w:t>
            </w:r>
            <w:r>
              <w:rPr>
                <w:rFonts w:hint="eastAsia" w:ascii="宋体" w:hAnsi="宋体" w:cs="宋体"/>
                <w:sz w:val="24"/>
                <w:szCs w:val="24"/>
                <w:lang w:eastAsia="zh-CN"/>
              </w:rPr>
              <w:t>按照采购文件要求填写</w:t>
            </w:r>
            <w:r>
              <w:rPr>
                <w:rFonts w:hint="eastAsia" w:ascii="宋体" w:hAnsi="宋体" w:cs="宋体"/>
                <w:sz w:val="24"/>
                <w:szCs w:val="24"/>
              </w:rPr>
              <w:t>，并由法定代表人或被授权人代表签署；任何有选择的报价不予接受。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8</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377" w:type="dxa"/>
            <w:vAlign w:val="center"/>
          </w:tcPr>
          <w:p>
            <w:pPr>
              <w:spacing w:line="336"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36" w:lineRule="auto"/>
              <w:jc w:val="left"/>
              <w:rPr>
                <w:rFonts w:ascii="宋体" w:hAnsi="宋体" w:cs="宋体"/>
                <w:sz w:val="24"/>
                <w:szCs w:val="24"/>
              </w:rPr>
            </w:pPr>
            <w:r>
              <w:rPr>
                <w:rFonts w:hint="eastAsia" w:ascii="宋体" w:hAnsi="宋体" w:cs="宋体"/>
                <w:sz w:val="24"/>
                <w:szCs w:val="24"/>
              </w:rPr>
              <w:t>2、正、副本分别胶装装订成册，逐页标注连页码，且封面须清楚地标明“正本”或“副本”；若正本和副本不符，以正本书面文件为准；同时提供与正本内容一致的电子版（U盘、电子文档应为PDF与WORD格式各一份，PDF版本需为正本签署盖章扫描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06"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9</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377" w:type="dxa"/>
            <w:vAlign w:val="center"/>
          </w:tcPr>
          <w:p>
            <w:pPr>
              <w:numPr>
                <w:ilvl w:val="0"/>
                <w:numId w:val="4"/>
              </w:numPr>
              <w:spacing w:line="336"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4"/>
              </w:numPr>
              <w:spacing w:line="336"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2" w:hRule="atLeast"/>
        </w:trPr>
        <w:tc>
          <w:tcPr>
            <w:tcW w:w="505" w:type="dxa"/>
            <w:vAlign w:val="center"/>
          </w:tcPr>
          <w:p>
            <w:pPr>
              <w:spacing w:line="360" w:lineRule="auto"/>
              <w:jc w:val="center"/>
              <w:rPr>
                <w:rFonts w:hint="eastAsia" w:ascii="宋体" w:hAnsi="宋体" w:cs="宋体" w:eastAsiaTheme="minorEastAsia"/>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0</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377" w:type="dxa"/>
            <w:vAlign w:val="center"/>
          </w:tcPr>
          <w:p>
            <w:pPr>
              <w:pStyle w:val="4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1、装袋要求：</w:t>
            </w:r>
          </w:p>
          <w:p>
            <w:pPr>
              <w:pStyle w:val="4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响应一览表密封单独装袋；</w:t>
            </w:r>
          </w:p>
          <w:p>
            <w:pPr>
              <w:pStyle w:val="4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电子文档密封单独装袋；</w:t>
            </w:r>
          </w:p>
          <w:p>
            <w:pPr>
              <w:spacing w:line="360" w:lineRule="auto"/>
              <w:ind w:right="158" w:rightChars="75"/>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所有正本密封单独装袋，也可分册密封装袋；</w:t>
            </w:r>
          </w:p>
          <w:p>
            <w:pPr>
              <w:spacing w:line="360" w:lineRule="auto"/>
              <w:ind w:right="158" w:rightChars="75"/>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所有副本密封单独装袋，</w:t>
            </w:r>
            <w:r>
              <w:rPr>
                <w:rFonts w:hint="eastAsia" w:ascii="宋体" w:hAnsi="宋体" w:eastAsia="宋体" w:cs="宋体"/>
                <w:kern w:val="2"/>
                <w:sz w:val="24"/>
                <w:szCs w:val="24"/>
                <w:highlight w:val="none"/>
                <w:lang w:val="zh-CN" w:eastAsia="zh-CN" w:bidi="ar-SA"/>
              </w:rPr>
              <w:t>也可分册</w:t>
            </w:r>
            <w:r>
              <w:rPr>
                <w:rFonts w:hint="eastAsia" w:ascii="宋体" w:hAnsi="宋体" w:eastAsia="宋体" w:cs="宋体"/>
                <w:kern w:val="2"/>
                <w:sz w:val="24"/>
                <w:szCs w:val="24"/>
                <w:highlight w:val="none"/>
                <w:lang w:val="en-US" w:eastAsia="zh-CN" w:bidi="ar-SA"/>
              </w:rPr>
              <w:t>密封</w:t>
            </w:r>
            <w:r>
              <w:rPr>
                <w:rFonts w:hint="eastAsia" w:ascii="宋体" w:hAnsi="宋体" w:eastAsia="宋体" w:cs="宋体"/>
                <w:kern w:val="2"/>
                <w:sz w:val="24"/>
                <w:szCs w:val="24"/>
                <w:highlight w:val="none"/>
                <w:lang w:val="zh-CN" w:eastAsia="zh-CN" w:bidi="ar-SA"/>
              </w:rPr>
              <w:t>装袋；</w:t>
            </w:r>
          </w:p>
          <w:p>
            <w:pPr>
              <w:numPr>
                <w:ilvl w:val="0"/>
                <w:numId w:val="0"/>
              </w:numPr>
              <w:spacing w:line="336" w:lineRule="auto"/>
              <w:ind w:leftChars="0"/>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在封袋正面标明“正本”“副本”“电子版”“</w:t>
            </w:r>
            <w:r>
              <w:rPr>
                <w:rFonts w:hint="eastAsia" w:ascii="宋体" w:hAnsi="宋体" w:cs="宋体"/>
                <w:sz w:val="24"/>
                <w:szCs w:val="24"/>
                <w:lang w:eastAsia="zh-CN"/>
              </w:rPr>
              <w:t>响应一览表</w:t>
            </w:r>
            <w:r>
              <w:rPr>
                <w:rFonts w:hint="eastAsia" w:ascii="宋体" w:hAnsi="宋体" w:cs="宋体"/>
                <w:sz w:val="24"/>
                <w:szCs w:val="24"/>
              </w:rPr>
              <w:t>”字样。封袋应密封完整</w:t>
            </w:r>
            <w:r>
              <w:rPr>
                <w:rFonts w:hint="eastAsia" w:ascii="宋体" w:hAnsi="宋体" w:cs="宋体"/>
                <w:sz w:val="24"/>
                <w:szCs w:val="24"/>
                <w:lang w:eastAsia="zh-CN"/>
              </w:rPr>
              <w:t>（密封以不泄露供应商商业机密、</w:t>
            </w:r>
            <w:r>
              <w:rPr>
                <w:rFonts w:hint="eastAsia" w:ascii="宋体" w:hAnsi="宋体" w:cs="宋体"/>
                <w:sz w:val="24"/>
                <w:szCs w:val="24"/>
                <w:lang w:val="en-US" w:eastAsia="zh-CN"/>
              </w:rPr>
              <w:t>响应文件</w:t>
            </w:r>
            <w:r>
              <w:rPr>
                <w:rFonts w:hint="eastAsia" w:ascii="宋体" w:hAnsi="宋体" w:cs="宋体"/>
                <w:sz w:val="24"/>
                <w:szCs w:val="24"/>
                <w:lang w:eastAsia="zh-CN"/>
              </w:rPr>
              <w:t>内容为标准，</w:t>
            </w:r>
            <w:r>
              <w:rPr>
                <w:rFonts w:hint="eastAsia" w:ascii="宋体" w:hAnsi="宋体" w:cs="宋体"/>
                <w:sz w:val="24"/>
                <w:szCs w:val="24"/>
              </w:rPr>
              <w:t>封面标识见</w:t>
            </w:r>
            <w:r>
              <w:rPr>
                <w:rFonts w:hint="eastAsia" w:ascii="宋体" w:hAnsi="宋体" w:cs="宋体"/>
                <w:sz w:val="24"/>
                <w:szCs w:val="24"/>
                <w:lang w:eastAsia="zh-CN"/>
              </w:rPr>
              <w:t>竞争性谈判文件</w:t>
            </w:r>
            <w:r>
              <w:rPr>
                <w:rFonts w:hint="eastAsia" w:ascii="宋体" w:hAnsi="宋体" w:cs="宋体"/>
                <w:sz w:val="24"/>
                <w:szCs w:val="24"/>
              </w:rPr>
              <w:t>附件一</w:t>
            </w:r>
            <w:r>
              <w:rPr>
                <w:rFonts w:hint="eastAsia" w:ascii="宋体" w:hAnsi="宋体" w:cs="宋体"/>
                <w:sz w:val="24"/>
                <w:szCs w:val="24"/>
                <w:lang w:eastAsia="zh-CN"/>
              </w:rPr>
              <w:t>）</w:t>
            </w:r>
            <w:r>
              <w:rPr>
                <w:rFonts w:hint="eastAsia" w:ascii="宋体" w:hAnsi="宋体" w:cs="宋体"/>
                <w:sz w:val="24"/>
                <w:szCs w:val="24"/>
              </w:rPr>
              <w:t>，如果未按上述规定进行密封，供应商的</w:t>
            </w:r>
            <w:r>
              <w:rPr>
                <w:rFonts w:hint="eastAsia" w:ascii="宋体" w:hAnsi="宋体" w:cs="宋体"/>
                <w:sz w:val="24"/>
                <w:szCs w:val="24"/>
                <w:lang w:eastAsia="zh-CN"/>
              </w:rPr>
              <w:t>响应文件</w:t>
            </w:r>
            <w:r>
              <w:rPr>
                <w:rFonts w:hint="eastAsia" w:ascii="宋体" w:hAnsi="宋体" w:cs="宋体"/>
                <w:sz w:val="24"/>
                <w:szCs w:val="24"/>
              </w:rPr>
              <w:t>有权被拒绝。</w:t>
            </w:r>
          </w:p>
          <w:p>
            <w:pPr>
              <w:numPr>
                <w:ilvl w:val="0"/>
                <w:numId w:val="0"/>
              </w:numPr>
              <w:spacing w:line="336" w:lineRule="auto"/>
              <w:ind w:leftChars="0"/>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如果供应商未按上述要求密封及加写标记，误投或过早启封的响应文件，将自行承担其响应文件被视为无效响应文件的风险。</w:t>
            </w:r>
          </w:p>
          <w:p>
            <w:pPr>
              <w:numPr>
                <w:ilvl w:val="0"/>
                <w:numId w:val="0"/>
              </w:numPr>
              <w:spacing w:line="336" w:lineRule="auto"/>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本次招标只接受简体中文文字的响应文件；如响应文件中出现外文资料，</w:t>
            </w:r>
            <w:r>
              <w:rPr>
                <w:rFonts w:hint="eastAsia" w:ascii="宋体" w:hAnsi="宋体" w:cs="宋体"/>
                <w:sz w:val="24"/>
                <w:szCs w:val="24"/>
                <w:lang w:eastAsia="zh-CN"/>
              </w:rPr>
              <w:t>需</w:t>
            </w:r>
            <w:r>
              <w:rPr>
                <w:rFonts w:hint="eastAsia" w:ascii="宋体" w:hAnsi="宋体" w:cs="宋体"/>
                <w:sz w:val="24"/>
                <w:szCs w:val="24"/>
              </w:rPr>
              <w:t>配以中文译文。否则，由此引发的一切责任由供应商自负</w:t>
            </w:r>
            <w:r>
              <w:rPr>
                <w:rFonts w:hint="eastAsia" w:ascii="宋体" w:hAnsi="宋体" w:cs="宋体"/>
                <w:sz w:val="24"/>
                <w:szCs w:val="24"/>
                <w:highlight w:val="none"/>
              </w:rPr>
              <w:t>。</w:t>
            </w:r>
          </w:p>
          <w:p>
            <w:pPr>
              <w:spacing w:line="360" w:lineRule="auto"/>
              <w:jc w:val="left"/>
              <w:rPr>
                <w:rFonts w:ascii="宋体" w:hAnsi="宋体" w:cs="宋体"/>
                <w:color w:val="FF0000"/>
                <w:sz w:val="24"/>
                <w:szCs w:val="24"/>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cs="宋体" w:eastAsiaTheme="minorEastAsia"/>
                <w:color w:val="FF0000"/>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1336" w:type="dxa"/>
            <w:vAlign w:val="center"/>
          </w:tcPr>
          <w:p>
            <w:pPr>
              <w:spacing w:line="360" w:lineRule="auto"/>
              <w:jc w:val="center"/>
              <w:rPr>
                <w:rFonts w:ascii="宋体" w:hAnsi="宋体" w:cs="宋体"/>
                <w:b w:val="0"/>
                <w:bCs w:val="0"/>
                <w:sz w:val="24"/>
                <w:szCs w:val="24"/>
              </w:rPr>
            </w:pPr>
            <w:r>
              <w:rPr>
                <w:rFonts w:hint="eastAsia" w:ascii="宋体" w:hAnsi="宋体" w:cs="宋体"/>
                <w:b w:val="0"/>
                <w:bCs w:val="0"/>
                <w:sz w:val="24"/>
                <w:szCs w:val="24"/>
              </w:rPr>
              <w:t>成交原则</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质量和服务均能满足采购文件实质性响应要求且最后报价最低的原则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color w:val="000000"/>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p>
        </w:tc>
        <w:tc>
          <w:tcPr>
            <w:tcW w:w="1336" w:type="dxa"/>
            <w:vAlign w:val="center"/>
          </w:tcPr>
          <w:p>
            <w:pPr>
              <w:spacing w:line="360" w:lineRule="auto"/>
              <w:jc w:val="center"/>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b w:val="0"/>
                <w:bCs w:val="0"/>
                <w:sz w:val="24"/>
                <w:szCs w:val="24"/>
                <w:highlight w:val="none"/>
              </w:rPr>
              <w:t>是否采购进口产品</w:t>
            </w:r>
          </w:p>
        </w:tc>
        <w:tc>
          <w:tcPr>
            <w:tcW w:w="7377" w:type="dxa"/>
            <w:vAlign w:val="center"/>
          </w:tcPr>
          <w:p>
            <w:pPr>
              <w:spacing w:line="360" w:lineRule="auto"/>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p>
        </w:tc>
        <w:tc>
          <w:tcPr>
            <w:tcW w:w="1336" w:type="dxa"/>
            <w:vAlign w:val="center"/>
          </w:tcPr>
          <w:p>
            <w:pPr>
              <w:spacing w:line="360" w:lineRule="auto"/>
              <w:jc w:val="center"/>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b w:val="0"/>
                <w:bCs w:val="0"/>
                <w:sz w:val="24"/>
                <w:szCs w:val="24"/>
                <w:highlight w:val="none"/>
              </w:rPr>
              <w:t>现场勘查</w:t>
            </w:r>
          </w:p>
        </w:tc>
        <w:tc>
          <w:tcPr>
            <w:tcW w:w="7377" w:type="dxa"/>
            <w:vAlign w:val="center"/>
          </w:tcPr>
          <w:p>
            <w:pPr>
              <w:spacing w:line="360" w:lineRule="auto"/>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14</w:t>
            </w:r>
          </w:p>
        </w:tc>
        <w:tc>
          <w:tcPr>
            <w:tcW w:w="1336" w:type="dxa"/>
            <w:vAlign w:val="center"/>
          </w:tcPr>
          <w:p>
            <w:pPr>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代理服务费</w:t>
            </w:r>
          </w:p>
        </w:tc>
        <w:tc>
          <w:tcPr>
            <w:tcW w:w="7377" w:type="dxa"/>
            <w:vAlign w:val="center"/>
          </w:tcPr>
          <w:p>
            <w:pPr>
              <w:spacing w:line="560" w:lineRule="exact"/>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rPr>
              <w:t>参照国家计委颁布的《招标代理服务收费管理暂行办法》（计价格[2002]1980号）和发改办价格[2003]857号文件等法律法规规定的计价标准收取（含税），按照中标金额差额定率累进法计算，由中标/成交单位一次性支付</w:t>
            </w:r>
            <w:r>
              <w:rPr>
                <w:rFonts w:hint="eastAsia" w:ascii="宋体" w:hAnsi="宋体" w:cs="宋体"/>
                <w:sz w:val="24"/>
                <w:szCs w:val="24"/>
                <w:highlight w:val="none"/>
                <w:lang w:eastAsia="zh-CN"/>
              </w:rPr>
              <w:t>。</w:t>
            </w:r>
          </w:p>
          <w:p>
            <w:pPr>
              <w:spacing w:line="56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sz w:val="24"/>
                <w:szCs w:val="24"/>
              </w:rPr>
              <w:t>供应商将招标代理服务费计入响应报价但不单独列明，中标</w:t>
            </w:r>
            <w:r>
              <w:rPr>
                <w:rFonts w:hint="eastAsia" w:ascii="宋体" w:hAnsi="宋体" w:cs="宋体"/>
                <w:sz w:val="24"/>
                <w:szCs w:val="24"/>
                <w:lang w:eastAsia="zh-CN"/>
              </w:rPr>
              <w:t>（</w:t>
            </w:r>
            <w:r>
              <w:rPr>
                <w:rFonts w:hint="eastAsia" w:ascii="宋体" w:hAnsi="宋体" w:cs="宋体"/>
                <w:sz w:val="24"/>
                <w:szCs w:val="24"/>
                <w:lang w:val="en-US" w:eastAsia="zh-CN"/>
              </w:rPr>
              <w:t>成交</w:t>
            </w:r>
            <w:r>
              <w:rPr>
                <w:rFonts w:hint="eastAsia" w:ascii="宋体" w:hAnsi="宋体" w:cs="宋体"/>
                <w:sz w:val="24"/>
                <w:szCs w:val="24"/>
                <w:lang w:eastAsia="zh-CN"/>
              </w:rPr>
              <w:t>）</w:t>
            </w:r>
            <w:r>
              <w:rPr>
                <w:rFonts w:hint="eastAsia" w:ascii="宋体" w:hAnsi="宋体" w:cs="宋体"/>
                <w:sz w:val="24"/>
                <w:szCs w:val="24"/>
              </w:rPr>
              <w:t>供应商在领取中标</w:t>
            </w:r>
            <w:r>
              <w:rPr>
                <w:rFonts w:hint="eastAsia" w:ascii="宋体" w:hAnsi="宋体" w:cs="宋体"/>
                <w:sz w:val="24"/>
                <w:szCs w:val="24"/>
                <w:lang w:eastAsia="zh-CN"/>
              </w:rPr>
              <w:t>（</w:t>
            </w:r>
            <w:r>
              <w:rPr>
                <w:rFonts w:hint="eastAsia" w:ascii="宋体" w:hAnsi="宋体" w:cs="宋体"/>
                <w:sz w:val="24"/>
                <w:szCs w:val="24"/>
                <w:lang w:val="en-US" w:eastAsia="zh-CN"/>
              </w:rPr>
              <w:t>成交</w:t>
            </w:r>
            <w:r>
              <w:rPr>
                <w:rFonts w:hint="eastAsia" w:ascii="宋体" w:hAnsi="宋体" w:cs="宋体"/>
                <w:sz w:val="24"/>
                <w:szCs w:val="24"/>
                <w:lang w:eastAsia="zh-CN"/>
              </w:rPr>
              <w:t>）</w:t>
            </w:r>
            <w:r>
              <w:rPr>
                <w:rFonts w:hint="eastAsia" w:ascii="宋体" w:hAnsi="宋体" w:cs="宋体"/>
                <w:sz w:val="24"/>
                <w:szCs w:val="24"/>
              </w:rPr>
              <w:t>通知书前须向采购代理机构一次性支付招标代理服务费</w:t>
            </w:r>
            <w:r>
              <w:rPr>
                <w:rFonts w:hint="eastAsia" w:ascii="宋体" w:hAnsi="宋体" w:cs="宋体"/>
                <w:sz w:val="24"/>
                <w:szCs w:val="24"/>
                <w:lang w:eastAsia="zh-CN"/>
              </w:rPr>
              <w:t>。代理服务费以转账、电汇或现金等形式交纳。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5</w:t>
            </w:r>
          </w:p>
        </w:tc>
        <w:tc>
          <w:tcPr>
            <w:tcW w:w="1336"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是否专门面向中小企业</w:t>
            </w:r>
          </w:p>
        </w:tc>
        <w:tc>
          <w:tcPr>
            <w:tcW w:w="7377" w:type="dxa"/>
            <w:vAlign w:val="center"/>
          </w:tcPr>
          <w:p>
            <w:pPr>
              <w:ind w:right="158" w:rightChars="75"/>
              <w:rPr>
                <w:rFonts w:hint="eastAsia" w:eastAsia="宋体" w:asciiTheme="minorHAnsi" w:hAnsiTheme="minorHAnsi" w:cstheme="minorBidi"/>
                <w:b/>
                <w:bCs/>
                <w:kern w:val="2"/>
                <w:sz w:val="24"/>
                <w:szCs w:val="24"/>
                <w:highlight w:val="none"/>
                <w:lang w:val="en-US" w:eastAsia="zh-CN" w:bidi="ar-SA"/>
              </w:rPr>
            </w:pPr>
            <w:r>
              <w:rPr>
                <w:rFonts w:hint="eastAsia" w:eastAsia="宋体" w:cstheme="minorBidi"/>
                <w:b/>
                <w:bCs/>
                <w:kern w:val="2"/>
                <w:sz w:val="24"/>
                <w:szCs w:val="24"/>
                <w:highlight w:val="none"/>
                <w:lang w:val="en-US" w:eastAsia="zh-CN" w:bidi="ar-S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16</w:t>
            </w:r>
          </w:p>
        </w:tc>
        <w:tc>
          <w:tcPr>
            <w:tcW w:w="1336" w:type="dxa"/>
            <w:vAlign w:val="center"/>
          </w:tcPr>
          <w:p>
            <w:pPr>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供应商</w:t>
            </w:r>
          </w:p>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提出质疑的时间、形式</w:t>
            </w:r>
          </w:p>
        </w:tc>
        <w:tc>
          <w:tcPr>
            <w:tcW w:w="7377" w:type="dxa"/>
            <w:vAlign w:val="center"/>
          </w:tcPr>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形式：书面；</w:t>
            </w:r>
          </w:p>
          <w:p>
            <w:pPr>
              <w:spacing w:line="360" w:lineRule="auto"/>
              <w:jc w:val="left"/>
              <w:rPr>
                <w:rFonts w:hint="eastAsia" w:asciiTheme="minorHAnsi" w:hAnsiTheme="minorHAnsi" w:eastAsiaTheme="minorEastAsia" w:cstheme="minorBidi"/>
                <w:kern w:val="2"/>
                <w:sz w:val="21"/>
                <w:szCs w:val="22"/>
                <w:highlight w:val="none"/>
                <w:lang w:val="en-US" w:eastAsia="zh-CN" w:bidi="ar-SA"/>
              </w:rPr>
            </w:pPr>
            <w:r>
              <w:rPr>
                <w:rFonts w:hint="eastAsia" w:ascii="宋体" w:hAnsi="宋体" w:cs="宋体"/>
                <w:sz w:val="24"/>
                <w:szCs w:val="24"/>
                <w:highlight w:val="none"/>
              </w:rPr>
              <w:t>环节：</w:t>
            </w:r>
            <w:r>
              <w:rPr>
                <w:rFonts w:hint="eastAsia" w:ascii="宋体" w:hAnsi="宋体" w:cs="宋体"/>
                <w:sz w:val="24"/>
                <w:szCs w:val="24"/>
                <w:highlight w:val="none"/>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17</w:t>
            </w:r>
          </w:p>
        </w:tc>
        <w:tc>
          <w:tcPr>
            <w:tcW w:w="1336" w:type="dxa"/>
            <w:vAlign w:val="center"/>
          </w:tcPr>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对供应商提出质疑答复时间、形式</w:t>
            </w:r>
          </w:p>
        </w:tc>
        <w:tc>
          <w:tcPr>
            <w:tcW w:w="7377" w:type="dxa"/>
            <w:vAlign w:val="center"/>
          </w:tcPr>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时间：自收到供应商质疑函之日起7个工作日内</w:t>
            </w:r>
          </w:p>
          <w:p>
            <w:pPr>
              <w:spacing w:line="360" w:lineRule="auto"/>
              <w:jc w:val="left"/>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18</w:t>
            </w:r>
          </w:p>
        </w:tc>
        <w:tc>
          <w:tcPr>
            <w:tcW w:w="1336" w:type="dxa"/>
            <w:vAlign w:val="center"/>
          </w:tcPr>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供应商信用信息查询</w:t>
            </w:r>
            <w:r>
              <w:rPr>
                <w:rFonts w:hint="eastAsia" w:ascii="宋体" w:hAnsi="宋体" w:cs="宋体"/>
                <w:sz w:val="24"/>
                <w:szCs w:val="24"/>
                <w:highlight w:val="none"/>
                <w:lang w:val="en-US" w:eastAsia="zh-CN"/>
              </w:rPr>
              <w:t>截止</w:t>
            </w:r>
            <w:r>
              <w:rPr>
                <w:rFonts w:hint="eastAsia" w:ascii="宋体" w:hAnsi="宋体" w:cs="宋体"/>
                <w:sz w:val="24"/>
                <w:szCs w:val="24"/>
                <w:highlight w:val="none"/>
                <w:lang w:val="zh-CN"/>
              </w:rPr>
              <w:t>时点</w:t>
            </w:r>
          </w:p>
        </w:tc>
        <w:tc>
          <w:tcPr>
            <w:tcW w:w="7377" w:type="dxa"/>
            <w:vAlign w:val="center"/>
          </w:tcPr>
          <w:p>
            <w:pPr>
              <w:spacing w:line="360" w:lineRule="auto"/>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19</w:t>
            </w:r>
          </w:p>
        </w:tc>
        <w:tc>
          <w:tcPr>
            <w:tcW w:w="1336" w:type="dxa"/>
            <w:vAlign w:val="center"/>
          </w:tcPr>
          <w:p>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bidi="ar-SA"/>
              </w:rPr>
              <w:t>弃标须知</w:t>
            </w:r>
          </w:p>
        </w:tc>
        <w:tc>
          <w:tcPr>
            <w:tcW w:w="7377"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根据市财函〔2021〕431号文第16条规定：供应商登记免费领取采购文件的，如不参与项目投标，应在递交投标（或</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）文件截止时间前一日以书面形式告知采购代理机构。否则，采购代理机构可以向财政部门反应情况并提供佐证。供应商一年内累计出现三次该情形，将被监管部门记录为失信行为。</w:t>
            </w:r>
          </w:p>
          <w:p>
            <w:pPr>
              <w:pStyle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bidi="ar-SA"/>
              </w:rPr>
              <w:t>确认通知格式</w:t>
            </w:r>
            <w:r>
              <w:rPr>
                <w:rFonts w:hint="eastAsia" w:asciiTheme="minorEastAsia" w:hAnsiTheme="minorEastAsia" w:cstheme="minorEastAsia"/>
                <w:b/>
                <w:bCs/>
                <w:sz w:val="24"/>
                <w:szCs w:val="24"/>
                <w:lang w:val="en-US" w:eastAsia="zh-CN" w:bidi="ar-SA"/>
              </w:rPr>
              <w:t>下附</w:t>
            </w:r>
            <w:r>
              <w:rPr>
                <w:rFonts w:hint="eastAsia" w:asciiTheme="minorEastAsia" w:hAnsiTheme="minorEastAsia" w:eastAsiaTheme="minorEastAsia" w:cstheme="minorEastAsia"/>
                <w:b/>
                <w:bCs/>
                <w:sz w:val="24"/>
                <w:szCs w:val="24"/>
                <w:lang w:val="en-US" w:eastAsia="zh-CN" w:bidi="ar-SA"/>
              </w:rPr>
              <w:t>，供应商无论是否参与本项目投标，均需在递交响应文件</w:t>
            </w:r>
            <w:r>
              <w:rPr>
                <w:rFonts w:hint="eastAsia" w:asciiTheme="minorEastAsia" w:hAnsiTheme="minorEastAsia" w:eastAsiaTheme="minorEastAsia" w:cstheme="minorEastAsia"/>
                <w:b/>
                <w:bCs/>
                <w:sz w:val="24"/>
                <w:szCs w:val="24"/>
              </w:rPr>
              <w:t>截止时间前一日以书面形式告知采购代理机构。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cs="宋体"/>
                <w:kern w:val="2"/>
                <w:sz w:val="24"/>
                <w:szCs w:val="24"/>
                <w:lang w:val="en-US" w:eastAsia="zh-CN" w:bidi="ar-SA"/>
              </w:rPr>
            </w:pPr>
            <w:bookmarkStart w:id="5" w:name="_Toc19272"/>
            <w:r>
              <w:rPr>
                <w:rFonts w:hint="eastAsia" w:ascii="宋体" w:cs="宋体"/>
                <w:kern w:val="2"/>
                <w:sz w:val="24"/>
                <w:szCs w:val="24"/>
                <w:lang w:val="en-US" w:eastAsia="zh-CN" w:bidi="ar-SA"/>
              </w:rPr>
              <w:t>20</w:t>
            </w:r>
          </w:p>
        </w:tc>
        <w:tc>
          <w:tcPr>
            <w:tcW w:w="1336" w:type="dxa"/>
            <w:vAlign w:val="center"/>
          </w:tcPr>
          <w:p>
            <w:pPr>
              <w:jc w:val="center"/>
              <w:rPr>
                <w:rFonts w:hint="eastAsia" w:ascii="宋体" w:cs="宋体" w:eastAsiaTheme="minorEastAsia"/>
                <w:sz w:val="24"/>
                <w:szCs w:val="24"/>
                <w:lang w:val="en-US" w:eastAsia="zh-CN" w:bidi="ar-SA"/>
              </w:rPr>
            </w:pPr>
            <w:r>
              <w:rPr>
                <w:rFonts w:hint="eastAsia" w:ascii="宋体" w:cs="宋体"/>
                <w:sz w:val="24"/>
                <w:szCs w:val="24"/>
                <w:lang w:val="en-US" w:eastAsia="zh-CN" w:bidi="ar-SA"/>
              </w:rPr>
              <w:t>确认通知</w:t>
            </w:r>
          </w:p>
        </w:tc>
        <w:tc>
          <w:tcPr>
            <w:tcW w:w="7377" w:type="dxa"/>
            <w:vAlign w:val="center"/>
          </w:tcPr>
          <w:tbl>
            <w:tblPr>
              <w:tblStyle w:val="22"/>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7320" w:type="dxa"/>
                  <w:noWrap w:val="0"/>
                  <w:vAlign w:val="top"/>
                </w:tcPr>
                <w:p>
                  <w:pPr>
                    <w:spacing w:line="360" w:lineRule="auto"/>
                    <w:jc w:val="center"/>
                    <w:rPr>
                      <w:rFonts w:hint="eastAsia" w:hAnsi="宋体" w:cs="宋体"/>
                      <w:b/>
                      <w:kern w:val="2"/>
                      <w:sz w:val="24"/>
                      <w:szCs w:val="24"/>
                    </w:rPr>
                  </w:pPr>
                  <w:r>
                    <w:rPr>
                      <w:rFonts w:hint="eastAsia" w:hAnsi="宋体" w:cs="宋体"/>
                      <w:b/>
                      <w:kern w:val="2"/>
                      <w:sz w:val="24"/>
                      <w:szCs w:val="24"/>
                    </w:rPr>
                    <w:t>确认通知（格式）</w:t>
                  </w:r>
                </w:p>
                <w:p>
                  <w:pPr>
                    <w:spacing w:line="360" w:lineRule="auto"/>
                    <w:rPr>
                      <w:rFonts w:hint="default" w:hAnsi="宋体" w:cs="宋体" w:eastAsiaTheme="minorEastAsia"/>
                      <w:kern w:val="2"/>
                      <w:sz w:val="24"/>
                      <w:szCs w:val="24"/>
                      <w:u w:val="none"/>
                      <w:lang w:val="en-US" w:eastAsia="zh-CN"/>
                    </w:rPr>
                  </w:pPr>
                  <w:r>
                    <w:rPr>
                      <w:rFonts w:hint="eastAsia" w:hAnsi="宋体" w:cs="宋体"/>
                      <w:kern w:val="2"/>
                      <w:sz w:val="24"/>
                      <w:szCs w:val="24"/>
                      <w:u w:val="single"/>
                    </w:rPr>
                    <w:t xml:space="preserve">  </w:t>
                  </w:r>
                  <w:r>
                    <w:rPr>
                      <w:rFonts w:hint="eastAsia" w:hAnsi="宋体" w:cs="宋体"/>
                      <w:kern w:val="2"/>
                      <w:sz w:val="24"/>
                      <w:szCs w:val="24"/>
                      <w:u w:val="single"/>
                      <w:lang w:val="en-US" w:eastAsia="zh-CN"/>
                    </w:rPr>
                    <w:t xml:space="preserve">                       </w:t>
                  </w:r>
                  <w:r>
                    <w:rPr>
                      <w:rFonts w:hint="eastAsia" w:hAnsi="宋体" w:cs="宋体"/>
                      <w:kern w:val="2"/>
                      <w:sz w:val="24"/>
                      <w:szCs w:val="24"/>
                      <w:u w:val="none"/>
                      <w:lang w:val="en-US" w:eastAsia="zh-CN"/>
                    </w:rPr>
                    <w:t>（采购人/采购代理机构）</w:t>
                  </w:r>
                </w:p>
                <w:p>
                  <w:pPr>
                    <w:spacing w:line="360" w:lineRule="auto"/>
                    <w:ind w:firstLine="480" w:firstLineChars="200"/>
                    <w:rPr>
                      <w:rFonts w:hAnsi="宋体" w:cs="宋体"/>
                      <w:kern w:val="2"/>
                      <w:sz w:val="24"/>
                      <w:szCs w:val="24"/>
                    </w:rPr>
                  </w:pPr>
                  <w:r>
                    <w:rPr>
                      <w:rFonts w:hint="eastAsia" w:hAnsi="宋体" w:cs="宋体"/>
                      <w:kern w:val="2"/>
                      <w:sz w:val="24"/>
                      <w:szCs w:val="24"/>
                    </w:rPr>
                    <w:t>我方已于</w:t>
                  </w:r>
                  <w:r>
                    <w:rPr>
                      <w:rFonts w:hint="eastAsia" w:hAnsi="宋体" w:cs="宋体"/>
                      <w:kern w:val="2"/>
                      <w:sz w:val="24"/>
                      <w:szCs w:val="24"/>
                      <w:u w:val="single"/>
                    </w:rPr>
                    <w:t>202</w:t>
                  </w:r>
                  <w:r>
                    <w:rPr>
                      <w:rFonts w:hint="eastAsia" w:hAnsi="宋体" w:cs="宋体"/>
                      <w:kern w:val="2"/>
                      <w:sz w:val="24"/>
                      <w:szCs w:val="24"/>
                      <w:u w:val="single"/>
                      <w:lang w:val="en-US" w:eastAsia="zh-CN"/>
                    </w:rPr>
                    <w:t>2</w:t>
                  </w:r>
                  <w:r>
                    <w:rPr>
                      <w:rFonts w:hint="eastAsia" w:hAnsi="宋体" w:cs="宋体"/>
                      <w:kern w:val="2"/>
                      <w:sz w:val="24"/>
                      <w:szCs w:val="24"/>
                    </w:rPr>
                    <w:t>年</w:t>
                  </w:r>
                  <w:r>
                    <w:rPr>
                      <w:rFonts w:hint="eastAsia" w:hAnsi="宋体" w:cs="宋体"/>
                      <w:kern w:val="2"/>
                      <w:sz w:val="24"/>
                      <w:szCs w:val="24"/>
                      <w:u w:val="single"/>
                    </w:rPr>
                    <w:t xml:space="preserve">  </w:t>
                  </w:r>
                  <w:r>
                    <w:rPr>
                      <w:rFonts w:hint="eastAsia" w:hAnsi="宋体" w:cs="宋体"/>
                      <w:kern w:val="2"/>
                      <w:sz w:val="24"/>
                      <w:szCs w:val="24"/>
                    </w:rPr>
                    <w:t>月</w:t>
                  </w:r>
                  <w:r>
                    <w:rPr>
                      <w:rFonts w:hint="eastAsia" w:hAnsi="宋体" w:cs="宋体"/>
                      <w:kern w:val="2"/>
                      <w:sz w:val="24"/>
                      <w:szCs w:val="24"/>
                      <w:u w:val="single"/>
                    </w:rPr>
                    <w:t xml:space="preserve">  </w:t>
                  </w:r>
                  <w:r>
                    <w:rPr>
                      <w:rFonts w:hint="eastAsia" w:hAnsi="宋体" w:cs="宋体"/>
                      <w:kern w:val="2"/>
                      <w:sz w:val="24"/>
                      <w:szCs w:val="24"/>
                    </w:rPr>
                    <w:t>日收到你方</w:t>
                  </w:r>
                  <w:r>
                    <w:rPr>
                      <w:rFonts w:hint="eastAsia" w:hAnsi="宋体" w:cs="宋体"/>
                      <w:kern w:val="2"/>
                      <w:sz w:val="24"/>
                      <w:szCs w:val="24"/>
                      <w:u w:val="single"/>
                    </w:rPr>
                    <w:t>202</w:t>
                  </w:r>
                  <w:r>
                    <w:rPr>
                      <w:rFonts w:hint="eastAsia" w:hAnsi="宋体" w:cs="宋体"/>
                      <w:kern w:val="2"/>
                      <w:sz w:val="24"/>
                      <w:szCs w:val="24"/>
                      <w:u w:val="single"/>
                      <w:lang w:val="en-US" w:eastAsia="zh-CN"/>
                    </w:rPr>
                    <w:t>2</w:t>
                  </w:r>
                  <w:r>
                    <w:rPr>
                      <w:rFonts w:hint="eastAsia" w:hAnsi="宋体" w:cs="宋体"/>
                      <w:kern w:val="2"/>
                      <w:sz w:val="24"/>
                      <w:szCs w:val="24"/>
                    </w:rPr>
                    <w:t>年</w:t>
                  </w:r>
                  <w:r>
                    <w:rPr>
                      <w:rFonts w:hint="eastAsia" w:hAnsi="宋体" w:cs="宋体"/>
                      <w:kern w:val="2"/>
                      <w:sz w:val="24"/>
                      <w:szCs w:val="24"/>
                      <w:u w:val="single"/>
                    </w:rPr>
                    <w:t xml:space="preserve">  </w:t>
                  </w:r>
                  <w:r>
                    <w:rPr>
                      <w:rFonts w:hint="eastAsia" w:hAnsi="宋体" w:cs="宋体"/>
                      <w:kern w:val="2"/>
                      <w:sz w:val="24"/>
                      <w:szCs w:val="24"/>
                    </w:rPr>
                    <w:t>月</w:t>
                  </w:r>
                  <w:r>
                    <w:rPr>
                      <w:rFonts w:hint="eastAsia" w:hAnsi="宋体" w:cs="宋体"/>
                      <w:kern w:val="2"/>
                      <w:sz w:val="24"/>
                      <w:szCs w:val="24"/>
                      <w:u w:val="single"/>
                    </w:rPr>
                    <w:t xml:space="preserve">  </w:t>
                  </w:r>
                  <w:r>
                    <w:rPr>
                      <w:rFonts w:hint="eastAsia" w:hAnsi="宋体" w:cs="宋体"/>
                      <w:kern w:val="2"/>
                      <w:sz w:val="24"/>
                      <w:szCs w:val="24"/>
                    </w:rPr>
                    <w:t>日发出的</w:t>
                  </w:r>
                  <w:r>
                    <w:rPr>
                      <w:rFonts w:hint="eastAsia" w:hAnsi="宋体" w:cs="宋体"/>
                      <w:kern w:val="2"/>
                      <w:sz w:val="24"/>
                      <w:szCs w:val="24"/>
                      <w:u w:val="single"/>
                      <w:lang w:val="en-US" w:eastAsia="zh-CN"/>
                    </w:rPr>
                    <w:t>西安市第六中学分校图书馆智慧系统及监控系统采购项目</w:t>
                  </w:r>
                  <w:r>
                    <w:rPr>
                      <w:rFonts w:hint="eastAsia" w:hAnsi="宋体" w:cs="宋体"/>
                      <w:kern w:val="2"/>
                      <w:sz w:val="24"/>
                      <w:szCs w:val="24"/>
                      <w:lang w:val="en-US" w:eastAsia="zh-CN"/>
                    </w:rPr>
                    <w:t>竞争性谈判</w:t>
                  </w:r>
                  <w:r>
                    <w:rPr>
                      <w:rFonts w:hint="eastAsia" w:hAnsi="宋体" w:cs="宋体"/>
                      <w:kern w:val="2"/>
                      <w:sz w:val="24"/>
                      <w:szCs w:val="24"/>
                    </w:rPr>
                    <w:t>文件，并确认</w:t>
                  </w:r>
                  <w:r>
                    <w:rPr>
                      <w:rFonts w:hint="eastAsia" w:hAnsi="宋体" w:cs="宋体"/>
                      <w:kern w:val="2"/>
                      <w:sz w:val="24"/>
                      <w:szCs w:val="24"/>
                      <w:u w:val="single"/>
                    </w:rPr>
                    <w:t>（参加/不参加）</w:t>
                  </w:r>
                  <w:r>
                    <w:rPr>
                      <w:rFonts w:hint="eastAsia" w:hAnsi="宋体" w:cs="宋体"/>
                      <w:kern w:val="2"/>
                      <w:sz w:val="24"/>
                      <w:szCs w:val="24"/>
                    </w:rPr>
                    <w:t>本项目投标。</w:t>
                  </w:r>
                </w:p>
                <w:p>
                  <w:pPr>
                    <w:spacing w:line="360" w:lineRule="auto"/>
                    <w:ind w:firstLine="480" w:firstLineChars="200"/>
                    <w:rPr>
                      <w:rFonts w:hAnsi="宋体" w:cs="宋体"/>
                      <w:kern w:val="2"/>
                      <w:sz w:val="24"/>
                      <w:szCs w:val="24"/>
                    </w:rPr>
                  </w:pPr>
                  <w:r>
                    <w:rPr>
                      <w:rFonts w:hint="eastAsia" w:hAnsi="宋体" w:cs="宋体"/>
                      <w:kern w:val="2"/>
                      <w:sz w:val="24"/>
                      <w:szCs w:val="24"/>
                    </w:rPr>
                    <w:t>特此确认。</w:t>
                  </w:r>
                </w:p>
                <w:p>
                  <w:pPr>
                    <w:spacing w:line="360" w:lineRule="auto"/>
                    <w:rPr>
                      <w:rFonts w:hAnsi="宋体" w:cs="宋体"/>
                      <w:kern w:val="2"/>
                      <w:sz w:val="24"/>
                      <w:szCs w:val="24"/>
                    </w:rPr>
                  </w:pPr>
                  <w:r>
                    <w:rPr>
                      <w:rFonts w:hint="eastAsia" w:hAnsi="宋体" w:cs="宋体"/>
                      <w:kern w:val="2"/>
                      <w:sz w:val="24"/>
                      <w:szCs w:val="24"/>
                    </w:rPr>
                    <w:t xml:space="preserve">                                 </w:t>
                  </w:r>
                  <w:r>
                    <w:rPr>
                      <w:rFonts w:hint="eastAsia" w:hAnsi="宋体" w:cs="宋体"/>
                      <w:kern w:val="2"/>
                      <w:sz w:val="24"/>
                      <w:szCs w:val="24"/>
                      <w:lang w:val="en-US" w:eastAsia="zh-CN"/>
                    </w:rPr>
                    <w:t>供应商</w:t>
                  </w:r>
                  <w:r>
                    <w:rPr>
                      <w:rFonts w:hint="eastAsia" w:hAnsi="宋体" w:cs="宋体"/>
                      <w:kern w:val="2"/>
                      <w:sz w:val="24"/>
                      <w:szCs w:val="24"/>
                    </w:rPr>
                    <w:t>名称：（加盖公章）</w:t>
                  </w:r>
                </w:p>
                <w:p>
                  <w:pPr>
                    <w:spacing w:line="360" w:lineRule="auto"/>
                    <w:rPr>
                      <w:rFonts w:hAnsi="宋体" w:cs="宋体"/>
                      <w:kern w:val="2"/>
                      <w:sz w:val="24"/>
                      <w:szCs w:val="24"/>
                    </w:rPr>
                  </w:pPr>
                  <w:r>
                    <w:rPr>
                      <w:rFonts w:hint="eastAsia" w:hAnsi="宋体" w:cs="宋体"/>
                      <w:kern w:val="2"/>
                      <w:sz w:val="24"/>
                      <w:szCs w:val="24"/>
                    </w:rPr>
                    <w:t xml:space="preserve">                                 法定代表人：（签字或盖章）</w:t>
                  </w:r>
                </w:p>
                <w:p>
                  <w:pPr>
                    <w:spacing w:line="360" w:lineRule="auto"/>
                    <w:jc w:val="center"/>
                    <w:rPr>
                      <w:rFonts w:hint="eastAsia" w:hAnsi="宋体" w:cs="宋体"/>
                      <w:b/>
                      <w:kern w:val="2"/>
                      <w:sz w:val="24"/>
                      <w:szCs w:val="24"/>
                    </w:rPr>
                  </w:pPr>
                  <w:r>
                    <w:rPr>
                      <w:rFonts w:hint="eastAsia" w:hAnsi="宋体" w:cs="宋体"/>
                      <w:kern w:val="2"/>
                      <w:sz w:val="24"/>
                      <w:szCs w:val="24"/>
                    </w:rPr>
                    <w:t xml:space="preserve">                    </w:t>
                  </w:r>
                  <w:r>
                    <w:rPr>
                      <w:rFonts w:hint="eastAsia" w:hAnsi="宋体" w:cs="宋体"/>
                      <w:kern w:val="2"/>
                      <w:sz w:val="24"/>
                      <w:szCs w:val="24"/>
                      <w:lang w:val="en-US" w:eastAsia="zh-CN"/>
                    </w:rPr>
                    <w:t xml:space="preserve">        </w:t>
                  </w:r>
                  <w:r>
                    <w:rPr>
                      <w:rFonts w:hint="eastAsia" w:hAnsi="宋体" w:cs="宋体"/>
                      <w:kern w:val="2"/>
                      <w:sz w:val="24"/>
                      <w:szCs w:val="24"/>
                    </w:rPr>
                    <w:t>日期：   年   月   日</w:t>
                  </w:r>
                </w:p>
              </w:tc>
            </w:tr>
          </w:tbl>
          <w:p>
            <w:pPr>
              <w:spacing w:line="360" w:lineRule="auto"/>
              <w:ind w:firstLine="480" w:firstLineChars="200"/>
              <w:jc w:val="left"/>
              <w:rPr>
                <w:rFonts w:hint="eastAsia" w:ascii="宋体" w:cs="宋体"/>
                <w:sz w:val="24"/>
                <w:szCs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21</w:t>
            </w:r>
          </w:p>
        </w:tc>
        <w:tc>
          <w:tcPr>
            <w:tcW w:w="1336" w:type="dxa"/>
            <w:vAlign w:val="center"/>
          </w:tcPr>
          <w:p>
            <w:pPr>
              <w:jc w:val="center"/>
              <w:rPr>
                <w:rFonts w:hint="eastAsia" w:ascii="宋体" w:cs="宋体" w:hAnsiTheme="minorHAnsi" w:eastAsiaTheme="minorEastAsia"/>
                <w:kern w:val="2"/>
                <w:sz w:val="24"/>
                <w:szCs w:val="24"/>
                <w:lang w:val="en-US" w:eastAsia="zh-CN" w:bidi="ar-SA"/>
              </w:rPr>
            </w:pPr>
            <w:r>
              <w:rPr>
                <w:rFonts w:hint="eastAsia" w:ascii="宋体" w:cs="宋体"/>
                <w:sz w:val="24"/>
                <w:szCs w:val="24"/>
                <w:lang w:bidi="ar-SA"/>
              </w:rPr>
              <w:t>政府采购信用融资</w:t>
            </w:r>
          </w:p>
        </w:tc>
        <w:tc>
          <w:tcPr>
            <w:tcW w:w="7377" w:type="dxa"/>
            <w:vAlign w:val="center"/>
          </w:tcPr>
          <w:p>
            <w:pPr>
              <w:spacing w:line="360" w:lineRule="auto"/>
              <w:ind w:firstLine="480" w:firstLineChars="200"/>
              <w:jc w:val="left"/>
              <w:rPr>
                <w:rFonts w:hint="eastAsia" w:ascii="宋体" w:cs="宋体"/>
                <w:sz w:val="24"/>
                <w:szCs w:val="24"/>
                <w:lang w:bidi="ar-SA"/>
              </w:rPr>
            </w:pPr>
            <w:r>
              <w:rPr>
                <w:rFonts w:hint="eastAsia" w:ascii="宋体" w:cs="宋体"/>
                <w:sz w:val="24"/>
                <w:szCs w:val="24"/>
                <w:lang w:bidi="ar-SA"/>
              </w:rPr>
              <w:t>成交供应商缴纳履约保证金时可自愿选择通过担保机构保函的形式缴纳；</w:t>
            </w:r>
            <w:r>
              <w:rPr>
                <w:rFonts w:hint="eastAsia" w:ascii="宋体" w:cs="宋体"/>
                <w:sz w:val="24"/>
                <w:szCs w:val="24"/>
                <w:lang w:val="en-US" w:eastAsia="zh-CN" w:bidi="ar-SA"/>
              </w:rPr>
              <w:t>成交</w:t>
            </w:r>
            <w:r>
              <w:rPr>
                <w:rFonts w:hint="eastAsia" w:ascii="宋体" w:cs="宋体"/>
                <w:sz w:val="24"/>
                <w:szCs w:val="24"/>
                <w:lang w:bidi="ar-SA"/>
              </w:rPr>
              <w:t>供应商如果需要融资贷款服务的，可凭</w:t>
            </w:r>
            <w:r>
              <w:rPr>
                <w:rFonts w:hint="eastAsia" w:ascii="宋体" w:cs="宋体"/>
                <w:sz w:val="24"/>
                <w:szCs w:val="24"/>
                <w:lang w:eastAsia="zh-CN" w:bidi="ar-SA"/>
              </w:rPr>
              <w:t>成交</w:t>
            </w:r>
            <w:r>
              <w:rPr>
                <w:rFonts w:hint="eastAsia" w:ascii="宋体" w:cs="宋体"/>
                <w:sz w:val="24"/>
                <w:szCs w:val="24"/>
                <w:lang w:bidi="ar-SA"/>
              </w:rPr>
              <w:t>通知书、政府采购合同等相关资料，按照实施方案规定的程序申请办理，具体规定可登陆西安市财政局网站(http://xaczj.xa.gov.cn/)政府采购专栏中西安市政府采购信用担保及信用融资合作机构联系名单</w:t>
            </w:r>
          </w:p>
          <w:p>
            <w:pPr>
              <w:spacing w:line="360" w:lineRule="auto"/>
              <w:ind w:firstLine="480" w:firstLineChars="200"/>
              <w:jc w:val="left"/>
              <w:rPr>
                <w:rFonts w:hint="eastAsia" w:ascii="宋体" w:cs="宋体" w:hAnsiTheme="minorHAnsi" w:eastAsiaTheme="minorEastAsia"/>
                <w:kern w:val="2"/>
                <w:sz w:val="24"/>
                <w:szCs w:val="24"/>
                <w:lang w:val="en-US" w:eastAsia="zh-CN" w:bidi="ar-SA"/>
              </w:rPr>
            </w:pPr>
            <w:r>
              <w:rPr>
                <w:rFonts w:hint="eastAsia" w:ascii="宋体" w:cs="宋体"/>
                <w:sz w:val="24"/>
                <w:szCs w:val="24"/>
                <w:lang w:bidi="ar-SA"/>
              </w:rPr>
              <w:t>（http://xaczj.xa.gov.cn/zfcg/cgfg/5db9054565cbd804f69e97e0.html）查询了解。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22</w:t>
            </w:r>
          </w:p>
        </w:tc>
        <w:tc>
          <w:tcPr>
            <w:tcW w:w="1336" w:type="dxa"/>
            <w:vAlign w:val="center"/>
          </w:tcPr>
          <w:p>
            <w:pPr>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其他</w:t>
            </w:r>
          </w:p>
        </w:tc>
        <w:tc>
          <w:tcPr>
            <w:tcW w:w="7377" w:type="dxa"/>
            <w:vAlign w:val="center"/>
          </w:tcPr>
          <w:p>
            <w:pPr>
              <w:spacing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本项目所属行业为工业。</w:t>
            </w:r>
          </w:p>
          <w:p>
            <w:pPr>
              <w:spacing w:line="560" w:lineRule="exact"/>
              <w:jc w:val="left"/>
              <w:rPr>
                <w:rFonts w:hint="eastAsia" w:ascii="宋体" w:hAnsi="宋体" w:cs="宋体" w:eastAsiaTheme="minorEastAsia"/>
                <w:kern w:val="2"/>
                <w:sz w:val="24"/>
                <w:szCs w:val="24"/>
                <w:lang w:val="en-US" w:eastAsia="zh-CN" w:bidi="ar-SA"/>
              </w:rPr>
            </w:pPr>
            <w:r>
              <w:rPr>
                <w:rFonts w:hint="eastAsia" w:ascii="宋体" w:hAnsi="宋体" w:cs="宋体"/>
                <w:sz w:val="24"/>
                <w:szCs w:val="24"/>
              </w:rPr>
              <w:t>凡是需要法定代表人签字或盖章之处，非法人单位的负责人均参照执行。</w:t>
            </w:r>
          </w:p>
        </w:tc>
      </w:tr>
    </w:tbl>
    <w:p>
      <w:pPr>
        <w:pStyle w:val="3"/>
        <w:keepLines w:val="0"/>
        <w:ind w:firstLine="643" w:firstLineChars="200"/>
        <w:rPr>
          <w:rFonts w:hint="eastAsia" w:ascii="宋体" w:hAnsi="宋体" w:cs="宋体"/>
        </w:rPr>
        <w:sectPr>
          <w:pgSz w:w="11906" w:h="16838"/>
          <w:pgMar w:top="1440" w:right="1706" w:bottom="1440" w:left="1800" w:header="851" w:footer="992" w:gutter="0"/>
          <w:pgNumType w:fmt="decimal"/>
          <w:cols w:space="720" w:num="1"/>
          <w:docGrid w:type="lines" w:linePitch="312" w:charSpace="0"/>
        </w:sectPr>
      </w:pPr>
    </w:p>
    <w:p>
      <w:pPr>
        <w:pStyle w:val="3"/>
        <w:keepLines w:val="0"/>
        <w:ind w:firstLine="643" w:firstLineChars="200"/>
        <w:rPr>
          <w:rFonts w:ascii="宋体" w:hAnsi="宋体" w:cs="宋体"/>
        </w:rPr>
      </w:pPr>
      <w:bookmarkStart w:id="6" w:name="_Toc23304"/>
      <w:r>
        <w:rPr>
          <w:rFonts w:hint="eastAsia" w:ascii="宋体" w:hAnsi="宋体" w:cs="宋体"/>
        </w:rPr>
        <w:t>第三部分  供应商须知</w:t>
      </w:r>
      <w:bookmarkEnd w:id="5"/>
      <w:bookmarkEnd w:id="6"/>
    </w:p>
    <w:p>
      <w:pPr>
        <w:pStyle w:val="4"/>
        <w:numPr>
          <w:ilvl w:val="0"/>
          <w:numId w:val="5"/>
        </w:numPr>
        <w:rPr>
          <w:rFonts w:ascii="宋体" w:hAnsi="宋体" w:cs="宋体"/>
        </w:rPr>
      </w:pPr>
      <w:bookmarkStart w:id="7" w:name="_Toc15735"/>
      <w:bookmarkStart w:id="8" w:name="_Toc26739"/>
      <w:bookmarkStart w:id="9" w:name="_Toc11336"/>
      <w:r>
        <w:rPr>
          <w:rFonts w:hint="eastAsia" w:ascii="宋体" w:hAnsi="宋体" w:cs="宋体"/>
        </w:rPr>
        <w:t>总 则</w:t>
      </w:r>
      <w:bookmarkEnd w:id="7"/>
      <w:bookmarkEnd w:id="8"/>
      <w:bookmarkEnd w:id="9"/>
    </w:p>
    <w:p>
      <w:pPr>
        <w:pStyle w:val="5"/>
        <w:numPr>
          <w:ilvl w:val="0"/>
          <w:numId w:val="6"/>
        </w:numPr>
        <w:spacing w:line="500" w:lineRule="exact"/>
        <w:ind w:firstLine="643" w:firstLineChars="200"/>
        <w:rPr>
          <w:rFonts w:ascii="宋体" w:hAnsi="宋体" w:cs="宋体"/>
          <w:szCs w:val="28"/>
        </w:rPr>
      </w:pPr>
      <w:bookmarkStart w:id="10" w:name="_Toc380336725"/>
      <w:bookmarkStart w:id="11" w:name="_Toc9257"/>
      <w:bookmarkStart w:id="12" w:name="_Toc358364319"/>
      <w:bookmarkStart w:id="13" w:name="_Toc6742"/>
      <w:r>
        <w:rPr>
          <w:rFonts w:hint="eastAsia" w:ascii="宋体" w:hAnsi="宋体" w:cs="宋体"/>
          <w:szCs w:val="28"/>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本谈判文件适用于本次采购活动的全过程。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采购人、采购代理机构、供应商、谈判小组的相关行为均受《中华人民共和国政府采购法》及实施条例、财政部规章及政府采购项目所在地有关法规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6"/>
        </w:numPr>
        <w:spacing w:line="500" w:lineRule="exact"/>
        <w:ind w:firstLine="643" w:firstLineChars="200"/>
        <w:rPr>
          <w:rFonts w:ascii="宋体" w:hAnsi="宋体" w:cs="宋体"/>
          <w:szCs w:val="28"/>
        </w:rPr>
      </w:pPr>
      <w:bookmarkStart w:id="14" w:name="_Toc17676"/>
      <w:bookmarkStart w:id="15" w:name="_Toc358364321"/>
      <w:bookmarkStart w:id="16" w:name="_Toc380336727"/>
      <w:bookmarkStart w:id="17" w:name="_Toc23781"/>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2.2供应商应独立于采购人，不得直接或间接地与采购人为采购本次采购的货物进行设计、编制技术规格和其它文件所委托的咨询公司或其附属机构有任何关联。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2.3供应商存在下列情形之一，其响应文件按无效文件处理。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谈判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6"/>
        </w:numPr>
        <w:spacing w:line="500" w:lineRule="exact"/>
        <w:ind w:firstLine="643" w:firstLineChars="200"/>
        <w:rPr>
          <w:rFonts w:ascii="宋体" w:hAnsi="宋体" w:cs="宋体"/>
          <w:szCs w:val="28"/>
        </w:rPr>
      </w:pPr>
      <w:bookmarkStart w:id="18" w:name="_Toc22444"/>
      <w:bookmarkStart w:id="19" w:name="_Toc540"/>
      <w:bookmarkStart w:id="20" w:name="_Toc380336728"/>
      <w:bookmarkStart w:id="21" w:name="_Toc358364322"/>
      <w:r>
        <w:rPr>
          <w:rFonts w:hint="eastAsia" w:ascii="宋体" w:hAnsi="宋体" w:cs="宋体"/>
          <w:szCs w:val="28"/>
        </w:rPr>
        <w:t>费用</w:t>
      </w:r>
      <w:bookmarkEnd w:id="18"/>
      <w:bookmarkEnd w:id="19"/>
      <w:bookmarkEnd w:id="20"/>
      <w:bookmarkEnd w:id="21"/>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bookmarkStart w:id="22" w:name="_Toc17817"/>
      <w:r>
        <w:rPr>
          <w:rFonts w:hint="eastAsia" w:ascii="宋体" w:hAnsi="宋体" w:cs="宋体"/>
          <w:sz w:val="24"/>
          <w:szCs w:val="24"/>
        </w:rPr>
        <w:t>供应商必须从代理机构</w:t>
      </w:r>
      <w:r>
        <w:rPr>
          <w:rFonts w:hint="eastAsia" w:ascii="宋体" w:hAnsi="宋体" w:cs="宋体"/>
          <w:sz w:val="24"/>
          <w:szCs w:val="24"/>
          <w:lang w:val="en-US" w:eastAsia="zh-CN"/>
        </w:rPr>
        <w:t>获取</w:t>
      </w:r>
      <w:r>
        <w:rPr>
          <w:rFonts w:hint="eastAsia" w:ascii="宋体" w:hAnsi="宋体" w:cs="宋体"/>
          <w:sz w:val="24"/>
          <w:szCs w:val="24"/>
        </w:rPr>
        <w:t>谈判文件，供应商自行转让或复制谈判文件视为无效。</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无论采购过程和结果如何，供应商自行承担与采购有关的全部费用。</w:t>
      </w:r>
    </w:p>
    <w:bookmarkEnd w:id="22"/>
    <w:p>
      <w:pPr>
        <w:rPr>
          <w:rFonts w:ascii="宋体" w:hAnsi="宋体" w:eastAsia="宋体" w:cs="宋体"/>
          <w:kern w:val="0"/>
          <w:sz w:val="24"/>
          <w:szCs w:val="24"/>
        </w:rPr>
      </w:pPr>
    </w:p>
    <w:p>
      <w:pPr>
        <w:pStyle w:val="5"/>
        <w:numPr>
          <w:ilvl w:val="0"/>
          <w:numId w:val="6"/>
        </w:numPr>
        <w:spacing w:line="500" w:lineRule="exact"/>
        <w:ind w:left="-142" w:leftChars="0" w:firstLine="562" w:firstLineChars="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lang w:eastAsia="zh-CN"/>
        </w:rPr>
        <w:t>响应</w:t>
      </w:r>
      <w:r>
        <w:rPr>
          <w:rFonts w:hint="eastAsia" w:ascii="宋体" w:hAnsi="宋体" w:cs="宋体"/>
          <w:sz w:val="24"/>
          <w:szCs w:val="24"/>
        </w:rPr>
        <w:t>文件应当对</w:t>
      </w:r>
      <w:r>
        <w:rPr>
          <w:rFonts w:hint="eastAsia" w:ascii="宋体" w:hAnsi="宋体" w:cs="宋体"/>
          <w:sz w:val="24"/>
          <w:szCs w:val="24"/>
          <w:lang w:eastAsia="zh-CN"/>
        </w:rPr>
        <w:t>竞争性谈判</w:t>
      </w:r>
      <w:r>
        <w:rPr>
          <w:rFonts w:hint="eastAsia" w:ascii="宋体" w:hAnsi="宋体" w:cs="宋体"/>
          <w:sz w:val="24"/>
          <w:szCs w:val="24"/>
        </w:rPr>
        <w:t>文件实质性要求和条件作出满足性或有利于采购人的响应，否则，供应商的</w:t>
      </w:r>
      <w:r>
        <w:rPr>
          <w:rFonts w:hint="eastAsia" w:ascii="宋体" w:hAnsi="宋体" w:cs="宋体"/>
          <w:sz w:val="24"/>
          <w:szCs w:val="24"/>
          <w:lang w:eastAsia="zh-CN"/>
        </w:rPr>
        <w:t>响应</w:t>
      </w:r>
      <w:r>
        <w:rPr>
          <w:rFonts w:hint="eastAsia" w:ascii="宋体" w:hAnsi="宋体" w:cs="宋体"/>
          <w:sz w:val="24"/>
          <w:szCs w:val="24"/>
        </w:rPr>
        <w:t>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w:t>
      </w:r>
      <w:r>
        <w:rPr>
          <w:rFonts w:hint="eastAsia" w:ascii="宋体" w:hAnsi="宋体" w:cs="宋体"/>
          <w:sz w:val="24"/>
          <w:szCs w:val="24"/>
          <w:lang w:eastAsia="zh-CN"/>
        </w:rPr>
        <w:t>竞争性谈判</w:t>
      </w:r>
      <w:r>
        <w:rPr>
          <w:rFonts w:hint="eastAsia" w:ascii="宋体" w:hAnsi="宋体" w:cs="宋体"/>
          <w:sz w:val="24"/>
          <w:szCs w:val="24"/>
        </w:rPr>
        <w:t>文件规定的其他</w:t>
      </w:r>
      <w:r>
        <w:rPr>
          <w:rFonts w:hint="eastAsia" w:ascii="宋体" w:hAnsi="宋体" w:cs="宋体"/>
          <w:sz w:val="24"/>
          <w:szCs w:val="24"/>
          <w:lang w:eastAsia="zh-CN"/>
        </w:rPr>
        <w:t>响应</w:t>
      </w:r>
      <w:r>
        <w:rPr>
          <w:rFonts w:hint="eastAsia" w:ascii="宋体" w:hAnsi="宋体" w:cs="宋体"/>
          <w:sz w:val="24"/>
          <w:szCs w:val="24"/>
        </w:rPr>
        <w:t>无效情形外，</w:t>
      </w:r>
      <w:r>
        <w:rPr>
          <w:rFonts w:hint="eastAsia" w:ascii="宋体" w:hAnsi="宋体" w:cs="宋体"/>
          <w:sz w:val="24"/>
          <w:szCs w:val="24"/>
          <w:lang w:eastAsia="zh-CN"/>
        </w:rPr>
        <w:t>谈判</w:t>
      </w:r>
      <w:r>
        <w:rPr>
          <w:rFonts w:hint="eastAsia" w:ascii="宋体" w:hAnsi="宋体" w:cs="宋体"/>
          <w:sz w:val="24"/>
          <w:szCs w:val="24"/>
        </w:rPr>
        <w:t>文件中用“★”符号标明的条款为实质性要求和条件，</w:t>
      </w:r>
      <w:r>
        <w:rPr>
          <w:rFonts w:hint="eastAsia" w:ascii="宋体" w:hAnsi="宋体" w:cs="宋体"/>
          <w:sz w:val="24"/>
          <w:szCs w:val="24"/>
          <w:lang w:eastAsia="zh-CN"/>
        </w:rPr>
        <w:t>响应</w:t>
      </w:r>
      <w:r>
        <w:rPr>
          <w:rFonts w:hint="eastAsia" w:ascii="宋体" w:hAnsi="宋体" w:cs="宋体"/>
          <w:sz w:val="24"/>
          <w:szCs w:val="24"/>
        </w:rPr>
        <w:t>文件对其中任何一条的偏离，为实质性偏离，其</w:t>
      </w:r>
      <w:r>
        <w:rPr>
          <w:rFonts w:hint="eastAsia" w:ascii="宋体" w:hAnsi="宋体" w:cs="宋体"/>
          <w:sz w:val="24"/>
          <w:szCs w:val="24"/>
          <w:lang w:eastAsia="zh-CN"/>
        </w:rPr>
        <w:t>响应</w:t>
      </w:r>
      <w:r>
        <w:rPr>
          <w:rFonts w:hint="eastAsia" w:ascii="宋体" w:hAnsi="宋体" w:cs="宋体"/>
          <w:sz w:val="24"/>
          <w:szCs w:val="24"/>
        </w:rPr>
        <w:t>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对</w:t>
      </w:r>
      <w:r>
        <w:rPr>
          <w:rFonts w:hint="eastAsia" w:ascii="宋体" w:hAnsi="宋体" w:cs="宋体"/>
          <w:sz w:val="24"/>
          <w:szCs w:val="24"/>
          <w:lang w:eastAsia="zh-CN"/>
        </w:rPr>
        <w:t>竞争性谈判文件</w:t>
      </w:r>
      <w:r>
        <w:rPr>
          <w:rFonts w:hint="eastAsia" w:ascii="宋体" w:hAnsi="宋体" w:cs="宋体"/>
          <w:sz w:val="24"/>
          <w:szCs w:val="24"/>
        </w:rPr>
        <w:t>的全部偏离，均应在</w:t>
      </w:r>
      <w:r>
        <w:rPr>
          <w:rFonts w:hint="eastAsia" w:ascii="宋体" w:hAnsi="宋体" w:cs="宋体"/>
          <w:sz w:val="24"/>
          <w:szCs w:val="24"/>
          <w:lang w:eastAsia="zh-CN"/>
        </w:rPr>
        <w:t>响应文件</w:t>
      </w:r>
      <w:r>
        <w:rPr>
          <w:rFonts w:hint="eastAsia" w:ascii="宋体" w:hAnsi="宋体" w:cs="宋体"/>
          <w:sz w:val="24"/>
          <w:szCs w:val="24"/>
        </w:rPr>
        <w:t>商务条款偏离表和技术参数偏离表中列明，除列明的内容外，视为供应商响应</w:t>
      </w:r>
      <w:r>
        <w:rPr>
          <w:rFonts w:hint="eastAsia" w:ascii="宋体" w:hAnsi="宋体" w:cs="宋体"/>
          <w:sz w:val="24"/>
          <w:szCs w:val="24"/>
          <w:lang w:eastAsia="zh-CN"/>
        </w:rPr>
        <w:t>竞争性谈判文件</w:t>
      </w:r>
      <w:r>
        <w:rPr>
          <w:rFonts w:hint="eastAsia" w:ascii="宋体" w:hAnsi="宋体" w:cs="宋体"/>
          <w:sz w:val="24"/>
          <w:szCs w:val="24"/>
        </w:rPr>
        <w:t>的全部要求。</w:t>
      </w:r>
    </w:p>
    <w:p>
      <w:pPr>
        <w:rPr>
          <w:rFonts w:ascii="宋体" w:hAnsi="宋体" w:eastAsia="宋体" w:cs="宋体"/>
          <w:kern w:val="0"/>
          <w:sz w:val="24"/>
          <w:szCs w:val="24"/>
        </w:rPr>
      </w:pPr>
    </w:p>
    <w:p>
      <w:pPr>
        <w:rPr>
          <w:rFonts w:ascii="宋体" w:hAnsi="宋体" w:eastAsia="宋体" w:cs="宋体"/>
          <w:kern w:val="0"/>
          <w:sz w:val="24"/>
          <w:szCs w:val="24"/>
        </w:rPr>
      </w:pPr>
    </w:p>
    <w:p>
      <w:pPr>
        <w:rPr>
          <w:rFonts w:ascii="宋体" w:hAnsi="宋体" w:eastAsia="宋体" w:cs="宋体"/>
        </w:rPr>
      </w:pPr>
    </w:p>
    <w:p>
      <w:pPr>
        <w:rPr>
          <w:rFonts w:ascii="宋体" w:hAnsi="宋体" w:eastAsia="宋体" w:cs="宋体"/>
        </w:rPr>
      </w:pPr>
      <w:r>
        <w:rPr>
          <w:rFonts w:hint="eastAsia" w:ascii="宋体" w:hAnsi="宋体" w:eastAsia="宋体" w:cs="宋体"/>
        </w:rPr>
        <w:br w:type="page"/>
      </w:r>
    </w:p>
    <w:p>
      <w:pPr>
        <w:pStyle w:val="4"/>
        <w:numPr>
          <w:ilvl w:val="0"/>
          <w:numId w:val="5"/>
        </w:numPr>
        <w:rPr>
          <w:rFonts w:ascii="宋体" w:hAnsi="宋体" w:cs="宋体"/>
        </w:rPr>
      </w:pPr>
      <w:bookmarkStart w:id="23" w:name="_Toc26363"/>
      <w:r>
        <w:rPr>
          <w:rFonts w:hint="eastAsia" w:ascii="宋体" w:hAnsi="宋体" w:cs="宋体"/>
        </w:rPr>
        <w:t>竞争性谈判文件</w:t>
      </w:r>
      <w:bookmarkEnd w:id="23"/>
    </w:p>
    <w:p>
      <w:pPr>
        <w:pStyle w:val="5"/>
        <w:numPr>
          <w:ilvl w:val="0"/>
          <w:numId w:val="8"/>
        </w:numPr>
        <w:rPr>
          <w:rFonts w:ascii="宋体" w:hAnsi="宋体" w:eastAsia="宋体" w:cs="宋体"/>
        </w:rPr>
      </w:pPr>
      <w:bookmarkStart w:id="24" w:name="_Toc5801"/>
      <w:r>
        <w:rPr>
          <w:rFonts w:hint="eastAsia" w:ascii="宋体" w:hAnsi="宋体" w:eastAsia="宋体" w:cs="宋体"/>
        </w:rPr>
        <w:t>竞争性谈判文件的构成</w:t>
      </w:r>
      <w:bookmarkEnd w:id="24"/>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竞争性谈判文件是供应商准备响应文件和参加谈判的依据，同时也是评审的重要依据，具有准法律文件性质。本竞争性谈判文件包括以下内容：</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竞争性谈判公告；</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供应商须知前附表；</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评审标准；</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采购要求；</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合同主要条款；</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响应文件格式。</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供应商应认真阅读谈判文件中所有的条款、事项、格式和技术规范、参数及要求等。供应商没有按照谈判文件要求提交全部资料，或者没有对谈判文件在各方面都做出实质性响应，将导致其谈判被拒绝或被认定为无效响应</w:t>
      </w:r>
      <w:r>
        <w:rPr>
          <w:rFonts w:hint="eastAsia" w:ascii="宋体" w:hAnsi="宋体" w:eastAsia="宋体" w:cs="宋体"/>
          <w:sz w:val="24"/>
        </w:rPr>
        <w:t>。</w:t>
      </w:r>
    </w:p>
    <w:p>
      <w:pPr>
        <w:pStyle w:val="5"/>
        <w:numPr>
          <w:ilvl w:val="0"/>
          <w:numId w:val="8"/>
        </w:numPr>
        <w:rPr>
          <w:rFonts w:ascii="宋体" w:hAnsi="宋体" w:eastAsia="宋体" w:cs="宋体"/>
        </w:rPr>
      </w:pPr>
      <w:bookmarkStart w:id="25" w:name="_Toc19797"/>
      <w:r>
        <w:rPr>
          <w:rFonts w:hint="eastAsia" w:ascii="宋体" w:hAnsi="宋体" w:eastAsia="宋体" w:cs="宋体"/>
        </w:rPr>
        <w:t>竞争性谈判文件的澄清</w:t>
      </w:r>
      <w:bookmarkEnd w:id="25"/>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供应商应认真阅读和充分理解竞争性谈判文件中所有的事项，如有问题或疑议请及时函告。否则，视为同意竞争性谈判文件的一切条款和要求并承担由此引起的一切法律责任。凡因供应商对竞争性谈判文件阅读不深、理解不透、误解、疏漏、或因市场行情了解不清造成的后果和风险均由供应商</w:t>
      </w:r>
      <w:r>
        <w:rPr>
          <w:rFonts w:hint="eastAsia" w:ascii="宋体" w:hAnsi="宋体" w:cs="宋体"/>
          <w:sz w:val="24"/>
          <w:szCs w:val="24"/>
        </w:rPr>
        <w:t>自行承担</w:t>
      </w:r>
      <w:r>
        <w:rPr>
          <w:rFonts w:hint="eastAsia" w:ascii="宋体" w:hAnsi="宋体" w:eastAsia="宋体" w:cs="宋体"/>
          <w:sz w:val="24"/>
          <w:szCs w:val="24"/>
        </w:rPr>
        <w:t>。</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任何对谈判文件进行询问的供应商，采购人或代理机构在3个工作日内对供应商依法提出的询问作出答复。</w:t>
      </w:r>
    </w:p>
    <w:p>
      <w:pPr>
        <w:pStyle w:val="5"/>
        <w:numPr>
          <w:ilvl w:val="0"/>
          <w:numId w:val="8"/>
        </w:numPr>
        <w:rPr>
          <w:rFonts w:ascii="宋体" w:hAnsi="宋体" w:eastAsia="宋体" w:cs="宋体"/>
        </w:rPr>
      </w:pPr>
      <w:bookmarkStart w:id="26" w:name="_Toc6390"/>
      <w:r>
        <w:rPr>
          <w:rFonts w:hint="eastAsia" w:ascii="宋体" w:hAnsi="宋体" w:eastAsia="宋体" w:cs="宋体"/>
        </w:rPr>
        <w:t>竞争性谈判文件的修改</w:t>
      </w:r>
      <w:bookmarkEnd w:id="26"/>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前，无论出于何种原因，代理机构可主动地或在解答供应商提出的澄清问题时，对竞争性谈判文件进行修改。竞争性谈判文件的澄清和修改将以书面形式通知所有供应商，并作为竞争性谈判文件的补充，与其具有同等法律效力。</w:t>
      </w:r>
    </w:p>
    <w:p>
      <w:pPr>
        <w:tabs>
          <w:tab w:val="left" w:pos="0"/>
        </w:tabs>
        <w:adjustRightInd w:val="0"/>
        <w:snapToGrid w:val="0"/>
        <w:spacing w:line="360" w:lineRule="auto"/>
        <w:ind w:firstLine="480" w:firstLineChars="200"/>
        <w:jc w:val="left"/>
        <w:rPr>
          <w:rFonts w:ascii="宋体" w:hAnsi="宋体" w:eastAsia="宋体" w:cs="宋体"/>
          <w:b/>
          <w:bCs/>
          <w:sz w:val="24"/>
          <w:szCs w:val="24"/>
        </w:rPr>
      </w:pPr>
      <w:r>
        <w:rPr>
          <w:rFonts w:hint="eastAsia" w:ascii="宋体" w:hAnsi="宋体" w:eastAsia="宋体" w:cs="宋体"/>
          <w:sz w:val="24"/>
          <w:szCs w:val="24"/>
        </w:rPr>
        <w:t>为方便供应商对竞争性谈判文件修改或澄清内容有充分的时间进行补充修改，代理机构可适当延长谈判截止时间和谈判时间，在竞争性谈判文件要求提交响应文件的截止期前，将变更时间书面通知所有购买竞争性谈判文件的供应商。</w:t>
      </w:r>
    </w:p>
    <w:p>
      <w:pPr>
        <w:pStyle w:val="5"/>
        <w:numPr>
          <w:ilvl w:val="0"/>
          <w:numId w:val="8"/>
        </w:numPr>
        <w:rPr>
          <w:rFonts w:ascii="宋体" w:hAnsi="宋体" w:eastAsia="宋体" w:cs="宋体"/>
        </w:rPr>
      </w:pPr>
      <w:bookmarkStart w:id="27" w:name="_Toc5095"/>
      <w:r>
        <w:rPr>
          <w:rFonts w:hint="eastAsia" w:ascii="宋体" w:hAnsi="宋体" w:eastAsia="宋体" w:cs="宋体"/>
        </w:rPr>
        <w:t>竞争性谈判文件的解释权归代理机构。</w:t>
      </w:r>
      <w:bookmarkEnd w:id="27"/>
    </w:p>
    <w:p>
      <w:pPr>
        <w:widowControl/>
        <w:numPr>
          <w:ilvl w:val="0"/>
          <w:numId w:val="10"/>
        </w:numPr>
        <w:spacing w:line="360" w:lineRule="auto"/>
        <w:ind w:firstLine="643" w:firstLineChars="200"/>
        <w:jc w:val="center"/>
        <w:outlineLvl w:val="1"/>
        <w:rPr>
          <w:rFonts w:ascii="宋体" w:hAnsi="宋体" w:eastAsia="宋体" w:cs="宋体"/>
          <w:b/>
          <w:bCs/>
          <w:kern w:val="0"/>
          <w:sz w:val="32"/>
          <w:szCs w:val="28"/>
        </w:rPr>
        <w:sectPr>
          <w:pgSz w:w="11906" w:h="16838"/>
          <w:pgMar w:top="1440" w:right="1706" w:bottom="1440" w:left="1800" w:header="851" w:footer="992" w:gutter="0"/>
          <w:pgNumType w:fmt="decimal"/>
          <w:cols w:space="720" w:num="1"/>
          <w:docGrid w:type="lines" w:linePitch="312" w:charSpace="0"/>
        </w:sectPr>
      </w:pPr>
    </w:p>
    <w:p>
      <w:pPr>
        <w:pStyle w:val="4"/>
        <w:numPr>
          <w:ilvl w:val="0"/>
          <w:numId w:val="5"/>
        </w:numPr>
        <w:rPr>
          <w:rFonts w:ascii="宋体" w:hAnsi="宋体" w:cs="宋体"/>
        </w:rPr>
      </w:pPr>
      <w:bookmarkStart w:id="28" w:name="_Toc3177"/>
      <w:r>
        <w:rPr>
          <w:rFonts w:hint="eastAsia" w:ascii="宋体" w:hAnsi="宋体" w:cs="宋体"/>
        </w:rPr>
        <w:t>响应文件</w:t>
      </w:r>
      <w:bookmarkEnd w:id="28"/>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36" w:lineRule="auto"/>
        <w:ind w:firstLine="420"/>
        <w:textAlignment w:val="auto"/>
        <w:rPr>
          <w:rFonts w:ascii="宋体" w:hAnsi="宋体" w:eastAsia="宋体" w:cs="宋体"/>
        </w:rPr>
      </w:pPr>
      <w:bookmarkStart w:id="29" w:name="_Toc17549"/>
      <w:r>
        <w:rPr>
          <w:rFonts w:hint="eastAsia" w:ascii="宋体" w:hAnsi="宋体" w:eastAsia="宋体" w:cs="宋体"/>
        </w:rPr>
        <w:t>响应文件的编制</w:t>
      </w:r>
      <w:bookmarkEnd w:id="29"/>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供应商需依据谈判文件内容和响应文件格式的要求编制响应文件，具体内容参见“第七部分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，按照谈判文件所规定的内容顺序，统一编目、编页码装订，由于编排混乱导致响应文件被误读或查找不到，其责任应当由供应商承担。装订必须采用胶装形式，不得采用活页装订，必须编排页码。</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rPr>
      </w:pPr>
      <w:bookmarkStart w:id="30" w:name="_Toc27646"/>
      <w:r>
        <w:rPr>
          <w:rFonts w:hint="eastAsia" w:ascii="宋体" w:hAnsi="宋体" w:eastAsia="宋体" w:cs="宋体"/>
        </w:rPr>
        <w:t>响应报价</w:t>
      </w:r>
      <w:bookmarkEnd w:id="30"/>
    </w:p>
    <w:p>
      <w:pPr>
        <w:spacing w:line="360" w:lineRule="auto"/>
        <w:ind w:firstLine="482" w:firstLineChars="200"/>
        <w:rPr>
          <w:rFonts w:ascii="宋体" w:hAnsi="宋体" w:cs="宋体"/>
        </w:rPr>
      </w:pPr>
      <w:bookmarkStart w:id="31" w:name="_Toc29200"/>
      <w:r>
        <w:rPr>
          <w:rFonts w:hint="eastAsia" w:ascii="宋体" w:hAnsi="宋体" w:cs="宋体"/>
          <w:b/>
          <w:bCs/>
          <w:sz w:val="24"/>
          <w:szCs w:val="24"/>
        </w:rPr>
        <w:t>详见供应商须知前附表。</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rPr>
      </w:pPr>
      <w:r>
        <w:rPr>
          <w:rFonts w:hint="eastAsia" w:ascii="宋体" w:hAnsi="宋体" w:eastAsia="宋体" w:cs="宋体"/>
        </w:rPr>
        <w:t>货币</w:t>
      </w:r>
      <w:bookmarkEnd w:id="31"/>
    </w:p>
    <w:p>
      <w:pPr>
        <w:spacing w:line="360" w:lineRule="auto"/>
        <w:ind w:firstLine="482" w:firstLineChars="200"/>
        <w:rPr>
          <w:rFonts w:ascii="宋体" w:hAnsi="宋体" w:cs="宋体"/>
        </w:rPr>
      </w:pPr>
      <w:bookmarkStart w:id="32" w:name="_Toc1311"/>
      <w:r>
        <w:rPr>
          <w:rFonts w:hint="eastAsia" w:ascii="宋体" w:hAnsi="宋体" w:cs="宋体"/>
          <w:b/>
          <w:bCs/>
          <w:sz w:val="24"/>
          <w:szCs w:val="24"/>
        </w:rPr>
        <w:t>详见供应商须知前附表。</w:t>
      </w:r>
    </w:p>
    <w:bookmarkEnd w:id="32"/>
    <w:p>
      <w:pPr>
        <w:pStyle w:val="5"/>
        <w:keepNext/>
        <w:keepLines/>
        <w:pageBreakBefore w:val="0"/>
        <w:widowControl w:val="0"/>
        <w:numPr>
          <w:ilvl w:val="0"/>
          <w:numId w:val="11"/>
        </w:numPr>
        <w:kinsoku/>
        <w:wordWrap/>
        <w:overflowPunct/>
        <w:topLinePunct w:val="0"/>
        <w:autoSpaceDE/>
        <w:autoSpaceDN/>
        <w:bidi w:val="0"/>
        <w:adjustRightInd/>
        <w:snapToGrid/>
        <w:spacing w:before="100" w:after="100" w:line="413" w:lineRule="auto"/>
        <w:ind w:firstLine="420"/>
        <w:textAlignment w:val="auto"/>
        <w:rPr>
          <w:rFonts w:ascii="宋体" w:hAnsi="宋体" w:eastAsia="宋体" w:cs="宋体"/>
        </w:rPr>
      </w:pPr>
      <w:r>
        <w:rPr>
          <w:rFonts w:hint="eastAsia" w:ascii="宋体" w:hAnsi="宋体" w:eastAsia="宋体" w:cs="宋体"/>
        </w:rPr>
        <w:t>响应有效期</w:t>
      </w:r>
    </w:p>
    <w:p>
      <w:pPr>
        <w:adjustRightInd w:val="0"/>
        <w:snapToGrid w:val="0"/>
        <w:spacing w:line="500" w:lineRule="exact"/>
        <w:ind w:firstLine="480" w:firstLineChars="200"/>
        <w:rPr>
          <w:rFonts w:ascii="宋体" w:hAnsi="宋体" w:cs="宋体"/>
          <w:sz w:val="24"/>
          <w:szCs w:val="24"/>
        </w:rPr>
      </w:pPr>
      <w:bookmarkStart w:id="33" w:name="_Toc24827"/>
      <w:r>
        <w:rPr>
          <w:rFonts w:hint="eastAsia" w:ascii="宋体" w:hAnsi="宋体" w:cs="宋体"/>
          <w:sz w:val="24"/>
          <w:szCs w:val="24"/>
        </w:rPr>
        <w:t>响应有效期见供应商须知前附表，无响应有效期或响应有效期短于此规定期限的响应文件，视为无效文件，其谈判将被拒绝。</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szCs w:val="32"/>
        </w:rPr>
      </w:pPr>
      <w:r>
        <w:rPr>
          <w:rFonts w:hint="eastAsia" w:ascii="宋体" w:hAnsi="宋体" w:eastAsia="宋体" w:cs="宋体"/>
        </w:rPr>
        <w:t>响应文件的格式、装订、密封和签署</w:t>
      </w:r>
      <w:bookmarkEnd w:id="33"/>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.1响应文件的装订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 响应文件的签署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3 响应文件的密封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p>
      <w:pPr>
        <w:widowControl/>
        <w:spacing w:line="360" w:lineRule="auto"/>
        <w:ind w:left="420" w:leftChars="200"/>
        <w:rPr>
          <w:rFonts w:ascii="宋体" w:hAnsi="宋体" w:eastAsia="宋体" w:cs="宋体"/>
          <w:kern w:val="0"/>
          <w:sz w:val="24"/>
        </w:rPr>
      </w:pPr>
    </w:p>
    <w:p>
      <w:pPr>
        <w:pStyle w:val="4"/>
        <w:numPr>
          <w:ilvl w:val="0"/>
          <w:numId w:val="5"/>
        </w:numPr>
        <w:rPr>
          <w:rFonts w:ascii="宋体" w:hAnsi="宋体" w:cs="宋体"/>
        </w:rPr>
        <w:sectPr>
          <w:footerReference r:id="rId9" w:type="default"/>
          <w:pgSz w:w="11906" w:h="16838"/>
          <w:pgMar w:top="1440" w:right="1803" w:bottom="1440" w:left="1803" w:header="851" w:footer="992" w:gutter="0"/>
          <w:pgNumType w:fmt="decimal"/>
          <w:cols w:space="720" w:num="1"/>
          <w:docGrid w:type="lines" w:linePitch="319" w:charSpace="0"/>
        </w:sectPr>
      </w:pPr>
      <w:bookmarkStart w:id="34" w:name="_Toc3565"/>
      <w:bookmarkStart w:id="35" w:name="_Toc3736"/>
    </w:p>
    <w:p>
      <w:pPr>
        <w:pStyle w:val="4"/>
        <w:numPr>
          <w:ilvl w:val="0"/>
          <w:numId w:val="5"/>
        </w:numPr>
        <w:rPr>
          <w:rFonts w:ascii="宋体" w:hAnsi="宋体" w:cs="宋体"/>
        </w:rPr>
      </w:pPr>
      <w:bookmarkStart w:id="36" w:name="_Toc5818"/>
      <w:r>
        <w:rPr>
          <w:rFonts w:hint="eastAsia" w:ascii="宋体" w:hAnsi="宋体" w:cs="宋体"/>
        </w:rPr>
        <w:t>响应文件的递交</w:t>
      </w:r>
      <w:bookmarkEnd w:id="34"/>
      <w:bookmarkEnd w:id="36"/>
    </w:p>
    <w:bookmarkEnd w:id="35"/>
    <w:p>
      <w:pPr>
        <w:pStyle w:val="5"/>
        <w:numPr>
          <w:ilvl w:val="0"/>
          <w:numId w:val="12"/>
        </w:numPr>
        <w:ind w:left="210" w:leftChars="0" w:firstLineChars="0"/>
        <w:rPr>
          <w:rFonts w:ascii="宋体" w:hAnsi="宋体" w:eastAsia="宋体" w:cs="宋体"/>
        </w:rPr>
      </w:pPr>
      <w:bookmarkStart w:id="37" w:name="_Toc3685"/>
      <w:r>
        <w:rPr>
          <w:rFonts w:hint="eastAsia" w:ascii="宋体" w:hAnsi="宋体" w:eastAsia="宋体" w:cs="宋体"/>
        </w:rPr>
        <w:t>响应文件递交</w:t>
      </w:r>
      <w:bookmarkEnd w:id="3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谈判文件要求提交响应文件的截止时间前，将响应文件密封送达响应地点。采购代理机构收到响应文件后，应当如实记载响应文件的送达时间和密封情况，签收保存，并向供应商出具签收回执。任何单位和个人不得在谈判前开启响应文件。代理机构项目承办人在谈判文件规定的响应文件递交截止时间前，只负责响应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1.2逾期送达或者未按照谈判文件要求密封的响应文件，采购代理机构应当拒收。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1.3代理机构不接受邮寄的响应文件。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无论供应商成交与否，其响应文件恕不退还。</w:t>
      </w:r>
    </w:p>
    <w:p/>
    <w:p>
      <w:pPr>
        <w:pStyle w:val="5"/>
        <w:numPr>
          <w:ilvl w:val="0"/>
          <w:numId w:val="12"/>
        </w:numPr>
        <w:ind w:left="210" w:leftChars="0" w:firstLineChars="0"/>
        <w:rPr>
          <w:rFonts w:ascii="宋体" w:hAnsi="宋体" w:eastAsia="宋体" w:cs="宋体"/>
        </w:rPr>
      </w:pPr>
      <w:bookmarkStart w:id="38" w:name="_Toc12741"/>
      <w:r>
        <w:rPr>
          <w:rFonts w:hint="eastAsia" w:ascii="宋体" w:hAnsi="宋体" w:eastAsia="宋体" w:cs="宋体"/>
        </w:rPr>
        <w:t>响应文件的修改和撤回</w:t>
      </w:r>
      <w:bookmarkEnd w:id="38"/>
    </w:p>
    <w:p>
      <w:pPr>
        <w:widowControl/>
        <w:tabs>
          <w:tab w:val="left" w:pos="0"/>
        </w:tabs>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在谈判截止时间之后，供应商不得对其递交的响应文件做任何修改或撤回。</w:t>
      </w:r>
    </w:p>
    <w:p>
      <w:pPr>
        <w:pStyle w:val="4"/>
        <w:numPr>
          <w:ilvl w:val="0"/>
          <w:numId w:val="5"/>
        </w:numPr>
        <w:rPr>
          <w:rFonts w:ascii="宋体" w:hAnsi="宋体" w:cs="宋体"/>
        </w:rPr>
      </w:pPr>
      <w:bookmarkStart w:id="39" w:name="_Toc27066"/>
      <w:bookmarkStart w:id="40" w:name="_Toc14415"/>
      <w:bookmarkStart w:id="41" w:name="_Toc26906"/>
      <w:r>
        <w:rPr>
          <w:rFonts w:hint="eastAsia" w:ascii="宋体" w:hAnsi="宋体" w:cs="宋体"/>
        </w:rPr>
        <w:t>谈判、评审、定标</w:t>
      </w:r>
      <w:bookmarkEnd w:id="39"/>
      <w:bookmarkEnd w:id="40"/>
      <w:bookmarkEnd w:id="41"/>
    </w:p>
    <w:p>
      <w:pPr>
        <w:pStyle w:val="5"/>
        <w:numPr>
          <w:ilvl w:val="0"/>
          <w:numId w:val="13"/>
        </w:numPr>
        <w:ind w:left="420" w:leftChars="0" w:firstLineChars="0"/>
        <w:rPr>
          <w:rFonts w:ascii="宋体" w:hAnsi="宋体" w:eastAsia="宋体" w:cs="宋体"/>
        </w:rPr>
      </w:pPr>
      <w:r>
        <w:rPr>
          <w:rFonts w:hint="eastAsia" w:ascii="宋体" w:hAnsi="宋体" w:eastAsia="宋体" w:cs="宋体"/>
        </w:rPr>
        <w:t>谈判</w:t>
      </w:r>
    </w:p>
    <w:p>
      <w:pPr>
        <w:widowControl/>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 采购代理机构按谈判公告中规定的时间和地点接收供应商递交的响应文件，主持谈判会议，邀请供应商代表参加。</w:t>
      </w:r>
    </w:p>
    <w:p>
      <w:pPr>
        <w:widowControl/>
        <w:tabs>
          <w:tab w:val="left" w:pos="0"/>
        </w:tabs>
        <w:spacing w:line="500" w:lineRule="exact"/>
        <w:ind w:firstLine="480" w:firstLineChars="200"/>
        <w:jc w:val="left"/>
        <w:rPr>
          <w:rFonts w:ascii="宋体" w:hAnsi="宋体" w:eastAsia="宋体" w:cs="宋体"/>
          <w:sz w:val="24"/>
        </w:rPr>
      </w:pPr>
      <w:r>
        <w:rPr>
          <w:rFonts w:hint="eastAsia" w:ascii="宋体" w:hAnsi="宋体" w:eastAsia="宋体" w:cs="宋体"/>
          <w:sz w:val="24"/>
          <w:szCs w:val="24"/>
        </w:rPr>
        <w:t>1.2 谈判时，由供应商或者其推选的代表检查响应文件的密封情况；经确认无误后，由采购代理机构工作人员拆封。代理机构指定专人负责将供应商的名称、谈判项目名称、响应价格等进行记录，并存档备案。</w:t>
      </w:r>
    </w:p>
    <w:p>
      <w:pPr>
        <w:tabs>
          <w:tab w:val="left" w:pos="0"/>
        </w:tabs>
        <w:spacing w:line="360" w:lineRule="auto"/>
        <w:ind w:left="420"/>
        <w:jc w:val="left"/>
        <w:rPr>
          <w:rFonts w:ascii="宋体" w:hAnsi="宋体" w:eastAsia="宋体" w:cs="宋体"/>
          <w:kern w:val="0"/>
          <w:sz w:val="24"/>
        </w:rPr>
      </w:pPr>
      <w:r>
        <w:rPr>
          <w:rFonts w:hint="eastAsia" w:ascii="宋体" w:hAnsi="宋体" w:eastAsia="宋体" w:cs="宋体"/>
          <w:kern w:val="0"/>
          <w:sz w:val="24"/>
        </w:rPr>
        <w:t>1.3谈判时，响应文件中出现下列情况，修正原则为：</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谈判文件中响应一览表（报价表）内容与响应文件中相应内容不一致的，以响应一览表（报价表）为准；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大写金额和小写金额不一致的，以大写金额为准；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单价金额小数点或者百分比有明显错位的，以响应一览表的总价为准，并修改单价；</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 xml:space="preserve">总价金额与按单价汇总金额不一致的，以单价金额计算结果为准； </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响应文件正本与副本不一致的，以正本为准；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响应文件单独密封递交的响应一览表与正本不一致的，以单独密封递交的响应一览表为准；</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5"/>
        <w:numPr>
          <w:ilvl w:val="0"/>
          <w:numId w:val="13"/>
        </w:numPr>
        <w:ind w:left="420" w:leftChars="0" w:firstLineChars="0"/>
        <w:rPr>
          <w:rFonts w:ascii="宋体" w:hAnsi="宋体" w:eastAsia="宋体" w:cs="宋体"/>
        </w:rPr>
      </w:pPr>
      <w:r>
        <w:rPr>
          <w:rFonts w:hint="eastAsia" w:ascii="宋体" w:hAnsi="宋体" w:eastAsia="宋体" w:cs="宋体"/>
        </w:rPr>
        <w:t>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采购人将根据本次采购项目的特点，参照《中华人民共和国政府采购法》等有关规定组建谈判小组。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谈判小组由采购人代表和有关技术、经济等方面的专家组成，谈判小组产生方式符合国家和地方有关评审专家产生方式的规定。谈判小组负责评审活动。</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kern w:val="0"/>
          <w:sz w:val="24"/>
        </w:rPr>
        <w:t>谈判小组对各供应商的响应文件进行审查、评估和比较，并推荐成交候选人。</w:t>
      </w:r>
    </w:p>
    <w:p>
      <w:pPr>
        <w:pStyle w:val="5"/>
        <w:numPr>
          <w:ilvl w:val="0"/>
          <w:numId w:val="13"/>
        </w:numPr>
        <w:ind w:left="420" w:leftChars="0" w:firstLineChars="0"/>
        <w:rPr>
          <w:rFonts w:ascii="宋体" w:hAnsi="宋体" w:eastAsia="宋体" w:cs="宋体"/>
        </w:rPr>
      </w:pPr>
      <w:bookmarkStart w:id="42" w:name="_Toc386129876"/>
      <w:bookmarkStart w:id="43" w:name="_Toc28085"/>
      <w:bookmarkStart w:id="44" w:name="_Toc27940"/>
      <w:bookmarkStart w:id="45" w:name="_Toc385958808"/>
      <w:r>
        <w:rPr>
          <w:rFonts w:hint="eastAsia" w:ascii="宋体" w:hAnsi="宋体" w:eastAsia="宋体" w:cs="宋体"/>
        </w:rPr>
        <w:t>响应文件初审</w:t>
      </w:r>
      <w:bookmarkEnd w:id="42"/>
      <w:bookmarkEnd w:id="43"/>
      <w:bookmarkEnd w:id="44"/>
      <w:bookmarkEnd w:id="45"/>
    </w:p>
    <w:p>
      <w:pPr>
        <w:numPr>
          <w:ilvl w:val="0"/>
          <w:numId w:val="15"/>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响应文件的资格性审查</w:t>
      </w:r>
    </w:p>
    <w:p>
      <w:pPr>
        <w:overflowPunct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依据法律法规和竞争性谈判文件的规定，</w:t>
      </w:r>
      <w:r>
        <w:rPr>
          <w:rFonts w:hint="eastAsia" w:ascii="宋体" w:hAnsi="宋体" w:eastAsia="宋体" w:cs="宋体"/>
          <w:kern w:val="0"/>
          <w:sz w:val="24"/>
          <w:lang w:eastAsia="zh-CN"/>
        </w:rPr>
        <w:t>采购人或采购代理机构</w:t>
      </w:r>
      <w:r>
        <w:rPr>
          <w:rFonts w:hint="eastAsia" w:ascii="宋体" w:hAnsi="宋体" w:eastAsia="宋体" w:cs="宋体"/>
          <w:kern w:val="0"/>
          <w:sz w:val="24"/>
        </w:rPr>
        <w:t>对响应文件中的资格证明文件等进行审查，以确保供应商是否具备相应资格。</w:t>
      </w:r>
    </w:p>
    <w:p>
      <w:pPr>
        <w:numPr>
          <w:ilvl w:val="0"/>
          <w:numId w:val="15"/>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响应文件符合性审查</w:t>
      </w:r>
    </w:p>
    <w:p>
      <w:pPr>
        <w:pStyle w:val="9"/>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谈判小组应当对符合资格的供应商的响应文件进行符合性审查，以确定其是否满足谈判文件的实质性要求。符合性审查内容详见供应商须知前附表。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（3）有下列情形之一的，视为供应商串通响应，其响应无效：</w:t>
      </w:r>
    </w:p>
    <w:p>
      <w:pPr>
        <w:pStyle w:val="18"/>
        <w:spacing w:after="210" w:afterAutospacing="0" w:line="27" w:lineRule="atLeast"/>
        <w:jc w:val="both"/>
      </w:pPr>
      <w:r>
        <w:rPr>
          <w:rFonts w:hint="eastAsia"/>
        </w:rPr>
        <w:t>　　（一）不同供应商的响应文件由同一单位或者个人编制；</w:t>
      </w:r>
    </w:p>
    <w:p>
      <w:pPr>
        <w:pStyle w:val="18"/>
        <w:spacing w:after="210" w:afterAutospacing="0" w:line="27" w:lineRule="atLeast"/>
        <w:jc w:val="both"/>
      </w:pPr>
      <w:r>
        <w:rPr>
          <w:rFonts w:hint="eastAsia"/>
        </w:rPr>
        <w:t>　　（二）不同供应商委托同一单位或者个人办理投标事宜；</w:t>
      </w:r>
    </w:p>
    <w:p>
      <w:pPr>
        <w:pStyle w:val="18"/>
        <w:spacing w:after="210" w:afterAutospacing="0" w:line="27" w:lineRule="atLeast"/>
        <w:jc w:val="both"/>
      </w:pPr>
      <w:r>
        <w:rPr>
          <w:rFonts w:hint="eastAsia"/>
        </w:rPr>
        <w:t>　　（三）不同供应商的响应文件载明的项目管理成员或者联系人员为同一人；</w:t>
      </w:r>
    </w:p>
    <w:p>
      <w:pPr>
        <w:pStyle w:val="18"/>
        <w:spacing w:after="210" w:afterAutospacing="0" w:line="27" w:lineRule="atLeast"/>
        <w:jc w:val="both"/>
      </w:pPr>
      <w:r>
        <w:rPr>
          <w:rFonts w:hint="eastAsia"/>
        </w:rPr>
        <w:t>　　（四）不同供应商的响应文件异常一致或者投标报价呈规律性差异；</w:t>
      </w:r>
    </w:p>
    <w:p>
      <w:pPr>
        <w:pStyle w:val="18"/>
        <w:spacing w:after="210" w:afterAutospacing="0" w:line="27" w:lineRule="atLeast"/>
        <w:jc w:val="both"/>
      </w:pPr>
      <w:r>
        <w:rPr>
          <w:rFonts w:hint="eastAsia"/>
        </w:rPr>
        <w:t>　　（五）不同供应商的响应文件相互混装；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（4）对通过审查的，被认为其响应文件完整、合格，响应有效，可进入下阶段的谈判。</w:t>
      </w:r>
    </w:p>
    <w:p>
      <w:pPr>
        <w:pStyle w:val="5"/>
        <w:numPr>
          <w:ilvl w:val="0"/>
          <w:numId w:val="13"/>
        </w:numPr>
        <w:ind w:left="420" w:leftChars="0" w:firstLineChars="0"/>
        <w:rPr>
          <w:rFonts w:ascii="宋体" w:hAnsi="宋体" w:eastAsia="宋体" w:cs="宋体"/>
        </w:rPr>
      </w:pPr>
      <w:bookmarkStart w:id="46" w:name="_Toc17705"/>
      <w:r>
        <w:rPr>
          <w:rFonts w:hint="eastAsia" w:ascii="宋体" w:hAnsi="宋体" w:eastAsia="宋体" w:cs="宋体"/>
        </w:rPr>
        <w:t>响应文件澄清</w:t>
      </w:r>
      <w:bookmarkEnd w:id="46"/>
    </w:p>
    <w:p>
      <w:pPr>
        <w:overflowPunct w:val="0"/>
        <w:adjustRightInd w:val="0"/>
        <w:snapToGrid w:val="0"/>
        <w:spacing w:line="360" w:lineRule="auto"/>
        <w:ind w:firstLine="480" w:firstLineChars="200"/>
        <w:rPr>
          <w:rFonts w:ascii="宋体" w:hAnsi="宋体" w:eastAsia="宋体" w:cs="宋体"/>
          <w:sz w:val="24"/>
        </w:rPr>
      </w:pPr>
      <w:bookmarkStart w:id="47" w:name="_Toc8353"/>
      <w:r>
        <w:rPr>
          <w:rFonts w:hint="eastAsia" w:ascii="宋体" w:hAnsi="宋体" w:eastAsia="宋体" w:cs="宋体"/>
          <w:sz w:val="24"/>
        </w:rPr>
        <w:t>在评审期间,采购代理机构可根据谈判小组对其响应文件有疑义不清楚的内容，要求供应商对其响应文件进行澄清，有关澄清的要求和答复应以书面形式提交，</w:t>
      </w:r>
      <w:r>
        <w:rPr>
          <w:rFonts w:hint="eastAsia" w:ascii="宋体" w:hAnsi="宋体" w:eastAsia="宋体" w:cs="宋体"/>
          <w:sz w:val="24"/>
          <w:szCs w:val="24"/>
        </w:rPr>
        <w:t>如谈判小组未变动实质性采购需求，供应商</w:t>
      </w:r>
      <w:r>
        <w:rPr>
          <w:rFonts w:hint="eastAsia" w:ascii="宋体" w:hAnsi="宋体" w:eastAsia="宋体" w:cs="宋体"/>
          <w:sz w:val="24"/>
        </w:rPr>
        <w:t>不得对实质性内容进行变动。</w:t>
      </w:r>
    </w:p>
    <w:p>
      <w:pPr>
        <w:spacing w:line="360" w:lineRule="auto"/>
        <w:ind w:firstLine="480" w:firstLineChars="200"/>
        <w:rPr>
          <w:rFonts w:ascii="宋体" w:hAnsi="宋体" w:eastAsia="宋体" w:cs="宋体"/>
          <w:kern w:val="0"/>
          <w:sz w:val="32"/>
          <w:szCs w:val="32"/>
        </w:rPr>
      </w:pPr>
      <w:r>
        <w:rPr>
          <w:rFonts w:hint="eastAsia" w:ascii="宋体" w:hAnsi="宋体" w:eastAsia="宋体" w:cs="宋体"/>
          <w:sz w:val="24"/>
        </w:rPr>
        <w:t>供应商应采用书面形式进行澄清或说明，但不得超出响应文件的范围或改变响应文件的实质性内容。</w:t>
      </w:r>
    </w:p>
    <w:p>
      <w:pPr>
        <w:pStyle w:val="5"/>
        <w:numPr>
          <w:ilvl w:val="0"/>
          <w:numId w:val="13"/>
        </w:numPr>
        <w:ind w:left="420" w:leftChars="0" w:firstLineChars="0"/>
        <w:rPr>
          <w:rFonts w:ascii="宋体" w:hAnsi="宋体" w:eastAsia="宋体" w:cs="宋体"/>
        </w:rPr>
      </w:pPr>
      <w:r>
        <w:rPr>
          <w:rFonts w:hint="eastAsia" w:ascii="宋体" w:hAnsi="宋体" w:eastAsia="宋体" w:cs="宋体"/>
        </w:rPr>
        <w:t>评</w:t>
      </w:r>
      <w:bookmarkEnd w:id="47"/>
      <w:r>
        <w:rPr>
          <w:rFonts w:hint="eastAsia" w:ascii="宋体" w:hAnsi="宋体" w:eastAsia="宋体" w:cs="宋体"/>
        </w:rPr>
        <w:t>审</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5.1、谈判小组有权对在谈判、评审过程中出现的一切问题，根据《中华人民共和国政府采购法》和《政府采购非招标采购方式管理办法》的条款，本着公开、公平、公正的原则进行处理。</w:t>
      </w:r>
    </w:p>
    <w:p>
      <w:pPr>
        <w:widowControl/>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5.2、依据《中华人民共和国政府采购法》和《中华人民共和国政府采购法实施条例》的有关规定，落实政府采购“优先购买节能环保产品，扶持小微企业、监狱企业、福利企业”等相关政策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5.3、谈判流程</w:t>
      </w:r>
    </w:p>
    <w:p>
      <w:pPr>
        <w:spacing w:line="360" w:lineRule="auto"/>
        <w:ind w:firstLine="480" w:firstLineChars="200"/>
        <w:rPr>
          <w:rFonts w:ascii="宋体" w:hAnsi="宋体" w:eastAsia="宋体" w:cs="宋体"/>
          <w:sz w:val="24"/>
        </w:rPr>
      </w:pPr>
      <w:r>
        <w:rPr>
          <w:rFonts w:hint="eastAsia" w:ascii="宋体" w:hAnsi="宋体" w:eastAsia="宋体" w:cs="宋体"/>
          <w:sz w:val="24"/>
        </w:rPr>
        <w:t>只有通过</w:t>
      </w:r>
      <w:r>
        <w:rPr>
          <w:rFonts w:hint="eastAsia" w:ascii="宋体" w:hAnsi="宋体" w:eastAsia="宋体" w:cs="宋体"/>
          <w:sz w:val="24"/>
          <w:lang w:eastAsia="zh-CN"/>
        </w:rPr>
        <w:t>资格性审查和</w:t>
      </w:r>
      <w:r>
        <w:rPr>
          <w:rFonts w:hint="eastAsia" w:ascii="宋体" w:hAnsi="宋体" w:eastAsia="宋体" w:cs="宋体"/>
          <w:sz w:val="24"/>
        </w:rPr>
        <w:t>符合性审查的供应商，才能进入第二阶段的谈判，否则被淘汰。</w:t>
      </w:r>
    </w:p>
    <w:p>
      <w:pPr>
        <w:spacing w:line="360" w:lineRule="auto"/>
        <w:ind w:firstLine="600" w:firstLineChars="250"/>
        <w:rPr>
          <w:rFonts w:ascii="宋体" w:hAnsi="宋体" w:eastAsia="宋体" w:cs="宋体"/>
          <w:sz w:val="24"/>
        </w:rPr>
      </w:pPr>
      <w:r>
        <w:rPr>
          <w:rFonts w:hint="eastAsia" w:ascii="宋体" w:hAnsi="宋体" w:eastAsia="宋体" w:cs="宋体"/>
          <w:sz w:val="24"/>
        </w:rPr>
        <w:t>谈判小组所有成员集中与单一供应商分别进行谈判（谈判轮次为一轮），并给予所有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80" w:firstLineChars="200"/>
        <w:rPr>
          <w:rFonts w:ascii="宋体" w:hAnsi="宋体" w:eastAsia="宋体" w:cs="宋体"/>
          <w:sz w:val="24"/>
        </w:rPr>
      </w:pPr>
      <w:r>
        <w:rPr>
          <w:rFonts w:hint="eastAsia" w:ascii="宋体" w:hAnsi="宋体" w:eastAsia="宋体" w:cs="宋体"/>
          <w:sz w:val="24"/>
        </w:rPr>
        <w:t>5.4、</w:t>
      </w:r>
      <w:r>
        <w:rPr>
          <w:rFonts w:hint="eastAsia" w:ascii="宋体" w:hAnsi="宋体" w:eastAsia="宋体" w:cs="宋体"/>
          <w:color w:val="000000"/>
          <w:kern w:val="0"/>
          <w:sz w:val="24"/>
          <w:szCs w:val="24"/>
        </w:rPr>
        <w:t>谈判小组</w:t>
      </w:r>
      <w:r>
        <w:rPr>
          <w:rFonts w:hint="eastAsia" w:ascii="宋体" w:hAnsi="宋体" w:cs="宋体"/>
          <w:color w:val="000000"/>
          <w:kern w:val="0"/>
          <w:sz w:val="24"/>
          <w:szCs w:val="24"/>
        </w:rPr>
        <w:t>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审现场合理的时间内提供书面说明，必要时提交相关证明材料；供应商不能证明其报价合理性的，谈判小组应当将其作为无效响应处理</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5.5、对谈判文件作出的实质性变动是谈判文件的有效组成部分，谈判小组应当及时以书面形式同时通知所有参加谈判的供应商。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eastAsia="宋体" w:cs="宋体"/>
          <w:sz w:val="24"/>
        </w:rPr>
      </w:pPr>
      <w:r>
        <w:rPr>
          <w:rFonts w:hint="eastAsia" w:ascii="宋体" w:hAnsi="宋体" w:eastAsia="宋体" w:cs="宋体"/>
          <w:sz w:val="24"/>
        </w:rPr>
        <w:t>5.6谈判结束后，谈判小组要求参加谈判的各报价人在规定的时间内集中提交最终报价，除非在谈判中谈判小组调整或修改采购需求内容，否则</w:t>
      </w:r>
      <w:r>
        <w:rPr>
          <w:rFonts w:hint="eastAsia" w:ascii="宋体" w:hAnsi="宋体" w:eastAsia="宋体" w:cs="宋体"/>
          <w:b/>
          <w:bCs/>
          <w:sz w:val="24"/>
        </w:rPr>
        <w:t>采购人不接受高于前面轮次的谈判报价</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5.7谈判小组按照采购需求、质量和服务相等且报价最低的原则确定成交候选供应商，若出现相同报价的，可再次报价，直至产生唯一最低报价。</w:t>
      </w:r>
    </w:p>
    <w:p>
      <w:pPr>
        <w:pStyle w:val="5"/>
        <w:numPr>
          <w:ilvl w:val="0"/>
          <w:numId w:val="13"/>
        </w:numPr>
        <w:ind w:left="420" w:leftChars="0" w:firstLineChars="0"/>
        <w:rPr>
          <w:rFonts w:ascii="宋体" w:hAnsi="宋体" w:eastAsia="宋体" w:cs="宋体"/>
        </w:rPr>
      </w:pPr>
      <w:bookmarkStart w:id="48" w:name="_Toc12947"/>
      <w:r>
        <w:rPr>
          <w:rFonts w:hint="eastAsia" w:ascii="宋体" w:hAnsi="宋体" w:eastAsia="宋体" w:cs="宋体"/>
        </w:rPr>
        <w:t>定标</w:t>
      </w:r>
      <w:bookmarkEnd w:id="48"/>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代理机构在评审结束后</w:t>
      </w:r>
      <w:r>
        <w:rPr>
          <w:rFonts w:hint="eastAsia" w:ascii="宋体" w:hAnsi="宋体" w:eastAsia="宋体" w:cs="宋体"/>
          <w:sz w:val="24"/>
          <w:lang w:val="en-US" w:eastAsia="zh-CN"/>
        </w:rPr>
        <w:t>1</w:t>
      </w:r>
      <w:r>
        <w:rPr>
          <w:rFonts w:hint="eastAsia" w:ascii="宋体" w:hAnsi="宋体" w:eastAsia="宋体" w:cs="宋体"/>
          <w:sz w:val="24"/>
        </w:rPr>
        <w:t>个工作日内将评审报告送达采购单位，采购单位在收到评审报告后</w:t>
      </w:r>
      <w:r>
        <w:rPr>
          <w:rFonts w:hint="eastAsia" w:ascii="宋体" w:hAnsi="宋体" w:eastAsia="宋体" w:cs="宋体"/>
          <w:sz w:val="24"/>
          <w:lang w:val="en-US" w:eastAsia="zh-CN"/>
        </w:rPr>
        <w:t>4</w:t>
      </w:r>
      <w:r>
        <w:rPr>
          <w:rFonts w:hint="eastAsia" w:ascii="宋体" w:hAnsi="宋体" w:eastAsia="宋体" w:cs="宋体"/>
          <w:sz w:val="24"/>
        </w:rPr>
        <w:t>个工作日内，按照评审报告中推荐的成交候选人顺序确认第一成交候选人为成交单位，同时书面复函代理机构；</w:t>
      </w:r>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代理机构收到采购单位“定标复函”后</w:t>
      </w:r>
      <w:r>
        <w:rPr>
          <w:rFonts w:hint="eastAsia" w:ascii="宋体" w:hAnsi="宋体" w:eastAsia="宋体" w:cs="宋体"/>
          <w:sz w:val="24"/>
          <w:lang w:val="en-US" w:eastAsia="zh-CN"/>
        </w:rPr>
        <w:t>1</w:t>
      </w:r>
      <w:r>
        <w:rPr>
          <w:rFonts w:hint="eastAsia" w:ascii="宋体" w:hAnsi="宋体" w:eastAsia="宋体" w:cs="宋体"/>
          <w:sz w:val="24"/>
        </w:rPr>
        <w:t>日内，在财政部门指定的政府采购信息媒体上发布公告，并向成交供应商发出“成交通知书”。</w:t>
      </w:r>
    </w:p>
    <w:p>
      <w:pPr>
        <w:spacing w:line="360" w:lineRule="auto"/>
        <w:ind w:firstLine="420" w:firstLineChars="175"/>
        <w:jc w:val="left"/>
        <w:rPr>
          <w:rFonts w:ascii="宋体" w:hAnsi="宋体" w:eastAsia="宋体" w:cs="宋体"/>
          <w:sz w:val="24"/>
        </w:rPr>
      </w:pPr>
    </w:p>
    <w:p>
      <w:pPr>
        <w:pStyle w:val="4"/>
        <w:numPr>
          <w:ilvl w:val="0"/>
          <w:numId w:val="5"/>
        </w:numPr>
        <w:rPr>
          <w:rFonts w:ascii="宋体" w:hAnsi="宋体" w:cs="宋体"/>
        </w:rPr>
      </w:pPr>
      <w:bookmarkStart w:id="49" w:name="_Toc25308"/>
      <w:bookmarkStart w:id="50" w:name="_Toc11567"/>
      <w:bookmarkStart w:id="51" w:name="_Toc19972"/>
      <w:r>
        <w:rPr>
          <w:rFonts w:hint="eastAsia" w:ascii="宋体" w:hAnsi="宋体" w:cs="宋体"/>
        </w:rPr>
        <w:t>签订合同</w:t>
      </w:r>
      <w:bookmarkEnd w:id="49"/>
      <w:bookmarkEnd w:id="50"/>
      <w:bookmarkEnd w:id="51"/>
    </w:p>
    <w:p>
      <w:pPr>
        <w:pStyle w:val="8"/>
        <w:spacing w:line="360" w:lineRule="auto"/>
        <w:rPr>
          <w:rFonts w:ascii="宋体" w:hAnsi="宋体" w:cs="宋体"/>
          <w:sz w:val="24"/>
          <w:szCs w:val="24"/>
        </w:rPr>
      </w:pPr>
      <w:bookmarkStart w:id="52" w:name="_Toc28110"/>
      <w:bookmarkStart w:id="53" w:name="_Toc26132"/>
      <w:r>
        <w:rPr>
          <w:rFonts w:hint="eastAsia" w:ascii="宋体" w:hAnsi="宋体" w:cs="宋体"/>
          <w:sz w:val="24"/>
          <w:szCs w:val="24"/>
        </w:rPr>
        <w:t>采购人与中标、成交供应商应当在中标、成交通知书发出之日起三十日内，按照采购文件确定的事项签订政府采购合同。</w:t>
      </w:r>
    </w:p>
    <w:bookmarkEnd w:id="52"/>
    <w:bookmarkEnd w:id="53"/>
    <w:p>
      <w:pPr>
        <w:pStyle w:val="4"/>
        <w:numPr>
          <w:ilvl w:val="0"/>
          <w:numId w:val="5"/>
        </w:numPr>
        <w:rPr>
          <w:rFonts w:ascii="宋体" w:hAnsi="宋体" w:cs="宋体"/>
        </w:rPr>
      </w:pPr>
      <w:bookmarkStart w:id="54" w:name="_Toc21950"/>
      <w:bookmarkStart w:id="55" w:name="_Toc16019"/>
      <w:bookmarkStart w:id="56" w:name="_Toc27418"/>
      <w:bookmarkStart w:id="57" w:name="_Toc5187"/>
      <w:bookmarkStart w:id="58" w:name="_Toc7191"/>
      <w:bookmarkStart w:id="59" w:name="_Toc32056"/>
      <w:r>
        <w:rPr>
          <w:rFonts w:hint="eastAsia" w:ascii="宋体" w:hAnsi="宋体" w:cs="宋体"/>
        </w:rPr>
        <w:t>质疑和投诉</w:t>
      </w:r>
      <w:bookmarkEnd w:id="54"/>
      <w:bookmarkEnd w:id="55"/>
      <w:bookmarkEnd w:id="56"/>
      <w:bookmarkEnd w:id="57"/>
      <w:bookmarkEnd w:id="58"/>
      <w:bookmarkEnd w:id="59"/>
    </w:p>
    <w:p>
      <w:pPr>
        <w:spacing w:line="560" w:lineRule="exact"/>
        <w:ind w:firstLine="480" w:firstLineChars="200"/>
        <w:jc w:val="left"/>
        <w:rPr>
          <w:rFonts w:ascii="宋体" w:hAnsi="宋体" w:cs="宋体"/>
          <w:sz w:val="24"/>
          <w:szCs w:val="24"/>
        </w:rPr>
      </w:pPr>
      <w:bookmarkStart w:id="60" w:name="_Toc3298"/>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2）对采购过程提出质疑的，为各采购程序环节结束之日；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 质疑函应当包括下列主要内容：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1）供应商的姓名或者名称、地址、邮编、联系人及联系电话；</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2）质疑项目的名称、编号；</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3）具体、明确的质疑事项和与质疑事项相关的请求；</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4）事实依据；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5）必要的法律依据；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6）提出质疑的日期。</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代理人提出质疑和投诉，应当提交供应商签署的授权委托书。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6、质疑函接收方式：由自然人本人或法定代表人或者其授权代表携带书面原件及身份证明原件到现场递交，否则不予受理 。 </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 质疑受理部门：陕西卓佲项目管理有限公司。</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    质疑受理电话：029-88440695。</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 、提交质疑函地点：西安市雁塔区科技路10号华奥大厦A座</w:t>
      </w:r>
      <w:r>
        <w:rPr>
          <w:rFonts w:hint="eastAsia" w:ascii="宋体" w:hAnsi="宋体" w:cs="宋体"/>
          <w:sz w:val="24"/>
          <w:szCs w:val="24"/>
          <w:lang w:val="en-US" w:eastAsia="zh-CN"/>
        </w:rPr>
        <w:t>20层</w:t>
      </w:r>
      <w:r>
        <w:rPr>
          <w:rFonts w:hint="eastAsia" w:ascii="宋体" w:hAnsi="宋体" w:cs="宋体"/>
          <w:sz w:val="24"/>
          <w:szCs w:val="24"/>
        </w:rPr>
        <w:t>2002室。</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9、 本次采购活动中，采购代理机构对质疑函回复的书面文件的送达方式为现场取件。</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10、 质疑供应商对采购人、采购代理机构的答复不满意，或者采购人、采购代理机构未在规定的时间内作出答复的，可以在答复期满后15个工作日内向采购人的同级政府采购监督管理部门投诉。</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11、 质疑函应当使用中文。质疑函范本详见财政部制定的范本即竞争性谈判文件附件六。</w:t>
      </w:r>
    </w:p>
    <w:p>
      <w:pPr>
        <w:rPr>
          <w:rFonts w:ascii="宋体" w:hAnsi="宋体" w:cs="宋体"/>
          <w:sz w:val="24"/>
          <w:szCs w:val="24"/>
        </w:rPr>
      </w:pPr>
    </w:p>
    <w:p>
      <w:r>
        <w:rPr>
          <w:rFonts w:hint="eastAsia"/>
        </w:rPr>
        <w:br w:type="page"/>
      </w:r>
    </w:p>
    <w:p>
      <w:pPr>
        <w:pStyle w:val="3"/>
        <w:pageBreakBefore/>
        <w:rPr>
          <w:rFonts w:ascii="宋体" w:hAnsi="宋体" w:cs="宋体"/>
        </w:rPr>
      </w:pPr>
      <w:bookmarkStart w:id="61" w:name="_Toc22078"/>
      <w:r>
        <w:rPr>
          <w:rFonts w:hint="eastAsia" w:ascii="宋体" w:hAnsi="宋体" w:cs="宋体"/>
        </w:rPr>
        <w:t>第四部分  评审标准</w:t>
      </w:r>
      <w:bookmarkEnd w:id="60"/>
      <w:bookmarkEnd w:id="61"/>
    </w:p>
    <w:p>
      <w:pPr>
        <w:rPr>
          <w:rFonts w:ascii="宋体" w:hAnsi="宋体" w:eastAsia="宋体" w:cs="宋体"/>
          <w:sz w:val="24"/>
          <w:szCs w:val="28"/>
        </w:rPr>
      </w:pPr>
      <w:r>
        <w:rPr>
          <w:rFonts w:hint="eastAsia" w:ascii="宋体" w:hAnsi="宋体" w:eastAsia="宋体" w:cs="宋体"/>
          <w:sz w:val="24"/>
          <w:szCs w:val="28"/>
        </w:rPr>
        <w:t>根据符合需求、质量和服务相等且报价最低原则确定成交供应商。</w:t>
      </w:r>
    </w:p>
    <w:p/>
    <w:p>
      <w:pPr>
        <w:spacing w:line="360" w:lineRule="auto"/>
        <w:ind w:firstLine="482" w:firstLineChars="200"/>
        <w:rPr>
          <w:rFonts w:hint="eastAsia" w:ascii="宋体" w:hAnsi="宋体" w:cs="宋体"/>
          <w:b/>
          <w:bCs/>
          <w:sz w:val="24"/>
        </w:rPr>
      </w:pPr>
      <w:bookmarkStart w:id="62" w:name="_Toc262"/>
      <w:r>
        <w:rPr>
          <w:rFonts w:hint="eastAsia" w:ascii="宋体" w:hAnsi="宋体" w:cs="宋体"/>
          <w:b/>
          <w:bCs/>
          <w:sz w:val="24"/>
          <w:lang w:val="en-US" w:eastAsia="zh-CN"/>
        </w:rPr>
        <w:t>1、</w:t>
      </w:r>
      <w:r>
        <w:rPr>
          <w:rFonts w:hint="eastAsia" w:ascii="宋体" w:hAnsi="宋体" w:cs="宋体"/>
          <w:b/>
          <w:bCs/>
          <w:sz w:val="24"/>
        </w:rPr>
        <w:t>本项目</w:t>
      </w:r>
      <w:r>
        <w:rPr>
          <w:rFonts w:hint="eastAsia" w:ascii="宋体" w:hAnsi="宋体" w:cs="宋体"/>
          <w:b/>
          <w:bCs/>
          <w:sz w:val="24"/>
          <w:lang w:eastAsia="zh-CN"/>
        </w:rPr>
        <w:t>非</w:t>
      </w:r>
      <w:r>
        <w:rPr>
          <w:rFonts w:hint="eastAsia" w:ascii="宋体" w:hAnsi="宋体" w:cs="宋体"/>
          <w:b/>
          <w:bCs/>
          <w:sz w:val="24"/>
        </w:rPr>
        <w:t>专门面向中小企业采购。对小型和微型企业、残疾人福利性单位的价格给予</w:t>
      </w:r>
      <w:r>
        <w:rPr>
          <w:rFonts w:hint="eastAsia" w:ascii="宋体" w:hAnsi="宋体" w:cs="宋体"/>
          <w:b/>
          <w:bCs/>
          <w:sz w:val="24"/>
          <w:lang w:val="en-US" w:eastAsia="zh-CN"/>
        </w:rPr>
        <w:t>10</w:t>
      </w:r>
      <w:r>
        <w:rPr>
          <w:rFonts w:hint="eastAsia" w:ascii="宋体" w:hAnsi="宋体" w:cs="宋体"/>
          <w:b/>
          <w:bCs/>
          <w:sz w:val="24"/>
        </w:rPr>
        <w:t>%的扣除，用扣除后的价格参与评审，残疾人福利性单位属于小型、微型企业的，不重复享受政策，供应商应提供《中小企业声明函》或《残疾人福利性单位声明函》，否则不得享受相关中小企业扶持政策或残疾人就业政府采购政策。</w:t>
      </w:r>
    </w:p>
    <w:bookmarkEnd w:id="62"/>
    <w:p>
      <w:pPr>
        <w:spacing w:line="360" w:lineRule="auto"/>
        <w:ind w:firstLine="482" w:firstLineChars="200"/>
        <w:rPr>
          <w:rFonts w:hint="eastAsia" w:ascii="宋体" w:hAnsi="宋体" w:cs="宋体" w:eastAsiaTheme="minorEastAsia"/>
          <w:b/>
          <w:bCs/>
          <w:sz w:val="24"/>
          <w:lang w:eastAsia="zh-CN"/>
        </w:rPr>
      </w:pPr>
      <w:bookmarkStart w:id="63" w:name="_Toc17290"/>
      <w:bookmarkStart w:id="64" w:name="_Toc2234"/>
      <w:r>
        <w:rPr>
          <w:rFonts w:hint="eastAsia" w:ascii="宋体" w:hAnsi="宋体" w:cs="宋体"/>
          <w:b/>
          <w:bCs/>
          <w:sz w:val="24"/>
        </w:rPr>
        <w:t>2.《关于政府采购支持监狱企业发展有关问题的通知》（财库[2014]68号）的规定，对监狱企业给予</w:t>
      </w:r>
      <w:r>
        <w:rPr>
          <w:rFonts w:hint="eastAsia" w:ascii="宋体" w:hAnsi="宋体" w:cs="宋体"/>
          <w:b/>
          <w:bCs/>
          <w:sz w:val="24"/>
          <w:lang w:val="en-US" w:eastAsia="zh-CN"/>
        </w:rPr>
        <w:t>10</w:t>
      </w:r>
      <w:r>
        <w:rPr>
          <w:rFonts w:hint="eastAsia" w:ascii="宋体" w:hAnsi="宋体" w:cs="宋体"/>
          <w:b/>
          <w:bCs/>
          <w:sz w:val="24"/>
        </w:rPr>
        <w:t>%的价格扣除，用扣除后的价格参与评审（提供由省级以上监狱管理局、戒毒管理局（含新疆生产建设兵团）出具的属于监狱企业的证明文件）</w:t>
      </w:r>
      <w:r>
        <w:rPr>
          <w:rFonts w:hint="eastAsia" w:ascii="宋体" w:hAnsi="宋体" w:cs="宋体"/>
          <w:b/>
          <w:bCs/>
          <w:sz w:val="24"/>
          <w:lang w:eastAsia="zh-CN"/>
        </w:rPr>
        <w:t>；</w:t>
      </w:r>
    </w:p>
    <w:p>
      <w:pPr>
        <w:spacing w:line="360" w:lineRule="auto"/>
        <w:ind w:firstLine="482" w:firstLineChars="200"/>
        <w:rPr>
          <w:rFonts w:hint="eastAsia" w:ascii="宋体" w:hAnsi="宋体" w:cs="宋体" w:eastAsiaTheme="minorEastAsia"/>
          <w:b/>
          <w:bCs/>
          <w:sz w:val="24"/>
          <w:lang w:eastAsia="zh-CN"/>
        </w:rPr>
      </w:pPr>
      <w:r>
        <w:rPr>
          <w:rFonts w:hint="eastAsia" w:ascii="宋体" w:hAnsi="宋体" w:cs="宋体"/>
          <w:b/>
          <w:bCs/>
          <w:sz w:val="24"/>
        </w:rPr>
        <w:t>3.节能环保产品以节能产品、环境标志产品认证证书为准</w:t>
      </w:r>
      <w:r>
        <w:rPr>
          <w:rFonts w:hint="eastAsia" w:ascii="宋体" w:hAnsi="宋体" w:cs="宋体"/>
          <w:b/>
          <w:bCs/>
          <w:sz w:val="24"/>
          <w:lang w:eastAsia="zh-CN"/>
        </w:rPr>
        <w:t>；</w:t>
      </w:r>
    </w:p>
    <w:p>
      <w:pPr>
        <w:spacing w:line="360" w:lineRule="auto"/>
        <w:ind w:firstLine="482" w:firstLineChars="200"/>
        <w:rPr>
          <w:rFonts w:ascii="宋体" w:hAnsi="宋体" w:cs="宋体"/>
          <w:b/>
          <w:bCs/>
          <w:sz w:val="24"/>
        </w:rPr>
      </w:pPr>
      <w:r>
        <w:rPr>
          <w:rFonts w:hint="eastAsia" w:ascii="宋体" w:hAnsi="宋体" w:cs="宋体"/>
          <w:b/>
          <w:bCs/>
          <w:sz w:val="24"/>
        </w:rPr>
        <w:t>4.技术参数正偏离须在技术响应表中注明正偏离的理由和佐证材料的页码；</w:t>
      </w:r>
    </w:p>
    <w:p>
      <w:pPr>
        <w:pStyle w:val="3"/>
        <w:pageBreakBefore/>
        <w:jc w:val="center"/>
        <w:rPr>
          <w:rFonts w:hint="eastAsia" w:ascii="宋体" w:hAnsi="宋体" w:cs="宋体"/>
        </w:rPr>
      </w:pPr>
      <w:bookmarkStart w:id="65" w:name="_Toc14100"/>
      <w:r>
        <w:rPr>
          <w:rFonts w:hint="eastAsia" w:ascii="宋体" w:hAnsi="宋体" w:cs="宋体"/>
        </w:rPr>
        <w:t>第五部分  采购要求</w:t>
      </w:r>
      <w:bookmarkEnd w:id="65"/>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3"/>
        <w:gridCol w:w="876"/>
        <w:gridCol w:w="819"/>
        <w:gridCol w:w="570"/>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jc w:val="center"/>
        </w:trPr>
        <w:tc>
          <w:tcPr>
            <w:tcW w:w="9599" w:type="dxa"/>
            <w:gridSpan w:val="5"/>
            <w:shd w:val="clear" w:color="auto" w:fill="auto"/>
            <w:noWrap w:val="0"/>
            <w:vAlign w:val="center"/>
          </w:tcPr>
          <w:p>
            <w:pPr>
              <w:pStyle w:val="21"/>
              <w:ind w:left="0" w:leftChars="0" w:firstLine="0" w:firstLineChars="0"/>
              <w:rPr>
                <w:rFonts w:ascii="宋体" w:hAnsi="宋体" w:cs="宋体"/>
                <w:b/>
                <w:color w:val="000000"/>
                <w:sz w:val="24"/>
                <w:szCs w:val="24"/>
                <w:highlight w:val="none"/>
              </w:rPr>
            </w:pPr>
          </w:p>
          <w:p>
            <w:pPr>
              <w:pStyle w:val="21"/>
              <w:ind w:left="0" w:leftChars="0" w:firstLine="0" w:firstLineChars="0"/>
              <w:rPr>
                <w:rFonts w:ascii="宋体" w:hAnsi="宋体" w:cs="宋体"/>
                <w:b/>
                <w:color w:val="000000"/>
                <w:sz w:val="24"/>
                <w:szCs w:val="24"/>
                <w:highlight w:val="none"/>
              </w:rPr>
            </w:pPr>
            <w:r>
              <w:rPr>
                <w:rFonts w:hint="eastAsia" w:ascii="宋体" w:hAnsi="宋体" w:cs="宋体"/>
                <w:b/>
                <w:color w:val="000000"/>
                <w:sz w:val="24"/>
                <w:szCs w:val="24"/>
                <w:highlight w:val="none"/>
              </w:rPr>
              <w:t>★为了与学校本部图书馆系统及设备无缝对接并且馆藏资源跨馆流通，智慧图书馆软硬件供应商做出书面承诺，格式自拟。</w:t>
            </w:r>
          </w:p>
          <w:p>
            <w:pPr>
              <w:rPr>
                <w:rFonts w:ascii="宋体" w:hAnsi="宋体" w:cs="等线"/>
                <w:b/>
                <w:color w:val="000000"/>
                <w:sz w:val="24"/>
                <w:szCs w:val="24"/>
                <w:highlight w:val="none"/>
                <w:lang w:bidi="ar"/>
              </w:rPr>
            </w:pPr>
            <w:r>
              <w:rPr>
                <w:rFonts w:hint="eastAsia" w:ascii="宋体" w:hAnsi="宋体" w:cs="等线"/>
                <w:b/>
                <w:color w:val="000000"/>
                <w:sz w:val="24"/>
                <w:szCs w:val="24"/>
                <w:highlight w:val="none"/>
                <w:lang w:bidi="ar"/>
              </w:rPr>
              <w:t>备注：1、技术参数中要求提供证明材料等而未按要求提供的</w:t>
            </w:r>
            <w:r>
              <w:rPr>
                <w:rFonts w:hint="eastAsia" w:ascii="宋体" w:hAnsi="宋体" w:cs="等线"/>
                <w:b/>
                <w:color w:val="000000"/>
                <w:sz w:val="24"/>
                <w:szCs w:val="24"/>
                <w:highlight w:val="none"/>
                <w:lang w:eastAsia="zh-CN" w:bidi="ar"/>
              </w:rPr>
              <w:t>或提供达不到要求的</w:t>
            </w:r>
            <w:r>
              <w:rPr>
                <w:rFonts w:hint="eastAsia" w:ascii="宋体" w:hAnsi="宋体" w:cs="等线"/>
                <w:b/>
                <w:color w:val="000000"/>
                <w:sz w:val="24"/>
                <w:szCs w:val="24"/>
                <w:highlight w:val="none"/>
                <w:lang w:bidi="ar"/>
              </w:rPr>
              <w:t>，视为负偏离；</w:t>
            </w:r>
          </w:p>
          <w:p>
            <w:pPr>
              <w:rPr>
                <w:rFonts w:ascii="宋体" w:hAnsi="宋体" w:cs="等线"/>
                <w:b/>
                <w:color w:val="000000"/>
                <w:sz w:val="24"/>
                <w:szCs w:val="24"/>
                <w:highlight w:val="none"/>
                <w:lang w:bidi="ar"/>
              </w:rPr>
            </w:pPr>
            <w:r>
              <w:rPr>
                <w:rFonts w:hint="eastAsia" w:ascii="宋体" w:hAnsi="宋体" w:cs="等线"/>
                <w:b/>
                <w:color w:val="000000"/>
                <w:sz w:val="24"/>
                <w:szCs w:val="24"/>
                <w:highlight w:val="none"/>
                <w:lang w:bidi="ar"/>
              </w:rPr>
              <w:t>2、“★”项参数为实质性要求，响应文件对其中任何一条“★”的偏离，为实质性偏离，其响应无效。</w:t>
            </w:r>
          </w:p>
          <w:p>
            <w:pPr>
              <w:pStyle w:val="2"/>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jc w:val="center"/>
        </w:trPr>
        <w:tc>
          <w:tcPr>
            <w:tcW w:w="553" w:type="dxa"/>
            <w:shd w:val="clear" w:color="auto" w:fill="auto"/>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序号</w:t>
            </w:r>
          </w:p>
        </w:tc>
        <w:tc>
          <w:tcPr>
            <w:tcW w:w="876" w:type="dxa"/>
            <w:shd w:val="clear" w:color="auto" w:fill="auto"/>
            <w:noWrap w:val="0"/>
            <w:vAlign w:val="center"/>
          </w:tcPr>
          <w:p>
            <w:pPr>
              <w:widowControl/>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品目名称</w:t>
            </w:r>
          </w:p>
        </w:tc>
        <w:tc>
          <w:tcPr>
            <w:tcW w:w="819" w:type="dxa"/>
            <w:shd w:val="clear" w:color="auto" w:fill="auto"/>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数量</w:t>
            </w:r>
          </w:p>
        </w:tc>
        <w:tc>
          <w:tcPr>
            <w:tcW w:w="570" w:type="dxa"/>
            <w:shd w:val="clear" w:color="auto" w:fill="auto"/>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单位</w:t>
            </w:r>
          </w:p>
        </w:tc>
        <w:tc>
          <w:tcPr>
            <w:tcW w:w="6781" w:type="dxa"/>
            <w:shd w:val="clear" w:color="auto" w:fill="auto"/>
            <w:noWrap w:val="0"/>
            <w:vAlign w:val="center"/>
          </w:tcPr>
          <w:p>
            <w:pPr>
              <w:widowControl/>
              <w:jc w:val="center"/>
              <w:rPr>
                <w:rFonts w:hint="eastAsia" w:ascii="宋体" w:hAnsi="宋体" w:cs="宋体"/>
                <w:kern w:val="0"/>
                <w:sz w:val="24"/>
                <w:szCs w:val="24"/>
                <w:highlight w:val="none"/>
              </w:rPr>
            </w:pPr>
            <w:r>
              <w:rPr>
                <w:rFonts w:hint="eastAsia" w:ascii="宋体" w:hAnsi="宋体" w:cs="宋体"/>
                <w:color w:val="000000"/>
                <w:kern w:val="0"/>
                <w:sz w:val="24"/>
                <w:szCs w:val="24"/>
                <w:highlight w:val="none"/>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RFID图书标签</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80000</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枚</w:t>
            </w:r>
          </w:p>
        </w:tc>
        <w:tc>
          <w:tcPr>
            <w:tcW w:w="6781" w:type="dxa"/>
            <w:shd w:val="clear" w:color="auto" w:fill="auto"/>
            <w:noWrap w:val="0"/>
            <w:vAlign w:val="center"/>
          </w:tcPr>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 标签中有存储器，存储在其中的资料可重复读、写。</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2. 标签可以非接触式地读取和写入；</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3. 标签</w:t>
            </w:r>
            <w:r>
              <w:rPr>
                <w:rFonts w:hint="eastAsia" w:ascii="宋体" w:hAnsi="宋体" w:cs="宋体"/>
                <w:kern w:val="0"/>
                <w:sz w:val="24"/>
                <w:szCs w:val="24"/>
                <w:highlight w:val="none"/>
                <w:lang w:eastAsia="zh-CN"/>
              </w:rPr>
              <w:t>采用</w:t>
            </w:r>
            <w:r>
              <w:rPr>
                <w:rFonts w:hint="eastAsia" w:ascii="宋体" w:hAnsi="宋体" w:cs="宋体"/>
                <w:kern w:val="0"/>
                <w:sz w:val="24"/>
                <w:szCs w:val="24"/>
                <w:highlight w:val="none"/>
              </w:rPr>
              <w:t>防冲突的运算法则，能</w:t>
            </w:r>
            <w:r>
              <w:rPr>
                <w:rFonts w:hint="eastAsia" w:ascii="宋体" w:hAnsi="宋体" w:cs="宋体"/>
                <w:kern w:val="0"/>
                <w:sz w:val="24"/>
                <w:szCs w:val="24"/>
                <w:highlight w:val="none"/>
                <w:lang w:eastAsia="zh-CN"/>
              </w:rPr>
              <w:t>支持</w:t>
            </w:r>
            <w:r>
              <w:rPr>
                <w:rFonts w:hint="eastAsia" w:ascii="宋体" w:hAnsi="宋体" w:cs="宋体"/>
                <w:kern w:val="0"/>
                <w:sz w:val="24"/>
                <w:szCs w:val="24"/>
                <w:highlight w:val="none"/>
              </w:rPr>
              <w:t>多个标签同时可靠识别；</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4. 标签具有较高的安全性，有不可改写的唯一序列号（UID）</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防止存储在其中的信息被泄露或随意改写；</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 标签为无源标签，须符合ISO15963、ISO18000-3标准；</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 图书标签采用AFI 或EAS 位作为防盗的安全标志方法，且AFI标志位必须可以用户自由修改；</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 标签固有频率误差频率小于或等于±300K Hz范围；</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 标签质保期内不开胶脱落，同时应保证采用中性粘胶对图书及其它介质黏贴表面无损害；</w:t>
            </w:r>
          </w:p>
          <w:p>
            <w:pPr>
              <w:widowControl/>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参数要求：</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 工作频率：13.56MHz</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2. 标签尺寸：50*50mm</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3. 天线尺寸：45*45mm</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4. 存储容量：≥1024 bits</w:t>
            </w:r>
          </w:p>
          <w:p>
            <w:pPr>
              <w:widowControl/>
              <w:jc w:val="left"/>
              <w:rPr>
                <w:rFonts w:hint="eastAsia" w:ascii="宋体" w:hAnsi="宋体" w:cs="宋体" w:eastAsiaTheme="minorEastAsia"/>
                <w:color w:val="000000"/>
                <w:kern w:val="0"/>
                <w:sz w:val="24"/>
                <w:szCs w:val="24"/>
                <w:highlight w:val="none"/>
                <w:lang w:eastAsia="zh-CN"/>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rPr>
              <w:t>、所投产品需通过辐射骚扰、谐波电流、静电放电抗扰度射频电磁场辐射抗扰度检测。</w:t>
            </w:r>
            <w:r>
              <w:rPr>
                <w:rFonts w:hint="eastAsia" w:ascii="宋体" w:hAnsi="宋体" w:cs="宋体"/>
                <w:color w:val="000000"/>
                <w:kern w:val="0"/>
                <w:sz w:val="24"/>
                <w:szCs w:val="24"/>
                <w:highlight w:val="none"/>
                <w:lang w:eastAsia="zh-CN"/>
              </w:rPr>
              <w:t>提供相应的功能证明材料（包括但不限于测试报告、官网和功能截图等）</w:t>
            </w:r>
          </w:p>
          <w:p>
            <w:pPr>
              <w:widowControl/>
              <w:jc w:val="left"/>
              <w:rPr>
                <w:rFonts w:hint="eastAsia" w:ascii="宋体" w:hAnsi="宋体" w:cs="宋体" w:eastAsiaTheme="minorEastAsia"/>
                <w:kern w:val="0"/>
                <w:sz w:val="24"/>
                <w:szCs w:val="24"/>
                <w:highlight w:val="none"/>
                <w:lang w:eastAsia="zh-CN"/>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电子标签需通过物理特性（静磁场、紫外线、抗静电)、环境适应性试验（工作温度下限试验、工作温度上限试验、贮存温度下限试验、贮存温度上限试验)、性能指标（读取距离≥28cm、读取速度≤220ms)等检测项目，</w:t>
            </w:r>
            <w:r>
              <w:rPr>
                <w:rFonts w:hint="eastAsia" w:ascii="宋体" w:hAnsi="宋体" w:cs="宋体"/>
                <w:color w:val="000000"/>
                <w:kern w:val="0"/>
                <w:sz w:val="24"/>
                <w:szCs w:val="24"/>
                <w:highlight w:val="none"/>
                <w:lang w:eastAsia="zh-CN"/>
              </w:rPr>
              <w:t>提供相应的功能证明材料（包括但不限于测试报告、官网和功能截图等）。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0"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RFID安全门禁及其设备应用软件</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片</w:t>
            </w:r>
          </w:p>
        </w:tc>
        <w:tc>
          <w:tcPr>
            <w:tcW w:w="6781" w:type="dxa"/>
            <w:shd w:val="clear" w:color="auto" w:fill="auto"/>
            <w:noWrap w:val="0"/>
            <w:vAlign w:val="center"/>
          </w:tcPr>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系统支持使用AFI报警模式和EAS报警模式以及两种模式同时使用。</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监测系统采用RTF工作模式(Reader Talks First)。</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可以非接触式的快速识别粘贴在流通资料上的RFID标签,可以对图书馆内的印刷品、视听出版物、CD及DVD等流通资料进行安全扫描操作。</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 安装形式（如固定式、可移动式等）可随实际现场情况由采购方确定。</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 检查是否有遗漏处理的图书被带出，具有音频和视觉报警信号，报警音量可调控，具有灯光、音响报警，且信号源可设置，报警音量可调控。</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 集成红外计数功能，可进行数据的显示以及导出，也可手动重置数据。</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7. 支持联网工作与图书馆管理软件交互信息，也可独立工作，不需要与服务器或数据库相连，离线工作。</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8</w:t>
            </w:r>
            <w:r>
              <w:rPr>
                <w:rFonts w:hint="eastAsia" w:ascii="宋体" w:hAnsi="宋体" w:cs="宋体"/>
                <w:color w:val="000000"/>
                <w:kern w:val="0"/>
                <w:sz w:val="24"/>
                <w:szCs w:val="24"/>
                <w:highlight w:val="none"/>
              </w:rPr>
              <w:t>. 支持数据的存储以及数据的导出功能。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9</w:t>
            </w:r>
            <w:r>
              <w:rPr>
                <w:rFonts w:hint="eastAsia" w:ascii="宋体" w:hAnsi="宋体" w:cs="宋体"/>
                <w:color w:val="000000"/>
                <w:kern w:val="0"/>
                <w:sz w:val="24"/>
                <w:szCs w:val="24"/>
                <w:highlight w:val="none"/>
              </w:rPr>
              <w:t>. 具备流量计数功能，数据可重置。</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0</w:t>
            </w:r>
            <w:r>
              <w:rPr>
                <w:rFonts w:hint="eastAsia" w:ascii="宋体" w:hAnsi="宋体" w:cs="宋体"/>
                <w:color w:val="000000"/>
                <w:kern w:val="0"/>
                <w:sz w:val="24"/>
                <w:szCs w:val="24"/>
                <w:highlight w:val="none"/>
              </w:rPr>
              <w:t>. 可连接智能监控设备，实现联动，实时记录报警事件相关信息。</w:t>
            </w:r>
          </w:p>
          <w:p>
            <w:pPr>
              <w:widowControl/>
              <w:jc w:val="left"/>
              <w:rPr>
                <w:rFonts w:hint="eastAsia" w:ascii="宋体" w:hAnsi="宋体" w:cs="宋体"/>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rPr>
              <w:t xml:space="preserve">. </w:t>
            </w:r>
            <w:r>
              <w:rPr>
                <w:rFonts w:hint="eastAsia" w:ascii="宋体" w:hAnsi="宋体" w:cs="宋体"/>
                <w:kern w:val="0"/>
                <w:sz w:val="24"/>
                <w:szCs w:val="24"/>
                <w:highlight w:val="none"/>
                <w:lang w:eastAsia="zh-CN"/>
              </w:rPr>
              <w:t>支持</w:t>
            </w:r>
            <w:r>
              <w:rPr>
                <w:rFonts w:hint="eastAsia" w:ascii="宋体" w:hAnsi="宋体" w:cs="宋体"/>
                <w:kern w:val="0"/>
                <w:sz w:val="24"/>
                <w:szCs w:val="24"/>
                <w:highlight w:val="none"/>
              </w:rPr>
              <w:t>配套微信图书馆管理软件，直接在微信端进行扫码借书操作，借书完成后门禁系统可自动识别并进行报警判断。</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CN"/>
              </w:rPr>
              <w:t>支持</w:t>
            </w:r>
            <w:r>
              <w:rPr>
                <w:rFonts w:hint="eastAsia" w:ascii="宋体" w:hAnsi="宋体" w:cs="宋体"/>
                <w:kern w:val="0"/>
                <w:sz w:val="24"/>
                <w:szCs w:val="24"/>
                <w:highlight w:val="none"/>
              </w:rPr>
              <w:t>实时检测在馆人数和异常图书馆管理，具备可视化界面。</w:t>
            </w:r>
          </w:p>
          <w:p>
            <w:pPr>
              <w:widowControl/>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技术要求：</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 单片外形尺寸：约长580*宽180*高1680mm</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2. 设备材质：亚克力、钣金 </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3. 工作频率：13.56MHz </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4. 单通道宽度≥900mm </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5. 阅读范围半径：≥450 mm</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6. 响应速度：≥5个标签/秒 </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 xml:space="preserve">. 通信接口：RS232、RJ45 </w:t>
            </w:r>
          </w:p>
          <w:p>
            <w:pPr>
              <w:widowControl/>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 工作电源：AC100～240 V,50/60 Hz</w:t>
            </w:r>
          </w:p>
          <w:p>
            <w:pPr>
              <w:widowControl/>
              <w:jc w:val="left"/>
              <w:rPr>
                <w:rFonts w:hint="eastAsia" w:ascii="宋体" w:hAnsi="宋体" w:cs="宋体" w:eastAsiaTheme="minorEastAsia"/>
                <w:color w:val="000000"/>
                <w:kern w:val="0"/>
                <w:sz w:val="24"/>
                <w:szCs w:val="24"/>
                <w:highlight w:val="none"/>
                <w:lang w:eastAsia="zh-CN"/>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9</w:t>
            </w:r>
            <w:r>
              <w:rPr>
                <w:rFonts w:hint="eastAsia" w:ascii="宋体" w:hAnsi="宋体" w:cs="宋体"/>
                <w:color w:val="000000"/>
                <w:kern w:val="0"/>
                <w:sz w:val="24"/>
                <w:szCs w:val="24"/>
                <w:highlight w:val="none"/>
              </w:rPr>
              <w:t>.所投RFID安全门整机需通过静电放电抗扰度、浪涌（冲击）抗扰度、电压暂降、短时中断和电压变化的抗扰度检测。</w:t>
            </w:r>
            <w:r>
              <w:rPr>
                <w:rFonts w:hint="eastAsia" w:ascii="宋体" w:hAnsi="宋体" w:cs="宋体"/>
                <w:color w:val="000000"/>
                <w:kern w:val="0"/>
                <w:sz w:val="24"/>
                <w:szCs w:val="24"/>
                <w:highlight w:val="none"/>
                <w:lang w:eastAsia="zh-CN"/>
              </w:rPr>
              <w:t>提供相应的功能证明材料（包括但不限于测试报告、官网和功能截图等）</w:t>
            </w:r>
          </w:p>
          <w:p>
            <w:pPr>
              <w:widowControl/>
              <w:jc w:val="left"/>
              <w:rPr>
                <w:rFonts w:hint="eastAsia" w:ascii="宋体" w:hAnsi="宋体" w:cs="宋体" w:eastAsiaTheme="minorEastAsia"/>
                <w:color w:val="000000"/>
                <w:kern w:val="0"/>
                <w:sz w:val="24"/>
                <w:szCs w:val="24"/>
                <w:highlight w:val="none"/>
                <w:lang w:eastAsia="zh-CN"/>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0</w:t>
            </w:r>
            <w:r>
              <w:rPr>
                <w:rFonts w:hint="eastAsia" w:ascii="宋体" w:hAnsi="宋体" w:cs="宋体"/>
                <w:color w:val="000000"/>
                <w:kern w:val="0"/>
                <w:sz w:val="24"/>
                <w:szCs w:val="24"/>
                <w:highlight w:val="none"/>
              </w:rPr>
              <w:t>.所投RFID安全门整机需通环境适应性试验，设备经过连续12小时高低温试验、96小时以上盐雾试验检测，设备外观无腐蚀且能正常工作。</w:t>
            </w:r>
            <w:r>
              <w:rPr>
                <w:rFonts w:hint="eastAsia" w:ascii="宋体" w:hAnsi="宋体" w:cs="宋体"/>
                <w:color w:val="000000"/>
                <w:kern w:val="0"/>
                <w:sz w:val="24"/>
                <w:szCs w:val="24"/>
                <w:highlight w:val="none"/>
                <w:lang w:eastAsia="zh-CN"/>
              </w:rPr>
              <w:t>提供相应的功能证明材料（包括但不限于测试报告、官网和功能截图等）</w:t>
            </w:r>
          </w:p>
          <w:p>
            <w:pPr>
              <w:widowControl/>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设备应用软件功能要求：</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 软件采用模块化设计架构，各功能模块（如读者证模块，SIP2接口模块、查询模块、加工模块）对应不同的独立文件，可根据实际需要在配置程序中灵活选择加载启用。</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2. 具备实时记录日志功能。</w:t>
            </w:r>
          </w:p>
          <w:p>
            <w:pPr>
              <w:widowControl/>
              <w:jc w:val="left"/>
              <w:rPr>
                <w:rFonts w:ascii="宋体" w:hAnsi="宋体" w:cs="宋体"/>
                <w:color w:val="000000"/>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 xml:space="preserve">. 供应商提供免费软件升级服务。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RFID读者证</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2000</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张</w:t>
            </w:r>
          </w:p>
        </w:tc>
        <w:tc>
          <w:tcPr>
            <w:tcW w:w="6781" w:type="dxa"/>
            <w:shd w:val="clear" w:color="auto" w:fill="auto"/>
            <w:noWrap w:val="0"/>
            <w:vAlign w:val="center"/>
          </w:tcPr>
          <w:p>
            <w:pPr>
              <w:widowControl/>
              <w:numPr>
                <w:ilvl w:val="0"/>
                <w:numId w:val="16"/>
              </w:numPr>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标签中有存储器，存储在其中的资料可重复读、写。</w:t>
            </w:r>
          </w:p>
          <w:p>
            <w:pPr>
              <w:widowControl/>
              <w:numPr>
                <w:ilvl w:val="0"/>
                <w:numId w:val="0"/>
              </w:numPr>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标签可以非接触式地读取和写入。</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标签</w:t>
            </w:r>
            <w:r>
              <w:rPr>
                <w:rFonts w:hint="eastAsia" w:ascii="宋体" w:hAnsi="宋体" w:cs="宋体"/>
                <w:color w:val="000000"/>
                <w:kern w:val="0"/>
                <w:sz w:val="24"/>
                <w:szCs w:val="24"/>
                <w:highlight w:val="none"/>
                <w:lang w:eastAsia="zh-CN"/>
              </w:rPr>
              <w:t>采</w:t>
            </w:r>
            <w:r>
              <w:rPr>
                <w:rFonts w:hint="eastAsia" w:ascii="宋体" w:hAnsi="宋体" w:cs="宋体"/>
                <w:color w:val="000000"/>
                <w:kern w:val="0"/>
                <w:sz w:val="24"/>
                <w:szCs w:val="24"/>
                <w:highlight w:val="none"/>
              </w:rPr>
              <w:t>用防冲突的运算法则，能保证多个标签同时可靠识别。</w:t>
            </w:r>
          </w:p>
          <w:p>
            <w:pPr>
              <w:widowControl/>
              <w:jc w:val="left"/>
              <w:rPr>
                <w:rFonts w:hint="eastAsia" w:ascii="宋体" w:hAnsi="宋体" w:cs="宋体" w:eastAsiaTheme="minorEastAsia"/>
                <w:color w:val="000000"/>
                <w:kern w:val="0"/>
                <w:sz w:val="24"/>
                <w:szCs w:val="24"/>
                <w:highlight w:val="none"/>
                <w:lang w:eastAsia="zh-CN"/>
              </w:rPr>
            </w:pPr>
            <w:r>
              <w:rPr>
                <w:rFonts w:hint="eastAsia" w:ascii="宋体" w:hAnsi="宋体" w:cs="宋体"/>
                <w:color w:val="000000"/>
                <w:kern w:val="0"/>
                <w:sz w:val="24"/>
                <w:szCs w:val="24"/>
                <w:highlight w:val="none"/>
              </w:rPr>
              <w:t>4. 标签具有较高的安全性，有不可改写的唯一序列号（UID）</w:t>
            </w:r>
            <w:r>
              <w:rPr>
                <w:rFonts w:hint="eastAsia" w:ascii="宋体" w:hAnsi="宋体" w:cs="宋体"/>
                <w:color w:val="000000"/>
                <w:kern w:val="0"/>
                <w:sz w:val="24"/>
                <w:szCs w:val="24"/>
                <w:highlight w:val="none"/>
                <w:lang w:eastAsia="zh-CN"/>
              </w:rPr>
              <w:t>，</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防止存储在其中的信息被泄露或随意改写。；</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 标签为无源标签，须符合ISO 15693、ISO 18000-3标准。</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eastAsia="zh-CN"/>
              </w:rPr>
              <w:t>标签</w:t>
            </w:r>
            <w:r>
              <w:rPr>
                <w:rFonts w:hint="eastAsia" w:ascii="宋体" w:hAnsi="宋体" w:cs="宋体"/>
                <w:color w:val="000000"/>
                <w:kern w:val="0"/>
                <w:sz w:val="24"/>
                <w:szCs w:val="24"/>
                <w:highlight w:val="none"/>
              </w:rPr>
              <w:t>固有频率误差频率小于或等于±300K Hz范围。</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 xml:space="preserve"> 有效识读距离：符合自助借还、书架、安全门等设备读取要求。</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8</w:t>
            </w:r>
            <w:r>
              <w:rPr>
                <w:rFonts w:hint="eastAsia" w:ascii="宋体" w:hAnsi="宋体" w:cs="宋体"/>
                <w:color w:val="000000"/>
                <w:kern w:val="0"/>
                <w:sz w:val="24"/>
                <w:szCs w:val="24"/>
                <w:highlight w:val="none"/>
              </w:rPr>
              <w:t>. 用户可自定义数据格式和内容，具有良好的数据扩展性。</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9</w:t>
            </w:r>
            <w:r>
              <w:rPr>
                <w:rFonts w:hint="eastAsia" w:ascii="宋体" w:hAnsi="宋体" w:cs="宋体"/>
                <w:color w:val="000000"/>
                <w:kern w:val="0"/>
                <w:sz w:val="24"/>
                <w:szCs w:val="24"/>
                <w:highlight w:val="none"/>
              </w:rPr>
              <w:t>. 读者证可根据需要印制LOGO图案。</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0</w:t>
            </w:r>
            <w:r>
              <w:rPr>
                <w:rFonts w:hint="eastAsia" w:ascii="宋体" w:hAnsi="宋体" w:cs="宋体"/>
                <w:color w:val="000000"/>
                <w:kern w:val="0"/>
                <w:sz w:val="24"/>
                <w:szCs w:val="24"/>
                <w:highlight w:val="none"/>
              </w:rPr>
              <w:t>. 读者证大小、规格符合相关智能卡国际标准，如ISO7816-1标准等。</w:t>
            </w:r>
          </w:p>
          <w:p>
            <w:pPr>
              <w:widowControl/>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参数要求：</w:t>
            </w:r>
          </w:p>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 工作频率：13.56MHz</w:t>
            </w:r>
          </w:p>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 尺寸：长85*宽50mm</w:t>
            </w:r>
          </w:p>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 存储容量≥1024 bits</w:t>
            </w:r>
          </w:p>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 工作温度不小于-30℃～+85℃</w:t>
            </w:r>
          </w:p>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 读取速度≤0.1s</w:t>
            </w:r>
          </w:p>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 数据保存时间≥10年</w:t>
            </w:r>
          </w:p>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 有效使用寿命≥10 年</w:t>
            </w:r>
          </w:p>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 有效使用次数≥10万次</w:t>
            </w:r>
          </w:p>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 防冲突机制≥30个标签/秒</w:t>
            </w:r>
          </w:p>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 标签天线：铜线</w:t>
            </w:r>
          </w:p>
          <w:p>
            <w:pPr>
              <w:widowControl/>
              <w:jc w:val="left"/>
              <w:rPr>
                <w:rFonts w:ascii="宋体" w:hAnsi="宋体" w:cs="宋体"/>
                <w:color w:val="000000"/>
                <w:kern w:val="0"/>
                <w:sz w:val="24"/>
                <w:szCs w:val="24"/>
                <w:highlight w:val="none"/>
              </w:rPr>
            </w:pPr>
            <w:r>
              <w:rPr>
                <w:rFonts w:hint="eastAsia" w:ascii="宋体" w:hAnsi="宋体" w:cs="宋体"/>
                <w:color w:val="auto"/>
                <w:kern w:val="0"/>
                <w:sz w:val="24"/>
                <w:szCs w:val="24"/>
                <w:highlight w:val="none"/>
              </w:rPr>
              <w:t>11. 产品包装盒装供货，200张/盒。（可根据客户实际需求定制）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自助借还书机及其RFID系统操作软件</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c>
          <w:tcPr>
            <w:tcW w:w="6781" w:type="dxa"/>
            <w:shd w:val="clear" w:color="auto" w:fill="auto"/>
            <w:noWrap w:val="0"/>
            <w:vAlign w:val="center"/>
          </w:tcPr>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系统具备可选择的借阅归还功能，系统可以被馆员设定为仅有借书或还书功能，且支持用户密码登录以及无证还书操作。</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系统支持同时多本借还书，读者查询、续借等自助服务。</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系统各部分设备可单独更换，具备足够的抗攻击能力和快速的恢复能力。</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 具备防盗功能，避免借阅过程中偷换、抽换。</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 具备离线功能，网络中断时系统自动进入离线工作状态，读者依然可以进行离线还书操作，连线后自动恢复，并把离线时产生的数据进行自动上传，无需人工干预。</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 具有图形化的友好操作界面。</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7. 提供简体中文、英文两种语言的视觉交互功能。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8. 具备定时开关机、上电自启等功能。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9. 须符合国际相关行业ISO 18000-3、ISO 15693标准等。</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10. 设备需具备媒体播放功能，设备在空闲时可自动播放图文结合的操作指南或其它用户自定义内容。</w:t>
            </w:r>
          </w:p>
          <w:p>
            <w:pPr>
              <w:widowControl/>
              <w:jc w:val="left"/>
              <w:rPr>
                <w:rFonts w:hint="eastAsia" w:ascii="宋体" w:hAnsi="宋体" w:cs="宋体"/>
                <w:kern w:val="0"/>
                <w:sz w:val="24"/>
                <w:szCs w:val="24"/>
                <w:highlight w:val="none"/>
              </w:rPr>
            </w:pPr>
            <w:r>
              <w:rPr>
                <w:rFonts w:hint="eastAsia" w:ascii="宋体" w:hAnsi="宋体" w:cs="宋体"/>
                <w:color w:val="000000"/>
                <w:kern w:val="0"/>
                <w:sz w:val="24"/>
                <w:szCs w:val="24"/>
                <w:highlight w:val="none"/>
              </w:rPr>
              <w:t>11. 设备采用模块化设计，可根据选配读者证，加装二代身</w:t>
            </w:r>
            <w:r>
              <w:rPr>
                <w:rFonts w:hint="eastAsia" w:ascii="宋体" w:hAnsi="宋体" w:cs="宋体"/>
                <w:kern w:val="0"/>
                <w:sz w:val="24"/>
                <w:szCs w:val="24"/>
                <w:highlight w:val="none"/>
              </w:rPr>
              <w:t>份证、社保卡、一卡通、等相关模块。</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 配套图书馆管理软件可支持远程推送视频文件至设备上进行播放，实现信息发布功能；</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 配套图书馆管理软件可支持远程桌面功能。管理人员可以看到设备的当前操作页面，并进行远程协助和控制管理；</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 配套RFID中心管理软件,设备可实现远程诊断、监控。</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 具备指纹识别功能，通过指纹注册进行登录，实现读者无卡登录、借书、还书功能。</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 具备人脸识别功能，通过人脸注册进行登录，实现读者无卡登录、借书、还书功能。</w:t>
            </w:r>
          </w:p>
          <w:p>
            <w:pPr>
              <w:widowControl/>
              <w:jc w:val="left"/>
              <w:rPr>
                <w:rFonts w:hint="eastAsia"/>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 拓展功能：具备图书定位功能，书本归还之后可进一步查看图书的正确架位，引导读者或者管理员再次快速正确上架图书。</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18</w:t>
            </w:r>
            <w:r>
              <w:rPr>
                <w:rFonts w:hint="eastAsia" w:ascii="宋体" w:hAnsi="宋体" w:cs="宋体"/>
                <w:kern w:val="0"/>
                <w:sz w:val="24"/>
                <w:szCs w:val="24"/>
                <w:highlight w:val="none"/>
              </w:rPr>
              <w:t>. 具备USB充电功能，设备外部至少包含4个USB接口，非采用任何外接手段实现。</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CN"/>
              </w:rPr>
              <w:t>支持</w:t>
            </w:r>
            <w:r>
              <w:rPr>
                <w:rFonts w:hint="eastAsia" w:ascii="宋体" w:hAnsi="宋体" w:cs="宋体"/>
                <w:kern w:val="0"/>
                <w:sz w:val="24"/>
                <w:szCs w:val="24"/>
                <w:highlight w:val="none"/>
              </w:rPr>
              <w:t>可根据需求选配扩展条码读取功能，可进行条码扫描（一维码、二维码）实现读者登录借还书。</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 支持虚拟读者证识别。读者无需携带实体读者证，可通过微信公众号绑定读者证号，展示虚拟卡号的条形码进行扫码登录设备。</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CN"/>
              </w:rPr>
              <w:t>支持</w:t>
            </w:r>
            <w:r>
              <w:rPr>
                <w:rFonts w:hint="eastAsia" w:ascii="宋体" w:hAnsi="宋体" w:cs="宋体"/>
                <w:kern w:val="0"/>
                <w:sz w:val="24"/>
                <w:szCs w:val="24"/>
                <w:highlight w:val="none"/>
              </w:rPr>
              <w:t>读者在设备上完成借还书操作时，系统会直接把电子借阅清单推送至读者微信端，可在微信端查看借阅清单，清单内容包括但不仅限于书名、借阅时间、归还时间、读者信息等。</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 支持加载微信扫码登录功能，读者可以通过微信公众号扫码登录，扫描操作界面上的二维码，实现无卡登陆、借书、还书功能；</w:t>
            </w:r>
          </w:p>
          <w:p>
            <w:pPr>
              <w:widowControl/>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规格参数要求：</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操作系统：windows7</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操作屏幕尺寸：≥19寸铝合金純平电容触摸屏，主机参数配置：Intel低功耗四核处理器，运行内存≥4GB，固态硬盘≥128G</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外壳材料：钣金</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4. 功率能耗：≤150W</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5. 工作频率：13.56MHz</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 支持图书标签类型：15693</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7. 支持读者卡类型：15693、14443A、可拓展支持一维码、二维码</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8. 图书识别：多本识别</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9. 防冲突性：一次至少可有效识读10个RFID标签（图书厚度为2.5CM）</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10. 通信方式：有线网络、无线WIFI</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 为了保证设备的稳定性和环境适应性，要求整机设备需通过电磁兼容相关抗扰度试验和环境试验，检验项目包括：静电放电抗扰度、射频电磁场辐射抗扰度，浪涌（冲击）抗扰度，高、低温工作试验，高、低温贮存试验，贮存恒定湿热试验，工作恒定湿热试验，盐雾试验等。</w:t>
            </w:r>
            <w:r>
              <w:rPr>
                <w:rFonts w:hint="eastAsia" w:ascii="宋体" w:hAnsi="宋体" w:cs="宋体"/>
                <w:color w:val="000000"/>
                <w:kern w:val="0"/>
                <w:sz w:val="24"/>
                <w:szCs w:val="24"/>
                <w:highlight w:val="none"/>
                <w:lang w:eastAsia="zh-CN"/>
              </w:rPr>
              <w:t>提供相应的功能证明材料（包括但不限于测试报告、官网和功能截图等）</w:t>
            </w:r>
            <w:r>
              <w:rPr>
                <w:rFonts w:hint="eastAsia" w:ascii="宋体" w:hAnsi="宋体" w:cs="宋体"/>
                <w:color w:val="000000"/>
                <w:kern w:val="0"/>
                <w:sz w:val="24"/>
                <w:szCs w:val="24"/>
                <w:highlight w:val="none"/>
              </w:rPr>
              <w:t>。</w:t>
            </w:r>
          </w:p>
          <w:p>
            <w:pPr>
              <w:widowControl/>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自助借还系统：</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软件采用模块化设计架构，各功能模块（如读者证模块、SIP2接口模块、借还模块、办证模块、盘点模块）对应不同的独立文件，可根据实际需要在配置程序中灵活选择加载启用。</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具备读者自助操作，实时记录日志功能。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系统提供自动续连功能,在网络短暂故障恢复后,自动连接图书馆业务系统服务器,并恢复自助服务,无需馆员协助连接或重启服务。</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 系统拥有远程监控和诊断功能，管理员可以远程登录自助设备进行管理。</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 可以通过该系统操作软件连接到系统内的设备进行集中化的数据统计和配置。</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 系统可根据用户需求提供各类准确的工作数据统计，如操作数量、操作类型、成功与否的操作统计等。</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 提供免费软件升级服务。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移动还书箱</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辆</w:t>
            </w:r>
          </w:p>
        </w:tc>
        <w:tc>
          <w:tcPr>
            <w:tcW w:w="6781" w:type="dxa"/>
            <w:shd w:val="clear" w:color="auto" w:fill="auto"/>
            <w:noWrap w:val="0"/>
            <w:vAlign w:val="center"/>
          </w:tcPr>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材质工艺：型材+板材+丝印+纤维。</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结构稳定，前两轮定向，后两轮自由转向，方便载重推动和转向。</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层板自带承重进深设计，层板表面采用固制木板或高密度板。</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 周转箱为自动升降式，自带滑轮，便于移动和更换。</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 车轮：带刹车耐磨超静音轮。</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 滑轮可锁死，防止无意推动。</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 整体设计不易攀爬，防止倾倒。</w:t>
            </w:r>
          </w:p>
          <w:p>
            <w:pPr>
              <w:widowControl/>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规格参数要求：</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1．外形尺寸：约长700mm,宽510mm,高835mm </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rPr>
              <w:t xml:space="preserve">．容量：≥150册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2"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RFID馆员工作站及其设备应用软件</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套</w:t>
            </w:r>
          </w:p>
        </w:tc>
        <w:tc>
          <w:tcPr>
            <w:tcW w:w="6781" w:type="dxa"/>
            <w:shd w:val="clear" w:color="auto" w:fill="auto"/>
            <w:noWrap w:val="0"/>
            <w:vAlign w:val="center"/>
          </w:tcPr>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读取标签速度不低于50张/秒（单标签）。</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可对RFID标签非接触式地进行阅读，有读取RFID图书标签、编写图书标签、改写图书标签的能力。</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用于阅读的RFID天线不受天线周围的其他标签的影响。</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 在作为标签编写工作站使用时,能够结合剔除书籍清单在扫描到条形码时自动提示馆员，而不是继续改写RFID。</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 具有图形化的友好操作界面，提供简体中文的视觉交互提示功能。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 可与图书馆的管理软件系统对接；可输入密码配合图书管理系统应用。</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7. 支持读者证(借书证)查询、注册、修改、注销、续卡、挂失、解挂等操作。</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8. 支持工作人员处理各种图书借还、自助续借、预约、处理罚金、检测修改标签安全状态等业务。</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9. </w:t>
            </w:r>
            <w:r>
              <w:rPr>
                <w:rFonts w:hint="eastAsia" w:ascii="宋体" w:hAnsi="宋体" w:cs="宋体"/>
                <w:color w:val="000000"/>
                <w:kern w:val="0"/>
                <w:sz w:val="24"/>
                <w:szCs w:val="24"/>
                <w:highlight w:val="none"/>
                <w:lang w:eastAsia="zh-CN"/>
              </w:rPr>
              <w:t>支持</w:t>
            </w:r>
            <w:r>
              <w:rPr>
                <w:rFonts w:hint="eastAsia" w:ascii="宋体" w:hAnsi="宋体" w:cs="宋体"/>
                <w:color w:val="000000"/>
                <w:kern w:val="0"/>
                <w:sz w:val="24"/>
                <w:szCs w:val="24"/>
                <w:highlight w:val="none"/>
              </w:rPr>
              <w:t>对图书的自编条形码及对应电子标签进行关联、更换、注销等管理，对层架标签以及读者证进行关联、更换、注销等管理，支持图书数据的导入导出。</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10. 提供双重功能可以处理符合ISO 18000-3、ISO 15693标准的RFID 标签, 同时支持扫描图书条形码。</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 系统提供准确的用户所需的工作统计，如操作数量、操作类型、成功与否的操作数据统计等，操作结束后可根据需要打印各种收据及书单。</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12. 设备标配条码扫描仪，可对条形码进行识别转换后通过图书感应模块对图书标签进行数据加工。</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13. 可根据项目需求选配卡识别模块，如识别RFID卡、二代身份证等有效证件。</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14. 支持闲时自动关闭射频，延长设备使用寿命。</w:t>
            </w:r>
          </w:p>
          <w:p>
            <w:pPr>
              <w:widowControl/>
              <w:jc w:val="left"/>
              <w:rPr>
                <w:rFonts w:hint="eastAsia" w:ascii="宋体" w:hAnsi="宋体" w:cs="宋体"/>
                <w:kern w:val="0"/>
                <w:sz w:val="24"/>
                <w:szCs w:val="24"/>
                <w:highlight w:val="none"/>
              </w:rPr>
            </w:pPr>
            <w:r>
              <w:rPr>
                <w:rFonts w:hint="eastAsia" w:ascii="宋体" w:hAnsi="宋体" w:cs="宋体"/>
                <w:color w:val="000000"/>
                <w:kern w:val="0"/>
                <w:sz w:val="24"/>
                <w:szCs w:val="24"/>
                <w:highlight w:val="none"/>
              </w:rPr>
              <w:t>15. 设备可拓展自助借还书功能，支持读者证14443A、15693双协议</w:t>
            </w:r>
            <w:r>
              <w:rPr>
                <w:rFonts w:hint="eastAsia" w:ascii="宋体" w:hAnsi="宋体" w:cs="宋体"/>
                <w:kern w:val="0"/>
                <w:sz w:val="24"/>
                <w:szCs w:val="24"/>
                <w:highlight w:val="none"/>
              </w:rPr>
              <w:t>。</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16. 要求图书标签读写器、天线、条码扫描仪及电源开关为整体型设计，非散件方式，并且方便移动。</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17. 系统具备可选择的借阅归还功能，系统可以被馆员设定为仅有借书或还书功能，且支持用户密码登录以及无证还书操作。</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18. 系统支持同时多本借还书，读者查询、续借等自助服务。</w:t>
            </w:r>
          </w:p>
          <w:p>
            <w:pPr>
              <w:widowControl/>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硬件规格参数要求：</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 外形尺寸：约长590mm*宽474mm*高582mm</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2. 操作系统：windows7</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3. 操作屏幕尺寸≥21.5寸电容触摸屏</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4. 供电要求：AC220V，50Hz</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 工作频率：13.56MHz</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 读写距离：≥30CM</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 射频功率：≥1.5W</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8</w:t>
            </w:r>
            <w:r>
              <w:rPr>
                <w:rFonts w:hint="eastAsia" w:ascii="宋体" w:hAnsi="宋体" w:cs="宋体"/>
                <w:color w:val="000000"/>
                <w:kern w:val="0"/>
                <w:sz w:val="24"/>
                <w:szCs w:val="24"/>
                <w:highlight w:val="none"/>
              </w:rPr>
              <w:t>. 支持图书标签类型：15693</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9</w:t>
            </w:r>
            <w:r>
              <w:rPr>
                <w:rFonts w:hint="eastAsia" w:ascii="宋体" w:hAnsi="宋体" w:cs="宋体"/>
                <w:color w:val="000000"/>
                <w:kern w:val="0"/>
                <w:sz w:val="24"/>
                <w:szCs w:val="24"/>
                <w:highlight w:val="none"/>
              </w:rPr>
              <w:t>. 支持读者卡类型：15693、14443A、一维码</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0</w:t>
            </w:r>
            <w:r>
              <w:rPr>
                <w:rFonts w:hint="eastAsia" w:ascii="宋体" w:hAnsi="宋体" w:cs="宋体"/>
                <w:color w:val="000000"/>
                <w:kern w:val="0"/>
                <w:sz w:val="24"/>
                <w:szCs w:val="24"/>
                <w:highlight w:val="none"/>
              </w:rPr>
              <w:t>. 标签转换：支持将图书条码转换成RFID标签数据</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rPr>
              <w:t>. 标签改写：支持改写RFID标签数据（如：EAS/AFI）</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rPr>
              <w:t>. 标签参数配置：可对标签所需参数进行自定义配置</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 通信接口：USB或RS232</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 网络：有线网络、WIFI</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rPr>
              <w:t>. 为了保证设备的稳定性和环境适应性，要求整机设备需通过电磁兼容相关抗扰度试验和环境试验，检验项目包括：静电放电抗扰度、射频电磁场辐射抗扰度，浪涌（冲击）抗扰度，高、低温工作试验，高、低温贮存试验，贮存恒定湿热试验，工作恒定湿热试验，盐雾试验等。</w:t>
            </w:r>
            <w:r>
              <w:rPr>
                <w:rFonts w:hint="eastAsia" w:ascii="宋体" w:hAnsi="宋体" w:cs="宋体"/>
                <w:color w:val="000000"/>
                <w:kern w:val="0"/>
                <w:sz w:val="24"/>
                <w:szCs w:val="24"/>
                <w:highlight w:val="none"/>
                <w:lang w:eastAsia="zh-CN"/>
              </w:rPr>
              <w:t>提供相应的功能证明材料（包括但不限于测试报告、官网和功能截图等）</w:t>
            </w:r>
            <w:r>
              <w:rPr>
                <w:rFonts w:hint="eastAsia" w:ascii="宋体" w:hAnsi="宋体" w:cs="宋体"/>
                <w:color w:val="000000"/>
                <w:kern w:val="0"/>
                <w:sz w:val="24"/>
                <w:szCs w:val="24"/>
                <w:highlight w:val="none"/>
              </w:rPr>
              <w:t>。</w:t>
            </w:r>
          </w:p>
          <w:p>
            <w:pPr>
              <w:widowControl/>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软件部分：</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软件采用模块化设计架构，各功能模块（如读者证模块，SIP2接口模块、查询模块、加工模块）对应不同的独立文件，可根据实际需要在配置程序中灵活选择加载启用；</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具备实时记录日志功能；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系统拥有远程监控和诊断功能，管理员可以远程登录自助设备进行管理；</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 可以通过该系统操作软件连接到系统内的设备进行集中化的数据统计和配置；</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 供应商提供免费软件升级服务。</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 软件采用模块化设计架构，各功能模块（如读者证模块、SIP2接口模块、借还模块、办证模块、盘点模块）对应不同的独立文件，可根据实际需要在配置程序中灵活选择加载启用。</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7. 具备读者自助操作，实时记录日志功能。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8. 系统提供自动续连功能,在网络短暂故障恢复后,自动连接图书馆业务系统服务器,并恢复自助服务,无需馆员协助连接或重启服务。</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9. 系统拥有远程监控和诊断功能，管理员可以远程登录自助设备进行管理。</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10. 可以通过该系统操作软件连接到系统内的设备进行集中化的数据统计和配置。</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 系统可根据用户需求提供各类准确的工作数据统计，如操作数量、操作类型、成功与否的操作统计等。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图书编目</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80000</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册</w:t>
            </w:r>
          </w:p>
        </w:tc>
        <w:tc>
          <w:tcPr>
            <w:tcW w:w="6781" w:type="dxa"/>
            <w:shd w:val="clear" w:color="auto" w:fill="auto"/>
            <w:noWrap w:val="0"/>
            <w:vAlign w:val="center"/>
          </w:tcPr>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1.将图书专用标签数据加工转换并准确安装在图书馆的馆藏图书内</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2.按照规范要求，为每一本需要进行处理的图书粘贴RFID标签，</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3.严格按中图法分类上架及定位。对粘贴了RFID标签的图书进行数据转换。</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4.确保标签粘贴有效，并且不能对图书造成任何损坏，否则应为造成的损失向招标人提供赔偿。</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图书资料的数据转换有效无误，同时要能满足用户合理提出的RFID标签中数据存储的格式与内容的要求。将馆藏图书进行编目数据著录、MAC数据录入、贴条码、书标、书标保护膜，依据《中国机读目录格式》和《普通图书著录规则》的要求著录图书，图书分类引用《中国图书馆图书分类法》 (第五版）。中文图书主题标引用《中国分类主题词表》和《汉语主题词表》（增订本）。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图书馆管理系统软件</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套</w:t>
            </w:r>
          </w:p>
        </w:tc>
        <w:tc>
          <w:tcPr>
            <w:tcW w:w="6781" w:type="dxa"/>
            <w:shd w:val="clear" w:color="auto" w:fill="auto"/>
            <w:noWrap w:val="0"/>
            <w:vAlign w:val="center"/>
          </w:tcPr>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软件要求包含以下功能模块：图书管理、期刊管理、典藏管理、流通管理、读者管理、OPAC检索、统计中心和系统管理等。</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图书采访和编目：支持图书订购、验收等批号的管理，支持将marc格式数据导入，支持读者图书荐购，图书采访批次列表管理。支持在同一界面自由切换编目模式（填空式的简单编目和marc编目）。要求支持分馆独立编目，不同分馆采用各自独立的索书号。</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期刊管理：支持期刊编目，期刊类型管理，如半月刊、月刊、季刊等；支持期刊预订，预订后自动生成该刊的记到纪录；支持过刊处理、合订、入藏等。</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 典藏管理：支持馆藏的导入、变更、清点、剔除、调拨等单项操作以及相应的批量操作；支持条码置换、馆藏修改及批量操作； 具备馆藏统计和输出功能等。</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 流通管理：可处理的外借、归还、续借、预约、交款、赔书、退赔和违章处理这八项基本功能；进行流通时显示读者信息和文献信息。</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 读者管理：支持读者类型、单位管理；支持读者批量导入、列表管理；根据自定义的属性进行分类统计，具备读者统计、流通统计、财经统计等统计功能。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7. 系统管理：支持用户、角色权限管理；支持菜单及配置管理；支持分馆、分系统、馆藏地点、读者证类型、文献类型、借阅规则等参数设置。 </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8. OPAC检索：可根据出版社、作者索书号、书名、IBSN、关键词、所属馆等检索方式进行单条件、多条件检索；馆员可自定义读者登录界面的提示信息，具备图书续借、图书预约、图书荐购、查询借阅历史、修改个人信息等功能。</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9. 支持对RFID智慧图书馆设备（如自助借还书设备）远程监测开关机状态以及远程、重启、远程关机操作。</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10. 支持对RFID智慧图书馆设备（如自助借还书设备）的使用时长和使用次数信息统计，进而分析对信息化装备及平台软件投入后的使用情况。</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11. 支持远程推送视频文件至选定的RFID智慧图书馆设备（如自助借还书设备）进行播放，实现信息发布功能。</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12. 支持远程桌面功能。管理人员可以远程看到RFID智慧图书馆设备（如自助借还书设备）的当前操作页面，并进行远程协助和控制管理。</w:t>
            </w:r>
          </w:p>
          <w:p>
            <w:pPr>
              <w:widowControl/>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技术要求：</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采用B/S架构，无需安装客户端，可部署在windows\Linux等主流操作系统。</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系统支持XML，符合最新的标准和技术路线。</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系统应能够提供MARC编辑时辅助分类，自动生成子段能够自定义，方便CNMARC数据的著录。</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 系统具有高可移植性和可跨平台性。底层数据库采用mysql或其它大型数据库管理系统，支持ISO SQL标准，支持数据备份。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5. </w:t>
            </w:r>
            <w:r>
              <w:rPr>
                <w:rFonts w:hint="eastAsia" w:ascii="宋体" w:hAnsi="宋体" w:cs="宋体"/>
                <w:color w:val="000000"/>
                <w:kern w:val="0"/>
                <w:sz w:val="24"/>
                <w:szCs w:val="24"/>
                <w:highlight w:val="none"/>
                <w:lang w:eastAsia="zh-CN"/>
              </w:rPr>
              <w:t>支持</w:t>
            </w:r>
            <w:r>
              <w:rPr>
                <w:rFonts w:hint="eastAsia" w:ascii="宋体" w:hAnsi="宋体" w:cs="宋体"/>
                <w:color w:val="000000"/>
                <w:kern w:val="0"/>
                <w:sz w:val="24"/>
                <w:szCs w:val="24"/>
                <w:highlight w:val="none"/>
              </w:rPr>
              <w:t>借阅证阅览。</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 系统具有可靠的安全机制和备份机制。</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7. 考虑配套使用，需与自助借还服务终端为同一品牌。</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8.所投图书馆管理系统具有图书馆管理系统计算机软件著作权登记证书；</w:t>
            </w:r>
          </w:p>
          <w:p>
            <w:pPr>
              <w:widowControl/>
              <w:jc w:val="left"/>
              <w:rPr>
                <w:rFonts w:ascii="宋体" w:hAnsi="宋体" w:cs="宋体"/>
                <w:color w:val="000000"/>
                <w:kern w:val="0"/>
                <w:sz w:val="24"/>
                <w:szCs w:val="24"/>
                <w:highlight w:val="none"/>
              </w:rPr>
            </w:pPr>
            <w:r>
              <w:rPr>
                <w:rFonts w:hint="eastAsia" w:ascii="宋体" w:hAnsi="宋体" w:cs="宋体"/>
                <w:kern w:val="0"/>
                <w:sz w:val="24"/>
                <w:szCs w:val="24"/>
                <w:highlight w:val="none"/>
              </w:rPr>
              <w:t>9.所投图书馆管理系统和图书馆集群管理系统云平台具有软件测试报告。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　</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图书馆馆情大数据分析管理软件</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套</w:t>
            </w:r>
          </w:p>
        </w:tc>
        <w:tc>
          <w:tcPr>
            <w:tcW w:w="6781" w:type="dxa"/>
            <w:shd w:val="clear" w:color="auto" w:fill="auto"/>
            <w:noWrap w:val="0"/>
            <w:vAlign w:val="center"/>
          </w:tcPr>
          <w:p>
            <w:pPr>
              <w:widowControl/>
              <w:numPr>
                <w:ilvl w:val="0"/>
                <w:numId w:val="17"/>
              </w:numPr>
              <w:jc w:val="left"/>
              <w:rPr>
                <w:rFonts w:ascii="宋体" w:hAnsi="宋体" w:cs="宋体"/>
                <w:sz w:val="24"/>
                <w:szCs w:val="24"/>
                <w:highlight w:val="none"/>
              </w:rPr>
            </w:pPr>
            <w:r>
              <w:rPr>
                <w:rFonts w:hint="eastAsia" w:ascii="宋体" w:hAnsi="宋体" w:cs="宋体"/>
                <w:sz w:val="24"/>
                <w:szCs w:val="24"/>
                <w:highlight w:val="none"/>
              </w:rPr>
              <w:t>具有可视化人性化的直观交互界面；</w:t>
            </w:r>
          </w:p>
          <w:p>
            <w:pPr>
              <w:widowControl/>
              <w:jc w:val="left"/>
              <w:rPr>
                <w:rFonts w:ascii="宋体" w:hAnsi="宋体" w:cs="宋体"/>
                <w:sz w:val="24"/>
                <w:szCs w:val="24"/>
                <w:highlight w:val="none"/>
              </w:rPr>
            </w:pPr>
            <w:r>
              <w:rPr>
                <w:rFonts w:hint="eastAsia" w:ascii="宋体" w:hAnsi="宋体" w:cs="宋体"/>
                <w:sz w:val="24"/>
                <w:szCs w:val="24"/>
                <w:highlight w:val="none"/>
              </w:rPr>
              <w:t>2. 可实现实时统计在馆人数、到馆人数、借书数量、还书数量及办证数量；</w:t>
            </w:r>
          </w:p>
          <w:p>
            <w:pPr>
              <w:widowControl/>
              <w:jc w:val="left"/>
              <w:rPr>
                <w:rFonts w:ascii="宋体" w:hAnsi="宋体" w:cs="宋体"/>
                <w:sz w:val="24"/>
                <w:szCs w:val="24"/>
                <w:highlight w:val="none"/>
              </w:rPr>
            </w:pPr>
            <w:r>
              <w:rPr>
                <w:rFonts w:hint="eastAsia" w:ascii="宋体" w:hAnsi="宋体" w:cs="宋体"/>
                <w:sz w:val="24"/>
                <w:szCs w:val="24"/>
                <w:highlight w:val="none"/>
              </w:rPr>
              <w:t>3. 可与图书馆业务系统、RFID智能化和管理系统无缝对接，实施监控在馆人数、阅读趋势、统计分析；</w:t>
            </w:r>
          </w:p>
          <w:p>
            <w:pPr>
              <w:widowControl/>
              <w:jc w:val="left"/>
              <w:rPr>
                <w:rFonts w:ascii="宋体" w:hAnsi="宋体" w:cs="宋体"/>
                <w:sz w:val="24"/>
                <w:szCs w:val="24"/>
                <w:highlight w:val="none"/>
              </w:rPr>
            </w:pPr>
            <w:r>
              <w:rPr>
                <w:rFonts w:hint="eastAsia" w:ascii="宋体" w:hAnsi="宋体" w:cs="宋体"/>
                <w:sz w:val="24"/>
                <w:szCs w:val="24"/>
                <w:highlight w:val="none"/>
              </w:rPr>
              <w:t>4. 可以在图书馆主页或大屏幕上，以柱状、饼状图等信息显示各时间段进馆人数、办证、借还数量；</w:t>
            </w:r>
          </w:p>
          <w:p>
            <w:pPr>
              <w:widowControl/>
              <w:jc w:val="left"/>
              <w:rPr>
                <w:rFonts w:ascii="宋体" w:hAnsi="宋体" w:cs="宋体"/>
                <w:sz w:val="24"/>
                <w:szCs w:val="24"/>
                <w:highlight w:val="none"/>
              </w:rPr>
            </w:pPr>
            <w:r>
              <w:rPr>
                <w:rFonts w:hint="eastAsia" w:ascii="宋体" w:hAnsi="宋体" w:cs="宋体"/>
                <w:sz w:val="24"/>
                <w:szCs w:val="24"/>
                <w:highlight w:val="none"/>
              </w:rPr>
              <w:t>5. 可实时监控RFID系统终端设备的数据信息，也可单独监控某个设备的数据信息；</w:t>
            </w:r>
          </w:p>
          <w:p>
            <w:pPr>
              <w:widowControl/>
              <w:jc w:val="left"/>
              <w:rPr>
                <w:rFonts w:ascii="宋体" w:hAnsi="宋体" w:cs="宋体"/>
                <w:sz w:val="24"/>
                <w:szCs w:val="24"/>
                <w:highlight w:val="none"/>
              </w:rPr>
            </w:pPr>
            <w:r>
              <w:rPr>
                <w:rFonts w:hint="eastAsia" w:ascii="宋体" w:hAnsi="宋体" w:cs="宋体"/>
                <w:sz w:val="24"/>
                <w:szCs w:val="24"/>
                <w:highlight w:val="none"/>
              </w:rPr>
              <w:t>6. 可分区分块统计分析；</w:t>
            </w:r>
          </w:p>
          <w:p>
            <w:pPr>
              <w:widowControl/>
              <w:jc w:val="left"/>
              <w:rPr>
                <w:rFonts w:ascii="宋体" w:hAnsi="宋体" w:cs="宋体"/>
                <w:sz w:val="24"/>
                <w:szCs w:val="24"/>
                <w:highlight w:val="none"/>
              </w:rPr>
            </w:pPr>
            <w:r>
              <w:rPr>
                <w:rFonts w:hint="eastAsia" w:ascii="宋体" w:hAnsi="宋体" w:cs="宋体"/>
                <w:sz w:val="24"/>
                <w:szCs w:val="24"/>
                <w:highlight w:val="none"/>
              </w:rPr>
              <w:t>7. 可与安全门禁实时动态联动，实现数据交互；</w:t>
            </w:r>
          </w:p>
          <w:p>
            <w:pPr>
              <w:widowControl/>
              <w:jc w:val="left"/>
              <w:rPr>
                <w:rFonts w:ascii="宋体" w:hAnsi="宋体" w:cs="宋体"/>
                <w:sz w:val="24"/>
                <w:szCs w:val="24"/>
                <w:highlight w:val="none"/>
              </w:rPr>
            </w:pPr>
            <w:r>
              <w:rPr>
                <w:rFonts w:hint="eastAsia" w:ascii="宋体" w:hAnsi="宋体" w:cs="宋体"/>
                <w:sz w:val="24"/>
                <w:szCs w:val="24"/>
                <w:highlight w:val="none"/>
              </w:rPr>
              <w:t>8. 可支持功能模块定制化；</w:t>
            </w:r>
          </w:p>
          <w:p>
            <w:pPr>
              <w:widowControl/>
              <w:jc w:val="left"/>
              <w:rPr>
                <w:rFonts w:ascii="宋体" w:hAnsi="宋体" w:cs="宋体"/>
                <w:sz w:val="24"/>
                <w:szCs w:val="24"/>
                <w:highlight w:val="none"/>
              </w:rPr>
            </w:pPr>
            <w:r>
              <w:rPr>
                <w:rFonts w:hint="eastAsia" w:ascii="宋体" w:hAnsi="宋体" w:cs="宋体"/>
                <w:sz w:val="24"/>
                <w:szCs w:val="24"/>
                <w:highlight w:val="none"/>
              </w:rPr>
              <w:t>9. 读者通过安全门，系统自动实时更新；</w:t>
            </w:r>
          </w:p>
          <w:p>
            <w:pPr>
              <w:widowControl/>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cs="宋体"/>
                <w:sz w:val="24"/>
                <w:szCs w:val="24"/>
                <w:highlight w:val="none"/>
              </w:rPr>
              <w:t>. 读者借书：需读者证，借书成功系统自动实时更新借书数、借还历史记录滚动文字以及饼图的借书人数比例；</w:t>
            </w:r>
          </w:p>
          <w:p>
            <w:pPr>
              <w:widowControl/>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 读者还书：还书成功系统自动实时更新还书数、借还历史记录滚动文字以及饼图的还书人数比例。</w:t>
            </w:r>
          </w:p>
          <w:p>
            <w:pPr>
              <w:pStyle w:val="2"/>
              <w:rPr>
                <w:rFonts w:ascii="宋体" w:hAnsi="宋体" w:cs="宋体"/>
                <w:sz w:val="24"/>
                <w:szCs w:val="24"/>
                <w:highlight w:val="none"/>
              </w:rPr>
            </w:pPr>
            <w:r>
              <w:rPr>
                <w:rFonts w:hint="eastAsia" w:ascii="宋体" w:hAnsi="宋体" w:cs="宋体"/>
                <w:sz w:val="24"/>
                <w:szCs w:val="24"/>
                <w:highlight w:val="none"/>
              </w:rPr>
              <w:t>馆情大数据系统与学校本部现有大数据系统可无缝对接，并实现在学校本部映射，提供承诺函。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　</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图书馆馆情大数据分析显示设备</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c>
          <w:tcPr>
            <w:tcW w:w="6781" w:type="dxa"/>
            <w:shd w:val="clear" w:color="auto" w:fill="auto"/>
            <w:noWrap w:val="0"/>
            <w:vAlign w:val="center"/>
          </w:tcPr>
          <w:p>
            <w:pPr>
              <w:widowControl/>
              <w:jc w:val="left"/>
              <w:rPr>
                <w:rFonts w:hint="eastAsia" w:ascii="宋体" w:hAnsi="宋体" w:cs="宋体"/>
                <w:b/>
                <w:bCs/>
                <w:sz w:val="24"/>
                <w:szCs w:val="24"/>
                <w:highlight w:val="none"/>
              </w:rPr>
            </w:pPr>
            <w:r>
              <w:rPr>
                <w:rFonts w:hint="eastAsia" w:ascii="宋体" w:hAnsi="宋体" w:cs="宋体"/>
                <w:b/>
                <w:bCs/>
                <w:sz w:val="24"/>
                <w:szCs w:val="24"/>
                <w:highlight w:val="none"/>
              </w:rPr>
              <w:t>75寸大屏一体机：</w:t>
            </w:r>
          </w:p>
          <w:p>
            <w:pPr>
              <w:rPr>
                <w:rStyle w:val="47"/>
                <w:rFonts w:hint="default"/>
                <w:sz w:val="24"/>
                <w:szCs w:val="24"/>
                <w:highlight w:val="none"/>
              </w:rPr>
            </w:pPr>
            <w:r>
              <w:rPr>
                <w:rFonts w:hint="eastAsia" w:ascii="宋体" w:hAnsi="宋体" w:cs="宋体"/>
                <w:sz w:val="24"/>
                <w:szCs w:val="24"/>
                <w:highlight w:val="none"/>
              </w:rPr>
              <w:t>1）</w:t>
            </w:r>
            <w:r>
              <w:rPr>
                <w:rStyle w:val="31"/>
                <w:rFonts w:hint="default"/>
                <w:sz w:val="24"/>
                <w:szCs w:val="24"/>
                <w:highlight w:val="none"/>
              </w:rPr>
              <w:t>整机屏幕采用≥75英寸UHD超高清LCD液晶屏，显示比例16:9，屏幕图像分辨率达3840*2160 ,可视角度178°，全高清4K系统图标显示</w:t>
            </w:r>
          </w:p>
          <w:p>
            <w:pPr>
              <w:rPr>
                <w:rStyle w:val="47"/>
                <w:rFonts w:hint="default"/>
                <w:sz w:val="24"/>
                <w:szCs w:val="24"/>
                <w:highlight w:val="none"/>
              </w:rPr>
            </w:pPr>
            <w:r>
              <w:rPr>
                <w:rStyle w:val="47"/>
                <w:rFonts w:hint="default"/>
                <w:sz w:val="24"/>
                <w:szCs w:val="24"/>
                <w:highlight w:val="none"/>
              </w:rPr>
              <w:t xml:space="preserve">2) </w:t>
            </w:r>
            <w:r>
              <w:rPr>
                <w:rFonts w:hint="eastAsia" w:ascii="宋体" w:hAnsi="宋体" w:cs="宋体"/>
                <w:color w:val="000000"/>
                <w:kern w:val="0"/>
                <w:sz w:val="24"/>
                <w:szCs w:val="24"/>
                <w:highlight w:val="none"/>
              </w:rPr>
              <w:t>超薄窄边框设计，</w:t>
            </w:r>
            <w:r>
              <w:rPr>
                <w:rStyle w:val="31"/>
                <w:rFonts w:hint="default"/>
                <w:sz w:val="24"/>
                <w:szCs w:val="24"/>
                <w:highlight w:val="none"/>
              </w:rPr>
              <w:t>整机屏幕与屏幕保护层零贴合技术</w:t>
            </w:r>
          </w:p>
          <w:p>
            <w:pPr>
              <w:rPr>
                <w:rStyle w:val="31"/>
                <w:rFonts w:hint="default"/>
                <w:color w:val="auto"/>
                <w:sz w:val="24"/>
                <w:szCs w:val="24"/>
                <w:highlight w:val="none"/>
              </w:rPr>
            </w:pPr>
            <w:r>
              <w:rPr>
                <w:rStyle w:val="47"/>
                <w:rFonts w:hint="default"/>
                <w:sz w:val="24"/>
                <w:szCs w:val="24"/>
                <w:highlight w:val="none"/>
              </w:rPr>
              <w:t xml:space="preserve">3) </w:t>
            </w:r>
            <w:r>
              <w:rPr>
                <w:rFonts w:hint="eastAsia" w:ascii="宋体" w:hAnsi="宋体" w:cs="宋体"/>
                <w:color w:val="000000"/>
                <w:kern w:val="0"/>
                <w:sz w:val="24"/>
                <w:szCs w:val="24"/>
                <w:highlight w:val="none"/>
              </w:rPr>
              <w:t>具备硬件低蓝光认</w:t>
            </w:r>
            <w:r>
              <w:rPr>
                <w:rFonts w:hint="eastAsia" w:ascii="宋体" w:hAnsi="宋体" w:cs="宋体"/>
                <w:color w:val="auto"/>
                <w:kern w:val="0"/>
                <w:sz w:val="24"/>
                <w:szCs w:val="24"/>
                <w:highlight w:val="none"/>
              </w:rPr>
              <w:t>证，有效的保护用户的视力，避免蓝光波段对人体视力的危害。</w:t>
            </w:r>
            <w:r>
              <w:rPr>
                <w:rFonts w:hint="eastAsia"/>
                <w:color w:val="auto"/>
                <w:sz w:val="24"/>
                <w:szCs w:val="24"/>
                <w:highlight w:val="none"/>
                <w:lang w:eastAsia="zh-CN"/>
              </w:rPr>
              <w:t>提供相应的功能证明材料（包括但不限于测试报告、官网和功能截图等）</w:t>
            </w:r>
            <w:r>
              <w:rPr>
                <w:rFonts w:hint="eastAsia"/>
                <w:color w:val="auto"/>
                <w:sz w:val="24"/>
                <w:szCs w:val="24"/>
                <w:highlight w:val="none"/>
              </w:rPr>
              <w:t>；</w:t>
            </w:r>
          </w:p>
          <w:p>
            <w:pPr>
              <w:rPr>
                <w:rStyle w:val="47"/>
                <w:rFonts w:hint="eastAsia" w:eastAsia="宋体"/>
                <w:color w:val="auto"/>
                <w:sz w:val="24"/>
                <w:szCs w:val="24"/>
                <w:highlight w:val="none"/>
                <w:lang w:val="en-US" w:eastAsia="zh-CN"/>
              </w:rPr>
            </w:pPr>
            <w:r>
              <w:rPr>
                <w:rStyle w:val="31"/>
                <w:rFonts w:hint="default"/>
                <w:color w:val="auto"/>
                <w:sz w:val="24"/>
                <w:szCs w:val="24"/>
                <w:highlight w:val="none"/>
              </w:rPr>
              <w:t xml:space="preserve">4) 色域达到 </w:t>
            </w:r>
            <w:r>
              <w:rPr>
                <w:rStyle w:val="31"/>
                <w:rFonts w:hint="eastAsia" w:eastAsia="宋体"/>
                <w:color w:val="auto"/>
                <w:sz w:val="24"/>
                <w:szCs w:val="24"/>
                <w:highlight w:val="none"/>
                <w:lang w:val="en-US" w:eastAsia="zh-CN"/>
              </w:rPr>
              <w:t>90%</w:t>
            </w:r>
            <w:r>
              <w:rPr>
                <w:rStyle w:val="31"/>
                <w:rFonts w:hint="default"/>
                <w:color w:val="auto"/>
                <w:sz w:val="24"/>
                <w:szCs w:val="24"/>
                <w:highlight w:val="none"/>
              </w:rPr>
              <w:t>NTSC</w:t>
            </w:r>
            <w:r>
              <w:rPr>
                <w:rStyle w:val="31"/>
                <w:rFonts w:hint="eastAsia" w:eastAsia="宋体"/>
                <w:color w:val="auto"/>
                <w:sz w:val="24"/>
                <w:szCs w:val="24"/>
                <w:highlight w:val="none"/>
                <w:lang w:eastAsia="zh-CN"/>
              </w:rPr>
              <w:t>。</w:t>
            </w:r>
          </w:p>
          <w:p>
            <w:pPr>
              <w:numPr>
                <w:ilvl w:val="0"/>
                <w:numId w:val="18"/>
              </w:numPr>
              <w:rPr>
                <w:rStyle w:val="47"/>
                <w:rFonts w:hint="default"/>
                <w:color w:val="auto"/>
                <w:sz w:val="24"/>
                <w:szCs w:val="24"/>
                <w:highlight w:val="none"/>
              </w:rPr>
            </w:pPr>
            <w:r>
              <w:rPr>
                <w:rStyle w:val="47"/>
                <w:rFonts w:hint="default"/>
                <w:color w:val="auto"/>
                <w:sz w:val="24"/>
                <w:szCs w:val="24"/>
                <w:highlight w:val="none"/>
              </w:rPr>
              <w:t xml:space="preserve"> </w:t>
            </w:r>
            <w:r>
              <w:rPr>
                <w:rStyle w:val="31"/>
                <w:rFonts w:hint="default"/>
                <w:color w:val="auto"/>
                <w:sz w:val="24"/>
                <w:szCs w:val="24"/>
                <w:highlight w:val="none"/>
              </w:rPr>
              <w:t>在色彩空间sRGB模式下达到△E≤1.5</w:t>
            </w:r>
          </w:p>
          <w:p>
            <w:pPr>
              <w:numPr>
                <w:ilvl w:val="0"/>
                <w:numId w:val="18"/>
              </w:numPr>
              <w:rPr>
                <w:rStyle w:val="47"/>
                <w:rFonts w:hint="default"/>
                <w:color w:val="auto"/>
                <w:sz w:val="24"/>
                <w:szCs w:val="24"/>
                <w:highlight w:val="none"/>
              </w:rPr>
            </w:pPr>
            <w:r>
              <w:rPr>
                <w:rStyle w:val="31"/>
                <w:rFonts w:hint="default"/>
                <w:color w:val="auto"/>
                <w:sz w:val="24"/>
                <w:szCs w:val="24"/>
                <w:highlight w:val="none"/>
              </w:rPr>
              <w:t xml:space="preserve"> 整机采用≤3mm AG防眩光玻璃，硬度7级</w:t>
            </w:r>
          </w:p>
          <w:p>
            <w:pPr>
              <w:numPr>
                <w:ilvl w:val="0"/>
                <w:numId w:val="18"/>
              </w:numPr>
              <w:rPr>
                <w:rStyle w:val="31"/>
                <w:rFonts w:hint="default"/>
                <w:color w:val="auto"/>
                <w:sz w:val="24"/>
                <w:szCs w:val="24"/>
                <w:highlight w:val="none"/>
              </w:rPr>
            </w:pPr>
            <w:r>
              <w:rPr>
                <w:rStyle w:val="31"/>
                <w:rFonts w:hint="default"/>
                <w:color w:val="auto"/>
                <w:sz w:val="24"/>
                <w:szCs w:val="24"/>
                <w:highlight w:val="none"/>
              </w:rPr>
              <w:t xml:space="preserve"> 整机内置正面高清摄像头，水平视场角≥9</w:t>
            </w:r>
            <w:r>
              <w:rPr>
                <w:rStyle w:val="31"/>
                <w:rFonts w:hint="eastAsia" w:eastAsia="宋体"/>
                <w:color w:val="auto"/>
                <w:sz w:val="24"/>
                <w:szCs w:val="24"/>
                <w:highlight w:val="none"/>
                <w:lang w:val="en-US" w:eastAsia="zh-CN"/>
              </w:rPr>
              <w:t>0</w:t>
            </w:r>
            <w:r>
              <w:rPr>
                <w:rStyle w:val="31"/>
                <w:rFonts w:hint="default"/>
                <w:color w:val="auto"/>
                <w:sz w:val="24"/>
                <w:szCs w:val="24"/>
                <w:highlight w:val="none"/>
              </w:rPr>
              <w:t>°</w:t>
            </w:r>
            <w:r>
              <w:rPr>
                <w:rFonts w:hint="eastAsia"/>
                <w:color w:val="auto"/>
                <w:sz w:val="24"/>
                <w:szCs w:val="24"/>
                <w:highlight w:val="none"/>
              </w:rPr>
              <w:t>；</w:t>
            </w:r>
          </w:p>
          <w:p>
            <w:pPr>
              <w:numPr>
                <w:ilvl w:val="0"/>
                <w:numId w:val="18"/>
              </w:numPr>
              <w:rPr>
                <w:rStyle w:val="47"/>
                <w:rFonts w:hint="default"/>
                <w:color w:val="auto"/>
                <w:sz w:val="24"/>
                <w:szCs w:val="24"/>
                <w:highlight w:val="none"/>
              </w:rPr>
            </w:pPr>
            <w:r>
              <w:rPr>
                <w:rFonts w:hint="eastAsia" w:ascii="仿宋" w:hAnsi="仿宋" w:eastAsia="仿宋" w:cs="仿宋"/>
                <w:color w:val="auto"/>
                <w:sz w:val="24"/>
                <w:szCs w:val="24"/>
                <w:highlight w:val="none"/>
              </w:rPr>
              <w:t>★</w:t>
            </w:r>
            <w:r>
              <w:rPr>
                <w:rStyle w:val="31"/>
                <w:rFonts w:hint="default"/>
                <w:color w:val="auto"/>
                <w:sz w:val="24"/>
                <w:szCs w:val="24"/>
                <w:highlight w:val="none"/>
              </w:rPr>
              <w:t>内置至少8个麦克风，≥8米有效拾音距离，内置独立4核高性能独立DSP，AI降噪+混响抑制，声音清晰通透。</w:t>
            </w:r>
            <w:r>
              <w:rPr>
                <w:rFonts w:hint="eastAsia" w:eastAsia="宋体"/>
                <w:color w:val="auto"/>
                <w:sz w:val="24"/>
                <w:szCs w:val="24"/>
                <w:highlight w:val="none"/>
                <w:lang w:eastAsia="zh-CN"/>
              </w:rPr>
              <w:t>提供相应的功能证明材料（包括但不限于测试报告、官网和功能截图等）</w:t>
            </w:r>
            <w:r>
              <w:rPr>
                <w:rFonts w:hint="eastAsia"/>
                <w:color w:val="auto"/>
                <w:sz w:val="24"/>
                <w:szCs w:val="24"/>
                <w:highlight w:val="none"/>
              </w:rPr>
              <w:t>；</w:t>
            </w:r>
          </w:p>
          <w:p>
            <w:pPr>
              <w:numPr>
                <w:ilvl w:val="0"/>
                <w:numId w:val="18"/>
              </w:numPr>
              <w:rPr>
                <w:rStyle w:val="47"/>
                <w:rFonts w:hint="default"/>
                <w:color w:val="auto"/>
                <w:sz w:val="24"/>
                <w:szCs w:val="24"/>
                <w:highlight w:val="none"/>
              </w:rPr>
            </w:pPr>
            <w:r>
              <w:rPr>
                <w:rFonts w:hint="eastAsia" w:ascii="宋体" w:hAnsi="宋体" w:cs="宋体"/>
                <w:color w:val="auto"/>
                <w:kern w:val="0"/>
                <w:sz w:val="24"/>
                <w:szCs w:val="24"/>
                <w:highlight w:val="none"/>
              </w:rPr>
              <w:t>接口:≥2路HDMI IN；≥1路 USB 2.0；≥2路USB 3.0；≥1路Type-C；≥1路TOUCH；≥1路AUDIO OUT；≥1路RS232；</w:t>
            </w:r>
          </w:p>
          <w:p>
            <w:pPr>
              <w:numPr>
                <w:ilvl w:val="0"/>
                <w:numId w:val="18"/>
              </w:numPr>
              <w:rPr>
                <w:rStyle w:val="47"/>
                <w:rFonts w:hint="default"/>
                <w:color w:val="auto"/>
                <w:sz w:val="24"/>
                <w:szCs w:val="24"/>
                <w:highlight w:val="none"/>
              </w:rPr>
            </w:pPr>
            <w:r>
              <w:rPr>
                <w:rStyle w:val="35"/>
                <w:rFonts w:hint="default"/>
                <w:color w:val="auto"/>
                <w:sz w:val="24"/>
                <w:szCs w:val="24"/>
                <w:highlight w:val="none"/>
              </w:rPr>
              <w:t>支持手机投屏软件操控大屏，小屏控大屏满足近端操控需求</w:t>
            </w:r>
          </w:p>
          <w:p>
            <w:pPr>
              <w:numPr>
                <w:ilvl w:val="0"/>
                <w:numId w:val="18"/>
              </w:numPr>
              <w:rPr>
                <w:rStyle w:val="47"/>
                <w:rFonts w:hint="default"/>
                <w:color w:val="auto"/>
                <w:sz w:val="24"/>
                <w:szCs w:val="24"/>
                <w:highlight w:val="none"/>
              </w:rPr>
            </w:pPr>
            <w:r>
              <w:rPr>
                <w:rFonts w:hint="eastAsia" w:ascii="仿宋" w:hAnsi="仿宋" w:eastAsia="仿宋" w:cs="仿宋"/>
                <w:color w:val="auto"/>
                <w:sz w:val="24"/>
                <w:szCs w:val="24"/>
                <w:highlight w:val="none"/>
              </w:rPr>
              <w:t>★</w:t>
            </w:r>
            <w:r>
              <w:rPr>
                <w:rStyle w:val="35"/>
                <w:rFonts w:hint="default"/>
                <w:color w:val="auto"/>
                <w:sz w:val="24"/>
                <w:szCs w:val="24"/>
                <w:highlight w:val="none"/>
              </w:rPr>
              <w:t>手机和电脑支持混合投屏展示，最多支持九画面同屏展示，可对每个投屏内容进行独立反向操作，最多可连接32台设备。</w:t>
            </w:r>
            <w:r>
              <w:rPr>
                <w:rFonts w:hint="eastAsia" w:eastAsia="宋体"/>
                <w:color w:val="auto"/>
                <w:sz w:val="24"/>
                <w:szCs w:val="24"/>
                <w:highlight w:val="none"/>
                <w:lang w:eastAsia="zh-CN"/>
              </w:rPr>
              <w:t>提供相应的功能证明材料（包括但不限于测试报告、官网和功能截图等）</w:t>
            </w:r>
            <w:r>
              <w:rPr>
                <w:rFonts w:hint="eastAsia"/>
                <w:color w:val="auto"/>
                <w:sz w:val="24"/>
                <w:szCs w:val="24"/>
                <w:highlight w:val="none"/>
              </w:rPr>
              <w:t>；</w:t>
            </w:r>
          </w:p>
          <w:p>
            <w:pPr>
              <w:numPr>
                <w:ilvl w:val="0"/>
                <w:numId w:val="18"/>
              </w:numPr>
              <w:rPr>
                <w:rStyle w:val="47"/>
                <w:rFonts w:hint="default"/>
                <w:color w:val="auto"/>
                <w:sz w:val="24"/>
                <w:szCs w:val="24"/>
                <w:highlight w:val="none"/>
              </w:rPr>
            </w:pPr>
            <w:r>
              <w:rPr>
                <w:rStyle w:val="35"/>
                <w:rFonts w:hint="default"/>
                <w:color w:val="auto"/>
                <w:sz w:val="24"/>
                <w:szCs w:val="24"/>
                <w:highlight w:val="none"/>
              </w:rPr>
              <w:t>无线传屏视频数据加密，加密方式：AES（CBC模式），128 位，保障数据传输安全</w:t>
            </w:r>
          </w:p>
          <w:p>
            <w:pPr>
              <w:numPr>
                <w:ilvl w:val="0"/>
                <w:numId w:val="18"/>
              </w:numPr>
              <w:rPr>
                <w:rStyle w:val="47"/>
                <w:rFonts w:hint="default"/>
                <w:color w:val="auto"/>
                <w:sz w:val="24"/>
                <w:szCs w:val="24"/>
                <w:highlight w:val="none"/>
              </w:rPr>
            </w:pPr>
            <w:r>
              <w:rPr>
                <w:rFonts w:hint="eastAsia" w:ascii="仿宋" w:hAnsi="仿宋" w:eastAsia="仿宋" w:cs="仿宋"/>
                <w:color w:val="auto"/>
                <w:sz w:val="24"/>
                <w:szCs w:val="24"/>
                <w:highlight w:val="none"/>
              </w:rPr>
              <w:t>★</w:t>
            </w:r>
            <w:r>
              <w:rPr>
                <w:rStyle w:val="35"/>
                <w:rFonts w:hint="default"/>
                <w:color w:val="auto"/>
                <w:sz w:val="24"/>
                <w:szCs w:val="24"/>
                <w:highlight w:val="none"/>
              </w:rPr>
              <w:t>传屏之后，在屏幕上部中间部分显示工具栏，可以进行基本的操作（具体包括触摸回传控制，勿扰模式，暂停投屏等）</w:t>
            </w:r>
            <w:r>
              <w:rPr>
                <w:rFonts w:hint="eastAsia" w:eastAsia="宋体"/>
                <w:color w:val="auto"/>
                <w:sz w:val="24"/>
                <w:szCs w:val="24"/>
                <w:highlight w:val="none"/>
                <w:lang w:eastAsia="zh-CN"/>
              </w:rPr>
              <w:t>提供相应的功能证明材料（包括但不限于测试报告、官网和功能截图等）</w:t>
            </w:r>
            <w:r>
              <w:rPr>
                <w:rFonts w:hint="eastAsia"/>
                <w:color w:val="auto"/>
                <w:sz w:val="24"/>
                <w:szCs w:val="24"/>
                <w:highlight w:val="none"/>
              </w:rPr>
              <w:t>；</w:t>
            </w:r>
          </w:p>
          <w:p>
            <w:pPr>
              <w:numPr>
                <w:ilvl w:val="0"/>
                <w:numId w:val="18"/>
              </w:numPr>
              <w:rPr>
                <w:rStyle w:val="47"/>
                <w:rFonts w:hint="default"/>
                <w:color w:val="auto"/>
                <w:sz w:val="24"/>
                <w:szCs w:val="24"/>
                <w:highlight w:val="none"/>
              </w:rPr>
            </w:pPr>
            <w:r>
              <w:rPr>
                <w:rFonts w:hint="eastAsia" w:ascii="仿宋" w:hAnsi="仿宋" w:eastAsia="仿宋" w:cs="仿宋"/>
                <w:color w:val="auto"/>
                <w:sz w:val="24"/>
                <w:szCs w:val="24"/>
                <w:highlight w:val="none"/>
              </w:rPr>
              <w:t>★</w:t>
            </w:r>
            <w:r>
              <w:rPr>
                <w:rStyle w:val="35"/>
                <w:rFonts w:hint="default"/>
                <w:color w:val="auto"/>
                <w:sz w:val="24"/>
                <w:szCs w:val="24"/>
                <w:highlight w:val="none"/>
              </w:rPr>
              <w:t>可通过传屏工具栏暂停投屏功能进行画面冻结暂停，投屏电脑可自主进行其他操作，不影响整机的冻结画面内容显示</w:t>
            </w:r>
            <w:r>
              <w:rPr>
                <w:rFonts w:hint="eastAsia" w:eastAsia="宋体"/>
                <w:color w:val="auto"/>
                <w:sz w:val="24"/>
                <w:szCs w:val="24"/>
                <w:highlight w:val="none"/>
                <w:lang w:eastAsia="zh-CN"/>
              </w:rPr>
              <w:t>提供相应的功能证明材料（包括但不限于测试报告、官网和功能截图等）</w:t>
            </w:r>
            <w:r>
              <w:rPr>
                <w:rFonts w:hint="eastAsia"/>
                <w:color w:val="auto"/>
                <w:sz w:val="24"/>
                <w:szCs w:val="24"/>
                <w:highlight w:val="none"/>
              </w:rPr>
              <w:t>；</w:t>
            </w:r>
          </w:p>
          <w:p>
            <w:pPr>
              <w:numPr>
                <w:ilvl w:val="0"/>
                <w:numId w:val="18"/>
              </w:numPr>
              <w:rPr>
                <w:rStyle w:val="47"/>
                <w:rFonts w:hint="default"/>
                <w:sz w:val="24"/>
                <w:szCs w:val="24"/>
                <w:highlight w:val="none"/>
              </w:rPr>
            </w:pPr>
            <w:r>
              <w:rPr>
                <w:rStyle w:val="31"/>
                <w:rFonts w:hint="default"/>
                <w:color w:val="auto"/>
                <w:sz w:val="24"/>
                <w:szCs w:val="24"/>
                <w:highlight w:val="none"/>
              </w:rPr>
              <w:t>白板内支持mp3、mp4、ppt、pdf、word等多种格式文件</w:t>
            </w:r>
            <w:r>
              <w:rPr>
                <w:rStyle w:val="31"/>
                <w:rFonts w:hint="default"/>
                <w:sz w:val="24"/>
                <w:szCs w:val="24"/>
                <w:highlight w:val="none"/>
              </w:rPr>
              <w:t>插入，插入后可随意调整其位置、大小，同时支持对窗口化文件重点内容直接截图并以图片格式插入白板中</w:t>
            </w:r>
          </w:p>
          <w:p>
            <w:pPr>
              <w:numPr>
                <w:ilvl w:val="0"/>
                <w:numId w:val="18"/>
              </w:numPr>
              <w:rPr>
                <w:rStyle w:val="31"/>
                <w:rFonts w:hint="default"/>
                <w:sz w:val="24"/>
                <w:szCs w:val="24"/>
                <w:highlight w:val="none"/>
              </w:rPr>
            </w:pPr>
            <w:r>
              <w:rPr>
                <w:rStyle w:val="31"/>
                <w:rFonts w:hint="default"/>
                <w:sz w:val="24"/>
                <w:szCs w:val="24"/>
                <w:highlight w:val="none"/>
              </w:rPr>
              <w:t>在无线投屏状态中，搭配PC模块后无需调用PPT播放软件的批注功能，即可对PPT播放状态下进行连续多页批注，擦除</w:t>
            </w:r>
            <w:r>
              <w:rPr>
                <w:rStyle w:val="31"/>
                <w:rFonts w:hint="eastAsia" w:eastAsia="宋体"/>
                <w:sz w:val="24"/>
                <w:szCs w:val="24"/>
                <w:highlight w:val="none"/>
                <w:lang w:eastAsia="zh-CN"/>
              </w:rPr>
              <w:t>。</w:t>
            </w:r>
            <w:r>
              <w:rPr>
                <w:rStyle w:val="47"/>
                <w:rFonts w:hint="default"/>
                <w:sz w:val="24"/>
                <w:szCs w:val="24"/>
                <w:highlight w:val="none"/>
              </w:rPr>
              <w:t xml:space="preserve"> </w:t>
            </w:r>
          </w:p>
          <w:p>
            <w:pPr>
              <w:rPr>
                <w:rStyle w:val="31"/>
                <w:rFonts w:hint="default"/>
                <w:b/>
                <w:bCs/>
                <w:sz w:val="24"/>
                <w:szCs w:val="24"/>
                <w:highlight w:val="none"/>
              </w:rPr>
            </w:pPr>
            <w:r>
              <w:rPr>
                <w:rStyle w:val="31"/>
                <w:rFonts w:hint="default"/>
                <w:b/>
                <w:bCs/>
                <w:sz w:val="24"/>
                <w:szCs w:val="24"/>
                <w:highlight w:val="none"/>
              </w:rPr>
              <w:t>2、PC模块：</w:t>
            </w:r>
          </w:p>
          <w:p>
            <w:pPr>
              <w:rPr>
                <w:rStyle w:val="35"/>
                <w:rFonts w:hint="default"/>
                <w:sz w:val="24"/>
                <w:szCs w:val="24"/>
                <w:highlight w:val="none"/>
              </w:rPr>
            </w:pPr>
            <w:r>
              <w:rPr>
                <w:rStyle w:val="31"/>
                <w:rFonts w:hint="default"/>
                <w:sz w:val="24"/>
                <w:szCs w:val="24"/>
                <w:highlight w:val="none"/>
              </w:rPr>
              <w:t>1、</w:t>
            </w:r>
            <w:r>
              <w:rPr>
                <w:rStyle w:val="35"/>
                <w:rFonts w:hint="default"/>
                <w:sz w:val="24"/>
                <w:szCs w:val="24"/>
                <w:highlight w:val="none"/>
              </w:rPr>
              <w:t>采用模块化电脑方案，抽拉内置式，PC模块可完全插入整机。采用</w:t>
            </w:r>
            <w:r>
              <w:rPr>
                <w:rFonts w:hint="eastAsia" w:ascii="宋体" w:hAnsi="宋体" w:cs="宋体"/>
                <w:color w:val="000000"/>
                <w:kern w:val="0"/>
                <w:sz w:val="24"/>
                <w:szCs w:val="24"/>
                <w:highlight w:val="none"/>
              </w:rPr>
              <w:t>≥</w:t>
            </w:r>
            <w:r>
              <w:rPr>
                <w:rStyle w:val="35"/>
                <w:rFonts w:hint="default"/>
                <w:sz w:val="24"/>
                <w:szCs w:val="24"/>
                <w:highlight w:val="none"/>
              </w:rPr>
              <w:t>40pin接口，实现无单独接线的插拔。</w:t>
            </w:r>
          </w:p>
          <w:p>
            <w:pPr>
              <w:rPr>
                <w:rFonts w:ascii="宋体" w:hAnsi="宋体" w:cs="宋体"/>
                <w:color w:val="000000"/>
                <w:kern w:val="0"/>
                <w:sz w:val="24"/>
                <w:szCs w:val="24"/>
                <w:highlight w:val="none"/>
              </w:rPr>
            </w:pPr>
            <w:r>
              <w:rPr>
                <w:rStyle w:val="35"/>
                <w:rFonts w:hint="default"/>
                <w:sz w:val="24"/>
                <w:szCs w:val="24"/>
                <w:highlight w:val="none"/>
              </w:rPr>
              <w:t>2、</w:t>
            </w:r>
            <w:r>
              <w:rPr>
                <w:rFonts w:hint="eastAsia" w:ascii="宋体" w:hAnsi="宋体" w:cs="宋体"/>
                <w:color w:val="000000"/>
                <w:kern w:val="0"/>
                <w:sz w:val="24"/>
                <w:szCs w:val="24"/>
                <w:highlight w:val="none"/>
              </w:rPr>
              <w:t xml:space="preserve"> CPU Intel® Core i5/内存DDR4≥8G /固态硬盘≥128G</w:t>
            </w:r>
          </w:p>
          <w:p>
            <w:pP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3、I/O接口：≥3路USB3.0；≥1路HDMI输出；≥1路LAN口；≥1路麦克风输入</w:t>
            </w:r>
          </w:p>
          <w:p>
            <w:pPr>
              <w:rPr>
                <w:rFonts w:ascii="宋体" w:hAnsi="宋体" w:cs="宋体"/>
                <w:sz w:val="24"/>
                <w:szCs w:val="24"/>
                <w:highlight w:val="none"/>
              </w:rPr>
            </w:pPr>
            <w:r>
              <w:rPr>
                <w:rFonts w:hint="eastAsia" w:ascii="宋体" w:hAnsi="宋体" w:cs="宋体"/>
                <w:color w:val="000000"/>
                <w:kern w:val="0"/>
                <w:sz w:val="24"/>
                <w:szCs w:val="24"/>
                <w:highlight w:val="none"/>
              </w:rPr>
              <w:t>4、采用10代inlel处理器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　</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RFID层架标签</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1200</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枚</w:t>
            </w:r>
          </w:p>
        </w:tc>
        <w:tc>
          <w:tcPr>
            <w:tcW w:w="6781" w:type="dxa"/>
            <w:shd w:val="clear" w:color="auto" w:fill="auto"/>
            <w:noWrap w:val="0"/>
            <w:vAlign w:val="center"/>
          </w:tcPr>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标签中有存储器，存储在其中的资料可重复读、写。</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标签可以非接触式地读取和写入。</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标签</w:t>
            </w:r>
            <w:r>
              <w:rPr>
                <w:rFonts w:hint="eastAsia" w:ascii="宋体" w:hAnsi="宋体" w:cs="宋体"/>
                <w:color w:val="000000"/>
                <w:kern w:val="0"/>
                <w:sz w:val="24"/>
                <w:szCs w:val="24"/>
                <w:highlight w:val="none"/>
                <w:lang w:eastAsia="zh-CN"/>
              </w:rPr>
              <w:t>采</w:t>
            </w:r>
            <w:r>
              <w:rPr>
                <w:rFonts w:hint="eastAsia" w:ascii="宋体" w:hAnsi="宋体" w:cs="宋体"/>
                <w:color w:val="000000"/>
                <w:kern w:val="0"/>
                <w:sz w:val="24"/>
                <w:szCs w:val="24"/>
                <w:highlight w:val="none"/>
              </w:rPr>
              <w:t>用防冲突的运算法则，能保证多个标签同时可靠识别。</w:t>
            </w:r>
          </w:p>
          <w:p>
            <w:pPr>
              <w:widowControl/>
              <w:jc w:val="left"/>
              <w:rPr>
                <w:rFonts w:hint="eastAsia" w:ascii="宋体" w:hAnsi="宋体" w:cs="宋体" w:eastAsiaTheme="minorEastAsia"/>
                <w:color w:val="000000"/>
                <w:kern w:val="0"/>
                <w:sz w:val="24"/>
                <w:szCs w:val="24"/>
                <w:highlight w:val="none"/>
                <w:lang w:eastAsia="zh-CN"/>
              </w:rPr>
            </w:pPr>
            <w:r>
              <w:rPr>
                <w:rFonts w:hint="eastAsia" w:ascii="宋体" w:hAnsi="宋体" w:cs="宋体"/>
                <w:color w:val="000000"/>
                <w:kern w:val="0"/>
                <w:sz w:val="24"/>
                <w:szCs w:val="24"/>
                <w:highlight w:val="none"/>
              </w:rPr>
              <w:t>4. 标签具有较高的安全性，有不可改写的唯一序列号（UID）</w:t>
            </w:r>
            <w:r>
              <w:rPr>
                <w:rFonts w:hint="eastAsia" w:ascii="宋体" w:hAnsi="宋体" w:cs="宋体"/>
                <w:color w:val="000000"/>
                <w:kern w:val="0"/>
                <w:sz w:val="24"/>
                <w:szCs w:val="24"/>
                <w:highlight w:val="none"/>
                <w:lang w:eastAsia="zh-CN"/>
              </w:rPr>
              <w:t>，</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防止存储在其中的信息被泄露或随意改写。</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 标签为无源标签，须符合ISO 15693、ISO 18000-3标准。</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 RFID阅读产品设备可读取存储在标签中的资料</w:t>
            </w:r>
            <w:r>
              <w:rPr>
                <w:rFonts w:hint="eastAsia" w:ascii="宋体" w:hAnsi="宋体" w:cs="宋体"/>
                <w:color w:val="000000"/>
                <w:kern w:val="0"/>
                <w:sz w:val="24"/>
                <w:szCs w:val="24"/>
                <w:highlight w:val="none"/>
                <w:lang w:val="en-US" w:eastAsia="zh-CN"/>
              </w:rPr>
              <w:t>(</w:t>
            </w:r>
            <w:r>
              <w:rPr>
                <w:rFonts w:hint="eastAsia" w:ascii="宋体" w:hAnsi="宋体" w:cs="宋体"/>
                <w:color w:val="000000"/>
                <w:kern w:val="0"/>
                <w:sz w:val="24"/>
                <w:szCs w:val="24"/>
                <w:highlight w:val="none"/>
              </w:rPr>
              <w:t>阅读距离不小于25CM）。</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7. </w:t>
            </w:r>
            <w:r>
              <w:rPr>
                <w:rFonts w:hint="eastAsia" w:ascii="宋体" w:hAnsi="宋体" w:cs="宋体"/>
                <w:color w:val="000000"/>
                <w:kern w:val="0"/>
                <w:sz w:val="24"/>
                <w:szCs w:val="24"/>
                <w:highlight w:val="none"/>
                <w:lang w:eastAsia="zh-CN"/>
              </w:rPr>
              <w:t>标签</w:t>
            </w:r>
            <w:r>
              <w:rPr>
                <w:rFonts w:hint="eastAsia" w:ascii="宋体" w:hAnsi="宋体" w:cs="宋体"/>
                <w:color w:val="000000"/>
                <w:kern w:val="0"/>
                <w:sz w:val="24"/>
                <w:szCs w:val="24"/>
                <w:highlight w:val="none"/>
              </w:rPr>
              <w:t>固有频率误差频率小于或等于±300K Hz范围。</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8. 有效识读距离：符合自助借还、书架、安全门等设备读取要求。</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9.用户可自定义数据格式和内容，具有良好的数据扩展性。</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10.标签质保期内不开胶脱落，同时应保证采用中性粘胶对图书及其它介质黏贴表面无损害。</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11.层架位为层板防电磁屏蔽用RFID标签，自带背胶，可固定于图书馆的金属书架层板表面（钢木架）。</w:t>
            </w:r>
          </w:p>
          <w:p>
            <w:pPr>
              <w:widowControl/>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参数要求：</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工作频率：高频13.56MHz</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尺寸：84 ±0.5*20 ±0.5mm；层架表签天线尺寸 ≤52×15mm</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存储容量：≥1024 bits</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 工作温度不小于-</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rPr>
              <w:t>0℃～+</w:t>
            </w:r>
            <w:r>
              <w:rPr>
                <w:rFonts w:hint="eastAsia" w:ascii="宋体" w:hAnsi="宋体" w:cs="宋体"/>
                <w:color w:val="000000"/>
                <w:kern w:val="0"/>
                <w:sz w:val="24"/>
                <w:szCs w:val="24"/>
                <w:highlight w:val="none"/>
                <w:lang w:val="en-US" w:eastAsia="zh-CN"/>
              </w:rPr>
              <w:t>60</w:t>
            </w:r>
            <w:r>
              <w:rPr>
                <w:rFonts w:hint="eastAsia" w:ascii="宋体" w:hAnsi="宋体" w:cs="宋体"/>
                <w:color w:val="000000"/>
                <w:kern w:val="0"/>
                <w:sz w:val="24"/>
                <w:szCs w:val="24"/>
                <w:highlight w:val="none"/>
              </w:rPr>
              <w:t>℃</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 读取速度≤0.1s</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 有效使用寿命≥10 年</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 有效使用次数≥10万次</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8</w:t>
            </w:r>
            <w:r>
              <w:rPr>
                <w:rFonts w:hint="eastAsia" w:ascii="宋体" w:hAnsi="宋体" w:cs="宋体"/>
                <w:color w:val="000000"/>
                <w:kern w:val="0"/>
                <w:sz w:val="24"/>
                <w:szCs w:val="24"/>
                <w:highlight w:val="none"/>
              </w:rPr>
              <w:t>. 防冲突机制≥30个标签/秒</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9</w:t>
            </w:r>
            <w:r>
              <w:rPr>
                <w:rFonts w:hint="eastAsia" w:ascii="宋体" w:hAnsi="宋体" w:cs="宋体"/>
                <w:color w:val="000000"/>
                <w:kern w:val="0"/>
                <w:sz w:val="24"/>
                <w:szCs w:val="24"/>
                <w:highlight w:val="none"/>
              </w:rPr>
              <w:t>. 倒贴式封装技术</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0</w:t>
            </w:r>
            <w:r>
              <w:rPr>
                <w:rFonts w:hint="eastAsia" w:ascii="宋体" w:hAnsi="宋体" w:cs="宋体"/>
                <w:color w:val="000000"/>
                <w:kern w:val="0"/>
                <w:sz w:val="24"/>
                <w:szCs w:val="24"/>
                <w:highlight w:val="none"/>
              </w:rPr>
              <w:t>. 标签天线铝蚀刻工艺生产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　</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移动检点车及其RFID系统操作软件</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70" w:type="dxa"/>
            <w:shd w:val="clear" w:color="auto" w:fill="auto"/>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台</w:t>
            </w:r>
          </w:p>
        </w:tc>
        <w:tc>
          <w:tcPr>
            <w:tcW w:w="6781" w:type="dxa"/>
            <w:shd w:val="clear" w:color="auto" w:fill="auto"/>
            <w:noWrap w:val="0"/>
            <w:vAlign w:val="center"/>
          </w:tcPr>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 非接触式快速识别粘贴在流通资料上的RFID标签和层标、架标，完成盘点、查找等功能。</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2. 系统至少提供简体中文、英文两种语言的交互。</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 盘点：能够生成在架图书列表，同在借图书列表比对后能生成遗失图书列表，可以根据遗失列表自动更改单册状态。</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 查找：在盘点仪操作界面输入检索条件（书名、条形码号等），在盘点仪数据库中进行标注，对在架图书点检时自动</w:t>
            </w:r>
            <w:r>
              <w:rPr>
                <w:rFonts w:hint="eastAsia" w:ascii="宋体" w:hAnsi="宋体" w:cs="宋体"/>
                <w:kern w:val="0"/>
                <w:sz w:val="24"/>
                <w:szCs w:val="24"/>
                <w:highlight w:val="none"/>
                <w:lang w:eastAsia="zh-CN"/>
              </w:rPr>
              <w:t>提示</w:t>
            </w:r>
            <w:r>
              <w:rPr>
                <w:rFonts w:hint="eastAsia" w:ascii="宋体" w:hAnsi="宋体" w:cs="宋体"/>
                <w:kern w:val="0"/>
                <w:sz w:val="24"/>
                <w:szCs w:val="24"/>
                <w:highlight w:val="none"/>
              </w:rPr>
              <w:t>。</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 顺架：盘点过程中发现与架位序列表不符的图书进行报警提示，标示该图书所在位置。</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 xml:space="preserve">. 错架：可在服务器上对图书单册信息进行批处理更改，生成表单下载到盘点仪中，对在架图书进行盘点，遇到表单上的图书进行提示。也可在服务器上根据剔除条件生成表单下载到盘点仪中，对在架图书进行盘点，遇到表单上的图书进行提示。 </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 阅览统计：可对单册进行点检，在盘点仪中生成表单，上传至服务器对表单进行数据分析及统计。</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 数据采集处理及批处理：可在盘点过程中在盘点仪中生成表单，将表单上传至服务器进行批处理作业。</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 点检设备自带书籍放置层，用于盘点时书籍临时存放及移动，要求可放置书籍≥50本。</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 设备具备蓄电池电量显示，可显示蓄电池电量以及查看充电情况。</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 支持无线盘点，盘点拍与电脑主机通过蓝牙连接，可进行无线盘点。</w:t>
            </w:r>
          </w:p>
          <w:p>
            <w:pPr>
              <w:widowControl/>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规格参数要求：</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 工作频率：13.56MHz</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2. 外形尺寸：约长800mm*宽480mm*高1250mm</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3. 操作屏幕尺寸：≥19寸电容触摸一体机</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4. 供电方式：锂离子蓄电池：容量≥120000mAh</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5. 能耗：充电一次使用≥10小时</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6. 通信接口：不少于4个USB2.0接口，1个VGA接口，1个HDMI接口，2个RS232串口，1个RJ45千兆接口，1个PC-AUDIO 输入，1个耳机输出接口.</w:t>
            </w:r>
          </w:p>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7. 点检车采用四轮式设计，承载轮采用低噪音材质。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3"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13</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OPAC查询系统及其设备应用软件</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c>
          <w:tcPr>
            <w:tcW w:w="6781" w:type="dxa"/>
            <w:shd w:val="clear" w:color="auto" w:fill="auto"/>
            <w:noWrap w:val="0"/>
            <w:vAlign w:val="center"/>
          </w:tcPr>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 在人机交互界面实现对图书馆馆藏资源（含虚拟资源）的查询检索功能。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 读者可以查询馆藏书籍的馆藏地信息、书刊信息状态。</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系统提供书名、著者、索书号、出版社等各种检索入口。</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 读者可以输入证件号和密码登录该查询系统，查看本人的适用规则、借阅历史等。</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 在OPAC查询机上读者可以自助进行图书信息、借阅情况等查询，并且该系统支持预约、续借等功能。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 具有友好操作界面直接显示检索、图书推荐、图书管理、违规处罚、活动公告等操作跳转界面。</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 具有新书到馆及图书排行榜等界面，读者可以直接点击图书管理进入该界面获取最新到馆新书或图书排行等信息。</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8.具备即时通讯功能，可在线咨询图书馆管理人员。</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9. 读者可实时自行查看图书馆最新公告。 </w:t>
            </w:r>
          </w:p>
          <w:p>
            <w:pPr>
              <w:widowControl/>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规格参数要求：</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1. 外形尺寸：约长600*宽400*高1110mm</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2. 工作频率：13.56M Hz</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 操作系统：windows7或安卓5.0以上</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 操作屏幕尺寸≥21.5寸触摸屏：运行内存≥2G，存储内存≥16G</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 软件采用模块化设计架构，各功能模块（如读者证模块，SIP2接口模块、查询模块、加工模块）对应不同的独立文件，可根据实际需要在配置程序中灵活启用；</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 具备实时记录日志功能；</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 系统拥有远程监控和诊断功能，管理员可以远程登录自助设备进行管理；</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 可以通过该系统操作软件连接到系统内的设备进行集中化的数据统计和配置；</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 xml:space="preserve">. 供应商提供免费软件升级服务。                                                                                                                                                                                 </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提供</w:t>
            </w:r>
            <w:r>
              <w:rPr>
                <w:rFonts w:hint="eastAsia" w:ascii="宋体" w:hAnsi="宋体" w:cs="宋体"/>
                <w:kern w:val="0"/>
                <w:sz w:val="24"/>
                <w:szCs w:val="24"/>
                <w:highlight w:val="none"/>
              </w:rPr>
              <w:t>产品OPAC文献检索系统软件著作权登记证书。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8"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　</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电子借阅机</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c>
          <w:tcPr>
            <w:tcW w:w="6781" w:type="dxa"/>
            <w:shd w:val="clear" w:color="auto" w:fill="auto"/>
            <w:noWrap w:val="0"/>
            <w:vAlign w:val="center"/>
          </w:tcPr>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【触摸屏系统平台】</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1、前台展示图书阅读功能动态显示。</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2、平台支持最新报纸更新。</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3、支持资源分类检索与分类导航功能；</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4、在联网情况下，支持系统远程定时内容及系统更新。</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【资源部分】</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1、提供不少于4000种正版授权的TXT或pdf格式电子图书，资源涵盖党政类图书，文学作品，励志成长、古典国学类，人文社科，历史政治，推荐图书类。</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2、内置有声资源，资源全部为真人原声阅读同时支持移动设备扫码下载阅读。</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3、平台提供包含论语、诗经、中庸、孟子、庄子、左传、周易、三字经等国学必备书目。</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4、视频馆模块：</w:t>
            </w:r>
            <w:r>
              <w:rPr>
                <w:rFonts w:hint="eastAsia" w:ascii="宋体" w:hAnsi="宋体" w:cs="宋体"/>
                <w:color w:val="000000"/>
                <w:kern w:val="0"/>
                <w:sz w:val="24"/>
                <w:szCs w:val="24"/>
                <w:highlight w:val="none"/>
                <w:lang w:eastAsia="zh-CN"/>
              </w:rPr>
              <w:t>内</w:t>
            </w:r>
            <w:r>
              <w:rPr>
                <w:rFonts w:hint="eastAsia" w:ascii="宋体" w:hAnsi="宋体" w:cs="宋体"/>
                <w:color w:val="000000"/>
                <w:kern w:val="0"/>
                <w:sz w:val="24"/>
                <w:szCs w:val="24"/>
                <w:highlight w:val="none"/>
              </w:rPr>
              <w:t>置适合视频，包括百家讲坛、探索自然等。</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新闻报刊</w:t>
            </w:r>
          </w:p>
          <w:p>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提供阅读的国内主流报纸和期刊至少1000余种，报纸需每天实时更新，如：军事报、晨报、日报、晚报、都市报、经济报、生活报、法制报、农业报、体育报、青少年、保健报、其他等。</w:t>
            </w:r>
          </w:p>
          <w:p>
            <w:pPr>
              <w:widowControl/>
              <w:jc w:val="left"/>
              <w:rPr>
                <w:rFonts w:hint="eastAsia" w:ascii="宋体" w:hAnsi="宋体" w:cs="宋体" w:eastAsiaTheme="minorEastAsia"/>
                <w:kern w:val="0"/>
                <w:sz w:val="24"/>
                <w:szCs w:val="24"/>
                <w:highlight w:val="none"/>
                <w:lang w:eastAsia="zh-CN"/>
              </w:rPr>
            </w:pPr>
            <w:r>
              <w:rPr>
                <w:rFonts w:hint="eastAsia" w:ascii="宋体" w:hAnsi="宋体" w:cs="宋体"/>
                <w:kern w:val="0"/>
                <w:sz w:val="24"/>
                <w:szCs w:val="24"/>
                <w:highlight w:val="none"/>
              </w:rPr>
              <w:t>6、</w:t>
            </w:r>
            <w:r>
              <w:rPr>
                <w:rFonts w:hint="eastAsia" w:ascii="仿宋" w:hAnsi="仿宋" w:eastAsia="仿宋" w:cs="仿宋"/>
                <w:color w:val="auto"/>
                <w:sz w:val="24"/>
                <w:szCs w:val="24"/>
                <w:highlight w:val="none"/>
              </w:rPr>
              <w:t>★</w:t>
            </w:r>
            <w:r>
              <w:rPr>
                <w:rFonts w:hint="eastAsia" w:ascii="宋体" w:hAnsi="宋体" w:cs="宋体"/>
                <w:kern w:val="0"/>
                <w:sz w:val="24"/>
                <w:szCs w:val="24"/>
                <w:highlight w:val="none"/>
              </w:rPr>
              <w:t>为弘扬中华民族传统文化艺术，机器需内置：中国美术馆、红色艺术馆、民间美术馆、世界美术馆、书法欣赏馆、特色资源作品。</w:t>
            </w:r>
            <w:r>
              <w:rPr>
                <w:rFonts w:hint="eastAsia" w:ascii="宋体" w:hAnsi="宋体" w:cs="宋体"/>
                <w:kern w:val="0"/>
                <w:sz w:val="24"/>
                <w:szCs w:val="24"/>
                <w:highlight w:val="none"/>
                <w:lang w:eastAsia="zh-CN"/>
              </w:rPr>
              <w:t>提供相应的功能证明材料（包括但不限于测试报告、官网和功能截图等）。</w:t>
            </w:r>
          </w:p>
          <w:p>
            <w:pPr>
              <w:widowControl/>
              <w:jc w:val="left"/>
              <w:rPr>
                <w:rFonts w:hint="eastAsia" w:ascii="宋体" w:hAnsi="宋体" w:cs="宋体" w:eastAsiaTheme="minorEastAsia"/>
                <w:kern w:val="0"/>
                <w:sz w:val="24"/>
                <w:szCs w:val="24"/>
                <w:highlight w:val="none"/>
                <w:lang w:eastAsia="zh-CN"/>
              </w:rPr>
            </w:pPr>
            <w:r>
              <w:rPr>
                <w:rFonts w:hint="eastAsia" w:ascii="宋体" w:hAnsi="宋体" w:cs="宋体"/>
                <w:kern w:val="0"/>
                <w:sz w:val="24"/>
                <w:szCs w:val="24"/>
                <w:highlight w:val="none"/>
              </w:rPr>
              <w:t>7、红色艺术馆包含：版画馆、插画馆、国画馆、海报馆、剪纸馆、年画馆、农民画馆、水彩馆、速写馆、宣传画馆等相关红色艺术资源展示；</w:t>
            </w:r>
            <w:r>
              <w:rPr>
                <w:rFonts w:hint="eastAsia" w:ascii="宋体" w:hAnsi="宋体" w:cs="宋体"/>
                <w:kern w:val="0"/>
                <w:sz w:val="24"/>
                <w:szCs w:val="24"/>
                <w:highlight w:val="none"/>
                <w:lang w:eastAsia="zh-CN"/>
              </w:rPr>
              <w:t>提供相应的功能证明材料（包括但不限于测试报告、官网和功能截图等）。</w:t>
            </w:r>
          </w:p>
          <w:p>
            <w:pPr>
              <w:widowControl/>
              <w:jc w:val="left"/>
              <w:rPr>
                <w:rFonts w:hint="eastAsia" w:ascii="宋体" w:hAnsi="宋体" w:cs="宋体" w:eastAsiaTheme="minorEastAsia"/>
                <w:kern w:val="0"/>
                <w:sz w:val="24"/>
                <w:szCs w:val="24"/>
                <w:highlight w:val="none"/>
                <w:lang w:eastAsia="zh-CN"/>
              </w:rPr>
            </w:pPr>
            <w:r>
              <w:rPr>
                <w:rFonts w:hint="eastAsia" w:ascii="宋体" w:hAnsi="宋体" w:cs="宋体"/>
                <w:kern w:val="0"/>
                <w:sz w:val="24"/>
                <w:szCs w:val="24"/>
                <w:highlight w:val="none"/>
              </w:rPr>
              <w:t>8、书法大师馆包含：草书馆、行书馆、楷书馆、隶书馆、楹联馆、篆刻馆、篆书馆；</w:t>
            </w:r>
            <w:r>
              <w:rPr>
                <w:rFonts w:hint="eastAsia" w:ascii="宋体" w:hAnsi="宋体" w:cs="宋体"/>
                <w:kern w:val="0"/>
                <w:sz w:val="24"/>
                <w:szCs w:val="24"/>
                <w:highlight w:val="none"/>
                <w:lang w:eastAsia="zh-CN"/>
              </w:rPr>
              <w:t>提供相应的功能证明材料（包括但不限于测试报告、官网和功能截图等）。</w:t>
            </w:r>
          </w:p>
          <w:p>
            <w:pPr>
              <w:rPr>
                <w:rFonts w:hint="eastAsia" w:ascii="宋体" w:hAnsi="宋体" w:cs="宋体" w:eastAsiaTheme="minorEastAsia"/>
                <w:kern w:val="0"/>
                <w:sz w:val="24"/>
                <w:szCs w:val="24"/>
                <w:highlight w:val="none"/>
                <w:lang w:eastAsia="zh-CN"/>
              </w:rPr>
            </w:pPr>
            <w:r>
              <w:rPr>
                <w:rFonts w:hint="eastAsia" w:ascii="宋体" w:hAnsi="宋体" w:cs="宋体"/>
                <w:kern w:val="0"/>
                <w:sz w:val="24"/>
                <w:szCs w:val="24"/>
                <w:highlight w:val="none"/>
              </w:rPr>
              <w:t>9、</w:t>
            </w:r>
            <w:r>
              <w:rPr>
                <w:rFonts w:hint="eastAsia" w:ascii="仿宋" w:hAnsi="仿宋" w:eastAsia="仿宋" w:cs="仿宋"/>
                <w:color w:val="auto"/>
                <w:sz w:val="24"/>
                <w:szCs w:val="24"/>
                <w:highlight w:val="none"/>
              </w:rPr>
              <w:t>★</w:t>
            </w:r>
            <w:r>
              <w:rPr>
                <w:rFonts w:hint="eastAsia" w:ascii="宋体" w:hAnsi="宋体" w:cs="宋体"/>
                <w:kern w:val="0"/>
                <w:sz w:val="24"/>
                <w:szCs w:val="24"/>
                <w:highlight w:val="none"/>
              </w:rPr>
              <w:t>世界美术馆：20世纪现代美术馆、巴洛克美术馆、俄罗斯美术馆、法国美术馆、非洲美术馆、古埃及美术馆、古代美洲美术馆、古希腊罗马美术馆、古印度美术馆、浪漫主义美术馆、洛可可美术馆、美国美术馆等专题馆世界美术艺术类别；</w:t>
            </w:r>
            <w:r>
              <w:rPr>
                <w:rFonts w:hint="eastAsia" w:ascii="宋体" w:hAnsi="宋体" w:cs="宋体"/>
                <w:kern w:val="0"/>
                <w:sz w:val="24"/>
                <w:szCs w:val="24"/>
                <w:highlight w:val="none"/>
                <w:lang w:eastAsia="zh-CN"/>
              </w:rPr>
              <w:t>提供相应的功能证明材料（包括但不限于测试报告、官网和功能截图等）</w:t>
            </w:r>
          </w:p>
          <w:p>
            <w:pP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≥55寸红外触摸一体机</w:t>
            </w:r>
          </w:p>
          <w:p>
            <w:pP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1.cpu：不低于RK3288    1.5Ghz；</w:t>
            </w:r>
          </w:p>
          <w:p>
            <w:pP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2.内存：≥2G；</w:t>
            </w:r>
          </w:p>
          <w:p>
            <w:pP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3.SD卡：≥64G；</w:t>
            </w:r>
          </w:p>
          <w:p>
            <w:pP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4.网卡：集成10/100/1000M自适应网卡，无线网卡802.11a/b/g/n；</w:t>
            </w:r>
          </w:p>
          <w:p>
            <w:pP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5.系统：不低于安卓系统5.1.1；</w:t>
            </w:r>
          </w:p>
          <w:p>
            <w:pP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6.面板：LED，液晶玻璃≥ 55</w:t>
            </w:r>
            <w:r>
              <w:rPr>
                <w:rFonts w:hint="eastAsia" w:ascii="宋体" w:hAnsi="宋体" w:cs="宋体"/>
                <w:color w:val="000000"/>
                <w:kern w:val="0"/>
                <w:sz w:val="24"/>
                <w:szCs w:val="24"/>
                <w:highlight w:val="none"/>
                <w:lang w:eastAsia="zh-CN"/>
              </w:rPr>
              <w:t>寸</w:t>
            </w:r>
            <w:r>
              <w:rPr>
                <w:rFonts w:hint="eastAsia" w:ascii="宋体" w:hAnsi="宋体" w:cs="宋体"/>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5"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　</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大屏显示一体机</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c>
          <w:tcPr>
            <w:tcW w:w="6781" w:type="dxa"/>
            <w:shd w:val="clear" w:color="auto" w:fill="auto"/>
            <w:noWrap w:val="0"/>
            <w:vAlign w:val="top"/>
          </w:tcPr>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（一）整机参数</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1、窄边框，圆角设计。</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2、声音播放：前置喇叭，总功率≥30W。</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3、整机内置安卓和windows双系统。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4、整机在0℃—40℃环境下正常工作。</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5、玻璃内嵌式设计，钢化玻璃贴合有防爆膜，具有防飞溅功能；玻璃可承受≥100MPA的外应力冲击。</w:t>
            </w:r>
            <w:r>
              <w:rPr>
                <w:rFonts w:hint="eastAsia" w:ascii="宋体" w:hAnsi="宋体" w:eastAsia="宋体" w:cs="宋体"/>
                <w:sz w:val="24"/>
                <w:szCs w:val="24"/>
                <w:highlight w:val="none"/>
                <w:lang w:eastAsia="zh-CN"/>
              </w:rPr>
              <w:t>提供相应的功能证明材料（包括但不限于测试报告、官网和功能截图等）</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具有</w:t>
            </w:r>
            <w:r>
              <w:rPr>
                <w:rFonts w:hint="eastAsia" w:ascii="宋体" w:hAnsi="宋体" w:eastAsia="宋体" w:cs="宋体"/>
                <w:sz w:val="24"/>
                <w:szCs w:val="24"/>
                <w:highlight w:val="none"/>
              </w:rPr>
              <w:t>智能护眼</w:t>
            </w:r>
            <w:r>
              <w:rPr>
                <w:rFonts w:hint="eastAsia" w:ascii="宋体" w:hAnsi="宋体" w:eastAsia="宋体" w:cs="宋体"/>
                <w:sz w:val="24"/>
                <w:szCs w:val="24"/>
                <w:highlight w:val="none"/>
                <w:lang w:eastAsia="zh-CN"/>
              </w:rPr>
              <w:t>功能</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提供相应的功能证明材料（包括但不限于测试报告、官网和功能截图等）</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7、★触摸高度：≤2m最小触摸识别直径：≤2mm。</w:t>
            </w:r>
            <w:r>
              <w:rPr>
                <w:rFonts w:hint="eastAsia" w:ascii="宋体" w:hAnsi="宋体" w:eastAsia="宋体" w:cs="宋体"/>
                <w:sz w:val="24"/>
                <w:szCs w:val="24"/>
                <w:highlight w:val="none"/>
                <w:lang w:eastAsia="zh-CN"/>
              </w:rPr>
              <w:t>提供相应的功能证明材料（包括但不限于测试报告、官网和功能截图等）</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8、★触摸分辨率：32768*32768，扫描速度：连续点≤2ms，触摸响应时间≤4ms；定位精度≤±0.1mm。</w:t>
            </w:r>
            <w:r>
              <w:rPr>
                <w:rFonts w:hint="eastAsia" w:ascii="宋体" w:hAnsi="宋体" w:eastAsia="宋体" w:cs="宋体"/>
                <w:sz w:val="24"/>
                <w:szCs w:val="24"/>
                <w:highlight w:val="none"/>
                <w:lang w:eastAsia="zh-CN"/>
              </w:rPr>
              <w:t>提供相应的功能证明材料（包括但不限于测试报告、官网和功能截图等）</w:t>
            </w:r>
          </w:p>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（二）显示与屏幕</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1、主屏显示尺寸≥75英寸，显示比例为16:9，A型规格屏幕，屏幕图像分辨率≥ 3840×2160；屏幕亮度≥500cd/㎡，对比度≥5000:1。</w:t>
            </w:r>
            <w:r>
              <w:rPr>
                <w:rFonts w:hint="eastAsia" w:ascii="宋体" w:hAnsi="宋体" w:eastAsia="宋体" w:cs="宋体"/>
                <w:sz w:val="24"/>
                <w:szCs w:val="24"/>
                <w:highlight w:val="none"/>
                <w:lang w:eastAsia="zh-CN"/>
              </w:rPr>
              <w:t>提供相应的功能证明材料（包括但不限于测试报告、官网和功能截图等）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2、采用红外触控技术，Windows和Android系统下均支持20点触控及20点同时书写。</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3、★采用防眩光钢化玻璃，整机表面采用3.2mm防眩光、防划伤、防撞钢化玻保护，钢化玻璃表面硬度莫氏≥</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级,透光率达到≥99%。</w:t>
            </w:r>
            <w:r>
              <w:rPr>
                <w:rFonts w:hint="eastAsia" w:ascii="宋体" w:hAnsi="宋体" w:eastAsia="宋体" w:cs="宋体"/>
                <w:sz w:val="24"/>
                <w:szCs w:val="24"/>
                <w:highlight w:val="none"/>
                <w:lang w:eastAsia="zh-CN"/>
              </w:rPr>
              <w:t>提供相应的功能证明材料（包括但不限于测试报告、官网和功能截图等）</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4、为适应不同人员实际操作的需求,通过软件快捷键即可实现屏幕显示窗口下移，可进行触控批注。</w:t>
            </w:r>
            <w:r>
              <w:rPr>
                <w:rFonts w:hint="eastAsia" w:ascii="宋体" w:hAnsi="宋体" w:eastAsia="宋体" w:cs="宋体"/>
                <w:sz w:val="24"/>
                <w:szCs w:val="24"/>
                <w:highlight w:val="none"/>
                <w:lang w:eastAsia="zh-CN"/>
              </w:rPr>
              <w:t>提供相应的功能证明材料（包括但不限于测试报告、官网和功能截图等）</w:t>
            </w:r>
          </w:p>
          <w:p>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（三）按键接口</w:t>
            </w:r>
          </w:p>
          <w:p>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、接口：USB3.0≥2个，HDMI IN≥1个，TOUCH USB≥1个，USB3.0为双通道接口，兼容安卓系统和Windows系统，将U盘插入任意USB接口，均能被识别、读取、修改数据。</w:t>
            </w:r>
          </w:p>
          <w:p>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、主板接口：LAN IN≥1，COAX≥1，</w:t>
            </w:r>
            <w:r>
              <w:rPr>
                <w:rFonts w:hint="eastAsia" w:ascii="宋体" w:hAnsi="宋体" w:eastAsia="宋体" w:cs="宋体"/>
                <w:sz w:val="24"/>
                <w:szCs w:val="24"/>
                <w:highlight w:val="none"/>
                <w:lang w:eastAsia="zh-CN"/>
              </w:rPr>
              <w:t>耳机输出</w:t>
            </w:r>
            <w:r>
              <w:rPr>
                <w:rFonts w:hint="eastAsia" w:ascii="宋体" w:hAnsi="宋体" w:eastAsia="宋体" w:cs="宋体"/>
                <w:sz w:val="24"/>
                <w:szCs w:val="24"/>
                <w:highlight w:val="none"/>
              </w:rPr>
              <w:t>≥1，PC-AUDIO≥1，VGA≥1，HDMIIN≥3(含前置1个），Touch USB≥2,USB2.0≥4(含前置2个），MIC≥1。</w:t>
            </w:r>
          </w:p>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（四）安卓系统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1、安卓系统内存 ≥2G，存储 ≥16G，安卓版本不低于Android 9.0</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2、主板自带无线AP网络共享功能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bidi="ar"/>
              </w:rPr>
              <w:t>提供相应的功能证明材料（包括但不限于测试报告、官网和功能截图等）</w:t>
            </w:r>
          </w:p>
          <w:p>
            <w:pPr>
              <w:rPr>
                <w:rFonts w:ascii="宋体" w:hAnsi="宋体" w:cs="宋体"/>
                <w:color w:val="000000"/>
                <w:kern w:val="0"/>
                <w:sz w:val="24"/>
                <w:szCs w:val="24"/>
                <w:highlight w:val="none"/>
              </w:rPr>
            </w:pPr>
            <w:r>
              <w:rPr>
                <w:rFonts w:hint="eastAsia" w:ascii="宋体" w:hAnsi="宋体" w:eastAsia="宋体" w:cs="宋体"/>
                <w:sz w:val="24"/>
                <w:szCs w:val="24"/>
                <w:highlight w:val="none"/>
              </w:rPr>
              <w:t>3、整机</w:t>
            </w:r>
            <w:r>
              <w:rPr>
                <w:rFonts w:hint="eastAsia" w:ascii="宋体" w:hAnsi="宋体" w:eastAsia="宋体" w:cs="宋体"/>
                <w:sz w:val="24"/>
                <w:szCs w:val="24"/>
                <w:highlight w:val="none"/>
                <w:lang w:eastAsia="zh-CN"/>
              </w:rPr>
              <w:t>支持</w:t>
            </w:r>
            <w:r>
              <w:rPr>
                <w:rFonts w:hint="eastAsia" w:ascii="宋体" w:hAnsi="宋体" w:eastAsia="宋体" w:cs="宋体"/>
                <w:sz w:val="24"/>
                <w:szCs w:val="24"/>
                <w:highlight w:val="none"/>
              </w:rPr>
              <w:t>硬件自检，对网络、温度、触摸、系统内存、OPS 等模块进行检测，并针对不同模块给出提示；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2" w:hRule="atLeast"/>
          <w:jc w:val="center"/>
        </w:trPr>
        <w:tc>
          <w:tcPr>
            <w:tcW w:w="553"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w:t>
            </w:r>
          </w:p>
        </w:tc>
        <w:tc>
          <w:tcPr>
            <w:tcW w:w="876" w:type="dxa"/>
            <w:shd w:val="clear" w:color="auto" w:fill="auto"/>
            <w:noWrap w:val="0"/>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电脑</w:t>
            </w:r>
          </w:p>
        </w:tc>
        <w:tc>
          <w:tcPr>
            <w:tcW w:w="819"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70" w:type="dxa"/>
            <w:shd w:val="clear" w:color="auto" w:fill="auto"/>
            <w:noWrap w:val="0"/>
            <w:vAlign w:val="center"/>
          </w:tcPr>
          <w:p>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c>
          <w:tcPr>
            <w:tcW w:w="6781" w:type="dxa"/>
            <w:shd w:val="clear" w:color="auto" w:fill="auto"/>
            <w:noWrap w:val="0"/>
            <w:vAlign w:val="center"/>
          </w:tcPr>
          <w:p>
            <w:pPr>
              <w:pStyle w:val="2"/>
              <w:numPr>
                <w:ilvl w:val="0"/>
                <w:numId w:val="19"/>
              </w:numPr>
              <w:jc w:val="left"/>
              <w:rPr>
                <w:rFonts w:ascii="宋体" w:hAnsi="宋体" w:cs="宋体"/>
                <w:sz w:val="24"/>
                <w:szCs w:val="24"/>
                <w:highlight w:val="none"/>
              </w:rPr>
            </w:pPr>
            <w:r>
              <w:rPr>
                <w:rFonts w:hint="eastAsia" w:ascii="宋体" w:hAnsi="宋体" w:cs="宋体"/>
                <w:color w:val="000000"/>
                <w:sz w:val="24"/>
                <w:szCs w:val="24"/>
                <w:highlight w:val="none"/>
              </w:rPr>
              <w:t>≥20寸LED 液晶显示器，分辨率1920*1080，</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3、酷睿六核i5-11400及以上，主频不低于2.5GHz</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4、≥8GB DDR4 ,2个DIMM插槽，最大支持64GB  </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5、≥256G固态硬盘+1T机械硬盘</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6、集成显卡、集成千兆网卡</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7、USB抗菌光电鼠标、USB抗菌防水键盘</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8、不少于1个PCIe x16、2个PCIe x1、1个PCI，3个M.2；</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9、质保三年。</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10、不少于6个USB 3.2， 2个麦克风插孔，2个耳机/麦克风combo插孔；</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11、不少于4个USB 2.0，2个PS/2，1个串口，1个VGA，1个HDMI，1个DP，1个RJ-45，，1个Line-in插孔；</w:t>
            </w:r>
          </w:p>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12、出厂预装win11 home，带DVDRW</w:t>
            </w:r>
          </w:p>
          <w:p>
            <w:pPr>
              <w:widowControl/>
              <w:jc w:val="left"/>
              <w:rPr>
                <w:rFonts w:ascii="宋体" w:hAnsi="宋体" w:cs="宋体"/>
                <w:color w:val="000000"/>
                <w:kern w:val="0"/>
                <w:sz w:val="24"/>
                <w:szCs w:val="24"/>
                <w:highlight w:val="none"/>
              </w:rPr>
            </w:pPr>
            <w:r>
              <w:rPr>
                <w:rFonts w:hint="eastAsia" w:ascii="宋体" w:hAnsi="宋体" w:cs="宋体"/>
                <w:kern w:val="0"/>
                <w:sz w:val="24"/>
                <w:szCs w:val="24"/>
                <w:highlight w:val="none"/>
              </w:rPr>
              <w:t>13、</w:t>
            </w:r>
            <w:r>
              <w:rPr>
                <w:rFonts w:hint="eastAsia" w:ascii="宋体" w:hAnsi="宋体" w:cs="宋体"/>
                <w:color w:val="000000"/>
                <w:kern w:val="0"/>
                <w:sz w:val="24"/>
                <w:szCs w:val="24"/>
                <w:highlight w:val="none"/>
              </w:rPr>
              <w:t>支持硬盘免工具拆卸、 PCI扩展卡免工具拆卸</w:t>
            </w:r>
          </w:p>
        </w:tc>
      </w:tr>
    </w:tbl>
    <w:p>
      <w:pPr>
        <w:rPr>
          <w:rFonts w:hint="eastAsia" w:ascii="宋体" w:hAnsi="宋体" w:cs="宋体"/>
          <w:sz w:val="36"/>
          <w:szCs w:val="36"/>
          <w:lang w:eastAsia="zh-CN"/>
        </w:rPr>
      </w:pPr>
      <w:r>
        <w:rPr>
          <w:rFonts w:hint="eastAsia" w:ascii="宋体" w:hAnsi="宋体" w:cs="宋体"/>
          <w:sz w:val="36"/>
          <w:szCs w:val="36"/>
          <w:lang w:eastAsia="zh-CN"/>
        </w:rPr>
        <w:br w:type="page"/>
      </w:r>
    </w:p>
    <w:p>
      <w:pPr>
        <w:pStyle w:val="3"/>
        <w:numPr>
          <w:ilvl w:val="0"/>
          <w:numId w:val="0"/>
        </w:numPr>
        <w:jc w:val="center"/>
        <w:rPr>
          <w:rFonts w:hint="eastAsia" w:ascii="华文中宋" w:hAnsi="华文中宋" w:eastAsia="华文中宋" w:cs="华文中宋"/>
          <w:spacing w:val="28"/>
          <w:kern w:val="0"/>
          <w:sz w:val="44"/>
          <w:szCs w:val="44"/>
          <w:lang w:eastAsia="zh-CN"/>
        </w:rPr>
      </w:pPr>
      <w:bookmarkStart w:id="66" w:name="_Toc15088"/>
      <w:r>
        <w:rPr>
          <w:rFonts w:hint="eastAsia" w:ascii="宋体" w:hAnsi="宋体" w:cs="宋体"/>
          <w:sz w:val="36"/>
          <w:szCs w:val="36"/>
          <w:lang w:eastAsia="zh-CN"/>
        </w:rPr>
        <w:t>第六部分</w:t>
      </w:r>
      <w:r>
        <w:rPr>
          <w:rFonts w:hint="eastAsia" w:ascii="宋体" w:hAnsi="宋体" w:cs="宋体"/>
          <w:sz w:val="36"/>
          <w:szCs w:val="36"/>
          <w:lang w:val="en-US" w:eastAsia="zh-CN"/>
        </w:rPr>
        <w:t xml:space="preserve"> </w:t>
      </w:r>
      <w:r>
        <w:rPr>
          <w:rFonts w:hint="eastAsia" w:ascii="宋体" w:hAnsi="宋体" w:cs="宋体"/>
          <w:sz w:val="36"/>
          <w:szCs w:val="36"/>
        </w:rPr>
        <w:t>合同条款</w:t>
      </w:r>
      <w:bookmarkEnd w:id="63"/>
      <w:bookmarkEnd w:id="66"/>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根据《中华人民共和国政府采购法》、《中华人民共和国民法典》等法律法规，甲方通过</w:t>
      </w:r>
      <w:r>
        <w:rPr>
          <w:rFonts w:hint="eastAsia" w:asciiTheme="minorEastAsia" w:hAnsiTheme="minorEastAsia" w:cstheme="minorEastAsia"/>
          <w:sz w:val="24"/>
          <w:szCs w:val="24"/>
          <w:highlight w:val="none"/>
          <w:lang w:eastAsia="zh-CN"/>
        </w:rPr>
        <w:t>竞争性谈判</w:t>
      </w:r>
      <w:r>
        <w:rPr>
          <w:rFonts w:hint="eastAsia" w:asciiTheme="minorEastAsia" w:hAnsiTheme="minorEastAsia" w:eastAsiaTheme="minorEastAsia" w:cstheme="minorEastAsia"/>
          <w:sz w:val="24"/>
          <w:szCs w:val="24"/>
          <w:highlight w:val="none"/>
        </w:rPr>
        <w:t>，选定乙方为</w:t>
      </w:r>
      <w:r>
        <w:rPr>
          <w:rFonts w:hint="eastAsia" w:asciiTheme="minorEastAsia" w:hAnsiTheme="minorEastAsia" w:cstheme="minorEastAsia"/>
          <w:sz w:val="24"/>
          <w:szCs w:val="24"/>
          <w:highlight w:val="none"/>
          <w:lang w:eastAsia="zh-CN"/>
        </w:rPr>
        <w:t>成交单位</w:t>
      </w:r>
      <w:r>
        <w:rPr>
          <w:rFonts w:hint="eastAsia" w:asciiTheme="minorEastAsia" w:hAnsiTheme="minorEastAsia" w:eastAsiaTheme="minorEastAsia" w:cstheme="minorEastAsia"/>
          <w:sz w:val="24"/>
          <w:szCs w:val="24"/>
          <w:highlight w:val="none"/>
        </w:rPr>
        <w:t>。甲、乙双方在平等基础上协商一致，达成如下合同条款：</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b/>
          <w:sz w:val="24"/>
          <w:szCs w:val="24"/>
          <w:highlight w:val="none"/>
        </w:rPr>
        <w:t>合同内容</w:t>
      </w:r>
    </w:p>
    <w:tbl>
      <w:tblPr>
        <w:tblStyle w:val="22"/>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序号</w:t>
            </w:r>
          </w:p>
        </w:tc>
        <w:tc>
          <w:tcPr>
            <w:tcW w:w="162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设备名称</w:t>
            </w: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型号</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产地</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w:t>
            </w:r>
          </w:p>
        </w:tc>
        <w:tc>
          <w:tcPr>
            <w:tcW w:w="894"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w:t>
            </w:r>
          </w:p>
        </w:tc>
        <w:tc>
          <w:tcPr>
            <w:tcW w:w="839"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总计（人民币/元）</w:t>
            </w:r>
          </w:p>
        </w:tc>
        <w:tc>
          <w:tcPr>
            <w:tcW w:w="5693" w:type="dxa"/>
            <w:gridSpan w:val="6"/>
            <w:vAlign w:val="center"/>
          </w:tcPr>
          <w:p>
            <w:pPr>
              <w:keepNext w:val="0"/>
              <w:keepLines w:val="0"/>
              <w:pageBreakBefore w:val="0"/>
              <w:widowControl w:val="0"/>
              <w:wordWrap/>
              <w:overflowPunct/>
              <w:topLinePunct w:val="0"/>
              <w:autoSpaceDE/>
              <w:bidi w:val="0"/>
              <w:adjustRightInd w:val="0"/>
              <w:snapToGrid w:val="0"/>
              <w:spacing w:line="360" w:lineRule="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       （大写）</w:t>
            </w:r>
          </w:p>
        </w:tc>
      </w:tr>
    </w:tbl>
    <w:p>
      <w:pPr>
        <w:pStyle w:val="2"/>
        <w:keepNext w:val="0"/>
        <w:keepLines w:val="0"/>
        <w:pageBreakBefore w:val="0"/>
        <w:widowControl w:val="0"/>
        <w:wordWrap/>
        <w:overflowPunct/>
        <w:topLinePunct w:val="0"/>
        <w:autoSpaceDE/>
        <w:bidi w:val="0"/>
        <w:spacing w:before="2" w:line="360" w:lineRule="auto"/>
        <w:ind w:right="200" w:firstLine="48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乙方负责按合同中确定内容进行服务；按时完成甲方</w:t>
      </w:r>
      <w:r>
        <w:rPr>
          <w:rFonts w:hint="eastAsia" w:asciiTheme="minorEastAsia" w:hAnsiTheme="minorEastAsia" w:cstheme="minorEastAsia"/>
          <w:color w:val="auto"/>
          <w:kern w:val="2"/>
          <w:sz w:val="24"/>
          <w:szCs w:val="24"/>
          <w:highlight w:val="none"/>
          <w:lang w:eastAsia="zh-CN"/>
        </w:rPr>
        <w:t>西安市第六中学分校图书馆智慧系统及监控系统采购项目</w:t>
      </w:r>
      <w:r>
        <w:rPr>
          <w:rFonts w:hint="eastAsia" w:asciiTheme="minorEastAsia" w:hAnsiTheme="minorEastAsia" w:eastAsiaTheme="minorEastAsia" w:cstheme="minorEastAsia"/>
          <w:color w:val="auto"/>
          <w:kern w:val="2"/>
          <w:sz w:val="24"/>
          <w:szCs w:val="24"/>
          <w:highlight w:val="none"/>
        </w:rPr>
        <w:t>工作，达到甲方要求；负责为甲方培训操作、维护人员，做好售后服务工作。</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二、合同价格</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合同总价：人民币大写：</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合同总价包括：技术培训费、人工费、税金及国家按现行税收政策征收的一切税费等。合同总价不可变更，不受市场价变化的影响，不受实际数量变化的影响。</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三</w:t>
      </w:r>
      <w:r>
        <w:rPr>
          <w:rFonts w:hint="eastAsia" w:asciiTheme="minorEastAsia" w:hAnsiTheme="minorEastAsia" w:eastAsiaTheme="minorEastAsia" w:cstheme="minorEastAsia"/>
          <w:b/>
          <w:sz w:val="24"/>
          <w:szCs w:val="24"/>
          <w:highlight w:val="none"/>
        </w:rPr>
        <w:t>、交货条件</w:t>
      </w:r>
    </w:p>
    <w:p>
      <w:pPr>
        <w:keepNext w:val="0"/>
        <w:keepLines w:val="0"/>
        <w:pageBreakBefore w:val="0"/>
        <w:widowControl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1、交货</w:t>
      </w:r>
      <w:r>
        <w:rPr>
          <w:rFonts w:hint="eastAsia" w:asciiTheme="minorEastAsia" w:hAnsiTheme="minorEastAsia" w:eastAsiaTheme="minorEastAsia" w:cstheme="minorEastAsia"/>
          <w:sz w:val="24"/>
          <w:szCs w:val="24"/>
          <w:highlight w:val="none"/>
        </w:rPr>
        <w:t>条件</w:t>
      </w:r>
      <w:r>
        <w:rPr>
          <w:rFonts w:hint="eastAsia" w:asciiTheme="minorEastAsia" w:hAnsiTheme="minorEastAsia" w:eastAsiaTheme="minorEastAsia" w:cstheme="minorEastAsia"/>
          <w:sz w:val="24"/>
          <w:szCs w:val="24"/>
          <w:highlight w:val="none"/>
          <w:lang w:val="zh-CN"/>
        </w:rPr>
        <w:t>：乙方负责按合同中确定内容进行服务；按时完成</w:t>
      </w:r>
      <w:r>
        <w:rPr>
          <w:rFonts w:hint="eastAsia" w:asciiTheme="minorEastAsia" w:hAnsiTheme="minorEastAsia" w:cstheme="minorEastAsia"/>
          <w:sz w:val="24"/>
          <w:szCs w:val="24"/>
          <w:highlight w:val="none"/>
          <w:lang w:val="en-US" w:eastAsia="zh-CN"/>
        </w:rPr>
        <w:t>甲方</w:t>
      </w:r>
      <w:r>
        <w:rPr>
          <w:rFonts w:hint="eastAsia" w:asciiTheme="minorEastAsia" w:hAnsiTheme="minorEastAsia" w:cstheme="minorEastAsia"/>
          <w:sz w:val="24"/>
          <w:szCs w:val="24"/>
          <w:highlight w:val="none"/>
          <w:lang w:val="zh-CN"/>
        </w:rPr>
        <w:t>西安市第六中学分校图书馆智慧系统及监控系统采购项目</w:t>
      </w:r>
      <w:r>
        <w:rPr>
          <w:rFonts w:hint="eastAsia" w:asciiTheme="minorEastAsia" w:hAnsiTheme="minorEastAsia" w:eastAsiaTheme="minorEastAsia" w:cstheme="minorEastAsia"/>
          <w:sz w:val="24"/>
          <w:szCs w:val="24"/>
          <w:highlight w:val="none"/>
          <w:lang w:val="zh-CN"/>
        </w:rPr>
        <w:t>工作，达到甲方要求；负责为甲方培训操作、维护人员，做好售后服务工作。交付的货物、服务与</w:t>
      </w:r>
      <w:r>
        <w:rPr>
          <w:rFonts w:hint="eastAsia" w:asciiTheme="minorEastAsia" w:hAnsiTheme="minorEastAsia" w:cstheme="minorEastAsia"/>
          <w:sz w:val="24"/>
          <w:szCs w:val="24"/>
          <w:highlight w:val="none"/>
          <w:lang w:val="zh-CN"/>
        </w:rPr>
        <w:t>响应文件</w:t>
      </w:r>
      <w:r>
        <w:rPr>
          <w:rFonts w:hint="eastAsia" w:asciiTheme="minorEastAsia" w:hAnsiTheme="minorEastAsia" w:eastAsiaTheme="minorEastAsia" w:cstheme="minorEastAsia"/>
          <w:sz w:val="24"/>
          <w:szCs w:val="24"/>
          <w:highlight w:val="none"/>
          <w:lang w:val="zh-CN"/>
        </w:rPr>
        <w:t>、</w:t>
      </w:r>
      <w:r>
        <w:rPr>
          <w:rFonts w:hint="eastAsia" w:asciiTheme="minorEastAsia" w:hAnsiTheme="minorEastAsia" w:cstheme="minorEastAsia"/>
          <w:sz w:val="24"/>
          <w:szCs w:val="24"/>
          <w:highlight w:val="none"/>
          <w:lang w:val="zh-CN"/>
        </w:rPr>
        <w:t>竞争性谈判文件</w:t>
      </w:r>
      <w:r>
        <w:rPr>
          <w:rFonts w:hint="eastAsia" w:asciiTheme="minorEastAsia" w:hAnsiTheme="minorEastAsia" w:eastAsiaTheme="minorEastAsia" w:cstheme="minorEastAsia"/>
          <w:sz w:val="24"/>
          <w:szCs w:val="24"/>
          <w:highlight w:val="none"/>
          <w:lang w:val="zh-CN"/>
        </w:rPr>
        <w:t>等所指明的，或者与本合同所指明的内容相一致。</w:t>
      </w:r>
    </w:p>
    <w:p>
      <w:pPr>
        <w:keepNext w:val="0"/>
        <w:keepLines w:val="0"/>
        <w:pageBreakBefore w:val="0"/>
        <w:widowControl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2、交货日期：</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四</w:t>
      </w:r>
      <w:r>
        <w:rPr>
          <w:rFonts w:hint="eastAsia" w:asciiTheme="minorEastAsia" w:hAnsiTheme="minorEastAsia" w:eastAsiaTheme="minorEastAsia" w:cstheme="minorEastAsia"/>
          <w:b/>
          <w:sz w:val="24"/>
          <w:szCs w:val="24"/>
          <w:highlight w:val="none"/>
        </w:rPr>
        <w:t>、付款方式</w:t>
      </w: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1</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全部产品安装调试完毕并验收合格后，甲方向乙方支付合同总价</w:t>
      </w:r>
      <w:r>
        <w:rPr>
          <w:rFonts w:hint="eastAsia" w:asciiTheme="minorEastAsia" w:hAnsiTheme="minorEastAsia" w:cstheme="minorEastAsia"/>
          <w:color w:val="000000"/>
          <w:sz w:val="24"/>
          <w:szCs w:val="24"/>
          <w:highlight w:val="none"/>
          <w:lang w:val="en-US" w:eastAsia="zh-CN"/>
        </w:rPr>
        <w:t>100</w:t>
      </w:r>
      <w:r>
        <w:rPr>
          <w:rFonts w:hint="eastAsia" w:asciiTheme="minorEastAsia" w:hAnsiTheme="minorEastAsia" w:eastAsiaTheme="minorEastAsia" w:cstheme="minorEastAsia"/>
          <w:color w:val="000000"/>
          <w:sz w:val="24"/>
          <w:szCs w:val="24"/>
          <w:highlight w:val="none"/>
        </w:rPr>
        <w:t>%的价款。</w:t>
      </w: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）结算方式：银行转账。</w:t>
      </w:r>
    </w:p>
    <w:p>
      <w:pPr>
        <w:keepNext w:val="0"/>
        <w:keepLines w:val="0"/>
        <w:pageBreakBefore w:val="0"/>
        <w:widowControl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）结算单位：</w:t>
      </w:r>
      <w:r>
        <w:rPr>
          <w:rFonts w:hint="eastAsia"/>
          <w:sz w:val="24"/>
          <w:szCs w:val="28"/>
        </w:rPr>
        <w:t>由采购人负责结算，</w:t>
      </w:r>
      <w:r>
        <w:rPr>
          <w:rFonts w:hint="eastAsia"/>
          <w:sz w:val="24"/>
          <w:szCs w:val="28"/>
          <w:lang w:val="en-US" w:eastAsia="zh-CN"/>
        </w:rPr>
        <w:t>每次付款前，</w:t>
      </w:r>
      <w:r>
        <w:rPr>
          <w:rFonts w:hint="eastAsia"/>
          <w:sz w:val="24"/>
          <w:szCs w:val="28"/>
        </w:rPr>
        <w:t>乙方开具合同总价数的全额发票交采购人。</w:t>
      </w:r>
    </w:p>
    <w:p>
      <w:pPr>
        <w:keepNext w:val="0"/>
        <w:keepLines w:val="0"/>
        <w:pageBreakBefore w:val="0"/>
        <w:widowControl w:val="0"/>
        <w:tabs>
          <w:tab w:val="left" w:pos="840"/>
        </w:tabs>
        <w:wordWrap/>
        <w:overflowPunct/>
        <w:topLinePunct w:val="0"/>
        <w:autoSpaceDE/>
        <w:bidi w:val="0"/>
        <w:spacing w:line="360" w:lineRule="auto"/>
        <w:ind w:firstLine="422" w:firstLineChars="175"/>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eastAsia="zh-CN"/>
        </w:rPr>
        <w:t>五</w:t>
      </w:r>
      <w:r>
        <w:rPr>
          <w:rFonts w:hint="eastAsia" w:asciiTheme="minorEastAsia" w:hAnsiTheme="minorEastAsia" w:eastAsiaTheme="minorEastAsia" w:cstheme="minorEastAsia"/>
          <w:b/>
          <w:sz w:val="24"/>
          <w:szCs w:val="24"/>
          <w:highlight w:val="none"/>
        </w:rPr>
        <w:t>、双方的权利和义务</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1、甲方责任</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负责核准、认定本项目相关技术资料文档；监督、参与项目执行的整个过程为乙方提供必要的工作条件，并提供产品及服务所必需的运行环境；按照合同约定支付合同款项。</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2、乙方责任</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项目的交接；按时完成本合同所涉及产品及服务项目的验收工作；协助配合甲方完成</w:t>
      </w:r>
      <w:r>
        <w:rPr>
          <w:rFonts w:hint="eastAsia" w:asciiTheme="minorEastAsia" w:hAnsiTheme="minorEastAsia" w:cstheme="minorEastAsia"/>
          <w:sz w:val="24"/>
          <w:szCs w:val="24"/>
          <w:highlight w:val="none"/>
          <w:lang w:val="en-US" w:eastAsia="zh-CN"/>
        </w:rPr>
        <w:t>该</w:t>
      </w:r>
      <w:r>
        <w:rPr>
          <w:rFonts w:hint="eastAsia" w:asciiTheme="minorEastAsia" w:hAnsiTheme="minorEastAsia" w:eastAsiaTheme="minorEastAsia" w:cstheme="minorEastAsia"/>
          <w:sz w:val="24"/>
          <w:szCs w:val="24"/>
          <w:highlight w:val="none"/>
          <w:lang w:eastAsia="zh-CN"/>
        </w:rPr>
        <w:t>项目</w:t>
      </w:r>
      <w:r>
        <w:rPr>
          <w:rFonts w:hint="eastAsia" w:asciiTheme="minorEastAsia" w:hAnsiTheme="minorEastAsia" w:eastAsiaTheme="minorEastAsia" w:cstheme="minorEastAsia"/>
          <w:sz w:val="24"/>
          <w:szCs w:val="24"/>
          <w:highlight w:val="none"/>
        </w:rPr>
        <w:t>；做好整个项目的售后服务技术支持工作。</w:t>
      </w:r>
    </w:p>
    <w:p>
      <w:pPr>
        <w:keepNext w:val="0"/>
        <w:keepLines w:val="0"/>
        <w:pageBreakBefore w:val="0"/>
        <w:widowControl w:val="0"/>
        <w:tabs>
          <w:tab w:val="left" w:pos="840"/>
        </w:tabs>
        <w:wordWrap/>
        <w:overflowPunct/>
        <w:topLinePunct w:val="0"/>
        <w:autoSpaceDE/>
        <w:bidi w:val="0"/>
        <w:spacing w:line="360" w:lineRule="auto"/>
        <w:ind w:firstLine="422" w:firstLineChars="175"/>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eastAsia="zh-CN"/>
        </w:rPr>
        <w:t>六</w:t>
      </w:r>
      <w:r>
        <w:rPr>
          <w:rFonts w:hint="eastAsia" w:asciiTheme="minorEastAsia" w:hAnsiTheme="minorEastAsia" w:eastAsiaTheme="minorEastAsia" w:cstheme="minorEastAsia"/>
          <w:b/>
          <w:sz w:val="24"/>
          <w:szCs w:val="24"/>
          <w:highlight w:val="none"/>
        </w:rPr>
        <w:t>、质量保证</w:t>
      </w:r>
    </w:p>
    <w:p>
      <w:pPr>
        <w:pStyle w:val="2"/>
        <w:keepNext w:val="0"/>
        <w:keepLines w:val="0"/>
        <w:pageBreakBefore w:val="0"/>
        <w:widowControl w:val="0"/>
        <w:wordWrap/>
        <w:overflowPunct/>
        <w:topLinePunct w:val="0"/>
        <w:autoSpaceDE/>
        <w:bidi w:val="0"/>
        <w:spacing w:before="172"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1、本次项目应符合国家有关规范， 确保达到最佳状态。</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2、成交供应商应根据服务方案规范及质量要求进行服务工作，并在质保期内、外应对由于产品设计、工艺或材料的缺陷而产生的质量问题负责，采购人在服务过程中起到配合、监督及管理的作用。</w:t>
      </w:r>
    </w:p>
    <w:p>
      <w:pPr>
        <w:pStyle w:val="2"/>
        <w:keepNext w:val="0"/>
        <w:keepLines w:val="0"/>
        <w:pageBreakBefore w:val="0"/>
        <w:widowControl w:val="0"/>
        <w:tabs>
          <w:tab w:val="left" w:pos="7560"/>
        </w:tabs>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3、在质保期内，如果发现服务范围、内容和服务质量等存在与合同中任何一项不符，采购人应在最短时间内，以书面形式向成交供应商提出索赔，同时通告采购代理机构。</w:t>
      </w:r>
    </w:p>
    <w:p>
      <w:pPr>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sz w:val="24"/>
          <w:szCs w:val="24"/>
          <w:highlight w:val="none"/>
          <w:lang w:bidi="zh-CN"/>
        </w:rPr>
      </w:pPr>
      <w:r>
        <w:rPr>
          <w:rFonts w:hint="eastAsia" w:asciiTheme="minorEastAsia" w:hAnsiTheme="minorEastAsia" w:cstheme="minorEastAsia"/>
          <w:b/>
          <w:sz w:val="24"/>
          <w:szCs w:val="24"/>
          <w:highlight w:val="none"/>
          <w:lang w:bidi="zh-CN"/>
        </w:rPr>
        <w:t>七</w:t>
      </w:r>
      <w:r>
        <w:rPr>
          <w:rFonts w:hint="eastAsia" w:asciiTheme="minorEastAsia" w:hAnsiTheme="minorEastAsia" w:eastAsiaTheme="minorEastAsia" w:cstheme="minorEastAsia"/>
          <w:b/>
          <w:sz w:val="24"/>
          <w:szCs w:val="24"/>
          <w:highlight w:val="none"/>
          <w:lang w:bidi="zh-CN"/>
        </w:rPr>
        <w:t>、售后服务</w:t>
      </w:r>
    </w:p>
    <w:p>
      <w:pPr>
        <w:keepNext w:val="0"/>
        <w:keepLines w:val="0"/>
        <w:pageBreakBefore w:val="0"/>
        <w:widowControl w:val="0"/>
        <w:wordWrap/>
        <w:overflowPunct/>
        <w:topLinePunct w:val="0"/>
        <w:autoSpaceDE/>
        <w:bidi w:val="0"/>
        <w:adjustRightInd w:val="0"/>
        <w:snapToGrid w:val="0"/>
        <w:spacing w:line="360" w:lineRule="auto"/>
        <w:ind w:firstLine="420" w:firstLineChars="175"/>
        <w:rPr>
          <w:rFonts w:hint="eastAsia" w:asciiTheme="minorEastAsia" w:hAnsiTheme="minorEastAsia" w:eastAsiaTheme="minorEastAsia" w:cstheme="minorEastAsia"/>
          <w:kern w:val="0"/>
          <w:sz w:val="24"/>
          <w:szCs w:val="24"/>
          <w:highlight w:val="none"/>
          <w:lang w:val="zh-CN" w:bidi="zh-CN"/>
        </w:rPr>
      </w:pPr>
      <w:r>
        <w:rPr>
          <w:rFonts w:hint="eastAsia" w:asciiTheme="minorEastAsia" w:hAnsiTheme="minorEastAsia" w:eastAsiaTheme="minorEastAsia" w:cstheme="minorEastAsia"/>
          <w:sz w:val="24"/>
          <w:szCs w:val="24"/>
          <w:highlight w:val="none"/>
          <w:lang w:val="zh-CN" w:bidi="zh-CN"/>
        </w:rPr>
        <w:t>以</w:t>
      </w:r>
      <w:r>
        <w:rPr>
          <w:rFonts w:hint="eastAsia" w:asciiTheme="minorEastAsia" w:hAnsiTheme="minorEastAsia" w:cstheme="minorEastAsia"/>
          <w:sz w:val="24"/>
          <w:szCs w:val="24"/>
          <w:highlight w:val="none"/>
          <w:lang w:val="en-US" w:bidi="zh-CN"/>
        </w:rPr>
        <w:t>谈判文件</w:t>
      </w:r>
      <w:r>
        <w:rPr>
          <w:rFonts w:hint="eastAsia" w:asciiTheme="minorEastAsia" w:hAnsiTheme="minorEastAsia" w:eastAsiaTheme="minorEastAsia" w:cstheme="minorEastAsia"/>
          <w:sz w:val="24"/>
          <w:szCs w:val="24"/>
          <w:highlight w:val="none"/>
          <w:lang w:val="zh-CN" w:bidi="zh-CN"/>
        </w:rPr>
        <w:t>、</w:t>
      </w:r>
      <w:r>
        <w:rPr>
          <w:rFonts w:hint="eastAsia" w:asciiTheme="minorEastAsia" w:hAnsiTheme="minorEastAsia" w:cstheme="minorEastAsia"/>
          <w:sz w:val="24"/>
          <w:szCs w:val="24"/>
          <w:highlight w:val="none"/>
          <w:lang w:val="en-US" w:bidi="zh-CN"/>
        </w:rPr>
        <w:t>响应</w:t>
      </w:r>
      <w:r>
        <w:rPr>
          <w:rFonts w:hint="eastAsia" w:asciiTheme="minorEastAsia" w:hAnsiTheme="minorEastAsia" w:eastAsiaTheme="minorEastAsia" w:cstheme="minorEastAsia"/>
          <w:sz w:val="24"/>
          <w:szCs w:val="24"/>
          <w:highlight w:val="none"/>
          <w:lang w:val="zh-CN" w:bidi="zh-CN"/>
        </w:rPr>
        <w:t>文件、</w:t>
      </w:r>
      <w:r>
        <w:rPr>
          <w:rFonts w:hint="eastAsia" w:asciiTheme="minorEastAsia" w:hAnsiTheme="minorEastAsia" w:cstheme="minorEastAsia"/>
          <w:sz w:val="24"/>
          <w:szCs w:val="24"/>
          <w:highlight w:val="none"/>
          <w:lang w:val="en-US" w:bidi="zh-CN"/>
        </w:rPr>
        <w:t>成交</w:t>
      </w:r>
      <w:r>
        <w:rPr>
          <w:rFonts w:hint="eastAsia" w:asciiTheme="minorEastAsia" w:hAnsiTheme="minorEastAsia" w:eastAsiaTheme="minorEastAsia" w:cstheme="minorEastAsia"/>
          <w:sz w:val="24"/>
          <w:szCs w:val="24"/>
          <w:highlight w:val="none"/>
          <w:lang w:val="zh-CN" w:bidi="zh-CN"/>
        </w:rPr>
        <w:t>单位澄清表（函）为准。</w:t>
      </w:r>
    </w:p>
    <w:p>
      <w:pPr>
        <w:pStyle w:val="2"/>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cstheme="minorEastAsia"/>
          <w:b/>
          <w:bCs/>
          <w:color w:val="000000"/>
          <w:sz w:val="24"/>
          <w:szCs w:val="24"/>
          <w:highlight w:val="none"/>
          <w:lang w:bidi="zh-CN"/>
        </w:rPr>
        <w:t>八</w:t>
      </w:r>
      <w:r>
        <w:rPr>
          <w:rFonts w:hint="eastAsia" w:asciiTheme="minorEastAsia" w:hAnsiTheme="minorEastAsia" w:eastAsiaTheme="minorEastAsia" w:cstheme="minorEastAsia"/>
          <w:b/>
          <w:bCs/>
          <w:color w:val="000000"/>
          <w:sz w:val="24"/>
          <w:szCs w:val="24"/>
          <w:highlight w:val="none"/>
          <w:lang w:val="zh-CN" w:bidi="zh-CN"/>
        </w:rPr>
        <w:t>、违约责任</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bidi="zh-CN"/>
        </w:rPr>
      </w:pPr>
      <w:r>
        <w:rPr>
          <w:rFonts w:hint="eastAsia" w:asciiTheme="minorEastAsia" w:hAnsiTheme="minorEastAsia" w:eastAsiaTheme="minorEastAsia" w:cstheme="minorEastAsia"/>
          <w:color w:val="000000"/>
          <w:sz w:val="24"/>
          <w:szCs w:val="24"/>
          <w:highlight w:val="none"/>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2"/>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cstheme="minorEastAsia"/>
          <w:b/>
          <w:bCs/>
          <w:color w:val="000000"/>
          <w:sz w:val="24"/>
          <w:szCs w:val="24"/>
          <w:highlight w:val="none"/>
          <w:lang w:bidi="zh-CN"/>
        </w:rPr>
        <w:t>九</w:t>
      </w:r>
      <w:r>
        <w:rPr>
          <w:rFonts w:hint="eastAsia" w:asciiTheme="minorEastAsia" w:hAnsiTheme="minorEastAsia" w:eastAsiaTheme="minorEastAsia" w:cstheme="minorEastAsia"/>
          <w:b/>
          <w:bCs/>
          <w:color w:val="000000"/>
          <w:sz w:val="24"/>
          <w:szCs w:val="24"/>
          <w:highlight w:val="none"/>
          <w:lang w:val="zh-CN" w:bidi="zh-CN"/>
        </w:rPr>
        <w:t>、验收</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验收：验收须以合同、</w:t>
      </w:r>
      <w:r>
        <w:rPr>
          <w:rFonts w:hint="eastAsia" w:asciiTheme="minorEastAsia" w:hAnsiTheme="minorEastAsia" w:cstheme="minorEastAsia"/>
          <w:color w:val="000000"/>
          <w:sz w:val="24"/>
          <w:szCs w:val="24"/>
          <w:highlight w:val="none"/>
          <w:lang w:val="zh-CN" w:bidi="zh-CN"/>
        </w:rPr>
        <w:t>竞争性谈判文件</w:t>
      </w:r>
      <w:r>
        <w:rPr>
          <w:rFonts w:hint="eastAsia" w:asciiTheme="minorEastAsia" w:hAnsiTheme="minorEastAsia" w:eastAsiaTheme="minorEastAsia" w:cstheme="minorEastAsia"/>
          <w:color w:val="000000"/>
          <w:sz w:val="24"/>
          <w:szCs w:val="24"/>
          <w:highlight w:val="none"/>
          <w:lang w:val="zh-CN" w:bidi="zh-CN"/>
        </w:rPr>
        <w:t>、</w:t>
      </w:r>
      <w:r>
        <w:rPr>
          <w:rFonts w:hint="eastAsia" w:asciiTheme="minorEastAsia" w:hAnsiTheme="minorEastAsia" w:cstheme="minorEastAsia"/>
          <w:color w:val="000000"/>
          <w:sz w:val="24"/>
          <w:szCs w:val="24"/>
          <w:highlight w:val="none"/>
          <w:lang w:val="zh-CN" w:bidi="zh-CN"/>
        </w:rPr>
        <w:t>响应文件</w:t>
      </w:r>
      <w:r>
        <w:rPr>
          <w:rFonts w:hint="eastAsia" w:asciiTheme="minorEastAsia" w:hAnsiTheme="minorEastAsia" w:eastAsiaTheme="minorEastAsia" w:cstheme="minorEastAsia"/>
          <w:color w:val="000000"/>
          <w:sz w:val="24"/>
          <w:szCs w:val="24"/>
          <w:highlight w:val="none"/>
          <w:lang w:val="zh-CN" w:bidi="zh-CN"/>
        </w:rPr>
        <w:t>、澄清、及国家相应的标准、规范等为依据进行验收。</w:t>
      </w:r>
    </w:p>
    <w:p>
      <w:pPr>
        <w:pStyle w:val="2"/>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eastAsiaTheme="minorEastAsia" w:cstheme="minorEastAsia"/>
          <w:b/>
          <w:bCs/>
          <w:color w:val="000000"/>
          <w:sz w:val="24"/>
          <w:szCs w:val="24"/>
          <w:highlight w:val="none"/>
          <w:lang w:val="zh-CN" w:bidi="zh-CN"/>
        </w:rPr>
        <w:t>十、合同争议解决的方式</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合同执行中发生争议的，当事人双方应协商解决，协商达不成一致时，可向人民法院提请诉讼。</w:t>
      </w:r>
    </w:p>
    <w:p>
      <w:pPr>
        <w:pStyle w:val="2"/>
        <w:keepNext w:val="0"/>
        <w:keepLines w:val="0"/>
        <w:pageBreakBefore w:val="0"/>
        <w:widowControl w:val="0"/>
        <w:wordWrap/>
        <w:overflowPunct/>
        <w:topLinePunct w:val="0"/>
        <w:autoSpaceDE/>
        <w:bidi w:val="0"/>
        <w:spacing w:before="1" w:line="360" w:lineRule="auto"/>
        <w:ind w:firstLine="482" w:firstLineChars="200"/>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eastAsiaTheme="minorEastAsia" w:cstheme="minorEastAsia"/>
          <w:b/>
          <w:bCs/>
          <w:color w:val="000000"/>
          <w:sz w:val="24"/>
          <w:szCs w:val="24"/>
          <w:highlight w:val="none"/>
          <w:lang w:val="zh-CN" w:bidi="zh-CN"/>
        </w:rPr>
        <w:t>十</w:t>
      </w:r>
      <w:r>
        <w:rPr>
          <w:rFonts w:hint="eastAsia" w:asciiTheme="minorEastAsia" w:hAnsiTheme="minorEastAsia" w:cstheme="minorEastAsia"/>
          <w:b/>
          <w:bCs/>
          <w:color w:val="000000"/>
          <w:sz w:val="24"/>
          <w:szCs w:val="24"/>
          <w:highlight w:val="none"/>
          <w:lang w:bidi="zh-CN"/>
        </w:rPr>
        <w:t>一</w:t>
      </w:r>
      <w:r>
        <w:rPr>
          <w:rFonts w:hint="eastAsia" w:asciiTheme="minorEastAsia" w:hAnsiTheme="minorEastAsia" w:eastAsiaTheme="minorEastAsia" w:cstheme="minorEastAsia"/>
          <w:b/>
          <w:bCs/>
          <w:color w:val="000000"/>
          <w:sz w:val="24"/>
          <w:szCs w:val="24"/>
          <w:highlight w:val="none"/>
          <w:lang w:val="zh-CN" w:bidi="zh-CN"/>
        </w:rPr>
        <w:t>、其他事项</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bookmarkStart w:id="67" w:name="第四章__竞争性磋商内容及服务要求"/>
      <w:bookmarkEnd w:id="67"/>
      <w:bookmarkStart w:id="68" w:name="_bookmark3"/>
      <w:bookmarkEnd w:id="68"/>
      <w:r>
        <w:rPr>
          <w:rFonts w:hint="eastAsia" w:asciiTheme="minorEastAsia" w:hAnsiTheme="minorEastAsia" w:eastAsiaTheme="minorEastAsia" w:cstheme="minorEastAsia"/>
          <w:color w:val="000000"/>
          <w:sz w:val="24"/>
          <w:szCs w:val="24"/>
          <w:highlight w:val="none"/>
          <w:lang w:bidi="zh-CN"/>
        </w:rPr>
        <w:t>1、</w:t>
      </w:r>
      <w:r>
        <w:rPr>
          <w:rFonts w:hint="eastAsia" w:asciiTheme="minorEastAsia" w:hAnsiTheme="minorEastAsia" w:eastAsiaTheme="minorEastAsia" w:cstheme="minorEastAsia"/>
          <w:color w:val="000000"/>
          <w:sz w:val="24"/>
          <w:szCs w:val="24"/>
          <w:highlight w:val="none"/>
          <w:lang w:val="zh-CN" w:bidi="zh-CN"/>
        </w:rPr>
        <w:t>本合同乙方在任何情况下都不得全部或部分转让其应履行的合同义务，乙方不得将本合同分包给他人。</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2、</w:t>
      </w:r>
      <w:r>
        <w:rPr>
          <w:rFonts w:hint="eastAsia" w:asciiTheme="minorEastAsia" w:hAnsiTheme="minorEastAsia" w:eastAsiaTheme="minorEastAsia" w:cstheme="minorEastAsia"/>
          <w:color w:val="000000"/>
          <w:sz w:val="24"/>
          <w:szCs w:val="24"/>
          <w:highlight w:val="none"/>
          <w:lang w:val="zh-CN" w:bidi="zh-CN"/>
        </w:rPr>
        <w:t>在执行本合同的过程中，所有经双方签署确认的文件（包括会议纪要、补充合同、合同修改书、往来信函等）均为本合同的有效组成部分，其生效日期为双方签字盖章或确认之日期。</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3、</w:t>
      </w:r>
      <w:r>
        <w:rPr>
          <w:rFonts w:hint="eastAsia" w:asciiTheme="minorEastAsia" w:hAnsiTheme="minorEastAsia" w:eastAsiaTheme="minorEastAsia" w:cstheme="minorEastAsia"/>
          <w:color w:val="000000"/>
          <w:sz w:val="24"/>
          <w:szCs w:val="24"/>
          <w:highlight w:val="none"/>
          <w:lang w:val="zh-CN" w:bidi="zh-CN"/>
        </w:rPr>
        <w:t>合同一式</w:t>
      </w:r>
      <w:r>
        <w:rPr>
          <w:rFonts w:hint="eastAsia" w:asciiTheme="minorEastAsia" w:hAnsiTheme="minorEastAsia" w:eastAsiaTheme="minorEastAsia" w:cstheme="minorEastAsia"/>
          <w:color w:val="000000"/>
          <w:sz w:val="24"/>
          <w:szCs w:val="24"/>
          <w:highlight w:val="none"/>
          <w:lang w:bidi="zh-CN"/>
        </w:rPr>
        <w:t>捌</w:t>
      </w:r>
      <w:r>
        <w:rPr>
          <w:rFonts w:hint="eastAsia" w:asciiTheme="minorEastAsia" w:hAnsiTheme="minorEastAsia" w:eastAsiaTheme="minorEastAsia" w:cstheme="minorEastAsia"/>
          <w:color w:val="000000"/>
          <w:sz w:val="24"/>
          <w:szCs w:val="24"/>
          <w:highlight w:val="none"/>
          <w:lang w:val="zh-CN" w:bidi="zh-CN"/>
        </w:rPr>
        <w:t>份，采购人肆份，中标供应商贰份、招标代理机构壹份；政府采购监管机构备案一份</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4、</w:t>
      </w:r>
      <w:r>
        <w:rPr>
          <w:rFonts w:hint="eastAsia" w:asciiTheme="minorEastAsia" w:hAnsiTheme="minorEastAsia" w:eastAsiaTheme="minorEastAsia" w:cstheme="minorEastAsia"/>
          <w:color w:val="000000"/>
          <w:sz w:val="24"/>
          <w:szCs w:val="24"/>
          <w:highlight w:val="none"/>
          <w:lang w:val="zh-CN" w:bidi="zh-CN"/>
        </w:rPr>
        <w:t>合同经双方授权代表签字、盖章后生效，生效日以签字日期为准。</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5、</w:t>
      </w:r>
      <w:r>
        <w:rPr>
          <w:rFonts w:hint="eastAsia" w:asciiTheme="minorEastAsia" w:hAnsiTheme="minorEastAsia" w:eastAsiaTheme="minorEastAsia" w:cstheme="minorEastAsia"/>
          <w:color w:val="000000"/>
          <w:sz w:val="24"/>
          <w:szCs w:val="24"/>
          <w:highlight w:val="none"/>
          <w:lang w:val="zh-CN" w:bidi="zh-CN"/>
        </w:rPr>
        <w:t>本合同页眉页脚标有页码，加盖骑缝章，缺页之合同为无效合同。</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6、</w:t>
      </w:r>
      <w:r>
        <w:rPr>
          <w:rFonts w:hint="eastAsia" w:asciiTheme="minorEastAsia" w:hAnsiTheme="minorEastAsia" w:eastAsiaTheme="minorEastAsia" w:cstheme="minorEastAsia"/>
          <w:color w:val="000000"/>
          <w:sz w:val="24"/>
          <w:szCs w:val="24"/>
          <w:highlight w:val="none"/>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7、</w:t>
      </w:r>
      <w:r>
        <w:rPr>
          <w:rFonts w:hint="eastAsia" w:asciiTheme="minorEastAsia" w:hAnsiTheme="minorEastAsia" w:eastAsiaTheme="minorEastAsia" w:cstheme="minorEastAsia"/>
          <w:color w:val="000000"/>
          <w:sz w:val="24"/>
          <w:szCs w:val="24"/>
          <w:highlight w:val="none"/>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8、</w:t>
      </w:r>
      <w:r>
        <w:rPr>
          <w:rFonts w:hint="eastAsia" w:asciiTheme="minorEastAsia" w:hAnsiTheme="minorEastAsia" w:eastAsiaTheme="minorEastAsia" w:cstheme="minorEastAsia"/>
          <w:color w:val="000000"/>
          <w:sz w:val="24"/>
          <w:szCs w:val="24"/>
          <w:highlight w:val="none"/>
          <w:lang w:val="zh-CN" w:bidi="zh-CN"/>
        </w:rPr>
        <w:t>未详尽之处双方协商解决。</w:t>
      </w:r>
    </w:p>
    <w:tbl>
      <w:tblPr>
        <w:tblStyle w:val="22"/>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甲  方</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eastAsia="zh-CN"/>
              </w:rPr>
              <w:t>西安市第六中学分校</w:t>
            </w:r>
            <w:r>
              <w:rPr>
                <w:rFonts w:hint="eastAsia" w:asciiTheme="minorEastAsia" w:hAnsiTheme="minorEastAsia" w:eastAsiaTheme="minorEastAsia" w:cstheme="minorEastAsia"/>
                <w:color w:val="000000"/>
                <w:sz w:val="24"/>
                <w:szCs w:val="24"/>
                <w:highlight w:val="none"/>
              </w:rPr>
              <w:t>（盖章）</w:t>
            </w:r>
          </w:p>
        </w:tc>
        <w:tc>
          <w:tcPr>
            <w:tcW w:w="5129" w:type="dxa"/>
            <w:vAlign w:val="center"/>
          </w:tcPr>
          <w:p>
            <w:pPr>
              <w:keepNext w:val="0"/>
              <w:keepLines w:val="0"/>
              <w:pageBreakBefore w:val="0"/>
              <w:widowControl w:val="0"/>
              <w:wordWrap/>
              <w:overflowPunct/>
              <w:topLinePunct w:val="0"/>
              <w:autoSpaceDE/>
              <w:bidi w:val="0"/>
              <w:spacing w:line="360" w:lineRule="auto"/>
              <w:jc w:val="right"/>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napToGrid w:val="0"/>
                <w:sz w:val="24"/>
                <w:szCs w:val="24"/>
                <w:highlight w:val="none"/>
              </w:rPr>
              <w:t xml:space="preserve">   </w:t>
            </w:r>
            <w:r>
              <w:rPr>
                <w:rFonts w:hint="eastAsia" w:asciiTheme="minorEastAsia" w:hAnsiTheme="minorEastAsia" w:eastAsiaTheme="minorEastAsia" w:cstheme="minorEastAsia"/>
                <w:color w:val="000000"/>
                <w:sz w:val="24"/>
                <w:szCs w:val="24"/>
                <w:highlight w:val="none"/>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邮编：</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被授权代表：（签字）</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账户名称：</w:t>
            </w:r>
          </w:p>
        </w:tc>
        <w:tc>
          <w:tcPr>
            <w:tcW w:w="5129"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账号:  </w:t>
            </w:r>
          </w:p>
        </w:tc>
        <w:tc>
          <w:tcPr>
            <w:tcW w:w="5129"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bookmarkStart w:id="69" w:name="_Toc30893"/>
            <w:r>
              <w:rPr>
                <w:rFonts w:hint="eastAsia" w:asciiTheme="minorEastAsia" w:hAnsiTheme="minorEastAsia" w:eastAsiaTheme="minorEastAsia" w:cstheme="minorEastAsia"/>
                <w:b/>
                <w:sz w:val="24"/>
                <w:szCs w:val="24"/>
                <w:highlight w:val="none"/>
              </w:rPr>
              <w:t>陕西卓佲项目管理有限公司</w:t>
            </w:r>
            <w:r>
              <w:rPr>
                <w:rFonts w:hint="eastAsia" w:asciiTheme="minorEastAsia" w:hAnsiTheme="minorEastAsia" w:eastAsiaTheme="minorEastAsia" w:cstheme="minorEastAsia"/>
                <w:sz w:val="24"/>
                <w:szCs w:val="24"/>
                <w:highlight w:val="none"/>
              </w:rPr>
              <w:t>（盖章）</w:t>
            </w:r>
            <w:bookmarkEnd w:id="69"/>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bidi="zh-CN"/>
              </w:rPr>
            </w:pPr>
            <w:r>
              <w:rPr>
                <w:rFonts w:hint="eastAsia" w:asciiTheme="minorEastAsia" w:hAnsiTheme="minorEastAsia" w:eastAsiaTheme="minorEastAsia" w:cstheme="minorEastAsia"/>
                <w:sz w:val="24"/>
                <w:szCs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bidi="zh-CN"/>
              </w:rPr>
            </w:pPr>
            <w:r>
              <w:rPr>
                <w:rFonts w:hint="eastAsia" w:asciiTheme="minorEastAsia" w:hAnsiTheme="minorEastAsia" w:eastAsiaTheme="minorEastAsia" w:cstheme="minorEastAsia"/>
                <w:sz w:val="24"/>
                <w:szCs w:val="24"/>
                <w:highlight w:val="none"/>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传真：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719" w:type="dxa"/>
            <w:gridSpan w:val="2"/>
            <w:tcBorders>
              <w:top w:val="single" w:color="auto" w:sz="4" w:space="0"/>
            </w:tcBorders>
            <w:vAlign w:val="center"/>
          </w:tcPr>
          <w:p>
            <w:pPr>
              <w:keepNext w:val="0"/>
              <w:keepLines w:val="0"/>
              <w:pageBreakBefore w:val="0"/>
              <w:widowControl w:val="0"/>
              <w:wordWrap/>
              <w:overflowPunct/>
              <w:topLinePunct w:val="0"/>
              <w:autoSpaceDE/>
              <w:bidi w:val="0"/>
              <w:spacing w:line="360" w:lineRule="auto"/>
              <w:ind w:firstLine="5760" w:firstLineChars="2400"/>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日期：     年   月   日</w:t>
            </w:r>
          </w:p>
        </w:tc>
      </w:tr>
    </w:tbl>
    <w:p/>
    <w:p>
      <w:pPr>
        <w:rPr>
          <w:rFonts w:ascii="宋体" w:hAnsi="宋体" w:cs="宋体"/>
        </w:rPr>
      </w:pPr>
    </w:p>
    <w:p/>
    <w:p>
      <w:pPr>
        <w:pStyle w:val="3"/>
        <w:keepNext w:val="0"/>
        <w:pageBreakBefore/>
        <w:rPr>
          <w:rFonts w:ascii="宋体" w:hAnsi="宋体" w:cs="宋体"/>
        </w:rPr>
      </w:pPr>
      <w:bookmarkStart w:id="70" w:name="_Toc11321"/>
      <w:r>
        <w:rPr>
          <w:rFonts w:hint="eastAsia" w:ascii="宋体" w:hAnsi="宋体" w:cs="宋体"/>
        </w:rPr>
        <w:t>第七部分  响应文件格式</w:t>
      </w:r>
      <w:bookmarkEnd w:id="64"/>
      <w:bookmarkEnd w:id="70"/>
    </w:p>
    <w:p>
      <w:pPr>
        <w:adjustRightInd w:val="0"/>
        <w:snapToGrid w:val="0"/>
        <w:spacing w:line="400" w:lineRule="exact"/>
        <w:jc w:val="left"/>
        <w:rPr>
          <w:rFonts w:ascii="宋体" w:hAnsi="宋体" w:eastAsia="宋体" w:cs="宋体"/>
          <w:b/>
          <w:w w:val="120"/>
          <w:sz w:val="28"/>
          <w:szCs w:val="28"/>
        </w:rPr>
      </w:pPr>
      <w:r>
        <w:rPr>
          <w:rFonts w:hint="eastAsia" w:ascii="宋体" w:hAnsi="宋体" w:eastAsia="宋体" w:cs="宋体"/>
          <w:b/>
          <w:w w:val="120"/>
          <w:sz w:val="28"/>
          <w:szCs w:val="28"/>
        </w:rPr>
        <w:t>项目编号：</w:t>
      </w:r>
      <w:r>
        <w:rPr>
          <w:rFonts w:hint="eastAsia" w:ascii="宋体" w:hAnsi="宋体" w:eastAsia="宋体" w:cs="宋体"/>
          <w:b/>
          <w:w w:val="120"/>
          <w:sz w:val="28"/>
          <w:szCs w:val="28"/>
          <w:lang w:eastAsia="zh-CN"/>
        </w:rPr>
        <w:t>ZMZB2022BLLZ-137</w:t>
      </w:r>
      <w:r>
        <w:rPr>
          <w:rFonts w:hint="eastAsia" w:ascii="宋体" w:hAnsi="宋体" w:eastAsia="宋体" w:cs="宋体"/>
          <w:b/>
          <w:w w:val="120"/>
          <w:sz w:val="28"/>
          <w:szCs w:val="28"/>
        </w:rPr>
        <w:t xml:space="preserve">    </w:t>
      </w:r>
      <w:r>
        <w:rPr>
          <w:rFonts w:hint="eastAsia" w:ascii="宋体" w:hAnsi="宋体" w:eastAsia="宋体" w:cs="宋体"/>
          <w:b/>
          <w:w w:val="120"/>
          <w:sz w:val="28"/>
          <w:szCs w:val="28"/>
          <w:lang w:val="en-US" w:eastAsia="zh-CN"/>
        </w:rPr>
        <w:t xml:space="preserve">          </w:t>
      </w:r>
      <w:r>
        <w:rPr>
          <w:rFonts w:hint="eastAsia" w:ascii="宋体" w:hAnsi="宋体" w:eastAsia="宋体" w:cs="宋体"/>
          <w:b/>
          <w:w w:val="120"/>
          <w:sz w:val="28"/>
          <w:szCs w:val="28"/>
        </w:rPr>
        <w:t>（正本或副本）</w:t>
      </w:r>
    </w:p>
    <w:p>
      <w:pPr>
        <w:adjustRightInd w:val="0"/>
        <w:snapToGrid w:val="0"/>
        <w:spacing w:line="360" w:lineRule="auto"/>
        <w:jc w:val="left"/>
        <w:rPr>
          <w:rFonts w:ascii="宋体" w:hAnsi="宋体" w:eastAsia="宋体" w:cs="宋体"/>
          <w:bCs/>
          <w:spacing w:val="-34"/>
          <w:w w:val="120"/>
          <w:sz w:val="34"/>
        </w:rPr>
      </w:pPr>
    </w:p>
    <w:p>
      <w:pPr>
        <w:adjustRightInd w:val="0"/>
        <w:snapToGrid w:val="0"/>
        <w:spacing w:line="360" w:lineRule="auto"/>
        <w:ind w:firstLine="883" w:firstLineChars="200"/>
        <w:jc w:val="center"/>
        <w:rPr>
          <w:rFonts w:hint="eastAsia" w:ascii="宋体" w:hAnsi="宋体" w:eastAsia="宋体" w:cs="宋体"/>
          <w:b/>
          <w:sz w:val="44"/>
          <w:szCs w:val="44"/>
          <w:lang w:eastAsia="zh-CN"/>
        </w:rPr>
      </w:pPr>
    </w:p>
    <w:p>
      <w:pPr>
        <w:adjustRightInd w:val="0"/>
        <w:snapToGrid w:val="0"/>
        <w:spacing w:line="360" w:lineRule="auto"/>
        <w:jc w:val="center"/>
        <w:rPr>
          <w:rFonts w:hint="eastAsia" w:ascii="宋体" w:hAnsi="宋体" w:cs="宋体" w:eastAsiaTheme="minorEastAsia"/>
          <w:b/>
          <w:color w:val="000000"/>
          <w:sz w:val="48"/>
          <w:szCs w:val="48"/>
          <w:lang w:eastAsia="zh-CN"/>
        </w:rPr>
      </w:pPr>
      <w:r>
        <w:rPr>
          <w:rFonts w:hint="eastAsia" w:ascii="宋体" w:hAnsi="宋体" w:cs="宋体"/>
          <w:b/>
          <w:color w:val="000000"/>
          <w:sz w:val="48"/>
          <w:szCs w:val="48"/>
          <w:lang w:eastAsia="zh-CN"/>
        </w:rPr>
        <w:t>西安市第六中学分校</w:t>
      </w:r>
    </w:p>
    <w:p>
      <w:pPr>
        <w:adjustRightInd w:val="0"/>
        <w:snapToGrid w:val="0"/>
        <w:spacing w:line="360" w:lineRule="auto"/>
        <w:jc w:val="center"/>
        <w:rPr>
          <w:rFonts w:hint="eastAsia" w:ascii="宋体" w:hAnsi="宋体" w:cs="宋体"/>
          <w:b/>
          <w:color w:val="000000"/>
          <w:sz w:val="48"/>
          <w:szCs w:val="48"/>
        </w:rPr>
      </w:pPr>
      <w:r>
        <w:rPr>
          <w:rFonts w:hint="eastAsia" w:ascii="宋体" w:hAnsi="宋体" w:cs="宋体"/>
          <w:b/>
          <w:color w:val="000000"/>
          <w:sz w:val="48"/>
          <w:szCs w:val="48"/>
        </w:rPr>
        <w:t>图书馆智慧系统及监控系统采购项目</w:t>
      </w:r>
    </w:p>
    <w:p>
      <w:pPr>
        <w:adjustRightInd w:val="0"/>
        <w:snapToGrid w:val="0"/>
        <w:spacing w:line="480" w:lineRule="auto"/>
        <w:jc w:val="center"/>
        <w:rPr>
          <w:rFonts w:hint="eastAsia" w:ascii="宋体" w:hAnsi="宋体" w:eastAsia="宋体" w:cs="宋体"/>
          <w:b/>
          <w:sz w:val="56"/>
          <w:szCs w:val="56"/>
        </w:rPr>
      </w:pPr>
    </w:p>
    <w:p>
      <w:pPr>
        <w:adjustRightInd w:val="0"/>
        <w:snapToGrid w:val="0"/>
        <w:spacing w:line="480" w:lineRule="auto"/>
        <w:jc w:val="center"/>
        <w:rPr>
          <w:rFonts w:ascii="宋体" w:hAnsi="宋体" w:eastAsia="宋体" w:cs="宋体"/>
          <w:b/>
          <w:sz w:val="56"/>
          <w:szCs w:val="56"/>
        </w:rPr>
      </w:pPr>
      <w:r>
        <w:rPr>
          <w:rFonts w:hint="eastAsia" w:ascii="宋体" w:hAnsi="宋体" w:eastAsia="宋体" w:cs="宋体"/>
          <w:b/>
          <w:sz w:val="56"/>
          <w:szCs w:val="56"/>
        </w:rPr>
        <w:t>响应文件</w:t>
      </w: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pageBreakBefore/>
        <w:ind w:firstLine="1004" w:firstLineChars="200"/>
        <w:jc w:val="center"/>
        <w:rPr>
          <w:rFonts w:ascii="宋体" w:hAnsi="宋体" w:eastAsia="宋体" w:cs="宋体"/>
          <w:b/>
          <w:sz w:val="50"/>
        </w:rPr>
      </w:pPr>
      <w:r>
        <w:rPr>
          <w:rFonts w:hint="eastAsia" w:ascii="宋体" w:hAnsi="宋体" w:eastAsia="宋体" w:cs="宋体"/>
          <w:b/>
          <w:sz w:val="50"/>
        </w:rPr>
        <w:t>目录</w:t>
      </w:r>
    </w:p>
    <w:p>
      <w:pPr>
        <w:ind w:firstLine="1004" w:firstLineChars="200"/>
        <w:jc w:val="left"/>
        <w:rPr>
          <w:rFonts w:ascii="宋体" w:hAnsi="宋体" w:eastAsia="宋体" w:cs="宋体"/>
          <w:b/>
          <w:sz w:val="50"/>
        </w:rPr>
      </w:pP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第一部分   响应函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 xml:space="preserve">第二部分   响应一览表 </w:t>
      </w:r>
    </w:p>
    <w:p>
      <w:pPr>
        <w:pStyle w:val="9"/>
        <w:snapToGrid w:val="0"/>
        <w:spacing w:line="480" w:lineRule="auto"/>
        <w:ind w:firstLine="1687" w:firstLineChars="600"/>
        <w:jc w:val="left"/>
        <w:rPr>
          <w:rFonts w:asciiTheme="minorEastAsia" w:hAnsiTheme="minorEastAsia" w:cstheme="minorEastAsia"/>
          <w:b/>
          <w:kern w:val="0"/>
          <w:sz w:val="28"/>
          <w:szCs w:val="28"/>
        </w:rPr>
      </w:pPr>
      <w:r>
        <w:rPr>
          <w:rFonts w:hint="eastAsia" w:asciiTheme="minorEastAsia" w:hAnsiTheme="minorEastAsia" w:cstheme="minorEastAsia"/>
          <w:b/>
          <w:bCs/>
          <w:sz w:val="28"/>
          <w:szCs w:val="28"/>
        </w:rPr>
        <w:t xml:space="preserve">   </w:t>
      </w:r>
      <w:r>
        <w:rPr>
          <w:rFonts w:hint="eastAsia" w:asciiTheme="minorEastAsia" w:hAnsiTheme="minorEastAsia" w:cstheme="minorEastAsia"/>
          <w:b/>
          <w:kern w:val="0"/>
          <w:sz w:val="28"/>
          <w:szCs w:val="28"/>
        </w:rPr>
        <w:t>分项报价表</w:t>
      </w:r>
    </w:p>
    <w:p>
      <w:pPr>
        <w:pStyle w:val="9"/>
        <w:snapToGrid w:val="0"/>
        <w:spacing w:line="480" w:lineRule="auto"/>
        <w:ind w:firstLine="562" w:firstLineChars="200"/>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第三部分   商务及技术响应说明</w:t>
      </w: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第四部分   </w:t>
      </w:r>
      <w:r>
        <w:rPr>
          <w:rFonts w:hint="eastAsia" w:asciiTheme="minorEastAsia" w:hAnsiTheme="minorEastAsia" w:cstheme="minorEastAsia"/>
          <w:b/>
          <w:sz w:val="28"/>
          <w:szCs w:val="28"/>
        </w:rPr>
        <w:t>供应商资格要求</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第五部分   技术与服务方案</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第六部分   服务承诺</w:t>
      </w:r>
    </w:p>
    <w:p>
      <w:pPr>
        <w:snapToGrid w:val="0"/>
        <w:spacing w:line="480" w:lineRule="auto"/>
        <w:ind w:firstLine="562" w:firstLineChars="200"/>
        <w:jc w:val="left"/>
        <w:rPr>
          <w:rFonts w:hint="eastAsia" w:asciiTheme="minorEastAsia" w:hAnsiTheme="minorEastAsia" w:eastAsiaTheme="minorEastAsia" w:cstheme="minorEastAsia"/>
          <w:b/>
          <w:bCs/>
          <w:sz w:val="28"/>
          <w:szCs w:val="28"/>
          <w:lang w:eastAsia="zh-CN"/>
        </w:rPr>
      </w:pPr>
      <w:r>
        <w:rPr>
          <w:rFonts w:hint="eastAsia" w:asciiTheme="minorEastAsia" w:hAnsiTheme="minorEastAsia" w:cstheme="minorEastAsia"/>
          <w:b/>
          <w:bCs/>
          <w:sz w:val="28"/>
          <w:szCs w:val="28"/>
        </w:rPr>
        <w:t xml:space="preserve">第七部分   </w:t>
      </w:r>
      <w:r>
        <w:rPr>
          <w:rFonts w:hint="eastAsia" w:asciiTheme="minorEastAsia" w:hAnsiTheme="minorEastAsia" w:cstheme="minorEastAsia"/>
          <w:b/>
          <w:bCs/>
          <w:sz w:val="28"/>
          <w:szCs w:val="28"/>
          <w:lang w:eastAsia="zh-CN"/>
        </w:rPr>
        <w:t>业绩一览表</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w:t>
      </w:r>
      <w:r>
        <w:rPr>
          <w:rFonts w:hint="eastAsia" w:asciiTheme="minorEastAsia" w:hAnsiTheme="minorEastAsia" w:cstheme="minorEastAsia"/>
          <w:b/>
          <w:bCs/>
          <w:sz w:val="28"/>
          <w:szCs w:val="28"/>
          <w:lang w:eastAsia="zh-CN"/>
        </w:rPr>
        <w:t>八</w:t>
      </w:r>
      <w:r>
        <w:rPr>
          <w:rFonts w:hint="eastAsia" w:asciiTheme="minorEastAsia" w:hAnsiTheme="minorEastAsia" w:cstheme="minorEastAsia"/>
          <w:b/>
          <w:bCs/>
          <w:sz w:val="28"/>
          <w:szCs w:val="28"/>
        </w:rPr>
        <w:t xml:space="preserve">部分 </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cstheme="minorEastAsia"/>
          <w:b/>
          <w:bCs/>
          <w:sz w:val="28"/>
          <w:szCs w:val="28"/>
        </w:rPr>
        <w:t>供应商认为有必要说明的其他问题</w:t>
      </w:r>
    </w:p>
    <w:p>
      <w:pPr>
        <w:snapToGrid w:val="0"/>
        <w:spacing w:line="480" w:lineRule="auto"/>
        <w:ind w:firstLine="562" w:firstLineChars="200"/>
        <w:jc w:val="left"/>
        <w:rPr>
          <w:rFonts w:ascii="宋体" w:hAnsi="宋体" w:eastAsia="宋体" w:cs="宋体"/>
          <w:b/>
          <w:bCs/>
          <w:sz w:val="28"/>
          <w:szCs w:val="28"/>
        </w:rPr>
      </w:pPr>
      <w:r>
        <w:rPr>
          <w:rFonts w:hint="eastAsia" w:asciiTheme="minorEastAsia" w:hAnsiTheme="minorEastAsia" w:cstheme="minorEastAsia"/>
          <w:b/>
          <w:bCs/>
          <w:sz w:val="28"/>
          <w:szCs w:val="28"/>
        </w:rPr>
        <w:t xml:space="preserve">  </w:t>
      </w:r>
    </w:p>
    <w:p>
      <w:pPr>
        <w:pStyle w:val="4"/>
        <w:pageBreakBefore/>
        <w:rPr>
          <w:rFonts w:ascii="宋体" w:hAnsi="宋体" w:cs="宋体"/>
        </w:rPr>
      </w:pPr>
      <w:bookmarkStart w:id="71" w:name="_Toc2536"/>
      <w:bookmarkStart w:id="72" w:name="_Toc20977"/>
      <w:r>
        <w:rPr>
          <w:rFonts w:hint="eastAsia" w:ascii="宋体" w:hAnsi="宋体" w:cs="宋体"/>
        </w:rPr>
        <w:t>第一部分响应函</w:t>
      </w:r>
      <w:bookmarkEnd w:id="71"/>
      <w:bookmarkEnd w:id="72"/>
    </w:p>
    <w:p>
      <w:pPr>
        <w:adjustRightInd w:val="0"/>
        <w:snapToGrid w:val="0"/>
        <w:spacing w:line="276" w:lineRule="auto"/>
        <w:jc w:val="left"/>
        <w:rPr>
          <w:rFonts w:ascii="宋体" w:hAnsi="宋体" w:eastAsia="宋体" w:cs="宋体"/>
          <w:bCs/>
          <w:sz w:val="32"/>
          <w:szCs w:val="32"/>
        </w:rPr>
      </w:pPr>
      <w:r>
        <w:rPr>
          <w:rFonts w:hint="eastAsia" w:ascii="宋体" w:hAnsi="宋体" w:eastAsia="宋体" w:cs="宋体"/>
          <w:b/>
          <w:bCs/>
          <w:sz w:val="28"/>
          <w:szCs w:val="28"/>
        </w:rPr>
        <w:t>陕西卓佲项目管理有限公司</w:t>
      </w:r>
      <w:r>
        <w:rPr>
          <w:rFonts w:hint="eastAsia" w:ascii="宋体" w:hAnsi="宋体" w:eastAsia="宋体" w:cs="宋体"/>
          <w:bCs/>
          <w:sz w:val="32"/>
          <w:szCs w:val="32"/>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我单位收到编号为：</w:t>
      </w:r>
      <w:r>
        <w:rPr>
          <w:rFonts w:hint="eastAsia" w:ascii="宋体" w:hAnsi="宋体" w:eastAsia="宋体" w:cs="宋体"/>
          <w:sz w:val="24"/>
          <w:u w:val="single"/>
          <w:lang w:eastAsia="zh-CN"/>
        </w:rPr>
        <w:t>ZMZB2022BLLZ-137</w:t>
      </w:r>
      <w:r>
        <w:rPr>
          <w:rFonts w:hint="eastAsia" w:ascii="宋体" w:hAnsi="宋体" w:eastAsia="宋体" w:cs="宋体"/>
          <w:sz w:val="24"/>
        </w:rPr>
        <w:t>的竞争性谈判文件，经详细研究，我公司决定参加本次谈判活动。为此，我方郑重承诺以下诸点，并负法律责任。</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1、愿意按照竞争性谈判文件中的全部要求，提供合格的产品及完善的技术服务，履行合同的责任和义务。</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2、我方提交的响应文件正本____份、副本____份，电子文档____份、</w:t>
      </w:r>
      <w:r>
        <w:rPr>
          <w:rFonts w:hint="eastAsia" w:ascii="宋体" w:hAnsi="宋体" w:eastAsia="宋体" w:cs="宋体"/>
          <w:sz w:val="24"/>
          <w:szCs w:val="24"/>
        </w:rPr>
        <w:t>响应一览表_____份</w:t>
      </w:r>
      <w:r>
        <w:rPr>
          <w:rFonts w:hint="eastAsia" w:ascii="宋体" w:hAnsi="宋体" w:eastAsia="宋体" w:cs="宋体"/>
          <w:sz w:val="24"/>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3、我们已详细阅读了竞争性谈判文件，完全理解并同意放弃提出含糊不清和误解问题的权力。</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4、如果我方在谈判后到规定的响应有效期内撤回响应文件及承诺，我们的保证金将被对方没收。</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5、同意向贵方提供贵方可能要求的、与本次谈判有关的任何证据资料。</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6、我方承诺响应有效期为谈判之日起</w:t>
      </w:r>
      <w:r>
        <w:rPr>
          <w:rFonts w:hint="eastAsia" w:ascii="宋体" w:hAnsi="宋体" w:eastAsia="宋体" w:cs="宋体"/>
          <w:sz w:val="24"/>
          <w:u w:val="single"/>
        </w:rPr>
        <w:t xml:space="preserve">         </w:t>
      </w:r>
      <w:r>
        <w:rPr>
          <w:rFonts w:hint="eastAsia" w:ascii="宋体" w:hAnsi="宋体" w:eastAsia="宋体" w:cs="宋体"/>
          <w:sz w:val="24"/>
        </w:rPr>
        <w:t>日历日内有效。</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7、所有关于本次谈判的函电，请按下列地址联系：</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供应商（单位名称及公章）：_________________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法定代表人或被授权人（签字或盖章）：______________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地    址：________________________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开户银行：________________________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帐    号：________________________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电    话：________________________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传    真：________________________</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邮    编：________________________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spacing w:line="460" w:lineRule="exact"/>
        <w:ind w:firstLine="720" w:firstLineChars="200"/>
        <w:jc w:val="left"/>
        <w:rPr>
          <w:rFonts w:ascii="宋体" w:hAnsi="宋体" w:eastAsia="宋体" w:cs="宋体"/>
          <w:sz w:val="36"/>
          <w:szCs w:val="36"/>
          <w:u w:val="single"/>
        </w:rPr>
      </w:pPr>
    </w:p>
    <w:p>
      <w:pPr>
        <w:pStyle w:val="4"/>
        <w:rPr>
          <w:rFonts w:ascii="宋体" w:hAnsi="宋体" w:cs="宋体"/>
        </w:rPr>
        <w:sectPr>
          <w:footerReference r:id="rId10" w:type="default"/>
          <w:pgSz w:w="11906" w:h="16838"/>
          <w:pgMar w:top="1440" w:right="1483" w:bottom="1440" w:left="1803" w:header="851" w:footer="992" w:gutter="0"/>
          <w:pgNumType w:fmt="decimal"/>
          <w:cols w:space="720" w:num="1"/>
          <w:docGrid w:type="lines" w:linePitch="319" w:charSpace="0"/>
        </w:sectPr>
      </w:pPr>
      <w:bookmarkStart w:id="73" w:name="_Toc28494"/>
    </w:p>
    <w:p>
      <w:pPr>
        <w:pStyle w:val="4"/>
        <w:pageBreakBefore/>
        <w:rPr>
          <w:rFonts w:ascii="宋体" w:hAnsi="宋体" w:cs="宋体"/>
        </w:rPr>
      </w:pPr>
      <w:bookmarkStart w:id="74" w:name="_Toc25467"/>
      <w:r>
        <w:rPr>
          <w:rFonts w:hint="eastAsia" w:ascii="宋体" w:hAnsi="宋体" w:cs="宋体"/>
        </w:rPr>
        <w:t>第二部分</w:t>
      </w:r>
      <w:bookmarkEnd w:id="73"/>
      <w:r>
        <w:rPr>
          <w:rFonts w:hint="eastAsia" w:ascii="宋体" w:hAnsi="宋体" w:cs="宋体"/>
        </w:rPr>
        <w:t>响应一览表</w:t>
      </w:r>
      <w:bookmarkEnd w:id="74"/>
    </w:p>
    <w:p>
      <w:pPr>
        <w:widowControl/>
        <w:wordWrap w:val="0"/>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西安市第六中学分校图书馆智慧系统及监控系统采购项目</w:t>
      </w:r>
    </w:p>
    <w:p>
      <w:pPr>
        <w:pStyle w:val="2"/>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项目编号：ZMZB2022BLLZ-137</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tbl>
      <w:tblPr>
        <w:tblStyle w:val="22"/>
        <w:tblpPr w:leftFromText="180" w:rightFromText="180" w:vertAnchor="text" w:horzAnchor="margin" w:tblpXSpec="center" w:tblpY="95"/>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1761"/>
        <w:gridCol w:w="2237"/>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2698" w:type="dxa"/>
            <w:tcBorders>
              <w:tl2br w:val="single" w:color="auto" w:sz="4" w:space="0"/>
            </w:tcBorders>
          </w:tcPr>
          <w:p>
            <w:pPr>
              <w:kinsoku w:val="0"/>
              <w:spacing w:line="480" w:lineRule="auto"/>
              <w:ind w:right="-199" w:rightChars="-95" w:firstLine="1200" w:firstLineChars="500"/>
              <w:rPr>
                <w:rFonts w:ascii="宋体" w:hAnsi="宋体" w:cs="宋体"/>
                <w:sz w:val="24"/>
              </w:rPr>
            </w:pPr>
            <w:r>
              <w:rPr>
                <w:rFonts w:hint="eastAsia" w:ascii="宋体" w:hAnsi="宋体" w:cs="宋体"/>
                <w:sz w:val="24"/>
              </w:rPr>
              <w:t>报价内容</w:t>
            </w:r>
          </w:p>
          <w:p>
            <w:pPr>
              <w:kinsoku w:val="0"/>
              <w:spacing w:line="480" w:lineRule="auto"/>
              <w:ind w:left="10" w:right="-199" w:rightChars="-95" w:firstLine="501" w:firstLineChars="209"/>
              <w:rPr>
                <w:rFonts w:ascii="宋体" w:hAnsi="宋体" w:cs="宋体"/>
                <w:sz w:val="24"/>
              </w:rPr>
            </w:pPr>
          </w:p>
          <w:p>
            <w:pPr>
              <w:kinsoku w:val="0"/>
              <w:spacing w:line="480" w:lineRule="auto"/>
              <w:ind w:right="-199" w:rightChars="-95"/>
              <w:rPr>
                <w:rFonts w:ascii="宋体" w:hAnsi="宋体" w:cs="宋体"/>
                <w:sz w:val="24"/>
              </w:rPr>
            </w:pPr>
            <w:r>
              <w:rPr>
                <w:rFonts w:hint="eastAsia" w:ascii="宋体" w:hAnsi="宋体" w:cs="宋体"/>
                <w:sz w:val="24"/>
              </w:rPr>
              <w:t>响应内容</w:t>
            </w:r>
          </w:p>
        </w:tc>
        <w:tc>
          <w:tcPr>
            <w:tcW w:w="1761" w:type="dxa"/>
            <w:vAlign w:val="center"/>
          </w:tcPr>
          <w:p>
            <w:pPr>
              <w:kinsoku w:val="0"/>
              <w:spacing w:line="480" w:lineRule="auto"/>
              <w:ind w:right="-199" w:rightChars="-95"/>
              <w:jc w:val="center"/>
              <w:rPr>
                <w:rFonts w:ascii="宋体" w:hAnsi="宋体" w:cs="宋体"/>
                <w:sz w:val="24"/>
              </w:rPr>
            </w:pPr>
            <w:r>
              <w:rPr>
                <w:rFonts w:hint="eastAsia" w:ascii="宋体" w:hAnsi="宋体" w:cs="宋体"/>
                <w:sz w:val="24"/>
              </w:rPr>
              <w:t>报价（元）</w:t>
            </w:r>
          </w:p>
        </w:tc>
        <w:tc>
          <w:tcPr>
            <w:tcW w:w="2237" w:type="dxa"/>
            <w:vAlign w:val="center"/>
          </w:tcPr>
          <w:p>
            <w:pPr>
              <w:kinsoku w:val="0"/>
              <w:ind w:right="-199" w:rightChars="-95"/>
              <w:jc w:val="center"/>
            </w:pPr>
            <w:r>
              <w:rPr>
                <w:rFonts w:hint="eastAsia" w:ascii="宋体" w:hAnsi="宋体" w:eastAsia="宋体" w:cs="宋体"/>
                <w:sz w:val="24"/>
                <w:lang w:val="en-US" w:eastAsia="zh-CN"/>
              </w:rPr>
              <w:t>交货期</w:t>
            </w:r>
          </w:p>
        </w:tc>
        <w:tc>
          <w:tcPr>
            <w:tcW w:w="2422" w:type="dxa"/>
            <w:vAlign w:val="center"/>
          </w:tcPr>
          <w:p>
            <w:pPr>
              <w:kinsoku w:val="0"/>
              <w:ind w:right="-199" w:rightChars="-95"/>
              <w:jc w:val="center"/>
              <w:rPr>
                <w:rFonts w:hint="default" w:ascii="宋体" w:hAnsi="宋体" w:eastAsia="宋体" w:cs="宋体"/>
                <w:sz w:val="24"/>
                <w:lang w:val="en-US" w:eastAsia="zh-CN"/>
              </w:rPr>
            </w:pPr>
            <w:r>
              <w:rPr>
                <w:rFonts w:hint="eastAsia" w:ascii="宋体" w:hAnsi="宋体" w:eastAsia="宋体" w:cs="宋体"/>
                <w:sz w:val="24"/>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2698" w:type="dxa"/>
            <w:vAlign w:val="center"/>
          </w:tcPr>
          <w:p>
            <w:pPr>
              <w:kinsoku w:val="0"/>
              <w:ind w:right="59" w:rightChars="28"/>
              <w:jc w:val="center"/>
              <w:rPr>
                <w:rFonts w:hint="eastAsia" w:ascii="宋体" w:hAnsi="宋体" w:eastAsia="宋体" w:cs="宋体"/>
                <w:sz w:val="24"/>
                <w:lang w:eastAsia="zh-CN"/>
              </w:rPr>
            </w:pPr>
            <w:r>
              <w:rPr>
                <w:rFonts w:hint="eastAsia" w:asciiTheme="minorEastAsia" w:hAnsiTheme="minorEastAsia" w:cstheme="minorEastAsia"/>
                <w:color w:val="auto"/>
                <w:kern w:val="2"/>
                <w:sz w:val="24"/>
                <w:szCs w:val="24"/>
                <w:highlight w:val="none"/>
                <w:lang w:eastAsia="zh-CN"/>
              </w:rPr>
              <w:t>西安市第六中学分校图书馆智慧系统及监控系统采购项目</w:t>
            </w:r>
          </w:p>
        </w:tc>
        <w:tc>
          <w:tcPr>
            <w:tcW w:w="1761" w:type="dxa"/>
            <w:vAlign w:val="center"/>
          </w:tcPr>
          <w:p>
            <w:pPr>
              <w:kinsoku w:val="0"/>
              <w:spacing w:line="480" w:lineRule="auto"/>
              <w:ind w:left="10" w:right="-199" w:rightChars="-95" w:firstLine="501" w:firstLineChars="209"/>
              <w:rPr>
                <w:rFonts w:ascii="宋体" w:hAnsi="宋体" w:cs="宋体"/>
                <w:sz w:val="24"/>
              </w:rPr>
            </w:pPr>
          </w:p>
        </w:tc>
        <w:tc>
          <w:tcPr>
            <w:tcW w:w="2237" w:type="dxa"/>
            <w:vAlign w:val="center"/>
          </w:tcPr>
          <w:p>
            <w:pPr>
              <w:kinsoku w:val="0"/>
              <w:spacing w:line="480" w:lineRule="auto"/>
              <w:ind w:left="10" w:right="-199" w:rightChars="-95" w:firstLine="501" w:firstLineChars="209"/>
              <w:jc w:val="center"/>
              <w:rPr>
                <w:rFonts w:ascii="宋体" w:hAnsi="宋体" w:cs="宋体"/>
                <w:sz w:val="24"/>
              </w:rPr>
            </w:pPr>
          </w:p>
        </w:tc>
        <w:tc>
          <w:tcPr>
            <w:tcW w:w="2422" w:type="dxa"/>
            <w:vAlign w:val="center"/>
          </w:tcPr>
          <w:p>
            <w:pPr>
              <w:kinsoku w:val="0"/>
              <w:spacing w:line="480" w:lineRule="auto"/>
              <w:ind w:left="10" w:right="-199" w:rightChars="-95" w:firstLine="501"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9118" w:type="dxa"/>
            <w:gridSpan w:val="4"/>
            <w:vAlign w:val="center"/>
          </w:tcPr>
          <w:p>
            <w:pPr>
              <w:kinsoku w:val="0"/>
              <w:spacing w:line="480" w:lineRule="auto"/>
              <w:ind w:right="-199" w:rightChars="-95"/>
              <w:jc w:val="left"/>
              <w:rPr>
                <w:rFonts w:hint="eastAsia" w:ascii="宋体" w:hAnsi="宋体" w:cs="宋体"/>
                <w:sz w:val="24"/>
              </w:rPr>
            </w:pPr>
            <w:r>
              <w:rPr>
                <w:rFonts w:hint="eastAsia" w:ascii="宋体" w:hAnsi="宋体" w:cs="宋体"/>
                <w:sz w:val="24"/>
              </w:rPr>
              <w:t>报价：（大写）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           </w:t>
            </w:r>
            <w:r>
              <w:rPr>
                <w:rFonts w:hint="eastAsia" w:ascii="宋体" w:hAnsi="宋体" w:cs="宋体"/>
                <w:sz w:val="24"/>
                <w:u w:val="none"/>
              </w:rPr>
              <w:t xml:space="preserve">（小写）¥ </w:t>
            </w:r>
            <w:r>
              <w:rPr>
                <w:rFonts w:hint="eastAsia" w:ascii="宋体" w:hAnsi="宋体" w:cs="宋体"/>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8" w:type="dxa"/>
            <w:gridSpan w:val="4"/>
            <w:vAlign w:val="center"/>
          </w:tcPr>
          <w:p>
            <w:pPr>
              <w:kinsoku w:val="0"/>
              <w:ind w:right="-199" w:rightChars="-95"/>
              <w:rPr>
                <w:rFonts w:hint="eastAsia" w:ascii="宋体" w:hAnsi="宋体" w:cs="宋体"/>
                <w:b/>
                <w:bCs/>
                <w:sz w:val="24"/>
                <w:szCs w:val="24"/>
              </w:rPr>
            </w:pPr>
            <w:r>
              <w:rPr>
                <w:rFonts w:hint="eastAsia" w:ascii="宋体" w:hAnsi="宋体" w:cs="宋体"/>
                <w:b/>
                <w:bCs/>
                <w:sz w:val="24"/>
                <w:szCs w:val="24"/>
              </w:rPr>
              <w:t>备注：报价金额以元为单位，精确到小数点后两位，不进行四舍五入。</w:t>
            </w:r>
          </w:p>
        </w:tc>
      </w:tr>
    </w:tbl>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eastAsia="宋体" w:cs="宋体"/>
          <w:sz w:val="32"/>
          <w:szCs w:val="32"/>
        </w:rPr>
      </w:pPr>
      <w:r>
        <w:rPr>
          <w:rFonts w:hint="eastAsia" w:ascii="宋体" w:hAnsi="宋体" w:cs="宋体"/>
          <w:b/>
          <w:bCs/>
          <w:spacing w:val="20"/>
          <w:kern w:val="0"/>
          <w:sz w:val="24"/>
          <w:szCs w:val="24"/>
        </w:rPr>
        <w:t>注：此表还需再单独密封一份递交。</w:t>
      </w:r>
    </w:p>
    <w:p>
      <w:pPr>
        <w:adjustRightInd w:val="0"/>
        <w:snapToGrid w:val="0"/>
        <w:spacing w:line="480" w:lineRule="auto"/>
        <w:jc w:val="left"/>
        <w:rPr>
          <w:rFonts w:ascii="宋体" w:hAnsi="宋体" w:eastAsia="宋体" w:cs="宋体"/>
          <w:sz w:val="24"/>
        </w:rPr>
      </w:pPr>
    </w:p>
    <w:p>
      <w:pPr>
        <w:adjustRightInd w:val="0"/>
        <w:snapToGrid w:val="0"/>
        <w:spacing w:line="480" w:lineRule="auto"/>
        <w:jc w:val="left"/>
        <w:rPr>
          <w:rFonts w:ascii="宋体" w:hAnsi="宋体" w:eastAsia="宋体" w:cs="宋体"/>
          <w:sz w:val="24"/>
          <w:u w:val="single"/>
        </w:rPr>
      </w:pPr>
      <w:r>
        <w:rPr>
          <w:rFonts w:hint="eastAsia" w:ascii="宋体" w:hAnsi="宋体" w:eastAsia="宋体" w:cs="宋体"/>
          <w:sz w:val="24"/>
        </w:rPr>
        <w:t>供应商（单位名称及公章）：______________________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法定代表人或被授权人（签字或盖章）：______________________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日    期：_____年_____月_____日</w:t>
      </w:r>
    </w:p>
    <w:p>
      <w:pPr>
        <w:rPr>
          <w:rFonts w:ascii="宋体" w:hAnsi="宋体" w:eastAsia="宋体" w:cs="宋体"/>
        </w:rPr>
        <w:sectPr>
          <w:pgSz w:w="11906" w:h="16838"/>
          <w:pgMar w:top="1440" w:right="1803" w:bottom="1440" w:left="1803" w:header="851" w:footer="992" w:gutter="0"/>
          <w:pgNumType w:fmt="decimal"/>
          <w:cols w:space="720" w:num="1"/>
          <w:docGrid w:type="lines" w:linePitch="319" w:charSpace="0"/>
        </w:sectPr>
      </w:pPr>
    </w:p>
    <w:p>
      <w:pPr>
        <w:pStyle w:val="4"/>
        <w:rPr>
          <w:sz w:val="36"/>
          <w:szCs w:val="36"/>
        </w:rPr>
      </w:pPr>
      <w:bookmarkStart w:id="75" w:name="_Toc6064"/>
      <w:bookmarkStart w:id="76" w:name="_Toc14444"/>
      <w:bookmarkStart w:id="77" w:name="_Toc6268"/>
      <w:bookmarkStart w:id="78" w:name="_Toc11309"/>
      <w:r>
        <w:rPr>
          <w:rFonts w:hint="eastAsia"/>
          <w:sz w:val="36"/>
          <w:szCs w:val="36"/>
        </w:rPr>
        <w:t>分项报价表</w:t>
      </w:r>
      <w:bookmarkEnd w:id="75"/>
      <w:bookmarkEnd w:id="76"/>
      <w:bookmarkEnd w:id="77"/>
    </w:p>
    <w:p>
      <w:pPr>
        <w:widowControl/>
        <w:wordWrap w:val="0"/>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西安市第六中学分校图书馆智慧系统及监控系统采购项目</w:t>
      </w:r>
    </w:p>
    <w:p>
      <w:pPr>
        <w:widowControl/>
        <w:wordWrap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项目编号：ZMZB2022BLLZ-137</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p>
      <w:pPr>
        <w:pStyle w:val="8"/>
        <w:ind w:firstLine="0"/>
      </w:pPr>
    </w:p>
    <w:tbl>
      <w:tblPr>
        <w:tblStyle w:val="22"/>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highlight w:val="none"/>
              </w:rPr>
            </w:pPr>
            <w:r>
              <w:rPr>
                <w:rFonts w:hint="eastAsia" w:ascii="宋体" w:cs="宋体"/>
                <w:sz w:val="22"/>
                <w:highlight w:val="none"/>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highlight w:val="none"/>
              </w:rPr>
            </w:pPr>
            <w:r>
              <w:rPr>
                <w:rFonts w:hint="eastAsia" w:ascii="宋体" w:cs="宋体"/>
                <w:sz w:val="22"/>
                <w:highlight w:val="none"/>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highlight w:val="none"/>
              </w:rPr>
            </w:pPr>
            <w:r>
              <w:rPr>
                <w:rFonts w:hint="eastAsia" w:ascii="宋体" w:cs="宋体"/>
                <w:sz w:val="22"/>
                <w:highlight w:val="none"/>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highlight w:val="none"/>
              </w:rPr>
            </w:pPr>
            <w:r>
              <w:rPr>
                <w:rFonts w:hint="eastAsia" w:ascii="宋体" w:cs="宋体"/>
                <w:sz w:val="22"/>
                <w:highlight w:val="none"/>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单价</w:t>
            </w:r>
          </w:p>
          <w:p>
            <w:pPr>
              <w:spacing w:after="120"/>
              <w:jc w:val="center"/>
              <w:rPr>
                <w:rFonts w:ascii="宋体" w:cs="宋体"/>
                <w:bCs/>
                <w:sz w:val="22"/>
                <w:highlight w:val="none"/>
              </w:rPr>
            </w:pPr>
            <w:r>
              <w:rPr>
                <w:rFonts w:hint="eastAsia" w:ascii="宋体" w:cs="宋体"/>
                <w:sz w:val="22"/>
                <w:highlight w:val="none"/>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highlight w:val="none"/>
              </w:rPr>
            </w:pPr>
            <w:r>
              <w:rPr>
                <w:rFonts w:hint="eastAsia" w:ascii="宋体" w:cs="宋体"/>
                <w:bCs/>
                <w:sz w:val="22"/>
                <w:highlight w:val="none"/>
              </w:rPr>
              <w:t>总价</w:t>
            </w:r>
          </w:p>
          <w:p>
            <w:pPr>
              <w:spacing w:after="120"/>
              <w:jc w:val="center"/>
              <w:rPr>
                <w:rFonts w:ascii="宋体" w:cs="宋体"/>
                <w:bCs/>
                <w:sz w:val="22"/>
                <w:highlight w:val="none"/>
              </w:rPr>
            </w:pPr>
            <w:r>
              <w:rPr>
                <w:rFonts w:hint="eastAsia" w:ascii="宋体" w:cs="宋体"/>
                <w:bCs/>
                <w:sz w:val="22"/>
                <w:highlight w:val="none"/>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highlight w:val="none"/>
              </w:rPr>
            </w:pPr>
            <w:r>
              <w:rPr>
                <w:rFonts w:hint="eastAsia" w:ascii="宋体" w:cs="宋体"/>
                <w:sz w:val="22"/>
                <w:highlight w:val="none"/>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highlight w:val="none"/>
              </w:rPr>
            </w:pPr>
            <w:r>
              <w:rPr>
                <w:rFonts w:hint="eastAsia" w:ascii="宋体" w:cs="宋体"/>
                <w:sz w:val="22"/>
                <w:highlight w:val="none"/>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z w:val="22"/>
                <w:highlight w:val="none"/>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highlight w:val="none"/>
              </w:rPr>
            </w:pPr>
            <w:r>
              <w:rPr>
                <w:rFonts w:hint="eastAsia" w:ascii="宋体" w:cs="宋体"/>
                <w:sz w:val="22"/>
                <w:highlight w:val="none"/>
              </w:rPr>
              <w:t>大写：</w:t>
            </w:r>
            <w:r>
              <w:rPr>
                <w:rFonts w:hint="eastAsia" w:ascii="宋体" w:cs="宋体"/>
                <w:sz w:val="22"/>
                <w:highlight w:val="none"/>
                <w:u w:val="single"/>
              </w:rPr>
              <w:t xml:space="preserve">                  </w:t>
            </w:r>
            <w:r>
              <w:rPr>
                <w:rFonts w:hint="eastAsia" w:ascii="宋体" w:cs="宋体"/>
                <w:sz w:val="22"/>
                <w:highlight w:val="none"/>
              </w:rPr>
              <w:t xml:space="preserve"> 小写：</w:t>
            </w:r>
            <w:r>
              <w:rPr>
                <w:rFonts w:hint="eastAsia" w:ascii="宋体" w:cs="宋体"/>
                <w:sz w:val="22"/>
                <w:highlight w:val="none"/>
                <w:u w:val="single"/>
              </w:rPr>
              <w:t xml:space="preserve">    </w:t>
            </w:r>
            <w:r>
              <w:rPr>
                <w:rFonts w:hint="eastAsia" w:ascii="宋体" w:cs="宋体"/>
                <w:sz w:val="22"/>
                <w:highlight w:val="none"/>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pacing w:val="-6"/>
                <w:sz w:val="22"/>
                <w:highlight w:val="none"/>
              </w:rPr>
              <w:t>保留小数点后两位。</w:t>
            </w:r>
          </w:p>
        </w:tc>
      </w:tr>
    </w:tbl>
    <w:p>
      <w:pPr>
        <w:adjustRightInd w:val="0"/>
        <w:snapToGrid w:val="0"/>
        <w:spacing w:line="480" w:lineRule="auto"/>
        <w:rPr>
          <w:rFonts w:ascii="宋体" w:hAnsi="宋体"/>
          <w:sz w:val="24"/>
          <w:szCs w:val="24"/>
        </w:rPr>
      </w:pP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供应商（单位名称及公章）：_______________</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法定代表人或被授权人（签字或盖章）：_______________</w:t>
      </w:r>
    </w:p>
    <w:p>
      <w:pPr>
        <w:adjustRightInd w:val="0"/>
        <w:snapToGrid w:val="0"/>
        <w:spacing w:line="360" w:lineRule="auto"/>
        <w:ind w:firstLine="480" w:firstLineChars="200"/>
        <w:jc w:val="left"/>
        <w:rPr>
          <w:sz w:val="36"/>
          <w:szCs w:val="36"/>
        </w:rPr>
        <w:sectPr>
          <w:pgSz w:w="11906" w:h="16838"/>
          <w:pgMar w:top="1440" w:right="1800" w:bottom="1440" w:left="1800" w:header="851" w:footer="992" w:gutter="0"/>
          <w:pgNumType w:fmt="decimal"/>
          <w:cols w:space="720" w:num="1"/>
          <w:docGrid w:type="lines" w:linePitch="319" w:charSpace="0"/>
        </w:sectPr>
      </w:pPr>
      <w:r>
        <w:rPr>
          <w:rFonts w:hint="eastAsia" w:asciiTheme="minorEastAsia" w:hAnsiTheme="minorEastAsia" w:cstheme="minorEastAsia"/>
          <w:sz w:val="24"/>
          <w:szCs w:val="24"/>
        </w:rPr>
        <w:t>日    期：_____年_____月_____日</w:t>
      </w:r>
    </w:p>
    <w:p>
      <w:pPr>
        <w:pStyle w:val="4"/>
        <w:rPr>
          <w:rFonts w:ascii="宋体" w:hAnsi="宋体" w:cs="宋体"/>
        </w:rPr>
      </w:pPr>
      <w:bookmarkStart w:id="79" w:name="_Toc10126"/>
      <w:bookmarkStart w:id="80" w:name="OLE_LINK1"/>
      <w:r>
        <w:rPr>
          <w:rFonts w:hint="eastAsia" w:ascii="宋体" w:hAnsi="宋体" w:cs="宋体"/>
        </w:rPr>
        <w:t>第三部分 商务及技术响应说明</w:t>
      </w:r>
      <w:bookmarkEnd w:id="79"/>
    </w:p>
    <w:p>
      <w:pPr>
        <w:pStyle w:val="8"/>
        <w:ind w:firstLine="0"/>
        <w:rPr>
          <w:rFonts w:ascii="宋体" w:hAnsi="宋体" w:eastAsia="宋体" w:cs="宋体"/>
        </w:rPr>
      </w:pPr>
    </w:p>
    <w:p>
      <w:pPr>
        <w:jc w:val="center"/>
        <w:rPr>
          <w:rFonts w:ascii="宋体" w:hAnsi="宋体" w:eastAsia="宋体" w:cs="宋体"/>
          <w:b/>
          <w:bCs/>
          <w:sz w:val="28"/>
          <w:szCs w:val="32"/>
        </w:rPr>
      </w:pPr>
      <w:r>
        <w:rPr>
          <w:rFonts w:hint="eastAsia" w:ascii="宋体" w:hAnsi="宋体" w:eastAsia="宋体" w:cs="宋体"/>
          <w:b/>
          <w:bCs/>
          <w:sz w:val="28"/>
          <w:szCs w:val="32"/>
        </w:rPr>
        <w:t>商务偏离表</w:t>
      </w:r>
    </w:p>
    <w:tbl>
      <w:tblPr>
        <w:tblStyle w:val="22"/>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商务条款</w:t>
            </w:r>
          </w:p>
        </w:tc>
        <w:tc>
          <w:tcPr>
            <w:tcW w:w="1600"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商务要求</w:t>
            </w:r>
          </w:p>
          <w:p>
            <w:pPr>
              <w:pStyle w:val="9"/>
              <w:spacing w:line="360" w:lineRule="auto"/>
              <w:jc w:val="center"/>
              <w:rPr>
                <w:rFonts w:hAnsi="宋体" w:eastAsia="宋体" w:cs="宋体"/>
                <w:sz w:val="24"/>
                <w:szCs w:val="24"/>
              </w:rPr>
            </w:pPr>
            <w:r>
              <w:rPr>
                <w:rFonts w:hint="eastAsia" w:hAnsi="宋体" w:eastAsia="宋体" w:cs="宋体"/>
                <w:sz w:val="24"/>
                <w:szCs w:val="24"/>
              </w:rPr>
              <w:t>内容</w:t>
            </w:r>
          </w:p>
        </w:tc>
        <w:tc>
          <w:tcPr>
            <w:tcW w:w="1938"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响应文件</w:t>
            </w:r>
          </w:p>
          <w:p>
            <w:pPr>
              <w:pStyle w:val="9"/>
              <w:spacing w:line="360" w:lineRule="auto"/>
              <w:jc w:val="center"/>
              <w:rPr>
                <w:rFonts w:hAnsi="宋体" w:eastAsia="宋体" w:cs="宋体"/>
                <w:sz w:val="24"/>
                <w:szCs w:val="24"/>
              </w:rPr>
            </w:pPr>
            <w:r>
              <w:rPr>
                <w:rFonts w:hint="eastAsia" w:hAnsi="宋体" w:eastAsia="宋体" w:cs="宋体"/>
                <w:sz w:val="24"/>
                <w:szCs w:val="24"/>
              </w:rPr>
              <w:t>响应商务内容</w:t>
            </w:r>
          </w:p>
        </w:tc>
        <w:tc>
          <w:tcPr>
            <w:tcW w:w="1410"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偏离情况</w:t>
            </w:r>
          </w:p>
        </w:tc>
        <w:tc>
          <w:tcPr>
            <w:tcW w:w="1356"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vAlign w:val="center"/>
          </w:tcPr>
          <w:p>
            <w:pPr>
              <w:pStyle w:val="9"/>
              <w:spacing w:line="480" w:lineRule="auto"/>
              <w:ind w:firstLine="480" w:firstLineChars="200"/>
              <w:jc w:val="left"/>
              <w:rPr>
                <w:rFonts w:hAnsi="宋体" w:eastAsia="宋体" w:cs="宋体"/>
                <w:sz w:val="24"/>
                <w:szCs w:val="24"/>
              </w:rPr>
            </w:pPr>
          </w:p>
        </w:tc>
        <w:tc>
          <w:tcPr>
            <w:tcW w:w="1938" w:type="dxa"/>
            <w:vAlign w:val="center"/>
          </w:tcPr>
          <w:p>
            <w:pPr>
              <w:pStyle w:val="9"/>
              <w:spacing w:line="480" w:lineRule="auto"/>
              <w:ind w:firstLine="480" w:firstLineChars="200"/>
              <w:jc w:val="left"/>
              <w:rPr>
                <w:rFonts w:hAnsi="宋体" w:eastAsia="宋体" w:cs="宋体"/>
                <w:sz w:val="24"/>
                <w:szCs w:val="24"/>
              </w:rPr>
            </w:pPr>
          </w:p>
        </w:tc>
        <w:tc>
          <w:tcPr>
            <w:tcW w:w="1410" w:type="dxa"/>
            <w:vAlign w:val="center"/>
          </w:tcPr>
          <w:p>
            <w:pPr>
              <w:pStyle w:val="9"/>
              <w:spacing w:line="480" w:lineRule="auto"/>
              <w:ind w:firstLine="480" w:firstLineChars="200"/>
              <w:jc w:val="left"/>
              <w:rPr>
                <w:rFonts w:hAnsi="宋体" w:eastAsia="宋体" w:cs="宋体"/>
                <w:sz w:val="24"/>
                <w:szCs w:val="24"/>
              </w:rPr>
            </w:pPr>
          </w:p>
        </w:tc>
        <w:tc>
          <w:tcPr>
            <w:tcW w:w="1356" w:type="dxa"/>
            <w:vAlign w:val="center"/>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eastAsia="宋体" w:cs="宋体"/>
                <w:sz w:val="24"/>
                <w:szCs w:val="24"/>
              </w:rPr>
            </w:pPr>
          </w:p>
        </w:tc>
        <w:tc>
          <w:tcPr>
            <w:tcW w:w="1521" w:type="dxa"/>
          </w:tcPr>
          <w:p>
            <w:pPr>
              <w:pStyle w:val="9"/>
              <w:spacing w:line="480" w:lineRule="auto"/>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bl>
    <w:p>
      <w:pPr>
        <w:pStyle w:val="8"/>
        <w:numPr>
          <w:ilvl w:val="0"/>
          <w:numId w:val="20"/>
        </w:numPr>
        <w:spacing w:line="360" w:lineRule="auto"/>
        <w:rPr>
          <w:rFonts w:ascii="宋体" w:hAnsi="宋体" w:eastAsia="宋体" w:cs="宋体"/>
          <w:b/>
          <w:bCs/>
          <w:sz w:val="24"/>
          <w:szCs w:val="24"/>
        </w:rPr>
      </w:pPr>
      <w:r>
        <w:rPr>
          <w:rFonts w:hint="eastAsia" w:ascii="宋体" w:hAnsi="宋体" w:eastAsia="宋体" w:cs="宋体"/>
          <w:b/>
          <w:bCs/>
          <w:sz w:val="24"/>
          <w:szCs w:val="24"/>
        </w:rPr>
        <w:t>本表须按“供应商须知前附表”中所列商务条款进行比较和响应；</w:t>
      </w:r>
    </w:p>
    <w:p>
      <w:pPr>
        <w:pStyle w:val="8"/>
        <w:numPr>
          <w:ilvl w:val="0"/>
          <w:numId w:val="20"/>
        </w:numPr>
        <w:spacing w:line="360" w:lineRule="auto"/>
        <w:rPr>
          <w:rFonts w:ascii="宋体" w:hAnsi="宋体" w:eastAsia="宋体" w:cs="宋体"/>
          <w:b/>
          <w:bCs/>
          <w:sz w:val="24"/>
          <w:szCs w:val="24"/>
        </w:rPr>
      </w:pPr>
      <w:r>
        <w:rPr>
          <w:rFonts w:hint="eastAsia" w:ascii="宋体" w:hAnsi="宋体" w:eastAsia="宋体" w:cs="宋体"/>
          <w:b/>
          <w:bCs/>
          <w:sz w:val="24"/>
          <w:szCs w:val="24"/>
        </w:rPr>
        <w:t>该表必须按照</w:t>
      </w:r>
      <w:r>
        <w:rPr>
          <w:rFonts w:hint="eastAsia" w:ascii="宋体" w:hAnsi="宋体" w:eastAsia="宋体" w:cs="宋体"/>
          <w:b/>
          <w:bCs/>
          <w:sz w:val="24"/>
          <w:szCs w:val="24"/>
          <w:lang w:eastAsia="zh-CN"/>
        </w:rPr>
        <w:t>竞争性谈判文件</w:t>
      </w:r>
      <w:r>
        <w:rPr>
          <w:rFonts w:hint="eastAsia" w:ascii="宋体" w:hAnsi="宋体" w:eastAsia="宋体" w:cs="宋体"/>
          <w:b/>
          <w:bCs/>
          <w:sz w:val="24"/>
          <w:szCs w:val="24"/>
        </w:rPr>
        <w:t>要求逐条如实填写，根据情况在“偏离情况”项填写正偏离或负偏离或无偏离，在“说明”项填写正偏离或负偏离原因。</w:t>
      </w:r>
    </w:p>
    <w:p>
      <w:pPr>
        <w:pStyle w:val="8"/>
        <w:numPr>
          <w:ilvl w:val="0"/>
          <w:numId w:val="20"/>
        </w:numPr>
        <w:spacing w:line="360" w:lineRule="auto"/>
        <w:rPr>
          <w:rFonts w:ascii="宋体" w:hAnsi="宋体" w:eastAsia="宋体" w:cs="宋体"/>
          <w:b/>
          <w:bCs/>
          <w:sz w:val="24"/>
          <w:szCs w:val="24"/>
        </w:rPr>
      </w:pPr>
      <w:r>
        <w:rPr>
          <w:rFonts w:hint="eastAsia" w:ascii="宋体" w:hAnsi="宋体" w:eastAsia="宋体" w:cs="宋体"/>
          <w:b/>
          <w:bCs/>
          <w:sz w:val="24"/>
          <w:szCs w:val="24"/>
        </w:rPr>
        <w:t>该表可扩展。</w:t>
      </w:r>
    </w:p>
    <w:p>
      <w:pPr>
        <w:pStyle w:val="8"/>
        <w:spacing w:line="360" w:lineRule="auto"/>
        <w:ind w:left="140" w:firstLine="0"/>
        <w:rPr>
          <w:rFonts w:ascii="宋体" w:hAnsi="宋体" w:eastAsia="宋体" w:cs="宋体"/>
          <w:b/>
          <w:bCs/>
          <w:sz w:val="28"/>
          <w:szCs w:val="28"/>
        </w:rPr>
      </w:pPr>
      <w:r>
        <w:rPr>
          <w:rFonts w:hint="eastAsia" w:ascii="宋体" w:hAnsi="宋体" w:eastAsia="宋体" w:cs="宋体"/>
          <w:b/>
          <w:bCs/>
          <w:sz w:val="24"/>
          <w:szCs w:val="24"/>
        </w:rPr>
        <w:t>商务条款不允许负偏离</w:t>
      </w:r>
    </w:p>
    <w:p>
      <w:pPr>
        <w:pStyle w:val="8"/>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hint="eastAsia" w:ascii="宋体" w:hAnsi="宋体" w:eastAsia="宋体" w:cs="宋体"/>
          <w:b/>
          <w:bCs/>
          <w:sz w:val="28"/>
          <w:szCs w:val="32"/>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jc w:val="center"/>
        <w:rPr>
          <w:rFonts w:ascii="宋体" w:hAnsi="宋体" w:eastAsia="宋体" w:cs="宋体"/>
          <w:b/>
          <w:bCs/>
          <w:sz w:val="28"/>
          <w:szCs w:val="32"/>
        </w:rPr>
      </w:pPr>
      <w:r>
        <w:rPr>
          <w:rFonts w:hint="eastAsia" w:ascii="宋体" w:hAnsi="宋体" w:eastAsia="宋体" w:cs="宋体"/>
          <w:b/>
          <w:bCs/>
          <w:sz w:val="28"/>
          <w:szCs w:val="32"/>
        </w:rPr>
        <w:t>技术偏离表</w:t>
      </w:r>
    </w:p>
    <w:p>
      <w:pPr>
        <w:pStyle w:val="8"/>
        <w:ind w:firstLine="0"/>
        <w:rPr>
          <w:rFonts w:ascii="宋体" w:hAnsi="宋体" w:eastAsia="宋体" w:cs="宋体"/>
        </w:rPr>
      </w:pPr>
    </w:p>
    <w:p>
      <w:pPr>
        <w:rPr>
          <w:rFonts w:ascii="宋体" w:hAnsi="宋体" w:eastAsia="宋体" w:cs="宋体"/>
          <w:sz w:val="24"/>
          <w:szCs w:val="24"/>
        </w:rPr>
      </w:pPr>
    </w:p>
    <w:tbl>
      <w:tblPr>
        <w:tblStyle w:val="22"/>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93"/>
        <w:gridCol w:w="1845"/>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9"/>
              <w:spacing w:line="360" w:lineRule="auto"/>
              <w:jc w:val="center"/>
              <w:rPr>
                <w:rFonts w:hAnsi="宋体" w:eastAsia="宋体" w:cs="宋体"/>
                <w:sz w:val="24"/>
                <w:szCs w:val="24"/>
              </w:rPr>
            </w:pPr>
            <w:r>
              <w:rPr>
                <w:rFonts w:hint="eastAsia" w:hAnsi="宋体" w:eastAsia="宋体" w:cs="宋体"/>
                <w:sz w:val="24"/>
              </w:rPr>
              <w:t>产品名称</w:t>
            </w:r>
          </w:p>
        </w:tc>
        <w:tc>
          <w:tcPr>
            <w:tcW w:w="1693" w:type="dxa"/>
            <w:vAlign w:val="center"/>
          </w:tcPr>
          <w:p>
            <w:pPr>
              <w:spacing w:line="500" w:lineRule="exact"/>
              <w:jc w:val="center"/>
              <w:rPr>
                <w:rFonts w:ascii="宋体" w:hAnsi="宋体" w:eastAsia="宋体" w:cs="宋体"/>
                <w:sz w:val="24"/>
              </w:rPr>
            </w:pPr>
            <w:r>
              <w:rPr>
                <w:rFonts w:hint="eastAsia" w:ascii="宋体" w:hAnsi="宋体" w:eastAsia="宋体" w:cs="宋体"/>
                <w:sz w:val="24"/>
                <w:lang w:val="en-US" w:eastAsia="zh-CN"/>
              </w:rPr>
              <w:t>谈判文件</w:t>
            </w:r>
            <w:r>
              <w:rPr>
                <w:rFonts w:hint="eastAsia" w:ascii="宋体" w:hAnsi="宋体" w:eastAsia="宋体" w:cs="宋体"/>
                <w:sz w:val="24"/>
              </w:rPr>
              <w:t>要求</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845" w:type="dxa"/>
            <w:vAlign w:val="center"/>
          </w:tcPr>
          <w:p>
            <w:pPr>
              <w:spacing w:line="500" w:lineRule="exact"/>
              <w:jc w:val="center"/>
              <w:rPr>
                <w:rFonts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产品</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410"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rPr>
              <w:t>偏离说明</w:t>
            </w:r>
          </w:p>
        </w:tc>
        <w:tc>
          <w:tcPr>
            <w:tcW w:w="1356"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93" w:type="dxa"/>
            <w:vAlign w:val="center"/>
          </w:tcPr>
          <w:p>
            <w:pPr>
              <w:pStyle w:val="9"/>
              <w:spacing w:line="480" w:lineRule="auto"/>
              <w:ind w:firstLine="480" w:firstLineChars="200"/>
              <w:jc w:val="left"/>
              <w:rPr>
                <w:rFonts w:hAnsi="宋体" w:eastAsia="宋体" w:cs="宋体"/>
                <w:sz w:val="24"/>
                <w:szCs w:val="24"/>
              </w:rPr>
            </w:pPr>
          </w:p>
        </w:tc>
        <w:tc>
          <w:tcPr>
            <w:tcW w:w="1845" w:type="dxa"/>
            <w:vAlign w:val="center"/>
          </w:tcPr>
          <w:p>
            <w:pPr>
              <w:pStyle w:val="9"/>
              <w:spacing w:line="480" w:lineRule="auto"/>
              <w:ind w:firstLine="480" w:firstLineChars="200"/>
              <w:jc w:val="left"/>
              <w:rPr>
                <w:rFonts w:hAnsi="宋体" w:eastAsia="宋体" w:cs="宋体"/>
                <w:sz w:val="24"/>
                <w:szCs w:val="24"/>
              </w:rPr>
            </w:pPr>
          </w:p>
        </w:tc>
        <w:tc>
          <w:tcPr>
            <w:tcW w:w="1410" w:type="dxa"/>
            <w:vAlign w:val="center"/>
          </w:tcPr>
          <w:p>
            <w:pPr>
              <w:pStyle w:val="9"/>
              <w:spacing w:line="480" w:lineRule="auto"/>
              <w:ind w:firstLine="480" w:firstLineChars="200"/>
              <w:jc w:val="left"/>
              <w:rPr>
                <w:rFonts w:hAnsi="宋体" w:eastAsia="宋体" w:cs="宋体"/>
                <w:sz w:val="24"/>
                <w:szCs w:val="24"/>
              </w:rPr>
            </w:pPr>
          </w:p>
        </w:tc>
        <w:tc>
          <w:tcPr>
            <w:tcW w:w="1356" w:type="dxa"/>
            <w:vAlign w:val="center"/>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93" w:type="dxa"/>
          </w:tcPr>
          <w:p>
            <w:pPr>
              <w:pStyle w:val="9"/>
              <w:spacing w:line="480" w:lineRule="auto"/>
              <w:ind w:firstLine="480" w:firstLineChars="200"/>
              <w:jc w:val="left"/>
              <w:rPr>
                <w:rFonts w:hAnsi="宋体" w:eastAsia="宋体" w:cs="宋体"/>
                <w:sz w:val="24"/>
                <w:szCs w:val="24"/>
              </w:rPr>
            </w:pPr>
          </w:p>
        </w:tc>
        <w:tc>
          <w:tcPr>
            <w:tcW w:w="184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93" w:type="dxa"/>
          </w:tcPr>
          <w:p>
            <w:pPr>
              <w:pStyle w:val="9"/>
              <w:spacing w:line="480" w:lineRule="auto"/>
              <w:ind w:firstLine="480" w:firstLineChars="200"/>
              <w:jc w:val="left"/>
              <w:rPr>
                <w:rFonts w:hAnsi="宋体" w:eastAsia="宋体" w:cs="宋体"/>
                <w:sz w:val="24"/>
                <w:szCs w:val="24"/>
              </w:rPr>
            </w:pPr>
          </w:p>
        </w:tc>
        <w:tc>
          <w:tcPr>
            <w:tcW w:w="184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93" w:type="dxa"/>
          </w:tcPr>
          <w:p>
            <w:pPr>
              <w:pStyle w:val="9"/>
              <w:spacing w:line="480" w:lineRule="auto"/>
              <w:ind w:firstLine="480" w:firstLineChars="200"/>
              <w:jc w:val="left"/>
              <w:rPr>
                <w:rFonts w:hAnsi="宋体" w:eastAsia="宋体" w:cs="宋体"/>
                <w:sz w:val="24"/>
                <w:szCs w:val="24"/>
              </w:rPr>
            </w:pPr>
          </w:p>
        </w:tc>
        <w:tc>
          <w:tcPr>
            <w:tcW w:w="184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93" w:type="dxa"/>
          </w:tcPr>
          <w:p>
            <w:pPr>
              <w:pStyle w:val="9"/>
              <w:spacing w:line="480" w:lineRule="auto"/>
              <w:ind w:firstLine="480" w:firstLineChars="200"/>
              <w:jc w:val="left"/>
              <w:rPr>
                <w:rFonts w:hAnsi="宋体" w:eastAsia="宋体" w:cs="宋体"/>
                <w:sz w:val="24"/>
                <w:szCs w:val="24"/>
              </w:rPr>
            </w:pPr>
          </w:p>
        </w:tc>
        <w:tc>
          <w:tcPr>
            <w:tcW w:w="184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93" w:type="dxa"/>
          </w:tcPr>
          <w:p>
            <w:pPr>
              <w:pStyle w:val="9"/>
              <w:spacing w:line="480" w:lineRule="auto"/>
              <w:ind w:firstLine="480" w:firstLineChars="200"/>
              <w:jc w:val="left"/>
              <w:rPr>
                <w:rFonts w:hAnsi="宋体" w:eastAsia="宋体" w:cs="宋体"/>
                <w:sz w:val="24"/>
                <w:szCs w:val="24"/>
              </w:rPr>
            </w:pPr>
          </w:p>
        </w:tc>
        <w:tc>
          <w:tcPr>
            <w:tcW w:w="184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93" w:type="dxa"/>
          </w:tcPr>
          <w:p>
            <w:pPr>
              <w:pStyle w:val="9"/>
              <w:spacing w:line="480" w:lineRule="auto"/>
              <w:ind w:firstLine="480" w:firstLineChars="200"/>
              <w:jc w:val="left"/>
              <w:rPr>
                <w:rFonts w:hAnsi="宋体" w:eastAsia="宋体" w:cs="宋体"/>
                <w:sz w:val="24"/>
                <w:szCs w:val="24"/>
              </w:rPr>
            </w:pPr>
          </w:p>
        </w:tc>
        <w:tc>
          <w:tcPr>
            <w:tcW w:w="184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eastAsia="宋体" w:cs="宋体"/>
                <w:sz w:val="24"/>
                <w:szCs w:val="24"/>
              </w:rPr>
            </w:pPr>
          </w:p>
        </w:tc>
        <w:tc>
          <w:tcPr>
            <w:tcW w:w="1521" w:type="dxa"/>
          </w:tcPr>
          <w:p>
            <w:pPr>
              <w:pStyle w:val="9"/>
              <w:spacing w:line="480" w:lineRule="auto"/>
              <w:jc w:val="left"/>
              <w:rPr>
                <w:rFonts w:hAnsi="宋体" w:eastAsia="宋体" w:cs="宋体"/>
                <w:sz w:val="24"/>
                <w:szCs w:val="24"/>
              </w:rPr>
            </w:pPr>
          </w:p>
        </w:tc>
        <w:tc>
          <w:tcPr>
            <w:tcW w:w="1693" w:type="dxa"/>
          </w:tcPr>
          <w:p>
            <w:pPr>
              <w:pStyle w:val="9"/>
              <w:spacing w:line="480" w:lineRule="auto"/>
              <w:ind w:firstLine="480" w:firstLineChars="200"/>
              <w:jc w:val="left"/>
              <w:rPr>
                <w:rFonts w:hAnsi="宋体" w:eastAsia="宋体" w:cs="宋体"/>
                <w:sz w:val="24"/>
                <w:szCs w:val="24"/>
              </w:rPr>
            </w:pPr>
          </w:p>
        </w:tc>
        <w:tc>
          <w:tcPr>
            <w:tcW w:w="184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bl>
    <w:p>
      <w:pPr>
        <w:pStyle w:val="8"/>
        <w:spacing w:line="360" w:lineRule="auto"/>
        <w:ind w:left="140" w:firstLine="0"/>
        <w:rPr>
          <w:rFonts w:ascii="宋体" w:hAnsi="宋体" w:eastAsia="宋体" w:cs="宋体"/>
          <w:b/>
          <w:bCs/>
          <w:sz w:val="24"/>
          <w:szCs w:val="24"/>
        </w:rPr>
      </w:pPr>
      <w:r>
        <w:rPr>
          <w:rFonts w:hint="eastAsia" w:ascii="宋体" w:hAnsi="宋体" w:eastAsia="宋体" w:cs="宋体"/>
          <w:b/>
          <w:bCs/>
          <w:sz w:val="24"/>
          <w:szCs w:val="24"/>
        </w:rPr>
        <w:t>1、本表须按“第五部分采购要求”中所列技术要求进行比较和响应；</w:t>
      </w:r>
    </w:p>
    <w:p>
      <w:pPr>
        <w:pStyle w:val="8"/>
        <w:spacing w:line="360" w:lineRule="auto"/>
        <w:ind w:left="140" w:firstLine="0"/>
        <w:rPr>
          <w:rFonts w:ascii="宋体" w:hAnsi="宋体" w:eastAsia="宋体" w:cs="宋体"/>
          <w:sz w:val="24"/>
          <w:szCs w:val="24"/>
        </w:rPr>
      </w:pPr>
      <w:r>
        <w:rPr>
          <w:rFonts w:hint="eastAsia" w:ascii="宋体" w:hAnsi="宋体" w:eastAsia="宋体" w:cs="宋体"/>
          <w:b/>
          <w:bCs/>
          <w:sz w:val="24"/>
          <w:szCs w:val="24"/>
        </w:rPr>
        <w:t>2、该表必须按照</w:t>
      </w:r>
      <w:r>
        <w:rPr>
          <w:rFonts w:hint="eastAsia" w:ascii="宋体" w:hAnsi="宋体" w:eastAsia="宋体" w:cs="宋体"/>
          <w:b/>
          <w:bCs/>
          <w:sz w:val="24"/>
          <w:szCs w:val="24"/>
          <w:lang w:eastAsia="zh-CN"/>
        </w:rPr>
        <w:t>竞争性谈判文件</w:t>
      </w:r>
      <w:r>
        <w:rPr>
          <w:rFonts w:hint="eastAsia" w:ascii="宋体" w:hAnsi="宋体" w:eastAsia="宋体" w:cs="宋体"/>
          <w:b/>
          <w:bCs/>
          <w:sz w:val="24"/>
          <w:szCs w:val="24"/>
        </w:rPr>
        <w:t>要求逐条如实填写，根据情况在“偏离情况”项填写正偏离或负偏离或无偏离，在“说明”项填写正偏离或负偏离原因。</w:t>
      </w:r>
    </w:p>
    <w:p>
      <w:pPr>
        <w:pStyle w:val="8"/>
        <w:spacing w:line="360" w:lineRule="auto"/>
        <w:ind w:left="140" w:firstLine="0"/>
        <w:rPr>
          <w:rFonts w:ascii="宋体" w:hAnsi="宋体" w:eastAsia="宋体" w:cs="宋体"/>
          <w:sz w:val="24"/>
          <w:szCs w:val="24"/>
        </w:rPr>
      </w:pPr>
      <w:r>
        <w:rPr>
          <w:rFonts w:hint="eastAsia" w:ascii="宋体" w:hAnsi="宋体" w:eastAsia="宋体" w:cs="宋体"/>
          <w:b/>
          <w:bCs/>
          <w:sz w:val="24"/>
          <w:szCs w:val="24"/>
        </w:rPr>
        <w:t>3、该表可扩展。</w:t>
      </w:r>
    </w:p>
    <w:p>
      <w:pPr>
        <w:pStyle w:val="8"/>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hint="eastAsia" w:ascii="宋体" w:hAnsi="宋体" w:eastAsia="宋体" w:cs="宋体"/>
          <w:sz w:val="28"/>
          <w:szCs w:val="28"/>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pStyle w:val="4"/>
        <w:rPr>
          <w:rFonts w:ascii="宋体" w:hAnsi="宋体" w:cs="宋体"/>
        </w:rPr>
      </w:pPr>
      <w:bookmarkStart w:id="81" w:name="_Toc28488"/>
      <w:r>
        <w:rPr>
          <w:rFonts w:hint="eastAsia" w:ascii="宋体" w:hAnsi="宋体" w:cs="宋体"/>
        </w:rPr>
        <w:t>第四部分</w:t>
      </w:r>
      <w:bookmarkEnd w:id="78"/>
      <w:bookmarkEnd w:id="80"/>
      <w:r>
        <w:rPr>
          <w:rFonts w:hint="eastAsia" w:ascii="宋体" w:hAnsi="宋体" w:cs="宋体"/>
        </w:rPr>
        <w:t xml:space="preserve"> 供应商资格要求</w:t>
      </w:r>
      <w:bookmarkEnd w:id="81"/>
    </w:p>
    <w:p>
      <w:pPr>
        <w:snapToGrid w:val="0"/>
        <w:spacing w:line="360" w:lineRule="auto"/>
        <w:ind w:right="-199" w:rightChars="-95"/>
        <w:jc w:val="left"/>
        <w:rPr>
          <w:rFonts w:ascii="宋体" w:hAnsi="宋体" w:eastAsia="宋体" w:cs="宋体"/>
          <w:bCs/>
          <w:kern w:val="0"/>
          <w:sz w:val="24"/>
          <w:szCs w:val="24"/>
        </w:rPr>
      </w:pPr>
    </w:p>
    <w:p>
      <w:pPr>
        <w:snapToGrid w:val="0"/>
        <w:spacing w:line="360" w:lineRule="auto"/>
        <w:ind w:right="-199" w:rightChars="-95"/>
        <w:jc w:val="left"/>
        <w:rPr>
          <w:rFonts w:ascii="宋体" w:hAnsi="宋体" w:cs="宋体"/>
          <w:b/>
          <w:bCs/>
          <w:sz w:val="36"/>
          <w:szCs w:val="36"/>
        </w:rPr>
      </w:pPr>
      <w:bookmarkStart w:id="82" w:name="_Toc1408"/>
      <w:r>
        <w:rPr>
          <w:rFonts w:hint="eastAsia" w:ascii="宋体" w:hAnsi="宋体" w:cs="宋体"/>
          <w:kern w:val="0"/>
          <w:sz w:val="24"/>
          <w:szCs w:val="24"/>
        </w:rPr>
        <w:t>供应商根据招采购文件公告资格要求内容附资格证明文件。</w:t>
      </w:r>
    </w:p>
    <w:p>
      <w:pPr>
        <w:rPr>
          <w:rFonts w:hint="eastAsia"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2"/>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2"/>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，我公司符合《中华人民共和国政府采购法》规定的供应商资格条件：</w:t>
      </w:r>
    </w:p>
    <w:p>
      <w:pPr>
        <w:numPr>
          <w:ilvl w:val="0"/>
          <w:numId w:val="21"/>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1"/>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1"/>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1"/>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1"/>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1"/>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2"/>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9"/>
        <w:spacing w:line="500" w:lineRule="exact"/>
        <w:jc w:val="left"/>
        <w:rPr>
          <w:rFonts w:hAnsi="宋体" w:cs="宋体"/>
          <w:sz w:val="24"/>
          <w:szCs w:val="24"/>
        </w:rPr>
      </w:pPr>
    </w:p>
    <w:p>
      <w:pPr>
        <w:pStyle w:val="9"/>
        <w:spacing w:line="480" w:lineRule="auto"/>
        <w:jc w:val="left"/>
        <w:rPr>
          <w:rFonts w:hAnsi="宋体" w:cs="宋体"/>
          <w:sz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pacing w:line="360" w:lineRule="auto"/>
        <w:rPr>
          <w:rFonts w:hint="eastAsia"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rPr>
          <w:rFonts w:ascii="宋体" w:cs="宋体"/>
          <w:sz w:val="24"/>
          <w:szCs w:val="24"/>
        </w:rPr>
      </w:pPr>
      <w:r>
        <w:rPr>
          <w:rFonts w:hint="eastAsia" w:ascii="宋体" w:hAnsi="宋体" w:cs="宋体"/>
          <w:sz w:val="24"/>
          <w:szCs w:val="24"/>
          <w:lang w:eastAsia="zh-CN"/>
        </w:rPr>
        <w:t>（二）</w:t>
      </w:r>
      <w:r>
        <w:rPr>
          <w:rFonts w:hint="eastAsia" w:ascii="宋体" w:hAnsi="宋体" w:cs="宋体"/>
          <w:sz w:val="24"/>
          <w:szCs w:val="24"/>
        </w:rPr>
        <w:t>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w:t>
      </w:r>
      <w:r>
        <w:rPr>
          <w:rFonts w:hint="eastAsia" w:ascii="宋体" w:hAnsi="宋体" w:cs="宋体"/>
          <w:sz w:val="24"/>
          <w:szCs w:val="24"/>
          <w:lang w:val="en-US" w:eastAsia="zh-CN"/>
        </w:rPr>
        <w:t>年度</w:t>
      </w:r>
      <w:r>
        <w:rPr>
          <w:rFonts w:hint="eastAsia" w:ascii="宋体" w:hAnsi="宋体" w:cs="宋体"/>
          <w:sz w:val="24"/>
          <w:szCs w:val="24"/>
          <w:lang w:eastAsia="zh-CN"/>
        </w:rPr>
        <w:t>或</w:t>
      </w:r>
      <w:r>
        <w:rPr>
          <w:rFonts w:hint="eastAsia" w:ascii="宋体" w:hAnsi="宋体" w:cs="宋体"/>
          <w:sz w:val="24"/>
          <w:szCs w:val="24"/>
          <w:lang w:val="en-US" w:eastAsia="zh-CN"/>
        </w:rPr>
        <w:t>2021年</w:t>
      </w:r>
      <w:r>
        <w:rPr>
          <w:rFonts w:hint="eastAsia" w:ascii="宋体" w:hAnsi="宋体" w:cs="宋体"/>
          <w:sz w:val="24"/>
          <w:szCs w:val="24"/>
        </w:rPr>
        <w:t>度经审计完整的财务审计报告（成立时间至提交</w:t>
      </w:r>
      <w:r>
        <w:rPr>
          <w:rFonts w:hint="eastAsia" w:ascii="宋体" w:hAnsi="宋体" w:cs="宋体"/>
          <w:sz w:val="24"/>
          <w:szCs w:val="24"/>
          <w:lang w:eastAsia="zh-CN"/>
        </w:rPr>
        <w:t>响应文件</w:t>
      </w:r>
      <w:r>
        <w:rPr>
          <w:rFonts w:hint="eastAsia" w:ascii="宋体" w:hAnsi="宋体" w:cs="宋体"/>
          <w:sz w:val="24"/>
          <w:szCs w:val="24"/>
        </w:rPr>
        <w:t>截止时间不足一年的可提供成立后任意时段的资产负债表），或其开标前三个月内银行出具的资信证明，或财政部门认可的政府采购专业担保机构出具的投标担保函；</w:t>
      </w:r>
    </w:p>
    <w:p>
      <w:pPr>
        <w:keepNext/>
        <w:keepLines/>
        <w:spacing w:line="413" w:lineRule="auto"/>
        <w:jc w:val="center"/>
        <w:rPr>
          <w:rFonts w:ascii="宋体" w:hAnsi="宋体" w:cs="宋体"/>
          <w:sz w:val="32"/>
          <w:szCs w:val="24"/>
        </w:rPr>
        <w:sectPr>
          <w:headerReference r:id="rId11" w:type="default"/>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int="eastAsia" w:hAnsi="宋体" w:cs="宋体" w:eastAsiaTheme="minorEastAsia"/>
          <w:sz w:val="24"/>
          <w:lang w:eastAsia="zh-CN"/>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4、税收缴纳证明：提供2021年</w:t>
      </w:r>
      <w:r>
        <w:rPr>
          <w:rFonts w:hint="eastAsia" w:ascii="宋体" w:hAnsi="宋体" w:cs="宋体"/>
          <w:sz w:val="24"/>
          <w:szCs w:val="24"/>
          <w:lang w:val="en-US" w:eastAsia="zh-CN"/>
        </w:rPr>
        <w:t>9</w:t>
      </w:r>
      <w:r>
        <w:rPr>
          <w:rFonts w:hint="eastAsia" w:ascii="宋体" w:hAnsi="宋体" w:cs="宋体"/>
          <w:sz w:val="24"/>
          <w:szCs w:val="24"/>
        </w:rPr>
        <w:t>月以来至少一个月的纳税证明或完税证明，依法免税的单位应提供相关证明材料；</w:t>
      </w:r>
    </w:p>
    <w:p>
      <w:pPr>
        <w:spacing w:line="360" w:lineRule="auto"/>
        <w:ind w:firstLine="480" w:firstLineChars="200"/>
        <w:rPr>
          <w:rFonts w:ascii="宋体" w:hAnsi="宋体" w:cs="宋体"/>
          <w:sz w:val="24"/>
          <w:szCs w:val="24"/>
        </w:rPr>
      </w:pPr>
      <w:r>
        <w:rPr>
          <w:rFonts w:hint="eastAsia" w:ascii="宋体" w:hAnsi="宋体" w:cs="宋体"/>
          <w:sz w:val="24"/>
          <w:szCs w:val="24"/>
        </w:rPr>
        <w:t>5、社会保障资金缴纳证明：提供2021年</w:t>
      </w:r>
      <w:r>
        <w:rPr>
          <w:rFonts w:hint="eastAsia" w:ascii="宋体" w:hAnsi="宋体" w:cs="宋体"/>
          <w:sz w:val="24"/>
          <w:szCs w:val="24"/>
          <w:lang w:val="en-US" w:eastAsia="zh-CN"/>
        </w:rPr>
        <w:t>9</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pStyle w:val="18"/>
        <w:spacing w:before="0" w:beforeAutospacing="0" w:after="0" w:afterAutospacing="0" w:line="510" w:lineRule="atLeast"/>
        <w:ind w:firstLine="420"/>
      </w:pPr>
    </w:p>
    <w:p>
      <w:pPr>
        <w:spacing w:line="360" w:lineRule="auto"/>
        <w:rPr>
          <w:sz w:val="24"/>
          <w:szCs w:val="28"/>
        </w:rPr>
      </w:pPr>
    </w:p>
    <w:p>
      <w:pPr>
        <w:pStyle w:val="20"/>
        <w:ind w:firstLine="0" w:firstLineChars="0"/>
        <w:sectPr>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lang w:val="en-US" w:eastAsia="zh-CN"/>
        </w:rPr>
        <w:t>6</w:t>
      </w:r>
      <w:r>
        <w:rPr>
          <w:rFonts w:hint="eastAsia" w:ascii="宋体" w:hAnsi="宋体" w:cs="宋体"/>
          <w:sz w:val="32"/>
          <w:szCs w:val="24"/>
        </w:rPr>
        <w:t>、无重大违法记录声明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，我单位郑重声明：我方参加本项目工作前三年内无重大违法活动记录，符合《中华人民共和国政府采购法》规定的供应商资格条件，我方对此声明负全部法律责任。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int="eastAsia" w:hAnsi="宋体" w:cs="宋体" w:eastAsiaTheme="minorEastAsia"/>
          <w:sz w:val="24"/>
          <w:lang w:eastAsia="zh-CN"/>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jc w:val="center"/>
        <w:rPr>
          <w:rFonts w:hint="eastAsia"/>
          <w:sz w:val="28"/>
          <w:szCs w:val="32"/>
          <w:lang w:val="en-US" w:eastAsia="zh-CN"/>
        </w:rPr>
        <w:sectPr>
          <w:pgSz w:w="11906" w:h="16838"/>
          <w:pgMar w:top="1440" w:right="1803" w:bottom="1440" w:left="1803" w:header="851" w:footer="992" w:gutter="0"/>
          <w:pgNumType w:fmt="decimal"/>
          <w:cols w:space="720" w:num="1"/>
          <w:docGrid w:type="lines" w:linePitch="319" w:charSpace="0"/>
        </w:sectPr>
      </w:pPr>
    </w:p>
    <w:p>
      <w:pPr>
        <w:jc w:val="center"/>
        <w:rPr>
          <w:sz w:val="28"/>
          <w:szCs w:val="32"/>
        </w:rPr>
      </w:pPr>
      <w:r>
        <w:rPr>
          <w:rFonts w:hint="eastAsia"/>
          <w:sz w:val="28"/>
          <w:szCs w:val="32"/>
          <w:lang w:val="en-US" w:eastAsia="zh-CN"/>
        </w:rPr>
        <w:t>7</w:t>
      </w:r>
      <w:r>
        <w:rPr>
          <w:rFonts w:hint="eastAsia"/>
          <w:sz w:val="28"/>
          <w:szCs w:val="32"/>
        </w:rPr>
        <w:t>-1法定代表人证明书</w:t>
      </w:r>
    </w:p>
    <w:tbl>
      <w:tblPr>
        <w:tblStyle w:val="22"/>
        <w:tblpPr w:leftFromText="180" w:rightFromText="180" w:vertAnchor="text" w:horzAnchor="page" w:tblpX="1336" w:tblpY="611"/>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10"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6"/>
        <w:sectPr>
          <w:pgSz w:w="11906" w:h="16838"/>
          <w:pgMar w:top="1440" w:right="1803" w:bottom="1440" w:left="1803" w:header="851" w:footer="992" w:gutter="0"/>
          <w:pgNumType w:fmt="decimal"/>
          <w:cols w:space="720" w:num="1"/>
          <w:docGrid w:type="lines" w:linePitch="319" w:charSpace="0"/>
        </w:sectPr>
      </w:pPr>
    </w:p>
    <w:p>
      <w:pPr>
        <w:pStyle w:val="9"/>
        <w:spacing w:line="500" w:lineRule="exact"/>
        <w:jc w:val="center"/>
        <w:rPr>
          <w:rFonts w:hAnsi="宋体" w:cs="宋体"/>
          <w:sz w:val="24"/>
          <w:szCs w:val="24"/>
        </w:rPr>
      </w:pPr>
      <w:r>
        <w:rPr>
          <w:rFonts w:hint="eastAsia" w:hAnsi="宋体" w:cs="宋体"/>
          <w:b/>
          <w:sz w:val="24"/>
          <w:szCs w:val="24"/>
          <w:lang w:val="en-US" w:eastAsia="zh-CN"/>
        </w:rPr>
        <w:t>7</w:t>
      </w:r>
      <w:r>
        <w:rPr>
          <w:rFonts w:hint="eastAsia" w:hAnsi="宋体" w:cs="宋体"/>
          <w:b/>
          <w:sz w:val="24"/>
          <w:szCs w:val="24"/>
        </w:rPr>
        <w:t>-2法定代表人授权书</w:t>
      </w:r>
    </w:p>
    <w:p>
      <w:pPr>
        <w:pStyle w:val="9"/>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   </w:t>
      </w:r>
      <w:r>
        <w:rPr>
          <w:rFonts w:hint="eastAsia" w:ascii="宋体" w:hAnsi="宋体" w:cs="宋体"/>
          <w:sz w:val="24"/>
        </w:rPr>
        <w:t>的采购活动。以我方名义全权处理该项目有关投标、签订合同以及执行合同等一切事宜。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本授权书自响应文件递交截止之日生效，有效期与投标有效期一致，特此声明。</w:t>
      </w:r>
    </w:p>
    <w:p>
      <w:pPr>
        <w:pStyle w:val="9"/>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法定代表人及被授权人身份证复印件或扫描件</w:t>
      </w:r>
    </w:p>
    <w:tbl>
      <w:tblPr>
        <w:tblStyle w:val="22"/>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9"/>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w:t>
            </w:r>
            <w:r>
              <w:rPr>
                <w:rFonts w:hint="eastAsia" w:hAnsi="宋体" w:cs="宋体"/>
                <w:sz w:val="24"/>
                <w:szCs w:val="24"/>
                <w:shd w:val="pct10" w:color="auto" w:fill="FFFFFF"/>
                <w:lang w:eastAsia="zh-CN"/>
              </w:rPr>
              <w:t>或</w:t>
            </w:r>
            <w:r>
              <w:rPr>
                <w:rFonts w:hint="eastAsia" w:hAnsi="宋体" w:cs="宋体"/>
                <w:sz w:val="24"/>
                <w:szCs w:val="24"/>
                <w:shd w:val="pct10" w:color="auto" w:fill="FFFFFF"/>
              </w:rPr>
              <w:t>扫描件</w:t>
            </w:r>
          </w:p>
          <w:p>
            <w:pPr>
              <w:pStyle w:val="9"/>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9"/>
              <w:spacing w:line="500" w:lineRule="exact"/>
              <w:jc w:val="left"/>
              <w:rPr>
                <w:rFonts w:hAnsi="宋体" w:cs="宋体"/>
                <w:sz w:val="24"/>
                <w:szCs w:val="24"/>
                <w:shd w:val="pct10" w:color="auto" w:fill="FFFFFF"/>
              </w:rPr>
            </w:pPr>
          </w:p>
        </w:tc>
        <w:tc>
          <w:tcPr>
            <w:tcW w:w="4546" w:type="dxa"/>
            <w:shd w:val="clear" w:color="auto" w:fill="D9D9D9"/>
            <w:vAlign w:val="center"/>
          </w:tcPr>
          <w:p>
            <w:pPr>
              <w:pStyle w:val="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w:t>
            </w:r>
            <w:r>
              <w:rPr>
                <w:rFonts w:hint="eastAsia" w:hAnsi="宋体" w:cs="宋体"/>
                <w:sz w:val="24"/>
                <w:szCs w:val="24"/>
                <w:shd w:val="pct10" w:color="auto" w:fill="FFFFFF"/>
                <w:lang w:eastAsia="zh-CN"/>
              </w:rPr>
              <w:t>或</w:t>
            </w:r>
            <w:r>
              <w:rPr>
                <w:rFonts w:hint="eastAsia" w:hAnsi="宋体" w:cs="宋体"/>
                <w:sz w:val="24"/>
                <w:szCs w:val="24"/>
                <w:shd w:val="pct10" w:color="auto" w:fill="FFFFFF"/>
              </w:rPr>
              <w:t>扫描件</w:t>
            </w:r>
          </w:p>
          <w:p>
            <w:pPr>
              <w:pStyle w:val="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9"/>
              <w:spacing w:line="500" w:lineRule="exact"/>
              <w:ind w:firstLine="480" w:firstLineChars="200"/>
              <w:jc w:val="left"/>
              <w:rPr>
                <w:rFonts w:hAnsi="宋体" w:cs="宋体"/>
                <w:sz w:val="24"/>
                <w:szCs w:val="24"/>
                <w:shd w:val="pct10" w:color="auto" w:fill="FFFFFF"/>
              </w:rPr>
            </w:pPr>
          </w:p>
        </w:tc>
      </w:tr>
    </w:tbl>
    <w:p>
      <w:pPr>
        <w:rPr>
          <w:rFonts w:hAnsi="宋体" w:cs="宋体"/>
          <w:sz w:val="24"/>
          <w:szCs w:val="24"/>
        </w:rPr>
      </w:pPr>
    </w:p>
    <w:p>
      <w:pPr>
        <w:rPr>
          <w:rFonts w:hAnsi="宋体" w:cs="宋体"/>
          <w:sz w:val="24"/>
          <w:szCs w:val="24"/>
        </w:rPr>
      </w:pPr>
    </w:p>
    <w:p>
      <w:pPr>
        <w:spacing w:line="50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非法定代表人参加投标的，须提供法定代表人委托授权书及被授权人身份证，法定代表人参加投标时,只需提供法定代表人身份证；</w:t>
      </w:r>
    </w:p>
    <w:p>
      <w:pPr>
        <w:keepNext/>
        <w:keepLines/>
        <w:spacing w:line="413" w:lineRule="auto"/>
        <w:jc w:val="center"/>
        <w:rPr>
          <w:rFonts w:ascii="宋体" w:hAnsi="宋体" w:cs="宋体"/>
          <w:sz w:val="32"/>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jc w:val="left"/>
        <w:rPr>
          <w:rFonts w:ascii="宋体" w:hAnsi="宋体" w:cs="宋体"/>
          <w:sz w:val="32"/>
          <w:szCs w:val="32"/>
        </w:rPr>
      </w:pPr>
      <w:r>
        <w:rPr>
          <w:rFonts w:hint="eastAsia" w:ascii="宋体" w:hAnsi="宋体" w:cs="宋体"/>
          <w:sz w:val="32"/>
          <w:szCs w:val="32"/>
          <w:lang w:val="en-US" w:eastAsia="zh-CN"/>
        </w:rPr>
        <w:t>8</w:t>
      </w:r>
      <w:r>
        <w:rPr>
          <w:rFonts w:hint="eastAsia" w:ascii="宋体" w:hAnsi="宋体" w:cs="宋体"/>
          <w:sz w:val="32"/>
          <w:szCs w:val="32"/>
        </w:rPr>
        <w:t>、本项目不接受联合体投标</w:t>
      </w:r>
    </w:p>
    <w:p>
      <w:pPr>
        <w:pStyle w:val="8"/>
        <w:ind w:left="420" w:leftChars="200" w:firstLine="0"/>
        <w:rPr>
          <w:rFonts w:ascii="宋体" w:hAnsi="宋体" w:cs="宋体"/>
        </w:rPr>
      </w:pPr>
    </w:p>
    <w:p>
      <w:pPr>
        <w:pStyle w:val="21"/>
        <w:ind w:firstLine="400"/>
        <w:rPr>
          <w:rFonts w:ascii="宋体" w:hAnsi="宋体" w:cs="宋体"/>
        </w:rPr>
      </w:pPr>
    </w:p>
    <w:p>
      <w:pPr>
        <w:widowControl/>
        <w:spacing w:line="360" w:lineRule="auto"/>
        <w:ind w:left="420"/>
        <w:jc w:val="center"/>
        <w:rPr>
          <w:rFonts w:ascii="宋体" w:hAnsi="宋体" w:cs="宋体"/>
          <w:sz w:val="24"/>
          <w:szCs w:val="24"/>
        </w:rPr>
      </w:pPr>
      <w:r>
        <w:rPr>
          <w:rFonts w:hint="eastAsia" w:ascii="宋体" w:hAnsi="宋体" w:cs="宋体"/>
          <w:sz w:val="24"/>
          <w:szCs w:val="24"/>
        </w:rPr>
        <w:t>非联合体投标声明</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cs="宋体"/>
          <w:kern w:val="0"/>
          <w:sz w:val="24"/>
          <w:szCs w:val="24"/>
        </w:rPr>
        <w:t>政府采购的投标</w:t>
      </w:r>
      <w:r>
        <w:rPr>
          <w:rFonts w:hint="eastAsia" w:ascii="宋体" w:hAnsi="宋体" w:cs="宋体"/>
          <w:kern w:val="0"/>
          <w:sz w:val="24"/>
          <w:szCs w:val="24"/>
        </w:rPr>
        <w:t>，我单位郑重声明：我方非联合体投标，如有虚假，承担相应责任。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pStyle w:val="2"/>
        <w:sectPr>
          <w:footerReference r:id="rId12" w:type="default"/>
          <w:pgSz w:w="11906" w:h="16838"/>
          <w:pgMar w:top="1440" w:right="1803" w:bottom="1440" w:left="1803" w:header="851" w:footer="992" w:gutter="0"/>
          <w:pgNumType w:fmt="decimal"/>
          <w:cols w:space="720" w:num="1"/>
          <w:docGrid w:type="lines" w:linePitch="319" w:charSpace="0"/>
        </w:sectPr>
      </w:pPr>
    </w:p>
    <w:p>
      <w:pPr>
        <w:pStyle w:val="4"/>
        <w:spacing w:before="312" w:beforeLines="100" w:after="468" w:afterLines="150" w:line="500" w:lineRule="exact"/>
        <w:rPr>
          <w:rFonts w:ascii="宋体" w:hAnsi="宋体"/>
          <w:sz w:val="36"/>
          <w:szCs w:val="36"/>
        </w:rPr>
      </w:pPr>
      <w:bookmarkStart w:id="83" w:name="_Toc31680"/>
      <w:r>
        <w:rPr>
          <w:rFonts w:hint="eastAsia" w:ascii="宋体" w:hAnsi="宋体" w:cs="宋体"/>
          <w:sz w:val="36"/>
          <w:szCs w:val="36"/>
        </w:rPr>
        <w:t>第五部分</w:t>
      </w:r>
      <w:bookmarkEnd w:id="82"/>
      <w:r>
        <w:rPr>
          <w:rFonts w:hint="eastAsia" w:ascii="宋体" w:hAnsi="宋体" w:cs="宋体"/>
          <w:sz w:val="36"/>
          <w:szCs w:val="36"/>
        </w:rPr>
        <w:t xml:space="preserve"> 技术与服务方案</w:t>
      </w:r>
      <w:bookmarkEnd w:id="83"/>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技术与服务方案由供应商自行编写，无具体格式。</w:t>
      </w:r>
    </w:p>
    <w:p>
      <w:pPr>
        <w:sectPr>
          <w:headerReference r:id="rId13" w:type="default"/>
          <w:pgSz w:w="11906" w:h="16838"/>
          <w:pgMar w:top="1440" w:right="1800" w:bottom="1440" w:left="1800" w:header="851" w:footer="992" w:gutter="0"/>
          <w:pgNumType w:fmt="decimal"/>
          <w:cols w:space="720" w:num="1"/>
          <w:docGrid w:type="lines" w:linePitch="312" w:charSpace="0"/>
        </w:sectPr>
      </w:pPr>
    </w:p>
    <w:p>
      <w:pPr>
        <w:pStyle w:val="4"/>
        <w:rPr>
          <w:rFonts w:ascii="宋体" w:hAnsi="宋体" w:cs="宋体"/>
          <w:sz w:val="32"/>
          <w:szCs w:val="24"/>
        </w:rPr>
      </w:pPr>
      <w:bookmarkStart w:id="84" w:name="_Toc9235"/>
      <w:r>
        <w:rPr>
          <w:rFonts w:hint="eastAsia" w:ascii="宋体" w:hAnsi="宋体" w:cs="宋体"/>
          <w:sz w:val="36"/>
          <w:szCs w:val="36"/>
        </w:rPr>
        <w:t>第六部分 服务承诺</w:t>
      </w:r>
      <w:bookmarkEnd w:id="84"/>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服务承诺由供应商自行编写，无具体格式。</w:t>
      </w:r>
    </w:p>
    <w:p>
      <w:pPr>
        <w:jc w:val="center"/>
        <w:rPr>
          <w:rFonts w:ascii="宋体" w:hAnsi="宋体" w:eastAsia="宋体" w:cs="宋体"/>
          <w:sz w:val="36"/>
          <w:szCs w:val="36"/>
        </w:rPr>
        <w:sectPr>
          <w:pgSz w:w="11906" w:h="16838"/>
          <w:pgMar w:top="1440" w:right="1800" w:bottom="1440" w:left="1800" w:header="851" w:footer="992" w:gutter="0"/>
          <w:pgNumType w:fmt="decimal"/>
          <w:cols w:space="720" w:num="1"/>
          <w:docGrid w:type="lines" w:linePitch="312" w:charSpace="0"/>
        </w:sectPr>
      </w:pPr>
    </w:p>
    <w:p>
      <w:pPr>
        <w:pStyle w:val="4"/>
        <w:numPr>
          <w:numId w:val="0"/>
        </w:numPr>
        <w:adjustRightInd w:val="0"/>
        <w:spacing w:before="319" w:beforeLines="100" w:after="478" w:afterLines="150" w:line="500" w:lineRule="exact"/>
        <w:jc w:val="center"/>
        <w:textAlignment w:val="baseline"/>
        <w:rPr>
          <w:rFonts w:hint="eastAsia" w:ascii="宋体" w:hAnsi="宋体" w:cs="宋体"/>
          <w:sz w:val="36"/>
          <w:szCs w:val="36"/>
        </w:rPr>
      </w:pPr>
      <w:r>
        <w:rPr>
          <w:rFonts w:hint="eastAsia" w:ascii="宋体" w:cs="宋体"/>
          <w:sz w:val="36"/>
          <w:szCs w:val="36"/>
          <w:lang w:eastAsia="zh-CN"/>
        </w:rPr>
        <w:t>第七部分</w:t>
      </w:r>
      <w:r>
        <w:rPr>
          <w:rFonts w:hint="eastAsia" w:ascii="宋体" w:cs="宋体"/>
          <w:sz w:val="36"/>
          <w:szCs w:val="36"/>
        </w:rPr>
        <w:t xml:space="preserve"> </w:t>
      </w:r>
      <w:bookmarkStart w:id="85" w:name="_Toc16547"/>
      <w:r>
        <w:rPr>
          <w:rFonts w:hint="eastAsia" w:ascii="宋体" w:hAnsi="宋体" w:cs="宋体"/>
          <w:sz w:val="36"/>
          <w:szCs w:val="36"/>
        </w:rPr>
        <w:t>业绩一览表</w:t>
      </w:r>
      <w:bookmarkEnd w:id="85"/>
    </w:p>
    <w:tbl>
      <w:tblPr>
        <w:tblStyle w:val="22"/>
        <w:tblpPr w:leftFromText="180" w:rightFromText="180" w:vertAnchor="text" w:horzAnchor="page" w:tblpX="2066" w:tblpY="299"/>
        <w:tblOverlap w:val="never"/>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20"/>
        <w:gridCol w:w="1641"/>
        <w:gridCol w:w="1505"/>
        <w:gridCol w:w="1522"/>
        <w:gridCol w:w="1616"/>
        <w:gridCol w:w="11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5" w:hRule="atLeast"/>
        </w:trPr>
        <w:tc>
          <w:tcPr>
            <w:tcW w:w="820" w:type="dxa"/>
            <w:tcBorders>
              <w:top w:val="single" w:color="auto" w:sz="4" w:space="0"/>
            </w:tcBorders>
            <w:noWrap w:val="0"/>
            <w:vAlign w:val="center"/>
          </w:tcPr>
          <w:p>
            <w:pPr>
              <w:spacing w:line="400" w:lineRule="exact"/>
              <w:rPr>
                <w:rFonts w:ascii="宋体" w:hAnsi="宋体" w:cs="宋体"/>
              </w:rPr>
            </w:pPr>
            <w:r>
              <w:rPr>
                <w:rFonts w:hint="eastAsia" w:ascii="宋体" w:hAnsi="宋体" w:cs="宋体"/>
              </w:rPr>
              <w:t>年份</w:t>
            </w:r>
          </w:p>
        </w:tc>
        <w:tc>
          <w:tcPr>
            <w:tcW w:w="1641" w:type="dxa"/>
            <w:tcBorders>
              <w:top w:val="single" w:color="auto" w:sz="4" w:space="0"/>
            </w:tcBorders>
            <w:noWrap w:val="0"/>
            <w:vAlign w:val="center"/>
          </w:tcPr>
          <w:p>
            <w:pPr>
              <w:spacing w:line="400" w:lineRule="exact"/>
              <w:jc w:val="center"/>
              <w:rPr>
                <w:rFonts w:ascii="宋体" w:hAnsi="宋体" w:cs="宋体"/>
              </w:rPr>
            </w:pPr>
            <w:r>
              <w:rPr>
                <w:rFonts w:hint="eastAsia" w:ascii="宋体" w:hAnsi="宋体" w:cs="宋体"/>
              </w:rPr>
              <w:t>用户名称</w:t>
            </w:r>
          </w:p>
        </w:tc>
        <w:tc>
          <w:tcPr>
            <w:tcW w:w="1505" w:type="dxa"/>
            <w:tcBorders>
              <w:top w:val="single" w:color="auto" w:sz="4" w:space="0"/>
            </w:tcBorders>
            <w:noWrap w:val="0"/>
            <w:vAlign w:val="center"/>
          </w:tcPr>
          <w:p>
            <w:pPr>
              <w:spacing w:line="400" w:lineRule="exact"/>
              <w:jc w:val="center"/>
              <w:rPr>
                <w:rFonts w:ascii="宋体" w:hAnsi="宋体" w:cs="宋体"/>
              </w:rPr>
            </w:pPr>
            <w:r>
              <w:rPr>
                <w:rFonts w:hint="eastAsia" w:ascii="宋体" w:hAnsi="宋体" w:cs="宋体"/>
              </w:rPr>
              <w:t>项目名称</w:t>
            </w:r>
          </w:p>
        </w:tc>
        <w:tc>
          <w:tcPr>
            <w:tcW w:w="1522" w:type="dxa"/>
            <w:tcBorders>
              <w:top w:val="single" w:color="auto" w:sz="4" w:space="0"/>
            </w:tcBorders>
            <w:noWrap w:val="0"/>
            <w:vAlign w:val="center"/>
          </w:tcPr>
          <w:p>
            <w:pPr>
              <w:spacing w:line="400" w:lineRule="exact"/>
              <w:jc w:val="center"/>
              <w:rPr>
                <w:rFonts w:hint="eastAsia" w:ascii="宋体" w:hAnsi="宋体" w:cs="宋体"/>
              </w:rPr>
            </w:pPr>
            <w:r>
              <w:rPr>
                <w:rFonts w:hint="eastAsia" w:ascii="宋体" w:hAnsi="宋体" w:cs="宋体"/>
              </w:rPr>
              <w:t>合同签订时间</w:t>
            </w:r>
          </w:p>
        </w:tc>
        <w:tc>
          <w:tcPr>
            <w:tcW w:w="1616" w:type="dxa"/>
            <w:tcBorders>
              <w:top w:val="single" w:color="auto" w:sz="4" w:space="0"/>
            </w:tcBorders>
            <w:noWrap w:val="0"/>
            <w:vAlign w:val="center"/>
          </w:tcPr>
          <w:p>
            <w:pPr>
              <w:spacing w:line="400" w:lineRule="exact"/>
              <w:ind w:firstLine="105" w:firstLineChars="50"/>
              <w:rPr>
                <w:rFonts w:ascii="宋体" w:hAnsi="宋体" w:cs="宋体"/>
              </w:rPr>
            </w:pPr>
            <w:r>
              <w:rPr>
                <w:rFonts w:hint="eastAsia" w:ascii="宋体" w:hAnsi="宋体" w:cs="宋体"/>
              </w:rPr>
              <w:t>合同金额</w:t>
            </w:r>
          </w:p>
        </w:tc>
        <w:tc>
          <w:tcPr>
            <w:tcW w:w="1192" w:type="dxa"/>
            <w:tcBorders>
              <w:top w:val="single" w:color="auto" w:sz="4" w:space="0"/>
              <w:left w:val="single" w:color="auto" w:sz="4" w:space="0"/>
            </w:tcBorders>
            <w:noWrap w:val="0"/>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noWrap w:val="0"/>
            <w:vAlign w:val="center"/>
          </w:tcPr>
          <w:p>
            <w:pPr>
              <w:spacing w:line="400" w:lineRule="exact"/>
              <w:jc w:val="center"/>
              <w:rPr>
                <w:rFonts w:ascii="宋体" w:hAnsi="宋体" w:cs="宋体"/>
              </w:rPr>
            </w:pPr>
          </w:p>
        </w:tc>
        <w:tc>
          <w:tcPr>
            <w:tcW w:w="1641" w:type="dxa"/>
            <w:noWrap w:val="0"/>
            <w:vAlign w:val="center"/>
          </w:tcPr>
          <w:p>
            <w:pPr>
              <w:spacing w:line="400" w:lineRule="exact"/>
              <w:jc w:val="center"/>
              <w:rPr>
                <w:rFonts w:ascii="宋体" w:hAnsi="宋体" w:cs="宋体"/>
              </w:rPr>
            </w:pPr>
          </w:p>
        </w:tc>
        <w:tc>
          <w:tcPr>
            <w:tcW w:w="1505" w:type="dxa"/>
            <w:noWrap w:val="0"/>
            <w:vAlign w:val="center"/>
          </w:tcPr>
          <w:p>
            <w:pPr>
              <w:spacing w:line="400" w:lineRule="exact"/>
              <w:jc w:val="center"/>
              <w:rPr>
                <w:rFonts w:ascii="宋体" w:hAnsi="宋体" w:cs="宋体"/>
              </w:rPr>
            </w:pPr>
          </w:p>
        </w:tc>
        <w:tc>
          <w:tcPr>
            <w:tcW w:w="1522" w:type="dxa"/>
            <w:noWrap w:val="0"/>
            <w:vAlign w:val="center"/>
          </w:tcPr>
          <w:p>
            <w:pPr>
              <w:spacing w:line="400" w:lineRule="exact"/>
              <w:jc w:val="center"/>
              <w:rPr>
                <w:rFonts w:ascii="宋体" w:hAnsi="宋体" w:cs="宋体"/>
              </w:rPr>
            </w:pPr>
          </w:p>
        </w:tc>
        <w:tc>
          <w:tcPr>
            <w:tcW w:w="1616" w:type="dxa"/>
            <w:noWrap w:val="0"/>
            <w:vAlign w:val="center"/>
          </w:tcPr>
          <w:p>
            <w:pPr>
              <w:spacing w:line="400" w:lineRule="exact"/>
              <w:jc w:val="center"/>
              <w:rPr>
                <w:rFonts w:ascii="宋体" w:hAnsi="宋体" w:cs="宋体"/>
              </w:rPr>
            </w:pPr>
          </w:p>
        </w:tc>
        <w:tc>
          <w:tcPr>
            <w:tcW w:w="1192"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noWrap w:val="0"/>
            <w:vAlign w:val="center"/>
          </w:tcPr>
          <w:p>
            <w:pPr>
              <w:spacing w:line="400" w:lineRule="exact"/>
              <w:jc w:val="center"/>
              <w:rPr>
                <w:rFonts w:ascii="宋体" w:hAnsi="宋体" w:cs="宋体"/>
              </w:rPr>
            </w:pPr>
          </w:p>
        </w:tc>
        <w:tc>
          <w:tcPr>
            <w:tcW w:w="1641" w:type="dxa"/>
            <w:noWrap w:val="0"/>
            <w:vAlign w:val="center"/>
          </w:tcPr>
          <w:p>
            <w:pPr>
              <w:spacing w:line="400" w:lineRule="exact"/>
              <w:jc w:val="center"/>
              <w:rPr>
                <w:rFonts w:ascii="宋体" w:hAnsi="宋体" w:cs="宋体"/>
              </w:rPr>
            </w:pPr>
          </w:p>
        </w:tc>
        <w:tc>
          <w:tcPr>
            <w:tcW w:w="1505" w:type="dxa"/>
            <w:noWrap w:val="0"/>
            <w:vAlign w:val="center"/>
          </w:tcPr>
          <w:p>
            <w:pPr>
              <w:spacing w:line="400" w:lineRule="exact"/>
              <w:jc w:val="center"/>
              <w:rPr>
                <w:rFonts w:ascii="宋体" w:hAnsi="宋体" w:cs="宋体"/>
              </w:rPr>
            </w:pPr>
          </w:p>
        </w:tc>
        <w:tc>
          <w:tcPr>
            <w:tcW w:w="1522" w:type="dxa"/>
            <w:noWrap w:val="0"/>
            <w:vAlign w:val="center"/>
          </w:tcPr>
          <w:p>
            <w:pPr>
              <w:spacing w:line="400" w:lineRule="exact"/>
              <w:jc w:val="center"/>
              <w:rPr>
                <w:rFonts w:ascii="宋体" w:hAnsi="宋体" w:cs="宋体"/>
              </w:rPr>
            </w:pPr>
          </w:p>
        </w:tc>
        <w:tc>
          <w:tcPr>
            <w:tcW w:w="1616" w:type="dxa"/>
            <w:noWrap w:val="0"/>
            <w:vAlign w:val="center"/>
          </w:tcPr>
          <w:p>
            <w:pPr>
              <w:spacing w:line="400" w:lineRule="exact"/>
              <w:jc w:val="center"/>
              <w:rPr>
                <w:rFonts w:ascii="宋体" w:hAnsi="宋体" w:cs="宋体"/>
              </w:rPr>
            </w:pPr>
          </w:p>
        </w:tc>
        <w:tc>
          <w:tcPr>
            <w:tcW w:w="1192"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noWrap w:val="0"/>
            <w:vAlign w:val="center"/>
          </w:tcPr>
          <w:p>
            <w:pPr>
              <w:spacing w:line="400" w:lineRule="exact"/>
              <w:jc w:val="center"/>
              <w:rPr>
                <w:rFonts w:ascii="宋体" w:hAnsi="宋体" w:cs="宋体"/>
              </w:rPr>
            </w:pPr>
          </w:p>
        </w:tc>
        <w:tc>
          <w:tcPr>
            <w:tcW w:w="1641" w:type="dxa"/>
            <w:noWrap w:val="0"/>
            <w:vAlign w:val="center"/>
          </w:tcPr>
          <w:p>
            <w:pPr>
              <w:spacing w:line="400" w:lineRule="exact"/>
              <w:jc w:val="center"/>
              <w:rPr>
                <w:rFonts w:ascii="宋体" w:hAnsi="宋体" w:cs="宋体"/>
              </w:rPr>
            </w:pPr>
          </w:p>
        </w:tc>
        <w:tc>
          <w:tcPr>
            <w:tcW w:w="1505" w:type="dxa"/>
            <w:noWrap w:val="0"/>
            <w:vAlign w:val="center"/>
          </w:tcPr>
          <w:p>
            <w:pPr>
              <w:spacing w:line="400" w:lineRule="exact"/>
              <w:jc w:val="center"/>
              <w:rPr>
                <w:rFonts w:ascii="宋体" w:hAnsi="宋体" w:cs="宋体"/>
              </w:rPr>
            </w:pPr>
          </w:p>
        </w:tc>
        <w:tc>
          <w:tcPr>
            <w:tcW w:w="1522" w:type="dxa"/>
            <w:noWrap w:val="0"/>
            <w:vAlign w:val="center"/>
          </w:tcPr>
          <w:p>
            <w:pPr>
              <w:spacing w:line="400" w:lineRule="exact"/>
              <w:jc w:val="center"/>
              <w:rPr>
                <w:rFonts w:ascii="宋体" w:hAnsi="宋体" w:cs="宋体"/>
              </w:rPr>
            </w:pPr>
          </w:p>
        </w:tc>
        <w:tc>
          <w:tcPr>
            <w:tcW w:w="1616" w:type="dxa"/>
            <w:noWrap w:val="0"/>
            <w:vAlign w:val="center"/>
          </w:tcPr>
          <w:p>
            <w:pPr>
              <w:spacing w:line="400" w:lineRule="exact"/>
              <w:jc w:val="center"/>
              <w:rPr>
                <w:rFonts w:ascii="宋体" w:hAnsi="宋体" w:cs="宋体"/>
              </w:rPr>
            </w:pPr>
          </w:p>
        </w:tc>
        <w:tc>
          <w:tcPr>
            <w:tcW w:w="1192"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noWrap w:val="0"/>
            <w:vAlign w:val="center"/>
          </w:tcPr>
          <w:p>
            <w:pPr>
              <w:spacing w:line="400" w:lineRule="exact"/>
              <w:jc w:val="center"/>
              <w:rPr>
                <w:rFonts w:ascii="宋体" w:hAnsi="宋体" w:cs="宋体"/>
              </w:rPr>
            </w:pPr>
          </w:p>
        </w:tc>
        <w:tc>
          <w:tcPr>
            <w:tcW w:w="1641" w:type="dxa"/>
            <w:tcBorders>
              <w:right w:val="single" w:color="auto" w:sz="4" w:space="0"/>
            </w:tcBorders>
            <w:noWrap w:val="0"/>
            <w:vAlign w:val="center"/>
          </w:tcPr>
          <w:p>
            <w:pPr>
              <w:spacing w:line="400" w:lineRule="exact"/>
              <w:jc w:val="center"/>
              <w:rPr>
                <w:rFonts w:ascii="宋体" w:hAnsi="宋体" w:cs="宋体"/>
              </w:rPr>
            </w:pPr>
          </w:p>
        </w:tc>
        <w:tc>
          <w:tcPr>
            <w:tcW w:w="1505" w:type="dxa"/>
            <w:tcBorders>
              <w:left w:val="single" w:color="auto" w:sz="4" w:space="0"/>
            </w:tcBorders>
            <w:noWrap w:val="0"/>
            <w:vAlign w:val="center"/>
          </w:tcPr>
          <w:p>
            <w:pPr>
              <w:spacing w:line="400" w:lineRule="exact"/>
              <w:jc w:val="center"/>
              <w:rPr>
                <w:rFonts w:ascii="宋体" w:hAnsi="宋体" w:cs="宋体"/>
              </w:rPr>
            </w:pPr>
          </w:p>
        </w:tc>
        <w:tc>
          <w:tcPr>
            <w:tcW w:w="1522" w:type="dxa"/>
            <w:noWrap w:val="0"/>
            <w:vAlign w:val="center"/>
          </w:tcPr>
          <w:p>
            <w:pPr>
              <w:spacing w:line="400" w:lineRule="exact"/>
              <w:jc w:val="center"/>
              <w:rPr>
                <w:rFonts w:ascii="宋体" w:hAnsi="宋体" w:cs="宋体"/>
              </w:rPr>
            </w:pPr>
          </w:p>
        </w:tc>
        <w:tc>
          <w:tcPr>
            <w:tcW w:w="1616" w:type="dxa"/>
            <w:noWrap w:val="0"/>
            <w:vAlign w:val="center"/>
          </w:tcPr>
          <w:p>
            <w:pPr>
              <w:spacing w:line="400" w:lineRule="exact"/>
              <w:jc w:val="center"/>
              <w:rPr>
                <w:rFonts w:ascii="宋体" w:hAnsi="宋体" w:cs="宋体"/>
              </w:rPr>
            </w:pPr>
          </w:p>
        </w:tc>
        <w:tc>
          <w:tcPr>
            <w:tcW w:w="1192"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tcBorders>
              <w:right w:val="single" w:color="auto" w:sz="4" w:space="0"/>
            </w:tcBorders>
            <w:noWrap w:val="0"/>
            <w:vAlign w:val="center"/>
          </w:tcPr>
          <w:p>
            <w:pPr>
              <w:spacing w:line="400" w:lineRule="exact"/>
              <w:rPr>
                <w:rFonts w:ascii="宋体" w:hAnsi="宋体" w:cs="宋体"/>
              </w:rPr>
            </w:pPr>
          </w:p>
        </w:tc>
        <w:tc>
          <w:tcPr>
            <w:tcW w:w="1641" w:type="dxa"/>
            <w:tcBorders>
              <w:left w:val="single" w:color="auto" w:sz="4" w:space="0"/>
              <w:right w:val="single" w:color="auto" w:sz="4" w:space="0"/>
            </w:tcBorders>
            <w:noWrap w:val="0"/>
            <w:vAlign w:val="center"/>
          </w:tcPr>
          <w:p>
            <w:pPr>
              <w:spacing w:line="400" w:lineRule="exact"/>
              <w:rPr>
                <w:rFonts w:ascii="宋体" w:hAnsi="宋体" w:cs="宋体"/>
              </w:rPr>
            </w:pPr>
          </w:p>
        </w:tc>
        <w:tc>
          <w:tcPr>
            <w:tcW w:w="1505" w:type="dxa"/>
            <w:tcBorders>
              <w:left w:val="single" w:color="auto" w:sz="4" w:space="0"/>
              <w:right w:val="single" w:color="auto" w:sz="4" w:space="0"/>
            </w:tcBorders>
            <w:noWrap w:val="0"/>
            <w:vAlign w:val="center"/>
          </w:tcPr>
          <w:p>
            <w:pPr>
              <w:spacing w:line="400" w:lineRule="exact"/>
              <w:rPr>
                <w:rFonts w:ascii="宋体" w:hAnsi="宋体" w:cs="宋体"/>
              </w:rPr>
            </w:pPr>
          </w:p>
        </w:tc>
        <w:tc>
          <w:tcPr>
            <w:tcW w:w="1522" w:type="dxa"/>
            <w:tcBorders>
              <w:left w:val="single" w:color="auto" w:sz="4" w:space="0"/>
              <w:right w:val="single" w:color="auto" w:sz="4" w:space="0"/>
            </w:tcBorders>
            <w:noWrap w:val="0"/>
            <w:vAlign w:val="center"/>
          </w:tcPr>
          <w:p>
            <w:pPr>
              <w:spacing w:line="400" w:lineRule="exact"/>
              <w:rPr>
                <w:rFonts w:ascii="宋体" w:hAnsi="宋体" w:cs="宋体"/>
              </w:rPr>
            </w:pPr>
          </w:p>
        </w:tc>
        <w:tc>
          <w:tcPr>
            <w:tcW w:w="1616" w:type="dxa"/>
            <w:tcBorders>
              <w:left w:val="single" w:color="auto" w:sz="4" w:space="0"/>
              <w:right w:val="single" w:color="auto" w:sz="4" w:space="0"/>
            </w:tcBorders>
            <w:noWrap w:val="0"/>
            <w:vAlign w:val="center"/>
          </w:tcPr>
          <w:p>
            <w:pPr>
              <w:spacing w:line="400" w:lineRule="exact"/>
              <w:rPr>
                <w:rFonts w:ascii="宋体" w:hAnsi="宋体" w:cs="宋体"/>
              </w:rPr>
            </w:pPr>
          </w:p>
        </w:tc>
        <w:tc>
          <w:tcPr>
            <w:tcW w:w="1192" w:type="dxa"/>
            <w:tcBorders>
              <w:left w:val="single" w:color="auto" w:sz="4" w:space="0"/>
            </w:tcBorders>
            <w:noWrap w:val="0"/>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noWrap w:val="0"/>
            <w:vAlign w:val="center"/>
          </w:tcPr>
          <w:p>
            <w:pPr>
              <w:spacing w:line="400" w:lineRule="exact"/>
              <w:rPr>
                <w:rFonts w:ascii="宋体" w:hAnsi="宋体" w:cs="宋体"/>
              </w:rPr>
            </w:pPr>
          </w:p>
        </w:tc>
        <w:tc>
          <w:tcPr>
            <w:tcW w:w="1641" w:type="dxa"/>
            <w:noWrap w:val="0"/>
            <w:vAlign w:val="center"/>
          </w:tcPr>
          <w:p>
            <w:pPr>
              <w:spacing w:line="400" w:lineRule="exact"/>
              <w:rPr>
                <w:rFonts w:ascii="宋体" w:hAnsi="宋体" w:cs="宋体"/>
              </w:rPr>
            </w:pPr>
          </w:p>
        </w:tc>
        <w:tc>
          <w:tcPr>
            <w:tcW w:w="1505" w:type="dxa"/>
            <w:noWrap w:val="0"/>
            <w:vAlign w:val="center"/>
          </w:tcPr>
          <w:p>
            <w:pPr>
              <w:spacing w:line="400" w:lineRule="exact"/>
              <w:rPr>
                <w:rFonts w:ascii="宋体" w:hAnsi="宋体" w:cs="宋体"/>
              </w:rPr>
            </w:pPr>
          </w:p>
        </w:tc>
        <w:tc>
          <w:tcPr>
            <w:tcW w:w="1522" w:type="dxa"/>
            <w:noWrap w:val="0"/>
            <w:vAlign w:val="center"/>
          </w:tcPr>
          <w:p>
            <w:pPr>
              <w:spacing w:line="400" w:lineRule="exact"/>
              <w:rPr>
                <w:rFonts w:ascii="宋体" w:hAnsi="宋体" w:cs="宋体"/>
              </w:rPr>
            </w:pPr>
          </w:p>
        </w:tc>
        <w:tc>
          <w:tcPr>
            <w:tcW w:w="1616" w:type="dxa"/>
            <w:tcBorders>
              <w:right w:val="single" w:color="auto" w:sz="4" w:space="0"/>
            </w:tcBorders>
            <w:noWrap w:val="0"/>
            <w:vAlign w:val="center"/>
          </w:tcPr>
          <w:p>
            <w:pPr>
              <w:spacing w:line="400" w:lineRule="exact"/>
              <w:rPr>
                <w:rFonts w:ascii="宋体" w:hAnsi="宋体" w:cs="宋体"/>
              </w:rPr>
            </w:pPr>
          </w:p>
        </w:tc>
        <w:tc>
          <w:tcPr>
            <w:tcW w:w="1192" w:type="dxa"/>
            <w:tcBorders>
              <w:left w:val="single" w:color="auto" w:sz="4" w:space="0"/>
            </w:tcBorders>
            <w:noWrap w:val="0"/>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9" w:hRule="atLeast"/>
        </w:trPr>
        <w:tc>
          <w:tcPr>
            <w:tcW w:w="820" w:type="dxa"/>
            <w:tcBorders>
              <w:bottom w:val="single" w:color="auto" w:sz="4" w:space="0"/>
            </w:tcBorders>
            <w:noWrap w:val="0"/>
            <w:vAlign w:val="center"/>
          </w:tcPr>
          <w:p>
            <w:pPr>
              <w:spacing w:line="400" w:lineRule="exact"/>
              <w:jc w:val="center"/>
              <w:rPr>
                <w:rFonts w:ascii="宋体" w:hAnsi="宋体" w:cs="宋体"/>
              </w:rPr>
            </w:pPr>
          </w:p>
        </w:tc>
        <w:tc>
          <w:tcPr>
            <w:tcW w:w="1641" w:type="dxa"/>
            <w:tcBorders>
              <w:bottom w:val="single" w:color="auto" w:sz="4" w:space="0"/>
            </w:tcBorders>
            <w:noWrap w:val="0"/>
            <w:vAlign w:val="center"/>
          </w:tcPr>
          <w:p>
            <w:pPr>
              <w:spacing w:line="400" w:lineRule="exact"/>
              <w:jc w:val="center"/>
              <w:rPr>
                <w:rFonts w:ascii="宋体" w:hAnsi="宋体" w:cs="宋体"/>
              </w:rPr>
            </w:pPr>
          </w:p>
        </w:tc>
        <w:tc>
          <w:tcPr>
            <w:tcW w:w="1505" w:type="dxa"/>
            <w:tcBorders>
              <w:bottom w:val="single" w:color="auto" w:sz="4" w:space="0"/>
            </w:tcBorders>
            <w:noWrap w:val="0"/>
            <w:vAlign w:val="center"/>
          </w:tcPr>
          <w:p>
            <w:pPr>
              <w:spacing w:line="400" w:lineRule="exact"/>
              <w:jc w:val="center"/>
              <w:rPr>
                <w:rFonts w:ascii="宋体" w:hAnsi="宋体" w:cs="宋体"/>
              </w:rPr>
            </w:pPr>
          </w:p>
        </w:tc>
        <w:tc>
          <w:tcPr>
            <w:tcW w:w="1522" w:type="dxa"/>
            <w:tcBorders>
              <w:bottom w:val="single" w:color="auto" w:sz="4" w:space="0"/>
            </w:tcBorders>
            <w:noWrap w:val="0"/>
            <w:vAlign w:val="center"/>
          </w:tcPr>
          <w:p>
            <w:pPr>
              <w:spacing w:line="400" w:lineRule="exact"/>
              <w:jc w:val="center"/>
              <w:rPr>
                <w:rFonts w:ascii="宋体" w:hAnsi="宋体" w:cs="宋体"/>
              </w:rPr>
            </w:pPr>
          </w:p>
        </w:tc>
        <w:tc>
          <w:tcPr>
            <w:tcW w:w="1616" w:type="dxa"/>
            <w:tcBorders>
              <w:bottom w:val="single" w:color="auto" w:sz="4" w:space="0"/>
              <w:right w:val="single" w:color="auto" w:sz="4" w:space="0"/>
            </w:tcBorders>
            <w:noWrap w:val="0"/>
            <w:vAlign w:val="center"/>
          </w:tcPr>
          <w:p>
            <w:pPr>
              <w:spacing w:line="400" w:lineRule="exact"/>
              <w:jc w:val="center"/>
              <w:rPr>
                <w:rFonts w:ascii="宋体" w:hAnsi="宋体" w:cs="宋体"/>
              </w:rPr>
            </w:pPr>
          </w:p>
        </w:tc>
        <w:tc>
          <w:tcPr>
            <w:tcW w:w="1192" w:type="dxa"/>
            <w:tcBorders>
              <w:left w:val="single" w:color="auto" w:sz="4" w:space="0"/>
              <w:bottom w:val="single" w:color="auto" w:sz="4" w:space="0"/>
            </w:tcBorders>
            <w:noWrap w:val="0"/>
            <w:vAlign w:val="center"/>
          </w:tcPr>
          <w:p>
            <w:pPr>
              <w:spacing w:line="400" w:lineRule="exact"/>
              <w:jc w:val="center"/>
              <w:rPr>
                <w:rFonts w:ascii="宋体" w:hAnsi="宋体" w:cs="宋体"/>
              </w:rPr>
            </w:pPr>
          </w:p>
        </w:tc>
      </w:tr>
    </w:tbl>
    <w:p>
      <w:pPr>
        <w:rPr>
          <w:rFonts w:ascii="宋体" w:hAnsi="宋体" w:cs="宋体"/>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宋体" w:hAnsi="宋体"/>
          <w:sz w:val="24"/>
          <w:szCs w:val="24"/>
        </w:rPr>
      </w:pPr>
      <w:r>
        <w:rPr>
          <w:rFonts w:hint="eastAsia" w:ascii="宋体" w:hAnsi="宋体"/>
          <w:sz w:val="24"/>
          <w:szCs w:val="24"/>
        </w:rPr>
        <w:t>注：以上业绩需提供合同复印件，原件备查。</w:t>
      </w:r>
    </w:p>
    <w:p>
      <w:pPr>
        <w:adjustRightInd w:val="0"/>
        <w:snapToGrid w:val="0"/>
        <w:spacing w:line="480" w:lineRule="auto"/>
        <w:jc w:val="left"/>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 xml:space="preserve"> </w:t>
      </w:r>
    </w:p>
    <w:p>
      <w:pPr>
        <w:adjustRightInd w:val="0"/>
        <w:snapToGrid w:val="0"/>
        <w:spacing w:line="48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ind w:firstLine="480" w:firstLineChars="200"/>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ind w:firstLine="480" w:firstLineChars="200"/>
        <w:rPr>
          <w:rFonts w:ascii="宋体" w:hAnsi="宋体" w:cs="宋体"/>
          <w:sz w:val="24"/>
          <w:szCs w:val="24"/>
        </w:rPr>
      </w:pPr>
      <w:r>
        <w:rPr>
          <w:rFonts w:hint="eastAsia" w:ascii="宋体" w:hAnsi="宋体" w:cs="宋体"/>
          <w:sz w:val="24"/>
          <w:szCs w:val="24"/>
        </w:rPr>
        <w:t>日    期：_____年_____月_____日</w:t>
      </w:r>
    </w:p>
    <w:p>
      <w:pPr>
        <w:numPr>
          <w:numId w:val="0"/>
        </w:numPr>
        <w:jc w:val="center"/>
        <w:outlineLvl w:val="9"/>
        <w:rPr>
          <w:rFonts w:hint="eastAsia" w:ascii="宋体" w:hAnsi="宋体" w:eastAsia="宋体" w:cs="宋体"/>
          <w:b/>
          <w:sz w:val="28"/>
        </w:rPr>
      </w:pPr>
      <w:r>
        <w:rPr>
          <w:rFonts w:hint="eastAsia" w:ascii="宋体" w:hAnsi="宋体" w:eastAsia="宋体" w:cs="宋体"/>
          <w:b/>
          <w:sz w:val="28"/>
        </w:rPr>
        <w:t xml:space="preserve"> </w:t>
      </w:r>
      <w:bookmarkStart w:id="86" w:name="_Toc6099"/>
    </w:p>
    <w:p>
      <w:pPr>
        <w:rPr>
          <w:rFonts w:hint="eastAsia" w:ascii="宋体" w:hAnsi="宋体" w:eastAsia="宋体" w:cs="宋体"/>
          <w:b/>
          <w:sz w:val="28"/>
        </w:rPr>
      </w:pPr>
      <w:r>
        <w:rPr>
          <w:rFonts w:hint="eastAsia" w:ascii="宋体" w:hAnsi="宋体" w:eastAsia="宋体" w:cs="宋体"/>
          <w:b/>
          <w:sz w:val="28"/>
        </w:rPr>
        <w:br w:type="page"/>
      </w:r>
    </w:p>
    <w:p>
      <w:pPr>
        <w:numPr>
          <w:numId w:val="0"/>
        </w:numPr>
        <w:jc w:val="center"/>
        <w:outlineLvl w:val="1"/>
        <w:rPr>
          <w:rFonts w:ascii="宋体" w:hAnsi="宋体" w:eastAsia="宋体" w:cs="宋体"/>
          <w:b/>
          <w:sz w:val="28"/>
        </w:rPr>
      </w:pPr>
      <w:r>
        <w:rPr>
          <w:rFonts w:hint="eastAsia" w:ascii="宋体" w:hAnsi="宋体" w:eastAsia="宋体" w:cs="宋体"/>
          <w:b/>
          <w:sz w:val="28"/>
          <w:lang w:eastAsia="zh-CN"/>
        </w:rPr>
        <w:t>第八部分</w:t>
      </w:r>
      <w:r>
        <w:rPr>
          <w:rFonts w:hint="eastAsia" w:ascii="宋体" w:hAnsi="宋体" w:eastAsia="宋体" w:cs="宋体"/>
          <w:b/>
          <w:sz w:val="28"/>
          <w:lang w:val="en-US" w:eastAsia="zh-CN"/>
        </w:rPr>
        <w:t xml:space="preserve"> </w:t>
      </w:r>
      <w:r>
        <w:rPr>
          <w:rFonts w:hint="eastAsia" w:ascii="宋体" w:hAnsi="宋体" w:eastAsia="宋体" w:cs="宋体"/>
          <w:b/>
          <w:sz w:val="28"/>
        </w:rPr>
        <w:t>供应商认为有必要说明的其他问题</w:t>
      </w:r>
      <w:bookmarkEnd w:id="86"/>
    </w:p>
    <w:p>
      <w:pPr>
        <w:widowControl/>
        <w:spacing w:line="360" w:lineRule="auto"/>
        <w:ind w:left="420" w:leftChars="200" w:firstLine="0" w:firstLineChars="0"/>
        <w:jc w:val="left"/>
        <w:rPr>
          <w:rFonts w:ascii="宋体" w:hAnsi="宋体" w:cs="宋体"/>
          <w:sz w:val="24"/>
          <w:szCs w:val="24"/>
        </w:rPr>
        <w:sectPr>
          <w:pgSz w:w="11906" w:h="16838"/>
          <w:pgMar w:top="1440" w:right="1080" w:bottom="1440" w:left="1080" w:header="851" w:footer="992" w:gutter="0"/>
          <w:pgNumType w:fmt="decimal"/>
          <w:cols w:space="720" w:num="1"/>
          <w:docGrid w:type="lines" w:linePitch="319" w:charSpace="0"/>
        </w:sectPr>
      </w:pPr>
    </w:p>
    <w:p>
      <w:pPr>
        <w:pStyle w:val="4"/>
        <w:adjustRightInd w:val="0"/>
        <w:spacing w:line="416" w:lineRule="atLeast"/>
        <w:jc w:val="left"/>
        <w:textAlignment w:val="baseline"/>
        <w:rPr>
          <w:rFonts w:ascii="宋体" w:hAnsi="宋体" w:cs="宋体"/>
        </w:rPr>
      </w:pPr>
      <w:bookmarkStart w:id="87" w:name="_Toc13463"/>
      <w:r>
        <w:rPr>
          <w:rFonts w:hint="eastAsia" w:ascii="宋体" w:hAnsi="宋体" w:cs="宋体"/>
        </w:rPr>
        <w:t>附件一、封袋正面标识式样</w:t>
      </w:r>
      <w:bookmarkEnd w:id="87"/>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响应文件正本封袋正面标识式样</w:t>
      </w: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-423545</wp:posOffset>
                </wp:positionH>
                <wp:positionV relativeFrom="paragraph">
                  <wp:posOffset>132080</wp:posOffset>
                </wp:positionV>
                <wp:extent cx="6255385" cy="3545840"/>
                <wp:effectExtent l="4445" t="4445" r="7620" b="12065"/>
                <wp:wrapNone/>
                <wp:docPr id="13" name="Text Box 3"/>
                <wp:cNvGraphicFramePr/>
                <a:graphic xmlns:a="http://schemas.openxmlformats.org/drawingml/2006/main">
                  <a:graphicData uri="http://schemas.microsoft.com/office/word/2010/wordprocessingShape">
                    <wps:wsp>
                      <wps:cNvSpPr txBox="1"/>
                      <wps:spPr>
                        <a:xfrm>
                          <a:off x="0" y="0"/>
                          <a:ext cx="6255385" cy="3545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ZMZB2022BLLZ-137</w:t>
                            </w:r>
                          </w:p>
                          <w:p>
                            <w:pPr>
                              <w:rPr>
                                <w:sz w:val="28"/>
                                <w:szCs w:val="28"/>
                              </w:rPr>
                            </w:pPr>
                            <w:r>
                              <w:rPr>
                                <w:rFonts w:hint="eastAsia"/>
                                <w:sz w:val="28"/>
                                <w:szCs w:val="28"/>
                              </w:rPr>
                              <w:t>项目名称：</w:t>
                            </w:r>
                            <w:r>
                              <w:rPr>
                                <w:rFonts w:hint="eastAsia"/>
                                <w:sz w:val="28"/>
                                <w:szCs w:val="28"/>
                                <w:lang w:eastAsia="zh-CN"/>
                              </w:rPr>
                              <w:t>西安市第六中学分校图书馆智慧系统及监控系统采购项目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35pt;margin-top:10.4pt;height:279.2pt;width:492.55pt;z-index:251663360;mso-width-relative:page;mso-height-relative:page;" fillcolor="#FFFFFF" filled="t" stroked="t" coordsize="21600,21600" o:gfxdata="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I6P+2gAAAAoBAAAPAAAAAAAAAAEAIAAAACIAAABk&#10;cnMvZG93bnJldi54bWxQSwECFAAUAAAACACHTuJAUs0VsAQCAABFBAAADgAAAAAAAAABACAAAAAp&#10;AQAAZHJzL2Uyb0RvYy54bWxQSwUGAAAAAAYABgBZAQAAnwU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ZMZB2022BLLZ-137</w:t>
                      </w:r>
                    </w:p>
                    <w:p>
                      <w:pPr>
                        <w:rPr>
                          <w:sz w:val="28"/>
                          <w:szCs w:val="28"/>
                        </w:rPr>
                      </w:pPr>
                      <w:r>
                        <w:rPr>
                          <w:rFonts w:hint="eastAsia"/>
                          <w:sz w:val="28"/>
                          <w:szCs w:val="28"/>
                        </w:rPr>
                        <w:t>项目名称：</w:t>
                      </w:r>
                      <w:r>
                        <w:rPr>
                          <w:rFonts w:hint="eastAsia"/>
                          <w:sz w:val="28"/>
                          <w:szCs w:val="28"/>
                          <w:lang w:eastAsia="zh-CN"/>
                        </w:rPr>
                        <w:t>西安市第六中学分校图书馆智慧系统及监控系统采购项目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响应文件副本封袋正面标识式样</w: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ascii="宋体" w:hAnsi="宋体" w:eastAsia="宋体" w:cs="宋体"/>
          <w:b/>
          <w:sz w:val="24"/>
        </w:rPr>
        <mc:AlternateContent>
          <mc:Choice Requires="wps">
            <w:drawing>
              <wp:anchor distT="0" distB="0" distL="114300" distR="114300" simplePos="0" relativeHeight="251664384" behindDoc="0" locked="0" layoutInCell="1" allowOverlap="1">
                <wp:simplePos x="0" y="0"/>
                <wp:positionH relativeFrom="column">
                  <wp:posOffset>-413385</wp:posOffset>
                </wp:positionH>
                <wp:positionV relativeFrom="paragraph">
                  <wp:posOffset>76835</wp:posOffset>
                </wp:positionV>
                <wp:extent cx="6288405" cy="3580765"/>
                <wp:effectExtent l="4445" t="4445" r="12700" b="15240"/>
                <wp:wrapNone/>
                <wp:docPr id="12" name="Text Box 4"/>
                <wp:cNvGraphicFramePr/>
                <a:graphic xmlns:a="http://schemas.openxmlformats.org/drawingml/2006/main">
                  <a:graphicData uri="http://schemas.microsoft.com/office/word/2010/wordprocessingShape">
                    <wps:wsp>
                      <wps:cNvSpPr txBox="1"/>
                      <wps:spPr>
                        <a:xfrm>
                          <a:off x="0" y="0"/>
                          <a:ext cx="6288405" cy="3580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ZMZB2022BLLZ-137</w:t>
                            </w:r>
                          </w:p>
                          <w:p>
                            <w:pPr>
                              <w:rPr>
                                <w:sz w:val="28"/>
                                <w:szCs w:val="28"/>
                              </w:rPr>
                            </w:pPr>
                            <w:r>
                              <w:rPr>
                                <w:rFonts w:hint="eastAsia"/>
                                <w:sz w:val="28"/>
                                <w:szCs w:val="28"/>
                              </w:rPr>
                              <w:t>项目名称：</w:t>
                            </w:r>
                            <w:r>
                              <w:rPr>
                                <w:rFonts w:hint="eastAsia"/>
                                <w:sz w:val="28"/>
                                <w:szCs w:val="28"/>
                                <w:lang w:eastAsia="zh-CN"/>
                              </w:rPr>
                              <w:t>西安市第六中学分校图书馆智慧系统及监控系统采购项目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4" o:spid="_x0000_s1026" o:spt="202" type="#_x0000_t202" style="position:absolute;left:0pt;margin-left:-32.55pt;margin-top:6.05pt;height:281.95pt;width:495.15pt;z-index:251664384;mso-width-relative:page;mso-height-relative:page;" fillcolor="#FFFFFF" filled="t" stroked="t" coordsize="21600,21600" o:gfxdata="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QpBndoAAAAKAQAADwAAAAAAAAABACAAAAAiAAAAZHJz&#10;L2Rvd25yZXYueG1sUEsBAhQAFAAAAAgAh07iQNdb0Lk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ZMZB2022BLLZ-137</w:t>
                      </w:r>
                    </w:p>
                    <w:p>
                      <w:pPr>
                        <w:rPr>
                          <w:sz w:val="28"/>
                          <w:szCs w:val="28"/>
                        </w:rPr>
                      </w:pPr>
                      <w:r>
                        <w:rPr>
                          <w:rFonts w:hint="eastAsia"/>
                          <w:sz w:val="28"/>
                          <w:szCs w:val="28"/>
                        </w:rPr>
                        <w:t>项目名称：</w:t>
                      </w:r>
                      <w:r>
                        <w:rPr>
                          <w:rFonts w:hint="eastAsia"/>
                          <w:sz w:val="28"/>
                          <w:szCs w:val="28"/>
                          <w:lang w:eastAsia="zh-CN"/>
                        </w:rPr>
                        <w:t>西安市第六中学分校图书馆智慧系统及监控系统采购项目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tabs>
          <w:tab w:val="left" w:pos="8280"/>
        </w:tabs>
        <w:spacing w:line="460" w:lineRule="exact"/>
        <w:ind w:firstLine="482" w:firstLineChars="200"/>
        <w:jc w:val="center"/>
        <w:rPr>
          <w:rFonts w:ascii="宋体" w:hAnsi="宋体" w:eastAsia="宋体" w:cs="宋体"/>
          <w:b/>
          <w:sz w:val="24"/>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1004" w:firstLineChars="200"/>
        <w:jc w:val="center"/>
        <w:rPr>
          <w:rFonts w:ascii="宋体" w:hAnsi="宋体" w:eastAsia="宋体" w:cs="宋体"/>
          <w:b/>
          <w:sz w:val="50"/>
        </w:rPr>
      </w:pPr>
    </w:p>
    <w:p>
      <w:pPr>
        <w:widowControl/>
        <w:spacing w:line="460" w:lineRule="exact"/>
        <w:ind w:firstLine="480" w:firstLineChars="200"/>
        <w:jc w:val="center"/>
        <w:rPr>
          <w:rFonts w:ascii="宋体" w:hAnsi="宋体" w:eastAsia="宋体" w:cs="宋体"/>
          <w:sz w:val="24"/>
          <w:szCs w:val="28"/>
        </w:rPr>
        <w:sectPr>
          <w:pgSz w:w="11906" w:h="16838"/>
          <w:pgMar w:top="1440" w:right="1800" w:bottom="1440" w:left="1800" w:header="851" w:footer="992" w:gutter="0"/>
          <w:pgNumType w:fmt="decimal"/>
          <w:cols w:space="720" w:num="1"/>
          <w:docGrid w:type="lines" w:linePitch="312" w:charSpace="0"/>
        </w:sect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响应一览表封袋正面标识式样</w:t>
      </w:r>
    </w:p>
    <w:p>
      <w:pPr>
        <w:spacing w:line="460" w:lineRule="exact"/>
        <w:ind w:firstLine="482" w:firstLineChars="200"/>
        <w:jc w:val="center"/>
        <w:rPr>
          <w:rFonts w:ascii="宋体" w:hAnsi="宋体" w:eastAsia="宋体" w:cs="宋体"/>
          <w:b/>
          <w:sz w:val="24"/>
        </w:rPr>
      </w:pP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188595</wp:posOffset>
                </wp:positionV>
                <wp:extent cx="6244590" cy="3326765"/>
                <wp:effectExtent l="4445" t="5080" r="18415" b="20955"/>
                <wp:wrapNone/>
                <wp:docPr id="11" name="Text Box 3"/>
                <wp:cNvGraphicFramePr/>
                <a:graphic xmlns:a="http://schemas.openxmlformats.org/drawingml/2006/main">
                  <a:graphicData uri="http://schemas.microsoft.com/office/word/2010/wordprocessingShape">
                    <wps:wsp>
                      <wps:cNvSpPr txBox="1"/>
                      <wps:spPr>
                        <a:xfrm>
                          <a:off x="0" y="0"/>
                          <a:ext cx="6244590" cy="3326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ZMZB2022BLLZ-137</w:t>
                            </w:r>
                          </w:p>
                          <w:p>
                            <w:pPr>
                              <w:rPr>
                                <w:sz w:val="28"/>
                                <w:szCs w:val="28"/>
                              </w:rPr>
                            </w:pPr>
                            <w:r>
                              <w:rPr>
                                <w:rFonts w:hint="eastAsia"/>
                                <w:sz w:val="28"/>
                                <w:szCs w:val="28"/>
                              </w:rPr>
                              <w:t>项目名称：</w:t>
                            </w:r>
                            <w:r>
                              <w:rPr>
                                <w:rFonts w:hint="eastAsia"/>
                                <w:sz w:val="28"/>
                                <w:szCs w:val="28"/>
                                <w:lang w:eastAsia="zh-CN"/>
                              </w:rPr>
                              <w:t>西安市第六中学分校图书馆智慧系统及监控系统采购项目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2pt;margin-top:14.85pt;height:261.95pt;width:491.7pt;z-index:251666432;mso-width-relative:page;mso-height-relative:page;" fillcolor="#FFFFFF" filled="t" stroked="t" coordsize="21600,21600" o:gfxdata="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HfzNtoAAAAKAQAADwAAAAAAAAABACAAAAAiAAAAZHJz&#10;L2Rvd25yZXYueG1sUEsBAhQAFAAAAAgAh07iQErSq/0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ZMZB2022BLLZ-137</w:t>
                      </w:r>
                    </w:p>
                    <w:p>
                      <w:pPr>
                        <w:rPr>
                          <w:sz w:val="28"/>
                          <w:szCs w:val="28"/>
                        </w:rPr>
                      </w:pPr>
                      <w:r>
                        <w:rPr>
                          <w:rFonts w:hint="eastAsia"/>
                          <w:sz w:val="28"/>
                          <w:szCs w:val="28"/>
                        </w:rPr>
                        <w:t>项目名称：</w:t>
                      </w:r>
                      <w:r>
                        <w:rPr>
                          <w:rFonts w:hint="eastAsia"/>
                          <w:sz w:val="28"/>
                          <w:szCs w:val="28"/>
                          <w:lang w:eastAsia="zh-CN"/>
                        </w:rPr>
                        <w:t>西安市第六中学分校图书馆智慧系统及监控系统采购项目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center"/>
        <w:rPr>
          <w:rFonts w:ascii="宋体" w:hAnsi="宋体" w:eastAsia="宋体" w:cs="宋体"/>
          <w:b/>
          <w:sz w:val="24"/>
        </w:rPr>
      </w:pPr>
      <w:r>
        <w:rPr>
          <w:rFonts w:hint="eastAsia" w:ascii="宋体" w:hAnsi="宋体" w:eastAsia="宋体" w:cs="宋体"/>
          <w:b/>
          <w:sz w:val="24"/>
        </w:rPr>
        <w:t>电子文档封袋正面标识式样</w:t>
      </w:r>
    </w:p>
    <w:p>
      <w:pPr>
        <w:tabs>
          <w:tab w:val="left" w:pos="8280"/>
        </w:tabs>
        <w:spacing w:line="460" w:lineRule="exact"/>
        <w:ind w:firstLine="420" w:firstLineChars="200"/>
        <w:jc w:val="left"/>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8480" behindDoc="0" locked="0" layoutInCell="1" allowOverlap="1">
                <wp:simplePos x="0" y="0"/>
                <wp:positionH relativeFrom="column">
                  <wp:posOffset>-425450</wp:posOffset>
                </wp:positionH>
                <wp:positionV relativeFrom="paragraph">
                  <wp:posOffset>55245</wp:posOffset>
                </wp:positionV>
                <wp:extent cx="6351270" cy="3234055"/>
                <wp:effectExtent l="5080" t="5080" r="6350" b="18415"/>
                <wp:wrapNone/>
                <wp:docPr id="10" name="Text Box 3"/>
                <wp:cNvGraphicFramePr/>
                <a:graphic xmlns:a="http://schemas.openxmlformats.org/drawingml/2006/main">
                  <a:graphicData uri="http://schemas.microsoft.com/office/word/2010/wordprocessingShape">
                    <wps:wsp>
                      <wps:cNvSpPr txBox="1"/>
                      <wps:spPr>
                        <a:xfrm>
                          <a:off x="0" y="0"/>
                          <a:ext cx="6455410" cy="3234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ZMZB2022BLLZ-137</w:t>
                            </w:r>
                          </w:p>
                          <w:p>
                            <w:pPr>
                              <w:rPr>
                                <w:sz w:val="28"/>
                                <w:szCs w:val="28"/>
                              </w:rPr>
                            </w:pPr>
                            <w:r>
                              <w:rPr>
                                <w:rFonts w:hint="eastAsia"/>
                                <w:sz w:val="28"/>
                                <w:szCs w:val="28"/>
                              </w:rPr>
                              <w:t>项目名称：</w:t>
                            </w:r>
                            <w:r>
                              <w:rPr>
                                <w:rFonts w:hint="eastAsia"/>
                                <w:sz w:val="28"/>
                                <w:szCs w:val="28"/>
                                <w:lang w:eastAsia="zh-CN"/>
                              </w:rPr>
                              <w:t>西安市第六中学分校图书馆智慧系统及监控系统采购项目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5pt;margin-top:4.35pt;height:254.65pt;width:500.1pt;z-index:251668480;mso-width-relative:page;mso-height-relative:page;" fillcolor="#FFFFFF" filled="t" stroked="t" coordsize="21600,21600" o:gfxdata="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eK+ZtkAAAAJAQAADwAAAAAAAAABACAAAAAiAAAAZHJzL2Rv&#10;d25yZXYueG1sUEsBAhQAFAAAAAgAh07iQPF8YFAAAgAARQQAAA4AAAAAAAAAAQAgAAAAKAEAAGRy&#10;cy9lMm9Eb2MueG1sUEsFBgAAAAAGAAYAWQEAAJo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ZMZB2022BLLZ-137</w:t>
                      </w:r>
                    </w:p>
                    <w:p>
                      <w:pPr>
                        <w:rPr>
                          <w:sz w:val="28"/>
                          <w:szCs w:val="28"/>
                        </w:rPr>
                      </w:pPr>
                      <w:r>
                        <w:rPr>
                          <w:rFonts w:hint="eastAsia"/>
                          <w:sz w:val="28"/>
                          <w:szCs w:val="28"/>
                        </w:rPr>
                        <w:t>项目名称：</w:t>
                      </w:r>
                      <w:r>
                        <w:rPr>
                          <w:rFonts w:hint="eastAsia"/>
                          <w:sz w:val="28"/>
                          <w:szCs w:val="28"/>
                          <w:lang w:eastAsia="zh-CN"/>
                        </w:rPr>
                        <w:t>西安市第六中学分校图书馆智慧系统及监控系统采购项目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1004" w:firstLineChars="200"/>
        <w:jc w:val="left"/>
        <w:rPr>
          <w:rFonts w:ascii="宋体" w:hAnsi="宋体" w:eastAsia="宋体" w:cs="宋体"/>
          <w:b/>
          <w:sz w:val="50"/>
        </w:rPr>
      </w:pPr>
    </w:p>
    <w:p>
      <w:pPr>
        <w:pageBreakBefore/>
        <w:spacing w:line="420" w:lineRule="auto"/>
        <w:rPr>
          <w:rFonts w:ascii="宋体" w:hAnsi="宋体" w:eastAsia="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88" w:name="_Toc11632"/>
      <w:bookmarkStart w:id="89" w:name="_Toc3008"/>
      <w:bookmarkStart w:id="90" w:name="_Toc8177"/>
      <w:bookmarkStart w:id="91" w:name="_Toc1641"/>
      <w:bookmarkStart w:id="92" w:name="_Toc20088"/>
      <w:bookmarkStart w:id="93" w:name="_Toc30485"/>
      <w:bookmarkStart w:id="94" w:name="_Toc17991"/>
      <w:bookmarkStart w:id="95" w:name="_Toc2630"/>
      <w:bookmarkStart w:id="96" w:name="_Toc18633"/>
      <w:bookmarkStart w:id="97" w:name="_Toc20374"/>
      <w:bookmarkStart w:id="98" w:name="_Toc31667"/>
      <w:bookmarkStart w:id="99" w:name="_Toc30536"/>
      <w:bookmarkStart w:id="100" w:name="_Toc30870"/>
      <w:bookmarkStart w:id="101" w:name="_Toc15467"/>
      <w:bookmarkStart w:id="102" w:name="_Toc22153"/>
      <w:bookmarkStart w:id="103" w:name="_Toc14361"/>
      <w:bookmarkStart w:id="104" w:name="_Toc13303"/>
      <w:r>
        <w:rPr>
          <w:rFonts w:hint="eastAsia" w:ascii="宋体" w:hAnsi="宋体" w:cs="宋体"/>
        </w:rPr>
        <w:t>附件二、中小企业</w:t>
      </w:r>
      <w:bookmarkEnd w:id="88"/>
      <w:bookmarkEnd w:id="89"/>
      <w:bookmarkEnd w:id="90"/>
      <w:bookmarkEnd w:id="91"/>
      <w:bookmarkEnd w:id="92"/>
      <w:bookmarkEnd w:id="93"/>
      <w:bookmarkEnd w:id="94"/>
      <w:bookmarkEnd w:id="95"/>
      <w:bookmarkEnd w:id="96"/>
      <w:bookmarkEnd w:id="97"/>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bookmarkEnd w:id="98"/>
    </w:p>
    <w:p>
      <w:pPr>
        <w:keepNext w:val="0"/>
        <w:keepLines w:val="0"/>
        <w:pageBreakBefore w:val="0"/>
        <w:widowControl w:val="0"/>
        <w:kinsoku/>
        <w:wordWrap/>
        <w:overflowPunct/>
        <w:topLinePunct w:val="0"/>
        <w:autoSpaceDE/>
        <w:autoSpaceDN/>
        <w:bidi w:val="0"/>
        <w:adjustRightInd/>
        <w:snapToGrid/>
        <w:spacing w:line="360" w:lineRule="auto"/>
        <w:ind w:right="142" w:firstLine="480" w:firstLineChars="200"/>
        <w:textAlignment w:val="auto"/>
        <w:rPr>
          <w:rFonts w:ascii="宋体" w:hAnsi="宋体" w:cs="宋体"/>
          <w:sz w:val="24"/>
          <w:szCs w:val="24"/>
          <w:highlight w:val="none"/>
        </w:rPr>
      </w:pPr>
      <w:bookmarkStart w:id="105" w:name="_Toc10807"/>
      <w:bookmarkStart w:id="106" w:name="_Toc5814"/>
      <w:bookmarkStart w:id="107" w:name="_Toc6022"/>
      <w:bookmarkStart w:id="108" w:name="_Toc12531"/>
      <w:bookmarkStart w:id="109" w:name="_Toc7105"/>
      <w:bookmarkStart w:id="110" w:name="_Toc21117"/>
      <w:bookmarkStart w:id="111" w:name="_Toc11896"/>
      <w:bookmarkStart w:id="112" w:name="_Toc32438"/>
      <w:r>
        <w:rPr>
          <w:rFonts w:hint="eastAsia" w:ascii="宋体" w:hAnsi="宋体" w:cs="宋体"/>
          <w:sz w:val="24"/>
          <w:szCs w:val="24"/>
          <w:highlight w:val="none"/>
        </w:rPr>
        <w:t>本公司（联合体）郑重声明，根据《政府采购促进中小企业发展管理办法》（财库﹝2020﹞46 号）的规定，本公司（联合体）参加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采购活动，提供的货物全部由符合政策要求的中小企业制造。相关企业（含联合体中的中小企业、签订分包意向协议的中小企业）的具体情况如下：</w:t>
      </w:r>
    </w:p>
    <w:p>
      <w:pPr>
        <w:pStyle w:val="2"/>
        <w:numPr>
          <w:ilvl w:val="0"/>
          <w:numId w:val="22"/>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pStyle w:val="2"/>
        <w:numPr>
          <w:ilvl w:val="0"/>
          <w:numId w:val="22"/>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spacing w:line="360" w:lineRule="auto"/>
        <w:ind w:left="640"/>
        <w:rPr>
          <w:rFonts w:ascii="宋体" w:hAnsi="宋体" w:cs="宋体"/>
          <w:sz w:val="24"/>
          <w:szCs w:val="24"/>
          <w:highlight w:val="none"/>
        </w:rPr>
      </w:pPr>
      <w:r>
        <w:rPr>
          <w:rFonts w:hint="eastAsia" w:ascii="宋体" w:hAnsi="宋体" w:cs="宋体"/>
          <w:sz w:val="24"/>
          <w:szCs w:val="24"/>
          <w:highlight w:val="none"/>
        </w:rPr>
        <w:t>……</w:t>
      </w:r>
    </w:p>
    <w:p>
      <w:pPr>
        <w:spacing w:line="360" w:lineRule="auto"/>
        <w:ind w:right="160" w:firstLine="646"/>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pPr>
        <w:spacing w:line="360" w:lineRule="auto"/>
        <w:rPr>
          <w:rFonts w:ascii="宋体" w:hAnsi="宋体" w:cs="宋体"/>
          <w:sz w:val="24"/>
          <w:szCs w:val="24"/>
          <w:highlight w:val="none"/>
        </w:rPr>
      </w:pPr>
    </w:p>
    <w:p>
      <w:pPr>
        <w:spacing w:line="360" w:lineRule="auto"/>
        <w:ind w:right="160" w:firstLine="646"/>
        <w:rPr>
          <w:rFonts w:hint="eastAsia"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pPr>
        <w:spacing w:line="360" w:lineRule="auto"/>
        <w:ind w:left="3840" w:right="1900"/>
        <w:rPr>
          <w:rFonts w:hint="eastAsia" w:ascii="宋体" w:hAnsi="宋体" w:cs="宋体"/>
          <w:sz w:val="24"/>
          <w:szCs w:val="24"/>
          <w:highlight w:val="none"/>
        </w:rPr>
      </w:pPr>
      <w:r>
        <w:rPr>
          <w:rFonts w:hint="eastAsia" w:ascii="宋体" w:hAnsi="宋体" w:cs="宋体"/>
          <w:sz w:val="24"/>
          <w:szCs w:val="24"/>
          <w:highlight w:val="none"/>
        </w:rPr>
        <w:t>企业名称（盖章）：</w:t>
      </w:r>
    </w:p>
    <w:p>
      <w:pPr>
        <w:spacing w:line="360" w:lineRule="auto"/>
        <w:ind w:left="3840" w:right="1900"/>
        <w:rPr>
          <w:rFonts w:ascii="宋体" w:hAnsi="宋体" w:cs="宋体"/>
          <w:sz w:val="24"/>
          <w:szCs w:val="24"/>
          <w:highlight w:val="none"/>
        </w:rPr>
      </w:pPr>
      <w:r>
        <w:rPr>
          <w:rFonts w:hint="eastAsia" w:ascii="宋体" w:hAnsi="宋体" w:cs="宋体"/>
          <w:sz w:val="24"/>
          <w:szCs w:val="24"/>
          <w:highlight w:val="none"/>
        </w:rPr>
        <w:t>日期：</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pStyle w:val="5"/>
        <w:outlineLvl w:val="2"/>
        <w:rPr>
          <w:rFonts w:hint="eastAsia" w:ascii="宋体" w:hAnsi="宋体" w:cs="宋体"/>
        </w:rPr>
        <w:sectPr>
          <w:footerReference r:id="rId14" w:type="default"/>
          <w:pgSz w:w="11906" w:h="16838"/>
          <w:pgMar w:top="1440" w:right="1803" w:bottom="1440" w:left="1803" w:header="851" w:footer="992" w:gutter="0"/>
          <w:pgNumType w:fmt="decimal"/>
          <w:cols w:space="720" w:num="1"/>
          <w:docGrid w:type="lines" w:linePitch="319" w:charSpace="0"/>
        </w:sectPr>
      </w:pPr>
    </w:p>
    <w:bookmarkEnd w:id="99"/>
    <w:bookmarkEnd w:id="100"/>
    <w:bookmarkEnd w:id="101"/>
    <w:bookmarkEnd w:id="105"/>
    <w:bookmarkEnd w:id="106"/>
    <w:bookmarkEnd w:id="107"/>
    <w:bookmarkEnd w:id="108"/>
    <w:bookmarkEnd w:id="109"/>
    <w:bookmarkEnd w:id="110"/>
    <w:bookmarkEnd w:id="111"/>
    <w:bookmarkEnd w:id="112"/>
    <w:p>
      <w:pPr>
        <w:keepNext w:val="0"/>
        <w:keepLines w:val="0"/>
        <w:widowControl/>
        <w:shd w:val="clear" w:color="auto"/>
        <w:spacing w:before="450" w:after="300" w:line="540" w:lineRule="atLeast"/>
        <w:jc w:val="center"/>
        <w:textAlignment w:val="baseline"/>
        <w:outlineLvl w:val="9"/>
        <w:rPr>
          <w:rFonts w:ascii="微软雅黑" w:hAnsi="微软雅黑" w:eastAsia="微软雅黑" w:cs="微软雅黑"/>
          <w:color w:val="383940"/>
          <w:sz w:val="39"/>
          <w:szCs w:val="39"/>
        </w:rPr>
      </w:pPr>
      <w:bookmarkStart w:id="113" w:name="_Toc31382"/>
      <w:bookmarkStart w:id="114" w:name="_Toc13271"/>
      <w:bookmarkStart w:id="115" w:name="_Toc18884"/>
      <w:r>
        <w:rPr>
          <w:rFonts w:hint="eastAsia" w:ascii="微软雅黑" w:hAnsi="微软雅黑" w:eastAsia="微软雅黑" w:cs="微软雅黑"/>
          <w:color w:val="383940"/>
          <w:sz w:val="39"/>
          <w:szCs w:val="39"/>
          <w:shd w:val="clear" w:color="auto" w:fill="FFFFFF"/>
        </w:rPr>
        <w:t>关于印发中小企业划型标准规定的通知</w:t>
      </w:r>
      <w:bookmarkEnd w:id="113"/>
      <w:bookmarkEnd w:id="114"/>
    </w:p>
    <w:p>
      <w:pPr>
        <w:pStyle w:val="18"/>
        <w:shd w:val="clear" w:color="auto"/>
        <w:rPr>
          <w:rFonts w:hint="eastAsia" w:eastAsiaTheme="minorEastAsia"/>
          <w:color w:val="000000"/>
          <w:shd w:val="clear" w:color="auto" w:fill="FFFFFF"/>
          <w:lang w:eastAsia="zh-CN"/>
        </w:rPr>
      </w:pPr>
      <w:r>
        <w:rPr>
          <w:rFonts w:hint="eastAsia"/>
          <w:color w:val="000000"/>
          <w:shd w:val="clear" w:color="auto" w:fill="FFFFFF"/>
        </w:rPr>
        <w:t>各省、自治区、直辖市人民政府，国务院各部委、各直属机构及有关单位：</w:t>
      </w:r>
    </w:p>
    <w:p>
      <w:pPr>
        <w:pStyle w:val="18"/>
        <w:shd w:val="clear" w:color="auto"/>
        <w:rPr>
          <w:rFonts w:hint="eastAsia" w:eastAsiaTheme="minorEastAsia"/>
          <w:color w:val="000000"/>
          <w:shd w:val="clear" w:color="auto" w:fill="FFFFFF"/>
          <w:lang w:eastAsia="zh-CN"/>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8"/>
        <w:shd w:val="clear" w:color="auto"/>
        <w:rPr>
          <w:rFonts w:hint="eastAsia" w:eastAsiaTheme="minorEastAsia"/>
          <w:color w:val="000000"/>
          <w:shd w:val="clear" w:color="auto" w:fill="FFFFFF"/>
          <w:lang w:eastAsia="zh-CN"/>
        </w:rPr>
      </w:pPr>
      <w:r>
        <w:rPr>
          <w:rFonts w:hint="eastAsia"/>
          <w:color w:val="000000"/>
          <w:shd w:val="clear" w:color="auto" w:fill="FFFFFF"/>
        </w:rPr>
        <w:t>　　　　　　　　　　　　　　　　　　　　　工业和信息化部　国家统计局</w:t>
      </w:r>
    </w:p>
    <w:p>
      <w:pPr>
        <w:pStyle w:val="18"/>
        <w:shd w:val="clear" w:color="auto"/>
        <w:rPr>
          <w:rFonts w:hint="eastAsia" w:eastAsiaTheme="minorEastAsia"/>
          <w:color w:val="000000"/>
          <w:shd w:val="clear" w:color="auto" w:fill="FFFFFF"/>
          <w:lang w:eastAsia="zh-CN"/>
        </w:rPr>
      </w:pPr>
      <w:r>
        <w:rPr>
          <w:rFonts w:hint="eastAsia"/>
          <w:color w:val="000000"/>
          <w:shd w:val="clear" w:color="auto" w:fill="FFFFFF"/>
        </w:rPr>
        <w:t>　　　　　　　　　　　　　　　　　　　　国家发展和改革委员会　财政部</w:t>
      </w:r>
    </w:p>
    <w:p>
      <w:pPr>
        <w:pStyle w:val="18"/>
        <w:shd w:val="clear" w:color="auto"/>
        <w:rPr>
          <w:color w:val="000000"/>
        </w:rPr>
      </w:pPr>
      <w:r>
        <w:rPr>
          <w:rFonts w:hint="eastAsia"/>
          <w:color w:val="000000"/>
          <w:shd w:val="clear" w:color="auto" w:fill="FFFFFF"/>
        </w:rPr>
        <w:t>　　　　　　　　　　　　　　　　　　　　　　　　二○一一年六月十八日</w:t>
      </w:r>
    </w:p>
    <w:p>
      <w:pPr>
        <w:pStyle w:val="18"/>
        <w:shd w:val="clear" w:color="auto"/>
        <w:jc w:val="center"/>
        <w:rPr>
          <w:rStyle w:val="25"/>
          <w:color w:val="000000"/>
          <w:sz w:val="36"/>
          <w:szCs w:val="36"/>
          <w:shd w:val="clear" w:color="auto" w:fill="FFFFFF"/>
        </w:rPr>
      </w:pPr>
      <w:r>
        <w:rPr>
          <w:rStyle w:val="25"/>
          <w:rFonts w:hint="eastAsia"/>
          <w:color w:val="000000"/>
          <w:sz w:val="36"/>
          <w:szCs w:val="36"/>
          <w:shd w:val="clear" w:color="auto" w:fill="FFFFFF"/>
        </w:rPr>
        <w:t>中小企业划型标准规定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四、各行业划型标准为：</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五、企业类型的划分以统计部门的统计数据为依据。</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pPr>
        <w:rPr>
          <w:rFonts w:hint="eastAsia" w:ascii="宋体" w:hAnsi="宋体" w:cs="宋体" w:eastAsiaTheme="minorEastAsia"/>
          <w:color w:val="000000"/>
          <w:sz w:val="24"/>
          <w:szCs w:val="24"/>
          <w:shd w:val="clear" w:color="auto" w:fill="FFFFFF"/>
          <w:lang w:eastAsia="zh-CN"/>
        </w:rPr>
      </w:pPr>
      <w:r>
        <w:rPr>
          <w:rFonts w:hint="eastAsia" w:ascii="宋体" w:hAnsi="宋体" w:cs="宋体"/>
          <w:color w:val="000000"/>
          <w:sz w:val="24"/>
          <w:szCs w:val="24"/>
          <w:shd w:val="clear" w:color="auto" w:fill="FFFFFF"/>
        </w:rPr>
        <w:t>　　九、本规定由工业和信息化部、国家统计局会同有关部门负责解释。</w:t>
      </w:r>
    </w:p>
    <w:p>
      <w:pPr>
        <w:sectPr>
          <w:pgSz w:w="11906" w:h="16838"/>
          <w:pgMar w:top="1440" w:right="1803" w:bottom="1440" w:left="1803" w:header="851" w:footer="992" w:gutter="0"/>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16" w:name="_Toc32214"/>
      <w:r>
        <w:rPr>
          <w:rFonts w:hint="eastAsia" w:ascii="宋体" w:hAnsi="宋体" w:cs="宋体"/>
        </w:rPr>
        <w:t>附件三、残疾人福利性单位声明</w:t>
      </w:r>
      <w:bookmarkEnd w:id="115"/>
      <w:bookmarkEnd w:id="116"/>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17" w:name="_Toc2723"/>
      <w:bookmarkStart w:id="118" w:name="_Toc26509"/>
      <w:bookmarkStart w:id="119" w:name="_Toc3053"/>
      <w:bookmarkStart w:id="120" w:name="_Toc25235"/>
      <w:bookmarkStart w:id="121" w:name="_Toc8694"/>
      <w:r>
        <w:rPr>
          <w:rFonts w:hint="eastAsia" w:ascii="宋体" w:hAnsi="宋体" w:cs="宋体"/>
        </w:rPr>
        <w:t>附件四、监狱企业证明文件</w:t>
      </w:r>
      <w:bookmarkEnd w:id="117"/>
      <w:bookmarkEnd w:id="118"/>
      <w:bookmarkEnd w:id="119"/>
      <w:bookmarkEnd w:id="120"/>
      <w:bookmarkEnd w:id="121"/>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keepNext/>
        <w:keepLines/>
        <w:pageBreakBefore w:val="0"/>
        <w:widowControl w:val="0"/>
        <w:kinsoku/>
        <w:wordWrap/>
        <w:overflowPunct/>
        <w:topLinePunct w:val="0"/>
        <w:autoSpaceDE/>
        <w:autoSpaceDN/>
        <w:bidi w:val="0"/>
        <w:adjustRightInd w:val="0"/>
        <w:snapToGrid/>
        <w:spacing w:line="416" w:lineRule="atLeast"/>
        <w:textAlignment w:val="baseline"/>
        <w:outlineLvl w:val="1"/>
        <w:rPr>
          <w:rFonts w:ascii="宋体" w:hAnsi="宋体" w:cs="宋体"/>
        </w:rPr>
      </w:pPr>
      <w:bookmarkStart w:id="122" w:name="_Toc19198"/>
      <w:bookmarkStart w:id="123" w:name="_Toc563"/>
      <w:bookmarkStart w:id="124" w:name="_Toc3267"/>
      <w:bookmarkStart w:id="125" w:name="_Toc25385"/>
      <w:bookmarkStart w:id="126" w:name="_Toc11969"/>
      <w:bookmarkStart w:id="127" w:name="_Toc2126"/>
      <w:bookmarkStart w:id="128" w:name="_Toc13122"/>
      <w:bookmarkStart w:id="129" w:name="_Toc25479"/>
      <w:r>
        <w:rPr>
          <w:rFonts w:hint="eastAsia" w:ascii="宋体" w:hAnsi="宋体" w:cs="宋体"/>
        </w:rPr>
        <w:t>附件五、“节能产品”，“环境标志产品”证明材料</w:t>
      </w:r>
      <w:bookmarkEnd w:id="122"/>
      <w:bookmarkEnd w:id="123"/>
      <w:bookmarkEnd w:id="124"/>
      <w:bookmarkEnd w:id="125"/>
      <w:bookmarkEnd w:id="126"/>
      <w:bookmarkEnd w:id="127"/>
      <w:bookmarkEnd w:id="128"/>
      <w:bookmarkEnd w:id="129"/>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5" w:type="default"/>
          <w:pgSz w:w="11906" w:h="16838"/>
          <w:pgMar w:top="1440" w:right="1803" w:bottom="1440" w:left="1803" w:header="851" w:footer="992" w:gutter="0"/>
          <w:pgNumType w:fmt="decimal"/>
          <w:cols w:space="720" w:num="1"/>
          <w:docGrid w:type="lines" w:linePitch="319" w:charSpace="0"/>
        </w:sectPr>
      </w:pPr>
    </w:p>
    <w:p>
      <w:pPr>
        <w:pStyle w:val="4"/>
        <w:rPr>
          <w:rFonts w:ascii="宋体" w:hAnsi="宋体" w:cs="宋体"/>
        </w:rPr>
      </w:pPr>
      <w:bookmarkStart w:id="130" w:name="_Toc26351"/>
      <w:bookmarkStart w:id="131" w:name="_Toc24855"/>
      <w:bookmarkStart w:id="132" w:name="_Toc23799"/>
      <w:bookmarkStart w:id="133" w:name="_Toc4414"/>
      <w:bookmarkStart w:id="134" w:name="_Toc20295"/>
      <w:bookmarkStart w:id="135" w:name="_Toc2461"/>
      <w:r>
        <w:rPr>
          <w:rFonts w:hint="eastAsia" w:ascii="宋体" w:hAnsi="宋体" w:cs="宋体"/>
        </w:rPr>
        <w:t>附件六、质疑函范本</w:t>
      </w:r>
      <w:bookmarkEnd w:id="130"/>
      <w:bookmarkEnd w:id="131"/>
      <w:bookmarkEnd w:id="132"/>
      <w:bookmarkEnd w:id="133"/>
      <w:bookmarkEnd w:id="134"/>
      <w:bookmarkEnd w:id="135"/>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hint="eastAsia" w:ascii="宋体" w:hAnsi="宋体" w:cs="宋体"/>
          <w:b/>
          <w:spacing w:val="48"/>
          <w:sz w:val="72"/>
          <w:szCs w:val="72"/>
        </w:rPr>
        <w:sectPr>
          <w:headerReference r:id="rId16" w:type="default"/>
          <w:footerReference r:id="rId17"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r>
        <w:rPr>
          <w:rFonts w:hint="eastAsia" w:ascii="宋体" w:hAnsi="宋体" w:cs="宋体"/>
          <w:sz w:val="24"/>
          <w:szCs w:val="24"/>
          <w:lang w:eastAsia="zh-CN"/>
        </w:rPr>
        <w:t>。</w:t>
      </w:r>
      <w:bookmarkEnd w:id="0"/>
      <w:bookmarkEnd w:id="102"/>
      <w:bookmarkEnd w:id="103"/>
      <w:bookmarkEnd w:id="104"/>
    </w:p>
    <w:p>
      <w:pPr>
        <w:ind w:firstLine="819" w:firstLineChars="100"/>
        <w:jc w:val="left"/>
        <w:rPr>
          <w:rFonts w:ascii="宋体" w:cs="宋体"/>
          <w:b/>
          <w:spacing w:val="48"/>
          <w:sz w:val="72"/>
          <w:szCs w:val="72"/>
        </w:rPr>
      </w:pPr>
      <w:r>
        <w:rPr>
          <w:rFonts w:hint="eastAsia" w:ascii="宋体" w:hAnsi="宋体" w:cs="宋体"/>
          <w:b/>
          <w:spacing w:val="48"/>
          <w:sz w:val="72"/>
          <w:szCs w:val="72"/>
        </w:rPr>
        <w:t>公平       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spacing w:val="48"/>
          <w:sz w:val="72"/>
          <w:szCs w:val="72"/>
        </w:rPr>
      </w:pPr>
    </w:p>
    <w:p>
      <w:pPr>
        <w:pStyle w:val="2"/>
        <w:rPr>
          <w:rFonts w:ascii="宋体" w:hAnsi="宋体" w:cs="宋体"/>
          <w:spacing w:val="48"/>
          <w:sz w:val="72"/>
          <w:szCs w:val="72"/>
        </w:rPr>
      </w:pPr>
    </w:p>
    <w:p>
      <w:pPr>
        <w:rPr>
          <w:rFonts w:ascii="宋体" w:hAnsi="宋体" w:cs="宋体"/>
          <w:spacing w:val="48"/>
          <w:sz w:val="72"/>
          <w:szCs w:val="72"/>
        </w:rPr>
      </w:pPr>
    </w:p>
    <w:p>
      <w:pPr>
        <w:pStyle w:val="2"/>
        <w:rPr>
          <w:rFonts w:ascii="宋体" w:hAnsi="宋体" w:cs="宋体"/>
          <w:spacing w:val="48"/>
          <w:sz w:val="72"/>
          <w:szCs w:val="72"/>
        </w:rPr>
      </w:pPr>
    </w:p>
    <w:p/>
    <w:p/>
    <w:p>
      <w:pPr>
        <w:pStyle w:val="6"/>
        <w:rPr>
          <w:rFonts w:hint="default"/>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地址：西安市雁塔区科技路十号华奥大厦A座</w:t>
      </w:r>
      <w:r>
        <w:rPr>
          <w:rFonts w:hint="eastAsia" w:ascii="宋体" w:hAnsi="宋体" w:cs="宋体"/>
          <w:b/>
          <w:sz w:val="30"/>
          <w:szCs w:val="30"/>
          <w:lang w:val="en-US" w:eastAsia="zh-CN"/>
        </w:rPr>
        <w:t>20层</w:t>
      </w:r>
      <w:r>
        <w:rPr>
          <w:rFonts w:hint="eastAsia" w:ascii="宋体" w:hAnsi="宋体" w:cs="宋体"/>
          <w:b/>
          <w:sz w:val="30"/>
          <w:szCs w:val="30"/>
        </w:rPr>
        <w:t>2002室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pPr>
        <w:rPr>
          <w:rFonts w:ascii="宋体" w:cs="宋体"/>
          <w:b/>
          <w:sz w:val="30"/>
          <w:szCs w:val="30"/>
        </w:rPr>
      </w:pPr>
      <w:r>
        <w:rPr>
          <w:rFonts w:hint="eastAsia" w:ascii="宋体" w:hAnsi="宋体" w:cs="宋体"/>
          <w:b/>
          <w:sz w:val="30"/>
          <w:szCs w:val="30"/>
        </w:rPr>
        <w:t>电话：029-88440695</w:t>
      </w:r>
    </w:p>
    <w:p>
      <w:pPr>
        <w:rPr>
          <w:rFonts w:ascii="宋体" w:hAnsi="宋体" w:eastAsia="宋体" w:cs="宋体"/>
        </w:rPr>
      </w:pPr>
      <w:r>
        <w:rPr>
          <w:rFonts w:hint="eastAsia" w:ascii="宋体" w:hAnsi="宋体" w:cs="宋体"/>
          <w:b/>
          <w:sz w:val="30"/>
          <w:szCs w:val="30"/>
        </w:rPr>
        <w:t>传真：029-88440695</w:t>
      </w:r>
    </w:p>
    <w:sectPr>
      <w:footerReference r:id="rId18"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西安科技大学ACS数据库、ElsevierScienceDirect数据库、SCIE数据库采购项目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ZMZB2022BLLZ-137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0E0CC"/>
    <w:multiLevelType w:val="singleLevel"/>
    <w:tmpl w:val="9880E0CC"/>
    <w:lvl w:ilvl="0" w:tentative="0">
      <w:start w:val="1"/>
      <w:numFmt w:val="decimal"/>
      <w:suff w:val="space"/>
      <w:lvlText w:val="%1."/>
      <w:lvlJc w:val="left"/>
    </w:lvl>
  </w:abstractNum>
  <w:abstractNum w:abstractNumId="1">
    <w:nsid w:val="9DDEC967"/>
    <w:multiLevelType w:val="singleLevel"/>
    <w:tmpl w:val="9DDEC967"/>
    <w:lvl w:ilvl="0" w:tentative="0">
      <w:start w:val="1"/>
      <w:numFmt w:val="decimal"/>
      <w:suff w:val="nothing"/>
      <w:lvlText w:val="（%1）"/>
      <w:lvlJc w:val="left"/>
      <w:pPr>
        <w:ind w:left="150"/>
      </w:pPr>
    </w:lvl>
  </w:abstractNum>
  <w:abstractNum w:abstractNumId="2">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3">
    <w:nsid w:val="C99BDCD1"/>
    <w:multiLevelType w:val="singleLevel"/>
    <w:tmpl w:val="C99BDCD1"/>
    <w:lvl w:ilvl="0" w:tentative="0">
      <w:start w:val="1"/>
      <w:numFmt w:val="chineseCounting"/>
      <w:suff w:val="nothing"/>
      <w:lvlText w:val="（%1）"/>
      <w:lvlJc w:val="left"/>
      <w:rPr>
        <w:rFonts w:hint="eastAsia"/>
      </w:rPr>
    </w:lvl>
  </w:abstractNum>
  <w:abstractNum w:abstractNumId="4">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5">
    <w:nsid w:val="E8C911B6"/>
    <w:multiLevelType w:val="singleLevel"/>
    <w:tmpl w:val="E8C911B6"/>
    <w:lvl w:ilvl="0" w:tentative="0">
      <w:start w:val="1"/>
      <w:numFmt w:val="chineseCounting"/>
      <w:suff w:val="nothing"/>
      <w:lvlText w:val="%1、"/>
      <w:lvlJc w:val="left"/>
      <w:pPr>
        <w:ind w:left="0" w:firstLine="420"/>
      </w:pPr>
      <w:rPr>
        <w:rFonts w:hint="eastAsia"/>
      </w:rPr>
    </w:lvl>
  </w:abstractNum>
  <w:abstractNum w:abstractNumId="6">
    <w:nsid w:val="00000001"/>
    <w:multiLevelType w:val="singleLevel"/>
    <w:tmpl w:val="00000001"/>
    <w:lvl w:ilvl="0" w:tentative="0">
      <w:start w:val="5"/>
      <w:numFmt w:val="decimal"/>
      <w:suff w:val="space"/>
      <w:lvlText w:val="%1)"/>
      <w:lvlJc w:val="left"/>
    </w:lvl>
  </w:abstractNum>
  <w:abstractNum w:abstractNumId="7">
    <w:nsid w:val="19B057FC"/>
    <w:multiLevelType w:val="singleLevel"/>
    <w:tmpl w:val="19B057FC"/>
    <w:lvl w:ilvl="0" w:tentative="0">
      <w:start w:val="1"/>
      <w:numFmt w:val="decimal"/>
      <w:suff w:val="nothing"/>
      <w:lvlText w:val="%1、"/>
      <w:lvlJc w:val="left"/>
      <w:pPr>
        <w:ind w:left="140" w:firstLine="0"/>
      </w:pPr>
    </w:lvl>
  </w:abstractNum>
  <w:abstractNum w:abstractNumId="8">
    <w:nsid w:val="42B93AA6"/>
    <w:multiLevelType w:val="singleLevel"/>
    <w:tmpl w:val="42B93AA6"/>
    <w:lvl w:ilvl="0" w:tentative="0">
      <w:start w:val="1"/>
      <w:numFmt w:val="decimal"/>
      <w:suff w:val="nothing"/>
      <w:lvlText w:val="%1、"/>
      <w:lvlJc w:val="left"/>
    </w:lvl>
  </w:abstractNum>
  <w:abstractNum w:abstractNumId="9">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10">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1">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2">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3">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4">
    <w:nsid w:val="58BE64F2"/>
    <w:multiLevelType w:val="singleLevel"/>
    <w:tmpl w:val="58BE64F2"/>
    <w:lvl w:ilvl="0" w:tentative="0">
      <w:start w:val="1"/>
      <w:numFmt w:val="decimal"/>
      <w:suff w:val="nothing"/>
      <w:lvlText w:val="%1、"/>
      <w:lvlJc w:val="left"/>
      <w:pPr>
        <w:ind w:left="210" w:firstLine="420"/>
      </w:pPr>
      <w:rPr>
        <w:rFonts w:hint="default"/>
      </w:rPr>
    </w:lvl>
  </w:abstractNum>
  <w:abstractNum w:abstractNumId="15">
    <w:nsid w:val="58BE6519"/>
    <w:multiLevelType w:val="singleLevel"/>
    <w:tmpl w:val="58BE6519"/>
    <w:lvl w:ilvl="0" w:tentative="0">
      <w:start w:val="1"/>
      <w:numFmt w:val="decimal"/>
      <w:suff w:val="nothing"/>
      <w:lvlText w:val="%1、"/>
      <w:lvlJc w:val="left"/>
      <w:pPr>
        <w:ind w:left="420" w:firstLine="420"/>
      </w:pPr>
      <w:rPr>
        <w:rFonts w:hint="default"/>
      </w:rPr>
    </w:lvl>
  </w:abstractNum>
  <w:abstractNum w:abstractNumId="16">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7">
    <w:nsid w:val="58BE8DA8"/>
    <w:multiLevelType w:val="singleLevel"/>
    <w:tmpl w:val="58BE8DA8"/>
    <w:lvl w:ilvl="0" w:tentative="0">
      <w:start w:val="1"/>
      <w:numFmt w:val="decimal"/>
      <w:suff w:val="nothing"/>
      <w:lvlText w:val="（%1）"/>
      <w:lvlJc w:val="left"/>
      <w:pPr>
        <w:ind w:left="210" w:firstLine="420"/>
      </w:pPr>
      <w:rPr>
        <w:rFonts w:hint="default"/>
      </w:rPr>
    </w:lvl>
  </w:abstractNum>
  <w:abstractNum w:abstractNumId="18">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9">
    <w:nsid w:val="59DADF1A"/>
    <w:multiLevelType w:val="singleLevel"/>
    <w:tmpl w:val="59DADF1A"/>
    <w:lvl w:ilvl="0" w:tentative="0">
      <w:start w:val="1"/>
      <w:numFmt w:val="lowerLetter"/>
      <w:lvlText w:val="%1."/>
      <w:lvlJc w:val="left"/>
      <w:pPr>
        <w:ind w:left="425" w:hanging="425"/>
      </w:pPr>
      <w:rPr>
        <w:rFonts w:hint="default"/>
      </w:rPr>
    </w:lvl>
  </w:abstractNum>
  <w:abstractNum w:abstractNumId="20">
    <w:nsid w:val="604094DA"/>
    <w:multiLevelType w:val="singleLevel"/>
    <w:tmpl w:val="604094DA"/>
    <w:lvl w:ilvl="0" w:tentative="0">
      <w:start w:val="1"/>
      <w:numFmt w:val="decimal"/>
      <w:suff w:val="space"/>
      <w:lvlText w:val="%1."/>
      <w:lvlJc w:val="left"/>
    </w:lvl>
  </w:abstractNum>
  <w:abstractNum w:abstractNumId="21">
    <w:nsid w:val="61988A92"/>
    <w:multiLevelType w:val="singleLevel"/>
    <w:tmpl w:val="61988A92"/>
    <w:lvl w:ilvl="0" w:tentative="0">
      <w:start w:val="1"/>
      <w:numFmt w:val="decimal"/>
      <w:suff w:val="space"/>
      <w:lvlText w:val="%1."/>
      <w:lvlJc w:val="left"/>
    </w:lvl>
  </w:abstractNum>
  <w:num w:numId="1">
    <w:abstractNumId w:val="1"/>
  </w:num>
  <w:num w:numId="2">
    <w:abstractNumId w:val="3"/>
  </w:num>
  <w:num w:numId="3">
    <w:abstractNumId w:val="4"/>
  </w:num>
  <w:num w:numId="4">
    <w:abstractNumId w:val="2"/>
  </w:num>
  <w:num w:numId="5">
    <w:abstractNumId w:val="5"/>
  </w:num>
  <w:num w:numId="6">
    <w:abstractNumId w:val="12"/>
  </w:num>
  <w:num w:numId="7">
    <w:abstractNumId w:val="10"/>
  </w:num>
  <w:num w:numId="8">
    <w:abstractNumId w:val="16"/>
  </w:num>
  <w:num w:numId="9">
    <w:abstractNumId w:val="18"/>
  </w:num>
  <w:num w:numId="10">
    <w:abstractNumId w:val="11"/>
  </w:num>
  <w:num w:numId="11">
    <w:abstractNumId w:val="13"/>
  </w:num>
  <w:num w:numId="12">
    <w:abstractNumId w:val="14"/>
  </w:num>
  <w:num w:numId="13">
    <w:abstractNumId w:val="15"/>
  </w:num>
  <w:num w:numId="14">
    <w:abstractNumId w:val="19"/>
  </w:num>
  <w:num w:numId="15">
    <w:abstractNumId w:val="17"/>
  </w:num>
  <w:num w:numId="16">
    <w:abstractNumId w:val="0"/>
  </w:num>
  <w:num w:numId="17">
    <w:abstractNumId w:val="21"/>
  </w:num>
  <w:num w:numId="18">
    <w:abstractNumId w:val="6"/>
  </w:num>
  <w:num w:numId="19">
    <w:abstractNumId w:val="8"/>
  </w:num>
  <w:num w:numId="20">
    <w:abstractNumId w:val="7"/>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RkMGE3NzQxYjczMTVhMGMzZWI2OGY4N2I2NjYifQ=="/>
  </w:docVars>
  <w:rsids>
    <w:rsidRoot w:val="73D96FF7"/>
    <w:rsid w:val="000211C9"/>
    <w:rsid w:val="000231DC"/>
    <w:rsid w:val="00023390"/>
    <w:rsid w:val="000238BB"/>
    <w:rsid w:val="00033E46"/>
    <w:rsid w:val="00034CB8"/>
    <w:rsid w:val="000447C6"/>
    <w:rsid w:val="00050E3A"/>
    <w:rsid w:val="00051C70"/>
    <w:rsid w:val="0006579C"/>
    <w:rsid w:val="00067E50"/>
    <w:rsid w:val="0007496A"/>
    <w:rsid w:val="00075A4D"/>
    <w:rsid w:val="00084123"/>
    <w:rsid w:val="0009091C"/>
    <w:rsid w:val="000930F9"/>
    <w:rsid w:val="00093688"/>
    <w:rsid w:val="00094D6D"/>
    <w:rsid w:val="00096BFC"/>
    <w:rsid w:val="000A28E9"/>
    <w:rsid w:val="000B2B5F"/>
    <w:rsid w:val="000B54D7"/>
    <w:rsid w:val="000C078D"/>
    <w:rsid w:val="000C494B"/>
    <w:rsid w:val="000D07D2"/>
    <w:rsid w:val="000E03BF"/>
    <w:rsid w:val="000E06F6"/>
    <w:rsid w:val="00104C7F"/>
    <w:rsid w:val="00105CEF"/>
    <w:rsid w:val="00116077"/>
    <w:rsid w:val="0011645B"/>
    <w:rsid w:val="00127E5F"/>
    <w:rsid w:val="00147DB8"/>
    <w:rsid w:val="00150211"/>
    <w:rsid w:val="00165B88"/>
    <w:rsid w:val="001660DB"/>
    <w:rsid w:val="00170F41"/>
    <w:rsid w:val="0017206B"/>
    <w:rsid w:val="00172D09"/>
    <w:rsid w:val="00177B3B"/>
    <w:rsid w:val="00194A9B"/>
    <w:rsid w:val="001977B7"/>
    <w:rsid w:val="001C6002"/>
    <w:rsid w:val="001D7C98"/>
    <w:rsid w:val="0020496B"/>
    <w:rsid w:val="002056B6"/>
    <w:rsid w:val="002129A4"/>
    <w:rsid w:val="00215036"/>
    <w:rsid w:val="0021740C"/>
    <w:rsid w:val="00217AC1"/>
    <w:rsid w:val="00223417"/>
    <w:rsid w:val="00231B14"/>
    <w:rsid w:val="00235885"/>
    <w:rsid w:val="00270726"/>
    <w:rsid w:val="002738E0"/>
    <w:rsid w:val="002741EB"/>
    <w:rsid w:val="0027762D"/>
    <w:rsid w:val="00282BBC"/>
    <w:rsid w:val="002852D2"/>
    <w:rsid w:val="00290808"/>
    <w:rsid w:val="00294A47"/>
    <w:rsid w:val="00295107"/>
    <w:rsid w:val="00295734"/>
    <w:rsid w:val="002A48B6"/>
    <w:rsid w:val="002B7581"/>
    <w:rsid w:val="002C270B"/>
    <w:rsid w:val="002C270E"/>
    <w:rsid w:val="002E2D34"/>
    <w:rsid w:val="002F3450"/>
    <w:rsid w:val="002F4DAB"/>
    <w:rsid w:val="002F72C6"/>
    <w:rsid w:val="00302EA2"/>
    <w:rsid w:val="00312C6A"/>
    <w:rsid w:val="00335D7C"/>
    <w:rsid w:val="00336890"/>
    <w:rsid w:val="00337DD7"/>
    <w:rsid w:val="00341F1A"/>
    <w:rsid w:val="0034773D"/>
    <w:rsid w:val="0035259F"/>
    <w:rsid w:val="00353817"/>
    <w:rsid w:val="003572BD"/>
    <w:rsid w:val="003612FE"/>
    <w:rsid w:val="00366AA2"/>
    <w:rsid w:val="0038235A"/>
    <w:rsid w:val="003862A4"/>
    <w:rsid w:val="00393768"/>
    <w:rsid w:val="003A607D"/>
    <w:rsid w:val="003E23A6"/>
    <w:rsid w:val="003E3530"/>
    <w:rsid w:val="003F3F76"/>
    <w:rsid w:val="003F6452"/>
    <w:rsid w:val="00405C58"/>
    <w:rsid w:val="00440843"/>
    <w:rsid w:val="00442960"/>
    <w:rsid w:val="00483AF6"/>
    <w:rsid w:val="0048715E"/>
    <w:rsid w:val="004A6288"/>
    <w:rsid w:val="004B74EA"/>
    <w:rsid w:val="004C20E4"/>
    <w:rsid w:val="004E0DB0"/>
    <w:rsid w:val="004E1511"/>
    <w:rsid w:val="004E727F"/>
    <w:rsid w:val="004F73C4"/>
    <w:rsid w:val="0051677A"/>
    <w:rsid w:val="00517FC5"/>
    <w:rsid w:val="005205B4"/>
    <w:rsid w:val="005233BF"/>
    <w:rsid w:val="00540EAF"/>
    <w:rsid w:val="00542C94"/>
    <w:rsid w:val="005455C2"/>
    <w:rsid w:val="00546F4D"/>
    <w:rsid w:val="00550FA1"/>
    <w:rsid w:val="00557479"/>
    <w:rsid w:val="00563ABD"/>
    <w:rsid w:val="005654BD"/>
    <w:rsid w:val="00574B0A"/>
    <w:rsid w:val="005B0FDD"/>
    <w:rsid w:val="005C3C4A"/>
    <w:rsid w:val="005C70B4"/>
    <w:rsid w:val="005D2B92"/>
    <w:rsid w:val="005E2DE4"/>
    <w:rsid w:val="005F155C"/>
    <w:rsid w:val="005F7BCF"/>
    <w:rsid w:val="0061645E"/>
    <w:rsid w:val="00622B85"/>
    <w:rsid w:val="006266A4"/>
    <w:rsid w:val="0062740F"/>
    <w:rsid w:val="00627D03"/>
    <w:rsid w:val="006553C8"/>
    <w:rsid w:val="00672E94"/>
    <w:rsid w:val="006742B1"/>
    <w:rsid w:val="00676AE8"/>
    <w:rsid w:val="00687D5E"/>
    <w:rsid w:val="00696708"/>
    <w:rsid w:val="006A08BB"/>
    <w:rsid w:val="006A0EE3"/>
    <w:rsid w:val="006A3EA7"/>
    <w:rsid w:val="006B5E79"/>
    <w:rsid w:val="006C1797"/>
    <w:rsid w:val="006C2480"/>
    <w:rsid w:val="006C6460"/>
    <w:rsid w:val="006D0D2F"/>
    <w:rsid w:val="006D460F"/>
    <w:rsid w:val="006E0B29"/>
    <w:rsid w:val="006E40E0"/>
    <w:rsid w:val="006F3C69"/>
    <w:rsid w:val="006F5317"/>
    <w:rsid w:val="006F5396"/>
    <w:rsid w:val="006F5D6F"/>
    <w:rsid w:val="006F6DCE"/>
    <w:rsid w:val="00714BDE"/>
    <w:rsid w:val="0072263E"/>
    <w:rsid w:val="007312B5"/>
    <w:rsid w:val="00732B2E"/>
    <w:rsid w:val="0073574E"/>
    <w:rsid w:val="00736C47"/>
    <w:rsid w:val="00744C2B"/>
    <w:rsid w:val="00765CB7"/>
    <w:rsid w:val="00772F53"/>
    <w:rsid w:val="00792EC9"/>
    <w:rsid w:val="007971D3"/>
    <w:rsid w:val="007A7755"/>
    <w:rsid w:val="007B0C1D"/>
    <w:rsid w:val="007B1DB3"/>
    <w:rsid w:val="007B3CC8"/>
    <w:rsid w:val="007B3DE2"/>
    <w:rsid w:val="007B710E"/>
    <w:rsid w:val="007C1517"/>
    <w:rsid w:val="007C1F6E"/>
    <w:rsid w:val="007D04F6"/>
    <w:rsid w:val="007D25DB"/>
    <w:rsid w:val="007D30BD"/>
    <w:rsid w:val="007D535E"/>
    <w:rsid w:val="007D694A"/>
    <w:rsid w:val="007E2C9D"/>
    <w:rsid w:val="007F7BFB"/>
    <w:rsid w:val="00806745"/>
    <w:rsid w:val="0082192B"/>
    <w:rsid w:val="00825BC9"/>
    <w:rsid w:val="0083155E"/>
    <w:rsid w:val="00860E6A"/>
    <w:rsid w:val="00866912"/>
    <w:rsid w:val="00877EF0"/>
    <w:rsid w:val="00887396"/>
    <w:rsid w:val="008909F4"/>
    <w:rsid w:val="00896129"/>
    <w:rsid w:val="008A4789"/>
    <w:rsid w:val="008A4C61"/>
    <w:rsid w:val="008A5167"/>
    <w:rsid w:val="008B07F2"/>
    <w:rsid w:val="008B0810"/>
    <w:rsid w:val="008B1617"/>
    <w:rsid w:val="008B217C"/>
    <w:rsid w:val="008C0DA3"/>
    <w:rsid w:val="008D2180"/>
    <w:rsid w:val="008D5F96"/>
    <w:rsid w:val="008E706B"/>
    <w:rsid w:val="00907ACF"/>
    <w:rsid w:val="0091005F"/>
    <w:rsid w:val="0091056D"/>
    <w:rsid w:val="0093690D"/>
    <w:rsid w:val="00942C88"/>
    <w:rsid w:val="00962424"/>
    <w:rsid w:val="0096664F"/>
    <w:rsid w:val="00973C40"/>
    <w:rsid w:val="009844C9"/>
    <w:rsid w:val="009A0E9B"/>
    <w:rsid w:val="009B4737"/>
    <w:rsid w:val="009C2C63"/>
    <w:rsid w:val="009E16B7"/>
    <w:rsid w:val="009F2F47"/>
    <w:rsid w:val="009F49F1"/>
    <w:rsid w:val="009F5386"/>
    <w:rsid w:val="00A0037E"/>
    <w:rsid w:val="00A064D9"/>
    <w:rsid w:val="00A155EB"/>
    <w:rsid w:val="00A248C2"/>
    <w:rsid w:val="00A24C3D"/>
    <w:rsid w:val="00A250DB"/>
    <w:rsid w:val="00A408C9"/>
    <w:rsid w:val="00A438FC"/>
    <w:rsid w:val="00A44779"/>
    <w:rsid w:val="00A46C3A"/>
    <w:rsid w:val="00A50364"/>
    <w:rsid w:val="00A536EE"/>
    <w:rsid w:val="00A55CE7"/>
    <w:rsid w:val="00A70F35"/>
    <w:rsid w:val="00A93A06"/>
    <w:rsid w:val="00A955D8"/>
    <w:rsid w:val="00AA033B"/>
    <w:rsid w:val="00AA4076"/>
    <w:rsid w:val="00AA607D"/>
    <w:rsid w:val="00AB0507"/>
    <w:rsid w:val="00AB1511"/>
    <w:rsid w:val="00AD6B7E"/>
    <w:rsid w:val="00AE5665"/>
    <w:rsid w:val="00AE78B4"/>
    <w:rsid w:val="00AF3A88"/>
    <w:rsid w:val="00B17480"/>
    <w:rsid w:val="00B208CC"/>
    <w:rsid w:val="00B22AA5"/>
    <w:rsid w:val="00B32208"/>
    <w:rsid w:val="00B5790B"/>
    <w:rsid w:val="00B61634"/>
    <w:rsid w:val="00B63E6C"/>
    <w:rsid w:val="00B6588D"/>
    <w:rsid w:val="00B92C9A"/>
    <w:rsid w:val="00B94DB5"/>
    <w:rsid w:val="00BA6328"/>
    <w:rsid w:val="00BA7223"/>
    <w:rsid w:val="00BB63E2"/>
    <w:rsid w:val="00BC7B00"/>
    <w:rsid w:val="00BD20A7"/>
    <w:rsid w:val="00BD21CE"/>
    <w:rsid w:val="00BE0B22"/>
    <w:rsid w:val="00BF25D2"/>
    <w:rsid w:val="00C03D95"/>
    <w:rsid w:val="00C12406"/>
    <w:rsid w:val="00C2375E"/>
    <w:rsid w:val="00C42D03"/>
    <w:rsid w:val="00C45A0B"/>
    <w:rsid w:val="00C70CA0"/>
    <w:rsid w:val="00CA3986"/>
    <w:rsid w:val="00CA77AE"/>
    <w:rsid w:val="00CC4A0A"/>
    <w:rsid w:val="00CC5E31"/>
    <w:rsid w:val="00CD068E"/>
    <w:rsid w:val="00CD08DB"/>
    <w:rsid w:val="00CD26FE"/>
    <w:rsid w:val="00CD6C1E"/>
    <w:rsid w:val="00CE3F73"/>
    <w:rsid w:val="00CE7F49"/>
    <w:rsid w:val="00CF12F8"/>
    <w:rsid w:val="00D13372"/>
    <w:rsid w:val="00D14D31"/>
    <w:rsid w:val="00D17765"/>
    <w:rsid w:val="00D17FBF"/>
    <w:rsid w:val="00D21431"/>
    <w:rsid w:val="00D4535F"/>
    <w:rsid w:val="00D46AC8"/>
    <w:rsid w:val="00D54846"/>
    <w:rsid w:val="00D571EE"/>
    <w:rsid w:val="00D752E3"/>
    <w:rsid w:val="00D8338D"/>
    <w:rsid w:val="00D9385B"/>
    <w:rsid w:val="00DB2477"/>
    <w:rsid w:val="00DB7527"/>
    <w:rsid w:val="00DC68B6"/>
    <w:rsid w:val="00DE0A1E"/>
    <w:rsid w:val="00DE7DF5"/>
    <w:rsid w:val="00DF1139"/>
    <w:rsid w:val="00DF27BF"/>
    <w:rsid w:val="00DF5299"/>
    <w:rsid w:val="00E0117B"/>
    <w:rsid w:val="00E11323"/>
    <w:rsid w:val="00E13591"/>
    <w:rsid w:val="00E13948"/>
    <w:rsid w:val="00E160E9"/>
    <w:rsid w:val="00E21400"/>
    <w:rsid w:val="00E22A1B"/>
    <w:rsid w:val="00E37511"/>
    <w:rsid w:val="00E40E27"/>
    <w:rsid w:val="00E52716"/>
    <w:rsid w:val="00E661CC"/>
    <w:rsid w:val="00E72E0D"/>
    <w:rsid w:val="00E73867"/>
    <w:rsid w:val="00E75DBC"/>
    <w:rsid w:val="00E814EC"/>
    <w:rsid w:val="00E844BB"/>
    <w:rsid w:val="00E86E4B"/>
    <w:rsid w:val="00E90711"/>
    <w:rsid w:val="00EA2EE5"/>
    <w:rsid w:val="00EA7A49"/>
    <w:rsid w:val="00EB54D7"/>
    <w:rsid w:val="00F1148E"/>
    <w:rsid w:val="00F11A9A"/>
    <w:rsid w:val="00F1478D"/>
    <w:rsid w:val="00F1601A"/>
    <w:rsid w:val="00F35029"/>
    <w:rsid w:val="00F465E3"/>
    <w:rsid w:val="00F549A0"/>
    <w:rsid w:val="00F572F6"/>
    <w:rsid w:val="00F61A0D"/>
    <w:rsid w:val="00F65CA7"/>
    <w:rsid w:val="00F66EB2"/>
    <w:rsid w:val="00F7126A"/>
    <w:rsid w:val="00F74AE3"/>
    <w:rsid w:val="00F83468"/>
    <w:rsid w:val="00F97C3A"/>
    <w:rsid w:val="00FA36A5"/>
    <w:rsid w:val="00FB36FC"/>
    <w:rsid w:val="00FC229C"/>
    <w:rsid w:val="00FC6545"/>
    <w:rsid w:val="00FC6B33"/>
    <w:rsid w:val="00FD23A8"/>
    <w:rsid w:val="00FE04D1"/>
    <w:rsid w:val="00FE1A44"/>
    <w:rsid w:val="00FE653D"/>
    <w:rsid w:val="00FF2B29"/>
    <w:rsid w:val="00FF5059"/>
    <w:rsid w:val="00FF79F8"/>
    <w:rsid w:val="01016F77"/>
    <w:rsid w:val="01235CBB"/>
    <w:rsid w:val="0147272E"/>
    <w:rsid w:val="015F7291"/>
    <w:rsid w:val="016601B5"/>
    <w:rsid w:val="016C6285"/>
    <w:rsid w:val="01905D4E"/>
    <w:rsid w:val="01BF446B"/>
    <w:rsid w:val="01C33E75"/>
    <w:rsid w:val="01CF4650"/>
    <w:rsid w:val="01DC4B6D"/>
    <w:rsid w:val="01DE0A3D"/>
    <w:rsid w:val="01FF0589"/>
    <w:rsid w:val="021A2C53"/>
    <w:rsid w:val="02262629"/>
    <w:rsid w:val="023D07CA"/>
    <w:rsid w:val="024B29A8"/>
    <w:rsid w:val="025B2BDD"/>
    <w:rsid w:val="025C1F43"/>
    <w:rsid w:val="02691867"/>
    <w:rsid w:val="02BC1EC1"/>
    <w:rsid w:val="02C33764"/>
    <w:rsid w:val="02DD6925"/>
    <w:rsid w:val="02E969A4"/>
    <w:rsid w:val="02FB3B23"/>
    <w:rsid w:val="030A3205"/>
    <w:rsid w:val="03366953"/>
    <w:rsid w:val="034A7BA5"/>
    <w:rsid w:val="034C23A0"/>
    <w:rsid w:val="0353555C"/>
    <w:rsid w:val="036C5F1A"/>
    <w:rsid w:val="037E757B"/>
    <w:rsid w:val="038E1A4F"/>
    <w:rsid w:val="03A35E51"/>
    <w:rsid w:val="03B24429"/>
    <w:rsid w:val="03CF2F3E"/>
    <w:rsid w:val="040403C7"/>
    <w:rsid w:val="040E0152"/>
    <w:rsid w:val="04166D26"/>
    <w:rsid w:val="043A7A3B"/>
    <w:rsid w:val="04686969"/>
    <w:rsid w:val="046924E7"/>
    <w:rsid w:val="048D0480"/>
    <w:rsid w:val="04B42133"/>
    <w:rsid w:val="04BA794E"/>
    <w:rsid w:val="04C31C0F"/>
    <w:rsid w:val="04C37E19"/>
    <w:rsid w:val="04D12D71"/>
    <w:rsid w:val="04FD40F2"/>
    <w:rsid w:val="04FE3DF9"/>
    <w:rsid w:val="05372DA4"/>
    <w:rsid w:val="054A41B7"/>
    <w:rsid w:val="057162EA"/>
    <w:rsid w:val="05741D34"/>
    <w:rsid w:val="05A50E7C"/>
    <w:rsid w:val="06023542"/>
    <w:rsid w:val="067C233D"/>
    <w:rsid w:val="06937984"/>
    <w:rsid w:val="06967A3F"/>
    <w:rsid w:val="06A628AE"/>
    <w:rsid w:val="06C771A3"/>
    <w:rsid w:val="0708350A"/>
    <w:rsid w:val="0711360B"/>
    <w:rsid w:val="072B23BE"/>
    <w:rsid w:val="073C007C"/>
    <w:rsid w:val="077274B4"/>
    <w:rsid w:val="079B438E"/>
    <w:rsid w:val="07A01238"/>
    <w:rsid w:val="07CB6CD5"/>
    <w:rsid w:val="07D05206"/>
    <w:rsid w:val="08140636"/>
    <w:rsid w:val="081A04E8"/>
    <w:rsid w:val="084166EA"/>
    <w:rsid w:val="088A04F0"/>
    <w:rsid w:val="088A3FB8"/>
    <w:rsid w:val="093C0A37"/>
    <w:rsid w:val="09B0067D"/>
    <w:rsid w:val="09DC53A7"/>
    <w:rsid w:val="0A0F65C4"/>
    <w:rsid w:val="0A415811"/>
    <w:rsid w:val="0A6E15A5"/>
    <w:rsid w:val="0A874C05"/>
    <w:rsid w:val="0A8F50B9"/>
    <w:rsid w:val="0A9E0AC8"/>
    <w:rsid w:val="0ACD7171"/>
    <w:rsid w:val="0AE15B50"/>
    <w:rsid w:val="0AF807D7"/>
    <w:rsid w:val="0B0F5C9F"/>
    <w:rsid w:val="0B28158C"/>
    <w:rsid w:val="0B4B1E06"/>
    <w:rsid w:val="0B532BA8"/>
    <w:rsid w:val="0B6A5D37"/>
    <w:rsid w:val="0B7C3EA1"/>
    <w:rsid w:val="0BAB4E0E"/>
    <w:rsid w:val="0BAD6248"/>
    <w:rsid w:val="0BAF4CCB"/>
    <w:rsid w:val="0BBA3C56"/>
    <w:rsid w:val="0BD34696"/>
    <w:rsid w:val="0C0309BA"/>
    <w:rsid w:val="0C355123"/>
    <w:rsid w:val="0C59040C"/>
    <w:rsid w:val="0C665824"/>
    <w:rsid w:val="0C8D1F69"/>
    <w:rsid w:val="0C9310A3"/>
    <w:rsid w:val="0C984361"/>
    <w:rsid w:val="0CB03CD2"/>
    <w:rsid w:val="0CC94CA5"/>
    <w:rsid w:val="0CE41B31"/>
    <w:rsid w:val="0CF301A5"/>
    <w:rsid w:val="0CFD04BC"/>
    <w:rsid w:val="0D204A5D"/>
    <w:rsid w:val="0D323FC1"/>
    <w:rsid w:val="0D514FF5"/>
    <w:rsid w:val="0D604FBD"/>
    <w:rsid w:val="0D614C51"/>
    <w:rsid w:val="0D751E61"/>
    <w:rsid w:val="0D8777F6"/>
    <w:rsid w:val="0DB713C3"/>
    <w:rsid w:val="0DC62A71"/>
    <w:rsid w:val="0E3D6A8E"/>
    <w:rsid w:val="0E4076C5"/>
    <w:rsid w:val="0E837DDF"/>
    <w:rsid w:val="0E9E3572"/>
    <w:rsid w:val="0EB5635E"/>
    <w:rsid w:val="0EB8754C"/>
    <w:rsid w:val="0EEB7659"/>
    <w:rsid w:val="0EFB59A3"/>
    <w:rsid w:val="0F01175D"/>
    <w:rsid w:val="0F025BAA"/>
    <w:rsid w:val="0F270EE2"/>
    <w:rsid w:val="0F7B63A0"/>
    <w:rsid w:val="0F7B7C0B"/>
    <w:rsid w:val="0F9C0159"/>
    <w:rsid w:val="0FC04A43"/>
    <w:rsid w:val="0FC86DFC"/>
    <w:rsid w:val="0FE60143"/>
    <w:rsid w:val="0FE6342C"/>
    <w:rsid w:val="101476C3"/>
    <w:rsid w:val="10170212"/>
    <w:rsid w:val="10275AEB"/>
    <w:rsid w:val="1080507E"/>
    <w:rsid w:val="108064F2"/>
    <w:rsid w:val="10821A66"/>
    <w:rsid w:val="109B45F4"/>
    <w:rsid w:val="10A56817"/>
    <w:rsid w:val="10B4058D"/>
    <w:rsid w:val="10C35B5C"/>
    <w:rsid w:val="10D77C07"/>
    <w:rsid w:val="112F00E3"/>
    <w:rsid w:val="11611D49"/>
    <w:rsid w:val="11674F3D"/>
    <w:rsid w:val="11694370"/>
    <w:rsid w:val="117141C3"/>
    <w:rsid w:val="11875A3F"/>
    <w:rsid w:val="118F1C4B"/>
    <w:rsid w:val="11915752"/>
    <w:rsid w:val="11A54DB1"/>
    <w:rsid w:val="11C473B7"/>
    <w:rsid w:val="11D263D2"/>
    <w:rsid w:val="11F93CC8"/>
    <w:rsid w:val="121D5AA7"/>
    <w:rsid w:val="123E07AF"/>
    <w:rsid w:val="128B082A"/>
    <w:rsid w:val="12914B30"/>
    <w:rsid w:val="12B17AA6"/>
    <w:rsid w:val="12D76A20"/>
    <w:rsid w:val="12F46E80"/>
    <w:rsid w:val="131A3751"/>
    <w:rsid w:val="136B5FEA"/>
    <w:rsid w:val="13A91C52"/>
    <w:rsid w:val="13C07EB6"/>
    <w:rsid w:val="13D83775"/>
    <w:rsid w:val="13ED1D45"/>
    <w:rsid w:val="141D790D"/>
    <w:rsid w:val="144B4EFE"/>
    <w:rsid w:val="145910E0"/>
    <w:rsid w:val="145D2BC2"/>
    <w:rsid w:val="147501D3"/>
    <w:rsid w:val="149C62B6"/>
    <w:rsid w:val="14BE0885"/>
    <w:rsid w:val="15007ACD"/>
    <w:rsid w:val="151F4732"/>
    <w:rsid w:val="15372FA4"/>
    <w:rsid w:val="153A1F28"/>
    <w:rsid w:val="153F05C2"/>
    <w:rsid w:val="1552205F"/>
    <w:rsid w:val="15565AEA"/>
    <w:rsid w:val="158F403B"/>
    <w:rsid w:val="159076D6"/>
    <w:rsid w:val="15C11B01"/>
    <w:rsid w:val="15CE0A89"/>
    <w:rsid w:val="15E3346A"/>
    <w:rsid w:val="162A541E"/>
    <w:rsid w:val="166B472B"/>
    <w:rsid w:val="16704C68"/>
    <w:rsid w:val="16B877F8"/>
    <w:rsid w:val="16BC52DE"/>
    <w:rsid w:val="171A2CB4"/>
    <w:rsid w:val="171B2434"/>
    <w:rsid w:val="173C04C3"/>
    <w:rsid w:val="173E2A85"/>
    <w:rsid w:val="176652E8"/>
    <w:rsid w:val="1769256D"/>
    <w:rsid w:val="176F4594"/>
    <w:rsid w:val="17915A7E"/>
    <w:rsid w:val="181803D7"/>
    <w:rsid w:val="18196EE4"/>
    <w:rsid w:val="184D4A07"/>
    <w:rsid w:val="187450BD"/>
    <w:rsid w:val="188C4E41"/>
    <w:rsid w:val="18C56911"/>
    <w:rsid w:val="18CB0D78"/>
    <w:rsid w:val="18E447E1"/>
    <w:rsid w:val="18F1275C"/>
    <w:rsid w:val="19217C54"/>
    <w:rsid w:val="19247ED6"/>
    <w:rsid w:val="194E4D9E"/>
    <w:rsid w:val="196B2692"/>
    <w:rsid w:val="198C2B7E"/>
    <w:rsid w:val="19947705"/>
    <w:rsid w:val="19B86659"/>
    <w:rsid w:val="19B95A0C"/>
    <w:rsid w:val="19F02A92"/>
    <w:rsid w:val="19F70E42"/>
    <w:rsid w:val="1A195EF1"/>
    <w:rsid w:val="1A1B111D"/>
    <w:rsid w:val="1A4E3356"/>
    <w:rsid w:val="1A5D78BC"/>
    <w:rsid w:val="1A681627"/>
    <w:rsid w:val="1A7847F0"/>
    <w:rsid w:val="1A7B4DAB"/>
    <w:rsid w:val="1ACD364A"/>
    <w:rsid w:val="1ADD5B4A"/>
    <w:rsid w:val="1AE678F5"/>
    <w:rsid w:val="1B117444"/>
    <w:rsid w:val="1B242D7C"/>
    <w:rsid w:val="1B3544ED"/>
    <w:rsid w:val="1B5148C2"/>
    <w:rsid w:val="1B5D0A58"/>
    <w:rsid w:val="1B8018C9"/>
    <w:rsid w:val="1B9A5644"/>
    <w:rsid w:val="1BAB764D"/>
    <w:rsid w:val="1BE374A9"/>
    <w:rsid w:val="1BE4429F"/>
    <w:rsid w:val="1C1C3E85"/>
    <w:rsid w:val="1C4F3974"/>
    <w:rsid w:val="1C8C2322"/>
    <w:rsid w:val="1CA52C2F"/>
    <w:rsid w:val="1CAF7990"/>
    <w:rsid w:val="1CC33031"/>
    <w:rsid w:val="1CD157D9"/>
    <w:rsid w:val="1CDF1CFC"/>
    <w:rsid w:val="1D063AAC"/>
    <w:rsid w:val="1D3B78D9"/>
    <w:rsid w:val="1D7840F1"/>
    <w:rsid w:val="1D836679"/>
    <w:rsid w:val="1D8B71E1"/>
    <w:rsid w:val="1D9D3D4A"/>
    <w:rsid w:val="1DC96E12"/>
    <w:rsid w:val="1E0D50FB"/>
    <w:rsid w:val="1E352C70"/>
    <w:rsid w:val="1E4574C2"/>
    <w:rsid w:val="1E536B13"/>
    <w:rsid w:val="1E5545E4"/>
    <w:rsid w:val="1E557FB0"/>
    <w:rsid w:val="1E853844"/>
    <w:rsid w:val="1E9D58D6"/>
    <w:rsid w:val="1EA77971"/>
    <w:rsid w:val="1ED10DEF"/>
    <w:rsid w:val="1EE51DD3"/>
    <w:rsid w:val="1F066F88"/>
    <w:rsid w:val="1F254E7A"/>
    <w:rsid w:val="1F772657"/>
    <w:rsid w:val="1FA62D37"/>
    <w:rsid w:val="1FB168A4"/>
    <w:rsid w:val="1FCA7CDE"/>
    <w:rsid w:val="1FE3716A"/>
    <w:rsid w:val="1FED24E5"/>
    <w:rsid w:val="202D7E73"/>
    <w:rsid w:val="202F4E7D"/>
    <w:rsid w:val="2037677D"/>
    <w:rsid w:val="20410845"/>
    <w:rsid w:val="206007DE"/>
    <w:rsid w:val="206B4F6D"/>
    <w:rsid w:val="207D383C"/>
    <w:rsid w:val="20851F20"/>
    <w:rsid w:val="20B42211"/>
    <w:rsid w:val="20BA0299"/>
    <w:rsid w:val="20C47A5B"/>
    <w:rsid w:val="20E6100E"/>
    <w:rsid w:val="20F52E31"/>
    <w:rsid w:val="20FA64C2"/>
    <w:rsid w:val="2111370C"/>
    <w:rsid w:val="21283873"/>
    <w:rsid w:val="21430515"/>
    <w:rsid w:val="214E24EE"/>
    <w:rsid w:val="21805ABF"/>
    <w:rsid w:val="21A47267"/>
    <w:rsid w:val="21A85F9F"/>
    <w:rsid w:val="21B5407C"/>
    <w:rsid w:val="21BC252B"/>
    <w:rsid w:val="21CA7177"/>
    <w:rsid w:val="21DD6CCE"/>
    <w:rsid w:val="21F15373"/>
    <w:rsid w:val="221710F1"/>
    <w:rsid w:val="224F3B68"/>
    <w:rsid w:val="22547778"/>
    <w:rsid w:val="22745C5B"/>
    <w:rsid w:val="227F1D33"/>
    <w:rsid w:val="22A56E76"/>
    <w:rsid w:val="22B25267"/>
    <w:rsid w:val="22C84DCC"/>
    <w:rsid w:val="231A43B2"/>
    <w:rsid w:val="23280C8D"/>
    <w:rsid w:val="232910C4"/>
    <w:rsid w:val="23302798"/>
    <w:rsid w:val="2336132E"/>
    <w:rsid w:val="23423B80"/>
    <w:rsid w:val="236915C9"/>
    <w:rsid w:val="239E1028"/>
    <w:rsid w:val="23A139B1"/>
    <w:rsid w:val="23B41069"/>
    <w:rsid w:val="23CB460C"/>
    <w:rsid w:val="23DD33CC"/>
    <w:rsid w:val="23E16E04"/>
    <w:rsid w:val="23EB433F"/>
    <w:rsid w:val="240C32C9"/>
    <w:rsid w:val="24132D46"/>
    <w:rsid w:val="242817F7"/>
    <w:rsid w:val="244F371F"/>
    <w:rsid w:val="2465351D"/>
    <w:rsid w:val="24681476"/>
    <w:rsid w:val="248E37F3"/>
    <w:rsid w:val="249220C6"/>
    <w:rsid w:val="249754C6"/>
    <w:rsid w:val="24A9239B"/>
    <w:rsid w:val="24AA65D4"/>
    <w:rsid w:val="24C85D1D"/>
    <w:rsid w:val="24D526FD"/>
    <w:rsid w:val="24E76BE8"/>
    <w:rsid w:val="25035A1C"/>
    <w:rsid w:val="25070CC1"/>
    <w:rsid w:val="252452EF"/>
    <w:rsid w:val="252B0BB3"/>
    <w:rsid w:val="252E7189"/>
    <w:rsid w:val="255C02B9"/>
    <w:rsid w:val="25645475"/>
    <w:rsid w:val="256D336E"/>
    <w:rsid w:val="25722BAF"/>
    <w:rsid w:val="258E7B7F"/>
    <w:rsid w:val="259B0C90"/>
    <w:rsid w:val="25A55A28"/>
    <w:rsid w:val="262A3084"/>
    <w:rsid w:val="262C35F3"/>
    <w:rsid w:val="26574779"/>
    <w:rsid w:val="26720AE8"/>
    <w:rsid w:val="26722DF5"/>
    <w:rsid w:val="26850A44"/>
    <w:rsid w:val="2692015A"/>
    <w:rsid w:val="26A42276"/>
    <w:rsid w:val="26A95916"/>
    <w:rsid w:val="26AC2D46"/>
    <w:rsid w:val="26B048CF"/>
    <w:rsid w:val="26BC5F7E"/>
    <w:rsid w:val="26BC75B0"/>
    <w:rsid w:val="26D95C81"/>
    <w:rsid w:val="270B2F7E"/>
    <w:rsid w:val="271375AF"/>
    <w:rsid w:val="27200E83"/>
    <w:rsid w:val="27226628"/>
    <w:rsid w:val="27240C26"/>
    <w:rsid w:val="27272B7E"/>
    <w:rsid w:val="272804A6"/>
    <w:rsid w:val="273F53E1"/>
    <w:rsid w:val="27685E57"/>
    <w:rsid w:val="27721AF6"/>
    <w:rsid w:val="277A6499"/>
    <w:rsid w:val="27AD4732"/>
    <w:rsid w:val="27EF5D71"/>
    <w:rsid w:val="27FC6AB7"/>
    <w:rsid w:val="281A3B7F"/>
    <w:rsid w:val="281D4CB6"/>
    <w:rsid w:val="28225114"/>
    <w:rsid w:val="28414907"/>
    <w:rsid w:val="285F4DA4"/>
    <w:rsid w:val="28641DDC"/>
    <w:rsid w:val="286D7311"/>
    <w:rsid w:val="288663F2"/>
    <w:rsid w:val="28907CBF"/>
    <w:rsid w:val="28983BDF"/>
    <w:rsid w:val="28994044"/>
    <w:rsid w:val="28BA778B"/>
    <w:rsid w:val="28CF7855"/>
    <w:rsid w:val="28E37577"/>
    <w:rsid w:val="292667B7"/>
    <w:rsid w:val="2927416E"/>
    <w:rsid w:val="292852C2"/>
    <w:rsid w:val="29403833"/>
    <w:rsid w:val="2961335E"/>
    <w:rsid w:val="296278BF"/>
    <w:rsid w:val="29840596"/>
    <w:rsid w:val="29844DD8"/>
    <w:rsid w:val="298C53B4"/>
    <w:rsid w:val="2A066D84"/>
    <w:rsid w:val="2A1F0EA2"/>
    <w:rsid w:val="2A8B74F7"/>
    <w:rsid w:val="2A9C4475"/>
    <w:rsid w:val="2AA03DAB"/>
    <w:rsid w:val="2AB526BC"/>
    <w:rsid w:val="2AE74455"/>
    <w:rsid w:val="2AEE3A39"/>
    <w:rsid w:val="2B333009"/>
    <w:rsid w:val="2B4D7F9A"/>
    <w:rsid w:val="2B81314E"/>
    <w:rsid w:val="2B8202B3"/>
    <w:rsid w:val="2BB704E0"/>
    <w:rsid w:val="2BE84F13"/>
    <w:rsid w:val="2C0C1A2C"/>
    <w:rsid w:val="2C253078"/>
    <w:rsid w:val="2C494E79"/>
    <w:rsid w:val="2C4E2C7E"/>
    <w:rsid w:val="2C4F375B"/>
    <w:rsid w:val="2C682DF7"/>
    <w:rsid w:val="2C6C1C2D"/>
    <w:rsid w:val="2C6C1EF3"/>
    <w:rsid w:val="2CB07168"/>
    <w:rsid w:val="2CB62549"/>
    <w:rsid w:val="2CD94390"/>
    <w:rsid w:val="2CDC63DA"/>
    <w:rsid w:val="2CDF0540"/>
    <w:rsid w:val="2CEA061D"/>
    <w:rsid w:val="2D1A6B8B"/>
    <w:rsid w:val="2D3C7A1B"/>
    <w:rsid w:val="2D400C03"/>
    <w:rsid w:val="2D527FBC"/>
    <w:rsid w:val="2D9B2B4F"/>
    <w:rsid w:val="2DAA3BA2"/>
    <w:rsid w:val="2DC3526B"/>
    <w:rsid w:val="2DC64325"/>
    <w:rsid w:val="2DCF7CDF"/>
    <w:rsid w:val="2DF511F5"/>
    <w:rsid w:val="2E004BE0"/>
    <w:rsid w:val="2E084B99"/>
    <w:rsid w:val="2E762EEB"/>
    <w:rsid w:val="2E9236A2"/>
    <w:rsid w:val="2E9B4165"/>
    <w:rsid w:val="2EC94570"/>
    <w:rsid w:val="2EF82D13"/>
    <w:rsid w:val="2F06540D"/>
    <w:rsid w:val="2F362D1D"/>
    <w:rsid w:val="2F3E1D3D"/>
    <w:rsid w:val="2F520D6A"/>
    <w:rsid w:val="2F631E0B"/>
    <w:rsid w:val="2F983C4C"/>
    <w:rsid w:val="2FD35FF4"/>
    <w:rsid w:val="301E0417"/>
    <w:rsid w:val="30401D11"/>
    <w:rsid w:val="30405287"/>
    <w:rsid w:val="306E5BF5"/>
    <w:rsid w:val="30811BCF"/>
    <w:rsid w:val="30852C88"/>
    <w:rsid w:val="309E3F2C"/>
    <w:rsid w:val="30A41A34"/>
    <w:rsid w:val="30B8536E"/>
    <w:rsid w:val="30E33E00"/>
    <w:rsid w:val="312225A7"/>
    <w:rsid w:val="313A1FDF"/>
    <w:rsid w:val="314E5250"/>
    <w:rsid w:val="316B4950"/>
    <w:rsid w:val="319542A1"/>
    <w:rsid w:val="31AA7C21"/>
    <w:rsid w:val="31B643EF"/>
    <w:rsid w:val="31D811CD"/>
    <w:rsid w:val="31D90966"/>
    <w:rsid w:val="31E70161"/>
    <w:rsid w:val="31F66D75"/>
    <w:rsid w:val="32042F99"/>
    <w:rsid w:val="324C33B5"/>
    <w:rsid w:val="324C7ED8"/>
    <w:rsid w:val="32A51B90"/>
    <w:rsid w:val="32E77D37"/>
    <w:rsid w:val="33137B9F"/>
    <w:rsid w:val="33353386"/>
    <w:rsid w:val="33415A8D"/>
    <w:rsid w:val="337B73ED"/>
    <w:rsid w:val="33803480"/>
    <w:rsid w:val="3385457C"/>
    <w:rsid w:val="339A55B4"/>
    <w:rsid w:val="339E2468"/>
    <w:rsid w:val="33A91D17"/>
    <w:rsid w:val="33B44E41"/>
    <w:rsid w:val="33CC4CB4"/>
    <w:rsid w:val="34041022"/>
    <w:rsid w:val="34124530"/>
    <w:rsid w:val="342A5B0A"/>
    <w:rsid w:val="34395956"/>
    <w:rsid w:val="346059E8"/>
    <w:rsid w:val="34756687"/>
    <w:rsid w:val="34A309E1"/>
    <w:rsid w:val="34A66303"/>
    <w:rsid w:val="34AC3731"/>
    <w:rsid w:val="34EF0B9B"/>
    <w:rsid w:val="350668B2"/>
    <w:rsid w:val="351211E7"/>
    <w:rsid w:val="35335936"/>
    <w:rsid w:val="355557F2"/>
    <w:rsid w:val="3562627B"/>
    <w:rsid w:val="357709D0"/>
    <w:rsid w:val="35BD492A"/>
    <w:rsid w:val="35C70E9A"/>
    <w:rsid w:val="35D02EC3"/>
    <w:rsid w:val="360C4565"/>
    <w:rsid w:val="36124F93"/>
    <w:rsid w:val="36514DFC"/>
    <w:rsid w:val="365A592A"/>
    <w:rsid w:val="3671559A"/>
    <w:rsid w:val="36815F72"/>
    <w:rsid w:val="36A73099"/>
    <w:rsid w:val="36E253DC"/>
    <w:rsid w:val="37257AC4"/>
    <w:rsid w:val="37382601"/>
    <w:rsid w:val="375F69DD"/>
    <w:rsid w:val="377E4FAF"/>
    <w:rsid w:val="37A07100"/>
    <w:rsid w:val="37A406E4"/>
    <w:rsid w:val="37D6300B"/>
    <w:rsid w:val="38010FF7"/>
    <w:rsid w:val="38217B55"/>
    <w:rsid w:val="385345AE"/>
    <w:rsid w:val="3869690E"/>
    <w:rsid w:val="38750FF3"/>
    <w:rsid w:val="38756D44"/>
    <w:rsid w:val="38845C7E"/>
    <w:rsid w:val="38B60A2B"/>
    <w:rsid w:val="38BD74B9"/>
    <w:rsid w:val="38EE156D"/>
    <w:rsid w:val="38F37C80"/>
    <w:rsid w:val="39015C75"/>
    <w:rsid w:val="391D14E6"/>
    <w:rsid w:val="39340E5C"/>
    <w:rsid w:val="393B5AA8"/>
    <w:rsid w:val="39A0438C"/>
    <w:rsid w:val="39C63022"/>
    <w:rsid w:val="39FE7EC6"/>
    <w:rsid w:val="3A444D54"/>
    <w:rsid w:val="3A5B049C"/>
    <w:rsid w:val="3A6938CA"/>
    <w:rsid w:val="3A8B5D1B"/>
    <w:rsid w:val="3AB25A48"/>
    <w:rsid w:val="3AEC2F68"/>
    <w:rsid w:val="3B2D369C"/>
    <w:rsid w:val="3B4018AB"/>
    <w:rsid w:val="3B577533"/>
    <w:rsid w:val="3B745C0D"/>
    <w:rsid w:val="3B94140D"/>
    <w:rsid w:val="3BBE43C5"/>
    <w:rsid w:val="3BE01215"/>
    <w:rsid w:val="3C015CC0"/>
    <w:rsid w:val="3C016AC1"/>
    <w:rsid w:val="3C02534D"/>
    <w:rsid w:val="3C3F4224"/>
    <w:rsid w:val="3C62595E"/>
    <w:rsid w:val="3C720169"/>
    <w:rsid w:val="3CBE566C"/>
    <w:rsid w:val="3D0C725A"/>
    <w:rsid w:val="3D7822ED"/>
    <w:rsid w:val="3D7B3BE0"/>
    <w:rsid w:val="3DA24227"/>
    <w:rsid w:val="3DA93405"/>
    <w:rsid w:val="3DC6046B"/>
    <w:rsid w:val="3DCD2277"/>
    <w:rsid w:val="3DD55229"/>
    <w:rsid w:val="3DDA621C"/>
    <w:rsid w:val="3E142590"/>
    <w:rsid w:val="3E2E7EBE"/>
    <w:rsid w:val="3E521D31"/>
    <w:rsid w:val="3E6727A9"/>
    <w:rsid w:val="3E7976CC"/>
    <w:rsid w:val="3E8C6133"/>
    <w:rsid w:val="3E8D2978"/>
    <w:rsid w:val="3ED668C3"/>
    <w:rsid w:val="3F281DC2"/>
    <w:rsid w:val="3F297732"/>
    <w:rsid w:val="3F4732B9"/>
    <w:rsid w:val="3F4944A8"/>
    <w:rsid w:val="3F503F29"/>
    <w:rsid w:val="3F5807E0"/>
    <w:rsid w:val="3F6C6ABA"/>
    <w:rsid w:val="3FB50150"/>
    <w:rsid w:val="3FCC7B66"/>
    <w:rsid w:val="3FFA4413"/>
    <w:rsid w:val="401972B4"/>
    <w:rsid w:val="40487D82"/>
    <w:rsid w:val="405B5800"/>
    <w:rsid w:val="407C4CE2"/>
    <w:rsid w:val="40A01669"/>
    <w:rsid w:val="41072E0E"/>
    <w:rsid w:val="41252929"/>
    <w:rsid w:val="412C2A17"/>
    <w:rsid w:val="413B3F1A"/>
    <w:rsid w:val="41480453"/>
    <w:rsid w:val="416B49EF"/>
    <w:rsid w:val="41A40996"/>
    <w:rsid w:val="41CB616E"/>
    <w:rsid w:val="41DD2167"/>
    <w:rsid w:val="41FC0FA7"/>
    <w:rsid w:val="421D11FF"/>
    <w:rsid w:val="423F1CC9"/>
    <w:rsid w:val="424B600F"/>
    <w:rsid w:val="42515F96"/>
    <w:rsid w:val="42637D55"/>
    <w:rsid w:val="42BF2FF3"/>
    <w:rsid w:val="42C10E48"/>
    <w:rsid w:val="42CA44EA"/>
    <w:rsid w:val="42D3676F"/>
    <w:rsid w:val="42EF792C"/>
    <w:rsid w:val="431123CE"/>
    <w:rsid w:val="431B7932"/>
    <w:rsid w:val="431E55F4"/>
    <w:rsid w:val="432D2509"/>
    <w:rsid w:val="4338080B"/>
    <w:rsid w:val="4365744A"/>
    <w:rsid w:val="436D3273"/>
    <w:rsid w:val="4370627C"/>
    <w:rsid w:val="437D03C2"/>
    <w:rsid w:val="439E46C5"/>
    <w:rsid w:val="43E072E0"/>
    <w:rsid w:val="43E074ED"/>
    <w:rsid w:val="43E52ADD"/>
    <w:rsid w:val="43F15A9D"/>
    <w:rsid w:val="43F354D7"/>
    <w:rsid w:val="440139FF"/>
    <w:rsid w:val="440A1946"/>
    <w:rsid w:val="44162084"/>
    <w:rsid w:val="44752DC1"/>
    <w:rsid w:val="44832F7B"/>
    <w:rsid w:val="44947BD4"/>
    <w:rsid w:val="44AA3750"/>
    <w:rsid w:val="44B52CB1"/>
    <w:rsid w:val="44C804E0"/>
    <w:rsid w:val="4507271E"/>
    <w:rsid w:val="45226E5D"/>
    <w:rsid w:val="454D75C2"/>
    <w:rsid w:val="455A64B5"/>
    <w:rsid w:val="455C5643"/>
    <w:rsid w:val="45965327"/>
    <w:rsid w:val="45A67D8E"/>
    <w:rsid w:val="45BA248B"/>
    <w:rsid w:val="460B7E0C"/>
    <w:rsid w:val="461812ED"/>
    <w:rsid w:val="46223A8A"/>
    <w:rsid w:val="46314DBD"/>
    <w:rsid w:val="4643282A"/>
    <w:rsid w:val="467C7460"/>
    <w:rsid w:val="4682603A"/>
    <w:rsid w:val="46C633A0"/>
    <w:rsid w:val="46D908D3"/>
    <w:rsid w:val="47101887"/>
    <w:rsid w:val="472813A6"/>
    <w:rsid w:val="474B7C61"/>
    <w:rsid w:val="47752F9E"/>
    <w:rsid w:val="477A01FD"/>
    <w:rsid w:val="47801AB2"/>
    <w:rsid w:val="4795235B"/>
    <w:rsid w:val="47E567CE"/>
    <w:rsid w:val="486A14E7"/>
    <w:rsid w:val="486D6717"/>
    <w:rsid w:val="48894303"/>
    <w:rsid w:val="49072A64"/>
    <w:rsid w:val="491E3D88"/>
    <w:rsid w:val="493731EA"/>
    <w:rsid w:val="496B237A"/>
    <w:rsid w:val="49804F26"/>
    <w:rsid w:val="49990406"/>
    <w:rsid w:val="49AF4B75"/>
    <w:rsid w:val="49CF51F6"/>
    <w:rsid w:val="49D47304"/>
    <w:rsid w:val="4A343D33"/>
    <w:rsid w:val="4A4679EC"/>
    <w:rsid w:val="4A522936"/>
    <w:rsid w:val="4A7D62A7"/>
    <w:rsid w:val="4A8166C5"/>
    <w:rsid w:val="4A8803F3"/>
    <w:rsid w:val="4A9F523E"/>
    <w:rsid w:val="4A9F776C"/>
    <w:rsid w:val="4ABC335D"/>
    <w:rsid w:val="4AC95516"/>
    <w:rsid w:val="4ADC34C0"/>
    <w:rsid w:val="4B0706EF"/>
    <w:rsid w:val="4B151CDA"/>
    <w:rsid w:val="4B2E5F87"/>
    <w:rsid w:val="4B3423D0"/>
    <w:rsid w:val="4B7C57A9"/>
    <w:rsid w:val="4B9535D0"/>
    <w:rsid w:val="4BCE14DD"/>
    <w:rsid w:val="4BF65473"/>
    <w:rsid w:val="4C1C5ED1"/>
    <w:rsid w:val="4C296DFE"/>
    <w:rsid w:val="4C4308E7"/>
    <w:rsid w:val="4C5F554A"/>
    <w:rsid w:val="4C674BE3"/>
    <w:rsid w:val="4C796238"/>
    <w:rsid w:val="4C8D7864"/>
    <w:rsid w:val="4CA2136F"/>
    <w:rsid w:val="4CC330C3"/>
    <w:rsid w:val="4CD07A2A"/>
    <w:rsid w:val="4CF25575"/>
    <w:rsid w:val="4CFE48B1"/>
    <w:rsid w:val="4D042A23"/>
    <w:rsid w:val="4D6543A8"/>
    <w:rsid w:val="4D8D7BF0"/>
    <w:rsid w:val="4DBB674D"/>
    <w:rsid w:val="4DEE42BB"/>
    <w:rsid w:val="4E4C2F10"/>
    <w:rsid w:val="4E50554E"/>
    <w:rsid w:val="4E9E4D53"/>
    <w:rsid w:val="4EA253CD"/>
    <w:rsid w:val="4EA62219"/>
    <w:rsid w:val="4EB9101B"/>
    <w:rsid w:val="4EDF533B"/>
    <w:rsid w:val="4EE80E4C"/>
    <w:rsid w:val="4F046328"/>
    <w:rsid w:val="4F0A38E9"/>
    <w:rsid w:val="4F0C1D27"/>
    <w:rsid w:val="4F0C6D7F"/>
    <w:rsid w:val="4F1763A9"/>
    <w:rsid w:val="4F1C47FA"/>
    <w:rsid w:val="4F3139CE"/>
    <w:rsid w:val="4F3F4AE5"/>
    <w:rsid w:val="4F9A2F39"/>
    <w:rsid w:val="4FA52BCF"/>
    <w:rsid w:val="4FE60EDF"/>
    <w:rsid w:val="4FF5614D"/>
    <w:rsid w:val="50456945"/>
    <w:rsid w:val="504C739E"/>
    <w:rsid w:val="50527BFF"/>
    <w:rsid w:val="507C0F0A"/>
    <w:rsid w:val="50987303"/>
    <w:rsid w:val="509A5FF6"/>
    <w:rsid w:val="50B21FB5"/>
    <w:rsid w:val="50EA598E"/>
    <w:rsid w:val="513D7C0C"/>
    <w:rsid w:val="514A4278"/>
    <w:rsid w:val="51550A01"/>
    <w:rsid w:val="51580D72"/>
    <w:rsid w:val="516B7014"/>
    <w:rsid w:val="516F5BB5"/>
    <w:rsid w:val="517A72F6"/>
    <w:rsid w:val="51876787"/>
    <w:rsid w:val="51D514A1"/>
    <w:rsid w:val="51E86261"/>
    <w:rsid w:val="51F60FA4"/>
    <w:rsid w:val="523429DF"/>
    <w:rsid w:val="526762D2"/>
    <w:rsid w:val="52A10892"/>
    <w:rsid w:val="52B453D9"/>
    <w:rsid w:val="52B925C9"/>
    <w:rsid w:val="52DA0145"/>
    <w:rsid w:val="52E16BBB"/>
    <w:rsid w:val="52EF5B8A"/>
    <w:rsid w:val="53157BAA"/>
    <w:rsid w:val="532100DD"/>
    <w:rsid w:val="532631EC"/>
    <w:rsid w:val="535B075B"/>
    <w:rsid w:val="53C82084"/>
    <w:rsid w:val="53F56162"/>
    <w:rsid w:val="543437C0"/>
    <w:rsid w:val="54407DB7"/>
    <w:rsid w:val="54476E39"/>
    <w:rsid w:val="545170B4"/>
    <w:rsid w:val="5452354B"/>
    <w:rsid w:val="54572022"/>
    <w:rsid w:val="54581443"/>
    <w:rsid w:val="5478018A"/>
    <w:rsid w:val="54993A1A"/>
    <w:rsid w:val="54AA6DEE"/>
    <w:rsid w:val="54D142AB"/>
    <w:rsid w:val="54EB48D8"/>
    <w:rsid w:val="550012B8"/>
    <w:rsid w:val="552C3E22"/>
    <w:rsid w:val="553E1633"/>
    <w:rsid w:val="554910C3"/>
    <w:rsid w:val="5565794F"/>
    <w:rsid w:val="55866B82"/>
    <w:rsid w:val="559D7AC8"/>
    <w:rsid w:val="55AC70FA"/>
    <w:rsid w:val="55B66503"/>
    <w:rsid w:val="55CC7FEC"/>
    <w:rsid w:val="55F95A0A"/>
    <w:rsid w:val="562A4F52"/>
    <w:rsid w:val="562D14FF"/>
    <w:rsid w:val="56312E45"/>
    <w:rsid w:val="5660269B"/>
    <w:rsid w:val="567815A1"/>
    <w:rsid w:val="56864EC0"/>
    <w:rsid w:val="56C1389A"/>
    <w:rsid w:val="56C70E4C"/>
    <w:rsid w:val="56DA0379"/>
    <w:rsid w:val="56DC0F52"/>
    <w:rsid w:val="56E629BF"/>
    <w:rsid w:val="571A3316"/>
    <w:rsid w:val="57700F1E"/>
    <w:rsid w:val="57743876"/>
    <w:rsid w:val="5788259C"/>
    <w:rsid w:val="57BA6A69"/>
    <w:rsid w:val="57C96BB6"/>
    <w:rsid w:val="57D60F67"/>
    <w:rsid w:val="58873070"/>
    <w:rsid w:val="58A969E7"/>
    <w:rsid w:val="58BD13B3"/>
    <w:rsid w:val="590239D6"/>
    <w:rsid w:val="59074258"/>
    <w:rsid w:val="599260CF"/>
    <w:rsid w:val="59A374A2"/>
    <w:rsid w:val="59A6390C"/>
    <w:rsid w:val="59A85A0F"/>
    <w:rsid w:val="59BF4E8F"/>
    <w:rsid w:val="59F54A78"/>
    <w:rsid w:val="59FF3DD5"/>
    <w:rsid w:val="5A061F05"/>
    <w:rsid w:val="5A2D5907"/>
    <w:rsid w:val="5A5C695A"/>
    <w:rsid w:val="5A9E14BA"/>
    <w:rsid w:val="5AAF18B6"/>
    <w:rsid w:val="5AE01549"/>
    <w:rsid w:val="5AF25320"/>
    <w:rsid w:val="5B0C3813"/>
    <w:rsid w:val="5B5D0668"/>
    <w:rsid w:val="5B954541"/>
    <w:rsid w:val="5B9736F3"/>
    <w:rsid w:val="5BA849E6"/>
    <w:rsid w:val="5BDA6D7F"/>
    <w:rsid w:val="5BE119C8"/>
    <w:rsid w:val="5BE6074A"/>
    <w:rsid w:val="5C0709CB"/>
    <w:rsid w:val="5C2B4972"/>
    <w:rsid w:val="5C312F2C"/>
    <w:rsid w:val="5C625955"/>
    <w:rsid w:val="5CA54AB0"/>
    <w:rsid w:val="5CF239A6"/>
    <w:rsid w:val="5D002351"/>
    <w:rsid w:val="5D002A38"/>
    <w:rsid w:val="5D177993"/>
    <w:rsid w:val="5D207458"/>
    <w:rsid w:val="5D3B7CB5"/>
    <w:rsid w:val="5D560EE3"/>
    <w:rsid w:val="5D584373"/>
    <w:rsid w:val="5D754025"/>
    <w:rsid w:val="5D9B3801"/>
    <w:rsid w:val="5DB01940"/>
    <w:rsid w:val="5DE272CE"/>
    <w:rsid w:val="5DE646D3"/>
    <w:rsid w:val="5E0B1330"/>
    <w:rsid w:val="5E1A1A2D"/>
    <w:rsid w:val="5E1A2D19"/>
    <w:rsid w:val="5E7B078E"/>
    <w:rsid w:val="5E822A4A"/>
    <w:rsid w:val="5EFD63A0"/>
    <w:rsid w:val="5F114066"/>
    <w:rsid w:val="5F4C62C2"/>
    <w:rsid w:val="5F557AFE"/>
    <w:rsid w:val="5F6363B3"/>
    <w:rsid w:val="5F6A2CAD"/>
    <w:rsid w:val="5F7D52C6"/>
    <w:rsid w:val="5F8E65CB"/>
    <w:rsid w:val="5F93366B"/>
    <w:rsid w:val="5FB96A29"/>
    <w:rsid w:val="60247767"/>
    <w:rsid w:val="603808BA"/>
    <w:rsid w:val="60734876"/>
    <w:rsid w:val="60A22725"/>
    <w:rsid w:val="60DE3814"/>
    <w:rsid w:val="60F04887"/>
    <w:rsid w:val="60FD7201"/>
    <w:rsid w:val="61054C82"/>
    <w:rsid w:val="610C7077"/>
    <w:rsid w:val="61343B02"/>
    <w:rsid w:val="613D6DF3"/>
    <w:rsid w:val="616A3F2E"/>
    <w:rsid w:val="616D1CC8"/>
    <w:rsid w:val="618427EF"/>
    <w:rsid w:val="61B94090"/>
    <w:rsid w:val="62225E76"/>
    <w:rsid w:val="62254142"/>
    <w:rsid w:val="62436AF8"/>
    <w:rsid w:val="626744CC"/>
    <w:rsid w:val="6273108A"/>
    <w:rsid w:val="6286335F"/>
    <w:rsid w:val="62BD06F1"/>
    <w:rsid w:val="62F345C8"/>
    <w:rsid w:val="6319602F"/>
    <w:rsid w:val="63263B2D"/>
    <w:rsid w:val="63737E4E"/>
    <w:rsid w:val="63B1112C"/>
    <w:rsid w:val="63D802E2"/>
    <w:rsid w:val="63DC2FBF"/>
    <w:rsid w:val="63E72F74"/>
    <w:rsid w:val="64081316"/>
    <w:rsid w:val="642D1726"/>
    <w:rsid w:val="64820E7F"/>
    <w:rsid w:val="64A1252C"/>
    <w:rsid w:val="64E9238A"/>
    <w:rsid w:val="64EF0725"/>
    <w:rsid w:val="6567363D"/>
    <w:rsid w:val="65A74A29"/>
    <w:rsid w:val="65E567ED"/>
    <w:rsid w:val="6655160C"/>
    <w:rsid w:val="668039D7"/>
    <w:rsid w:val="66930774"/>
    <w:rsid w:val="66986334"/>
    <w:rsid w:val="669F75AA"/>
    <w:rsid w:val="66AB7437"/>
    <w:rsid w:val="66B44E00"/>
    <w:rsid w:val="66B81ECD"/>
    <w:rsid w:val="66C80FC5"/>
    <w:rsid w:val="66D974CE"/>
    <w:rsid w:val="66F9067A"/>
    <w:rsid w:val="67573614"/>
    <w:rsid w:val="675F5D0D"/>
    <w:rsid w:val="677C6D6C"/>
    <w:rsid w:val="678C3314"/>
    <w:rsid w:val="67B20FA6"/>
    <w:rsid w:val="67F379B8"/>
    <w:rsid w:val="67F97C4C"/>
    <w:rsid w:val="67FD04D0"/>
    <w:rsid w:val="6821718F"/>
    <w:rsid w:val="68595677"/>
    <w:rsid w:val="68891211"/>
    <w:rsid w:val="688E2440"/>
    <w:rsid w:val="68B17662"/>
    <w:rsid w:val="68C609BD"/>
    <w:rsid w:val="68D23CB4"/>
    <w:rsid w:val="691F441B"/>
    <w:rsid w:val="69346EC6"/>
    <w:rsid w:val="69556DF3"/>
    <w:rsid w:val="69AA76EB"/>
    <w:rsid w:val="6A18437A"/>
    <w:rsid w:val="6A2161D7"/>
    <w:rsid w:val="6A2E1384"/>
    <w:rsid w:val="6A364250"/>
    <w:rsid w:val="6A670669"/>
    <w:rsid w:val="6A8F05CE"/>
    <w:rsid w:val="6AEF48D3"/>
    <w:rsid w:val="6AF30FB6"/>
    <w:rsid w:val="6B196B05"/>
    <w:rsid w:val="6B336FB1"/>
    <w:rsid w:val="6B3D1E72"/>
    <w:rsid w:val="6B931956"/>
    <w:rsid w:val="6BD6293B"/>
    <w:rsid w:val="6BD834E5"/>
    <w:rsid w:val="6C17681A"/>
    <w:rsid w:val="6C7D7C51"/>
    <w:rsid w:val="6C96341D"/>
    <w:rsid w:val="6CAB48F3"/>
    <w:rsid w:val="6CB00BC9"/>
    <w:rsid w:val="6CCB7317"/>
    <w:rsid w:val="6CD51390"/>
    <w:rsid w:val="6D054E50"/>
    <w:rsid w:val="6D1D796E"/>
    <w:rsid w:val="6D306281"/>
    <w:rsid w:val="6D4570DF"/>
    <w:rsid w:val="6DA8216A"/>
    <w:rsid w:val="6E0063F0"/>
    <w:rsid w:val="6E014F3D"/>
    <w:rsid w:val="6E0A3EFC"/>
    <w:rsid w:val="6E677B1D"/>
    <w:rsid w:val="6E694D2F"/>
    <w:rsid w:val="6E8D18D4"/>
    <w:rsid w:val="6E996F51"/>
    <w:rsid w:val="6E9C5B3F"/>
    <w:rsid w:val="6EDE238A"/>
    <w:rsid w:val="6EEE0563"/>
    <w:rsid w:val="6EFC154D"/>
    <w:rsid w:val="6EFC2AE2"/>
    <w:rsid w:val="6F1E04BD"/>
    <w:rsid w:val="6F1E3EFE"/>
    <w:rsid w:val="6F8B4B86"/>
    <w:rsid w:val="6F9279EB"/>
    <w:rsid w:val="6FBE188C"/>
    <w:rsid w:val="6FBE5187"/>
    <w:rsid w:val="6FCE4375"/>
    <w:rsid w:val="6FD3032B"/>
    <w:rsid w:val="6FDB55D0"/>
    <w:rsid w:val="6FE4396C"/>
    <w:rsid w:val="6FE93249"/>
    <w:rsid w:val="7001090D"/>
    <w:rsid w:val="700910BA"/>
    <w:rsid w:val="702D6286"/>
    <w:rsid w:val="706247DB"/>
    <w:rsid w:val="706B3EB8"/>
    <w:rsid w:val="707149A2"/>
    <w:rsid w:val="70812FE7"/>
    <w:rsid w:val="709779C9"/>
    <w:rsid w:val="70982A51"/>
    <w:rsid w:val="70AA4E4C"/>
    <w:rsid w:val="70E05BBA"/>
    <w:rsid w:val="71041996"/>
    <w:rsid w:val="71092C7C"/>
    <w:rsid w:val="71383E8B"/>
    <w:rsid w:val="713E4E22"/>
    <w:rsid w:val="71455E8F"/>
    <w:rsid w:val="718E573F"/>
    <w:rsid w:val="719B43F2"/>
    <w:rsid w:val="719C77E1"/>
    <w:rsid w:val="719D4AD1"/>
    <w:rsid w:val="71F50C85"/>
    <w:rsid w:val="71FF738C"/>
    <w:rsid w:val="7240030F"/>
    <w:rsid w:val="72417AB9"/>
    <w:rsid w:val="72613DF1"/>
    <w:rsid w:val="727F621B"/>
    <w:rsid w:val="72953A77"/>
    <w:rsid w:val="72C60B5E"/>
    <w:rsid w:val="72CD7E53"/>
    <w:rsid w:val="72D51A93"/>
    <w:rsid w:val="72DB4CD1"/>
    <w:rsid w:val="72DC52F8"/>
    <w:rsid w:val="72F51C1D"/>
    <w:rsid w:val="73031B08"/>
    <w:rsid w:val="73162AB8"/>
    <w:rsid w:val="731F509A"/>
    <w:rsid w:val="73283BDD"/>
    <w:rsid w:val="73345818"/>
    <w:rsid w:val="73443457"/>
    <w:rsid w:val="73782115"/>
    <w:rsid w:val="73A23474"/>
    <w:rsid w:val="73B57597"/>
    <w:rsid w:val="73D96FF7"/>
    <w:rsid w:val="741F2B6E"/>
    <w:rsid w:val="74261FB2"/>
    <w:rsid w:val="743B0372"/>
    <w:rsid w:val="74556998"/>
    <w:rsid w:val="74590649"/>
    <w:rsid w:val="745B2C64"/>
    <w:rsid w:val="74815C6A"/>
    <w:rsid w:val="74880B4B"/>
    <w:rsid w:val="748B4EB6"/>
    <w:rsid w:val="74934DDC"/>
    <w:rsid w:val="74B577C1"/>
    <w:rsid w:val="74DB41A1"/>
    <w:rsid w:val="75157A83"/>
    <w:rsid w:val="751C658E"/>
    <w:rsid w:val="75254F5B"/>
    <w:rsid w:val="752862B7"/>
    <w:rsid w:val="753A2F94"/>
    <w:rsid w:val="753D49D9"/>
    <w:rsid w:val="75492238"/>
    <w:rsid w:val="75984460"/>
    <w:rsid w:val="75A04D5B"/>
    <w:rsid w:val="75A72CCB"/>
    <w:rsid w:val="75CC7158"/>
    <w:rsid w:val="75DD0B81"/>
    <w:rsid w:val="761634C4"/>
    <w:rsid w:val="76406639"/>
    <w:rsid w:val="76437287"/>
    <w:rsid w:val="76797FDB"/>
    <w:rsid w:val="76875D36"/>
    <w:rsid w:val="76B34156"/>
    <w:rsid w:val="76C61245"/>
    <w:rsid w:val="76E72756"/>
    <w:rsid w:val="77104A47"/>
    <w:rsid w:val="77110944"/>
    <w:rsid w:val="77950C6E"/>
    <w:rsid w:val="77A34B0F"/>
    <w:rsid w:val="77AA1EDD"/>
    <w:rsid w:val="77C1059D"/>
    <w:rsid w:val="77F34632"/>
    <w:rsid w:val="77F67257"/>
    <w:rsid w:val="77FC131B"/>
    <w:rsid w:val="780358A9"/>
    <w:rsid w:val="78143870"/>
    <w:rsid w:val="783D58E3"/>
    <w:rsid w:val="78A546FD"/>
    <w:rsid w:val="78A830C7"/>
    <w:rsid w:val="78AB4BB7"/>
    <w:rsid w:val="78C30D81"/>
    <w:rsid w:val="78D0048E"/>
    <w:rsid w:val="78E05550"/>
    <w:rsid w:val="78E125CE"/>
    <w:rsid w:val="78E536C4"/>
    <w:rsid w:val="78F348F2"/>
    <w:rsid w:val="79201FA7"/>
    <w:rsid w:val="792B2D45"/>
    <w:rsid w:val="793B4D24"/>
    <w:rsid w:val="794B7537"/>
    <w:rsid w:val="79970C64"/>
    <w:rsid w:val="79A947AE"/>
    <w:rsid w:val="79AC3305"/>
    <w:rsid w:val="79B43785"/>
    <w:rsid w:val="79CE6DF0"/>
    <w:rsid w:val="7A170370"/>
    <w:rsid w:val="7A1C17B7"/>
    <w:rsid w:val="7A204F4D"/>
    <w:rsid w:val="7A2C501E"/>
    <w:rsid w:val="7A301ED1"/>
    <w:rsid w:val="7A5B6EF4"/>
    <w:rsid w:val="7A9573C9"/>
    <w:rsid w:val="7AA44DCA"/>
    <w:rsid w:val="7AB00950"/>
    <w:rsid w:val="7AB93AD6"/>
    <w:rsid w:val="7ABF22A2"/>
    <w:rsid w:val="7AE371F5"/>
    <w:rsid w:val="7AE8618D"/>
    <w:rsid w:val="7B070036"/>
    <w:rsid w:val="7B0A4D75"/>
    <w:rsid w:val="7B460C77"/>
    <w:rsid w:val="7B4B04E9"/>
    <w:rsid w:val="7B5468E1"/>
    <w:rsid w:val="7B676B0E"/>
    <w:rsid w:val="7B866719"/>
    <w:rsid w:val="7B887469"/>
    <w:rsid w:val="7B9B51CE"/>
    <w:rsid w:val="7BBC7F06"/>
    <w:rsid w:val="7BC97788"/>
    <w:rsid w:val="7BD46C37"/>
    <w:rsid w:val="7BE06E4C"/>
    <w:rsid w:val="7BE76AAF"/>
    <w:rsid w:val="7C22419B"/>
    <w:rsid w:val="7C292921"/>
    <w:rsid w:val="7C3359C2"/>
    <w:rsid w:val="7C414133"/>
    <w:rsid w:val="7C467CFD"/>
    <w:rsid w:val="7C4F5DA0"/>
    <w:rsid w:val="7C754ED8"/>
    <w:rsid w:val="7CAE6553"/>
    <w:rsid w:val="7CB14210"/>
    <w:rsid w:val="7CE706DB"/>
    <w:rsid w:val="7D29174B"/>
    <w:rsid w:val="7D32766A"/>
    <w:rsid w:val="7D332ACA"/>
    <w:rsid w:val="7D684372"/>
    <w:rsid w:val="7DB16FCC"/>
    <w:rsid w:val="7DBB1D68"/>
    <w:rsid w:val="7DC55C93"/>
    <w:rsid w:val="7DD601AF"/>
    <w:rsid w:val="7DDF2D9D"/>
    <w:rsid w:val="7E1B7F2D"/>
    <w:rsid w:val="7E42189C"/>
    <w:rsid w:val="7E440313"/>
    <w:rsid w:val="7E4A3DEF"/>
    <w:rsid w:val="7E5B6364"/>
    <w:rsid w:val="7E6F4FD0"/>
    <w:rsid w:val="7EC60394"/>
    <w:rsid w:val="7EFD6E57"/>
    <w:rsid w:val="7F112ED5"/>
    <w:rsid w:val="7F1A391A"/>
    <w:rsid w:val="7F7165C8"/>
    <w:rsid w:val="7F816F43"/>
    <w:rsid w:val="7F850E80"/>
    <w:rsid w:val="7FE7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1"/>
    <w:next w:val="1"/>
    <w:unhideWhenUsed/>
    <w:qFormat/>
    <w:uiPriority w:val="0"/>
    <w:pPr>
      <w:keepNext/>
      <w:keepLines/>
      <w:spacing w:line="413" w:lineRule="auto"/>
      <w:jc w:val="center"/>
      <w:outlineLvl w:val="1"/>
    </w:pPr>
    <w:rPr>
      <w:rFonts w:ascii="Arial" w:hAnsi="Arial" w:eastAsia="宋体"/>
      <w:b/>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jc w:val="left"/>
      <w:outlineLvl w:val="3"/>
    </w:pPr>
    <w:rPr>
      <w:rFonts w:hint="eastAsia" w:ascii="Arial" w:hAnsi="Arial" w:eastAsia="宋体" w:cs="Times New Roman"/>
      <w:b/>
      <w:sz w:val="32"/>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8">
    <w:name w:val="Normal Indent"/>
    <w:basedOn w:val="1"/>
    <w:next w:val="9"/>
    <w:qFormat/>
    <w:uiPriority w:val="0"/>
    <w:pPr>
      <w:ind w:firstLine="420"/>
    </w:pPr>
  </w:style>
  <w:style w:type="paragraph" w:styleId="9">
    <w:name w:val="Plain Text"/>
    <w:basedOn w:val="1"/>
    <w:link w:val="30"/>
    <w:qFormat/>
    <w:uiPriority w:val="0"/>
    <w:pPr>
      <w:spacing w:line="324" w:lineRule="auto"/>
    </w:pPr>
    <w:rPr>
      <w:rFonts w:ascii="宋体" w:hAnsi="Courier New" w:cs="Courier New"/>
      <w:szCs w:val="21"/>
    </w:rPr>
  </w:style>
  <w:style w:type="paragraph" w:styleId="10">
    <w:name w:val="annotation text"/>
    <w:basedOn w:val="1"/>
    <w:link w:val="42"/>
    <w:qFormat/>
    <w:uiPriority w:val="0"/>
    <w:pPr>
      <w:jc w:val="left"/>
    </w:pPr>
  </w:style>
  <w:style w:type="paragraph" w:styleId="11">
    <w:name w:val="Body Text Indent"/>
    <w:basedOn w:val="1"/>
    <w:qFormat/>
    <w:uiPriority w:val="0"/>
    <w:pPr>
      <w:spacing w:after="120"/>
      <w:ind w:left="420" w:leftChars="200"/>
    </w:pPr>
  </w:style>
  <w:style w:type="paragraph" w:styleId="12">
    <w:name w:val="Body Text Indent 2"/>
    <w:basedOn w:val="1"/>
    <w:qFormat/>
    <w:uiPriority w:val="0"/>
    <w:pPr>
      <w:spacing w:line="400" w:lineRule="exact"/>
      <w:ind w:firstLine="475" w:firstLineChars="198"/>
    </w:pPr>
    <w:rPr>
      <w:rFonts w:ascii="宋体" w:hAnsi="宋体" w:eastAsia="宋体" w:cs="Times New Roman"/>
      <w:sz w:val="24"/>
      <w:szCs w:val="24"/>
    </w:rPr>
  </w:style>
  <w:style w:type="paragraph" w:styleId="13">
    <w:name w:val="Balloon Text"/>
    <w:basedOn w:val="1"/>
    <w:link w:val="4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annotation subject"/>
    <w:basedOn w:val="10"/>
    <w:next w:val="10"/>
    <w:link w:val="43"/>
    <w:qFormat/>
    <w:uiPriority w:val="0"/>
    <w:rPr>
      <w:b/>
      <w:bCs/>
    </w:rPr>
  </w:style>
  <w:style w:type="paragraph" w:styleId="20">
    <w:name w:val="Body Text First Indent"/>
    <w:basedOn w:val="2"/>
    <w:next w:val="1"/>
    <w:qFormat/>
    <w:uiPriority w:val="99"/>
    <w:pPr>
      <w:ind w:firstLine="420" w:firstLineChars="100"/>
    </w:pPr>
  </w:style>
  <w:style w:type="paragraph" w:styleId="21">
    <w:name w:val="Body Text First Indent 2"/>
    <w:basedOn w:val="11"/>
    <w:next w:val="1"/>
    <w:qFormat/>
    <w:uiPriority w:val="0"/>
    <w:pPr>
      <w:ind w:firstLine="420" w:firstLineChars="2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sz w:val="24"/>
      <w:szCs w:val="24"/>
    </w:rPr>
  </w:style>
  <w:style w:type="character" w:styleId="26">
    <w:name w:val="page number"/>
    <w:basedOn w:val="24"/>
    <w:qFormat/>
    <w:uiPriority w:val="0"/>
  </w:style>
  <w:style w:type="character" w:styleId="27">
    <w:name w:val="FollowedHyperlink"/>
    <w:basedOn w:val="24"/>
    <w:qFormat/>
    <w:uiPriority w:val="0"/>
    <w:rPr>
      <w:rFonts w:hint="eastAsia" w:ascii="宋体" w:hAnsi="宋体" w:eastAsia="宋体" w:cs="宋体"/>
      <w:color w:val="000000"/>
      <w:sz w:val="18"/>
      <w:szCs w:val="18"/>
      <w:u w:val="none"/>
    </w:rPr>
  </w:style>
  <w:style w:type="character" w:styleId="28">
    <w:name w:val="Hyperlink"/>
    <w:basedOn w:val="24"/>
    <w:qFormat/>
    <w:uiPriority w:val="0"/>
    <w:rPr>
      <w:rFonts w:hint="eastAsia" w:ascii="宋体" w:hAnsi="宋体" w:eastAsia="宋体" w:cs="宋体"/>
      <w:color w:val="000000"/>
      <w:sz w:val="18"/>
      <w:szCs w:val="18"/>
      <w:u w:val="none"/>
    </w:rPr>
  </w:style>
  <w:style w:type="character" w:styleId="29">
    <w:name w:val="annotation reference"/>
    <w:basedOn w:val="24"/>
    <w:qFormat/>
    <w:uiPriority w:val="0"/>
    <w:rPr>
      <w:sz w:val="21"/>
      <w:szCs w:val="21"/>
    </w:rPr>
  </w:style>
  <w:style w:type="character" w:customStyle="1" w:styleId="30">
    <w:name w:val="纯文本 字符"/>
    <w:link w:val="9"/>
    <w:qFormat/>
    <w:uiPriority w:val="0"/>
    <w:rPr>
      <w:rFonts w:ascii="宋体" w:hAnsi="Courier New" w:cs="Courier New"/>
      <w:szCs w:val="21"/>
    </w:rPr>
  </w:style>
  <w:style w:type="character" w:customStyle="1" w:styleId="31">
    <w:name w:val="font41"/>
    <w:basedOn w:val="24"/>
    <w:qFormat/>
    <w:uiPriority w:val="0"/>
    <w:rPr>
      <w:rFonts w:hint="eastAsia" w:ascii="宋体" w:hAnsi="宋体" w:eastAsia="宋体" w:cs="宋体"/>
      <w:color w:val="000000"/>
      <w:sz w:val="22"/>
      <w:szCs w:val="22"/>
      <w:u w:val="none"/>
    </w:rPr>
  </w:style>
  <w:style w:type="character" w:customStyle="1" w:styleId="32">
    <w:name w:val="font11"/>
    <w:basedOn w:val="24"/>
    <w:qFormat/>
    <w:uiPriority w:val="0"/>
    <w:rPr>
      <w:rFonts w:hint="eastAsia" w:ascii="宋体" w:hAnsi="宋体" w:eastAsia="宋体" w:cs="宋体"/>
      <w:b/>
      <w:color w:val="000000"/>
      <w:sz w:val="22"/>
      <w:szCs w:val="22"/>
      <w:u w:val="none"/>
    </w:rPr>
  </w:style>
  <w:style w:type="paragraph" w:customStyle="1" w:styleId="33">
    <w:name w:val="列出段落1"/>
    <w:basedOn w:val="1"/>
    <w:unhideWhenUsed/>
    <w:qFormat/>
    <w:uiPriority w:val="99"/>
    <w:pPr>
      <w:ind w:firstLine="420" w:firstLineChars="200"/>
    </w:pPr>
  </w:style>
  <w:style w:type="character" w:customStyle="1" w:styleId="34">
    <w:name w:val="apple-converted-space"/>
    <w:basedOn w:val="24"/>
    <w:qFormat/>
    <w:uiPriority w:val="0"/>
  </w:style>
  <w:style w:type="character" w:customStyle="1" w:styleId="35">
    <w:name w:val="font31"/>
    <w:basedOn w:val="24"/>
    <w:qFormat/>
    <w:uiPriority w:val="0"/>
    <w:rPr>
      <w:rFonts w:hint="eastAsia" w:ascii="宋体" w:hAnsi="宋体" w:eastAsia="宋体" w:cs="宋体"/>
      <w:color w:val="000000"/>
      <w:sz w:val="22"/>
      <w:szCs w:val="22"/>
      <w:u w:val="none"/>
    </w:rPr>
  </w:style>
  <w:style w:type="paragraph" w:customStyle="1" w:styleId="36">
    <w:name w:val="1正文"/>
    <w:basedOn w:val="1"/>
    <w:qFormat/>
    <w:uiPriority w:val="0"/>
    <w:pPr>
      <w:spacing w:line="360" w:lineRule="auto"/>
      <w:ind w:firstLine="424" w:firstLineChars="202"/>
    </w:pPr>
    <w:rPr>
      <w:rFonts w:ascii="黑体" w:hAnsi="宋体" w:eastAsia="黑体"/>
      <w:kern w:val="0"/>
      <w:sz w:val="20"/>
    </w:rPr>
  </w:style>
  <w:style w:type="paragraph" w:customStyle="1" w:styleId="37">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38">
    <w:name w:val="样式 首行缩进:  2 字符"/>
    <w:basedOn w:val="1"/>
    <w:qFormat/>
    <w:uiPriority w:val="0"/>
    <w:pPr>
      <w:ind w:firstLine="560"/>
    </w:pPr>
    <w:rPr>
      <w:rFonts w:eastAsia="仿宋_GB2312" w:cs="宋体"/>
      <w:sz w:val="24"/>
      <w:szCs w:val="20"/>
    </w:rPr>
  </w:style>
  <w:style w:type="paragraph" w:customStyle="1" w:styleId="39">
    <w:name w:val="样式9 Char"/>
    <w:basedOn w:val="1"/>
    <w:qFormat/>
    <w:uiPriority w:val="0"/>
    <w:pPr>
      <w:spacing w:line="440" w:lineRule="exact"/>
      <w:ind w:firstLine="200" w:firstLineChars="200"/>
    </w:pPr>
    <w:rPr>
      <w:spacing w:val="6"/>
      <w:szCs w:val="20"/>
    </w:rPr>
  </w:style>
  <w:style w:type="paragraph" w:customStyle="1" w:styleId="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1">
    <w:name w:val="批注框文本 字符"/>
    <w:basedOn w:val="24"/>
    <w:link w:val="13"/>
    <w:qFormat/>
    <w:uiPriority w:val="0"/>
    <w:rPr>
      <w:rFonts w:asciiTheme="minorHAnsi" w:hAnsiTheme="minorHAnsi" w:eastAsiaTheme="minorEastAsia" w:cstheme="minorBidi"/>
      <w:kern w:val="2"/>
      <w:sz w:val="18"/>
      <w:szCs w:val="18"/>
    </w:rPr>
  </w:style>
  <w:style w:type="character" w:customStyle="1" w:styleId="42">
    <w:name w:val="批注文字 字符"/>
    <w:basedOn w:val="24"/>
    <w:link w:val="10"/>
    <w:qFormat/>
    <w:uiPriority w:val="0"/>
    <w:rPr>
      <w:rFonts w:asciiTheme="minorHAnsi" w:hAnsiTheme="minorHAnsi" w:eastAsiaTheme="minorEastAsia" w:cstheme="minorBidi"/>
      <w:kern w:val="2"/>
      <w:sz w:val="21"/>
      <w:szCs w:val="22"/>
    </w:rPr>
  </w:style>
  <w:style w:type="character" w:customStyle="1" w:styleId="43">
    <w:name w:val="批注主题 字符"/>
    <w:basedOn w:val="42"/>
    <w:link w:val="19"/>
    <w:qFormat/>
    <w:uiPriority w:val="0"/>
    <w:rPr>
      <w:rFonts w:asciiTheme="minorHAnsi" w:hAnsiTheme="minorHAnsi" w:eastAsiaTheme="minorEastAsia" w:cstheme="minorBidi"/>
      <w:b/>
      <w:bCs/>
      <w:kern w:val="2"/>
      <w:sz w:val="21"/>
      <w:szCs w:val="22"/>
    </w:rPr>
  </w:style>
  <w:style w:type="paragraph" w:customStyle="1" w:styleId="44">
    <w:name w:val="_Style 3"/>
    <w:basedOn w:val="1"/>
    <w:qFormat/>
    <w:uiPriority w:val="34"/>
    <w:pPr>
      <w:ind w:firstLine="420" w:firstLineChars="200"/>
    </w:pPr>
  </w:style>
  <w:style w:type="paragraph" w:customStyle="1" w:styleId="45">
    <w:name w:val="List Paragraph"/>
    <w:basedOn w:val="1"/>
    <w:qFormat/>
    <w:uiPriority w:val="34"/>
    <w:pPr>
      <w:ind w:firstLine="420" w:firstLineChars="200"/>
    </w:pPr>
  </w:style>
  <w:style w:type="character" w:customStyle="1" w:styleId="46">
    <w:name w:val="NormalCharacter"/>
    <w:qFormat/>
    <w:uiPriority w:val="0"/>
  </w:style>
  <w:style w:type="character" w:customStyle="1" w:styleId="47">
    <w:name w:val="font21"/>
    <w:qFormat/>
    <w:uiPriority w:val="0"/>
    <w:rPr>
      <w:rFonts w:hint="eastAsia" w:ascii="宋体" w:hAnsi="宋体" w:eastAsia="宋体" w:cs="宋体"/>
      <w:color w:val="000000"/>
      <w:sz w:val="24"/>
      <w:szCs w:val="24"/>
      <w:u w:val="none"/>
    </w:rPr>
  </w:style>
  <w:style w:type="character" w:customStyle="1" w:styleId="48">
    <w:name w:val="font01"/>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4E207B-2371-4135-A1BD-BD6357FBB6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31590</Words>
  <Characters>34901</Characters>
  <Lines>241</Lines>
  <Paragraphs>68</Paragraphs>
  <TotalTime>1</TotalTime>
  <ScaleCrop>false</ScaleCrop>
  <LinksUpToDate>false</LinksUpToDate>
  <CharactersWithSpaces>37149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2017-10-11T07:02:00Z</dcterms:created>
  <dc:creator>Administrator</dc:creator>
  <cp:lastModifiedBy>趁早</cp:lastModifiedBy>
  <cp:lastPrinted>2021-05-10T07:24:00Z</cp:lastPrinted>
  <dcterms:modified xsi:type="dcterms:W3CDTF">2022-08-01T09:25:10Z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0F3DFAA97B4F444E9968C426B5302473</vt:lpwstr>
  </property>
</Properties>
</file>