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color w:val="auto"/>
          <w:sz w:val="32"/>
          <w:highlight w:val="none"/>
        </w:rPr>
      </w:pPr>
      <w:bookmarkStart w:id="222" w:name="_GoBack"/>
      <w:r>
        <w:rPr>
          <w:rFonts w:hint="eastAsia" w:ascii="宋体" w:hAnsi="宋体" w:eastAsia="宋体" w:cs="宋体"/>
          <w:b/>
          <w:color w:val="auto"/>
          <w:sz w:val="32"/>
          <w:highlight w:val="none"/>
        </w:rPr>
        <w:t xml:space="preserve"> </w:t>
      </w:r>
      <w:r>
        <w:rPr>
          <w:rFonts w:hint="eastAsia" w:ascii="宋体" w:hAnsi="宋体" w:eastAsia="宋体" w:cs="宋体"/>
          <w:color w:val="auto"/>
          <w:sz w:val="24"/>
          <w:highlight w:val="none"/>
        </w:rPr>
        <w:drawing>
          <wp:inline distT="0" distB="0" distL="0" distR="0">
            <wp:extent cx="4690745" cy="711200"/>
            <wp:effectExtent l="0" t="0" r="0" b="0"/>
            <wp:docPr id="1" name="图片 1" descr="logo中信海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中信海诚"/>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90745" cy="711200"/>
                    </a:xfrm>
                    <a:prstGeom prst="rect">
                      <a:avLst/>
                    </a:prstGeom>
                    <a:noFill/>
                    <a:ln>
                      <a:noFill/>
                    </a:ln>
                  </pic:spPr>
                </pic:pic>
              </a:graphicData>
            </a:graphic>
          </wp:inline>
        </w:drawing>
      </w:r>
    </w:p>
    <w:p>
      <w:pPr>
        <w:tabs>
          <w:tab w:val="left" w:pos="8640"/>
        </w:tabs>
        <w:jc w:val="right"/>
        <w:rPr>
          <w:rFonts w:hint="eastAsia" w:ascii="宋体" w:hAnsi="宋体" w:eastAsia="宋体" w:cs="宋体"/>
          <w:color w:val="auto"/>
          <w:sz w:val="24"/>
          <w:highlight w:val="none"/>
          <w:lang w:eastAsia="zh-CN"/>
        </w:rPr>
      </w:pPr>
    </w:p>
    <w:p>
      <w:pPr>
        <w:tabs>
          <w:tab w:val="left" w:pos="864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1"/>
          <w:szCs w:val="16"/>
          <w:highlight w:val="none"/>
        </w:rPr>
        <w:t xml:space="preserve"> </w:t>
      </w:r>
      <w:r>
        <w:rPr>
          <w:rFonts w:hint="eastAsia" w:ascii="宋体" w:hAnsi="宋体" w:eastAsia="宋体" w:cs="宋体"/>
          <w:b/>
          <w:color w:val="auto"/>
          <w:sz w:val="28"/>
          <w:szCs w:val="18"/>
          <w:highlight w:val="none"/>
        </w:rPr>
        <w:t>项目编号：</w:t>
      </w:r>
      <w:r>
        <w:rPr>
          <w:rFonts w:hint="eastAsia" w:ascii="宋体" w:hAnsi="宋体" w:cs="宋体"/>
          <w:b/>
          <w:color w:val="auto"/>
          <w:sz w:val="28"/>
          <w:szCs w:val="18"/>
          <w:highlight w:val="none"/>
          <w:lang w:eastAsia="zh-CN"/>
        </w:rPr>
        <w:t>ZXHC2022-ZCBL-0702</w:t>
      </w:r>
    </w:p>
    <w:p>
      <w:pPr>
        <w:spacing w:line="360" w:lineRule="auto"/>
        <w:rPr>
          <w:rFonts w:hint="eastAsia" w:ascii="宋体" w:hAnsi="宋体" w:eastAsia="宋体" w:cs="宋体"/>
          <w:color w:val="auto"/>
          <w:sz w:val="24"/>
          <w:highlight w:val="none"/>
        </w:rPr>
      </w:pPr>
    </w:p>
    <w:p>
      <w:pPr>
        <w:jc w:val="center"/>
        <w:rPr>
          <w:rFonts w:hint="eastAsia" w:ascii="宋体" w:hAnsi="宋体" w:eastAsia="宋体" w:cs="宋体"/>
          <w:b/>
          <w:color w:val="auto"/>
          <w:sz w:val="48"/>
          <w:szCs w:val="48"/>
          <w:highlight w:val="none"/>
          <w:lang w:eastAsia="zh-CN"/>
        </w:rPr>
      </w:pPr>
      <w:r>
        <w:rPr>
          <w:rFonts w:hint="eastAsia" w:ascii="宋体" w:hAnsi="宋体" w:cs="宋体"/>
          <w:b/>
          <w:color w:val="auto"/>
          <w:sz w:val="48"/>
          <w:szCs w:val="48"/>
          <w:highlight w:val="none"/>
          <w:lang w:eastAsia="zh-CN"/>
        </w:rPr>
        <w:t>西安市碑林区文艺路小学班班通及云机房设备采购项目</w:t>
      </w:r>
    </w:p>
    <w:p>
      <w:pPr>
        <w:jc w:val="center"/>
        <w:rPr>
          <w:rFonts w:hint="eastAsia" w:ascii="宋体" w:hAnsi="宋体" w:eastAsia="宋体" w:cs="宋体"/>
          <w:color w:val="auto"/>
          <w:sz w:val="48"/>
          <w:highlight w:val="none"/>
        </w:rPr>
      </w:pPr>
    </w:p>
    <w:p>
      <w:pPr>
        <w:rPr>
          <w:rFonts w:hint="eastAsia" w:ascii="宋体" w:hAnsi="宋体" w:eastAsia="宋体" w:cs="宋体"/>
          <w:color w:val="auto"/>
          <w:sz w:val="4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jc w:val="center"/>
        <w:rPr>
          <w:rFonts w:hint="eastAsia" w:ascii="宋体" w:hAnsi="宋体" w:eastAsia="宋体" w:cs="宋体"/>
          <w:color w:val="auto"/>
          <w:sz w:val="48"/>
          <w:highlight w:val="none"/>
        </w:rPr>
      </w:pPr>
    </w:p>
    <w:p>
      <w:pPr>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竞争性谈判文件</w:t>
      </w:r>
    </w:p>
    <w:p>
      <w:pPr>
        <w:spacing w:line="360" w:lineRule="auto"/>
        <w:rPr>
          <w:rFonts w:hint="eastAsia" w:ascii="宋体" w:hAnsi="宋体" w:eastAsia="宋体" w:cs="宋体"/>
          <w:color w:val="auto"/>
          <w:sz w:val="32"/>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spacing w:line="360" w:lineRule="auto"/>
        <w:rPr>
          <w:rFonts w:hint="eastAsia" w:ascii="宋体" w:hAnsi="宋体" w:eastAsia="宋体" w:cs="宋体"/>
          <w:color w:val="auto"/>
          <w:sz w:val="32"/>
          <w:highlight w:val="none"/>
        </w:rPr>
      </w:pPr>
    </w:p>
    <w:p>
      <w:pPr>
        <w:spacing w:line="360" w:lineRule="auto"/>
        <w:rPr>
          <w:rFonts w:hint="eastAsia" w:ascii="宋体" w:hAnsi="宋体" w:eastAsia="宋体" w:cs="宋体"/>
          <w:color w:val="auto"/>
          <w:sz w:val="32"/>
          <w:highlight w:val="none"/>
        </w:rPr>
      </w:pPr>
    </w:p>
    <w:p>
      <w:pPr>
        <w:spacing w:line="360" w:lineRule="auto"/>
        <w:rPr>
          <w:rFonts w:hint="eastAsia" w:ascii="宋体" w:hAnsi="宋体" w:eastAsia="宋体" w:cs="宋体"/>
          <w:color w:val="auto"/>
          <w:sz w:val="32"/>
          <w:highlight w:val="none"/>
        </w:rPr>
      </w:pPr>
    </w:p>
    <w:p>
      <w:pPr>
        <w:rPr>
          <w:rFonts w:hint="eastAsia" w:ascii="宋体" w:hAnsi="宋体" w:eastAsia="宋体" w:cs="宋体"/>
          <w:color w:val="auto"/>
          <w:highlight w:val="none"/>
        </w:rPr>
      </w:pPr>
    </w:p>
    <w:p>
      <w:pPr>
        <w:spacing w:line="360" w:lineRule="auto"/>
        <w:rPr>
          <w:rFonts w:hint="eastAsia" w:ascii="宋体" w:hAnsi="宋体" w:eastAsia="宋体" w:cs="宋体"/>
          <w:color w:val="auto"/>
          <w:sz w:val="32"/>
          <w:highlight w:val="none"/>
        </w:rPr>
      </w:pPr>
    </w:p>
    <w:p>
      <w:pPr>
        <w:spacing w:line="360" w:lineRule="auto"/>
        <w:ind w:firstLine="1968" w:firstLineChars="700"/>
        <w:rPr>
          <w:rFonts w:hint="eastAsia"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采   购   人：</w:t>
      </w:r>
      <w:r>
        <w:rPr>
          <w:rFonts w:hint="eastAsia" w:ascii="宋体" w:hAnsi="宋体" w:cs="宋体"/>
          <w:b/>
          <w:color w:val="auto"/>
          <w:sz w:val="28"/>
          <w:szCs w:val="28"/>
          <w:highlight w:val="none"/>
          <w:u w:val="single"/>
          <w:lang w:eastAsia="zh-CN"/>
        </w:rPr>
        <w:t>西安市碑林区文艺路小学</w:t>
      </w:r>
      <w:r>
        <w:rPr>
          <w:rFonts w:hint="eastAsia" w:ascii="宋体" w:hAnsi="宋体" w:eastAsia="宋体" w:cs="宋体"/>
          <w:b/>
          <w:color w:val="auto"/>
          <w:sz w:val="28"/>
          <w:szCs w:val="28"/>
          <w:highlight w:val="none"/>
          <w:u w:val="single"/>
          <w:lang w:val="en-US" w:eastAsia="zh-CN"/>
        </w:rPr>
        <w:t xml:space="preserve">   </w:t>
      </w:r>
    </w:p>
    <w:p>
      <w:pPr>
        <w:spacing w:line="360" w:lineRule="auto"/>
        <w:ind w:firstLine="1968" w:firstLineChars="7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陕西中信海诚造价咨询有限公司</w:t>
      </w:r>
    </w:p>
    <w:p>
      <w:pPr>
        <w:spacing w:line="360" w:lineRule="auto"/>
        <w:rPr>
          <w:rFonts w:hint="eastAsia" w:ascii="宋体" w:hAnsi="宋体" w:eastAsia="宋体" w:cs="宋体"/>
          <w:b/>
          <w:color w:val="auto"/>
          <w:szCs w:val="21"/>
          <w:highlight w:val="none"/>
        </w:rPr>
      </w:pPr>
    </w:p>
    <w:p>
      <w:pPr>
        <w:spacing w:line="360" w:lineRule="auto"/>
        <w:jc w:val="center"/>
        <w:rPr>
          <w:rFonts w:hint="eastAsia" w:ascii="宋体" w:hAnsi="宋体" w:eastAsia="宋体" w:cs="宋体"/>
          <w:color w:val="auto"/>
          <w:sz w:val="36"/>
          <w:szCs w:val="21"/>
          <w:highlight w:val="none"/>
        </w:rPr>
      </w:pPr>
      <w:r>
        <w:rPr>
          <w:rFonts w:hint="eastAsia" w:ascii="宋体" w:hAnsi="宋体" w:eastAsia="宋体" w:cs="宋体"/>
          <w:b/>
          <w:color w:val="auto"/>
          <w:sz w:val="32"/>
          <w:szCs w:val="32"/>
          <w:highlight w:val="none"/>
        </w:rPr>
        <w:t>二〇二二年</w:t>
      </w:r>
      <w:r>
        <w:rPr>
          <w:rFonts w:hint="eastAsia" w:ascii="宋体" w:hAnsi="宋体" w:cs="宋体"/>
          <w:b/>
          <w:color w:val="auto"/>
          <w:sz w:val="32"/>
          <w:szCs w:val="32"/>
          <w:highlight w:val="none"/>
          <w:lang w:val="en-US" w:eastAsia="zh-CN"/>
        </w:rPr>
        <w:t>七</w:t>
      </w:r>
      <w:r>
        <w:rPr>
          <w:rFonts w:hint="eastAsia" w:ascii="宋体" w:hAnsi="宋体" w:eastAsia="宋体" w:cs="宋体"/>
          <w:b/>
          <w:color w:val="auto"/>
          <w:sz w:val="32"/>
          <w:szCs w:val="32"/>
          <w:highlight w:val="none"/>
        </w:rPr>
        <w:t>月</w:t>
      </w:r>
    </w:p>
    <w:p>
      <w:pPr>
        <w:jc w:val="center"/>
        <w:rPr>
          <w:rFonts w:hint="eastAsia" w:ascii="宋体" w:hAnsi="宋体" w:eastAsia="宋体" w:cs="宋体"/>
          <w:b/>
          <w:color w:val="auto"/>
          <w:sz w:val="40"/>
          <w:szCs w:val="40"/>
          <w:highlight w:val="none"/>
        </w:rPr>
        <w:sectPr>
          <w:headerReference r:id="rId3" w:type="default"/>
          <w:headerReference r:id="rId4" w:type="even"/>
          <w:footerReference r:id="rId5" w:type="even"/>
          <w:footnotePr>
            <w:pos w:val="beneathText"/>
          </w:footnote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34"/>
        <w:jc w:val="center"/>
        <w:rPr>
          <w:rFonts w:hint="eastAsia" w:ascii="宋体" w:hAnsi="宋体" w:eastAsia="宋体" w:cs="宋体"/>
          <w:b/>
          <w:color w:val="auto"/>
          <w:highlight w:val="none"/>
        </w:rPr>
      </w:pPr>
      <w:r>
        <w:rPr>
          <w:rFonts w:hint="eastAsia" w:ascii="宋体" w:hAnsi="宋体" w:eastAsia="宋体" w:cs="宋体"/>
          <w:b/>
          <w:color w:val="auto"/>
          <w:highlight w:val="none"/>
          <w:lang w:val="zh-CN"/>
        </w:rPr>
        <w:t>目录</w:t>
      </w:r>
    </w:p>
    <w:p>
      <w:pPr>
        <w:pStyle w:val="18"/>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_Toc18540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  竞争性谈判公告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_Toc18540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8"/>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_Toc30347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  谈判须知前附表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_Toc30347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_Toc23031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_Toc23031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_Toc6287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（二）谈判文件说明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_Toc19364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（三）谈判响应文件的编写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_Toc10620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（四）谈判响应文件的递交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 开标/评审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（六） 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8"/>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_Toc1433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采购内容及要求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8"/>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_Toc7354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  合同一般条款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8"/>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  附件--谈判响应文件格式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_Toc9843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rPr>
        <w:t>一、封面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_Toc24925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二、目录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三、谈判响应函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_Toc1469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四、首次谈判报价表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五、响应方案</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_Toc30363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六、供应商资格证明文件及其他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_Toc30363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_Toc7357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七、陕西省政府采购供应商拒绝政府采购领域商业贿赂承诺书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850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_Toc7717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八、供应商满足政府采购相关优惠政策的声明或证明材料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spacing w:line="360" w:lineRule="auto"/>
        <w:rPr>
          <w:rFonts w:hint="eastAsia" w:ascii="宋体" w:hAnsi="宋体" w:eastAsia="宋体" w:cs="宋体"/>
          <w:b/>
          <w:color w:val="auto"/>
          <w:sz w:val="36"/>
          <w:szCs w:val="36"/>
          <w:highlight w:val="none"/>
        </w:rPr>
      </w:pPr>
      <w:r>
        <w:rPr>
          <w:rFonts w:hint="eastAsia" w:ascii="宋体" w:hAnsi="宋体" w:eastAsia="宋体" w:cs="宋体"/>
          <w:color w:val="auto"/>
          <w:highlight w:val="none"/>
        </w:rPr>
        <w:fldChar w:fldCharType="end"/>
      </w:r>
      <w:r>
        <w:rPr>
          <w:rFonts w:hint="eastAsia" w:ascii="宋体" w:hAnsi="宋体" w:eastAsia="宋体" w:cs="宋体"/>
          <w:b/>
          <w:color w:val="auto"/>
          <w:sz w:val="36"/>
          <w:szCs w:val="36"/>
          <w:highlight w:val="none"/>
        </w:rPr>
        <w:t xml:space="preserve"> </w:t>
      </w:r>
    </w:p>
    <w:p>
      <w:pPr>
        <w:pStyle w:val="19"/>
        <w:tabs>
          <w:tab w:val="right" w:leader="dot" w:pos="8504"/>
        </w:tabs>
        <w:spacing w:line="360" w:lineRule="auto"/>
        <w:rPr>
          <w:rFonts w:hint="eastAsia" w:ascii="宋体" w:hAnsi="宋体" w:eastAsia="宋体" w:cs="宋体"/>
          <w:b/>
          <w:bCs/>
          <w:color w:val="auto"/>
          <w:sz w:val="28"/>
          <w:szCs w:val="28"/>
          <w:highlight w:val="none"/>
        </w:rPr>
      </w:pPr>
    </w:p>
    <w:p>
      <w:pPr>
        <w:pStyle w:val="4"/>
        <w:rPr>
          <w:rFonts w:hint="eastAsia" w:ascii="宋体" w:hAnsi="宋体" w:eastAsia="宋体" w:cs="宋体"/>
          <w:b w:val="0"/>
          <w:color w:val="auto"/>
          <w:sz w:val="28"/>
          <w:szCs w:val="28"/>
          <w:highlight w:val="none"/>
        </w:rPr>
        <w:sectPr>
          <w:headerReference r:id="rId6" w:type="first"/>
          <w:footerReference r:id="rId8" w:type="first"/>
          <w:footerReference r:id="rId7" w:type="default"/>
          <w:footnotePr>
            <w:pos w:val="beneathText"/>
          </w:footnotePr>
          <w:pgSz w:w="11906" w:h="16838"/>
          <w:pgMar w:top="1417" w:right="1644" w:bottom="1191" w:left="1757" w:header="850" w:footer="992" w:gutter="0"/>
          <w:pgBorders>
            <w:top w:val="none" w:sz="0" w:space="0"/>
            <w:left w:val="none" w:sz="0" w:space="0"/>
            <w:bottom w:val="none" w:sz="0" w:space="0"/>
            <w:right w:val="none" w:sz="0" w:space="0"/>
          </w:pgBorders>
          <w:pgNumType w:fmt="decimal" w:start="2"/>
          <w:cols w:space="0" w:num="1"/>
          <w:titlePg/>
          <w:rtlGutter w:val="0"/>
          <w:docGrid w:linePitch="312" w:charSpace="0"/>
        </w:sectPr>
      </w:pPr>
      <w:bookmarkStart w:id="0" w:name="_Toc193702467"/>
      <w:bookmarkStart w:id="1" w:name="_Toc246928891"/>
    </w:p>
    <w:p>
      <w:pPr>
        <w:pStyle w:val="21"/>
        <w:rPr>
          <w:rFonts w:hint="eastAsia" w:ascii="宋体" w:hAnsi="宋体" w:eastAsia="宋体" w:cs="宋体"/>
          <w:color w:val="auto"/>
          <w:highlight w:val="none"/>
        </w:rPr>
      </w:pPr>
      <w:bookmarkStart w:id="2" w:name="_Toc18412"/>
      <w:bookmarkStart w:id="3" w:name="_Toc18540"/>
      <w:bookmarkStart w:id="4" w:name="_Toc519091192"/>
      <w:bookmarkStart w:id="5" w:name="_Toc519091920"/>
      <w:bookmarkStart w:id="6" w:name="_Toc20476"/>
      <w:bookmarkStart w:id="7" w:name="_Toc519085725"/>
      <w:r>
        <w:rPr>
          <w:rFonts w:hint="eastAsia" w:ascii="宋体" w:hAnsi="宋体" w:eastAsia="宋体" w:cs="宋体"/>
          <w:color w:val="auto"/>
          <w:highlight w:val="none"/>
        </w:rPr>
        <w:t>第一</w:t>
      </w:r>
      <w:bookmarkEnd w:id="0"/>
      <w:r>
        <w:rPr>
          <w:rFonts w:hint="eastAsia" w:ascii="宋体" w:hAnsi="宋体" w:eastAsia="宋体" w:cs="宋体"/>
          <w:color w:val="auto"/>
          <w:highlight w:val="none"/>
        </w:rPr>
        <w:t>章  竞争性谈判公告</w:t>
      </w:r>
      <w:bookmarkEnd w:id="1"/>
      <w:bookmarkEnd w:id="2"/>
      <w:bookmarkEnd w:id="3"/>
      <w:bookmarkEnd w:id="4"/>
      <w:bookmarkEnd w:id="5"/>
      <w:bookmarkEnd w:id="6"/>
      <w:bookmarkEnd w:id="7"/>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jc w:val="left"/>
        <w:rPr>
          <w:rFonts w:hint="eastAsia" w:ascii="宋体" w:hAnsi="宋体" w:eastAsia="宋体" w:cs="宋体"/>
          <w:b w:val="0"/>
          <w:bCs w:val="0"/>
          <w:color w:val="auto"/>
          <w:sz w:val="24"/>
          <w:szCs w:val="24"/>
          <w:highlight w:val="none"/>
        </w:rPr>
      </w:pPr>
      <w:bookmarkStart w:id="8" w:name="_Toc519085735"/>
      <w:bookmarkStart w:id="9" w:name="_Toc519091202"/>
      <w:bookmarkStart w:id="10" w:name="_Toc246928893"/>
      <w:bookmarkStart w:id="11" w:name="_Toc519091921"/>
      <w:r>
        <w:rPr>
          <w:rStyle w:val="27"/>
          <w:rFonts w:hint="eastAsia" w:ascii="宋体" w:hAnsi="宋体" w:eastAsia="宋体" w:cs="宋体"/>
          <w:b/>
          <w:bCs/>
          <w:i w:val="0"/>
          <w:iCs w:val="0"/>
          <w:caps w:val="0"/>
          <w:color w:val="auto"/>
          <w:spacing w:val="0"/>
          <w:sz w:val="24"/>
          <w:szCs w:val="24"/>
          <w:highlight w:val="none"/>
          <w:shd w:val="clear" w:fill="FFFFFF"/>
        </w:rPr>
        <w:t>项目概况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班班通及云机房设备采购项目采购项目的潜在供应商应在西安市碑林区含光北路 2 号广丰国际大厦Ⅱ区 806室获取采购文件，并于 2022年08月02日 09时30分 （北京时间）前提交响应文件。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Style w:val="27"/>
          <w:rFonts w:hint="eastAsia" w:ascii="宋体" w:hAnsi="宋体" w:eastAsia="宋体" w:cs="宋体"/>
          <w:b/>
          <w:bCs/>
          <w:i w:val="0"/>
          <w:iCs w:val="0"/>
          <w:caps w:val="0"/>
          <w:color w:val="auto"/>
          <w:spacing w:val="0"/>
          <w:sz w:val="24"/>
          <w:szCs w:val="24"/>
          <w:highlight w:val="none"/>
          <w:shd w:val="clear" w:fill="FFFFFF"/>
        </w:rPr>
        <w:t>一、项目基本情况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项目编号：ZXHC2022-ZCBL-0702</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项目名称：班班通及云机房设备采购项目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采购方式：竞争性谈判</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预算金额：1,030,000.00元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合同包1(班班通及云机房设备):</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合同包预算金额：1,030,000.00元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合同包最高限价：1,030,000.00元</w:t>
      </w:r>
    </w:p>
    <w:tbl>
      <w:tblPr>
        <w:tblStyle w:val="24"/>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01"/>
        <w:gridCol w:w="1393"/>
        <w:gridCol w:w="2055"/>
        <w:gridCol w:w="642"/>
        <w:gridCol w:w="971"/>
        <w:gridCol w:w="1600"/>
        <w:gridCol w:w="16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291"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057"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342"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369"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717"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610"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610"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291"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057"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触控一体机</w:t>
            </w:r>
          </w:p>
        </w:tc>
        <w:tc>
          <w:tcPr>
            <w:tcW w:w="1342"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35套班班通设备和1间云机房设备</w:t>
            </w:r>
          </w:p>
        </w:tc>
        <w:tc>
          <w:tcPr>
            <w:tcW w:w="369"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717"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610"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1,030,000.00</w:t>
            </w:r>
          </w:p>
        </w:tc>
        <w:tc>
          <w:tcPr>
            <w:tcW w:w="610"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1,030,000.00</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合同履行期限：30日历天内交货安装完毕，验收合格。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Style w:val="27"/>
          <w:rFonts w:hint="eastAsia" w:ascii="宋体" w:hAnsi="宋体" w:eastAsia="宋体" w:cs="宋体"/>
          <w:b/>
          <w:bCs/>
          <w:i w:val="0"/>
          <w:iCs w:val="0"/>
          <w:caps w:val="0"/>
          <w:color w:val="auto"/>
          <w:spacing w:val="0"/>
          <w:sz w:val="24"/>
          <w:szCs w:val="24"/>
          <w:highlight w:val="none"/>
          <w:shd w:val="clear" w:fill="FFFFFF"/>
        </w:rPr>
        <w:t>二、申请人的资格要求：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合同包1(班班通及云机房设备)落实政府采购政策需满足的资格要求如下: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20" w:right="0" w:firstLine="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关于在政府采购活动中查询及使用信用记录有关问题的通知》（财库〔2016〕125号）；（2）《政府采购促进中小企业发展管理办法》（财库〔2020〕46号）；（3）《财政部司法部关于政府采购支持监狱企业发展有关问题的通知》（财库〔2014〕68号）；（4）《国务院办公厅关于建立政府强制采购节能产品制度的通知》（国办发〔2007〕51号）；（5）《环境标志产品政府采购实施的意见》（财库[2006]90号）；（6）《节能产品政府采购实施意见》（财库[2004]185号）；（7）《关于促进残疾人就业政府采购政策的通知》（财库〔2017〕141号）；（8）《财政部 发展改革委 生态环境部 市场监管总局关于调整优化节能产品、环境标志产品政府采购执行机制的通知》（财库〔2019〕9号）；（9）《关于运用政府采购政策支持乡村产业振兴的通知》（财库〔2021〕19号）； （10）关于印发《商品包装政府采购需求标准（试行）》、 《快递包装政府采购需求标准（试行）》的通知（财办库〔2020〕123号）；（11）《陕西省财政厅关于加快推进我省中小企业政府采购信用融资工作的通知》（陕财办采〔2020〕15 号）及《陕西省财政厅关于印发《陕西省中小企业政府采购信用融资办法》（陕财办采〔2018〕23号）。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合同包1(班班通及云机房设备)特定资格要求如下: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20" w:right="0" w:firstLine="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（1）单位负责人为同一人或者存在直接控股、管理关系的不同供应商，不得参加本项目采购活动。（2）本项目不专门面向中小企业采购。</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Style w:val="27"/>
          <w:rFonts w:hint="eastAsia" w:ascii="宋体" w:hAnsi="宋体" w:eastAsia="宋体" w:cs="宋体"/>
          <w:b/>
          <w:bCs/>
          <w:i w:val="0"/>
          <w:iCs w:val="0"/>
          <w:caps w:val="0"/>
          <w:color w:val="auto"/>
          <w:spacing w:val="0"/>
          <w:sz w:val="24"/>
          <w:szCs w:val="24"/>
          <w:highlight w:val="none"/>
          <w:shd w:val="clear" w:fill="FFFFFF"/>
        </w:rPr>
        <w:t>三、获取采购文件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 2022年07月26日 至 2022年07月29日 ，每天上午 09:00:00 至 12:00:00 ，下午 12:00:00 至 17:00:00 （北京时间,法定节假日除外）</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地点：西安市碑林区含光北路 2 号广丰国际大厦Ⅱ区 806室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方式：现场获取</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售价：免费获取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Style w:val="27"/>
          <w:rFonts w:hint="eastAsia" w:ascii="宋体" w:hAnsi="宋体" w:eastAsia="宋体" w:cs="宋体"/>
          <w:b/>
          <w:bCs/>
          <w:i w:val="0"/>
          <w:iCs w:val="0"/>
          <w:caps w:val="0"/>
          <w:color w:val="auto"/>
          <w:spacing w:val="0"/>
          <w:sz w:val="24"/>
          <w:szCs w:val="24"/>
          <w:highlight w:val="none"/>
          <w:shd w:val="clear" w:fill="FFFFFF"/>
        </w:rPr>
        <w:t>四、响应文件提交</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截止时间： 2022年08月02日 09时30分00秒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地点：西安市碑林区含光北路 2 号广丰国际大厦Ⅱ区 806室开标一室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Style w:val="27"/>
          <w:rFonts w:hint="eastAsia" w:ascii="宋体" w:hAnsi="宋体" w:eastAsia="宋体" w:cs="宋体"/>
          <w:b/>
          <w:bCs/>
          <w:i w:val="0"/>
          <w:iCs w:val="0"/>
          <w:caps w:val="0"/>
          <w:color w:val="auto"/>
          <w:spacing w:val="0"/>
          <w:sz w:val="24"/>
          <w:szCs w:val="24"/>
          <w:highlight w:val="none"/>
          <w:shd w:val="clear" w:fill="FFFFFF"/>
        </w:rPr>
        <w:t>五、开启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 2022年08月02日 09时30分00秒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地点：西安市碑林区含光北路 2 号广丰国际大厦Ⅱ区 806室开标一室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Style w:val="27"/>
          <w:rFonts w:hint="eastAsia" w:ascii="宋体" w:hAnsi="宋体" w:eastAsia="宋体" w:cs="宋体"/>
          <w:b/>
          <w:bCs/>
          <w:i w:val="0"/>
          <w:iCs w:val="0"/>
          <w:caps w:val="0"/>
          <w:color w:val="auto"/>
          <w:spacing w:val="0"/>
          <w:sz w:val="24"/>
          <w:szCs w:val="24"/>
          <w:highlight w:val="none"/>
          <w:shd w:val="clear" w:fill="FFFFFF"/>
        </w:rPr>
        <w:t>六、公告期限</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自本公告发布之日起3个工作日。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Style w:val="27"/>
          <w:rFonts w:hint="eastAsia" w:ascii="宋体" w:hAnsi="宋体" w:eastAsia="宋体" w:cs="宋体"/>
          <w:b/>
          <w:bCs/>
          <w:i w:val="0"/>
          <w:iCs w:val="0"/>
          <w:caps w:val="0"/>
          <w:color w:val="auto"/>
          <w:spacing w:val="0"/>
          <w:sz w:val="24"/>
          <w:szCs w:val="24"/>
          <w:highlight w:val="none"/>
          <w:shd w:val="clear" w:fill="FFFFFF"/>
        </w:rPr>
        <w:t>七、其他补充事宜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获取采购文件时请携带单位介绍信，谢绝邮寄。2.根据《陕西省财政厅关于政府采购供应商注册登记有关事项的通知》的规定，供应商在领取采购文件前，应及时注册登记加入政府采购供应商库。因供应商自身原因未及时登记入库而导致的一切后果由供应商自行承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Style w:val="27"/>
          <w:rFonts w:hint="eastAsia" w:ascii="宋体" w:hAnsi="宋体" w:eastAsia="宋体" w:cs="宋体"/>
          <w:b/>
          <w:bCs/>
          <w:i w:val="0"/>
          <w:iCs w:val="0"/>
          <w:caps w:val="0"/>
          <w:color w:val="auto"/>
          <w:spacing w:val="0"/>
          <w:sz w:val="24"/>
          <w:szCs w:val="24"/>
          <w:highlight w:val="none"/>
          <w:shd w:val="clear" w:fill="FFFFFF"/>
        </w:rPr>
        <w:t>八、凡对本次采购提出询问，请按以下方式联系。</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名称：西安市文艺路小学吴老师</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地址：文艺北路26号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联系方式：029-87802603</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名称：陕西中信海诚造价咨询有限公司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地址：西安市碑林区含光北路 2 号广丰国际大厦Ⅱ区 806室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联系方式：029-85262287</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项目联系人：李工、赵工</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电话：029-85262287</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1"/>
        <w:rPr>
          <w:rFonts w:hint="eastAsia" w:ascii="宋体" w:hAnsi="宋体" w:eastAsia="宋体" w:cs="宋体"/>
          <w:color w:val="auto"/>
          <w:highlight w:val="none"/>
        </w:rPr>
      </w:pPr>
      <w:bookmarkStart w:id="12" w:name="_Toc30347"/>
      <w:bookmarkStart w:id="13" w:name="_Toc23234"/>
      <w:bookmarkStart w:id="14" w:name="_Toc21986"/>
      <w:r>
        <w:rPr>
          <w:rFonts w:hint="eastAsia" w:ascii="宋体" w:hAnsi="宋体" w:eastAsia="宋体" w:cs="宋体"/>
          <w:color w:val="auto"/>
          <w:highlight w:val="none"/>
        </w:rPr>
        <w:t>第二章  谈判须知前附表</w:t>
      </w:r>
      <w:bookmarkEnd w:id="8"/>
      <w:bookmarkEnd w:id="9"/>
      <w:bookmarkEnd w:id="10"/>
      <w:bookmarkEnd w:id="11"/>
      <w:bookmarkEnd w:id="12"/>
      <w:bookmarkEnd w:id="13"/>
      <w:bookmarkEnd w:id="14"/>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897"/>
        <w:gridCol w:w="6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408" w:type="pct"/>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项号</w:t>
            </w:r>
          </w:p>
        </w:tc>
        <w:tc>
          <w:tcPr>
            <w:tcW w:w="1088" w:type="pct"/>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3503" w:type="pct"/>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highlight w:val="none"/>
              </w:rPr>
            </w:pPr>
          </w:p>
        </w:tc>
        <w:tc>
          <w:tcPr>
            <w:tcW w:w="108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3503" w:type="pct"/>
            <w:vAlign w:val="center"/>
          </w:tcPr>
          <w:p>
            <w:pPr>
              <w:spacing w:line="360" w:lineRule="auto"/>
              <w:ind w:leftChars="-9" w:hanging="19" w:hangingChars="8"/>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西安市碑林区文艺路小学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highlight w:val="none"/>
              </w:rPr>
            </w:pPr>
          </w:p>
        </w:tc>
        <w:tc>
          <w:tcPr>
            <w:tcW w:w="108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3503" w:type="pct"/>
            <w:vAlign w:val="center"/>
          </w:tcPr>
          <w:p>
            <w:pPr>
              <w:adjustRightInd w:val="0"/>
              <w:snapToGrid w:val="0"/>
              <w:spacing w:line="466" w:lineRule="exact"/>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lang w:eastAsia="zh-CN"/>
              </w:rPr>
              <w:t>ZXHC2022-ZCBL-0702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highlight w:val="none"/>
              </w:rPr>
            </w:pPr>
          </w:p>
        </w:tc>
        <w:tc>
          <w:tcPr>
            <w:tcW w:w="108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c>
          <w:tcPr>
            <w:tcW w:w="3503" w:type="pct"/>
            <w:vAlign w:val="center"/>
          </w:tcPr>
          <w:p>
            <w:pPr>
              <w:spacing w:line="360" w:lineRule="auto"/>
              <w:ind w:leftChars="-9" w:hanging="19" w:hangingChars="8"/>
              <w:rPr>
                <w:rFonts w:hint="eastAsia" w:ascii="宋体" w:hAnsi="宋体" w:eastAsia="宋体" w:cs="宋体"/>
                <w:color w:val="auto"/>
                <w:sz w:val="24"/>
                <w:highlight w:val="none"/>
              </w:rPr>
            </w:pPr>
            <w:r>
              <w:rPr>
                <w:rFonts w:hint="eastAsia" w:ascii="宋体" w:hAnsi="宋体" w:eastAsia="宋体" w:cs="宋体"/>
                <w:color w:val="auto"/>
                <w:sz w:val="24"/>
                <w:highlight w:val="none"/>
              </w:rPr>
              <w:t>陕西中信海诚造价咨询有限公司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szCs w:val="22"/>
                <w:highlight w:val="none"/>
              </w:rPr>
            </w:pPr>
          </w:p>
        </w:tc>
        <w:tc>
          <w:tcPr>
            <w:tcW w:w="108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采购内容及范围</w:t>
            </w:r>
          </w:p>
        </w:tc>
        <w:tc>
          <w:tcPr>
            <w:tcW w:w="3503" w:type="pct"/>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详见竞争性谈判文件第三章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szCs w:val="22"/>
                <w:highlight w:val="none"/>
              </w:rPr>
            </w:pPr>
          </w:p>
        </w:tc>
        <w:tc>
          <w:tcPr>
            <w:tcW w:w="108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谈判有效期</w:t>
            </w:r>
          </w:p>
        </w:tc>
        <w:tc>
          <w:tcPr>
            <w:tcW w:w="3503" w:type="pct"/>
            <w:vAlign w:val="center"/>
          </w:tcPr>
          <w:p>
            <w:pPr>
              <w:pStyle w:val="35"/>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90日历日（从提交谈判响应文件的截止之日起算）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szCs w:val="22"/>
                <w:highlight w:val="none"/>
              </w:rPr>
            </w:pPr>
          </w:p>
        </w:tc>
        <w:tc>
          <w:tcPr>
            <w:tcW w:w="1088" w:type="pct"/>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谈判保证金</w:t>
            </w:r>
          </w:p>
        </w:tc>
        <w:tc>
          <w:tcPr>
            <w:tcW w:w="3503" w:type="pct"/>
            <w:vAlign w:val="center"/>
          </w:tcPr>
          <w:p>
            <w:pPr>
              <w:pStyle w:val="35"/>
              <w:spacing w:line="360" w:lineRule="auto"/>
              <w:ind w:firstLine="0" w:firstLineChars="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本项目无需缴纳谈判保证金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highlight w:val="none"/>
              </w:rPr>
            </w:pPr>
          </w:p>
        </w:tc>
        <w:tc>
          <w:tcPr>
            <w:tcW w:w="1088" w:type="pct"/>
            <w:vAlign w:val="center"/>
          </w:tcPr>
          <w:p>
            <w:pPr>
              <w:spacing w:line="360" w:lineRule="auto"/>
              <w:jc w:val="center"/>
              <w:rPr>
                <w:rFonts w:hint="eastAsia" w:ascii="宋体" w:hAnsi="宋体" w:eastAsia="宋体" w:cs="宋体"/>
                <w:color w:val="auto"/>
                <w:szCs w:val="21"/>
                <w:highlight w:val="none"/>
              </w:rPr>
            </w:pPr>
            <w:bookmarkStart w:id="15" w:name="_Toc519085736"/>
            <w:bookmarkStart w:id="16" w:name="_Toc519091203"/>
            <w:r>
              <w:rPr>
                <w:rFonts w:hint="eastAsia" w:ascii="宋体" w:hAnsi="宋体" w:eastAsia="宋体" w:cs="宋体"/>
                <w:color w:val="auto"/>
                <w:sz w:val="24"/>
                <w:szCs w:val="24"/>
                <w:highlight w:val="none"/>
              </w:rPr>
              <w:t>谈判响应文件份数</w:t>
            </w:r>
            <w:bookmarkEnd w:id="15"/>
            <w:bookmarkEnd w:id="16"/>
          </w:p>
        </w:tc>
        <w:tc>
          <w:tcPr>
            <w:tcW w:w="3503" w:type="pct"/>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正本壹份，副本贰份，电子版（U盘，含</w:t>
            </w:r>
            <w:r>
              <w:rPr>
                <w:rFonts w:hint="eastAsia" w:ascii="宋体" w:hAnsi="宋体" w:eastAsia="宋体" w:cs="宋体"/>
                <w:color w:val="auto"/>
                <w:kern w:val="0"/>
                <w:sz w:val="24"/>
                <w:highlight w:val="none"/>
                <w:lang w:eastAsia="zh-CN"/>
              </w:rPr>
              <w:t>谈判响应文件</w:t>
            </w:r>
            <w:r>
              <w:rPr>
                <w:rFonts w:hint="eastAsia" w:ascii="宋体" w:hAnsi="宋体" w:eastAsia="宋体" w:cs="宋体"/>
                <w:color w:val="auto"/>
                <w:kern w:val="0"/>
                <w:sz w:val="24"/>
                <w:highlight w:val="none"/>
              </w:rPr>
              <w:t>所有内容word版）一套。副本可以是正本的复印件（但有盖章的页或封面必须加盖红章）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highlight w:val="none"/>
              </w:rPr>
            </w:pPr>
          </w:p>
        </w:tc>
        <w:tc>
          <w:tcPr>
            <w:tcW w:w="108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制作及装订</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要求</w:t>
            </w:r>
          </w:p>
        </w:tc>
        <w:tc>
          <w:tcPr>
            <w:tcW w:w="3503" w:type="pct"/>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谈判响应文件</w:t>
            </w:r>
            <w:r>
              <w:rPr>
                <w:rFonts w:hint="eastAsia" w:ascii="宋体" w:hAnsi="宋体" w:eastAsia="宋体" w:cs="宋体"/>
                <w:color w:val="auto"/>
                <w:sz w:val="24"/>
                <w:highlight w:val="none"/>
                <w:u w:val="single"/>
              </w:rPr>
              <w:t>制作规范、书脊及目录清晰、页码标注、对应精准、双面打印</w:t>
            </w:r>
            <w:r>
              <w:rPr>
                <w:rFonts w:hint="eastAsia" w:ascii="宋体" w:hAnsi="宋体" w:eastAsia="宋体" w:cs="宋体"/>
                <w:color w:val="auto"/>
                <w:sz w:val="24"/>
                <w:highlight w:val="none"/>
              </w:rPr>
              <w:t>。</w:t>
            </w:r>
          </w:p>
          <w:p>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eastAsia="zh-CN"/>
              </w:rPr>
              <w:t>谈判响应文件</w:t>
            </w:r>
            <w:r>
              <w:rPr>
                <w:rFonts w:hint="eastAsia" w:ascii="宋体" w:hAnsi="宋体" w:eastAsia="宋体" w:cs="宋体"/>
                <w:color w:val="auto"/>
                <w:kern w:val="0"/>
                <w:sz w:val="24"/>
                <w:highlight w:val="none"/>
              </w:rPr>
              <w:t>应牢固装订成册，不可插页抽页。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szCs w:val="22"/>
                <w:highlight w:val="none"/>
              </w:rPr>
            </w:pPr>
          </w:p>
        </w:tc>
        <w:tc>
          <w:tcPr>
            <w:tcW w:w="1088" w:type="pct"/>
            <w:vAlign w:val="center"/>
          </w:tcPr>
          <w:p>
            <w:pPr>
              <w:widowControl/>
              <w:spacing w:line="360" w:lineRule="auto"/>
              <w:ind w:right="-197" w:rightChars="-9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w:t>
            </w:r>
          </w:p>
        </w:tc>
        <w:tc>
          <w:tcPr>
            <w:tcW w:w="3503" w:type="pct"/>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谈判小组从质量和服务均能满足采购文件实质性响应要求的供应商中，按照最后报价（评审价格）由低到高的顺序提出3名成交候选人。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szCs w:val="22"/>
                <w:highlight w:val="none"/>
              </w:rPr>
            </w:pPr>
          </w:p>
        </w:tc>
        <w:tc>
          <w:tcPr>
            <w:tcW w:w="1088" w:type="pct"/>
            <w:vAlign w:val="center"/>
          </w:tcPr>
          <w:p>
            <w:pPr>
              <w:pStyle w:val="36"/>
              <w:ind w:firstLine="0" w:firstLineChars="0"/>
              <w:jc w:val="center"/>
              <w:rPr>
                <w:rFonts w:hint="eastAsia" w:ascii="宋体" w:hAnsi="宋体" w:eastAsia="宋体" w:cs="宋体"/>
                <w:color w:val="auto"/>
                <w:kern w:val="2"/>
                <w:sz w:val="24"/>
                <w:szCs w:val="24"/>
                <w:highlight w:val="none"/>
              </w:rPr>
            </w:pPr>
            <w:bookmarkStart w:id="17" w:name="_Toc519085737"/>
            <w:bookmarkStart w:id="18" w:name="_Toc519091204"/>
            <w:r>
              <w:rPr>
                <w:rFonts w:hint="eastAsia" w:ascii="宋体" w:hAnsi="宋体" w:eastAsia="宋体" w:cs="宋体"/>
                <w:color w:val="auto"/>
                <w:kern w:val="2"/>
                <w:sz w:val="24"/>
                <w:szCs w:val="24"/>
                <w:highlight w:val="none"/>
              </w:rPr>
              <w:t>代理服务费</w:t>
            </w:r>
            <w:bookmarkEnd w:id="17"/>
            <w:bookmarkEnd w:id="18"/>
          </w:p>
        </w:tc>
        <w:tc>
          <w:tcPr>
            <w:tcW w:w="3503" w:type="pct"/>
            <w:vAlign w:val="center"/>
          </w:tcPr>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成交供应商应向采购代理机构交纳招标代理服务费</w:t>
            </w:r>
            <w:r>
              <w:rPr>
                <w:rFonts w:hint="eastAsia" w:ascii="宋体" w:hAnsi="宋体" w:eastAsia="宋体" w:cs="宋体"/>
                <w:sz w:val="24"/>
                <w:highlight w:val="none"/>
              </w:rPr>
              <w:t>。招标代理服务费的收取参照国家计委颁布的《招标代理服务收费管理暂行办法》（计价格[2002]1980号）</w:t>
            </w:r>
            <w:r>
              <w:rPr>
                <w:rFonts w:hint="eastAsia" w:ascii="宋体" w:hAnsi="宋体" w:eastAsia="宋体" w:cs="宋体"/>
                <w:sz w:val="24"/>
                <w:szCs w:val="24"/>
                <w:highlight w:val="none"/>
              </w:rPr>
              <w:t>和</w:t>
            </w:r>
            <w:r>
              <w:rPr>
                <w:rFonts w:hint="eastAsia" w:ascii="宋体" w:hAnsi="宋体" w:eastAsia="宋体" w:cs="宋体"/>
                <w:sz w:val="24"/>
                <w:highlight w:val="none"/>
              </w:rPr>
              <w:t>（发改办价格[2003]857号）</w:t>
            </w:r>
            <w:r>
              <w:rPr>
                <w:rFonts w:hint="eastAsia" w:ascii="宋体" w:hAnsi="宋体" w:eastAsia="宋体" w:cs="宋体"/>
                <w:sz w:val="24"/>
                <w:highlight w:val="none"/>
                <w:lang w:val="en-US" w:eastAsia="zh-CN"/>
              </w:rPr>
              <w:t>及《国家发展改革委关于进一步放开建设项目专业服务价格的通知》（发改价格〔2015〕299号）</w:t>
            </w:r>
            <w:r>
              <w:rPr>
                <w:rFonts w:hint="eastAsia" w:ascii="宋体" w:hAnsi="宋体" w:eastAsia="宋体" w:cs="宋体"/>
                <w:sz w:val="24"/>
                <w:highlight w:val="none"/>
              </w:rPr>
              <w:t>中货物类收费标准</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按定额取费</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人民币</w:t>
            </w:r>
            <w:r>
              <w:rPr>
                <w:rFonts w:hint="eastAsia" w:ascii="宋体" w:hAnsi="宋体" w:cs="宋体"/>
                <w:sz w:val="24"/>
                <w:highlight w:val="none"/>
                <w:lang w:val="en-US" w:eastAsia="zh-CN"/>
              </w:rPr>
              <w:t>壹万伍</w:t>
            </w:r>
            <w:r>
              <w:rPr>
                <w:rFonts w:hint="eastAsia" w:ascii="宋体" w:hAnsi="宋体" w:eastAsia="宋体" w:cs="宋体"/>
                <w:sz w:val="24"/>
                <w:highlight w:val="none"/>
                <w:lang w:val="en-US" w:eastAsia="zh-CN"/>
              </w:rPr>
              <w:t>仟元整（￥</w:t>
            </w:r>
            <w:r>
              <w:rPr>
                <w:rFonts w:hint="eastAsia" w:ascii="宋体" w:hAnsi="宋体" w:cs="宋体"/>
                <w:sz w:val="24"/>
                <w:highlight w:val="none"/>
                <w:lang w:val="en-US" w:eastAsia="zh-CN"/>
              </w:rPr>
              <w:t>15,</w:t>
            </w:r>
            <w:r>
              <w:rPr>
                <w:rFonts w:hint="eastAsia" w:ascii="宋体" w:hAnsi="宋体" w:eastAsia="宋体" w:cs="宋体"/>
                <w:sz w:val="24"/>
                <w:highlight w:val="none"/>
                <w:lang w:val="en-US" w:eastAsia="zh-CN"/>
              </w:rPr>
              <w:t>000.00）。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采购代理机构开户名称:陕西中信海诚造价咨询有限公司</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开户行名称:</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中国建设银行股份有限公司西安含光南路支行</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号：61050172650000000220</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2"/>
                <w:highlight w:val="none"/>
              </w:rPr>
              <w:t>转账事由：</w:t>
            </w:r>
            <w:r>
              <w:rPr>
                <w:rFonts w:hint="eastAsia" w:ascii="宋体" w:hAnsi="宋体" w:eastAsia="宋体" w:cs="宋体"/>
                <w:color w:val="auto"/>
                <w:sz w:val="24"/>
                <w:szCs w:val="22"/>
                <w:highlight w:val="none"/>
                <w:u w:val="single"/>
              </w:rPr>
              <w:t xml:space="preserve"> （名称或编号） </w:t>
            </w:r>
            <w:r>
              <w:rPr>
                <w:rFonts w:hint="eastAsia" w:ascii="宋体" w:hAnsi="宋体" w:eastAsia="宋体" w:cs="宋体"/>
                <w:color w:val="auto"/>
                <w:sz w:val="24"/>
                <w:szCs w:val="22"/>
                <w:highlight w:val="none"/>
              </w:rPr>
              <w:t>项目</w:t>
            </w:r>
            <w:r>
              <w:rPr>
                <w:rFonts w:hint="eastAsia" w:ascii="宋体" w:hAnsi="宋体" w:cs="宋体"/>
                <w:color w:val="auto"/>
                <w:sz w:val="24"/>
                <w:szCs w:val="22"/>
                <w:highlight w:val="none"/>
                <w:lang w:val="en-US" w:eastAsia="zh-CN"/>
              </w:rPr>
              <w:t>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szCs w:val="22"/>
                <w:highlight w:val="none"/>
              </w:rPr>
            </w:pPr>
          </w:p>
        </w:tc>
        <w:tc>
          <w:tcPr>
            <w:tcW w:w="1088" w:type="pct"/>
            <w:vAlign w:val="center"/>
          </w:tcPr>
          <w:p>
            <w:pPr>
              <w:pStyle w:val="36"/>
              <w:ind w:firstLine="0" w:firstLineChars="0"/>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全过程咨询服务</w:t>
            </w:r>
          </w:p>
        </w:tc>
        <w:tc>
          <w:tcPr>
            <w:tcW w:w="3503" w:type="pct"/>
            <w:vAlign w:val="center"/>
          </w:tcPr>
          <w:p>
            <w:pPr>
              <w:spacing w:line="360" w:lineRule="auto"/>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rPr>
              <w:t>成交供应商应向采购代理机构交纳</w:t>
            </w:r>
            <w:r>
              <w:rPr>
                <w:rFonts w:hint="eastAsia" w:ascii="宋体" w:hAnsi="宋体" w:cs="宋体"/>
                <w:color w:val="auto"/>
                <w:sz w:val="24"/>
                <w:highlight w:val="none"/>
                <w:lang w:val="en-US" w:eastAsia="zh-CN"/>
              </w:rPr>
              <w:t>全过程咨询</w:t>
            </w:r>
            <w:r>
              <w:rPr>
                <w:rFonts w:hint="eastAsia" w:ascii="宋体" w:hAnsi="宋体" w:eastAsia="宋体" w:cs="宋体"/>
                <w:color w:val="auto"/>
                <w:sz w:val="24"/>
                <w:highlight w:val="none"/>
              </w:rPr>
              <w:t>服务费</w:t>
            </w:r>
            <w:r>
              <w:rPr>
                <w:rFonts w:hint="eastAsia" w:ascii="宋体" w:hAnsi="宋体" w:cs="宋体"/>
                <w:color w:val="auto"/>
                <w:sz w:val="24"/>
                <w:highlight w:val="none"/>
                <w:lang w:eastAsia="zh-CN"/>
              </w:rPr>
              <w:t>。</w:t>
            </w:r>
          </w:p>
          <w:p>
            <w:pPr>
              <w:spacing w:line="360" w:lineRule="auto"/>
              <w:rPr>
                <w:rFonts w:hint="default" w:ascii="宋体" w:hAnsi="宋体" w:eastAsia="宋体" w:cs="宋体"/>
                <w:color w:val="auto"/>
                <w:sz w:val="24"/>
                <w:szCs w:val="22"/>
                <w:highlight w:val="none"/>
                <w:lang w:val="en-US"/>
              </w:rPr>
            </w:pPr>
            <w:r>
              <w:rPr>
                <w:rFonts w:hint="eastAsia" w:ascii="宋体" w:hAnsi="宋体" w:cs="宋体"/>
                <w:sz w:val="24"/>
                <w:highlight w:val="none"/>
                <w:lang w:val="en-US" w:eastAsia="zh-CN"/>
              </w:rPr>
              <w:t>根据</w:t>
            </w:r>
            <w:r>
              <w:rPr>
                <w:rFonts w:hint="eastAsia" w:ascii="宋体" w:hAnsi="宋体" w:eastAsia="宋体" w:cs="宋体"/>
                <w:sz w:val="24"/>
                <w:highlight w:val="none"/>
                <w:lang w:val="en-US" w:eastAsia="zh-CN"/>
              </w:rPr>
              <w:t>《西安市深化政府采购制度改革实施方案》、市财函[2021]418号的相关要求</w:t>
            </w:r>
            <w:r>
              <w:rPr>
                <w:rFonts w:hint="eastAsia" w:ascii="宋体" w:hAnsi="宋体" w:cs="宋体"/>
                <w:sz w:val="24"/>
                <w:highlight w:val="none"/>
                <w:lang w:val="en-US" w:eastAsia="zh-CN"/>
              </w:rPr>
              <w:t>，采购代理机构为本项目提供全过程咨询服务，</w:t>
            </w:r>
            <w:r>
              <w:rPr>
                <w:rFonts w:hint="eastAsia" w:ascii="宋体" w:hAnsi="宋体" w:eastAsia="宋体" w:cs="宋体"/>
                <w:sz w:val="24"/>
                <w:highlight w:val="none"/>
                <w:lang w:val="en-US" w:eastAsia="zh-CN"/>
              </w:rPr>
              <w:t>按定额取费</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人民币</w:t>
            </w:r>
            <w:r>
              <w:rPr>
                <w:rFonts w:hint="eastAsia" w:ascii="宋体" w:hAnsi="宋体" w:cs="宋体"/>
                <w:sz w:val="24"/>
                <w:highlight w:val="none"/>
                <w:lang w:val="en-US" w:eastAsia="zh-CN"/>
              </w:rPr>
              <w:t>贰</w:t>
            </w:r>
            <w:r>
              <w:rPr>
                <w:rFonts w:hint="eastAsia" w:ascii="宋体" w:hAnsi="宋体" w:eastAsia="宋体" w:cs="宋体"/>
                <w:sz w:val="24"/>
                <w:highlight w:val="none"/>
                <w:lang w:val="en-US" w:eastAsia="zh-CN"/>
              </w:rPr>
              <w:t>仟元整（￥</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szCs w:val="22"/>
                <w:highlight w:val="none"/>
              </w:rPr>
            </w:pPr>
          </w:p>
        </w:tc>
        <w:tc>
          <w:tcPr>
            <w:tcW w:w="108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知识产权</w:t>
            </w:r>
          </w:p>
        </w:tc>
        <w:tc>
          <w:tcPr>
            <w:tcW w:w="3503" w:type="pct"/>
            <w:vAlign w:val="center"/>
          </w:tcPr>
          <w:p>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供应商应保证，在中华人民共和国境内使用投标货物、服务或其任何一部分时，不会产生因第三方提出侵犯其专利权或其他知识产权而引起的法律和经济纠纷。如供应商不拥有相应的知识产权，则在报价中须包括合法获取该知识产权的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szCs w:val="22"/>
                <w:highlight w:val="none"/>
              </w:rPr>
            </w:pPr>
          </w:p>
        </w:tc>
        <w:tc>
          <w:tcPr>
            <w:tcW w:w="108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分包或转包</w:t>
            </w:r>
          </w:p>
        </w:tc>
        <w:tc>
          <w:tcPr>
            <w:tcW w:w="3503" w:type="pct"/>
            <w:vAlign w:val="center"/>
          </w:tcPr>
          <w:p>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本项目不允许将成交项目分包或转包。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szCs w:val="22"/>
                <w:highlight w:val="none"/>
              </w:rPr>
            </w:pPr>
          </w:p>
        </w:tc>
        <w:tc>
          <w:tcPr>
            <w:tcW w:w="108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备选方案</w:t>
            </w:r>
          </w:p>
        </w:tc>
        <w:tc>
          <w:tcPr>
            <w:tcW w:w="3503" w:type="pct"/>
            <w:vAlign w:val="center"/>
          </w:tcPr>
          <w:p>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本项目不接受备选方案。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szCs w:val="22"/>
                <w:highlight w:val="none"/>
              </w:rPr>
            </w:pPr>
          </w:p>
        </w:tc>
        <w:tc>
          <w:tcPr>
            <w:tcW w:w="108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虚假响应</w:t>
            </w:r>
          </w:p>
        </w:tc>
        <w:tc>
          <w:tcPr>
            <w:tcW w:w="3503" w:type="pct"/>
            <w:vAlign w:val="center"/>
          </w:tcPr>
          <w:p>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u w:val="single"/>
              </w:rPr>
              <w:t>响应文件中提供虚假或失实材料的，采购人或谈判小组向财政部门报告说明，按照《中华人民共和国政府采购采购法》第七十七条处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szCs w:val="22"/>
                <w:highlight w:val="none"/>
              </w:rPr>
            </w:pPr>
          </w:p>
        </w:tc>
        <w:tc>
          <w:tcPr>
            <w:tcW w:w="108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供应商失信行为</w:t>
            </w:r>
          </w:p>
        </w:tc>
        <w:tc>
          <w:tcPr>
            <w:tcW w:w="3503" w:type="pct"/>
            <w:vAlign w:val="center"/>
          </w:tcPr>
          <w:p>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shd w:val="clear" w:color="auto" w:fill="FFFFFF"/>
              </w:rPr>
              <w:t>供应商有《陕西省政府采购领域供应商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szCs w:val="22"/>
                <w:highlight w:val="none"/>
              </w:rPr>
            </w:pPr>
          </w:p>
        </w:tc>
        <w:tc>
          <w:tcPr>
            <w:tcW w:w="108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供应商质疑</w:t>
            </w:r>
          </w:p>
        </w:tc>
        <w:tc>
          <w:tcPr>
            <w:tcW w:w="3503" w:type="pct"/>
            <w:vAlign w:val="center"/>
          </w:tcPr>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（1）质疑</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1、投标人认为采购文件、采购过程或中标/成交结果使自身的合法权益受到损害，可以在法定期限内，以书面形式</w:t>
            </w:r>
            <w:r>
              <w:rPr>
                <w:rFonts w:hint="eastAsia" w:ascii="宋体" w:hAnsi="宋体" w:eastAsia="宋体" w:cs="宋体"/>
                <w:sz w:val="24"/>
                <w:szCs w:val="22"/>
                <w:highlight w:val="none"/>
                <w:lang w:val="en-US" w:eastAsia="zh-CN"/>
              </w:rPr>
              <w:t>一次性</w:t>
            </w:r>
            <w:r>
              <w:rPr>
                <w:rFonts w:hint="eastAsia" w:ascii="宋体" w:hAnsi="宋体" w:eastAsia="宋体" w:cs="宋体"/>
                <w:sz w:val="24"/>
                <w:szCs w:val="22"/>
                <w:highlight w:val="none"/>
              </w:rPr>
              <w:t>向采购代理机构或采购人提出质疑。</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（1）提出质疑应当提交质疑函和必要的证明材料，质疑函应当包括以下主要内容：</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 xml:space="preserve">①投标人的姓名或者名称、地址、邮编、联系人及联系电话；②质疑项目的名称、编号；③具体、明确的质疑事项和与质疑事项相关的请求；④事实依据；⑤必要的法律依据；⑥提出质疑的日期。 </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（2）质疑函应当由法定代表人签字并加盖公章，公章不得以合同章或其他印章代替。</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（3）质疑人可以委托代理人办理质疑事项，代理人办理质疑事项时，除提交质疑函外，还应当提交法人授权委托书及代理人的有效身份证明，授权委托书应当载明委托代理的具体权限和事项。</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（4）有下列情形之一的，属于无效质疑：</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①质疑人不是参与本次政府采购项目的投标人或潜在投标人；</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②质疑人与质疑事项不存在利害关系的；</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③未在法定期限内提出质疑的；</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④质疑未以书面形式提出，或质疑函主要内容构成不完整的；</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⑤质疑函没有合法有效的签字、盖章或授权的；</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⑥以非法手段取得证据、材料的；</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⑦质疑答复后，同一质疑人就同一事项再次提出质疑的；</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⑧不符合法律、法规、规章和政府采购监管机构规定的其他条件的。</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2、符合要求的质疑，采购代理机构将予以受理并答复，具体联系方式如下：</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联 系 人：蔺工</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 xml:space="preserve">联系电话：029-85262287 </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3、采购代理机构或采购人将在收到书面质疑后7个工作日内</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不含接收当日</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做出答复，并以书面形式通知质疑人和其他有关投标人。</w:t>
            </w:r>
          </w:p>
          <w:p>
            <w:pPr>
              <w:snapToGrid w:val="0"/>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（2）投诉</w:t>
            </w:r>
          </w:p>
          <w:p>
            <w:pPr>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1、质疑人对采购代理机构或采购人的答复不满意，以及采购代理机构或采购人未在规定时间内做出答复的，可以在答复期满后15个工作日内向政府采购监管机构提出投诉。</w:t>
            </w:r>
          </w:p>
          <w:p>
            <w:pPr>
              <w:spacing w:line="360" w:lineRule="auto"/>
              <w:rPr>
                <w:rFonts w:hint="eastAsia" w:ascii="宋体" w:hAnsi="宋体" w:eastAsia="宋体" w:cs="宋体"/>
                <w:b/>
                <w:bCs/>
                <w:color w:val="auto"/>
                <w:sz w:val="24"/>
                <w:highlight w:val="none"/>
              </w:rPr>
            </w:pPr>
            <w:r>
              <w:rPr>
                <w:rFonts w:hint="eastAsia" w:ascii="宋体" w:hAnsi="宋体" w:eastAsia="宋体" w:cs="宋体"/>
                <w:sz w:val="24"/>
                <w:szCs w:val="22"/>
                <w:highlight w:val="none"/>
              </w:rPr>
              <w:t>2、投诉的事项不得超出已质疑事项的范围。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08" w:type="pct"/>
            <w:vAlign w:val="center"/>
          </w:tcPr>
          <w:p>
            <w:pPr>
              <w:numPr>
                <w:ilvl w:val="0"/>
                <w:numId w:val="1"/>
              </w:numPr>
              <w:tabs>
                <w:tab w:val="left" w:pos="420"/>
              </w:tabs>
              <w:spacing w:line="360" w:lineRule="auto"/>
              <w:ind w:left="425" w:leftChars="0" w:hanging="425" w:firstLineChars="0"/>
              <w:jc w:val="center"/>
              <w:rPr>
                <w:rFonts w:hint="eastAsia" w:ascii="宋体" w:hAnsi="宋体" w:eastAsia="宋体" w:cs="宋体"/>
                <w:color w:val="auto"/>
                <w:sz w:val="24"/>
                <w:highlight w:val="none"/>
              </w:rPr>
            </w:pPr>
          </w:p>
        </w:tc>
        <w:tc>
          <w:tcPr>
            <w:tcW w:w="1088" w:type="pc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行业划分</w:t>
            </w:r>
          </w:p>
        </w:tc>
        <w:tc>
          <w:tcPr>
            <w:tcW w:w="3503" w:type="pct"/>
            <w:vAlign w:val="center"/>
          </w:tcPr>
          <w:p>
            <w:pPr>
              <w:spacing w:line="360"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根据</w:t>
            </w:r>
            <w:r>
              <w:rPr>
                <w:rFonts w:hint="eastAsia" w:ascii="宋体" w:hAnsi="宋体" w:eastAsia="宋体" w:cs="宋体"/>
                <w:color w:val="auto"/>
                <w:kern w:val="0"/>
                <w:sz w:val="24"/>
                <w:highlight w:val="none"/>
              </w:rPr>
              <w:t>中小企业划型标准规定（工信部联企业[2011]300号）</w:t>
            </w:r>
            <w:r>
              <w:rPr>
                <w:rFonts w:hint="eastAsia" w:ascii="宋体" w:hAnsi="宋体" w:eastAsia="宋体" w:cs="宋体"/>
                <w:color w:val="auto"/>
                <w:kern w:val="0"/>
                <w:sz w:val="24"/>
                <w:highlight w:val="none"/>
                <w:lang w:eastAsia="zh-CN"/>
              </w:rPr>
              <w:t>，</w:t>
            </w:r>
          </w:p>
          <w:p>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en-US" w:eastAsia="zh-CN"/>
              </w:rPr>
              <w:t>本项目属</w:t>
            </w:r>
            <w:r>
              <w:rPr>
                <w:rFonts w:hint="eastAsia" w:ascii="宋体" w:hAnsi="宋体" w:eastAsia="宋体" w:cs="宋体"/>
                <w:color w:val="auto"/>
                <w:kern w:val="0"/>
                <w:sz w:val="24"/>
                <w:highlight w:val="none"/>
                <w:lang w:val="en-US" w:eastAsia="zh-CN"/>
              </w:rPr>
              <w:t>于</w:t>
            </w:r>
            <w:r>
              <w:rPr>
                <w:rFonts w:hint="eastAsia" w:ascii="宋体" w:hAnsi="宋体" w:cs="宋体"/>
                <w:color w:val="auto"/>
                <w:kern w:val="0"/>
                <w:sz w:val="24"/>
                <w:highlight w:val="none"/>
                <w:lang w:val="en-US" w:eastAsia="zh-CN"/>
              </w:rPr>
              <w:t>工业</w:t>
            </w:r>
            <w:r>
              <w:rPr>
                <w:rFonts w:hint="eastAsia" w:ascii="宋体" w:hAnsi="宋体" w:eastAsia="宋体" w:cs="宋体"/>
                <w:color w:val="auto"/>
                <w:kern w:val="0"/>
                <w:sz w:val="24"/>
                <w:highlight w:val="none"/>
                <w:lang w:val="en-US" w:eastAsia="zh-CN"/>
              </w:rPr>
              <w:t>。</w:t>
            </w:r>
          </w:p>
        </w:tc>
      </w:tr>
    </w:tbl>
    <w:p>
      <w:pPr>
        <w:pStyle w:val="4"/>
        <w:spacing w:line="360" w:lineRule="auto"/>
        <w:rPr>
          <w:rFonts w:hint="eastAsia" w:ascii="宋体" w:hAnsi="宋体" w:eastAsia="宋体" w:cs="宋体"/>
          <w:color w:val="auto"/>
          <w:highlight w:val="none"/>
        </w:rPr>
        <w:sectPr>
          <w:footnotePr>
            <w:pos w:val="beneathText"/>
          </w:footnote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19" w:name="_Toc246928894"/>
    </w:p>
    <w:bookmarkEnd w:id="19"/>
    <w:p>
      <w:pPr>
        <w:pStyle w:val="5"/>
        <w:spacing w:line="360" w:lineRule="auto"/>
        <w:rPr>
          <w:rFonts w:hint="eastAsia" w:ascii="宋体" w:hAnsi="宋体" w:eastAsia="宋体" w:cs="宋体"/>
          <w:color w:val="auto"/>
          <w:sz w:val="24"/>
          <w:szCs w:val="24"/>
          <w:highlight w:val="none"/>
        </w:rPr>
      </w:pPr>
      <w:bookmarkStart w:id="20" w:name="_Toc27137"/>
      <w:bookmarkStart w:id="21" w:name="_Toc1751"/>
      <w:bookmarkStart w:id="22" w:name="_Toc23031"/>
      <w:bookmarkStart w:id="23" w:name="_Toc246928896"/>
      <w:r>
        <w:rPr>
          <w:rFonts w:hint="eastAsia" w:ascii="宋体" w:hAnsi="宋体" w:eastAsia="宋体" w:cs="宋体"/>
          <w:color w:val="auto"/>
          <w:sz w:val="24"/>
          <w:szCs w:val="24"/>
          <w:highlight w:val="none"/>
        </w:rPr>
        <w:t>（一）总则</w:t>
      </w:r>
      <w:bookmarkEnd w:id="20"/>
      <w:bookmarkEnd w:id="21"/>
      <w:bookmarkEnd w:id="22"/>
    </w:p>
    <w:p>
      <w:pPr>
        <w:pStyle w:val="6"/>
        <w:rPr>
          <w:rFonts w:hint="eastAsia" w:ascii="宋体" w:hAnsi="宋体" w:eastAsia="宋体" w:cs="宋体"/>
          <w:color w:val="auto"/>
          <w:sz w:val="24"/>
          <w:szCs w:val="24"/>
          <w:highlight w:val="none"/>
        </w:rPr>
      </w:pPr>
      <w:bookmarkStart w:id="24" w:name="_Toc130"/>
      <w:r>
        <w:rPr>
          <w:rFonts w:hint="eastAsia" w:ascii="宋体" w:hAnsi="宋体" w:eastAsia="宋体" w:cs="宋体"/>
          <w:color w:val="auto"/>
          <w:sz w:val="24"/>
          <w:szCs w:val="24"/>
          <w:highlight w:val="none"/>
        </w:rPr>
        <w:t>1 适用范围</w:t>
      </w:r>
      <w:bookmarkEnd w:id="23"/>
      <w:bookmarkEnd w:id="24"/>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1.1本谈判文件仅适用于本竞争性谈判公告中所叙述项目的设备采购。</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1.2本次采购属货物类政府采购，采购人，采购代理机构、供应商、谈判小组的相关行为均受《中华人民共和国政府采购法》、</w:t>
      </w:r>
      <w:r>
        <w:rPr>
          <w:rFonts w:hint="eastAsia" w:ascii="宋体" w:hAnsi="宋体" w:eastAsia="宋体" w:cs="宋体"/>
          <w:color w:val="auto"/>
          <w:sz w:val="24"/>
          <w:highlight w:val="none"/>
          <w:lang w:eastAsia="zh-CN"/>
        </w:rPr>
        <w:t>《政府采购非招标采购方式管理办法》</w:t>
      </w:r>
      <w:r>
        <w:rPr>
          <w:rFonts w:hint="eastAsia" w:ascii="宋体" w:hAnsi="宋体" w:eastAsia="宋体" w:cs="宋体"/>
          <w:color w:val="auto"/>
          <w:sz w:val="24"/>
          <w:highlight w:val="none"/>
        </w:rPr>
        <w:t>财政部规章及政府采购项目所在地有关法规、规章的约束，其权利受到上述法律法规的保护。</w:t>
      </w:r>
    </w:p>
    <w:p>
      <w:pPr>
        <w:pStyle w:val="6"/>
        <w:jc w:val="left"/>
        <w:rPr>
          <w:rFonts w:hint="eastAsia" w:ascii="宋体" w:hAnsi="宋体" w:eastAsia="宋体" w:cs="宋体"/>
          <w:color w:val="auto"/>
          <w:sz w:val="24"/>
          <w:szCs w:val="24"/>
          <w:highlight w:val="none"/>
        </w:rPr>
      </w:pPr>
      <w:bookmarkStart w:id="25" w:name="_Toc246928897"/>
      <w:bookmarkStart w:id="26" w:name="_Toc22193"/>
      <w:r>
        <w:rPr>
          <w:rFonts w:hint="eastAsia" w:ascii="宋体" w:hAnsi="宋体" w:eastAsia="宋体" w:cs="宋体"/>
          <w:color w:val="auto"/>
          <w:sz w:val="24"/>
          <w:szCs w:val="24"/>
          <w:highlight w:val="none"/>
        </w:rPr>
        <w:t>2 定义</w:t>
      </w:r>
      <w:bookmarkEnd w:id="25"/>
      <w:bookmarkEnd w:id="26"/>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w:t>
      </w:r>
      <w:r>
        <w:rPr>
          <w:rFonts w:hint="eastAsia" w:ascii="宋体" w:hAnsi="宋体" w:cs="宋体"/>
          <w:color w:val="auto"/>
          <w:sz w:val="24"/>
          <w:highlight w:val="none"/>
          <w:lang w:eastAsia="zh-CN"/>
        </w:rPr>
        <w:t>西安市碑林区文艺路小学</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“采购代理机构”系指陕西中信海诚造价咨询有限公司。</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“供应商”系指响应采购人要求提交谈判响应文件的单位。</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“采购文件”系指采购人或代理机构编制并向供应商发售的谈判文件。</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2.4 “响应文件”系指供应商按照采购文件要求编制并向采购人或代理机构递交的响应文件。</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2.5 “法定代表人”系指依照法律或者法人组织章程规定，代表法人行使职权的负责人，是法人的法定代表人。参与本项目的其他组织的负责人在响应文件中签署即可具有效力。</w:t>
      </w:r>
    </w:p>
    <w:p>
      <w:pPr>
        <w:pStyle w:val="6"/>
        <w:rPr>
          <w:rFonts w:hint="eastAsia" w:ascii="宋体" w:hAnsi="宋体" w:eastAsia="宋体" w:cs="宋体"/>
          <w:color w:val="auto"/>
          <w:sz w:val="24"/>
          <w:szCs w:val="24"/>
          <w:highlight w:val="none"/>
        </w:rPr>
      </w:pPr>
      <w:bookmarkStart w:id="27" w:name="_Toc246928898"/>
      <w:bookmarkStart w:id="28" w:name="_Toc5058"/>
      <w:r>
        <w:rPr>
          <w:rFonts w:hint="eastAsia" w:ascii="宋体" w:hAnsi="宋体" w:eastAsia="宋体" w:cs="宋体"/>
          <w:color w:val="auto"/>
          <w:sz w:val="24"/>
          <w:szCs w:val="24"/>
          <w:highlight w:val="none"/>
        </w:rPr>
        <w:t>3 合格的谈判供应商</w:t>
      </w:r>
      <w:bookmarkEnd w:id="27"/>
      <w:bookmarkEnd w:id="28"/>
    </w:p>
    <w:p>
      <w:pPr>
        <w:spacing w:line="360" w:lineRule="auto"/>
        <w:rPr>
          <w:rFonts w:hint="eastAsia" w:ascii="宋体" w:hAnsi="宋体" w:eastAsia="宋体" w:cs="宋体"/>
          <w:color w:val="auto"/>
          <w:sz w:val="24"/>
          <w:highlight w:val="none"/>
        </w:rPr>
      </w:pPr>
      <w:bookmarkStart w:id="29" w:name="_Toc246928899"/>
      <w:r>
        <w:rPr>
          <w:rFonts w:hint="eastAsia" w:ascii="宋体" w:hAnsi="宋体" w:eastAsia="宋体" w:cs="宋体"/>
          <w:color w:val="auto"/>
          <w:sz w:val="24"/>
          <w:highlight w:val="none"/>
        </w:rPr>
        <w:t>3.1 凡具备供应商条件且有能力提供采购服务的供应商均可报价。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 供应商必须在谈判公告载明的地点购买谈判文件并登记备案，未经购买谈判文件并登记备案的潜在供应商均无资格参加本次报价。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 供应商应参照《中华人民共和国政府采购法》及其他有关的中国法律和法规。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 供应商在过去和现在都不应直接或间接地与采购人及为采购本次服务进行咨询的单位或其附属机构有任何关联。</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3.5 只有在法律上和财务上独立，合法运作，并独立于采购代理机构和采购人的供应商才能参加谈判。</w:t>
      </w:r>
    </w:p>
    <w:p>
      <w:pPr>
        <w:pStyle w:val="6"/>
        <w:rPr>
          <w:rFonts w:hint="eastAsia" w:ascii="宋体" w:hAnsi="宋体" w:eastAsia="宋体" w:cs="宋体"/>
          <w:color w:val="auto"/>
          <w:sz w:val="24"/>
          <w:szCs w:val="24"/>
          <w:highlight w:val="none"/>
        </w:rPr>
      </w:pPr>
      <w:bookmarkStart w:id="30" w:name="_Toc16933"/>
      <w:r>
        <w:rPr>
          <w:rFonts w:hint="eastAsia" w:ascii="宋体" w:hAnsi="宋体" w:eastAsia="宋体" w:cs="宋体"/>
          <w:color w:val="auto"/>
          <w:sz w:val="24"/>
          <w:szCs w:val="24"/>
          <w:highlight w:val="none"/>
        </w:rPr>
        <w:t>4 费用</w:t>
      </w:r>
      <w:bookmarkEnd w:id="29"/>
      <w:bookmarkEnd w:id="30"/>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 供应商应承担所有与编写和提交谈判响应文件有关的费用，无论谈判过程中的做法和结果如何，采购人在任何情况下均无义务和责任承担这些费用。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4.2 采购人或采购代理机构不组织现场踏勘， 供应商可携带工具自行踏勘现场，自行负责因踏勘所产生的费用和其他一切后果，采购人和采购代理机构不承担任何责任。</w:t>
      </w:r>
    </w:p>
    <w:p>
      <w:pPr>
        <w:pStyle w:val="5"/>
        <w:spacing w:line="360" w:lineRule="auto"/>
        <w:rPr>
          <w:rFonts w:hint="eastAsia" w:ascii="宋体" w:hAnsi="宋体" w:eastAsia="宋体" w:cs="宋体"/>
          <w:b w:val="0"/>
          <w:color w:val="auto"/>
          <w:sz w:val="24"/>
          <w:szCs w:val="24"/>
          <w:highlight w:val="none"/>
        </w:rPr>
      </w:pPr>
      <w:bookmarkStart w:id="31" w:name="_Toc6287"/>
      <w:bookmarkStart w:id="32" w:name="_Toc22765"/>
      <w:bookmarkStart w:id="33" w:name="_Toc11747"/>
      <w:bookmarkStart w:id="34" w:name="_Toc246928901"/>
      <w:r>
        <w:rPr>
          <w:rFonts w:hint="eastAsia" w:ascii="宋体" w:hAnsi="宋体" w:eastAsia="宋体" w:cs="宋体"/>
          <w:color w:val="auto"/>
          <w:sz w:val="24"/>
          <w:szCs w:val="24"/>
          <w:highlight w:val="none"/>
        </w:rPr>
        <w:t>（二）谈判文件说明</w:t>
      </w:r>
      <w:bookmarkEnd w:id="31"/>
      <w:bookmarkEnd w:id="32"/>
      <w:bookmarkEnd w:id="33"/>
    </w:p>
    <w:p>
      <w:pPr>
        <w:pStyle w:val="6"/>
        <w:rPr>
          <w:rFonts w:hint="eastAsia" w:ascii="宋体" w:hAnsi="宋体" w:eastAsia="宋体" w:cs="宋体"/>
          <w:color w:val="auto"/>
          <w:sz w:val="24"/>
          <w:szCs w:val="24"/>
          <w:highlight w:val="none"/>
        </w:rPr>
      </w:pPr>
      <w:bookmarkStart w:id="35" w:name="_Toc30384"/>
      <w:r>
        <w:rPr>
          <w:rFonts w:hint="eastAsia" w:ascii="宋体" w:hAnsi="宋体" w:eastAsia="宋体" w:cs="宋体"/>
          <w:color w:val="auto"/>
          <w:sz w:val="24"/>
          <w:szCs w:val="24"/>
          <w:highlight w:val="none"/>
        </w:rPr>
        <w:t>5 谈判文件的构成</w:t>
      </w:r>
      <w:bookmarkEnd w:id="34"/>
      <w:bookmarkEnd w:id="35"/>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谈判文件用以阐明所需提供的服务、采购、谈判程序和合同条件。谈判文件包括：</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5.1.1 竞争性谈判公告；</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5.1.2 谈判须知前附表；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5.1.3 谈判须知；</w:t>
      </w:r>
    </w:p>
    <w:p>
      <w:pPr>
        <w:tabs>
          <w:tab w:val="left" w:pos="241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5.1.4 采购内容及要求；</w:t>
      </w:r>
      <w:r>
        <w:rPr>
          <w:rFonts w:hint="eastAsia" w:ascii="宋体" w:hAnsi="宋体" w:eastAsia="宋体" w:cs="宋体"/>
          <w:color w:val="auto"/>
          <w:sz w:val="24"/>
          <w:highlight w:val="none"/>
        </w:rPr>
        <w:tab/>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5.1.5 合同一般条款；</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5.1.6 附件—谈判响应文件格式。</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5.2 供应商应认真阅读谈判文件中所有的事项、格式、条款和规范要求等。</w:t>
      </w:r>
    </w:p>
    <w:p>
      <w:pPr>
        <w:pStyle w:val="6"/>
        <w:rPr>
          <w:rFonts w:hint="eastAsia" w:ascii="宋体" w:hAnsi="宋体" w:eastAsia="宋体" w:cs="宋体"/>
          <w:color w:val="auto"/>
          <w:sz w:val="24"/>
          <w:szCs w:val="24"/>
          <w:highlight w:val="none"/>
        </w:rPr>
      </w:pPr>
      <w:bookmarkStart w:id="36" w:name="_Toc24386"/>
      <w:bookmarkStart w:id="37" w:name="_Toc246928902"/>
      <w:r>
        <w:rPr>
          <w:rFonts w:hint="eastAsia" w:ascii="宋体" w:hAnsi="宋体" w:eastAsia="宋体" w:cs="宋体"/>
          <w:color w:val="auto"/>
          <w:sz w:val="24"/>
          <w:szCs w:val="24"/>
          <w:highlight w:val="none"/>
        </w:rPr>
        <w:t>6 谈判文件的澄清</w:t>
      </w:r>
      <w:bookmarkEnd w:id="36"/>
      <w:bookmarkEnd w:id="37"/>
    </w:p>
    <w:p>
      <w:pPr>
        <w:spacing w:line="360" w:lineRule="auto"/>
        <w:rPr>
          <w:rFonts w:hint="eastAsia" w:ascii="宋体" w:hAnsi="宋体" w:eastAsia="宋体" w:cs="宋体"/>
          <w:color w:val="auto"/>
          <w:sz w:val="24"/>
          <w:highlight w:val="none"/>
        </w:rPr>
      </w:pPr>
      <w:bookmarkStart w:id="38" w:name="_Toc246928903"/>
      <w:r>
        <w:rPr>
          <w:rFonts w:hint="eastAsia" w:ascii="宋体" w:hAnsi="宋体" w:eastAsia="宋体" w:cs="宋体"/>
          <w:color w:val="auto"/>
          <w:sz w:val="24"/>
          <w:highlight w:val="none"/>
        </w:rPr>
        <w:t>6.1 任何要求对谈判文件澄清的供应商，均应以书面形式在谈判时间前通知采购代理机构。采购代理机构将视情况确定采用适当方式予以澄清或以书面形式予以答复，并在其认为必要时，将不标明查询来源的书面答复通知谈判文件收受人。</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6.2 供应商收到上述通知后，应当立即向采购代理机构发出回函予以确认。</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6.3 该澄清的内容为谈判文件的组成部分。</w:t>
      </w:r>
    </w:p>
    <w:p>
      <w:pPr>
        <w:pStyle w:val="6"/>
        <w:rPr>
          <w:rFonts w:hint="eastAsia" w:ascii="宋体" w:hAnsi="宋体" w:eastAsia="宋体" w:cs="宋体"/>
          <w:color w:val="auto"/>
          <w:sz w:val="24"/>
          <w:szCs w:val="24"/>
          <w:highlight w:val="none"/>
        </w:rPr>
      </w:pPr>
      <w:bookmarkStart w:id="39" w:name="_Toc26475"/>
      <w:r>
        <w:rPr>
          <w:rFonts w:hint="eastAsia" w:ascii="宋体" w:hAnsi="宋体" w:eastAsia="宋体" w:cs="宋体"/>
          <w:color w:val="auto"/>
          <w:sz w:val="24"/>
          <w:szCs w:val="24"/>
          <w:highlight w:val="none"/>
        </w:rPr>
        <w:t>7 谈判文件的修改</w:t>
      </w:r>
      <w:bookmarkEnd w:id="38"/>
      <w:bookmarkEnd w:id="39"/>
    </w:p>
    <w:p>
      <w:pPr>
        <w:spacing w:line="360" w:lineRule="auto"/>
        <w:rPr>
          <w:rFonts w:hint="eastAsia" w:ascii="宋体" w:hAnsi="宋体" w:eastAsia="宋体" w:cs="宋体"/>
          <w:color w:val="auto"/>
          <w:sz w:val="24"/>
          <w:highlight w:val="none"/>
        </w:rPr>
      </w:pPr>
      <w:bookmarkStart w:id="40" w:name="_Toc246928904"/>
      <w:r>
        <w:rPr>
          <w:rFonts w:hint="eastAsia" w:ascii="宋体" w:hAnsi="宋体" w:eastAsia="宋体" w:cs="宋体"/>
          <w:color w:val="auto"/>
          <w:sz w:val="24"/>
          <w:highlight w:val="none"/>
        </w:rPr>
        <w:t>7.1 在谈判截止期前，无论出于何种原因，采购人可主动地或在解答供应商要求澄清的问题时对谈判文件进行修改。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谈判文件的修改将以书面形式通知所有谈判文件的收受人，供应商在收到该通知后应立即以书面形式予以确认。</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7.3 为使供应商在准备谈判响应文件时，有充分的时间对谈判文件的修改进行研究考虑，采购人可自行决定，酌情推迟谈判响应文件截止日期和谈判时间，并以书面形式通知所有已购买谈判文件的供应商。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7.4 谈判文件的修改书将构成谈判文件的一部分，对采购人和供应商都具有约束力。</w:t>
      </w:r>
    </w:p>
    <w:p>
      <w:pPr>
        <w:pStyle w:val="5"/>
        <w:ind w:firstLine="562"/>
        <w:rPr>
          <w:rFonts w:hint="eastAsia" w:ascii="宋体" w:hAnsi="宋体" w:eastAsia="宋体" w:cs="宋体"/>
          <w:color w:val="auto"/>
          <w:sz w:val="24"/>
          <w:szCs w:val="24"/>
          <w:highlight w:val="none"/>
        </w:rPr>
      </w:pPr>
      <w:bookmarkStart w:id="41" w:name="_Toc19570"/>
      <w:bookmarkStart w:id="42" w:name="_Toc13059"/>
      <w:bookmarkStart w:id="43" w:name="_Toc19364"/>
      <w:r>
        <w:rPr>
          <w:rFonts w:hint="eastAsia" w:ascii="宋体" w:hAnsi="宋体" w:eastAsia="宋体" w:cs="宋体"/>
          <w:color w:val="auto"/>
          <w:sz w:val="24"/>
          <w:szCs w:val="24"/>
          <w:highlight w:val="none"/>
        </w:rPr>
        <w:t>（三）谈判响应文件的编写</w:t>
      </w:r>
      <w:bookmarkEnd w:id="40"/>
      <w:bookmarkEnd w:id="41"/>
      <w:bookmarkEnd w:id="42"/>
      <w:bookmarkEnd w:id="43"/>
    </w:p>
    <w:p>
      <w:pPr>
        <w:pStyle w:val="6"/>
        <w:rPr>
          <w:rFonts w:hint="eastAsia" w:ascii="宋体" w:hAnsi="宋体" w:eastAsia="宋体" w:cs="宋体"/>
          <w:color w:val="auto"/>
          <w:sz w:val="24"/>
          <w:szCs w:val="24"/>
          <w:highlight w:val="none"/>
        </w:rPr>
      </w:pPr>
      <w:bookmarkStart w:id="44" w:name="_Toc246928905"/>
      <w:bookmarkStart w:id="45" w:name="_Toc26353"/>
      <w:r>
        <w:rPr>
          <w:rFonts w:hint="eastAsia" w:ascii="宋体" w:hAnsi="宋体" w:eastAsia="宋体" w:cs="宋体"/>
          <w:color w:val="auto"/>
          <w:sz w:val="24"/>
          <w:szCs w:val="24"/>
          <w:highlight w:val="none"/>
        </w:rPr>
        <w:t>8 谈判语言</w:t>
      </w:r>
      <w:bookmarkEnd w:id="44"/>
      <w:bookmarkEnd w:id="45"/>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由供应商编写的谈判响应文件和往来传真应以中文书写。</w:t>
      </w:r>
    </w:p>
    <w:p>
      <w:pPr>
        <w:pStyle w:val="6"/>
        <w:rPr>
          <w:rFonts w:hint="eastAsia" w:ascii="宋体" w:hAnsi="宋体" w:eastAsia="宋体" w:cs="宋体"/>
          <w:color w:val="auto"/>
          <w:sz w:val="24"/>
          <w:szCs w:val="24"/>
          <w:highlight w:val="none"/>
        </w:rPr>
      </w:pPr>
      <w:bookmarkStart w:id="46" w:name="_Toc246928906"/>
      <w:bookmarkStart w:id="47" w:name="_Toc32313"/>
      <w:r>
        <w:rPr>
          <w:rFonts w:hint="eastAsia" w:ascii="宋体" w:hAnsi="宋体" w:eastAsia="宋体" w:cs="宋体"/>
          <w:color w:val="auto"/>
          <w:sz w:val="24"/>
          <w:szCs w:val="24"/>
          <w:highlight w:val="none"/>
        </w:rPr>
        <w:t>9 计量单位</w:t>
      </w:r>
      <w:bookmarkEnd w:id="46"/>
      <w:bookmarkEnd w:id="47"/>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除在谈判文件中有特殊要求外，计量单位应使用中华人民共和国法定计量单位及通用图形符号。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本次采购、报价、谈判、评审和合同授予均以项目为单位，供应商必须就整个项目进行响应，不得将整个项目中的内容拆开响应。拆开响应的，按无效谈判处理。</w:t>
      </w:r>
    </w:p>
    <w:p>
      <w:pPr>
        <w:pStyle w:val="6"/>
        <w:rPr>
          <w:rFonts w:hint="eastAsia" w:ascii="宋体" w:hAnsi="宋体" w:eastAsia="宋体" w:cs="宋体"/>
          <w:color w:val="auto"/>
          <w:sz w:val="24"/>
          <w:szCs w:val="24"/>
          <w:highlight w:val="none"/>
        </w:rPr>
      </w:pPr>
      <w:bookmarkStart w:id="48" w:name="_Toc31126"/>
      <w:bookmarkStart w:id="49" w:name="_Toc246928907"/>
      <w:r>
        <w:rPr>
          <w:rFonts w:hint="eastAsia" w:ascii="宋体" w:hAnsi="宋体" w:eastAsia="宋体" w:cs="宋体"/>
          <w:color w:val="auto"/>
          <w:sz w:val="24"/>
          <w:szCs w:val="24"/>
          <w:highlight w:val="none"/>
        </w:rPr>
        <w:t>10 谈判响应文件的构成</w:t>
      </w:r>
      <w:bookmarkEnd w:id="48"/>
      <w:bookmarkEnd w:id="49"/>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供应商编写的谈判响应文件应包括下列部分：</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一、谈判响应函</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二、首次谈判报价表</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三、法定代表人授权委托书</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四、响应方案</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五、供应商资格证明文件及其他</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六、陕西省政府采购供应商拒绝政府采购领域商业贿赂承诺书</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 供应商提供的所有资格证明文件均应当为合法、有效文件，否则将被视为该文件无效投标。</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10.3 上述文件应当按照谈判文件规定的格式填写、签署和盖章。</w:t>
      </w:r>
    </w:p>
    <w:p>
      <w:pPr>
        <w:pStyle w:val="6"/>
        <w:rPr>
          <w:rFonts w:hint="eastAsia" w:ascii="宋体" w:hAnsi="宋体" w:eastAsia="宋体" w:cs="宋体"/>
          <w:color w:val="auto"/>
          <w:sz w:val="24"/>
          <w:szCs w:val="24"/>
          <w:highlight w:val="none"/>
        </w:rPr>
      </w:pPr>
      <w:bookmarkStart w:id="50" w:name="_Toc246928909"/>
      <w:bookmarkStart w:id="51" w:name="_Toc29843"/>
      <w:r>
        <w:rPr>
          <w:rFonts w:hint="eastAsia" w:ascii="宋体" w:hAnsi="宋体" w:eastAsia="宋体" w:cs="宋体"/>
          <w:color w:val="auto"/>
          <w:sz w:val="24"/>
          <w:szCs w:val="24"/>
          <w:highlight w:val="none"/>
        </w:rPr>
        <w:t>11 谈判报价</w:t>
      </w:r>
      <w:bookmarkEnd w:id="50"/>
      <w:bookmarkEnd w:id="51"/>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 所有报价均以人民币报价。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11.2供应商依据谈判文件提供的采购要求等资料并自行考虑风险因素计算谈判报价，一旦成交，谈判报价将不会因国家政策调整及市场变化因素而得到调整。</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 谈判报价为完成本项目所发生的各项费用、税金以及合同包含的所有风险、责任等各项应有费用，包括调研、人员收入费、保险费、税金、差旅、材料印刷、编制等一切费用及其它相关的费用。供应商漏报或不报，采购人或采购代理机构将视为有关费用已包括在谈判报价中而不予支付。</w:t>
      </w:r>
    </w:p>
    <w:p>
      <w:pPr>
        <w:pStyle w:val="6"/>
        <w:rPr>
          <w:rFonts w:hint="eastAsia" w:ascii="宋体" w:hAnsi="宋体" w:eastAsia="宋体" w:cs="宋体"/>
          <w:color w:val="auto"/>
          <w:sz w:val="24"/>
          <w:szCs w:val="24"/>
          <w:highlight w:val="none"/>
        </w:rPr>
      </w:pPr>
      <w:bookmarkStart w:id="52" w:name="_Toc27218"/>
      <w:bookmarkStart w:id="53" w:name="_Toc246928911"/>
      <w:bookmarkStart w:id="54" w:name="_Hlk47648326"/>
      <w:r>
        <w:rPr>
          <w:rFonts w:hint="eastAsia" w:ascii="宋体" w:hAnsi="宋体" w:eastAsia="宋体" w:cs="宋体"/>
          <w:color w:val="auto"/>
          <w:sz w:val="24"/>
          <w:szCs w:val="24"/>
          <w:highlight w:val="none"/>
        </w:rPr>
        <w:t>12证明供应商资格的证明文件</w:t>
      </w:r>
      <w:bookmarkEnd w:id="52"/>
      <w:bookmarkEnd w:id="53"/>
    </w:p>
    <w:p>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12.1响应文件的</w:t>
      </w:r>
      <w:r>
        <w:rPr>
          <w:rFonts w:hint="eastAsia" w:ascii="宋体" w:hAnsi="宋体" w:eastAsia="宋体" w:cs="宋体"/>
          <w:b/>
          <w:bCs/>
          <w:color w:val="auto"/>
          <w:sz w:val="24"/>
          <w:szCs w:val="22"/>
          <w:highlight w:val="none"/>
          <w:u w:val="single"/>
        </w:rPr>
        <w:t>资格性审查</w:t>
      </w:r>
      <w:r>
        <w:rPr>
          <w:rFonts w:hint="eastAsia" w:ascii="宋体" w:hAnsi="宋体" w:eastAsia="宋体" w:cs="宋体"/>
          <w:color w:val="auto"/>
          <w:sz w:val="24"/>
          <w:szCs w:val="22"/>
          <w:highlight w:val="none"/>
        </w:rPr>
        <w:t>：依据法律法规和谈判文件的规定，对响应文件中的资格证明文件进行审查。审查内容见下表：</w:t>
      </w:r>
    </w:p>
    <w:tbl>
      <w:tblPr>
        <w:tblStyle w:val="24"/>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826"/>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kern w:val="28"/>
                <w:sz w:val="24"/>
                <w:szCs w:val="24"/>
                <w:highlight w:val="none"/>
              </w:rPr>
            </w:pPr>
            <w:r>
              <w:rPr>
                <w:rFonts w:hint="eastAsia" w:ascii="宋体" w:hAnsi="宋体" w:eastAsia="宋体" w:cs="宋体"/>
                <w:b/>
                <w:color w:val="auto"/>
                <w:kern w:val="28"/>
                <w:sz w:val="24"/>
                <w:szCs w:val="24"/>
                <w:highlight w:val="none"/>
              </w:rPr>
              <w:t>资格审查项</w:t>
            </w:r>
          </w:p>
        </w:tc>
        <w:tc>
          <w:tcPr>
            <w:tcW w:w="60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kern w:val="28"/>
                <w:sz w:val="24"/>
                <w:szCs w:val="24"/>
                <w:highlight w:val="none"/>
              </w:rPr>
            </w:pPr>
            <w:r>
              <w:rPr>
                <w:rFonts w:hint="eastAsia" w:ascii="宋体" w:hAnsi="宋体" w:eastAsia="宋体" w:cs="宋体"/>
                <w:b/>
                <w:color w:val="auto"/>
                <w:kern w:val="28"/>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合法有效的企事业法人、其他组织或自然人</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rPr>
              <w:t>供应商为具有独立承担民事责任能力的法人或其他组织或自然人，并提供法人或者其他组织合法有效的统一社会信用代码的</w:t>
            </w:r>
            <w:r>
              <w:rPr>
                <w:rFonts w:hint="eastAsia" w:ascii="宋体" w:hAnsi="宋体" w:eastAsia="宋体" w:cs="宋体"/>
                <w:color w:val="auto"/>
                <w:kern w:val="28"/>
                <w:sz w:val="24"/>
                <w:szCs w:val="24"/>
                <w:highlight w:val="none"/>
                <w:lang w:eastAsia="zh-CN"/>
              </w:rPr>
              <w:t>营业执照</w:t>
            </w:r>
            <w:r>
              <w:rPr>
                <w:rFonts w:hint="eastAsia" w:ascii="宋体" w:hAnsi="宋体" w:eastAsia="宋体" w:cs="宋体"/>
                <w:color w:val="auto"/>
                <w:kern w:val="28"/>
                <w:sz w:val="24"/>
                <w:szCs w:val="24"/>
                <w:highlight w:val="none"/>
              </w:rPr>
              <w:t>，事业单位应提供事业单位法人证书，自然人应提供身份证明文件</w:t>
            </w:r>
            <w:r>
              <w:rPr>
                <w:rFonts w:hint="eastAsia" w:ascii="宋体" w:hAnsi="宋体" w:eastAsia="宋体" w:cs="宋体"/>
                <w:color w:val="auto"/>
                <w:kern w:val="28"/>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rPr>
              <w:t>授权委托书或</w:t>
            </w:r>
            <w:r>
              <w:rPr>
                <w:rFonts w:hint="eastAsia" w:ascii="宋体" w:hAnsi="宋体" w:cs="宋体"/>
                <w:color w:val="auto"/>
                <w:kern w:val="28"/>
                <w:sz w:val="24"/>
                <w:szCs w:val="24"/>
                <w:highlight w:val="none"/>
                <w:lang w:eastAsia="zh-CN"/>
              </w:rPr>
              <w:t>法定代表人证明书</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rPr>
              <w:t>供应商应授权合法的人员参加谈判全过程，其中</w:t>
            </w:r>
            <w:r>
              <w:rPr>
                <w:rFonts w:hint="eastAsia" w:ascii="宋体" w:hAnsi="宋体" w:cs="宋体"/>
                <w:color w:val="auto"/>
                <w:kern w:val="28"/>
                <w:sz w:val="24"/>
                <w:szCs w:val="24"/>
                <w:highlight w:val="none"/>
                <w:lang w:eastAsia="zh-CN"/>
              </w:rPr>
              <w:t>法定代表人</w:t>
            </w:r>
            <w:r>
              <w:rPr>
                <w:rFonts w:hint="eastAsia" w:ascii="宋体" w:hAnsi="宋体" w:eastAsia="宋体" w:cs="宋体"/>
                <w:color w:val="auto"/>
                <w:kern w:val="28"/>
                <w:sz w:val="24"/>
                <w:szCs w:val="24"/>
                <w:highlight w:val="none"/>
              </w:rPr>
              <w:t>直接参加谈判的，须出具</w:t>
            </w:r>
            <w:r>
              <w:rPr>
                <w:rFonts w:hint="eastAsia" w:ascii="宋体" w:hAnsi="宋体" w:cs="宋体"/>
                <w:color w:val="auto"/>
                <w:kern w:val="28"/>
                <w:sz w:val="24"/>
                <w:szCs w:val="24"/>
                <w:highlight w:val="none"/>
                <w:lang w:val="en-US" w:eastAsia="zh-CN"/>
              </w:rPr>
              <w:t>法定代表人</w:t>
            </w:r>
            <w:r>
              <w:rPr>
                <w:rFonts w:hint="eastAsia" w:ascii="宋体" w:hAnsi="宋体" w:eastAsia="宋体" w:cs="宋体"/>
                <w:color w:val="auto"/>
                <w:kern w:val="28"/>
                <w:sz w:val="24"/>
                <w:szCs w:val="24"/>
                <w:highlight w:val="none"/>
              </w:rPr>
              <w:t>身份证复印件，并与营业执照上信息一致。</w:t>
            </w:r>
            <w:r>
              <w:rPr>
                <w:rFonts w:hint="eastAsia" w:ascii="宋体" w:hAnsi="宋体" w:cs="宋体"/>
                <w:color w:val="auto"/>
                <w:kern w:val="28"/>
                <w:sz w:val="24"/>
                <w:szCs w:val="24"/>
                <w:highlight w:val="none"/>
                <w:lang w:val="en-US" w:eastAsia="zh-CN"/>
              </w:rPr>
              <w:t>法定代表人</w:t>
            </w:r>
            <w:r>
              <w:rPr>
                <w:rFonts w:hint="eastAsia" w:ascii="宋体" w:hAnsi="宋体" w:eastAsia="宋体" w:cs="宋体"/>
                <w:color w:val="auto"/>
                <w:kern w:val="28"/>
                <w:sz w:val="24"/>
                <w:szCs w:val="24"/>
                <w:highlight w:val="none"/>
              </w:rPr>
              <w:t>授权</w:t>
            </w:r>
            <w:r>
              <w:rPr>
                <w:rFonts w:hint="eastAsia" w:ascii="宋体" w:hAnsi="宋体" w:cs="宋体"/>
                <w:color w:val="auto"/>
                <w:kern w:val="28"/>
                <w:sz w:val="24"/>
                <w:szCs w:val="24"/>
                <w:highlight w:val="none"/>
                <w:lang w:val="en-US" w:eastAsia="zh-CN"/>
              </w:rPr>
              <w:t>他人</w:t>
            </w:r>
            <w:r>
              <w:rPr>
                <w:rFonts w:hint="eastAsia" w:ascii="宋体" w:hAnsi="宋体" w:eastAsia="宋体" w:cs="宋体"/>
                <w:color w:val="auto"/>
                <w:kern w:val="28"/>
                <w:sz w:val="24"/>
                <w:szCs w:val="24"/>
                <w:highlight w:val="none"/>
              </w:rPr>
              <w:t>参加谈判的，须出具授权</w:t>
            </w:r>
            <w:r>
              <w:rPr>
                <w:rFonts w:hint="eastAsia" w:ascii="宋体" w:hAnsi="宋体" w:cs="宋体"/>
                <w:color w:val="auto"/>
                <w:kern w:val="28"/>
                <w:sz w:val="24"/>
                <w:szCs w:val="24"/>
                <w:highlight w:val="none"/>
                <w:lang w:val="en-US" w:eastAsia="zh-CN"/>
              </w:rPr>
              <w:t>委托</w:t>
            </w:r>
            <w:r>
              <w:rPr>
                <w:rFonts w:hint="eastAsia" w:ascii="宋体" w:hAnsi="宋体" w:eastAsia="宋体" w:cs="宋体"/>
                <w:color w:val="auto"/>
                <w:kern w:val="28"/>
                <w:sz w:val="24"/>
                <w:szCs w:val="24"/>
                <w:highlight w:val="none"/>
              </w:rPr>
              <w:t>书及授权代表身份证复印件</w:t>
            </w:r>
            <w:r>
              <w:rPr>
                <w:rFonts w:hint="eastAsia" w:ascii="宋体" w:hAnsi="宋体" w:eastAsia="宋体" w:cs="宋体"/>
                <w:color w:val="auto"/>
                <w:kern w:val="28"/>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具有良好的商业信誉和健全的财务会计制度</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1、</w:t>
            </w:r>
            <w:r>
              <w:rPr>
                <w:rFonts w:hint="eastAsia" w:ascii="宋体" w:hAnsi="宋体" w:eastAsia="宋体" w:cs="宋体"/>
                <w:color w:val="auto"/>
                <w:kern w:val="28"/>
                <w:sz w:val="24"/>
                <w:szCs w:val="24"/>
                <w:highlight w:val="none"/>
                <w:lang w:val="en-US" w:eastAsia="zh-CN"/>
              </w:rPr>
              <w:t>通过</w:t>
            </w:r>
            <w:r>
              <w:rPr>
                <w:rFonts w:hint="eastAsia" w:ascii="宋体" w:hAnsi="宋体" w:eastAsia="宋体" w:cs="宋体"/>
                <w:color w:val="auto"/>
                <w:kern w:val="28"/>
                <w:sz w:val="24"/>
                <w:szCs w:val="24"/>
                <w:highlight w:val="none"/>
              </w:rPr>
              <w:t>“信用中国”网站（www.creditchina.gov.cn）和中国政府采购网（www.ccgp.gov.cn）查询供应商信用记录，被列入失信被执行人、重大税收违法案件当事人名单、政府采购严重违法失信行为记录名单的单位将被拒绝参与本项目投标。</w:t>
            </w:r>
          </w:p>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2、提供</w:t>
            </w:r>
            <w:r>
              <w:rPr>
                <w:rFonts w:hint="eastAsia" w:ascii="宋体" w:hAnsi="宋体" w:cs="宋体"/>
                <w:color w:val="auto"/>
                <w:kern w:val="28"/>
                <w:sz w:val="24"/>
                <w:szCs w:val="24"/>
                <w:highlight w:val="none"/>
                <w:lang w:eastAsia="zh-CN"/>
              </w:rPr>
              <w:t>2020年度或2021年度经审计的财务报告</w:t>
            </w:r>
            <w:r>
              <w:rPr>
                <w:rFonts w:hint="eastAsia" w:ascii="宋体" w:hAnsi="宋体" w:eastAsia="宋体" w:cs="宋体"/>
                <w:color w:val="auto"/>
                <w:kern w:val="28"/>
                <w:sz w:val="24"/>
                <w:szCs w:val="24"/>
                <w:highlight w:val="none"/>
              </w:rPr>
              <w:t>（至少</w:t>
            </w:r>
            <w:r>
              <w:rPr>
                <w:rFonts w:hint="eastAsia" w:ascii="宋体" w:hAnsi="宋体" w:eastAsia="宋体" w:cs="宋体"/>
                <w:color w:val="auto"/>
                <w:kern w:val="28"/>
                <w:sz w:val="24"/>
                <w:szCs w:val="24"/>
                <w:highlight w:val="none"/>
                <w:lang w:eastAsia="zh-CN"/>
              </w:rPr>
              <w:t>包括资产负债表、利润表、现金流量表及其附注</w:t>
            </w:r>
            <w:r>
              <w:rPr>
                <w:rFonts w:hint="eastAsia" w:ascii="宋体" w:hAnsi="宋体" w:eastAsia="宋体" w:cs="宋体"/>
                <w:color w:val="auto"/>
                <w:kern w:val="28"/>
                <w:sz w:val="24"/>
                <w:szCs w:val="24"/>
                <w:highlight w:val="none"/>
              </w:rPr>
              <w:t>，成立时间至提交竞争性谈判响应文件截止时间不足一年的可提供成立后任意时段的资产负债表）或其基本存款账户开户银行</w:t>
            </w:r>
            <w:r>
              <w:rPr>
                <w:rFonts w:hint="eastAsia" w:ascii="宋体" w:hAnsi="宋体" w:eastAsia="宋体" w:cs="宋体"/>
                <w:color w:val="auto"/>
                <w:kern w:val="28"/>
                <w:sz w:val="24"/>
                <w:szCs w:val="24"/>
                <w:highlight w:val="none"/>
                <w:lang w:val="en-US" w:eastAsia="zh-CN"/>
              </w:rPr>
              <w:t>开具</w:t>
            </w:r>
            <w:r>
              <w:rPr>
                <w:rFonts w:hint="eastAsia" w:ascii="宋体" w:hAnsi="宋体" w:eastAsia="宋体" w:cs="宋体"/>
                <w:color w:val="auto"/>
                <w:kern w:val="28"/>
                <w:sz w:val="24"/>
                <w:szCs w:val="24"/>
                <w:highlight w:val="none"/>
              </w:rPr>
              <w:t>的资信证明</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如基本户银行不具备开具资信证明条件，由其上级部门开具，供应商应附相关说明</w:t>
            </w:r>
            <w:r>
              <w:rPr>
                <w:rFonts w:hint="eastAsia" w:ascii="宋体" w:hAnsi="宋体" w:eastAsia="宋体" w:cs="宋体"/>
                <w:color w:val="auto"/>
                <w:kern w:val="28"/>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有依法缴纳税收和社会保障资金的良好记录</w:t>
            </w:r>
          </w:p>
        </w:tc>
        <w:tc>
          <w:tcPr>
            <w:tcW w:w="6004" w:type="dxa"/>
            <w:tcBorders>
              <w:top w:val="single" w:color="auto" w:sz="4" w:space="0"/>
              <w:left w:val="single" w:color="auto" w:sz="4" w:space="0"/>
              <w:bottom w:val="single" w:color="auto" w:sz="4" w:space="0"/>
              <w:right w:val="single" w:color="auto" w:sz="4" w:space="0"/>
            </w:tcBorders>
            <w:vAlign w:val="center"/>
          </w:tcPr>
          <w:p>
            <w:pPr>
              <w:numPr>
                <w:ilvl w:val="0"/>
                <w:numId w:val="2"/>
              </w:numPr>
              <w:pBdr>
                <w:bottom w:val="single" w:color="auto" w:sz="4" w:space="1"/>
              </w:pBd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税收缴纳证明：提供供应商</w:t>
            </w:r>
            <w:r>
              <w:rPr>
                <w:rFonts w:hint="eastAsia" w:ascii="宋体" w:hAnsi="宋体" w:cs="宋体"/>
                <w:color w:val="auto"/>
                <w:kern w:val="28"/>
                <w:sz w:val="24"/>
                <w:szCs w:val="24"/>
                <w:highlight w:val="none"/>
                <w:lang w:eastAsia="zh-CN"/>
              </w:rPr>
              <w:t>2021年</w:t>
            </w:r>
            <w:r>
              <w:rPr>
                <w:rFonts w:hint="eastAsia" w:ascii="宋体" w:hAnsi="宋体" w:cs="宋体"/>
                <w:color w:val="auto"/>
                <w:kern w:val="28"/>
                <w:sz w:val="24"/>
                <w:szCs w:val="24"/>
                <w:highlight w:val="none"/>
                <w:lang w:val="en-US" w:eastAsia="zh-CN"/>
              </w:rPr>
              <w:t>7</w:t>
            </w:r>
            <w:r>
              <w:rPr>
                <w:rFonts w:hint="eastAsia" w:ascii="宋体" w:hAnsi="宋体" w:cs="宋体"/>
                <w:color w:val="auto"/>
                <w:kern w:val="28"/>
                <w:sz w:val="24"/>
                <w:szCs w:val="24"/>
                <w:highlight w:val="none"/>
                <w:lang w:eastAsia="zh-CN"/>
              </w:rPr>
              <w:t>月至今任意3个月已缴纳税收凭证</w:t>
            </w:r>
            <w:r>
              <w:rPr>
                <w:rFonts w:hint="eastAsia" w:ascii="宋体" w:hAnsi="宋体" w:eastAsia="宋体" w:cs="宋体"/>
                <w:color w:val="auto"/>
                <w:kern w:val="28"/>
                <w:sz w:val="24"/>
                <w:szCs w:val="24"/>
                <w:highlight w:val="none"/>
              </w:rPr>
              <w:t>或税务机关开具的完税证明（任意税种）；</w:t>
            </w:r>
          </w:p>
          <w:p>
            <w:pPr>
              <w:numPr>
                <w:ilvl w:val="0"/>
                <w:numId w:val="2"/>
              </w:numPr>
              <w:pBdr>
                <w:bottom w:val="single" w:color="auto" w:sz="4" w:space="1"/>
              </w:pBd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社会保障资金缴纳证明：提供供应商</w:t>
            </w:r>
            <w:r>
              <w:rPr>
                <w:rFonts w:hint="eastAsia" w:ascii="宋体" w:hAnsi="宋体" w:cs="宋体"/>
                <w:color w:val="auto"/>
                <w:kern w:val="28"/>
                <w:sz w:val="24"/>
                <w:szCs w:val="24"/>
                <w:highlight w:val="none"/>
                <w:lang w:eastAsia="zh-CN"/>
              </w:rPr>
              <w:t>2021年</w:t>
            </w:r>
            <w:r>
              <w:rPr>
                <w:rFonts w:hint="eastAsia" w:ascii="宋体" w:hAnsi="宋体" w:cs="宋体"/>
                <w:color w:val="auto"/>
                <w:kern w:val="28"/>
                <w:sz w:val="24"/>
                <w:szCs w:val="24"/>
                <w:highlight w:val="none"/>
                <w:lang w:val="en-US" w:eastAsia="zh-CN"/>
              </w:rPr>
              <w:t>7</w:t>
            </w:r>
            <w:r>
              <w:rPr>
                <w:rFonts w:hint="eastAsia" w:ascii="宋体" w:hAnsi="宋体" w:cs="宋体"/>
                <w:color w:val="auto"/>
                <w:kern w:val="28"/>
                <w:sz w:val="24"/>
                <w:szCs w:val="24"/>
                <w:highlight w:val="none"/>
                <w:lang w:eastAsia="zh-CN"/>
              </w:rPr>
              <w:t>月至今任意3个月</w:t>
            </w:r>
            <w:r>
              <w:rPr>
                <w:rFonts w:hint="eastAsia" w:ascii="宋体" w:hAnsi="宋体" w:eastAsia="宋体" w:cs="宋体"/>
                <w:color w:val="auto"/>
                <w:kern w:val="28"/>
                <w:sz w:val="24"/>
                <w:szCs w:val="24"/>
                <w:highlight w:val="none"/>
              </w:rPr>
              <w:t>已缴纳的社会保障资金缴存单据或社保机构开具的社会保险参保缴费情况证明；</w:t>
            </w:r>
          </w:p>
          <w:p>
            <w:pPr>
              <w:numPr>
                <w:ilvl w:val="0"/>
                <w:numId w:val="2"/>
              </w:numPr>
              <w:pBdr>
                <w:bottom w:val="single" w:color="auto" w:sz="4" w:space="1"/>
              </w:pBd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依法免税的应提供相关文件证明；依法不需要缴纳社会保障资金的应提供相关文件证明</w:t>
            </w:r>
            <w:r>
              <w:rPr>
                <w:rFonts w:hint="eastAsia" w:ascii="宋体" w:hAnsi="宋体" w:eastAsia="宋体" w:cs="宋体"/>
                <w:color w:val="auto"/>
                <w:kern w:val="28"/>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具有履行合同所必需的设备和专业技术能力</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kern w:val="28"/>
                <w:sz w:val="24"/>
                <w:szCs w:val="24"/>
                <w:highlight w:val="none"/>
              </w:rPr>
              <w:t>具备履行合同所必需的设备和专业技术能力的</w:t>
            </w:r>
            <w:r>
              <w:rPr>
                <w:rFonts w:hint="eastAsia" w:ascii="宋体" w:hAnsi="宋体" w:eastAsia="宋体" w:cs="宋体"/>
                <w:color w:val="auto"/>
                <w:kern w:val="28"/>
                <w:sz w:val="24"/>
                <w:szCs w:val="24"/>
                <w:highlight w:val="none"/>
                <w:lang w:val="en-US" w:eastAsia="zh-CN"/>
              </w:rPr>
              <w:t>说明或承诺。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近三年内，在经营活动中没有重大违法记录</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参加政府采购活动前3年内，在经营活动中没有重大违法记录</w:t>
            </w:r>
            <w:r>
              <w:rPr>
                <w:rFonts w:hint="eastAsia" w:ascii="宋体" w:hAnsi="宋体" w:eastAsia="宋体" w:cs="宋体"/>
                <w:color w:val="auto"/>
                <w:kern w:val="28"/>
                <w:sz w:val="24"/>
                <w:szCs w:val="24"/>
                <w:highlight w:val="none"/>
                <w:lang w:val="en-US" w:eastAsia="zh-CN"/>
              </w:rPr>
              <w:t>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特定资格要求</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i w:val="0"/>
                <w:iCs w:val="0"/>
                <w:caps w:val="0"/>
                <w:color w:val="auto"/>
                <w:spacing w:val="0"/>
                <w:sz w:val="24"/>
                <w:szCs w:val="24"/>
                <w:highlight w:val="none"/>
                <w:shd w:val="clear" w:fill="FFFFFF"/>
              </w:rPr>
              <w:t>①.单位负责人为同一人或者存在直接控股、管理关系的不同供应商，不得参加本项目采购活动</w:t>
            </w:r>
            <w:r>
              <w:rPr>
                <w:rFonts w:hint="eastAsia" w:ascii="宋体" w:hAnsi="宋体" w:eastAsia="宋体" w:cs="宋体"/>
                <w:i w:val="0"/>
                <w:iCs w:val="0"/>
                <w:caps w:val="0"/>
                <w:color w:val="auto"/>
                <w:spacing w:val="0"/>
                <w:sz w:val="24"/>
                <w:szCs w:val="24"/>
                <w:highlight w:val="none"/>
                <w:shd w:val="clear" w:fill="FFFFFF"/>
              </w:rPr>
              <w:t>。②</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cs="宋体"/>
                <w:i w:val="0"/>
                <w:iCs w:val="0"/>
                <w:caps w:val="0"/>
                <w:color w:val="auto"/>
                <w:spacing w:val="0"/>
                <w:sz w:val="24"/>
                <w:szCs w:val="24"/>
                <w:highlight w:val="none"/>
                <w:shd w:val="clear" w:fill="FFFFFF"/>
                <w:vertAlign w:val="baseline"/>
                <w:lang w:eastAsia="zh-CN"/>
              </w:rPr>
              <w:t>本项目不专门面向中小企业采购；</w:t>
            </w:r>
            <w:r>
              <w:rPr>
                <w:rFonts w:hint="eastAsia" w:ascii="宋体" w:hAnsi="宋体" w:cs="宋体"/>
                <w:i w:val="0"/>
                <w:iCs w:val="0"/>
                <w:caps w:val="0"/>
                <w:color w:val="auto"/>
                <w:spacing w:val="0"/>
                <w:sz w:val="24"/>
                <w:szCs w:val="24"/>
                <w:highlight w:val="none"/>
                <w:shd w:val="clear" w:fill="FFFFFF"/>
                <w:vertAlign w:val="baseline"/>
                <w:lang w:val="en-US" w:eastAsia="zh-CN"/>
              </w:rPr>
              <w:t>③</w:t>
            </w:r>
            <w:r>
              <w:rPr>
                <w:rFonts w:hint="eastAsia" w:ascii="宋体" w:hAnsi="宋体" w:eastAsia="宋体" w:cs="宋体"/>
                <w:i w:val="0"/>
                <w:iCs w:val="0"/>
                <w:caps w:val="0"/>
                <w:color w:val="auto"/>
                <w:spacing w:val="0"/>
                <w:sz w:val="24"/>
                <w:szCs w:val="24"/>
                <w:highlight w:val="none"/>
                <w:shd w:val="clear" w:fill="FFFFFF"/>
              </w:rPr>
              <w:t>本项目不接受联</w:t>
            </w:r>
            <w:r>
              <w:rPr>
                <w:rFonts w:hint="eastAsia" w:ascii="宋体" w:hAnsi="宋体" w:eastAsia="宋体" w:cs="宋体"/>
                <w:i w:val="0"/>
                <w:iCs w:val="0"/>
                <w:caps w:val="0"/>
                <w:color w:val="auto"/>
                <w:spacing w:val="0"/>
                <w:sz w:val="24"/>
                <w:szCs w:val="24"/>
                <w:highlight w:val="none"/>
                <w:shd w:val="clear" w:fill="FFFFFF"/>
              </w:rPr>
              <w:t>合体参与。</w:t>
            </w:r>
          </w:p>
        </w:tc>
      </w:tr>
    </w:tbl>
    <w:p>
      <w:pPr>
        <w:pStyle w:val="36"/>
        <w:ind w:firstLine="0" w:firstLineChars="0"/>
        <w:rPr>
          <w:rFonts w:hint="eastAsia" w:ascii="宋体" w:hAnsi="宋体" w:eastAsia="宋体" w:cs="宋体"/>
          <w:color w:val="auto"/>
          <w:highlight w:val="none"/>
        </w:rPr>
      </w:pPr>
      <w:r>
        <w:rPr>
          <w:rFonts w:hint="eastAsia" w:ascii="宋体" w:hAnsi="宋体" w:eastAsia="宋体" w:cs="宋体"/>
          <w:color w:val="auto"/>
          <w:sz w:val="24"/>
          <w:highlight w:val="none"/>
        </w:rPr>
        <w:t>注：供应商或谈判响应文件出现不满足以上</w:t>
      </w:r>
      <w:r>
        <w:rPr>
          <w:rFonts w:hint="eastAsia" w:ascii="宋体" w:hAnsi="宋体" w:eastAsia="宋体" w:cs="宋体"/>
          <w:color w:val="auto"/>
          <w:sz w:val="24"/>
          <w:highlight w:val="none"/>
          <w:lang w:val="en-US" w:eastAsia="zh-CN"/>
        </w:rPr>
        <w:t>任意</w:t>
      </w:r>
      <w:r>
        <w:rPr>
          <w:rFonts w:hint="eastAsia" w:ascii="宋体" w:hAnsi="宋体" w:eastAsia="宋体" w:cs="宋体"/>
          <w:color w:val="auto"/>
          <w:sz w:val="24"/>
          <w:highlight w:val="none"/>
        </w:rPr>
        <w:t>情形的将按照无效响应文件处理。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 供应商必须按要求提交证明文件，以证明其有资格参加谈判和成交后有履行合同的能力，并作为其谈判文件的一部分。</w:t>
      </w:r>
      <w:bookmarkStart w:id="55" w:name="_Hlk48043531"/>
    </w:p>
    <w:p>
      <w:pPr>
        <w:pStyle w:val="6"/>
        <w:rPr>
          <w:rFonts w:hint="eastAsia" w:ascii="宋体" w:hAnsi="宋体" w:eastAsia="宋体" w:cs="宋体"/>
          <w:color w:val="auto"/>
          <w:sz w:val="24"/>
          <w:szCs w:val="24"/>
          <w:highlight w:val="none"/>
        </w:rPr>
      </w:pPr>
      <w:bookmarkStart w:id="56" w:name="_Toc246928912"/>
      <w:bookmarkStart w:id="57" w:name="_Toc2847"/>
      <w:r>
        <w:rPr>
          <w:rFonts w:hint="eastAsia" w:ascii="宋体" w:hAnsi="宋体" w:eastAsia="宋体" w:cs="宋体"/>
          <w:color w:val="auto"/>
          <w:sz w:val="24"/>
          <w:szCs w:val="24"/>
          <w:highlight w:val="none"/>
        </w:rPr>
        <w:t xml:space="preserve">13 </w:t>
      </w:r>
      <w:bookmarkEnd w:id="56"/>
      <w:r>
        <w:rPr>
          <w:rFonts w:hint="eastAsia" w:ascii="宋体" w:hAnsi="宋体" w:eastAsia="宋体" w:cs="宋体"/>
          <w:color w:val="auto"/>
          <w:sz w:val="24"/>
          <w:szCs w:val="24"/>
          <w:highlight w:val="none"/>
        </w:rPr>
        <w:t>证明供应商符合性的条件</w:t>
      </w:r>
      <w:bookmarkEnd w:id="57"/>
    </w:p>
    <w:p>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rPr>
        <w:t>.1响应文件的</w:t>
      </w:r>
      <w:r>
        <w:rPr>
          <w:rFonts w:hint="eastAsia" w:ascii="宋体" w:hAnsi="宋体" w:eastAsia="宋体" w:cs="宋体"/>
          <w:b/>
          <w:bCs/>
          <w:color w:val="auto"/>
          <w:sz w:val="24"/>
          <w:szCs w:val="22"/>
          <w:highlight w:val="none"/>
          <w:u w:val="single"/>
          <w:lang w:val="en-US" w:eastAsia="zh-CN"/>
        </w:rPr>
        <w:t>符合</w:t>
      </w:r>
      <w:r>
        <w:rPr>
          <w:rFonts w:hint="eastAsia" w:ascii="宋体" w:hAnsi="宋体" w:eastAsia="宋体" w:cs="宋体"/>
          <w:b/>
          <w:bCs/>
          <w:color w:val="auto"/>
          <w:sz w:val="24"/>
          <w:szCs w:val="22"/>
          <w:highlight w:val="none"/>
          <w:u w:val="single"/>
        </w:rPr>
        <w:t>性审查</w:t>
      </w:r>
      <w:r>
        <w:rPr>
          <w:rFonts w:hint="eastAsia" w:ascii="宋体" w:hAnsi="宋体" w:eastAsia="宋体" w:cs="宋体"/>
          <w:color w:val="auto"/>
          <w:sz w:val="24"/>
          <w:szCs w:val="22"/>
          <w:highlight w:val="none"/>
        </w:rPr>
        <w:t>：</w:t>
      </w:r>
    </w:p>
    <w:p>
      <w:pPr>
        <w:rPr>
          <w:rFonts w:hint="eastAsia" w:ascii="宋体" w:hAnsi="宋体" w:eastAsia="宋体" w:cs="宋体"/>
          <w:color w:val="auto"/>
          <w:highlight w:val="none"/>
        </w:rPr>
      </w:pPr>
    </w:p>
    <w:tbl>
      <w:tblPr>
        <w:tblStyle w:val="24"/>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91"/>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425" w:leftChars="0" w:hanging="425" w:firstLineChars="0"/>
              <w:jc w:val="center"/>
              <w:rPr>
                <w:rFonts w:hint="eastAsia" w:ascii="宋体" w:hAnsi="宋体" w:eastAsia="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p>
            <w:pPr>
              <w:spacing w:line="360" w:lineRule="auto"/>
              <w:jc w:val="center"/>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基本信息</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sz w:val="24"/>
                <w:szCs w:val="24"/>
                <w:highlight w:val="none"/>
              </w:rPr>
              <w:t>供应商名称与获取竞争性谈判文件登记的单位名称一致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425" w:leftChars="0" w:hanging="425" w:firstLineChars="0"/>
              <w:jc w:val="center"/>
              <w:rPr>
                <w:rFonts w:hint="eastAsia" w:ascii="宋体" w:hAnsi="宋体" w:eastAsia="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425" w:leftChars="0" w:hanging="425" w:firstLineChars="0"/>
              <w:jc w:val="center"/>
              <w:rPr>
                <w:rFonts w:hint="eastAsia" w:ascii="宋体" w:hAnsi="宋体" w:eastAsia="宋体" w:cs="宋体"/>
                <w:bCs/>
                <w:color w:val="auto"/>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响应文件签署</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425" w:leftChars="0" w:hanging="425" w:firstLineChars="0"/>
              <w:jc w:val="center"/>
              <w:rPr>
                <w:rFonts w:hint="eastAsia" w:ascii="宋体" w:hAnsi="宋体" w:eastAsia="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交货安装期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425" w:leftChars="0" w:hanging="425" w:firstLineChars="0"/>
              <w:jc w:val="center"/>
              <w:rPr>
                <w:rFonts w:hint="eastAsia" w:ascii="宋体" w:hAnsi="宋体" w:eastAsia="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谈判有效期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425" w:leftChars="0" w:hanging="425" w:firstLineChars="0"/>
              <w:jc w:val="center"/>
              <w:rPr>
                <w:rFonts w:hint="eastAsia" w:ascii="宋体" w:hAnsi="宋体" w:eastAsia="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425" w:leftChars="0" w:hanging="425" w:firstLineChars="0"/>
              <w:jc w:val="center"/>
              <w:rPr>
                <w:rFonts w:hint="eastAsia" w:ascii="宋体" w:hAnsi="宋体" w:eastAsia="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425" w:leftChars="0" w:hanging="425" w:firstLineChars="0"/>
              <w:jc w:val="center"/>
              <w:rPr>
                <w:rFonts w:hint="eastAsia" w:ascii="宋体" w:hAnsi="宋体" w:eastAsia="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技术要求</w:t>
            </w:r>
          </w:p>
        </w:tc>
        <w:tc>
          <w:tcPr>
            <w:tcW w:w="6139"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条款须完全满足谈判要求，要求提供证明材料的应当提供证明材料，不满足或未按要求提供证明材料的视为无效标。</w:t>
            </w:r>
          </w:p>
          <w:p>
            <w:pPr>
              <w:numPr>
                <w:ilvl w:val="0"/>
                <w:numId w:val="4"/>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非</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条款不允许出现影响采购人使用功能的负偏离</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425" w:leftChars="0" w:hanging="425" w:firstLineChars="0"/>
              <w:jc w:val="center"/>
              <w:rPr>
                <w:rFonts w:hint="eastAsia" w:ascii="宋体" w:hAnsi="宋体" w:eastAsia="宋体" w:cs="宋体"/>
                <w:bCs/>
                <w:color w:val="auto"/>
                <w:sz w:val="24"/>
                <w:szCs w:val="24"/>
                <w:highlight w:val="none"/>
                <w:lang w:eastAsia="zh-CN"/>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供货方案</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rPr>
              <w:t>项目组织实施计划完整可行，资金等保障措施可靠，能够保证按期供货，具有明确的项目组织机构及实施方案</w:t>
            </w:r>
            <w:r>
              <w:rPr>
                <w:rFonts w:hint="eastAsia" w:ascii="宋体" w:hAnsi="宋体" w:eastAsia="宋体" w:cs="宋体"/>
                <w:color w:val="auto"/>
                <w:kern w:val="28"/>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425" w:leftChars="0" w:hanging="425" w:firstLineChars="0"/>
              <w:jc w:val="center"/>
              <w:rPr>
                <w:rFonts w:hint="eastAsia" w:ascii="宋体" w:hAnsi="宋体" w:eastAsia="宋体" w:cs="宋体"/>
                <w:bCs/>
                <w:color w:val="auto"/>
                <w:sz w:val="24"/>
                <w:szCs w:val="24"/>
                <w:highlight w:val="none"/>
                <w:lang w:eastAsia="zh-CN"/>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8"/>
                <w:sz w:val="24"/>
                <w:szCs w:val="24"/>
                <w:highlight w:val="none"/>
              </w:rPr>
            </w:pPr>
            <w:r>
              <w:rPr>
                <w:rFonts w:hint="eastAsia" w:ascii="宋体" w:hAnsi="宋体" w:eastAsia="宋体" w:cs="宋体"/>
                <w:color w:val="auto"/>
                <w:sz w:val="24"/>
                <w:highlight w:val="none"/>
              </w:rPr>
              <w:t>售后服务</w:t>
            </w:r>
          </w:p>
        </w:tc>
        <w:tc>
          <w:tcPr>
            <w:tcW w:w="6139" w:type="dxa"/>
            <w:tcBorders>
              <w:top w:val="single" w:color="auto" w:sz="4" w:space="0"/>
              <w:left w:val="single" w:color="auto" w:sz="4" w:space="0"/>
              <w:bottom w:val="single" w:color="auto" w:sz="4" w:space="0"/>
              <w:right w:val="single" w:color="auto" w:sz="4" w:space="0"/>
            </w:tcBorders>
            <w:vAlign w:val="center"/>
          </w:tcPr>
          <w:p>
            <w:pPr>
              <w:tabs>
                <w:tab w:val="left" w:pos="1155"/>
              </w:tabs>
              <w:spacing w:line="360" w:lineRule="auto"/>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rPr>
              <w:t>有完善的售后服务方案</w:t>
            </w:r>
            <w:r>
              <w:rPr>
                <w:rFonts w:hint="eastAsia" w:ascii="宋体" w:hAnsi="宋体" w:eastAsia="宋体" w:cs="宋体"/>
                <w:color w:val="auto"/>
                <w:kern w:val="28"/>
                <w:sz w:val="24"/>
                <w:szCs w:val="24"/>
                <w:highlight w:val="none"/>
                <w:lang w:val="en-US" w:eastAsia="zh-CN"/>
              </w:rPr>
              <w:t>（含明确的培训计划）。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425" w:leftChars="0" w:hanging="425" w:firstLineChars="0"/>
              <w:jc w:val="center"/>
              <w:rPr>
                <w:rFonts w:hint="eastAsia" w:ascii="宋体" w:hAnsi="宋体" w:eastAsia="宋体" w:cs="宋体"/>
                <w:bCs/>
                <w:color w:val="auto"/>
                <w:sz w:val="24"/>
                <w:szCs w:val="24"/>
                <w:highlight w:val="none"/>
                <w:lang w:eastAsia="zh-CN"/>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无虚假响应</w:t>
            </w:r>
          </w:p>
        </w:tc>
        <w:tc>
          <w:tcPr>
            <w:tcW w:w="6139" w:type="dxa"/>
            <w:tcBorders>
              <w:top w:val="single" w:color="auto" w:sz="4" w:space="0"/>
              <w:left w:val="single" w:color="auto" w:sz="4" w:space="0"/>
              <w:bottom w:val="single" w:color="auto" w:sz="4" w:space="0"/>
              <w:right w:val="single" w:color="auto" w:sz="4" w:space="0"/>
            </w:tcBorders>
            <w:vAlign w:val="center"/>
          </w:tcPr>
          <w:p>
            <w:pPr>
              <w:tabs>
                <w:tab w:val="left" w:pos="1155"/>
              </w:tabs>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无谈判小组认定存在谈判文件规定的虚假响应情形。</w:t>
            </w:r>
          </w:p>
        </w:tc>
      </w:tr>
    </w:tbl>
    <w:p>
      <w:pPr>
        <w:pStyle w:val="36"/>
        <w:ind w:firstLine="0" w:firstLineChars="0"/>
        <w:rPr>
          <w:rFonts w:hint="eastAsia" w:ascii="宋体" w:hAnsi="宋体" w:eastAsia="宋体" w:cs="宋体"/>
          <w:color w:val="auto"/>
          <w:highlight w:val="none"/>
        </w:rPr>
      </w:pPr>
      <w:bookmarkStart w:id="58" w:name="_Toc246928913"/>
      <w:r>
        <w:rPr>
          <w:rFonts w:hint="eastAsia" w:ascii="宋体" w:hAnsi="宋体" w:eastAsia="宋体" w:cs="宋体"/>
          <w:color w:val="auto"/>
          <w:sz w:val="24"/>
          <w:highlight w:val="none"/>
        </w:rPr>
        <w:t>注：供应商或谈判响应文件出现不满足以上情形的将按照无效响应文件处理。</w:t>
      </w:r>
    </w:p>
    <w:bookmarkEnd w:id="55"/>
    <w:p>
      <w:pPr>
        <w:pStyle w:val="6"/>
        <w:rPr>
          <w:rFonts w:hint="eastAsia" w:ascii="宋体" w:hAnsi="宋体" w:eastAsia="宋体" w:cs="宋体"/>
          <w:color w:val="auto"/>
          <w:sz w:val="24"/>
          <w:szCs w:val="24"/>
          <w:highlight w:val="none"/>
        </w:rPr>
      </w:pPr>
      <w:bookmarkStart w:id="59" w:name="_Toc17138"/>
      <w:r>
        <w:rPr>
          <w:rFonts w:hint="eastAsia" w:ascii="宋体" w:hAnsi="宋体" w:eastAsia="宋体" w:cs="宋体"/>
          <w:color w:val="auto"/>
          <w:sz w:val="24"/>
          <w:szCs w:val="24"/>
          <w:highlight w:val="none"/>
        </w:rPr>
        <w:t>14 谈判保证金</w:t>
      </w:r>
      <w:bookmarkEnd w:id="58"/>
      <w:bookmarkEnd w:id="59"/>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14.1 谈判保证金金额及方式见谈判须知前附表</w:t>
      </w:r>
      <w:r>
        <w:rPr>
          <w:rFonts w:hint="eastAsia" w:ascii="宋体" w:hAnsi="宋体" w:cs="宋体"/>
          <w:color w:val="auto"/>
          <w:sz w:val="24"/>
          <w:highlight w:val="none"/>
          <w:lang w:eastAsia="zh-CN"/>
        </w:rPr>
        <w:t>。</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 对于未能按要求提交谈判保证金的供应商，采购人将视为不响应谈判文件而予以拒绝。</w:t>
      </w:r>
    </w:p>
    <w:bookmarkEnd w:id="54"/>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w:t>
      </w:r>
      <w:r>
        <w:rPr>
          <w:rFonts w:hint="eastAsia" w:ascii="宋体" w:hAnsi="宋体" w:eastAsia="宋体" w:cs="宋体"/>
          <w:color w:val="auto"/>
          <w:sz w:val="24"/>
          <w:szCs w:val="24"/>
          <w:highlight w:val="none"/>
        </w:rPr>
        <w:t>未成交供应商的谈判保证金，将在成交通知书发出后五个工作日内退还；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 xml:space="preserve">14.4 </w:t>
      </w:r>
      <w:r>
        <w:rPr>
          <w:rFonts w:hint="eastAsia" w:ascii="宋体" w:hAnsi="宋体" w:eastAsia="宋体" w:cs="宋体"/>
          <w:color w:val="auto"/>
          <w:sz w:val="24"/>
          <w:szCs w:val="24"/>
          <w:highlight w:val="none"/>
        </w:rPr>
        <w:t>成交供应商的谈判保证金，在采购合同签订并按规定交纳招标代理服务费后五个工作日内退还。</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 谈判保证金是为了保护采购人和采购代理机构免遭因供应商的行为蒙受损失而要求的。发生下列情形之一，谈判保证金将不予退还：</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14.5.1供应商在开标时间后至谈判有效期满前，擅自撤销投标的；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14.5.2成交供应商擅自放弃成交的；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14.5.3成交供应商不按规定与采购人签订合同的；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14.5.4提交了谈判保证金而无故未提交响应文件的（响应文件递交迟到并经代理机构在递交现场确认为迟到的除外）。</w:t>
      </w:r>
    </w:p>
    <w:p>
      <w:pPr>
        <w:pStyle w:val="6"/>
        <w:rPr>
          <w:rFonts w:hint="eastAsia" w:ascii="宋体" w:hAnsi="宋体" w:eastAsia="宋体" w:cs="宋体"/>
          <w:color w:val="auto"/>
          <w:sz w:val="24"/>
          <w:szCs w:val="24"/>
          <w:highlight w:val="none"/>
        </w:rPr>
      </w:pPr>
      <w:bookmarkStart w:id="60" w:name="_Toc24104"/>
      <w:bookmarkStart w:id="61" w:name="_Toc246928914"/>
      <w:r>
        <w:rPr>
          <w:rFonts w:hint="eastAsia" w:ascii="宋体" w:hAnsi="宋体" w:eastAsia="宋体" w:cs="宋体"/>
          <w:color w:val="auto"/>
          <w:sz w:val="24"/>
          <w:szCs w:val="24"/>
          <w:highlight w:val="none"/>
        </w:rPr>
        <w:t>15 谈判有效期</w:t>
      </w:r>
      <w:bookmarkEnd w:id="60"/>
      <w:bookmarkEnd w:id="61"/>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15.1  谈判响应文件从谈判之日起，谈判有效期为90日历天。谈判有效期不满足要求的谈判属于无效谈判情形。</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  特殊情况下，采购人可于谈判有效期满之前要求供应商同意延长有效期，要求与答复均应为书面形式。供应商可以拒绝上述要求，其谈判保证金不被没收。对于同意该要求的供应商，既不要求也不允许其修改谈判响应文件，但将要求其相应延长谈判保证金的有效期，有关退还和没收谈判保证金的规定在谈判有效期的延长期内继续有效。</w:t>
      </w:r>
    </w:p>
    <w:p>
      <w:pPr>
        <w:pStyle w:val="6"/>
        <w:rPr>
          <w:rFonts w:hint="eastAsia" w:ascii="宋体" w:hAnsi="宋体" w:eastAsia="宋体" w:cs="宋体"/>
          <w:color w:val="auto"/>
          <w:sz w:val="24"/>
          <w:szCs w:val="24"/>
          <w:highlight w:val="none"/>
        </w:rPr>
      </w:pPr>
      <w:bookmarkStart w:id="62" w:name="_Toc246928915"/>
      <w:bookmarkStart w:id="63" w:name="_Toc17920"/>
      <w:r>
        <w:rPr>
          <w:rFonts w:hint="eastAsia" w:ascii="宋体" w:hAnsi="宋体" w:eastAsia="宋体" w:cs="宋体"/>
          <w:color w:val="auto"/>
          <w:sz w:val="24"/>
          <w:szCs w:val="24"/>
          <w:highlight w:val="none"/>
        </w:rPr>
        <w:t>16 谈判响应文件的</w:t>
      </w:r>
      <w:bookmarkEnd w:id="62"/>
      <w:r>
        <w:rPr>
          <w:rFonts w:hint="eastAsia" w:ascii="宋体" w:hAnsi="宋体" w:eastAsia="宋体" w:cs="宋体"/>
          <w:color w:val="auto"/>
          <w:sz w:val="24"/>
          <w:szCs w:val="24"/>
          <w:highlight w:val="none"/>
        </w:rPr>
        <w:t>数量及签署规定</w:t>
      </w:r>
      <w:bookmarkEnd w:id="63"/>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供应商应当按照谈判须知前附表准备响应文件。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谈判响应文件的正本需打印或用不褪色墨水书写，并编制详细的目录，统一装订、标码，由供应商的法定代表人或授权代表在谈判文件要求签字盖章的地方签字并盖章，一旦正本和副本有差异，以正本为准。授权代表须持有书面的“法定代表人授权委托书”（标准格式附后），并将其附在谈判响应文件中。如对谈判响应文件进行了修改，则应当由授权代表在修改的每一页上签字。谈判响应文件的副本可以采用正本的复印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16.3 任何行间插字、涂改和增删，必须由供应商的法定代表人或其授权的代表签字并加盖公章后才有效。</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16.4谈判响应文件因字迹潦草或表达不清所引起的后果由供应商负责。</w:t>
      </w:r>
    </w:p>
    <w:p>
      <w:pPr>
        <w:pStyle w:val="5"/>
        <w:ind w:firstLine="480"/>
        <w:rPr>
          <w:rFonts w:hint="eastAsia" w:ascii="宋体" w:hAnsi="宋体" w:eastAsia="宋体" w:cs="宋体"/>
          <w:b w:val="0"/>
          <w:color w:val="auto"/>
          <w:sz w:val="24"/>
          <w:szCs w:val="24"/>
          <w:highlight w:val="none"/>
        </w:rPr>
      </w:pPr>
      <w:bookmarkStart w:id="64" w:name="_Toc12625"/>
      <w:bookmarkStart w:id="65" w:name="_Toc10620"/>
      <w:bookmarkStart w:id="66" w:name="_Toc246928916"/>
      <w:bookmarkStart w:id="67" w:name="_Toc12925"/>
      <w:r>
        <w:rPr>
          <w:rFonts w:hint="eastAsia" w:ascii="宋体" w:hAnsi="宋体" w:eastAsia="宋体" w:cs="宋体"/>
          <w:color w:val="auto"/>
          <w:sz w:val="24"/>
          <w:szCs w:val="24"/>
          <w:highlight w:val="none"/>
        </w:rPr>
        <w:t>（四）谈判响应文件的递交</w:t>
      </w:r>
      <w:bookmarkEnd w:id="64"/>
      <w:bookmarkEnd w:id="65"/>
      <w:bookmarkEnd w:id="66"/>
      <w:bookmarkEnd w:id="67"/>
    </w:p>
    <w:p>
      <w:pPr>
        <w:pStyle w:val="6"/>
        <w:rPr>
          <w:rFonts w:hint="eastAsia" w:ascii="宋体" w:hAnsi="宋体" w:eastAsia="宋体" w:cs="宋体"/>
          <w:color w:val="auto"/>
          <w:sz w:val="24"/>
          <w:szCs w:val="24"/>
          <w:highlight w:val="none"/>
        </w:rPr>
      </w:pPr>
      <w:bookmarkStart w:id="68" w:name="_Toc20393"/>
      <w:bookmarkStart w:id="69" w:name="_Toc246928917"/>
      <w:r>
        <w:rPr>
          <w:rFonts w:hint="eastAsia" w:ascii="宋体" w:hAnsi="宋体" w:eastAsia="宋体" w:cs="宋体"/>
          <w:color w:val="auto"/>
          <w:sz w:val="24"/>
          <w:szCs w:val="24"/>
          <w:highlight w:val="none"/>
        </w:rPr>
        <w:t>17 谈判响应文件的密封和标记</w:t>
      </w:r>
      <w:bookmarkEnd w:id="68"/>
      <w:bookmarkEnd w:id="69"/>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谈判响应文件必须密封递交。对封装材料及样式不作特别规定，但供应商应当保证其封装的可靠性，不致因搬运、堆放等原因散开。谈判时，供应商应当将谈判响应文件正本以密封袋/箱单独密封，所有的副本以密封袋/箱单独密封。密封袋/箱正面和谈判文件封面须标明“正本”“副本”。</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17.2有关包装袋/箱上均应当：</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17.2.1 注明谈判公告中指明的项目名称、项目编号、供应商名称、正/副本</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（谈判时间）</w:t>
      </w:r>
      <w:r>
        <w:rPr>
          <w:rFonts w:hint="eastAsia" w:ascii="宋体" w:hAnsi="宋体" w:eastAsia="宋体" w:cs="宋体"/>
          <w:color w:val="auto"/>
          <w:sz w:val="24"/>
          <w:szCs w:val="24"/>
          <w:highlight w:val="none"/>
        </w:rPr>
        <w:t>前不得启封等字样。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17.2.2</w:t>
      </w:r>
      <w:r>
        <w:rPr>
          <w:rFonts w:hint="eastAsia" w:ascii="宋体" w:hAnsi="宋体" w:eastAsia="宋体" w:cs="宋体"/>
          <w:color w:val="auto"/>
          <w:sz w:val="24"/>
          <w:highlight w:val="none"/>
        </w:rPr>
        <w:t>谈判响应文件袋面按照规定加盖供应商公章。</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17.2.3 </w:t>
      </w:r>
      <w:r>
        <w:rPr>
          <w:rFonts w:hint="eastAsia" w:ascii="宋体" w:hAnsi="宋体" w:eastAsia="宋体" w:cs="宋体"/>
          <w:color w:val="auto"/>
          <w:sz w:val="24"/>
          <w:highlight w:val="none"/>
        </w:rPr>
        <w:t>如果供应商未按上述要求密封及加写标记，采购代理机构对谈判响应文件的误投或过早启封概不负责。</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17.2.4响应文件</w:t>
      </w:r>
      <w:r>
        <w:rPr>
          <w:rFonts w:hint="eastAsia" w:ascii="宋体" w:hAnsi="宋体" w:eastAsia="宋体" w:cs="宋体"/>
          <w:color w:val="auto"/>
          <w:sz w:val="24"/>
          <w:highlight w:val="none"/>
          <w:lang w:val="en-US" w:eastAsia="zh-CN"/>
        </w:rPr>
        <w:t>应</w:t>
      </w:r>
      <w:r>
        <w:rPr>
          <w:rFonts w:hint="eastAsia" w:ascii="宋体" w:hAnsi="宋体" w:eastAsia="宋体" w:cs="宋体"/>
          <w:color w:val="auto"/>
          <w:sz w:val="24"/>
          <w:highlight w:val="none"/>
        </w:rPr>
        <w:t>密封</w:t>
      </w:r>
      <w:r>
        <w:rPr>
          <w:rFonts w:hint="eastAsia" w:ascii="宋体" w:hAnsi="宋体" w:eastAsia="宋体" w:cs="宋体"/>
          <w:color w:val="auto"/>
          <w:sz w:val="24"/>
          <w:highlight w:val="none"/>
          <w:lang w:val="en-US" w:eastAsia="zh-CN"/>
        </w:rPr>
        <w:t>完好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响应文件袋正面按照规定加盖供应商公章。</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17.2.5如果未按上述规定进行密封和标记，</w:t>
      </w:r>
      <w:r>
        <w:rPr>
          <w:rFonts w:hint="eastAsia" w:ascii="宋体" w:hAnsi="宋体" w:eastAsia="宋体" w:cs="宋体"/>
          <w:color w:val="auto"/>
          <w:sz w:val="24"/>
          <w:highlight w:val="none"/>
          <w:lang w:val="en-US" w:eastAsia="zh-CN"/>
        </w:rPr>
        <w:t>谈判小组</w:t>
      </w:r>
      <w:r>
        <w:rPr>
          <w:rFonts w:hint="eastAsia" w:ascii="宋体" w:hAnsi="宋体" w:eastAsia="宋体" w:cs="宋体"/>
          <w:color w:val="auto"/>
          <w:sz w:val="24"/>
          <w:highlight w:val="none"/>
        </w:rPr>
        <w:t>有权拒绝供应商的响应文件，不予受理则按无效投标处理。</w:t>
      </w:r>
    </w:p>
    <w:p>
      <w:pPr>
        <w:pStyle w:val="6"/>
        <w:rPr>
          <w:rFonts w:hint="eastAsia" w:ascii="宋体" w:hAnsi="宋体" w:eastAsia="宋体" w:cs="宋体"/>
          <w:color w:val="auto"/>
          <w:sz w:val="24"/>
          <w:szCs w:val="24"/>
          <w:highlight w:val="none"/>
        </w:rPr>
      </w:pPr>
      <w:bookmarkStart w:id="70" w:name="_Toc246928918"/>
      <w:bookmarkStart w:id="71" w:name="_Toc9257"/>
      <w:r>
        <w:rPr>
          <w:rFonts w:hint="eastAsia" w:ascii="宋体" w:hAnsi="宋体" w:eastAsia="宋体" w:cs="宋体"/>
          <w:color w:val="auto"/>
          <w:sz w:val="24"/>
          <w:szCs w:val="24"/>
          <w:highlight w:val="none"/>
        </w:rPr>
        <w:t>18 谈判响应文件截止时间</w:t>
      </w:r>
      <w:bookmarkEnd w:id="70"/>
      <w:bookmarkEnd w:id="71"/>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 所有谈判响应文件都必须按谈判公告中规定的谈判响应文件截止时间前送达谈判文件规定的递交地点。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18.2 采购人或采购代理机构有权按本须知的规定，通过修改谈判文件延长谈判响应文件截止时间。在此情况下，采购人和供应商受谈判响应文件截止时间制约的所有权利和义务均应当延长至新的截止期。</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18.3 采购人及采购代理机构将拒绝接收谈判文件规定的谈判响应文件截止时间之后递交的任何谈判响应文件。</w:t>
      </w:r>
    </w:p>
    <w:p>
      <w:pPr>
        <w:pStyle w:val="6"/>
        <w:rPr>
          <w:rFonts w:hint="eastAsia" w:ascii="宋体" w:hAnsi="宋体" w:eastAsia="宋体" w:cs="宋体"/>
          <w:color w:val="auto"/>
          <w:sz w:val="24"/>
          <w:szCs w:val="24"/>
          <w:highlight w:val="none"/>
        </w:rPr>
      </w:pPr>
      <w:bookmarkStart w:id="72" w:name="_Toc26319"/>
      <w:r>
        <w:rPr>
          <w:rFonts w:hint="eastAsia" w:ascii="宋体" w:hAnsi="宋体" w:eastAsia="宋体" w:cs="宋体"/>
          <w:color w:val="auto"/>
          <w:sz w:val="24"/>
          <w:szCs w:val="24"/>
          <w:highlight w:val="none"/>
        </w:rPr>
        <w:t>19 谈判响应文件的修改与撤回</w:t>
      </w:r>
      <w:bookmarkEnd w:id="72"/>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供应商在谈判响应文件截止时间前，可以对所递交的谈判响应文件进行补充、修改或者撤回，并书面通知采购代理机构。补充、修改的内容应当按谈判文件要求签署、盖章，并作为谈判响应文件的组成部分。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谈判响应文件截止时间后，供应商不得对其谈判响应文件做任何修改。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19.3 从谈判响应文件截止时间至供应商在谈判响应函格式中确定的谈判有效期之间，供应商不得撤销其谈判，否则其谈判保证金将按照本须知的规定不予退还。</w:t>
      </w:r>
    </w:p>
    <w:p>
      <w:pPr>
        <w:pStyle w:val="5"/>
        <w:ind w:firstLine="480"/>
        <w:rPr>
          <w:rFonts w:hint="eastAsia" w:ascii="宋体" w:hAnsi="宋体" w:eastAsia="宋体" w:cs="宋体"/>
          <w:b w:val="0"/>
          <w:color w:val="auto"/>
          <w:sz w:val="24"/>
          <w:szCs w:val="24"/>
          <w:highlight w:val="none"/>
        </w:rPr>
      </w:pPr>
      <w:bookmarkStart w:id="73" w:name="_Toc891"/>
      <w:bookmarkStart w:id="74" w:name="_Toc385506493"/>
      <w:bookmarkStart w:id="75" w:name="_Toc8091"/>
      <w:bookmarkStart w:id="76" w:name="_Toc20956"/>
      <w:bookmarkStart w:id="77" w:name="_Toc246928919"/>
      <w:bookmarkStart w:id="78" w:name="_Toc492955421"/>
      <w:bookmarkStart w:id="79" w:name="_Toc385992360"/>
      <w:bookmarkStart w:id="80" w:name="_Toc497546880"/>
      <w:bookmarkStart w:id="81" w:name="_Toc246928925"/>
      <w:bookmarkStart w:id="82" w:name="_Toc389620199"/>
      <w:bookmarkStart w:id="83" w:name="_Toc497711547"/>
      <w:bookmarkStart w:id="84" w:name="_Toc497551782"/>
      <w:bookmarkStart w:id="85" w:name="_Toc497712095"/>
      <w:r>
        <w:rPr>
          <w:rFonts w:hint="eastAsia" w:ascii="宋体" w:hAnsi="宋体" w:eastAsia="宋体" w:cs="宋体"/>
          <w:color w:val="auto"/>
          <w:sz w:val="24"/>
          <w:szCs w:val="24"/>
          <w:highlight w:val="none"/>
        </w:rPr>
        <w:t>（五） 开标/评审</w:t>
      </w:r>
      <w:bookmarkEnd w:id="73"/>
      <w:bookmarkEnd w:id="74"/>
      <w:bookmarkEnd w:id="75"/>
      <w:bookmarkEnd w:id="76"/>
      <w:bookmarkEnd w:id="77"/>
    </w:p>
    <w:p>
      <w:pPr>
        <w:pStyle w:val="6"/>
        <w:rPr>
          <w:rFonts w:hint="eastAsia" w:ascii="宋体" w:hAnsi="宋体" w:eastAsia="宋体" w:cs="宋体"/>
          <w:color w:val="auto"/>
          <w:sz w:val="24"/>
          <w:szCs w:val="24"/>
          <w:highlight w:val="none"/>
        </w:rPr>
      </w:pPr>
      <w:bookmarkStart w:id="86" w:name="_Toc246928920"/>
      <w:bookmarkStart w:id="87" w:name="_Toc23915"/>
      <w:bookmarkStart w:id="88" w:name="_Toc385506494"/>
      <w:r>
        <w:rPr>
          <w:rFonts w:hint="eastAsia" w:ascii="宋体" w:hAnsi="宋体" w:eastAsia="宋体" w:cs="宋体"/>
          <w:color w:val="auto"/>
          <w:sz w:val="24"/>
          <w:szCs w:val="24"/>
          <w:highlight w:val="none"/>
        </w:rPr>
        <w:t xml:space="preserve">20 </w:t>
      </w:r>
      <w:bookmarkEnd w:id="86"/>
      <w:r>
        <w:rPr>
          <w:rFonts w:hint="eastAsia" w:ascii="宋体" w:hAnsi="宋体" w:eastAsia="宋体" w:cs="宋体"/>
          <w:color w:val="auto"/>
          <w:sz w:val="24"/>
          <w:szCs w:val="24"/>
          <w:highlight w:val="none"/>
        </w:rPr>
        <w:t>开标</w:t>
      </w:r>
      <w:bookmarkEnd w:id="87"/>
      <w:bookmarkEnd w:id="88"/>
    </w:p>
    <w:p>
      <w:pPr>
        <w:spacing w:line="360" w:lineRule="auto"/>
        <w:rPr>
          <w:rFonts w:hint="eastAsia" w:ascii="宋体" w:hAnsi="宋体" w:eastAsia="宋体" w:cs="宋体"/>
          <w:color w:val="auto"/>
          <w:sz w:val="24"/>
          <w:highlight w:val="none"/>
        </w:rPr>
      </w:pPr>
      <w:bookmarkStart w:id="89" w:name="_Toc246928921"/>
      <w:bookmarkStart w:id="90" w:name="_Toc385506495"/>
      <w:r>
        <w:rPr>
          <w:rFonts w:hint="eastAsia" w:ascii="宋体" w:hAnsi="宋体" w:eastAsia="宋体" w:cs="宋体"/>
          <w:color w:val="auto"/>
          <w:sz w:val="24"/>
          <w:highlight w:val="none"/>
        </w:rPr>
        <w:t>20.1 采购代理机构按谈判公告中规定的时间和地点接受供应商递交的谈判响应文件。供应商应派代表签到，并参加谈判。</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20.2开标时，采购代理机构当众拆封所有密封完好的响应文件。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 谈判有效供应商不足三家的，按照国家相关法律法律及省市规定执行。</w:t>
      </w:r>
    </w:p>
    <w:p>
      <w:pPr>
        <w:pStyle w:val="6"/>
        <w:rPr>
          <w:rFonts w:hint="eastAsia" w:ascii="宋体" w:hAnsi="宋体" w:eastAsia="宋体" w:cs="宋体"/>
          <w:color w:val="auto"/>
          <w:sz w:val="24"/>
          <w:szCs w:val="24"/>
          <w:highlight w:val="none"/>
        </w:rPr>
      </w:pPr>
      <w:bookmarkStart w:id="91" w:name="_Toc25482"/>
      <w:r>
        <w:rPr>
          <w:rFonts w:hint="eastAsia" w:ascii="宋体" w:hAnsi="宋体" w:eastAsia="宋体" w:cs="宋体"/>
          <w:color w:val="auto"/>
          <w:sz w:val="24"/>
          <w:szCs w:val="24"/>
          <w:highlight w:val="none"/>
        </w:rPr>
        <w:t>21 谈判小组</w:t>
      </w:r>
      <w:bookmarkEnd w:id="89"/>
      <w:bookmarkEnd w:id="90"/>
      <w:bookmarkEnd w:id="91"/>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 根据本次采购项目的特点，参照《中华人民共和国政府采购法》等有关规定组建谈判小组。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谈判小组成员由采购人代表和有关技术、经济等方面的专家组成，其中技术、经济专家人数不少于谈判小组总人数的2/3本项目谈判小组专家的产生方式符合国家和地方有关评审专家产生方式的规定。</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谈判小组成员对各供应商谈判响应文件进行审查、评估和比较，并推荐出成交候选供应商。</w:t>
      </w:r>
    </w:p>
    <w:p>
      <w:pPr>
        <w:pStyle w:val="6"/>
        <w:rPr>
          <w:rFonts w:hint="eastAsia" w:ascii="宋体" w:hAnsi="宋体" w:eastAsia="宋体" w:cs="宋体"/>
          <w:color w:val="auto"/>
          <w:sz w:val="24"/>
          <w:szCs w:val="24"/>
          <w:highlight w:val="none"/>
        </w:rPr>
      </w:pPr>
      <w:bookmarkStart w:id="92" w:name="_Toc385506496"/>
      <w:bookmarkStart w:id="93" w:name="_Toc246928924"/>
      <w:bookmarkStart w:id="94" w:name="_Toc27132"/>
      <w:r>
        <w:rPr>
          <w:rFonts w:hint="eastAsia" w:ascii="宋体" w:hAnsi="宋体" w:eastAsia="宋体" w:cs="宋体"/>
          <w:color w:val="auto"/>
          <w:sz w:val="24"/>
          <w:szCs w:val="24"/>
          <w:highlight w:val="none"/>
        </w:rPr>
        <w:t>22 评审</w:t>
      </w:r>
      <w:bookmarkEnd w:id="92"/>
      <w:bookmarkEnd w:id="93"/>
      <w:bookmarkEnd w:id="94"/>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谈判小组将遵循公开、公平、公正和择优的原则，对所有供应商的谈判响应文件评审，都采用相同的程序和标准。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评审过程的保密：谈判中不公开供应商的谈判报价，在谈判响应文件的评审、比较、成交候选供应商推荐以及授予合同的过程中，供应商向采购人和谈判小组施加影响的任何行为，都将会导致其报价被拒绝；成交供应商确定后，采购人不对未成交供应商就评审过程以及未能成交原因做出任何解释。未成交供应商不得向谈判小组成员或其他相关人员索问评审过程的情况和材料。</w:t>
      </w:r>
    </w:p>
    <w:p>
      <w:pPr>
        <w:pStyle w:val="6"/>
        <w:rPr>
          <w:rFonts w:hint="eastAsia" w:ascii="宋体" w:hAnsi="宋体" w:eastAsia="宋体" w:cs="宋体"/>
          <w:color w:val="auto"/>
          <w:sz w:val="24"/>
          <w:szCs w:val="24"/>
          <w:highlight w:val="none"/>
        </w:rPr>
      </w:pPr>
      <w:bookmarkStart w:id="95" w:name="_Toc4776"/>
      <w:bookmarkStart w:id="96" w:name="_Toc385506497"/>
      <w:r>
        <w:rPr>
          <w:rFonts w:hint="eastAsia" w:ascii="宋体" w:hAnsi="宋体" w:eastAsia="宋体" w:cs="宋体"/>
          <w:color w:val="auto"/>
          <w:sz w:val="24"/>
          <w:szCs w:val="24"/>
          <w:highlight w:val="none"/>
        </w:rPr>
        <w:t>23 评审程序</w:t>
      </w:r>
      <w:bookmarkEnd w:id="95"/>
      <w:bookmarkEnd w:id="96"/>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23.1谈判小组对于各个供应商的谈判响应文件先进行资格性审查、再进行符合性审查，审查全都合格的供应商才有参加谈判与承诺的资格。</w:t>
      </w:r>
    </w:p>
    <w:p>
      <w:pPr>
        <w:tabs>
          <w:tab w:val="left" w:pos="115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23.1.1资格性审查内容详见总则第12条。</w:t>
      </w:r>
    </w:p>
    <w:p>
      <w:pPr>
        <w:tabs>
          <w:tab w:val="left" w:pos="115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23.1.2符合性审查内容详见总则第13条。</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注：审查资料提供时须具体、明确，无明确响应的视为不完全响应，不予澄清，按无效标处理。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 对谈判响应文件含义不明确、同类问题表述不一致或者有明显文字和计算错误的内容，谈判小组可以要求供应商在规定的时间内做出必要的澄清、说明或者纠正。供应商的澄清、说明或者补正应当采用书面形式，有其授权的代表签字，并不得超出谈判响应文件的范围或者改变谈判响应文件的实质性内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23.2.1 澄清文件将作为谈判响应文件的一部分。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 算术错误将按以下方法更正：</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23.2.2.1 谈判响应文件的大写金额和小写金额不一致的，以大写金额为准；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23.2.2.2 总价金额与按单价汇总金额不一致的，以单价金额计算结果为准；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23.2.2.3 单价金额小数点有明显错位的，应当以总价为准，并修改单价；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23.2.2.4 对不同文字文本谈判响应文件的解释发生异议的，以中文文本为准；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23.2.2.5 对于供应商不接受对其错误的更改，其谈判属于无效谈判情形。</w:t>
      </w:r>
    </w:p>
    <w:p>
      <w:pPr>
        <w:pStyle w:val="6"/>
        <w:rPr>
          <w:rFonts w:hint="eastAsia" w:ascii="宋体" w:hAnsi="宋体" w:eastAsia="宋体" w:cs="宋体"/>
          <w:color w:val="auto"/>
          <w:sz w:val="24"/>
          <w:szCs w:val="24"/>
          <w:highlight w:val="none"/>
        </w:rPr>
      </w:pPr>
      <w:bookmarkStart w:id="97" w:name="_Toc385506498"/>
      <w:bookmarkStart w:id="98" w:name="_Toc4426"/>
      <w:r>
        <w:rPr>
          <w:rFonts w:hint="eastAsia" w:ascii="宋体" w:hAnsi="宋体" w:eastAsia="宋体" w:cs="宋体"/>
          <w:color w:val="auto"/>
          <w:sz w:val="24"/>
          <w:szCs w:val="24"/>
          <w:highlight w:val="none"/>
        </w:rPr>
        <w:t>24 谈判</w:t>
      </w:r>
      <w:bookmarkEnd w:id="97"/>
      <w:bookmarkEnd w:id="98"/>
    </w:p>
    <w:p>
      <w:pPr>
        <w:snapToGrid w:val="0"/>
        <w:spacing w:line="360" w:lineRule="auto"/>
        <w:rPr>
          <w:rFonts w:hint="eastAsia" w:ascii="宋体" w:hAnsi="宋体" w:eastAsia="宋体" w:cs="宋体"/>
          <w:color w:val="auto"/>
          <w:sz w:val="24"/>
          <w:highlight w:val="none"/>
        </w:rPr>
      </w:pPr>
      <w:bookmarkStart w:id="99" w:name="_Toc385506499"/>
      <w:r>
        <w:rPr>
          <w:rFonts w:hint="eastAsia" w:ascii="宋体" w:hAnsi="宋体" w:eastAsia="宋体" w:cs="宋体"/>
          <w:color w:val="auto"/>
          <w:sz w:val="24"/>
          <w:highlight w:val="none"/>
        </w:rPr>
        <w:t>24.1谈判小组根据各谈判供应商响应文件响应情况决定是否与各供应商进行谈判。</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24.2经谈判小组评审，报价、质量和服务均能满足采购文件实质性响应要求的供应商才具有最后报价的机会。供应商应按谈判小组规定的时间进行最后报价，并由法定代表人或其授权人签字，</w:t>
      </w:r>
      <w:r>
        <w:rPr>
          <w:rFonts w:hint="eastAsia" w:ascii="宋体" w:hAnsi="宋体" w:eastAsia="宋体" w:cs="宋体"/>
          <w:color w:val="auto"/>
          <w:sz w:val="24"/>
          <w:highlight w:val="none"/>
          <w:lang w:val="en-US" w:eastAsia="zh-CN"/>
        </w:rPr>
        <w:t>所有</w:t>
      </w:r>
      <w:r>
        <w:rPr>
          <w:rFonts w:hint="eastAsia" w:ascii="宋体" w:hAnsi="宋体" w:eastAsia="宋体" w:cs="宋体"/>
          <w:color w:val="auto"/>
          <w:sz w:val="24"/>
          <w:highlight w:val="none"/>
        </w:rPr>
        <w:t>报价现场</w:t>
      </w:r>
      <w:r>
        <w:rPr>
          <w:rFonts w:hint="eastAsia" w:ascii="宋体" w:hAnsi="宋体" w:eastAsia="宋体" w:cs="宋体"/>
          <w:color w:val="auto"/>
          <w:sz w:val="24"/>
          <w:highlight w:val="none"/>
          <w:lang w:val="en-US" w:eastAsia="zh-CN"/>
        </w:rPr>
        <w:t>均</w:t>
      </w:r>
      <w:r>
        <w:rPr>
          <w:rFonts w:hint="eastAsia" w:ascii="宋体" w:hAnsi="宋体" w:eastAsia="宋体" w:cs="宋体"/>
          <w:color w:val="auto"/>
          <w:sz w:val="24"/>
          <w:highlight w:val="none"/>
        </w:rPr>
        <w:t>不对供应商公布。该谈判报价为不可更改价格，作为谈判小组推荐成交候选人的依据。</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24.3谈判小组认为供应商的最后报价或者某些分项报价明显不合理或者低于成本，有可能影响服务质量和不能诚信履约的，谈判小组有权要求供应商提供书面或口头解释说明，并提交相关证明材料；如供应商在开标现场规定时间内不能够提供相关材料证明其报价的合理性或不能有力口头证明其报价合理性，谈判小组可认为其报价为无效报价。</w:t>
      </w:r>
    </w:p>
    <w:p>
      <w:pPr>
        <w:pStyle w:val="6"/>
        <w:rPr>
          <w:rFonts w:hint="eastAsia" w:ascii="宋体" w:hAnsi="宋体" w:eastAsia="宋体" w:cs="宋体"/>
          <w:color w:val="auto"/>
          <w:sz w:val="24"/>
          <w:szCs w:val="24"/>
          <w:highlight w:val="none"/>
        </w:rPr>
      </w:pPr>
      <w:bookmarkStart w:id="100" w:name="_Toc25956"/>
      <w:r>
        <w:rPr>
          <w:rFonts w:hint="eastAsia" w:ascii="宋体" w:hAnsi="宋体" w:eastAsia="宋体" w:cs="宋体"/>
          <w:color w:val="auto"/>
          <w:sz w:val="24"/>
          <w:szCs w:val="24"/>
          <w:highlight w:val="none"/>
        </w:rPr>
        <w:t>25 评审方法</w:t>
      </w:r>
      <w:bookmarkEnd w:id="99"/>
      <w:bookmarkEnd w:id="100"/>
    </w:p>
    <w:p>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25.1评审方法：供应商提交响应文件后，谈判小组进行资格性审查，资格性审查通过后进行符合性审查，审查不</w:t>
      </w:r>
      <w:r>
        <w:rPr>
          <w:rFonts w:hint="eastAsia" w:ascii="宋体" w:hAnsi="宋体" w:eastAsia="宋体" w:cs="宋体"/>
          <w:bCs/>
          <w:color w:val="auto"/>
          <w:sz w:val="24"/>
          <w:highlight w:val="none"/>
          <w:lang w:val="en-US" w:eastAsia="zh-CN"/>
        </w:rPr>
        <w:t>通过</w:t>
      </w:r>
      <w:r>
        <w:rPr>
          <w:rFonts w:hint="eastAsia" w:ascii="宋体" w:hAnsi="宋体" w:eastAsia="宋体" w:cs="宋体"/>
          <w:bCs/>
          <w:color w:val="auto"/>
          <w:sz w:val="24"/>
          <w:highlight w:val="none"/>
        </w:rPr>
        <w:t>的供应商不得</w:t>
      </w:r>
      <w:r>
        <w:rPr>
          <w:rFonts w:hint="eastAsia" w:ascii="宋体" w:hAnsi="宋体" w:eastAsia="宋体" w:cs="宋体"/>
          <w:bCs/>
          <w:color w:val="auto"/>
          <w:sz w:val="24"/>
          <w:highlight w:val="none"/>
          <w:lang w:val="en-US" w:eastAsia="zh-CN"/>
        </w:rPr>
        <w:t>进入</w:t>
      </w:r>
      <w:r>
        <w:rPr>
          <w:rFonts w:hint="eastAsia" w:ascii="宋体" w:hAnsi="宋体" w:eastAsia="宋体" w:cs="宋体"/>
          <w:bCs/>
          <w:color w:val="auto"/>
          <w:sz w:val="24"/>
          <w:highlight w:val="none"/>
        </w:rPr>
        <w:t>谈判</w:t>
      </w:r>
      <w:r>
        <w:rPr>
          <w:rFonts w:hint="eastAsia" w:ascii="宋体" w:hAnsi="宋体" w:eastAsia="宋体" w:cs="宋体"/>
          <w:bCs/>
          <w:color w:val="auto"/>
          <w:sz w:val="24"/>
          <w:highlight w:val="none"/>
          <w:lang w:val="en-US" w:eastAsia="zh-CN"/>
        </w:rPr>
        <w:t>环节</w:t>
      </w:r>
      <w:r>
        <w:rPr>
          <w:rFonts w:hint="eastAsia" w:ascii="宋体" w:hAnsi="宋体" w:eastAsia="宋体" w:cs="宋体"/>
          <w:bCs/>
          <w:color w:val="auto"/>
          <w:sz w:val="24"/>
          <w:highlight w:val="none"/>
        </w:rPr>
        <w:t>。谈判小组从质量和服务均能满足采购文件实质性响应要求的供应商中，以最后报价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评审报价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由低到高的顺序推荐成交候选人。</w:t>
      </w:r>
    </w:p>
    <w:p>
      <w:pPr>
        <w:pStyle w:val="5"/>
        <w:ind w:firstLine="480"/>
        <w:rPr>
          <w:rFonts w:hint="eastAsia" w:ascii="宋体" w:hAnsi="宋体" w:eastAsia="宋体" w:cs="宋体"/>
          <w:b w:val="0"/>
          <w:color w:val="auto"/>
          <w:sz w:val="24"/>
          <w:szCs w:val="24"/>
          <w:highlight w:val="none"/>
        </w:rPr>
      </w:pPr>
      <w:bookmarkStart w:id="101" w:name="_Hlt491765714"/>
      <w:bookmarkEnd w:id="101"/>
      <w:bookmarkStart w:id="102" w:name="_Toc28538"/>
      <w:bookmarkStart w:id="103" w:name="_Toc2888"/>
      <w:bookmarkStart w:id="104" w:name="_Toc858"/>
      <w:r>
        <w:rPr>
          <w:rFonts w:hint="eastAsia" w:ascii="宋体" w:hAnsi="宋体" w:eastAsia="宋体" w:cs="宋体"/>
          <w:color w:val="auto"/>
          <w:sz w:val="24"/>
          <w:szCs w:val="24"/>
          <w:highlight w:val="none"/>
        </w:rPr>
        <w:t xml:space="preserve">（六） </w:t>
      </w:r>
      <w:bookmarkStart w:id="105" w:name="_Hlt497547134"/>
      <w:bookmarkEnd w:id="105"/>
      <w:r>
        <w:rPr>
          <w:rFonts w:hint="eastAsia" w:ascii="宋体" w:hAnsi="宋体" w:eastAsia="宋体" w:cs="宋体"/>
          <w:color w:val="auto"/>
          <w:sz w:val="24"/>
          <w:szCs w:val="24"/>
          <w:highlight w:val="none"/>
        </w:rPr>
        <w:t>授予合同</w:t>
      </w:r>
      <w:bookmarkEnd w:id="78"/>
      <w:bookmarkEnd w:id="79"/>
      <w:bookmarkEnd w:id="80"/>
      <w:bookmarkEnd w:id="81"/>
      <w:bookmarkEnd w:id="82"/>
      <w:bookmarkEnd w:id="83"/>
      <w:bookmarkEnd w:id="84"/>
      <w:bookmarkEnd w:id="85"/>
      <w:bookmarkEnd w:id="102"/>
      <w:bookmarkEnd w:id="103"/>
      <w:bookmarkEnd w:id="104"/>
    </w:p>
    <w:p>
      <w:pPr>
        <w:pStyle w:val="6"/>
        <w:rPr>
          <w:rFonts w:hint="eastAsia" w:ascii="宋体" w:hAnsi="宋体" w:eastAsia="宋体" w:cs="宋体"/>
          <w:color w:val="auto"/>
          <w:sz w:val="24"/>
          <w:szCs w:val="24"/>
          <w:highlight w:val="none"/>
        </w:rPr>
      </w:pPr>
      <w:bookmarkStart w:id="106" w:name="_Toc15472"/>
      <w:bookmarkStart w:id="107" w:name="_Toc246928926"/>
      <w:bookmarkStart w:id="108" w:name="_Toc389620200"/>
      <w:bookmarkStart w:id="109" w:name="_Toc385992361"/>
      <w:r>
        <w:rPr>
          <w:rFonts w:hint="eastAsia" w:ascii="宋体" w:hAnsi="宋体" w:eastAsia="宋体" w:cs="宋体"/>
          <w:color w:val="auto"/>
          <w:sz w:val="24"/>
          <w:szCs w:val="24"/>
          <w:highlight w:val="none"/>
        </w:rPr>
        <w:t>26 成交准则</w:t>
      </w:r>
      <w:bookmarkEnd w:id="106"/>
      <w:bookmarkEnd w:id="107"/>
      <w:bookmarkEnd w:id="108"/>
      <w:bookmarkEnd w:id="109"/>
    </w:p>
    <w:p>
      <w:pPr>
        <w:spacing w:before="12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26.1合同将授予项目报价符合谈判文件要求、并能圆满地履行合同的、对采购人最为有利的供应商。</w:t>
      </w:r>
    </w:p>
    <w:p>
      <w:pPr>
        <w:spacing w:line="360" w:lineRule="auto"/>
        <w:rPr>
          <w:rFonts w:hint="eastAsia" w:ascii="宋体" w:hAnsi="宋体" w:eastAsia="宋体" w:cs="宋体"/>
          <w:color w:val="auto"/>
          <w:sz w:val="24"/>
          <w:highlight w:val="none"/>
        </w:rPr>
      </w:pPr>
      <w:bookmarkStart w:id="110" w:name="_Toc389620201"/>
      <w:bookmarkStart w:id="111" w:name="_Toc385992362"/>
      <w:r>
        <w:rPr>
          <w:rFonts w:hint="eastAsia" w:ascii="宋体" w:hAnsi="宋体" w:eastAsia="宋体" w:cs="宋体"/>
          <w:color w:val="auto"/>
          <w:sz w:val="24"/>
          <w:highlight w:val="none"/>
        </w:rPr>
        <w:t>26.2 谈判小组将根据评审方法推荐成交候选供应商名单。</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26.3 采购代理机构在评审结束后将评审报告送采购人，采购人在收到评审报告后按照评审报告中推荐的成交候选供应商顺序确定成交供应商。</w:t>
      </w:r>
    </w:p>
    <w:p>
      <w:pPr>
        <w:spacing w:line="360" w:lineRule="auto"/>
        <w:rPr>
          <w:rFonts w:hint="eastAsia" w:ascii="宋体" w:hAnsi="宋体" w:eastAsia="宋体" w:cs="宋体"/>
          <w:color w:val="auto"/>
          <w:sz w:val="24"/>
          <w:highlight w:val="none"/>
          <w:shd w:val="pct10" w:color="auto" w:fill="FFFFFF"/>
        </w:rPr>
      </w:pPr>
      <w:r>
        <w:rPr>
          <w:rFonts w:hint="eastAsia" w:ascii="宋体" w:hAnsi="宋体" w:eastAsia="宋体" w:cs="宋体"/>
          <w:color w:val="auto"/>
          <w:sz w:val="24"/>
          <w:highlight w:val="none"/>
        </w:rPr>
        <w:t>26.4 成交供应商因不可抗力或自身原因不能履行政府采购合同的，采购人可以再排位在成交供应商之后的第一位的成交候选供应商签订政府采购合同，以此类推。</w:t>
      </w:r>
    </w:p>
    <w:bookmarkEnd w:id="110"/>
    <w:bookmarkEnd w:id="111"/>
    <w:p>
      <w:pPr>
        <w:pStyle w:val="6"/>
        <w:rPr>
          <w:rFonts w:hint="eastAsia" w:ascii="宋体" w:hAnsi="宋体" w:eastAsia="宋体" w:cs="宋体"/>
          <w:color w:val="auto"/>
          <w:sz w:val="24"/>
          <w:szCs w:val="24"/>
          <w:highlight w:val="none"/>
        </w:rPr>
      </w:pPr>
      <w:bookmarkStart w:id="112" w:name="_Toc385992364"/>
      <w:bookmarkStart w:id="113" w:name="_Toc389620203"/>
      <w:bookmarkStart w:id="114" w:name="_Toc246928927"/>
      <w:bookmarkStart w:id="115" w:name="_Toc25642"/>
      <w:r>
        <w:rPr>
          <w:rFonts w:hint="eastAsia" w:ascii="宋体" w:hAnsi="宋体" w:eastAsia="宋体" w:cs="宋体"/>
          <w:color w:val="auto"/>
          <w:sz w:val="24"/>
          <w:szCs w:val="24"/>
          <w:highlight w:val="none"/>
        </w:rPr>
        <w:t xml:space="preserve">27 </w:t>
      </w:r>
      <w:bookmarkEnd w:id="112"/>
      <w:bookmarkEnd w:id="113"/>
      <w:r>
        <w:rPr>
          <w:rFonts w:hint="eastAsia" w:ascii="宋体" w:hAnsi="宋体" w:eastAsia="宋体" w:cs="宋体"/>
          <w:color w:val="auto"/>
          <w:sz w:val="24"/>
          <w:szCs w:val="24"/>
          <w:highlight w:val="none"/>
        </w:rPr>
        <w:t>成交通知</w:t>
      </w:r>
      <w:bookmarkEnd w:id="114"/>
      <w:r>
        <w:rPr>
          <w:rFonts w:hint="eastAsia" w:ascii="宋体" w:hAnsi="宋体" w:eastAsia="宋体" w:cs="宋体"/>
          <w:color w:val="auto"/>
          <w:sz w:val="24"/>
          <w:szCs w:val="24"/>
          <w:highlight w:val="none"/>
        </w:rPr>
        <w:t>书</w:t>
      </w:r>
      <w:bookmarkEnd w:id="115"/>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 在谈判有效期内，确定成交供应商后，成交结果在财政部门指定的政府采购信息发布媒体上公告。</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27.2 采购代理机构向成交供应商发出成交通知书，对于其他供应商，将在保证金有效期内无息退还其谈判保证金。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27.3 成交通知书将作为签订合同的依据。</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27.4 对未成交者，采购人不做出解释，同时亦不退还谈判响应文件。</w:t>
      </w:r>
    </w:p>
    <w:p>
      <w:pPr>
        <w:pStyle w:val="6"/>
        <w:rPr>
          <w:rFonts w:hint="eastAsia" w:ascii="宋体" w:hAnsi="宋体" w:eastAsia="宋体" w:cs="宋体"/>
          <w:color w:val="auto"/>
          <w:sz w:val="24"/>
          <w:szCs w:val="24"/>
          <w:highlight w:val="none"/>
        </w:rPr>
      </w:pPr>
      <w:bookmarkStart w:id="116" w:name="_Toc4188"/>
      <w:bookmarkStart w:id="117" w:name="_Toc389620205"/>
      <w:bookmarkStart w:id="118" w:name="_Toc246928928"/>
      <w:bookmarkStart w:id="119" w:name="_Toc385992366"/>
      <w:r>
        <w:rPr>
          <w:rFonts w:hint="eastAsia" w:ascii="宋体" w:hAnsi="宋体" w:eastAsia="宋体" w:cs="宋体"/>
          <w:color w:val="auto"/>
          <w:sz w:val="24"/>
          <w:szCs w:val="24"/>
          <w:highlight w:val="none"/>
        </w:rPr>
        <w:t>28 签订合同</w:t>
      </w:r>
      <w:bookmarkEnd w:id="116"/>
      <w:bookmarkEnd w:id="117"/>
      <w:bookmarkEnd w:id="118"/>
      <w:bookmarkEnd w:id="119"/>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28.1成交供应商应当自成交通知书发出之日起30日内，按照谈判文件确定的事项与采购人签订政府采购合同。</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谈判文件、成交供应商的谈判响应文件和补充文件（如澄清、承诺等）等，均为签订合同的依据。所签订的合同不得对谈判文件和成交供应商谈判响应文件作实质性修改。</w:t>
      </w:r>
      <w:bookmarkStart w:id="120" w:name="_Toc389620207"/>
      <w:bookmarkStart w:id="121" w:name="_Toc385992368"/>
    </w:p>
    <w:p>
      <w:pPr>
        <w:pStyle w:val="6"/>
        <w:rPr>
          <w:rFonts w:hint="eastAsia" w:ascii="宋体" w:hAnsi="宋体" w:eastAsia="宋体" w:cs="宋体"/>
          <w:color w:val="auto"/>
          <w:sz w:val="24"/>
          <w:szCs w:val="24"/>
          <w:highlight w:val="none"/>
        </w:rPr>
      </w:pPr>
      <w:bookmarkStart w:id="122" w:name="_Toc246928929"/>
      <w:bookmarkStart w:id="123" w:name="_Toc25305"/>
      <w:r>
        <w:rPr>
          <w:rFonts w:hint="eastAsia" w:ascii="宋体" w:hAnsi="宋体" w:eastAsia="宋体" w:cs="宋体"/>
          <w:color w:val="auto"/>
          <w:sz w:val="24"/>
          <w:szCs w:val="24"/>
          <w:highlight w:val="none"/>
        </w:rPr>
        <w:t>29 招标代理服务费</w:t>
      </w:r>
      <w:bookmarkEnd w:id="120"/>
      <w:bookmarkEnd w:id="121"/>
      <w:bookmarkEnd w:id="122"/>
      <w:bookmarkEnd w:id="123"/>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29.1</w:t>
      </w:r>
      <w:r>
        <w:rPr>
          <w:rFonts w:hint="eastAsia" w:ascii="宋体" w:hAnsi="宋体" w:eastAsia="宋体" w:cs="宋体"/>
          <w:color w:val="auto"/>
          <w:sz w:val="24"/>
          <w:highlight w:val="none"/>
        </w:rPr>
        <w:t>代理服务费按约定详见谈判须知前附表。</w:t>
      </w: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29.2 招标代理服务费的交纳方式：在领取成交通知书时按29.1的规定，向采购代理机构直接交纳服务费，采用现金</w:t>
      </w:r>
      <w:r>
        <w:rPr>
          <w:rFonts w:hint="eastAsia" w:ascii="宋体" w:hAnsi="宋体" w:eastAsia="宋体" w:cs="宋体"/>
          <w:bCs/>
          <w:color w:val="auto"/>
          <w:sz w:val="24"/>
          <w:highlight w:val="none"/>
          <w:lang w:val="en-US" w:eastAsia="zh-CN"/>
        </w:rPr>
        <w:t>或银行转账</w:t>
      </w:r>
      <w:r>
        <w:rPr>
          <w:rFonts w:hint="eastAsia" w:ascii="宋体" w:hAnsi="宋体" w:eastAsia="宋体" w:cs="宋体"/>
          <w:bCs/>
          <w:color w:val="auto"/>
          <w:sz w:val="24"/>
          <w:highlight w:val="none"/>
        </w:rPr>
        <w:t>方式一次性交纳。</w:t>
      </w:r>
    </w:p>
    <w:p>
      <w:pPr>
        <w:pStyle w:val="6"/>
        <w:jc w:val="left"/>
        <w:rPr>
          <w:rFonts w:hint="eastAsia" w:ascii="宋体" w:hAnsi="宋体" w:eastAsia="宋体" w:cs="宋体"/>
          <w:color w:val="auto"/>
          <w:sz w:val="24"/>
          <w:szCs w:val="24"/>
          <w:highlight w:val="none"/>
        </w:rPr>
      </w:pPr>
      <w:bookmarkStart w:id="124" w:name="_Toc25238"/>
      <w:r>
        <w:rPr>
          <w:rFonts w:hint="eastAsia" w:ascii="宋体" w:hAnsi="宋体" w:eastAsia="宋体" w:cs="宋体"/>
          <w:color w:val="auto"/>
          <w:sz w:val="24"/>
          <w:szCs w:val="24"/>
          <w:highlight w:val="none"/>
        </w:rPr>
        <w:t>30 其他</w:t>
      </w:r>
      <w:bookmarkEnd w:id="124"/>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开标后，如果供应商的报价超过了采购预算，采购人不能支付的，应予无效投标处理。如果供应商的报价均超过了采购预算，采购人不能支付的，根据《中华人民共和国政府采购法》的规定，应予废标。废标后，报告同级人民政府财政部门同意，重新组织招标或采用其他方式继续采购。</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30.2响应文件递交截止时间结束后，参加投标的供应商不足三家，或在评标期间，出现符合专业条件的供应商或者对竞争性谈判文件做出实质性响应的供应商不足三家情形的，</w:t>
      </w:r>
      <w:r>
        <w:rPr>
          <w:rFonts w:hint="eastAsia" w:ascii="宋体" w:hAnsi="宋体" w:eastAsia="宋体" w:cs="宋体"/>
          <w:color w:val="auto"/>
          <w:sz w:val="24"/>
          <w:szCs w:val="24"/>
          <w:highlight w:val="none"/>
        </w:rPr>
        <w:t>按照中华人民共和国财政部第87号令--《政府采购货物和服务招标投标管理办法》</w:t>
      </w:r>
      <w:r>
        <w:rPr>
          <w:rFonts w:hint="eastAsia" w:ascii="宋体" w:hAnsi="宋体" w:eastAsia="宋体" w:cs="宋体"/>
          <w:color w:val="auto"/>
          <w:sz w:val="24"/>
          <w:highlight w:val="none"/>
        </w:rPr>
        <w:t>的规定，报告设区的市、自治州以上人民政府财政部门，由财政部门按照相关原则，做出重新组织招标或采取其他方式继续采购的决定。</w:t>
      </w:r>
    </w:p>
    <w:p>
      <w:pPr>
        <w:spacing w:line="360" w:lineRule="auto"/>
        <w:ind w:left="372" w:leftChars="177" w:firstLine="496" w:firstLineChars="200"/>
        <w:rPr>
          <w:rFonts w:hint="eastAsia" w:ascii="宋体" w:hAnsi="宋体" w:eastAsia="宋体" w:cs="宋体"/>
          <w:color w:val="auto"/>
          <w:spacing w:val="4"/>
          <w:sz w:val="24"/>
          <w:szCs w:val="22"/>
          <w:highlight w:val="none"/>
          <w:lang w:eastAsia="zh-CN"/>
        </w:rPr>
      </w:pPr>
      <w:r>
        <w:rPr>
          <w:rFonts w:hint="eastAsia" w:ascii="宋体" w:hAnsi="宋体" w:eastAsia="宋体" w:cs="宋体"/>
          <w:color w:val="auto"/>
          <w:spacing w:val="4"/>
          <w:sz w:val="24"/>
          <w:highlight w:val="none"/>
        </w:rPr>
        <w:t>响应文件经审查合格的</w:t>
      </w:r>
      <w:r>
        <w:rPr>
          <w:rFonts w:hint="eastAsia" w:ascii="宋体" w:hAnsi="宋体" w:eastAsia="宋体" w:cs="宋体"/>
          <w:color w:val="auto"/>
          <w:sz w:val="24"/>
          <w:szCs w:val="24"/>
          <w:highlight w:val="none"/>
        </w:rPr>
        <w:t>，为有效投标。对于所有有效投标按照以下规则进行评标价的确定。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专门面向中小企业采购的项目将不再进行如下价格优惠调整</w:t>
      </w:r>
      <w:r>
        <w:rPr>
          <w:rFonts w:hint="eastAsia" w:ascii="宋体" w:hAnsi="宋体" w:cs="宋体"/>
          <w:color w:val="auto"/>
          <w:sz w:val="24"/>
          <w:szCs w:val="24"/>
          <w:highlight w:val="none"/>
          <w:lang w:eastAsia="zh-CN"/>
        </w:rPr>
        <w:t>）</w:t>
      </w:r>
    </w:p>
    <w:p>
      <w:pPr>
        <w:spacing w:line="360" w:lineRule="auto"/>
        <w:ind w:left="1267" w:leftChars="249" w:hanging="744" w:hangingChars="3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1.对于符合政策性优惠的，其评标价按照以下规则进行计算调整。</w:t>
      </w:r>
    </w:p>
    <w:p>
      <w:pPr>
        <w:spacing w:line="360" w:lineRule="auto"/>
        <w:ind w:left="1267" w:leftChars="249" w:hanging="744" w:hangingChars="3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1.1对于经主管预算单位统筹后未预留份额专门面向中小企业采购的采购项目，以及预留份额项目中的非预留部分采购包：</w:t>
      </w:r>
    </w:p>
    <w:p>
      <w:pPr>
        <w:spacing w:line="360" w:lineRule="auto"/>
        <w:ind w:left="1391" w:leftChars="249" w:hanging="868" w:hangingChars="35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szCs w:val="22"/>
          <w:highlight w:val="none"/>
        </w:rPr>
        <w:t>1.1.1供应商为</w:t>
      </w:r>
      <w:r>
        <w:rPr>
          <w:rFonts w:hint="eastAsia" w:ascii="宋体" w:hAnsi="宋体" w:cs="宋体"/>
          <w:color w:val="auto"/>
          <w:spacing w:val="4"/>
          <w:sz w:val="24"/>
          <w:szCs w:val="22"/>
          <w:highlight w:val="none"/>
          <w:lang w:val="en-US" w:eastAsia="zh-CN"/>
        </w:rPr>
        <w:t>小微企业或小微企业联合</w:t>
      </w:r>
      <w:r>
        <w:rPr>
          <w:rFonts w:hint="eastAsia" w:ascii="宋体" w:hAnsi="宋体" w:eastAsia="宋体" w:cs="宋体"/>
          <w:color w:val="auto"/>
          <w:spacing w:val="4"/>
          <w:sz w:val="24"/>
          <w:szCs w:val="22"/>
          <w:highlight w:val="none"/>
        </w:rPr>
        <w:t>投标的情况：其评标价=谈判报价*（1-</w:t>
      </w:r>
      <w:r>
        <w:rPr>
          <w:rFonts w:hint="eastAsia" w:ascii="宋体" w:hAnsi="宋体" w:cs="宋体"/>
          <w:color w:val="auto"/>
          <w:spacing w:val="4"/>
          <w:sz w:val="24"/>
          <w:szCs w:val="22"/>
          <w:highlight w:val="none"/>
          <w:lang w:val="en-US" w:eastAsia="zh-CN"/>
        </w:rPr>
        <w:t>10</w:t>
      </w:r>
      <w:r>
        <w:rPr>
          <w:rFonts w:hint="eastAsia" w:ascii="宋体" w:hAnsi="宋体" w:eastAsia="宋体" w:cs="宋体"/>
          <w:color w:val="auto"/>
          <w:spacing w:val="4"/>
          <w:sz w:val="24"/>
          <w:szCs w:val="22"/>
          <w:highlight w:val="none"/>
        </w:rPr>
        <w:t>%）；</w:t>
      </w:r>
    </w:p>
    <w:p>
      <w:pPr>
        <w:spacing w:line="360" w:lineRule="auto"/>
        <w:ind w:left="1391" w:leftChars="249" w:hanging="868" w:hangingChars="3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rPr>
        <w:t>1.1.2</w:t>
      </w:r>
      <w:r>
        <w:rPr>
          <w:rFonts w:hint="eastAsia" w:ascii="宋体" w:hAnsi="宋体" w:cs="宋体"/>
          <w:color w:val="auto"/>
          <w:spacing w:val="4"/>
          <w:sz w:val="24"/>
          <w:highlight w:val="none"/>
          <w:lang w:val="en-US" w:eastAsia="zh-CN"/>
        </w:rPr>
        <w:t>监狱企业、福利企业投标时视同为小微企业</w:t>
      </w:r>
      <w:r>
        <w:rPr>
          <w:rFonts w:hint="eastAsia" w:ascii="宋体" w:hAnsi="宋体" w:eastAsia="宋体" w:cs="宋体"/>
          <w:color w:val="auto"/>
          <w:spacing w:val="4"/>
          <w:sz w:val="24"/>
          <w:szCs w:val="22"/>
          <w:highlight w:val="none"/>
        </w:rPr>
        <w:t>；</w:t>
      </w:r>
    </w:p>
    <w:p>
      <w:pPr>
        <w:spacing w:line="360" w:lineRule="auto"/>
        <w:ind w:left="1391" w:leftChars="249" w:hanging="868" w:hangingChars="3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1.1.3</w:t>
      </w:r>
      <w:r>
        <w:rPr>
          <w:rFonts w:hint="eastAsia" w:ascii="宋体" w:hAnsi="宋体" w:eastAsia="宋体" w:cs="宋体"/>
          <w:color w:val="auto"/>
          <w:spacing w:val="4"/>
          <w:sz w:val="24"/>
          <w:highlight w:val="none"/>
        </w:rPr>
        <w:t xml:space="preserve">接受大中型企业与小微企业组成联合体或者允许大中型企业向一家或者多家小微企业分包的采购项目，对于联合协议或者分包意向协议约定小微企业的合同份额占到合同 总金额 30%以上的，采购人、采购代理机构应当对联合体或者大中型企业的报价给予 </w:t>
      </w:r>
      <w:r>
        <w:rPr>
          <w:rFonts w:hint="eastAsia" w:ascii="宋体" w:hAnsi="宋体" w:cs="宋体"/>
          <w:color w:val="auto"/>
          <w:spacing w:val="4"/>
          <w:sz w:val="24"/>
          <w:highlight w:val="none"/>
          <w:lang w:val="en-US" w:eastAsia="zh-CN"/>
        </w:rPr>
        <w:t>4</w:t>
      </w:r>
      <w:r>
        <w:rPr>
          <w:rFonts w:hint="eastAsia" w:ascii="宋体" w:hAnsi="宋体" w:eastAsia="宋体" w:cs="宋体"/>
          <w:color w:val="auto"/>
          <w:spacing w:val="4"/>
          <w:sz w:val="24"/>
          <w:highlight w:val="none"/>
        </w:rPr>
        <w:t>%（工程项目为 2%）的扣除，用扣除后的价格参加评审。</w:t>
      </w:r>
    </w:p>
    <w:p>
      <w:pPr>
        <w:spacing w:line="360" w:lineRule="auto"/>
        <w:ind w:left="1391" w:leftChars="249" w:hanging="868" w:hangingChars="350"/>
        <w:rPr>
          <w:rFonts w:hint="eastAsia" w:ascii="宋体" w:hAnsi="宋体" w:eastAsia="宋体" w:cs="宋体"/>
          <w:color w:val="auto"/>
          <w:spacing w:val="4"/>
          <w:sz w:val="24"/>
          <w:szCs w:val="22"/>
          <w:highlight w:val="none"/>
          <w:lang w:val="en-US" w:eastAsia="zh-CN"/>
        </w:rPr>
      </w:pPr>
      <w:r>
        <w:rPr>
          <w:rFonts w:hint="eastAsia" w:ascii="宋体" w:hAnsi="宋体" w:eastAsia="宋体" w:cs="宋体"/>
          <w:color w:val="auto"/>
          <w:spacing w:val="4"/>
          <w:sz w:val="24"/>
          <w:szCs w:val="22"/>
          <w:highlight w:val="none"/>
          <w:lang w:val="en-US" w:eastAsia="zh-CN"/>
        </w:rPr>
        <w:t>1.1.4投标服务涉及提供的所有投标产品进入 “节能产品政府采购清单” （且产品的国家节能产品认证证书在有效期内）的，其评标价=谈判报价*（1-3%）；（不是所有投标产品的不享受此项优惠）</w:t>
      </w:r>
    </w:p>
    <w:p>
      <w:pPr>
        <w:spacing w:line="360" w:lineRule="auto"/>
        <w:ind w:left="1391" w:leftChars="249" w:hanging="868" w:hangingChars="350"/>
        <w:rPr>
          <w:rFonts w:hint="eastAsia" w:ascii="宋体" w:hAnsi="宋体" w:eastAsia="宋体" w:cs="宋体"/>
          <w:color w:val="auto"/>
          <w:spacing w:val="4"/>
          <w:sz w:val="24"/>
          <w:szCs w:val="22"/>
          <w:highlight w:val="none"/>
          <w:lang w:val="en-US" w:eastAsia="zh-CN"/>
        </w:rPr>
      </w:pPr>
      <w:r>
        <w:rPr>
          <w:rFonts w:hint="eastAsia" w:ascii="宋体" w:hAnsi="宋体" w:eastAsia="宋体" w:cs="宋体"/>
          <w:color w:val="auto"/>
          <w:spacing w:val="4"/>
          <w:sz w:val="24"/>
          <w:szCs w:val="22"/>
          <w:highlight w:val="none"/>
          <w:lang w:val="en-US" w:eastAsia="zh-CN"/>
        </w:rPr>
        <w:t xml:space="preserve">1.1.5投标服务涉及提供的所有投标产品进入“环境标志产品政府采购清单”（且产品的中国环境标志产品认证证书在有效期内）的，其评标价=谈判报价*（1-3%）；（不是所有投标产品的不享受此项优惠）    </w:t>
      </w:r>
    </w:p>
    <w:p>
      <w:pPr>
        <w:spacing w:line="360" w:lineRule="auto"/>
        <w:ind w:firstLine="495"/>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2.确认为小微企业（含小型、微型企业，下同）投标的，应当同时符合以下条件：</w:t>
      </w:r>
    </w:p>
    <w:p>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2.1符合国务院有关部门根据企业从业人员、营业收入、资产总额等指标制定的中小企业划型标准（工信部联企业〔2011〕300号）；</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rPr>
        <w:t>2.2</w:t>
      </w:r>
      <w:r>
        <w:rPr>
          <w:rFonts w:hint="eastAsia" w:ascii="宋体" w:hAnsi="宋体" w:eastAsia="宋体" w:cs="宋体"/>
          <w:color w:val="auto"/>
          <w:spacing w:val="4"/>
          <w:sz w:val="24"/>
          <w:highlight w:val="none"/>
          <w:lang w:val="en-US" w:eastAsia="zh-CN"/>
        </w:rPr>
        <w:t>符合财政部关于印发《政府采购促进中小企业发展管理办法》的通知（财库【2020】46号）；</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2.2.1在货物采购项目中，货物由中小企业制造，即货物由中小企业生产且使用该中小企业商号或者注册商标；</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rPr>
        <w:t>2.</w:t>
      </w:r>
      <w:r>
        <w:rPr>
          <w:rFonts w:hint="eastAsia" w:ascii="宋体" w:hAnsi="宋体" w:eastAsia="宋体" w:cs="宋体"/>
          <w:color w:val="auto"/>
          <w:spacing w:val="4"/>
          <w:sz w:val="24"/>
          <w:highlight w:val="none"/>
          <w:lang w:val="en-US" w:eastAsia="zh-CN"/>
        </w:rPr>
        <w:t>2.2在工程采购项目中，工程由中小企业承接，即工程施工单位为中小企业；</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2.2.3在服务采购项目中，服务由中小企业承接，即提供服务的人员为中小企业依照《中华人民共和国劳动合同法》订立劳动合同的从业人员。</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2.3在货物采购项目中，供应商提供的货物既有中小企业制造货物，也有大型企业制造货物的，不享受本项目列明的中小企业扶持政策。</w:t>
      </w:r>
    </w:p>
    <w:p>
      <w:pPr>
        <w:spacing w:line="360" w:lineRule="auto"/>
        <w:ind w:left="1143" w:leftChars="249" w:hanging="620" w:hangingChars="250"/>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2.4以联合体形式参加政府采购活动，联合体各方均为中小企业的，联合体视同中小企业。其中联合体各方均为小微企业的，联合体视同小微企业。</w:t>
      </w:r>
    </w:p>
    <w:p>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2.5</w:t>
      </w:r>
      <w:r>
        <w:rPr>
          <w:rFonts w:hint="eastAsia" w:ascii="宋体" w:hAnsi="宋体" w:eastAsia="宋体" w:cs="宋体"/>
          <w:color w:val="auto"/>
          <w:spacing w:val="4"/>
          <w:sz w:val="24"/>
          <w:highlight w:val="none"/>
        </w:rPr>
        <w:t>投标时须</w:t>
      </w:r>
      <w:r>
        <w:rPr>
          <w:rFonts w:hint="eastAsia" w:ascii="宋体" w:hAnsi="宋体" w:eastAsia="宋体" w:cs="宋体"/>
          <w:color w:val="auto"/>
          <w:sz w:val="24"/>
          <w:szCs w:val="24"/>
          <w:highlight w:val="none"/>
        </w:rPr>
        <w:t>提供“中小企业声明函”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中标单位如为小微企业并填写声明函，代理机构将在《陕西省政府采购网》发布中标公告时同步公告声明函相关信息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3.确认为监狱企业投标的，应当同时符合以下条件：</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3.1符合</w:t>
      </w:r>
      <w:r>
        <w:rPr>
          <w:rFonts w:hint="eastAsia" w:ascii="宋体" w:hAnsi="宋体" w:eastAsia="宋体" w:cs="宋体"/>
          <w:color w:val="auto"/>
          <w:sz w:val="24"/>
          <w:szCs w:val="24"/>
          <w:highlight w:val="none"/>
        </w:rPr>
        <w:t>（财库[2014]68号）文件规定的</w:t>
      </w:r>
      <w:r>
        <w:rPr>
          <w:rFonts w:hint="eastAsia" w:ascii="宋体" w:hAnsi="宋体" w:eastAsia="宋体" w:cs="宋体"/>
          <w:color w:val="auto"/>
          <w:spacing w:val="4"/>
          <w:sz w:val="24"/>
          <w:highlight w:val="none"/>
        </w:rPr>
        <w:t>监狱企业，提供本企业的服务。</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3.2投标时须提供由省级以上监狱管理局、戒毒管理局（含新疆生产建设兵团）出具的属于监狱企业的证明文件。</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4.确认为残疾人福利性单位投标的，应当同时符合以下条件：</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4.1符合（财库[2017]141号）文件规定的残疾人福利性单位，提供本单位的服务（以下简称产品），或者提供其他残疾人福利性单位承担的服务（不包括使用非残疾人福利性单位注册商标的服务）.</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4.2投标时须提供《残疾人福利性单位声明函》，并对声明的真实性负责。</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4.3供应商提供的《残疾人福利性单位声明函》与事实不符的，依照《政府采购法》第七十七条第一款的规定追究法律责任。</w:t>
      </w:r>
    </w:p>
    <w:p>
      <w:pPr>
        <w:shd w:val="clear" w:color="auto" w:fill="FFFFFF"/>
        <w:spacing w:line="360" w:lineRule="auto"/>
        <w:ind w:left="1019" w:leftChars="249" w:hanging="496" w:hangingChars="200"/>
        <w:rPr>
          <w:rFonts w:hint="eastAsia" w:ascii="宋体" w:hAnsi="宋体" w:eastAsia="宋体" w:cs="宋体"/>
          <w:color w:val="auto"/>
          <w:spacing w:val="4"/>
          <w:sz w:val="24"/>
          <w:highlight w:val="none"/>
          <w:shd w:val="clear" w:color="auto" w:fill="FFFFFF"/>
        </w:rPr>
      </w:pPr>
      <w:r>
        <w:rPr>
          <w:rFonts w:hint="eastAsia" w:ascii="宋体" w:hAnsi="宋体" w:eastAsia="宋体" w:cs="宋体"/>
          <w:color w:val="auto"/>
          <w:spacing w:val="4"/>
          <w:sz w:val="24"/>
          <w:highlight w:val="none"/>
          <w:shd w:val="clear" w:color="auto" w:fill="FFFFFF"/>
        </w:rPr>
        <w:t>5. 符合（财库[2019]27号）文件规定的投标产品或供应商：</w:t>
      </w:r>
    </w:p>
    <w:p>
      <w:pPr>
        <w:shd w:val="clear" w:color="auto" w:fill="FFFFFF"/>
        <w:spacing w:line="360" w:lineRule="auto"/>
        <w:ind w:left="1019" w:leftChars="249" w:hanging="496" w:hangingChars="200"/>
        <w:rPr>
          <w:rFonts w:hint="eastAsia" w:ascii="宋体" w:hAnsi="宋体" w:eastAsia="宋体" w:cs="宋体"/>
          <w:color w:val="auto"/>
          <w:spacing w:val="4"/>
          <w:sz w:val="24"/>
          <w:highlight w:val="none"/>
          <w:shd w:val="clear" w:color="auto" w:fill="FFFFFF"/>
        </w:rPr>
      </w:pPr>
      <w:r>
        <w:rPr>
          <w:rFonts w:hint="eastAsia" w:ascii="宋体" w:hAnsi="宋体" w:eastAsia="宋体" w:cs="宋体"/>
          <w:color w:val="auto"/>
          <w:spacing w:val="4"/>
          <w:sz w:val="24"/>
          <w:highlight w:val="none"/>
          <w:shd w:val="clear" w:color="auto" w:fill="FFFFFF"/>
        </w:rPr>
        <w:t>5.1投标产品为贫困地区农副产品的评标价计算规则：其评标价=谈判报价*（1-5%）；</w:t>
      </w:r>
    </w:p>
    <w:p>
      <w:pPr>
        <w:shd w:val="clear" w:color="auto" w:fill="FFFFFF"/>
        <w:spacing w:line="360" w:lineRule="auto"/>
        <w:ind w:left="1019" w:leftChars="249" w:hanging="496" w:hangingChars="200"/>
        <w:rPr>
          <w:rFonts w:hint="eastAsia" w:ascii="宋体" w:hAnsi="宋体" w:eastAsia="宋体" w:cs="宋体"/>
          <w:color w:val="auto"/>
          <w:spacing w:val="4"/>
          <w:sz w:val="24"/>
          <w:highlight w:val="none"/>
          <w:shd w:val="clear" w:color="auto" w:fill="FFFFFF"/>
        </w:rPr>
      </w:pPr>
      <w:r>
        <w:rPr>
          <w:rFonts w:hint="eastAsia" w:ascii="宋体" w:hAnsi="宋体" w:eastAsia="宋体" w:cs="宋体"/>
          <w:color w:val="auto"/>
          <w:spacing w:val="4"/>
          <w:sz w:val="24"/>
          <w:highlight w:val="none"/>
          <w:shd w:val="clear" w:color="auto" w:fill="FFFFFF"/>
        </w:rPr>
        <w:t>5.1.1贫困地区农副产品是指832个国家级贫困县域内注册的企业、农民专业合作社、家庭农场等出产的农副产品。</w:t>
      </w:r>
    </w:p>
    <w:p>
      <w:pPr>
        <w:spacing w:line="360" w:lineRule="auto"/>
        <w:ind w:left="1019" w:leftChars="249" w:hanging="496" w:hangingChars="20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highlight w:val="none"/>
          <w:shd w:val="clear" w:color="auto" w:fill="FFFFFF"/>
        </w:rPr>
        <w:t>5.2供应商</w:t>
      </w:r>
      <w:r>
        <w:rPr>
          <w:rFonts w:hint="eastAsia" w:ascii="宋体" w:hAnsi="宋体" w:eastAsia="宋体" w:cs="宋体"/>
          <w:color w:val="auto"/>
          <w:spacing w:val="4"/>
          <w:sz w:val="24"/>
          <w:szCs w:val="22"/>
          <w:highlight w:val="none"/>
        </w:rPr>
        <w:t>为物业公司提供物业服务的评标价计算规则：其评标价=谈判报价*（1-5%）；</w:t>
      </w:r>
    </w:p>
    <w:p>
      <w:pPr>
        <w:spacing w:line="360" w:lineRule="auto"/>
        <w:ind w:left="1019" w:leftChars="249" w:hanging="496" w:hangingChars="20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szCs w:val="22"/>
          <w:highlight w:val="none"/>
        </w:rPr>
        <w:t>5.2.1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30.3本次项目的验收费用由成交供应商承担。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30.4本采购文件的解释权归采购人及采购代理机构所有。</w:t>
      </w:r>
    </w:p>
    <w:p>
      <w:pPr>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p>
    <w:p>
      <w:pPr>
        <w:pStyle w:val="6"/>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信用融资</w:t>
      </w:r>
    </w:p>
    <w:p>
      <w:pPr>
        <w:spacing w:line="360" w:lineRule="auto"/>
        <w:ind w:firstLine="496" w:firstLineChars="20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根据《陕西省中小企业政府采购信用融资办法》（陕财办采〔2018〕23号）、《陕西省财政厅关于加快推进我省中小企业政府采购信用融资工作的通知》（陕财办采〔2020〕15 号）的有关规定，有融资需求的供应商可根据自身情况，在陕西省政府采购信用融资平台（含各市分平台）自主选择金融机构及其融资产品，凭政府采购中标（成交）通知书或政府采购合同向金融机构提出融资申请。</w:t>
      </w:r>
    </w:p>
    <w:p>
      <w:pPr>
        <w:spacing w:line="360" w:lineRule="auto"/>
        <w:ind w:firstLine="496" w:firstLineChars="200"/>
        <w:jc w:val="left"/>
        <w:rPr>
          <w:rFonts w:hint="eastAsia" w:ascii="宋体" w:hAnsi="宋体" w:eastAsia="宋体" w:cs="宋体"/>
          <w:color w:val="auto"/>
          <w:spacing w:val="4"/>
          <w:sz w:val="24"/>
          <w:highlight w:val="none"/>
        </w:rPr>
      </w:pPr>
    </w:p>
    <w:p>
      <w:pPr>
        <w:wordWrap w:val="0"/>
        <w:spacing w:line="360" w:lineRule="auto"/>
        <w:ind w:firstLine="496" w:firstLineChars="20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融资政策链接：</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"http://www.ccgp-shaanxi.gov.cn/zcdservice/zcd/shanxi/article/zcfg" </w:instrText>
      </w:r>
      <w:r>
        <w:rPr>
          <w:rFonts w:hint="eastAsia" w:ascii="宋体" w:hAnsi="宋体" w:eastAsia="宋体" w:cs="宋体"/>
          <w:color w:val="auto"/>
          <w:sz w:val="24"/>
          <w:szCs w:val="24"/>
          <w:highlight w:val="none"/>
        </w:rPr>
        <w:fldChar w:fldCharType="separate"/>
      </w:r>
      <w:r>
        <w:rPr>
          <w:rStyle w:val="31"/>
          <w:rFonts w:hint="eastAsia" w:ascii="宋体" w:hAnsi="宋体" w:eastAsia="宋体" w:cs="宋体"/>
          <w:color w:val="auto"/>
          <w:sz w:val="24"/>
          <w:szCs w:val="24"/>
          <w:highlight w:val="none"/>
        </w:rPr>
        <w:t>http://www.ccgp-shaanxi.gov.cn/zcdservice/zcd/shanxi/article/zcfg</w:t>
      </w:r>
      <w:r>
        <w:rPr>
          <w:rFonts w:hint="eastAsia" w:ascii="宋体" w:hAnsi="宋体" w:eastAsia="宋体" w:cs="宋体"/>
          <w:color w:val="auto"/>
          <w:sz w:val="24"/>
          <w:szCs w:val="24"/>
          <w:highlight w:val="none"/>
        </w:rPr>
        <w:fldChar w:fldCharType="end"/>
      </w:r>
    </w:p>
    <w:p>
      <w:pPr>
        <w:numPr>
          <w:ilvl w:val="0"/>
          <w:numId w:val="0"/>
        </w:numPr>
        <w:spacing w:line="360" w:lineRule="auto"/>
        <w:ind w:firstLine="496" w:firstLineChars="20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融资渠道链接：http://www.ccgp-shaanxi.gov.cn/zcdservice/zcd/shanxi/</w:t>
      </w:r>
    </w:p>
    <w:p>
      <w:pPr>
        <w:ind w:firstLine="496" w:firstLineChars="200"/>
        <w:jc w:val="left"/>
        <w:rPr>
          <w:rFonts w:hint="eastAsia" w:ascii="宋体" w:hAnsi="宋体" w:eastAsia="宋体" w:cs="宋体"/>
          <w:b/>
          <w:color w:val="auto"/>
          <w:sz w:val="24"/>
          <w:highlight w:val="none"/>
        </w:rPr>
      </w:pPr>
      <w:r>
        <w:rPr>
          <w:rFonts w:hint="eastAsia" w:ascii="宋体" w:hAnsi="宋体" w:eastAsia="宋体" w:cs="宋体"/>
          <w:color w:val="auto"/>
          <w:spacing w:val="4"/>
          <w:sz w:val="24"/>
          <w:szCs w:val="20"/>
          <w:highlight w:val="none"/>
        </w:rPr>
        <w:t>担保合作机构名单链接：http://xaczj.xa.gov.cn/zfcg/cgfg/5db9054565cbd804f69e97e0.html</w:t>
      </w:r>
    </w:p>
    <w:p>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pStyle w:val="21"/>
        <w:rPr>
          <w:rFonts w:hint="eastAsia" w:ascii="宋体" w:hAnsi="宋体" w:eastAsia="宋体" w:cs="宋体"/>
          <w:color w:val="auto"/>
          <w:highlight w:val="none"/>
        </w:rPr>
      </w:pPr>
      <w:bookmarkStart w:id="125" w:name="_Toc18307"/>
      <w:bookmarkStart w:id="126" w:name="_Toc519091922"/>
      <w:bookmarkStart w:id="127" w:name="_Toc519085741"/>
      <w:bookmarkStart w:id="128" w:name="_Toc30360"/>
      <w:bookmarkStart w:id="129" w:name="_Toc1433"/>
      <w:bookmarkStart w:id="130" w:name="_Toc519091208"/>
      <w:bookmarkStart w:id="131" w:name="_Toc246928930"/>
      <w:bookmarkStart w:id="132" w:name="_Toc93800308"/>
      <w:bookmarkStart w:id="133" w:name="_Toc497546918"/>
      <w:bookmarkStart w:id="134" w:name="_Toc519091923"/>
      <w:bookmarkStart w:id="135" w:name="_Toc21234"/>
      <w:bookmarkStart w:id="136" w:name="_Toc492955459"/>
      <w:bookmarkStart w:id="137" w:name="_Toc9436"/>
      <w:bookmarkStart w:id="138" w:name="_Toc497711585"/>
      <w:bookmarkStart w:id="139" w:name="_Toc497551820"/>
      <w:bookmarkStart w:id="140" w:name="_Toc497712133"/>
      <w:r>
        <w:rPr>
          <w:rFonts w:hint="eastAsia" w:ascii="宋体" w:hAnsi="宋体" w:eastAsia="宋体" w:cs="宋体"/>
          <w:color w:val="auto"/>
          <w:highlight w:val="none"/>
        </w:rPr>
        <w:t>第三章  采购内容及要求</w:t>
      </w:r>
      <w:bookmarkEnd w:id="125"/>
      <w:bookmarkEnd w:id="126"/>
      <w:bookmarkEnd w:id="127"/>
      <w:bookmarkEnd w:id="128"/>
      <w:bookmarkEnd w:id="129"/>
      <w:bookmarkEnd w:id="130"/>
    </w:p>
    <w:p>
      <w:pPr>
        <w:rPr>
          <w:rFonts w:hint="eastAsia" w:ascii="宋体" w:hAnsi="宋体" w:eastAsia="宋体" w:cs="宋体"/>
          <w:color w:val="auto"/>
          <w:highlight w:val="none"/>
        </w:rPr>
      </w:pPr>
    </w:p>
    <w:tbl>
      <w:tblPr>
        <w:tblStyle w:val="24"/>
        <w:tblW w:w="4998" w:type="pct"/>
        <w:jc w:val="center"/>
        <w:tblLayout w:type="autofit"/>
        <w:tblCellMar>
          <w:top w:w="0" w:type="dxa"/>
          <w:left w:w="10" w:type="dxa"/>
          <w:bottom w:w="0" w:type="dxa"/>
          <w:right w:w="10" w:type="dxa"/>
        </w:tblCellMar>
      </w:tblPr>
      <w:tblGrid>
        <w:gridCol w:w="632"/>
        <w:gridCol w:w="1420"/>
        <w:gridCol w:w="6470"/>
      </w:tblGrid>
      <w:tr>
        <w:tblPrEx>
          <w:tblCellMar>
            <w:top w:w="0" w:type="dxa"/>
            <w:left w:w="10" w:type="dxa"/>
            <w:bottom w:w="0" w:type="dxa"/>
            <w:right w:w="10" w:type="dxa"/>
          </w:tblCellMar>
        </w:tblPrEx>
        <w:trPr>
          <w:trHeight w:val="23" w:hRule="atLeast"/>
          <w:jc w:val="center"/>
        </w:trPr>
        <w:tc>
          <w:tcPr>
            <w:tcW w:w="371" w:type="pct"/>
            <w:tcBorders>
              <w:top w:val="single" w:color="auto" w:sz="4" w:space="0"/>
              <w:left w:val="single" w:color="auto" w:sz="4" w:space="0"/>
            </w:tcBorders>
            <w:shd w:val="clear" w:color="auto" w:fill="FFFFFF"/>
            <w:noWrap w:val="0"/>
            <w:vAlign w:val="center"/>
          </w:tcPr>
          <w:p>
            <w:pPr>
              <w:pStyle w:val="63"/>
              <w:spacing w:line="240" w:lineRule="auto"/>
              <w:ind w:firstLine="0"/>
              <w:jc w:val="center"/>
              <w:rPr>
                <w:rFonts w:hint="eastAsia"/>
                <w:color w:val="auto"/>
                <w:sz w:val="24"/>
                <w:szCs w:val="24"/>
                <w:highlight w:val="none"/>
              </w:rPr>
            </w:pPr>
            <w:bookmarkStart w:id="141" w:name="_Toc7354"/>
            <w:r>
              <w:rPr>
                <w:rFonts w:hint="eastAsia"/>
                <w:b/>
                <w:bCs/>
                <w:color w:val="auto"/>
                <w:sz w:val="24"/>
                <w:szCs w:val="24"/>
                <w:highlight w:val="none"/>
              </w:rPr>
              <w:t>序号</w:t>
            </w:r>
          </w:p>
        </w:tc>
        <w:tc>
          <w:tcPr>
            <w:tcW w:w="833" w:type="pct"/>
            <w:tcBorders>
              <w:top w:val="single" w:color="auto" w:sz="4" w:space="0"/>
              <w:left w:val="single" w:color="auto" w:sz="4" w:space="0"/>
            </w:tcBorders>
            <w:shd w:val="clear" w:color="auto" w:fill="FFFFFF"/>
            <w:noWrap w:val="0"/>
            <w:vAlign w:val="center"/>
          </w:tcPr>
          <w:p>
            <w:pPr>
              <w:pStyle w:val="63"/>
              <w:spacing w:line="240" w:lineRule="auto"/>
              <w:ind w:firstLine="0"/>
              <w:jc w:val="center"/>
              <w:rPr>
                <w:rFonts w:hint="eastAsia"/>
                <w:color w:val="auto"/>
                <w:sz w:val="24"/>
                <w:szCs w:val="24"/>
                <w:highlight w:val="none"/>
              </w:rPr>
            </w:pPr>
            <w:r>
              <w:rPr>
                <w:rFonts w:hint="eastAsia"/>
                <w:b/>
                <w:bCs/>
                <w:color w:val="auto"/>
                <w:sz w:val="24"/>
                <w:szCs w:val="24"/>
                <w:highlight w:val="none"/>
              </w:rPr>
              <w:t>关键事项</w:t>
            </w:r>
          </w:p>
        </w:tc>
        <w:tc>
          <w:tcPr>
            <w:tcW w:w="3795" w:type="pct"/>
            <w:tcBorders>
              <w:top w:val="single" w:color="auto" w:sz="4" w:space="0"/>
              <w:left w:val="single" w:color="auto" w:sz="4" w:space="0"/>
              <w:right w:val="single" w:color="auto" w:sz="4" w:space="0"/>
            </w:tcBorders>
            <w:shd w:val="clear" w:color="auto" w:fill="FFFFFF"/>
            <w:noWrap w:val="0"/>
            <w:vAlign w:val="center"/>
          </w:tcPr>
          <w:p>
            <w:pPr>
              <w:pStyle w:val="63"/>
              <w:spacing w:line="240" w:lineRule="auto"/>
              <w:ind w:firstLine="0"/>
              <w:jc w:val="center"/>
              <w:rPr>
                <w:rFonts w:hint="eastAsia"/>
                <w:color w:val="auto"/>
                <w:sz w:val="24"/>
                <w:szCs w:val="24"/>
                <w:highlight w:val="none"/>
              </w:rPr>
            </w:pPr>
            <w:r>
              <w:rPr>
                <w:rFonts w:hint="eastAsia"/>
                <w:b/>
                <w:bCs/>
                <w:color w:val="auto"/>
                <w:sz w:val="24"/>
                <w:szCs w:val="24"/>
                <w:highlight w:val="none"/>
              </w:rPr>
              <w:t>说明和要求</w:t>
            </w:r>
          </w:p>
        </w:tc>
      </w:tr>
      <w:tr>
        <w:tblPrEx>
          <w:tblCellMar>
            <w:top w:w="0" w:type="dxa"/>
            <w:left w:w="10" w:type="dxa"/>
            <w:bottom w:w="0" w:type="dxa"/>
            <w:right w:w="10" w:type="dxa"/>
          </w:tblCellMar>
        </w:tblPrEx>
        <w:trPr>
          <w:trHeight w:val="23" w:hRule="atLeast"/>
          <w:jc w:val="center"/>
        </w:trPr>
        <w:tc>
          <w:tcPr>
            <w:tcW w:w="371" w:type="pct"/>
            <w:tcBorders>
              <w:top w:val="single" w:color="auto" w:sz="4" w:space="0"/>
              <w:left w:val="single" w:color="auto" w:sz="4" w:space="0"/>
            </w:tcBorders>
            <w:shd w:val="clear" w:color="auto" w:fill="FFFFFF"/>
            <w:noWrap w:val="0"/>
            <w:vAlign w:val="center"/>
          </w:tcPr>
          <w:p>
            <w:pPr>
              <w:pStyle w:val="63"/>
              <w:spacing w:line="240" w:lineRule="auto"/>
              <w:ind w:firstLine="0"/>
              <w:jc w:val="center"/>
              <w:rPr>
                <w:rFonts w:hint="eastAsia"/>
                <w:color w:val="auto"/>
                <w:sz w:val="24"/>
                <w:szCs w:val="24"/>
                <w:highlight w:val="none"/>
                <w:lang w:val="en-US" w:eastAsia="zh-CN"/>
              </w:rPr>
            </w:pPr>
            <w:r>
              <w:rPr>
                <w:rFonts w:hint="eastAsia"/>
                <w:color w:val="auto"/>
                <w:sz w:val="24"/>
                <w:szCs w:val="24"/>
                <w:highlight w:val="none"/>
                <w:lang w:val="en-US" w:eastAsia="zh-CN"/>
              </w:rPr>
              <w:t>1</w:t>
            </w:r>
          </w:p>
        </w:tc>
        <w:tc>
          <w:tcPr>
            <w:tcW w:w="833" w:type="pct"/>
            <w:tcBorders>
              <w:top w:val="single" w:color="auto" w:sz="4" w:space="0"/>
              <w:left w:val="single" w:color="auto" w:sz="4" w:space="0"/>
            </w:tcBorders>
            <w:shd w:val="clear" w:color="auto" w:fill="FFFFFF"/>
            <w:noWrap w:val="0"/>
            <w:vAlign w:val="center"/>
          </w:tcPr>
          <w:p>
            <w:pPr>
              <w:pStyle w:val="63"/>
              <w:spacing w:line="240" w:lineRule="auto"/>
              <w:ind w:firstLine="300"/>
              <w:jc w:val="both"/>
              <w:rPr>
                <w:rFonts w:hint="eastAsia"/>
                <w:color w:val="auto"/>
                <w:sz w:val="24"/>
                <w:szCs w:val="24"/>
                <w:highlight w:val="none"/>
              </w:rPr>
            </w:pPr>
            <w:r>
              <w:rPr>
                <w:rFonts w:hint="eastAsia"/>
                <w:color w:val="auto"/>
                <w:sz w:val="24"/>
                <w:szCs w:val="24"/>
                <w:highlight w:val="none"/>
                <w:lang w:eastAsia="zh-CN"/>
              </w:rPr>
              <w:t>采</w:t>
            </w:r>
            <w:r>
              <w:rPr>
                <w:rFonts w:hint="eastAsia"/>
                <w:color w:val="auto"/>
                <w:sz w:val="24"/>
                <w:szCs w:val="24"/>
                <w:highlight w:val="none"/>
              </w:rPr>
              <w:t>购预算</w:t>
            </w:r>
          </w:p>
        </w:tc>
        <w:tc>
          <w:tcPr>
            <w:tcW w:w="3795" w:type="pct"/>
            <w:tcBorders>
              <w:top w:val="single" w:color="auto" w:sz="4" w:space="0"/>
              <w:left w:val="single" w:color="auto" w:sz="4" w:space="0"/>
              <w:right w:val="single" w:color="auto" w:sz="4" w:space="0"/>
            </w:tcBorders>
            <w:shd w:val="clear" w:color="auto" w:fill="FFFFFF"/>
            <w:noWrap w:val="0"/>
            <w:vAlign w:val="center"/>
          </w:tcPr>
          <w:p>
            <w:pPr>
              <w:pStyle w:val="63"/>
              <w:tabs>
                <w:tab w:val="left" w:leader="underscore" w:pos="2034"/>
              </w:tabs>
              <w:spacing w:line="292" w:lineRule="exact"/>
              <w:ind w:firstLine="0"/>
              <w:rPr>
                <w:rFonts w:hint="eastAsia"/>
                <w:color w:val="auto"/>
                <w:sz w:val="24"/>
                <w:szCs w:val="24"/>
                <w:highlight w:val="none"/>
              </w:rPr>
            </w:pPr>
            <w:r>
              <w:rPr>
                <w:rFonts w:hint="eastAsia"/>
                <w:color w:val="auto"/>
                <w:sz w:val="24"/>
                <w:szCs w:val="24"/>
                <w:highlight w:val="none"/>
              </w:rPr>
              <w:t>人民币</w:t>
            </w:r>
            <w:r>
              <w:rPr>
                <w:rFonts w:hint="eastAsia"/>
                <w:color w:val="auto"/>
                <w:sz w:val="24"/>
                <w:szCs w:val="24"/>
                <w:highlight w:val="none"/>
                <w:u w:val="single"/>
                <w:lang w:val="en-US" w:eastAsia="zh-CN"/>
              </w:rPr>
              <w:t xml:space="preserve">  1030000.00 </w:t>
            </w:r>
            <w:r>
              <w:rPr>
                <w:rFonts w:hint="eastAsia"/>
                <w:color w:val="auto"/>
                <w:sz w:val="24"/>
                <w:szCs w:val="24"/>
                <w:highlight w:val="none"/>
              </w:rPr>
              <w:t>元</w:t>
            </w:r>
          </w:p>
          <w:p>
            <w:pPr>
              <w:pStyle w:val="63"/>
              <w:spacing w:line="292" w:lineRule="exact"/>
              <w:ind w:firstLine="0"/>
              <w:rPr>
                <w:rFonts w:hint="eastAsia"/>
                <w:color w:val="auto"/>
                <w:sz w:val="24"/>
                <w:szCs w:val="24"/>
                <w:highlight w:val="none"/>
              </w:rPr>
            </w:pPr>
            <w:r>
              <w:rPr>
                <w:rFonts w:hint="eastAsia"/>
                <w:color w:val="auto"/>
                <w:sz w:val="24"/>
                <w:szCs w:val="24"/>
                <w:highlight w:val="none"/>
              </w:rPr>
              <w:t>仅指与本次</w:t>
            </w:r>
            <w:r>
              <w:rPr>
                <w:rFonts w:hint="eastAsia"/>
                <w:color w:val="auto"/>
                <w:sz w:val="24"/>
                <w:szCs w:val="24"/>
                <w:highlight w:val="none"/>
                <w:lang w:eastAsia="zh-CN"/>
              </w:rPr>
              <w:t>采</w:t>
            </w:r>
            <w:r>
              <w:rPr>
                <w:rFonts w:hint="eastAsia"/>
                <w:color w:val="auto"/>
                <w:sz w:val="24"/>
                <w:szCs w:val="24"/>
                <w:highlight w:val="none"/>
              </w:rPr>
              <w:t>购标的直接相关的费用，前期勘察费、设计费等已发生的费用，以及监理费、接口费等为未来预留费用，不应当包含在本项目采购预算内，甲方须向本级财政部门经费业务处室申请办理经费剥离手续。</w:t>
            </w:r>
          </w:p>
        </w:tc>
      </w:tr>
      <w:tr>
        <w:tblPrEx>
          <w:tblCellMar>
            <w:top w:w="0" w:type="dxa"/>
            <w:left w:w="10" w:type="dxa"/>
            <w:bottom w:w="0" w:type="dxa"/>
            <w:right w:w="10" w:type="dxa"/>
          </w:tblCellMar>
        </w:tblPrEx>
        <w:trPr>
          <w:trHeight w:val="23" w:hRule="atLeast"/>
          <w:jc w:val="center"/>
        </w:trPr>
        <w:tc>
          <w:tcPr>
            <w:tcW w:w="371" w:type="pct"/>
            <w:tcBorders>
              <w:top w:val="single" w:color="auto" w:sz="4" w:space="0"/>
              <w:left w:val="single" w:color="auto" w:sz="4" w:space="0"/>
            </w:tcBorders>
            <w:shd w:val="clear" w:color="auto" w:fill="FFFFFF"/>
            <w:noWrap w:val="0"/>
            <w:vAlign w:val="center"/>
          </w:tcPr>
          <w:p>
            <w:pPr>
              <w:pStyle w:val="63"/>
              <w:spacing w:line="240" w:lineRule="auto"/>
              <w:ind w:firstLine="260"/>
              <w:rPr>
                <w:rFonts w:hint="eastAsia"/>
                <w:color w:val="auto"/>
                <w:sz w:val="24"/>
                <w:szCs w:val="24"/>
                <w:highlight w:val="none"/>
                <w:lang w:val="en-US" w:eastAsia="zh-CN"/>
              </w:rPr>
            </w:pPr>
            <w:r>
              <w:rPr>
                <w:rFonts w:hint="eastAsia"/>
                <w:color w:val="auto"/>
                <w:sz w:val="24"/>
                <w:szCs w:val="24"/>
                <w:highlight w:val="none"/>
                <w:lang w:val="en-US" w:eastAsia="zh-CN"/>
              </w:rPr>
              <w:t>2</w:t>
            </w:r>
          </w:p>
        </w:tc>
        <w:tc>
          <w:tcPr>
            <w:tcW w:w="833" w:type="pct"/>
            <w:tcBorders>
              <w:top w:val="single" w:color="auto" w:sz="4" w:space="0"/>
              <w:left w:val="single" w:color="auto" w:sz="4" w:space="0"/>
            </w:tcBorders>
            <w:shd w:val="clear" w:color="auto" w:fill="FFFFFF"/>
            <w:noWrap w:val="0"/>
            <w:vAlign w:val="center"/>
          </w:tcPr>
          <w:p>
            <w:pPr>
              <w:pStyle w:val="63"/>
              <w:spacing w:line="240" w:lineRule="auto"/>
              <w:ind w:firstLine="300"/>
              <w:jc w:val="both"/>
              <w:rPr>
                <w:rFonts w:hint="eastAsia"/>
                <w:color w:val="auto"/>
                <w:sz w:val="24"/>
                <w:szCs w:val="24"/>
                <w:highlight w:val="none"/>
              </w:rPr>
            </w:pPr>
            <w:r>
              <w:rPr>
                <w:rFonts w:hint="eastAsia"/>
                <w:color w:val="auto"/>
                <w:sz w:val="24"/>
                <w:szCs w:val="24"/>
                <w:highlight w:val="none"/>
              </w:rPr>
              <w:t>最高限价</w:t>
            </w:r>
          </w:p>
        </w:tc>
        <w:tc>
          <w:tcPr>
            <w:tcW w:w="3795" w:type="pct"/>
            <w:tcBorders>
              <w:top w:val="single" w:color="auto" w:sz="4" w:space="0"/>
              <w:left w:val="single" w:color="auto" w:sz="4" w:space="0"/>
              <w:right w:val="single" w:color="auto" w:sz="4" w:space="0"/>
            </w:tcBorders>
            <w:shd w:val="clear" w:color="auto" w:fill="FFFFFF"/>
            <w:noWrap w:val="0"/>
            <w:vAlign w:val="bottom"/>
          </w:tcPr>
          <w:p>
            <w:pPr>
              <w:pStyle w:val="63"/>
              <w:tabs>
                <w:tab w:val="left" w:leader="underscore" w:pos="2038"/>
              </w:tabs>
              <w:spacing w:after="60" w:line="240" w:lineRule="auto"/>
              <w:ind w:firstLine="0"/>
              <w:rPr>
                <w:rFonts w:hint="eastAsia"/>
                <w:color w:val="auto"/>
                <w:sz w:val="24"/>
                <w:szCs w:val="24"/>
                <w:highlight w:val="none"/>
              </w:rPr>
            </w:pPr>
            <w:r>
              <w:rPr>
                <w:rFonts w:hint="eastAsia"/>
                <w:color w:val="auto"/>
                <w:sz w:val="24"/>
                <w:szCs w:val="24"/>
                <w:highlight w:val="none"/>
              </w:rPr>
              <w:t>人民币</w:t>
            </w:r>
            <w:r>
              <w:rPr>
                <w:rFonts w:hint="eastAsia"/>
                <w:color w:val="auto"/>
                <w:sz w:val="24"/>
                <w:szCs w:val="24"/>
                <w:highlight w:val="none"/>
                <w:u w:val="single"/>
                <w:lang w:val="en-US" w:eastAsia="zh-CN"/>
              </w:rPr>
              <w:t xml:space="preserve"> 1030000.00 </w:t>
            </w:r>
            <w:r>
              <w:rPr>
                <w:rFonts w:hint="eastAsia"/>
                <w:color w:val="auto"/>
                <w:sz w:val="24"/>
                <w:szCs w:val="24"/>
                <w:highlight w:val="none"/>
              </w:rPr>
              <w:t>元</w:t>
            </w:r>
          </w:p>
          <w:p>
            <w:pPr>
              <w:pStyle w:val="63"/>
              <w:spacing w:line="240" w:lineRule="auto"/>
              <w:ind w:firstLine="0"/>
              <w:rPr>
                <w:rFonts w:hint="eastAsia"/>
                <w:color w:val="auto"/>
                <w:sz w:val="24"/>
                <w:szCs w:val="24"/>
                <w:highlight w:val="none"/>
              </w:rPr>
            </w:pPr>
            <w:r>
              <w:rPr>
                <w:rFonts w:hint="eastAsia"/>
                <w:color w:val="auto"/>
                <w:sz w:val="24"/>
                <w:szCs w:val="24"/>
                <w:highlight w:val="none"/>
              </w:rPr>
              <w:t>供应商投标报价高于最高限价的则其投标文件将按无效投标文件处理。</w:t>
            </w:r>
          </w:p>
        </w:tc>
      </w:tr>
      <w:tr>
        <w:tblPrEx>
          <w:tblCellMar>
            <w:top w:w="0" w:type="dxa"/>
            <w:left w:w="10" w:type="dxa"/>
            <w:bottom w:w="0" w:type="dxa"/>
            <w:right w:w="10" w:type="dxa"/>
          </w:tblCellMar>
        </w:tblPrEx>
        <w:trPr>
          <w:trHeight w:val="23" w:hRule="atLeast"/>
          <w:jc w:val="center"/>
        </w:trPr>
        <w:tc>
          <w:tcPr>
            <w:tcW w:w="371" w:type="pct"/>
            <w:tcBorders>
              <w:top w:val="single" w:color="auto" w:sz="4" w:space="0"/>
              <w:left w:val="single" w:color="auto" w:sz="4" w:space="0"/>
            </w:tcBorders>
            <w:shd w:val="clear" w:color="auto" w:fill="FFFFFF"/>
            <w:noWrap w:val="0"/>
            <w:vAlign w:val="center"/>
          </w:tcPr>
          <w:p>
            <w:pPr>
              <w:pStyle w:val="63"/>
              <w:spacing w:line="240" w:lineRule="auto"/>
              <w:ind w:firstLine="260"/>
              <w:rPr>
                <w:rFonts w:hint="eastAsia"/>
                <w:color w:val="auto"/>
                <w:sz w:val="24"/>
                <w:szCs w:val="24"/>
                <w:highlight w:val="none"/>
              </w:rPr>
            </w:pPr>
            <w:r>
              <w:rPr>
                <w:rFonts w:hint="eastAsia"/>
                <w:color w:val="auto"/>
                <w:sz w:val="24"/>
                <w:szCs w:val="24"/>
                <w:highlight w:val="none"/>
              </w:rPr>
              <w:t>3</w:t>
            </w:r>
          </w:p>
        </w:tc>
        <w:tc>
          <w:tcPr>
            <w:tcW w:w="833" w:type="pct"/>
            <w:tcBorders>
              <w:top w:val="single" w:color="auto" w:sz="4" w:space="0"/>
              <w:left w:val="single" w:color="auto" w:sz="4" w:space="0"/>
            </w:tcBorders>
            <w:shd w:val="clear" w:color="auto" w:fill="FFFFFF"/>
            <w:noWrap w:val="0"/>
            <w:vAlign w:val="center"/>
          </w:tcPr>
          <w:p>
            <w:pPr>
              <w:pStyle w:val="63"/>
              <w:spacing w:line="240" w:lineRule="auto"/>
              <w:ind w:firstLine="300"/>
              <w:jc w:val="both"/>
              <w:rPr>
                <w:rFonts w:hint="eastAsia"/>
                <w:color w:val="auto"/>
                <w:sz w:val="24"/>
                <w:szCs w:val="24"/>
                <w:highlight w:val="none"/>
              </w:rPr>
            </w:pPr>
            <w:r>
              <w:rPr>
                <w:rFonts w:hint="eastAsia"/>
                <w:color w:val="auto"/>
                <w:sz w:val="24"/>
                <w:szCs w:val="24"/>
                <w:highlight w:val="none"/>
              </w:rPr>
              <w:t>项目性质</w:t>
            </w:r>
          </w:p>
        </w:tc>
        <w:tc>
          <w:tcPr>
            <w:tcW w:w="3795" w:type="pct"/>
            <w:tcBorders>
              <w:top w:val="single" w:color="auto" w:sz="4" w:space="0"/>
              <w:left w:val="single" w:color="auto" w:sz="4" w:space="0"/>
              <w:right w:val="single" w:color="auto" w:sz="4" w:space="0"/>
            </w:tcBorders>
            <w:shd w:val="clear" w:color="auto" w:fill="FFFFFF"/>
            <w:noWrap w:val="0"/>
            <w:vAlign w:val="center"/>
          </w:tcPr>
          <w:p>
            <w:pPr>
              <w:pStyle w:val="63"/>
              <w:spacing w:after="60" w:line="240" w:lineRule="auto"/>
              <w:ind w:firstLine="0"/>
              <w:rPr>
                <w:rFonts w:hint="eastAsia"/>
                <w:color w:val="auto"/>
                <w:sz w:val="24"/>
                <w:szCs w:val="24"/>
                <w:highlight w:val="none"/>
              </w:rPr>
            </w:pPr>
            <w:r>
              <w:rPr>
                <w:rFonts w:hint="eastAsia"/>
                <w:color w:val="auto"/>
                <w:sz w:val="24"/>
                <w:szCs w:val="24"/>
                <w:highlight w:val="none"/>
              </w:rPr>
              <w:t>◯专门面向中小企业</w:t>
            </w:r>
            <w:r>
              <w:rPr>
                <w:rFonts w:hint="eastAsia"/>
                <w:color w:val="auto"/>
                <w:sz w:val="24"/>
                <w:szCs w:val="24"/>
                <w:highlight w:val="none"/>
                <w:lang w:eastAsia="zh-CN"/>
              </w:rPr>
              <w:t>采</w:t>
            </w:r>
            <w:r>
              <w:rPr>
                <w:rFonts w:hint="eastAsia"/>
                <w:color w:val="auto"/>
                <w:sz w:val="24"/>
                <w:szCs w:val="24"/>
                <w:highlight w:val="none"/>
              </w:rPr>
              <w:t>购</w:t>
            </w:r>
          </w:p>
          <w:p>
            <w:pPr>
              <w:pStyle w:val="63"/>
              <w:spacing w:after="60" w:line="240" w:lineRule="auto"/>
              <w:ind w:firstLine="0"/>
              <w:rPr>
                <w:rFonts w:hint="eastAsia"/>
                <w:color w:val="auto"/>
                <w:sz w:val="24"/>
                <w:szCs w:val="24"/>
                <w:highlight w:val="none"/>
              </w:rPr>
            </w:pPr>
            <w:r>
              <w:rPr>
                <w:rFonts w:hint="eastAsia"/>
                <w:color w:val="auto"/>
                <w:sz w:val="24"/>
                <w:szCs w:val="24"/>
                <w:highlight w:val="none"/>
              </w:rPr>
              <w:t>仅允许中小企业或小型、微型企业参与投标。</w:t>
            </w:r>
          </w:p>
          <w:p>
            <w:pPr>
              <w:pStyle w:val="63"/>
              <w:spacing w:after="60" w:line="240" w:lineRule="auto"/>
              <w:ind w:firstLine="0"/>
              <w:rPr>
                <w:rFonts w:hint="eastAsia"/>
                <w:color w:val="auto"/>
                <w:sz w:val="24"/>
                <w:szCs w:val="24"/>
                <w:highlight w:val="none"/>
              </w:rPr>
            </w:pPr>
            <w:r>
              <w:rPr>
                <w:rFonts w:hint="eastAsia"/>
                <w:color w:val="auto"/>
                <w:sz w:val="24"/>
                <w:szCs w:val="24"/>
                <w:highlight w:val="none"/>
                <w:lang w:val="zh-CN" w:eastAsia="zh-CN"/>
              </w:rPr>
              <w:fldChar w:fldCharType="begin"/>
            </w:r>
            <w:r>
              <w:rPr>
                <w:rFonts w:hint="eastAsia"/>
                <w:color w:val="auto"/>
                <w:sz w:val="24"/>
                <w:szCs w:val="24"/>
                <w:highlight w:val="none"/>
                <w:lang w:val="zh-CN" w:eastAsia="zh-CN"/>
              </w:rPr>
              <w:instrText xml:space="preserve"> EQ \o\ac(</w:instrText>
            </w:r>
            <w:r>
              <w:rPr>
                <w:rFonts w:hint="eastAsia"/>
                <w:color w:val="auto"/>
                <w:position w:val="-4"/>
                <w:sz w:val="36"/>
                <w:szCs w:val="24"/>
                <w:highlight w:val="none"/>
                <w:lang w:val="zh-CN" w:eastAsia="zh-CN"/>
              </w:rPr>
              <w:instrText xml:space="preserve">○</w:instrText>
            </w:r>
            <w:r>
              <w:rPr>
                <w:rFonts w:hint="eastAsia"/>
                <w:color w:val="auto"/>
                <w:sz w:val="24"/>
                <w:szCs w:val="24"/>
                <w:highlight w:val="none"/>
                <w:lang w:val="zh-CN" w:eastAsia="zh-CN"/>
              </w:rPr>
              <w:instrText xml:space="preserve">,√)</w:instrText>
            </w:r>
            <w:r>
              <w:rPr>
                <w:rFonts w:hint="eastAsia"/>
                <w:color w:val="auto"/>
                <w:sz w:val="24"/>
                <w:szCs w:val="24"/>
                <w:highlight w:val="none"/>
                <w:lang w:val="zh-CN" w:eastAsia="zh-CN"/>
              </w:rPr>
              <w:fldChar w:fldCharType="end"/>
            </w:r>
            <w:r>
              <w:rPr>
                <w:rFonts w:hint="eastAsia"/>
                <w:color w:val="auto"/>
                <w:sz w:val="24"/>
                <w:szCs w:val="24"/>
                <w:highlight w:val="none"/>
                <w:lang w:val="zh-CN" w:eastAsia="zh-CN"/>
              </w:rPr>
              <w:t>非专</w:t>
            </w:r>
            <w:r>
              <w:rPr>
                <w:rFonts w:hint="eastAsia"/>
                <w:color w:val="auto"/>
                <w:sz w:val="24"/>
                <w:szCs w:val="24"/>
                <w:highlight w:val="none"/>
              </w:rPr>
              <w:t>门面向中小企业</w:t>
            </w:r>
            <w:r>
              <w:rPr>
                <w:rFonts w:hint="eastAsia"/>
                <w:color w:val="auto"/>
                <w:sz w:val="24"/>
                <w:szCs w:val="24"/>
                <w:highlight w:val="none"/>
                <w:lang w:eastAsia="zh-CN"/>
              </w:rPr>
              <w:t>采</w:t>
            </w:r>
            <w:r>
              <w:rPr>
                <w:rFonts w:hint="eastAsia"/>
                <w:color w:val="auto"/>
                <w:sz w:val="24"/>
                <w:szCs w:val="24"/>
                <w:highlight w:val="none"/>
              </w:rPr>
              <w:t>购</w:t>
            </w:r>
          </w:p>
          <w:p>
            <w:pPr>
              <w:pStyle w:val="63"/>
              <w:spacing w:after="60" w:line="317" w:lineRule="exact"/>
              <w:ind w:firstLine="0"/>
              <w:jc w:val="both"/>
              <w:rPr>
                <w:rFonts w:hint="eastAsia"/>
                <w:color w:val="auto"/>
                <w:sz w:val="24"/>
                <w:szCs w:val="24"/>
                <w:highlight w:val="none"/>
              </w:rPr>
            </w:pPr>
            <w:r>
              <w:rPr>
                <w:rFonts w:hint="eastAsia"/>
                <w:color w:val="auto"/>
                <w:sz w:val="24"/>
                <w:szCs w:val="24"/>
                <w:highlight w:val="none"/>
              </w:rPr>
              <w:t>对符合（财库〔2020〕46号）规定的小微企业（监狱企业视同小型、微型企业）的报价给予</w:t>
            </w:r>
            <w:r>
              <w:rPr>
                <w:rFonts w:hint="eastAsia"/>
                <w:color w:val="auto"/>
                <w:sz w:val="24"/>
                <w:szCs w:val="24"/>
                <w:highlight w:val="none"/>
                <w:u w:val="single"/>
                <w:lang w:val="en-US" w:eastAsia="zh-CN"/>
              </w:rPr>
              <w:t xml:space="preserve">  10  </w:t>
            </w:r>
            <w:r>
              <w:rPr>
                <w:rFonts w:hint="eastAsia"/>
                <w:color w:val="auto"/>
                <w:sz w:val="24"/>
                <w:szCs w:val="24"/>
                <w:highlight w:val="none"/>
              </w:rPr>
              <w:t>%的扣除，用扣除后的价格参加评审。</w:t>
            </w:r>
          </w:p>
          <w:p>
            <w:pPr>
              <w:pStyle w:val="63"/>
              <w:spacing w:after="60" w:line="240" w:lineRule="auto"/>
              <w:ind w:firstLine="0"/>
              <w:rPr>
                <w:rFonts w:hint="eastAsia"/>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部分</w:t>
            </w:r>
            <w:r>
              <w:rPr>
                <w:rFonts w:hint="eastAsia"/>
                <w:color w:val="auto"/>
                <w:sz w:val="24"/>
                <w:szCs w:val="24"/>
                <w:highlight w:val="none"/>
              </w:rPr>
              <w:t>面向中小企业</w:t>
            </w:r>
            <w:r>
              <w:rPr>
                <w:rFonts w:hint="eastAsia"/>
                <w:color w:val="auto"/>
                <w:sz w:val="24"/>
                <w:szCs w:val="24"/>
                <w:highlight w:val="none"/>
                <w:lang w:eastAsia="zh-CN"/>
              </w:rPr>
              <w:t>采</w:t>
            </w:r>
            <w:r>
              <w:rPr>
                <w:rFonts w:hint="eastAsia"/>
                <w:color w:val="auto"/>
                <w:sz w:val="24"/>
                <w:szCs w:val="24"/>
                <w:highlight w:val="none"/>
              </w:rPr>
              <w:t>购</w:t>
            </w:r>
            <w:r>
              <w:rPr>
                <w:rFonts w:hint="eastAsia"/>
                <w:color w:val="auto"/>
                <w:sz w:val="24"/>
                <w:szCs w:val="24"/>
                <w:highlight w:val="none"/>
                <w:lang w:eastAsia="zh-CN"/>
              </w:rPr>
              <w:t>：</w:t>
            </w:r>
          </w:p>
          <w:p>
            <w:pPr>
              <w:pStyle w:val="63"/>
              <w:spacing w:after="60" w:line="240" w:lineRule="auto"/>
              <w:ind w:firstLine="0"/>
              <w:rPr>
                <w:rFonts w:hint="default" w:eastAsia="宋体"/>
                <w:color w:val="auto"/>
                <w:sz w:val="24"/>
                <w:szCs w:val="24"/>
                <w:highlight w:val="none"/>
                <w:lang w:val="en-US" w:eastAsia="zh-CN"/>
              </w:rPr>
            </w:pPr>
            <w:r>
              <w:rPr>
                <w:rFonts w:hint="eastAsia"/>
                <w:color w:val="auto"/>
                <w:sz w:val="24"/>
                <w:szCs w:val="24"/>
                <w:highlight w:val="none"/>
              </w:rPr>
              <w:t>◯</w:t>
            </w:r>
            <w:r>
              <w:rPr>
                <w:rFonts w:hint="eastAsia"/>
                <w:color w:val="auto"/>
                <w:sz w:val="24"/>
                <w:szCs w:val="24"/>
                <w:highlight w:val="none"/>
                <w:lang w:val="en-US" w:eastAsia="zh-CN"/>
              </w:rPr>
              <w:t>设置专门采购包</w:t>
            </w:r>
          </w:p>
          <w:p>
            <w:pPr>
              <w:pStyle w:val="63"/>
              <w:spacing w:after="60" w:line="240" w:lineRule="auto"/>
              <w:ind w:firstLine="0"/>
              <w:rPr>
                <w:rFonts w:hint="default" w:eastAsia="宋体"/>
                <w:color w:val="auto"/>
                <w:sz w:val="24"/>
                <w:szCs w:val="24"/>
                <w:highlight w:val="none"/>
                <w:lang w:val="en-US" w:eastAsia="zh-CN"/>
              </w:rPr>
            </w:pPr>
            <w:r>
              <w:rPr>
                <w:rFonts w:hint="eastAsia"/>
                <w:color w:val="auto"/>
                <w:sz w:val="24"/>
                <w:szCs w:val="24"/>
                <w:highlight w:val="none"/>
              </w:rPr>
              <w:t>◯</w:t>
            </w:r>
            <w:r>
              <w:rPr>
                <w:rFonts w:hint="eastAsia"/>
                <w:color w:val="auto"/>
                <w:sz w:val="24"/>
                <w:szCs w:val="24"/>
                <w:highlight w:val="none"/>
                <w:lang w:val="en-US" w:eastAsia="zh-CN"/>
              </w:rPr>
              <w:t>以联合体形式参加</w:t>
            </w:r>
          </w:p>
          <w:p>
            <w:pPr>
              <w:pStyle w:val="63"/>
              <w:spacing w:after="60" w:line="240" w:lineRule="auto"/>
              <w:ind w:firstLine="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要求合同分包</w:t>
            </w:r>
          </w:p>
        </w:tc>
      </w:tr>
      <w:tr>
        <w:tblPrEx>
          <w:tblCellMar>
            <w:top w:w="0" w:type="dxa"/>
            <w:left w:w="10" w:type="dxa"/>
            <w:bottom w:w="0" w:type="dxa"/>
            <w:right w:w="10" w:type="dxa"/>
          </w:tblCellMar>
        </w:tblPrEx>
        <w:trPr>
          <w:trHeight w:val="23" w:hRule="atLeast"/>
          <w:jc w:val="center"/>
        </w:trPr>
        <w:tc>
          <w:tcPr>
            <w:tcW w:w="371" w:type="pct"/>
            <w:tcBorders>
              <w:top w:val="single" w:color="auto" w:sz="4" w:space="0"/>
              <w:left w:val="single" w:color="auto" w:sz="4" w:space="0"/>
            </w:tcBorders>
            <w:shd w:val="clear" w:color="auto" w:fill="FFFFFF"/>
            <w:noWrap w:val="0"/>
            <w:vAlign w:val="center"/>
          </w:tcPr>
          <w:p>
            <w:pPr>
              <w:pStyle w:val="63"/>
              <w:spacing w:line="240" w:lineRule="auto"/>
              <w:ind w:firstLine="0"/>
              <w:jc w:val="center"/>
              <w:rPr>
                <w:rFonts w:hint="eastAsia"/>
                <w:color w:val="auto"/>
                <w:sz w:val="24"/>
                <w:szCs w:val="24"/>
                <w:highlight w:val="none"/>
              </w:rPr>
            </w:pPr>
            <w:r>
              <w:rPr>
                <w:rFonts w:hint="eastAsia"/>
                <w:color w:val="auto"/>
                <w:sz w:val="24"/>
                <w:szCs w:val="24"/>
                <w:highlight w:val="none"/>
              </w:rPr>
              <w:t>4</w:t>
            </w:r>
          </w:p>
        </w:tc>
        <w:tc>
          <w:tcPr>
            <w:tcW w:w="833" w:type="pct"/>
            <w:tcBorders>
              <w:top w:val="single" w:color="auto" w:sz="4" w:space="0"/>
              <w:left w:val="single" w:color="auto" w:sz="4" w:space="0"/>
            </w:tcBorders>
            <w:shd w:val="clear" w:color="auto" w:fill="FFFFFF"/>
            <w:noWrap w:val="0"/>
            <w:vAlign w:val="center"/>
          </w:tcPr>
          <w:p>
            <w:pPr>
              <w:pStyle w:val="63"/>
              <w:spacing w:line="313" w:lineRule="exact"/>
              <w:ind w:firstLine="0"/>
              <w:jc w:val="center"/>
              <w:rPr>
                <w:rFonts w:hint="eastAsia"/>
                <w:color w:val="auto"/>
                <w:sz w:val="24"/>
                <w:szCs w:val="24"/>
                <w:highlight w:val="none"/>
              </w:rPr>
            </w:pPr>
            <w:r>
              <w:rPr>
                <w:rFonts w:hint="eastAsia"/>
                <w:color w:val="auto"/>
                <w:sz w:val="24"/>
                <w:szCs w:val="24"/>
                <w:highlight w:val="none"/>
              </w:rPr>
              <w:t>对供应商的资格要求</w:t>
            </w:r>
          </w:p>
        </w:tc>
        <w:tc>
          <w:tcPr>
            <w:tcW w:w="3795" w:type="pct"/>
            <w:tcBorders>
              <w:top w:val="single" w:color="auto" w:sz="4" w:space="0"/>
              <w:left w:val="single" w:color="auto" w:sz="4" w:space="0"/>
              <w:right w:val="single" w:color="auto" w:sz="4" w:space="0"/>
            </w:tcBorders>
            <w:shd w:val="clear" w:color="auto" w:fill="FFFFFF"/>
            <w:noWrap w:val="0"/>
            <w:vAlign w:val="center"/>
          </w:tcPr>
          <w:p>
            <w:pPr>
              <w:pStyle w:val="63"/>
              <w:spacing w:line="316" w:lineRule="exact"/>
              <w:ind w:firstLine="0"/>
              <w:jc w:val="left"/>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、满足《中华人民共和国政府采购法》第二十二条规定</w:t>
            </w:r>
            <w:r>
              <w:rPr>
                <w:rFonts w:hint="eastAsia"/>
                <w:color w:val="auto"/>
                <w:sz w:val="24"/>
                <w:szCs w:val="24"/>
                <w:highlight w:val="none"/>
                <w:lang w:val="en-US" w:eastAsia="zh-CN"/>
              </w:rPr>
              <w:t xml:space="preserve">。 </w:t>
            </w:r>
          </w:p>
          <w:p>
            <w:pPr>
              <w:pStyle w:val="63"/>
              <w:spacing w:line="316" w:lineRule="exact"/>
              <w:ind w:firstLine="0"/>
              <w:jc w:val="left"/>
              <w:rPr>
                <w:rFonts w:hint="eastAsia"/>
                <w:color w:val="auto"/>
                <w:sz w:val="24"/>
                <w:szCs w:val="24"/>
                <w:highlight w:val="none"/>
              </w:rPr>
            </w:pPr>
            <w:r>
              <w:rPr>
                <w:rFonts w:hint="eastAsia"/>
                <w:color w:val="auto"/>
                <w:sz w:val="24"/>
                <w:szCs w:val="24"/>
                <w:highlight w:val="none"/>
              </w:rPr>
              <w:t>2、单位负责人为同一人或者存在直接控股、管理关系的不同供应商，不得参加本项目采购活动</w:t>
            </w:r>
            <w:r>
              <w:rPr>
                <w:rFonts w:hint="eastAsia"/>
                <w:color w:val="auto"/>
                <w:sz w:val="24"/>
                <w:szCs w:val="24"/>
                <w:highlight w:val="none"/>
                <w:lang w:val="en-US" w:eastAsia="zh-CN"/>
              </w:rPr>
              <w:t>。</w:t>
            </w:r>
          </w:p>
          <w:p>
            <w:pPr>
              <w:pStyle w:val="63"/>
              <w:spacing w:line="316" w:lineRule="exact"/>
              <w:ind w:firstLine="0"/>
              <w:jc w:val="left"/>
              <w:rPr>
                <w:rFonts w:hint="eastAsia"/>
                <w:color w:val="auto"/>
                <w:sz w:val="24"/>
                <w:szCs w:val="24"/>
                <w:highlight w:val="none"/>
              </w:rPr>
            </w:pPr>
            <w:r>
              <w:rPr>
                <w:rFonts w:hint="eastAsia"/>
                <w:color w:val="auto"/>
                <w:sz w:val="24"/>
                <w:szCs w:val="24"/>
                <w:highlight w:val="none"/>
              </w:rPr>
              <w:t>根据《政府</w:t>
            </w:r>
            <w:r>
              <w:rPr>
                <w:rFonts w:hint="eastAsia"/>
                <w:color w:val="auto"/>
                <w:sz w:val="24"/>
                <w:szCs w:val="24"/>
                <w:highlight w:val="none"/>
                <w:lang w:eastAsia="zh-CN"/>
              </w:rPr>
              <w:t>采</w:t>
            </w:r>
            <w:r>
              <w:rPr>
                <w:rFonts w:hint="eastAsia"/>
                <w:color w:val="auto"/>
                <w:sz w:val="24"/>
                <w:szCs w:val="24"/>
                <w:highlight w:val="none"/>
              </w:rPr>
              <w:t>购促进中小企业发展管理办法》（财库〔2020〕46号）的规定，不得以企业注册资本、资产总额、营业收入、从业人员、利润、纳税额等规模条件和财务指标作为供应商的资格要求或者评审因素，不得在企业股权结构、经营年限等方面对中小企业实行差别待遇或者歧视待遇。</w:t>
            </w:r>
          </w:p>
        </w:tc>
      </w:tr>
      <w:tr>
        <w:tblPrEx>
          <w:tblCellMar>
            <w:top w:w="0" w:type="dxa"/>
            <w:left w:w="10" w:type="dxa"/>
            <w:bottom w:w="0" w:type="dxa"/>
            <w:right w:w="10" w:type="dxa"/>
          </w:tblCellMar>
        </w:tblPrEx>
        <w:trPr>
          <w:trHeight w:val="1319" w:hRule="atLeast"/>
          <w:jc w:val="center"/>
        </w:trPr>
        <w:tc>
          <w:tcPr>
            <w:tcW w:w="371" w:type="pct"/>
            <w:vMerge w:val="restart"/>
            <w:tcBorders>
              <w:top w:val="single" w:color="auto" w:sz="4" w:space="0"/>
              <w:left w:val="single" w:color="auto" w:sz="4" w:space="0"/>
            </w:tcBorders>
            <w:shd w:val="clear" w:color="auto" w:fill="FFFFFF"/>
            <w:noWrap w:val="0"/>
            <w:vAlign w:val="center"/>
          </w:tcPr>
          <w:p>
            <w:pPr>
              <w:pStyle w:val="63"/>
              <w:spacing w:line="240" w:lineRule="auto"/>
              <w:ind w:firstLine="0"/>
              <w:jc w:val="center"/>
              <w:rPr>
                <w:rFonts w:hint="eastAsia"/>
                <w:color w:val="auto"/>
                <w:sz w:val="24"/>
                <w:szCs w:val="24"/>
                <w:highlight w:val="none"/>
              </w:rPr>
            </w:pPr>
            <w:r>
              <w:rPr>
                <w:rFonts w:hint="eastAsia"/>
                <w:color w:val="auto"/>
                <w:sz w:val="24"/>
                <w:szCs w:val="24"/>
                <w:highlight w:val="none"/>
              </w:rPr>
              <w:t>5</w:t>
            </w:r>
          </w:p>
        </w:tc>
        <w:tc>
          <w:tcPr>
            <w:tcW w:w="833" w:type="pct"/>
            <w:vMerge w:val="restart"/>
            <w:tcBorders>
              <w:top w:val="single" w:color="auto" w:sz="4" w:space="0"/>
              <w:left w:val="single" w:color="auto" w:sz="4" w:space="0"/>
            </w:tcBorders>
            <w:shd w:val="clear" w:color="auto" w:fill="FFFFFF"/>
            <w:noWrap w:val="0"/>
            <w:vAlign w:val="center"/>
          </w:tcPr>
          <w:p>
            <w:pPr>
              <w:pStyle w:val="63"/>
              <w:spacing w:line="317" w:lineRule="exact"/>
              <w:ind w:firstLine="0"/>
              <w:jc w:val="center"/>
              <w:rPr>
                <w:rFonts w:hint="eastAsia"/>
                <w:color w:val="auto"/>
                <w:sz w:val="24"/>
                <w:szCs w:val="24"/>
                <w:highlight w:val="none"/>
              </w:rPr>
            </w:pPr>
            <w:r>
              <w:rPr>
                <w:rFonts w:hint="eastAsia"/>
                <w:color w:val="auto"/>
                <w:sz w:val="24"/>
                <w:szCs w:val="24"/>
                <w:highlight w:val="none"/>
              </w:rPr>
              <w:t>是否允许进口产品</w:t>
            </w:r>
          </w:p>
        </w:tc>
        <w:tc>
          <w:tcPr>
            <w:tcW w:w="3795" w:type="pct"/>
            <w:tcBorders>
              <w:top w:val="single" w:color="auto" w:sz="4" w:space="0"/>
              <w:left w:val="single" w:color="auto" w:sz="4" w:space="0"/>
              <w:right w:val="single" w:color="auto" w:sz="4" w:space="0"/>
            </w:tcBorders>
            <w:shd w:val="clear" w:color="auto" w:fill="FFFFFF"/>
            <w:noWrap w:val="0"/>
            <w:vAlign w:val="top"/>
          </w:tcPr>
          <w:p>
            <w:pPr>
              <w:pStyle w:val="63"/>
              <w:spacing w:after="60" w:line="240" w:lineRule="auto"/>
              <w:ind w:firstLine="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zh-CN" w:eastAsia="zh-CN"/>
              </w:rPr>
              <w:t>允许</w:t>
            </w:r>
            <w:r>
              <w:rPr>
                <w:rFonts w:hint="eastAsia"/>
                <w:color w:val="auto"/>
                <w:sz w:val="24"/>
                <w:szCs w:val="24"/>
                <w:highlight w:val="none"/>
              </w:rPr>
              <w:t>（须提供财政部门审核通过的复印件）</w:t>
            </w:r>
          </w:p>
          <w:p>
            <w:pPr>
              <w:pStyle w:val="63"/>
              <w:spacing w:line="313" w:lineRule="exact"/>
              <w:ind w:firstLine="0"/>
              <w:jc w:val="both"/>
              <w:rPr>
                <w:rFonts w:hint="eastAsia"/>
                <w:color w:val="auto"/>
                <w:sz w:val="24"/>
                <w:szCs w:val="24"/>
                <w:highlight w:val="none"/>
              </w:rPr>
            </w:pPr>
            <w:r>
              <w:rPr>
                <w:rFonts w:hint="eastAsia"/>
                <w:color w:val="auto"/>
                <w:sz w:val="24"/>
                <w:szCs w:val="24"/>
                <w:highlight w:val="none"/>
              </w:rPr>
              <w:t>根据《政府采购进口产品管理办法》（财库〔20</w:t>
            </w:r>
            <w:r>
              <w:rPr>
                <w:rFonts w:hint="eastAsia"/>
                <w:color w:val="auto"/>
                <w:sz w:val="24"/>
                <w:szCs w:val="24"/>
                <w:highlight w:val="none"/>
                <w:lang w:val="en-US" w:eastAsia="zh-CN"/>
              </w:rPr>
              <w:t>07</w:t>
            </w:r>
            <w:r>
              <w:rPr>
                <w:rFonts w:hint="eastAsia"/>
                <w:color w:val="auto"/>
                <w:sz w:val="24"/>
                <w:szCs w:val="24"/>
                <w:highlight w:val="none"/>
              </w:rPr>
              <w:t>〕119号）的规定，</w:t>
            </w:r>
            <w:r>
              <w:rPr>
                <w:rFonts w:hint="eastAsia"/>
                <w:color w:val="auto"/>
                <w:sz w:val="24"/>
                <w:szCs w:val="24"/>
                <w:highlight w:val="none"/>
                <w:lang w:eastAsia="zh-CN"/>
              </w:rPr>
              <w:t>采</w:t>
            </w:r>
            <w:r>
              <w:rPr>
                <w:rFonts w:hint="eastAsia"/>
                <w:color w:val="auto"/>
                <w:sz w:val="24"/>
                <w:szCs w:val="24"/>
                <w:highlight w:val="none"/>
              </w:rPr>
              <w:t>购人采购进口产品时，必须在</w:t>
            </w:r>
            <w:r>
              <w:rPr>
                <w:rFonts w:hint="eastAsia"/>
                <w:color w:val="auto"/>
                <w:sz w:val="24"/>
                <w:szCs w:val="24"/>
                <w:highlight w:val="none"/>
                <w:lang w:eastAsia="zh-CN"/>
              </w:rPr>
              <w:t>采</w:t>
            </w:r>
            <w:r>
              <w:rPr>
                <w:rFonts w:hint="eastAsia"/>
                <w:color w:val="auto"/>
                <w:sz w:val="24"/>
                <w:szCs w:val="24"/>
                <w:highlight w:val="none"/>
              </w:rPr>
              <w:t>购活动开始前向财政部门提出申请并获得财政部门审核同意后，才能开展</w:t>
            </w:r>
            <w:r>
              <w:rPr>
                <w:rFonts w:hint="eastAsia"/>
                <w:color w:val="auto"/>
                <w:sz w:val="24"/>
                <w:szCs w:val="24"/>
                <w:highlight w:val="none"/>
                <w:lang w:eastAsia="zh-CN"/>
              </w:rPr>
              <w:t>采</w:t>
            </w:r>
            <w:r>
              <w:rPr>
                <w:rFonts w:hint="eastAsia"/>
                <w:color w:val="auto"/>
                <w:sz w:val="24"/>
                <w:szCs w:val="24"/>
                <w:highlight w:val="none"/>
              </w:rPr>
              <w:t>购活动。且不得因此排斥国产产品，满足需求的国产产品依然可以参与竞争。</w:t>
            </w:r>
            <w:r>
              <w:rPr>
                <w:rFonts w:hint="eastAsia"/>
                <w:color w:val="auto"/>
                <w:sz w:val="24"/>
                <w:szCs w:val="24"/>
                <w:highlight w:val="none"/>
                <w:lang w:val="zh-CN" w:eastAsia="zh-CN" w:bidi="zh-CN"/>
              </w:rPr>
              <w:t>“进口</w:t>
            </w:r>
            <w:r>
              <w:rPr>
                <w:rFonts w:hint="eastAsia"/>
                <w:color w:val="auto"/>
                <w:sz w:val="24"/>
                <w:szCs w:val="24"/>
                <w:highlight w:val="none"/>
              </w:rPr>
              <w:t>产品的认定</w:t>
            </w:r>
            <w:r>
              <w:rPr>
                <w:rFonts w:hint="eastAsia"/>
                <w:color w:val="auto"/>
                <w:sz w:val="24"/>
                <w:szCs w:val="24"/>
                <w:highlight w:val="none"/>
                <w:lang w:eastAsia="zh-CN"/>
              </w:rPr>
              <w:t>”</w:t>
            </w:r>
            <w:r>
              <w:rPr>
                <w:rFonts w:hint="eastAsia"/>
                <w:color w:val="auto"/>
                <w:sz w:val="24"/>
                <w:szCs w:val="24"/>
                <w:highlight w:val="none"/>
              </w:rPr>
              <w:t>参见《关于政府</w:t>
            </w:r>
            <w:r>
              <w:rPr>
                <w:rFonts w:hint="eastAsia"/>
                <w:color w:val="auto"/>
                <w:sz w:val="24"/>
                <w:szCs w:val="24"/>
                <w:highlight w:val="none"/>
                <w:lang w:eastAsia="zh-CN"/>
              </w:rPr>
              <w:t>采</w:t>
            </w:r>
            <w:r>
              <w:rPr>
                <w:rFonts w:hint="eastAsia"/>
                <w:color w:val="auto"/>
                <w:sz w:val="24"/>
                <w:szCs w:val="24"/>
                <w:highlight w:val="none"/>
              </w:rPr>
              <w:t>购进口产品管理有关问题的通知》（财办库〔2008〕248号）文件有关规定。</w:t>
            </w:r>
          </w:p>
          <w:p>
            <w:pPr>
              <w:pStyle w:val="63"/>
              <w:spacing w:after="60" w:line="240" w:lineRule="auto"/>
              <w:ind w:firstLine="0"/>
              <w:rPr>
                <w:rFonts w:hint="eastAsia"/>
                <w:color w:val="auto"/>
                <w:sz w:val="24"/>
                <w:szCs w:val="24"/>
                <w:highlight w:val="none"/>
              </w:rPr>
            </w:pPr>
            <w:r>
              <w:rPr>
                <w:rFonts w:hint="eastAsia"/>
                <w:color w:val="auto"/>
                <w:sz w:val="24"/>
                <w:szCs w:val="24"/>
                <w:highlight w:val="none"/>
                <w:lang w:val="zh-CN" w:eastAsia="zh-CN"/>
              </w:rPr>
              <w:fldChar w:fldCharType="begin"/>
            </w:r>
            <w:r>
              <w:rPr>
                <w:rFonts w:hint="eastAsia"/>
                <w:color w:val="auto"/>
                <w:sz w:val="24"/>
                <w:szCs w:val="24"/>
                <w:highlight w:val="none"/>
                <w:lang w:val="zh-CN" w:eastAsia="zh-CN"/>
              </w:rPr>
              <w:instrText xml:space="preserve"> EQ \o\ac(</w:instrText>
            </w:r>
            <w:r>
              <w:rPr>
                <w:rFonts w:hint="eastAsia"/>
                <w:color w:val="auto"/>
                <w:position w:val="-4"/>
                <w:sz w:val="36"/>
                <w:szCs w:val="24"/>
                <w:highlight w:val="none"/>
                <w:lang w:val="zh-CN" w:eastAsia="zh-CN"/>
              </w:rPr>
              <w:instrText xml:space="preserve">○</w:instrText>
            </w:r>
            <w:r>
              <w:rPr>
                <w:rFonts w:hint="eastAsia"/>
                <w:color w:val="auto"/>
                <w:sz w:val="24"/>
                <w:szCs w:val="24"/>
                <w:highlight w:val="none"/>
                <w:lang w:val="zh-CN" w:eastAsia="zh-CN"/>
              </w:rPr>
              <w:instrText xml:space="preserve">,√)</w:instrText>
            </w:r>
            <w:r>
              <w:rPr>
                <w:rFonts w:hint="eastAsia"/>
                <w:color w:val="auto"/>
                <w:sz w:val="24"/>
                <w:szCs w:val="24"/>
                <w:highlight w:val="none"/>
                <w:lang w:val="zh-CN" w:eastAsia="zh-CN"/>
              </w:rPr>
              <w:fldChar w:fldCharType="end"/>
            </w:r>
            <w:r>
              <w:rPr>
                <w:rFonts w:hint="eastAsia"/>
                <w:color w:val="auto"/>
                <w:sz w:val="24"/>
                <w:szCs w:val="24"/>
                <w:highlight w:val="none"/>
              </w:rPr>
              <w:t>不允许</w:t>
            </w:r>
          </w:p>
          <w:p>
            <w:pPr>
              <w:pStyle w:val="63"/>
              <w:spacing w:line="240" w:lineRule="auto"/>
              <w:ind w:firstLine="0"/>
              <w:rPr>
                <w:rFonts w:hint="eastAsia"/>
                <w:color w:val="auto"/>
                <w:sz w:val="24"/>
                <w:szCs w:val="24"/>
                <w:highlight w:val="none"/>
              </w:rPr>
            </w:pPr>
            <w:r>
              <w:rPr>
                <w:rFonts w:hint="eastAsia"/>
                <w:color w:val="auto"/>
                <w:sz w:val="24"/>
                <w:szCs w:val="24"/>
                <w:highlight w:val="none"/>
              </w:rPr>
              <w:t>所投产品为进口产品时，将被视为无效投标。</w:t>
            </w:r>
          </w:p>
        </w:tc>
      </w:tr>
      <w:tr>
        <w:tblPrEx>
          <w:tblCellMar>
            <w:top w:w="0" w:type="dxa"/>
            <w:left w:w="10" w:type="dxa"/>
            <w:bottom w:w="0" w:type="dxa"/>
            <w:right w:w="10" w:type="dxa"/>
          </w:tblCellMar>
        </w:tblPrEx>
        <w:trPr>
          <w:trHeight w:val="2036" w:hRule="atLeast"/>
          <w:jc w:val="center"/>
        </w:trPr>
        <w:tc>
          <w:tcPr>
            <w:tcW w:w="371" w:type="pct"/>
            <w:vMerge w:val="restart"/>
            <w:tcBorders>
              <w:top w:val="single" w:color="auto" w:sz="4" w:space="0"/>
              <w:left w:val="single" w:color="auto" w:sz="4" w:space="0"/>
            </w:tcBorders>
            <w:shd w:val="clear" w:color="auto" w:fill="FFFFFF"/>
            <w:noWrap w:val="0"/>
            <w:vAlign w:val="center"/>
          </w:tcPr>
          <w:p>
            <w:pPr>
              <w:pStyle w:val="63"/>
              <w:spacing w:line="240" w:lineRule="auto"/>
              <w:ind w:firstLine="0"/>
              <w:jc w:val="center"/>
              <w:rPr>
                <w:rFonts w:hint="eastAsia"/>
                <w:color w:val="auto"/>
                <w:sz w:val="24"/>
                <w:szCs w:val="24"/>
                <w:highlight w:val="none"/>
              </w:rPr>
            </w:pPr>
            <w:r>
              <w:rPr>
                <w:rFonts w:hint="eastAsia"/>
                <w:color w:val="auto"/>
                <w:sz w:val="24"/>
                <w:szCs w:val="24"/>
                <w:highlight w:val="none"/>
              </w:rPr>
              <w:t>6</w:t>
            </w:r>
          </w:p>
        </w:tc>
        <w:tc>
          <w:tcPr>
            <w:tcW w:w="833" w:type="pct"/>
            <w:vMerge w:val="restart"/>
            <w:tcBorders>
              <w:top w:val="single" w:color="auto" w:sz="4" w:space="0"/>
              <w:left w:val="single" w:color="auto" w:sz="4" w:space="0"/>
            </w:tcBorders>
            <w:shd w:val="clear" w:color="auto" w:fill="FFFFFF"/>
            <w:noWrap w:val="0"/>
            <w:vAlign w:val="center"/>
          </w:tcPr>
          <w:p>
            <w:pPr>
              <w:pStyle w:val="63"/>
              <w:spacing w:line="306" w:lineRule="exact"/>
              <w:ind w:firstLine="0"/>
              <w:jc w:val="center"/>
              <w:rPr>
                <w:rFonts w:hint="eastAsia"/>
                <w:color w:val="auto"/>
                <w:sz w:val="24"/>
                <w:szCs w:val="24"/>
                <w:highlight w:val="none"/>
              </w:rPr>
            </w:pPr>
            <w:r>
              <w:rPr>
                <w:rFonts w:hint="eastAsia"/>
                <w:color w:val="auto"/>
                <w:sz w:val="24"/>
                <w:szCs w:val="24"/>
                <w:highlight w:val="none"/>
              </w:rPr>
              <w:t>是否接受联合体投标</w:t>
            </w:r>
          </w:p>
        </w:tc>
        <w:tc>
          <w:tcPr>
            <w:tcW w:w="3795" w:type="pct"/>
            <w:tcBorders>
              <w:top w:val="single" w:color="auto" w:sz="4" w:space="0"/>
              <w:left w:val="single" w:color="auto" w:sz="4" w:space="0"/>
              <w:right w:val="single" w:color="auto" w:sz="4" w:space="0"/>
            </w:tcBorders>
            <w:shd w:val="clear" w:color="auto" w:fill="FFFFFF"/>
            <w:noWrap w:val="0"/>
            <w:vAlign w:val="top"/>
          </w:tcPr>
          <w:p>
            <w:pPr>
              <w:pStyle w:val="63"/>
              <w:spacing w:after="60" w:line="240" w:lineRule="auto"/>
              <w:ind w:firstLine="0"/>
              <w:rPr>
                <w:rFonts w:hint="eastAsia"/>
                <w:color w:val="auto"/>
                <w:sz w:val="24"/>
                <w:szCs w:val="24"/>
                <w:highlight w:val="none"/>
              </w:rPr>
            </w:pPr>
            <w:r>
              <w:rPr>
                <w:rFonts w:hint="eastAsia"/>
                <w:color w:val="auto"/>
                <w:sz w:val="24"/>
                <w:szCs w:val="24"/>
                <w:highlight w:val="none"/>
              </w:rPr>
              <w:t>◯接受</w:t>
            </w:r>
          </w:p>
          <w:p>
            <w:pPr>
              <w:pStyle w:val="63"/>
              <w:spacing w:line="310" w:lineRule="exact"/>
              <w:ind w:firstLine="0"/>
              <w:jc w:val="both"/>
              <w:rPr>
                <w:rFonts w:hint="eastAsia"/>
                <w:color w:val="auto"/>
                <w:sz w:val="24"/>
                <w:szCs w:val="24"/>
                <w:highlight w:val="none"/>
              </w:rPr>
            </w:pPr>
            <w:r>
              <w:rPr>
                <w:rFonts w:hint="eastAsia"/>
                <w:color w:val="auto"/>
                <w:sz w:val="24"/>
                <w:szCs w:val="24"/>
                <w:highlight w:val="none"/>
              </w:rPr>
              <w:t>对于联合体协议或者分包意向协议约定小微企业的合同份额占到合同总金额30%以上的，对联合体或者大中型企业的报价给予</w:t>
            </w:r>
            <w:r>
              <w:rPr>
                <w:rFonts w:hint="eastAsia"/>
                <w:color w:val="auto"/>
                <w:sz w:val="24"/>
                <w:szCs w:val="24"/>
                <w:highlight w:val="none"/>
                <w:u w:val="single"/>
                <w:lang w:val="en-US" w:eastAsia="zh-CN"/>
              </w:rPr>
              <w:t xml:space="preserve">     </w:t>
            </w:r>
            <w:r>
              <w:rPr>
                <w:rFonts w:hint="eastAsia"/>
                <w:color w:val="auto"/>
                <w:sz w:val="24"/>
                <w:szCs w:val="24"/>
                <w:highlight w:val="none"/>
              </w:rPr>
              <w:t>% （2%-3%）的扣除，用扣除后的报价参加评审。</w:t>
            </w:r>
          </w:p>
          <w:p>
            <w:pPr>
              <w:pStyle w:val="63"/>
              <w:spacing w:before="100" w:line="240" w:lineRule="auto"/>
              <w:ind w:firstLine="0"/>
              <w:jc w:val="both"/>
              <w:rPr>
                <w:rFonts w:hint="eastAsia"/>
                <w:color w:val="auto"/>
                <w:sz w:val="24"/>
                <w:szCs w:val="24"/>
                <w:highlight w:val="none"/>
              </w:rPr>
            </w:pPr>
            <w:r>
              <w:rPr>
                <w:rFonts w:hint="eastAsia"/>
                <w:color w:val="auto"/>
                <w:sz w:val="24"/>
                <w:szCs w:val="24"/>
                <w:highlight w:val="none"/>
                <w:lang w:val="zh-CN" w:eastAsia="zh-CN"/>
              </w:rPr>
              <w:fldChar w:fldCharType="begin"/>
            </w:r>
            <w:r>
              <w:rPr>
                <w:rFonts w:hint="eastAsia"/>
                <w:color w:val="auto"/>
                <w:sz w:val="24"/>
                <w:szCs w:val="24"/>
                <w:highlight w:val="none"/>
                <w:lang w:val="zh-CN" w:eastAsia="zh-CN"/>
              </w:rPr>
              <w:instrText xml:space="preserve"> EQ \o\ac(</w:instrText>
            </w:r>
            <w:r>
              <w:rPr>
                <w:rFonts w:hint="eastAsia"/>
                <w:color w:val="auto"/>
                <w:position w:val="-4"/>
                <w:sz w:val="36"/>
                <w:szCs w:val="24"/>
                <w:highlight w:val="none"/>
                <w:lang w:val="zh-CN" w:eastAsia="zh-CN"/>
              </w:rPr>
              <w:instrText xml:space="preserve">○</w:instrText>
            </w:r>
            <w:r>
              <w:rPr>
                <w:rFonts w:hint="eastAsia"/>
                <w:color w:val="auto"/>
                <w:sz w:val="24"/>
                <w:szCs w:val="24"/>
                <w:highlight w:val="none"/>
                <w:lang w:val="zh-CN" w:eastAsia="zh-CN"/>
              </w:rPr>
              <w:instrText xml:space="preserve">,√)</w:instrText>
            </w:r>
            <w:r>
              <w:rPr>
                <w:rFonts w:hint="eastAsia"/>
                <w:color w:val="auto"/>
                <w:sz w:val="24"/>
                <w:szCs w:val="24"/>
                <w:highlight w:val="none"/>
                <w:lang w:val="zh-CN" w:eastAsia="zh-CN"/>
              </w:rPr>
              <w:fldChar w:fldCharType="end"/>
            </w:r>
            <w:r>
              <w:rPr>
                <w:rFonts w:hint="eastAsia"/>
                <w:color w:val="auto"/>
                <w:sz w:val="24"/>
                <w:szCs w:val="24"/>
                <w:highlight w:val="none"/>
              </w:rPr>
              <w:t>不接受</w:t>
            </w:r>
          </w:p>
        </w:tc>
      </w:tr>
      <w:tr>
        <w:tblPrEx>
          <w:tblCellMar>
            <w:top w:w="0" w:type="dxa"/>
            <w:left w:w="10" w:type="dxa"/>
            <w:bottom w:w="0" w:type="dxa"/>
            <w:right w:w="10" w:type="dxa"/>
          </w:tblCellMar>
        </w:tblPrEx>
        <w:trPr>
          <w:trHeight w:val="1742" w:hRule="atLeast"/>
          <w:jc w:val="center"/>
        </w:trPr>
        <w:tc>
          <w:tcPr>
            <w:tcW w:w="371" w:type="pct"/>
            <w:tcBorders>
              <w:top w:val="single" w:color="auto" w:sz="4" w:space="0"/>
              <w:left w:val="single" w:color="auto" w:sz="4" w:space="0"/>
            </w:tcBorders>
            <w:shd w:val="clear" w:color="auto" w:fill="FFFFFF"/>
            <w:noWrap w:val="0"/>
            <w:vAlign w:val="center"/>
          </w:tcPr>
          <w:p>
            <w:pPr>
              <w:pStyle w:val="63"/>
              <w:spacing w:line="240" w:lineRule="auto"/>
              <w:ind w:firstLine="0"/>
              <w:jc w:val="center"/>
              <w:rPr>
                <w:rFonts w:hint="eastAsia"/>
                <w:color w:val="auto"/>
                <w:sz w:val="24"/>
                <w:szCs w:val="24"/>
                <w:highlight w:val="none"/>
              </w:rPr>
            </w:pPr>
            <w:r>
              <w:rPr>
                <w:rFonts w:hint="eastAsia"/>
                <w:color w:val="auto"/>
                <w:sz w:val="24"/>
                <w:szCs w:val="24"/>
                <w:highlight w:val="none"/>
              </w:rPr>
              <w:t>7</w:t>
            </w:r>
          </w:p>
        </w:tc>
        <w:tc>
          <w:tcPr>
            <w:tcW w:w="833" w:type="pct"/>
            <w:tcBorders>
              <w:top w:val="single" w:color="auto" w:sz="4" w:space="0"/>
              <w:left w:val="single" w:color="auto" w:sz="4" w:space="0"/>
            </w:tcBorders>
            <w:shd w:val="clear" w:color="auto" w:fill="FFFFFF"/>
            <w:noWrap w:val="0"/>
            <w:vAlign w:val="center"/>
          </w:tcPr>
          <w:p>
            <w:pPr>
              <w:pStyle w:val="63"/>
              <w:spacing w:line="240" w:lineRule="auto"/>
              <w:ind w:left="0" w:leftChars="0" w:firstLine="0" w:firstLineChars="0"/>
              <w:rPr>
                <w:rFonts w:hint="eastAsia"/>
                <w:color w:val="auto"/>
                <w:sz w:val="24"/>
                <w:szCs w:val="24"/>
                <w:highlight w:val="none"/>
              </w:rPr>
            </w:pPr>
            <w:r>
              <w:rPr>
                <w:rFonts w:hint="eastAsia"/>
                <w:color w:val="auto"/>
                <w:sz w:val="24"/>
                <w:szCs w:val="24"/>
                <w:highlight w:val="none"/>
              </w:rPr>
              <w:t>履约保证金</w:t>
            </w:r>
          </w:p>
        </w:tc>
        <w:tc>
          <w:tcPr>
            <w:tcW w:w="3795" w:type="pct"/>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63"/>
              <w:spacing w:line="306" w:lineRule="exact"/>
              <w:ind w:firstLine="0"/>
              <w:rPr>
                <w:rFonts w:hint="eastAsia"/>
                <w:color w:val="auto"/>
                <w:sz w:val="24"/>
                <w:szCs w:val="24"/>
                <w:highlight w:val="none"/>
              </w:rPr>
            </w:pPr>
            <w:r>
              <w:rPr>
                <w:rFonts w:hint="eastAsia"/>
                <w:color w:val="auto"/>
                <w:sz w:val="24"/>
                <w:szCs w:val="24"/>
                <w:highlight w:val="none"/>
              </w:rPr>
              <w:t>占政府</w:t>
            </w:r>
            <w:r>
              <w:rPr>
                <w:rFonts w:hint="eastAsia"/>
                <w:color w:val="auto"/>
                <w:sz w:val="24"/>
                <w:szCs w:val="24"/>
                <w:highlight w:val="none"/>
                <w:lang w:eastAsia="zh-CN"/>
              </w:rPr>
              <w:t>采</w:t>
            </w:r>
            <w:r>
              <w:rPr>
                <w:rFonts w:hint="eastAsia"/>
                <w:color w:val="auto"/>
                <w:sz w:val="24"/>
                <w:szCs w:val="24"/>
                <w:highlight w:val="none"/>
              </w:rPr>
              <w:t>购合同金额的</w:t>
            </w:r>
            <w:r>
              <w:rPr>
                <w:rFonts w:hint="eastAsia"/>
                <w:color w:val="auto"/>
                <w:sz w:val="24"/>
                <w:szCs w:val="24"/>
                <w:highlight w:val="none"/>
                <w:u w:val="single"/>
                <w:lang w:val="en-US" w:eastAsia="zh-CN"/>
              </w:rPr>
              <w:t xml:space="preserve"> 0 </w:t>
            </w:r>
            <w:r>
              <w:rPr>
                <w:rFonts w:hint="eastAsia"/>
                <w:color w:val="auto"/>
                <w:sz w:val="24"/>
                <w:szCs w:val="24"/>
                <w:highlight w:val="none"/>
              </w:rPr>
              <w:t>％</w:t>
            </w:r>
          </w:p>
          <w:p>
            <w:pPr>
              <w:pStyle w:val="63"/>
              <w:spacing w:line="306" w:lineRule="exact"/>
              <w:ind w:firstLine="0"/>
              <w:rPr>
                <w:rFonts w:hint="eastAsia"/>
                <w:color w:val="auto"/>
                <w:sz w:val="24"/>
                <w:szCs w:val="24"/>
                <w:highlight w:val="none"/>
              </w:rPr>
            </w:pPr>
            <w:r>
              <w:rPr>
                <w:rFonts w:hint="eastAsia"/>
                <w:color w:val="auto"/>
                <w:sz w:val="24"/>
                <w:szCs w:val="24"/>
                <w:highlight w:val="none"/>
              </w:rPr>
              <w:t>履约保证金的数额不得超过政府采购合同金额的10%；对于单价合同，其数额不得超过</w:t>
            </w:r>
            <w:r>
              <w:rPr>
                <w:rFonts w:hint="eastAsia"/>
                <w:color w:val="auto"/>
                <w:sz w:val="24"/>
                <w:szCs w:val="24"/>
                <w:highlight w:val="none"/>
                <w:lang w:eastAsia="zh-CN"/>
              </w:rPr>
              <w:t>采</w:t>
            </w:r>
            <w:r>
              <w:rPr>
                <w:rFonts w:hint="eastAsia"/>
                <w:color w:val="auto"/>
                <w:sz w:val="24"/>
                <w:szCs w:val="24"/>
                <w:highlight w:val="none"/>
              </w:rPr>
              <w:t>购预算的10%</w:t>
            </w:r>
          </w:p>
          <w:p>
            <w:pPr>
              <w:pStyle w:val="63"/>
              <w:spacing w:before="100" w:line="240" w:lineRule="auto"/>
              <w:ind w:firstLine="0"/>
              <w:jc w:val="both"/>
              <w:rPr>
                <w:rFonts w:hint="eastAsia"/>
                <w:color w:val="auto"/>
                <w:sz w:val="24"/>
                <w:szCs w:val="24"/>
                <w:highlight w:val="none"/>
              </w:rPr>
            </w:pPr>
            <w:r>
              <w:rPr>
                <w:rFonts w:hint="eastAsia"/>
                <w:color w:val="auto"/>
                <w:sz w:val="24"/>
                <w:szCs w:val="24"/>
                <w:highlight w:val="none"/>
              </w:rPr>
              <w:t>◯由</w:t>
            </w:r>
            <w:r>
              <w:rPr>
                <w:rFonts w:hint="eastAsia"/>
                <w:color w:val="auto"/>
                <w:sz w:val="24"/>
                <w:szCs w:val="24"/>
                <w:highlight w:val="none"/>
                <w:lang w:eastAsia="zh-CN"/>
              </w:rPr>
              <w:t>采</w:t>
            </w:r>
            <w:r>
              <w:rPr>
                <w:rFonts w:hint="eastAsia"/>
                <w:color w:val="auto"/>
                <w:sz w:val="24"/>
                <w:szCs w:val="24"/>
                <w:highlight w:val="none"/>
              </w:rPr>
              <w:t>购单位自行收退</w:t>
            </w:r>
          </w:p>
          <w:p>
            <w:pPr>
              <w:pStyle w:val="63"/>
              <w:spacing w:before="100" w:line="240" w:lineRule="auto"/>
              <w:ind w:firstLine="0"/>
              <w:jc w:val="both"/>
              <w:rPr>
                <w:rFonts w:hint="eastAsia"/>
                <w:color w:val="auto"/>
                <w:sz w:val="24"/>
                <w:szCs w:val="24"/>
                <w:highlight w:val="none"/>
              </w:rPr>
            </w:pPr>
            <w:r>
              <w:rPr>
                <w:rFonts w:hint="eastAsia"/>
                <w:color w:val="auto"/>
                <w:sz w:val="24"/>
                <w:szCs w:val="24"/>
                <w:highlight w:val="none"/>
              </w:rPr>
              <w:t>◯由代理机构负责收退</w:t>
            </w:r>
          </w:p>
        </w:tc>
      </w:tr>
      <w:tr>
        <w:tblPrEx>
          <w:tblCellMar>
            <w:top w:w="0" w:type="dxa"/>
            <w:left w:w="10" w:type="dxa"/>
            <w:bottom w:w="0" w:type="dxa"/>
            <w:right w:w="10" w:type="dxa"/>
          </w:tblCellMar>
        </w:tblPrEx>
        <w:trPr>
          <w:trHeight w:val="23" w:hRule="atLeast"/>
          <w:jc w:val="center"/>
        </w:trPr>
        <w:tc>
          <w:tcPr>
            <w:tcW w:w="371" w:type="pct"/>
            <w:tcBorders>
              <w:top w:val="single" w:color="auto" w:sz="4" w:space="0"/>
              <w:left w:val="single" w:color="auto" w:sz="4" w:space="0"/>
            </w:tcBorders>
            <w:shd w:val="clear" w:color="auto" w:fill="FFFFFF"/>
            <w:noWrap w:val="0"/>
            <w:vAlign w:val="center"/>
          </w:tcPr>
          <w:p>
            <w:pPr>
              <w:pStyle w:val="63"/>
              <w:spacing w:line="240" w:lineRule="auto"/>
              <w:ind w:firstLine="220"/>
              <w:rPr>
                <w:rFonts w:hint="eastAsia"/>
                <w:color w:val="auto"/>
                <w:sz w:val="24"/>
                <w:szCs w:val="24"/>
                <w:highlight w:val="none"/>
              </w:rPr>
            </w:pPr>
            <w:r>
              <w:rPr>
                <w:rFonts w:hint="eastAsia"/>
                <w:color w:val="auto"/>
                <w:sz w:val="24"/>
                <w:szCs w:val="24"/>
                <w:highlight w:val="none"/>
              </w:rPr>
              <w:t>8</w:t>
            </w:r>
          </w:p>
        </w:tc>
        <w:tc>
          <w:tcPr>
            <w:tcW w:w="833" w:type="pct"/>
            <w:tcBorders>
              <w:top w:val="single" w:color="auto" w:sz="4" w:space="0"/>
              <w:left w:val="single" w:color="auto" w:sz="4" w:space="0"/>
            </w:tcBorders>
            <w:shd w:val="clear" w:color="auto" w:fill="FFFFFF"/>
            <w:noWrap w:val="0"/>
            <w:vAlign w:val="bottom"/>
          </w:tcPr>
          <w:p>
            <w:pPr>
              <w:pStyle w:val="63"/>
              <w:spacing w:line="317" w:lineRule="exact"/>
              <w:ind w:firstLine="0"/>
              <w:jc w:val="center"/>
              <w:rPr>
                <w:rFonts w:hint="eastAsia"/>
                <w:color w:val="auto"/>
                <w:sz w:val="24"/>
                <w:szCs w:val="24"/>
                <w:highlight w:val="none"/>
              </w:rPr>
            </w:pPr>
            <w:r>
              <w:rPr>
                <w:rFonts w:hint="eastAsia"/>
                <w:color w:val="auto"/>
                <w:sz w:val="24"/>
                <w:szCs w:val="24"/>
                <w:highlight w:val="none"/>
              </w:rPr>
              <w:t>现场踏勘和集中答疑</w:t>
            </w:r>
          </w:p>
        </w:tc>
        <w:tc>
          <w:tcPr>
            <w:tcW w:w="3795" w:type="pct"/>
            <w:tcBorders>
              <w:top w:val="single" w:color="auto" w:sz="4" w:space="0"/>
              <w:left w:val="single" w:color="auto" w:sz="4" w:space="0"/>
              <w:right w:val="single" w:color="auto" w:sz="4" w:space="0"/>
            </w:tcBorders>
            <w:shd w:val="clear" w:color="auto" w:fill="FFFFFF"/>
            <w:noWrap w:val="0"/>
            <w:vAlign w:val="bottom"/>
          </w:tcPr>
          <w:p>
            <w:pPr>
              <w:pStyle w:val="63"/>
              <w:spacing w:before="100" w:line="240" w:lineRule="auto"/>
              <w:ind w:firstLine="0"/>
              <w:jc w:val="both"/>
              <w:rPr>
                <w:rFonts w:hint="eastAsia"/>
                <w:color w:val="auto"/>
                <w:sz w:val="24"/>
                <w:szCs w:val="24"/>
                <w:highlight w:val="none"/>
                <w:u w:val="single"/>
                <w:lang w:val="en-US" w:eastAsia="zh-CN"/>
              </w:rPr>
            </w:pPr>
            <w:r>
              <w:rPr>
                <w:rFonts w:hint="eastAsia"/>
                <w:color w:val="auto"/>
                <w:sz w:val="24"/>
                <w:szCs w:val="24"/>
                <w:highlight w:val="none"/>
              </w:rPr>
              <w:t>◯组织，集结地点为：</w:t>
            </w:r>
            <w:r>
              <w:rPr>
                <w:rFonts w:hint="eastAsia"/>
                <w:color w:val="auto"/>
                <w:sz w:val="24"/>
                <w:szCs w:val="24"/>
                <w:highlight w:val="none"/>
                <w:u w:val="single"/>
                <w:lang w:val="en-US" w:eastAsia="zh-CN"/>
              </w:rPr>
              <w:t xml:space="preserve">             </w:t>
            </w:r>
          </w:p>
          <w:p>
            <w:pPr>
              <w:pStyle w:val="63"/>
              <w:spacing w:before="100" w:line="240" w:lineRule="auto"/>
              <w:ind w:firstLine="0"/>
              <w:jc w:val="both"/>
              <w:rPr>
                <w:rFonts w:hint="eastAsia"/>
                <w:color w:val="auto"/>
                <w:sz w:val="24"/>
                <w:szCs w:val="24"/>
                <w:highlight w:val="none"/>
              </w:rPr>
            </w:pPr>
            <w:r>
              <w:rPr>
                <w:rFonts w:hint="eastAsia"/>
                <w:color w:val="auto"/>
                <w:sz w:val="24"/>
                <w:szCs w:val="24"/>
                <w:highlight w:val="none"/>
                <w:lang w:val="zh-CN" w:eastAsia="zh-CN"/>
              </w:rPr>
              <w:fldChar w:fldCharType="begin"/>
            </w:r>
            <w:r>
              <w:rPr>
                <w:rFonts w:hint="eastAsia"/>
                <w:color w:val="auto"/>
                <w:sz w:val="24"/>
                <w:szCs w:val="24"/>
                <w:highlight w:val="none"/>
                <w:lang w:val="zh-CN" w:eastAsia="zh-CN"/>
              </w:rPr>
              <w:instrText xml:space="preserve"> EQ \o\ac(</w:instrText>
            </w:r>
            <w:r>
              <w:rPr>
                <w:rFonts w:hint="eastAsia"/>
                <w:color w:val="auto"/>
                <w:position w:val="-4"/>
                <w:sz w:val="36"/>
                <w:szCs w:val="24"/>
                <w:highlight w:val="none"/>
                <w:lang w:val="zh-CN" w:eastAsia="zh-CN"/>
              </w:rPr>
              <w:instrText xml:space="preserve">○</w:instrText>
            </w:r>
            <w:r>
              <w:rPr>
                <w:rFonts w:hint="eastAsia"/>
                <w:color w:val="auto"/>
                <w:sz w:val="24"/>
                <w:szCs w:val="24"/>
                <w:highlight w:val="none"/>
                <w:lang w:val="zh-CN" w:eastAsia="zh-CN"/>
              </w:rPr>
              <w:instrText xml:space="preserve">,√)</w:instrText>
            </w:r>
            <w:r>
              <w:rPr>
                <w:rFonts w:hint="eastAsia"/>
                <w:color w:val="auto"/>
                <w:sz w:val="24"/>
                <w:szCs w:val="24"/>
                <w:highlight w:val="none"/>
                <w:lang w:val="zh-CN" w:eastAsia="zh-CN"/>
              </w:rPr>
              <w:fldChar w:fldCharType="end"/>
            </w:r>
            <w:r>
              <w:rPr>
                <w:rFonts w:hint="eastAsia"/>
                <w:color w:val="auto"/>
                <w:sz w:val="24"/>
                <w:szCs w:val="24"/>
                <w:highlight w:val="none"/>
                <w:lang w:val="en-US" w:eastAsia="zh-CN"/>
              </w:rPr>
              <w:t>不组织</w:t>
            </w:r>
          </w:p>
        </w:tc>
      </w:tr>
      <w:tr>
        <w:tblPrEx>
          <w:tblCellMar>
            <w:top w:w="0" w:type="dxa"/>
            <w:left w:w="10" w:type="dxa"/>
            <w:bottom w:w="0" w:type="dxa"/>
            <w:right w:w="10" w:type="dxa"/>
          </w:tblCellMar>
        </w:tblPrEx>
        <w:trPr>
          <w:trHeight w:val="23" w:hRule="atLeast"/>
          <w:jc w:val="center"/>
        </w:trPr>
        <w:tc>
          <w:tcPr>
            <w:tcW w:w="371" w:type="pct"/>
            <w:tcBorders>
              <w:top w:val="single" w:color="auto" w:sz="4" w:space="0"/>
              <w:left w:val="single" w:color="auto" w:sz="4" w:space="0"/>
            </w:tcBorders>
            <w:shd w:val="clear" w:color="auto" w:fill="FFFFFF"/>
            <w:noWrap w:val="0"/>
            <w:vAlign w:val="center"/>
          </w:tcPr>
          <w:p>
            <w:pPr>
              <w:pStyle w:val="63"/>
              <w:spacing w:line="240" w:lineRule="auto"/>
              <w:ind w:firstLine="0"/>
              <w:jc w:val="center"/>
              <w:rPr>
                <w:rFonts w:hint="eastAsia"/>
                <w:color w:val="auto"/>
                <w:sz w:val="24"/>
                <w:szCs w:val="24"/>
                <w:highlight w:val="none"/>
              </w:rPr>
            </w:pPr>
            <w:r>
              <w:rPr>
                <w:rFonts w:hint="eastAsia"/>
                <w:color w:val="auto"/>
                <w:sz w:val="24"/>
                <w:szCs w:val="24"/>
                <w:highlight w:val="none"/>
              </w:rPr>
              <w:t>9</w:t>
            </w:r>
          </w:p>
        </w:tc>
        <w:tc>
          <w:tcPr>
            <w:tcW w:w="833" w:type="pct"/>
            <w:tcBorders>
              <w:top w:val="single" w:color="auto" w:sz="4" w:space="0"/>
              <w:left w:val="single" w:color="auto" w:sz="4" w:space="0"/>
            </w:tcBorders>
            <w:shd w:val="clear" w:color="auto" w:fill="FFFFFF"/>
            <w:noWrap w:val="0"/>
            <w:vAlign w:val="center"/>
          </w:tcPr>
          <w:p>
            <w:pPr>
              <w:pStyle w:val="63"/>
              <w:spacing w:line="240" w:lineRule="auto"/>
              <w:ind w:firstLine="0"/>
              <w:jc w:val="center"/>
              <w:rPr>
                <w:rFonts w:hint="eastAsia"/>
                <w:color w:val="auto"/>
                <w:sz w:val="24"/>
                <w:szCs w:val="24"/>
                <w:highlight w:val="none"/>
              </w:rPr>
            </w:pPr>
            <w:r>
              <w:rPr>
                <w:rFonts w:hint="eastAsia"/>
                <w:color w:val="auto"/>
                <w:sz w:val="24"/>
                <w:szCs w:val="24"/>
                <w:highlight w:val="none"/>
              </w:rPr>
              <w:t>价格分比重</w:t>
            </w:r>
          </w:p>
        </w:tc>
        <w:tc>
          <w:tcPr>
            <w:tcW w:w="3795" w:type="pct"/>
            <w:tcBorders>
              <w:top w:val="single" w:color="auto" w:sz="4" w:space="0"/>
              <w:left w:val="single" w:color="auto" w:sz="4" w:space="0"/>
              <w:right w:val="single" w:color="auto" w:sz="4" w:space="0"/>
            </w:tcBorders>
            <w:shd w:val="clear" w:color="auto" w:fill="FFFFFF"/>
            <w:noWrap w:val="0"/>
            <w:vAlign w:val="top"/>
          </w:tcPr>
          <w:p>
            <w:pPr>
              <w:pStyle w:val="63"/>
              <w:tabs>
                <w:tab w:val="left" w:leader="underscore" w:pos="1591"/>
              </w:tabs>
              <w:spacing w:line="313" w:lineRule="exact"/>
              <w:ind w:firstLine="0"/>
              <w:rPr>
                <w:rFonts w:hint="eastAsia"/>
                <w:strike w:val="0"/>
                <w:color w:val="auto"/>
                <w:sz w:val="24"/>
                <w:szCs w:val="24"/>
                <w:highlight w:val="none"/>
              </w:rPr>
            </w:pPr>
            <w:r>
              <w:rPr>
                <w:rFonts w:hint="eastAsia"/>
                <w:color w:val="auto"/>
                <w:sz w:val="24"/>
                <w:szCs w:val="24"/>
                <w:highlight w:val="none"/>
              </w:rPr>
              <w:t>◯</w:t>
            </w:r>
            <w:r>
              <w:rPr>
                <w:rFonts w:hint="eastAsia"/>
                <w:strike w:val="0"/>
                <w:dstrike w:val="0"/>
                <w:color w:val="auto"/>
                <w:sz w:val="24"/>
                <w:szCs w:val="24"/>
                <w:highlight w:val="none"/>
              </w:rPr>
              <w:t>占总分值的</w:t>
            </w:r>
            <w:r>
              <w:rPr>
                <w:rFonts w:hint="eastAsia"/>
                <w:strike w:val="0"/>
                <w:dstrike w:val="0"/>
                <w:color w:val="auto"/>
                <w:sz w:val="24"/>
                <w:szCs w:val="24"/>
                <w:highlight w:val="none"/>
                <w:u w:val="single"/>
                <w:lang w:val="en-US" w:eastAsia="zh-CN"/>
              </w:rPr>
              <w:t xml:space="preserve"> 30  </w:t>
            </w:r>
            <w:r>
              <w:rPr>
                <w:rFonts w:hint="eastAsia"/>
                <w:strike w:val="0"/>
                <w:dstrike w:val="0"/>
                <w:color w:val="auto"/>
                <w:sz w:val="24"/>
                <w:szCs w:val="24"/>
                <w:highlight w:val="none"/>
              </w:rPr>
              <w:t>%</w:t>
            </w:r>
          </w:p>
          <w:p>
            <w:pPr>
              <w:pStyle w:val="63"/>
              <w:spacing w:line="313" w:lineRule="exact"/>
              <w:ind w:firstLine="0"/>
              <w:rPr>
                <w:rFonts w:hint="eastAsia"/>
                <w:color w:val="auto"/>
                <w:sz w:val="24"/>
                <w:szCs w:val="24"/>
                <w:highlight w:val="none"/>
              </w:rPr>
            </w:pPr>
            <w:r>
              <w:rPr>
                <w:rFonts w:hint="eastAsia"/>
                <w:color w:val="auto"/>
                <w:sz w:val="24"/>
                <w:szCs w:val="24"/>
                <w:highlight w:val="none"/>
              </w:rPr>
              <w:t>［招标］根据《政府采购货物和服务招标投标管理办法》（财政部87号令）的规定，综合评分法货物项目的价格分值占总分值的比重不得低于30%。执行国家统一定价标准和采用固定价格采购的项目，其价格不列为评审因素。</w:t>
            </w:r>
          </w:p>
          <w:p>
            <w:pPr>
              <w:pStyle w:val="63"/>
              <w:spacing w:line="313" w:lineRule="exact"/>
              <w:ind w:firstLine="0"/>
              <w:rPr>
                <w:rFonts w:hint="eastAsia"/>
                <w:color w:val="auto"/>
                <w:sz w:val="24"/>
                <w:szCs w:val="24"/>
                <w:highlight w:val="none"/>
              </w:rPr>
            </w:pPr>
            <w:r>
              <w:rPr>
                <w:rFonts w:hint="eastAsia"/>
                <w:color w:val="auto"/>
                <w:sz w:val="24"/>
                <w:szCs w:val="24"/>
                <w:highlight w:val="none"/>
              </w:rPr>
              <w:t xml:space="preserve">［磋商］根据《政府采购竞争性磋商采购方式管理暂行办法》 （财库〔2014〕214号）的规定，货物项目的价格分值占总分值的比重（即权值）为30%-60%。 </w:t>
            </w:r>
          </w:p>
          <w:p>
            <w:pPr>
              <w:pStyle w:val="63"/>
              <w:spacing w:line="313" w:lineRule="exact"/>
              <w:ind w:firstLine="0"/>
              <w:rPr>
                <w:rFonts w:hint="eastAsia"/>
                <w:color w:val="auto"/>
                <w:sz w:val="24"/>
                <w:szCs w:val="24"/>
                <w:highlight w:val="none"/>
                <w:lang w:eastAsia="zh-CN"/>
              </w:rPr>
            </w:pPr>
            <w:r>
              <w:rPr>
                <w:rFonts w:hint="eastAsia"/>
                <w:color w:val="auto"/>
                <w:sz w:val="24"/>
                <w:szCs w:val="24"/>
                <w:highlight w:val="none"/>
                <w:lang w:val="zh-CN" w:eastAsia="zh-CN"/>
              </w:rPr>
              <w:fldChar w:fldCharType="begin"/>
            </w:r>
            <w:r>
              <w:rPr>
                <w:rFonts w:hint="eastAsia"/>
                <w:color w:val="auto"/>
                <w:sz w:val="24"/>
                <w:szCs w:val="24"/>
                <w:highlight w:val="none"/>
                <w:lang w:val="zh-CN" w:eastAsia="zh-CN"/>
              </w:rPr>
              <w:instrText xml:space="preserve"> EQ \o\ac(</w:instrText>
            </w:r>
            <w:r>
              <w:rPr>
                <w:rFonts w:hint="eastAsia"/>
                <w:color w:val="auto"/>
                <w:position w:val="-4"/>
                <w:sz w:val="36"/>
                <w:szCs w:val="24"/>
                <w:highlight w:val="none"/>
                <w:lang w:val="zh-CN" w:eastAsia="zh-CN"/>
              </w:rPr>
              <w:instrText xml:space="preserve">○</w:instrText>
            </w:r>
            <w:r>
              <w:rPr>
                <w:rFonts w:hint="eastAsia"/>
                <w:color w:val="auto"/>
                <w:sz w:val="24"/>
                <w:szCs w:val="24"/>
                <w:highlight w:val="none"/>
                <w:lang w:val="zh-CN" w:eastAsia="zh-CN"/>
              </w:rPr>
              <w:instrText xml:space="preserve">,√)</w:instrText>
            </w:r>
            <w:r>
              <w:rPr>
                <w:rFonts w:hint="eastAsia"/>
                <w:color w:val="auto"/>
                <w:sz w:val="24"/>
                <w:szCs w:val="24"/>
                <w:highlight w:val="none"/>
                <w:lang w:val="zh-CN" w:eastAsia="zh-CN"/>
              </w:rPr>
              <w:fldChar w:fldCharType="end"/>
            </w:r>
            <w:r>
              <w:rPr>
                <w:rFonts w:hint="eastAsia"/>
                <w:color w:val="auto"/>
                <w:sz w:val="24"/>
                <w:szCs w:val="24"/>
                <w:highlight w:val="none"/>
              </w:rPr>
              <w:t>［其他采购方式］无须设置</w:t>
            </w:r>
            <w:r>
              <w:rPr>
                <w:rFonts w:hint="eastAsia"/>
                <w:color w:val="auto"/>
                <w:sz w:val="24"/>
                <w:szCs w:val="24"/>
                <w:highlight w:val="none"/>
                <w:lang w:eastAsia="zh-CN"/>
              </w:rPr>
              <w:t>。</w:t>
            </w:r>
          </w:p>
        </w:tc>
      </w:tr>
      <w:tr>
        <w:tblPrEx>
          <w:tblCellMar>
            <w:top w:w="0" w:type="dxa"/>
            <w:left w:w="10" w:type="dxa"/>
            <w:bottom w:w="0" w:type="dxa"/>
            <w:right w:w="10" w:type="dxa"/>
          </w:tblCellMar>
        </w:tblPrEx>
        <w:trPr>
          <w:trHeight w:val="23" w:hRule="atLeast"/>
          <w:jc w:val="center"/>
        </w:trPr>
        <w:tc>
          <w:tcPr>
            <w:tcW w:w="371" w:type="pct"/>
            <w:tcBorders>
              <w:top w:val="single" w:color="auto" w:sz="4" w:space="0"/>
              <w:left w:val="single" w:color="auto" w:sz="4" w:space="0"/>
            </w:tcBorders>
            <w:shd w:val="clear" w:color="auto" w:fill="FFFFFF"/>
            <w:noWrap w:val="0"/>
            <w:vAlign w:val="center"/>
          </w:tcPr>
          <w:p>
            <w:pPr>
              <w:pStyle w:val="63"/>
              <w:spacing w:line="240" w:lineRule="auto"/>
              <w:ind w:firstLine="220"/>
              <w:rPr>
                <w:rFonts w:hint="eastAsia"/>
                <w:color w:val="auto"/>
                <w:sz w:val="24"/>
                <w:szCs w:val="24"/>
                <w:highlight w:val="none"/>
              </w:rPr>
            </w:pPr>
            <w:r>
              <w:rPr>
                <w:rFonts w:hint="eastAsia"/>
                <w:color w:val="auto"/>
                <w:sz w:val="24"/>
                <w:szCs w:val="24"/>
                <w:highlight w:val="none"/>
              </w:rPr>
              <w:t>10</w:t>
            </w:r>
          </w:p>
        </w:tc>
        <w:tc>
          <w:tcPr>
            <w:tcW w:w="833" w:type="pct"/>
            <w:tcBorders>
              <w:top w:val="single" w:color="auto" w:sz="4" w:space="0"/>
              <w:left w:val="single" w:color="auto" w:sz="4" w:space="0"/>
            </w:tcBorders>
            <w:shd w:val="clear" w:color="auto" w:fill="FFFFFF"/>
            <w:noWrap w:val="0"/>
            <w:vAlign w:val="center"/>
          </w:tcPr>
          <w:p>
            <w:pPr>
              <w:pStyle w:val="63"/>
              <w:spacing w:line="240" w:lineRule="auto"/>
              <w:ind w:firstLine="0"/>
              <w:jc w:val="center"/>
              <w:rPr>
                <w:rFonts w:hint="eastAsia"/>
                <w:color w:val="auto"/>
                <w:sz w:val="24"/>
                <w:szCs w:val="24"/>
                <w:highlight w:val="none"/>
              </w:rPr>
            </w:pPr>
            <w:r>
              <w:rPr>
                <w:rFonts w:hint="eastAsia"/>
                <w:color w:val="auto"/>
                <w:sz w:val="24"/>
                <w:szCs w:val="24"/>
                <w:highlight w:val="none"/>
              </w:rPr>
              <w:t>合同类型</w:t>
            </w:r>
          </w:p>
        </w:tc>
        <w:tc>
          <w:tcPr>
            <w:tcW w:w="3795" w:type="pct"/>
            <w:tcBorders>
              <w:top w:val="single" w:color="auto" w:sz="4" w:space="0"/>
              <w:left w:val="single" w:color="auto" w:sz="4" w:space="0"/>
              <w:right w:val="single" w:color="auto" w:sz="4" w:space="0"/>
            </w:tcBorders>
            <w:shd w:val="clear" w:color="auto" w:fill="FFFFFF"/>
            <w:noWrap w:val="0"/>
            <w:vAlign w:val="bottom"/>
          </w:tcPr>
          <w:p>
            <w:pPr>
              <w:pStyle w:val="63"/>
              <w:spacing w:before="100" w:line="240" w:lineRule="auto"/>
              <w:ind w:firstLine="0"/>
              <w:jc w:val="both"/>
              <w:rPr>
                <w:rFonts w:hint="eastAsia"/>
                <w:color w:val="auto"/>
                <w:sz w:val="24"/>
                <w:szCs w:val="24"/>
                <w:highlight w:val="none"/>
              </w:rPr>
            </w:pPr>
            <w:r>
              <w:rPr>
                <w:rFonts w:hint="eastAsia"/>
                <w:color w:val="auto"/>
                <w:sz w:val="24"/>
                <w:szCs w:val="24"/>
                <w:highlight w:val="none"/>
                <w:lang w:val="zh-CN" w:eastAsia="zh-CN"/>
              </w:rPr>
              <w:fldChar w:fldCharType="begin"/>
            </w:r>
            <w:r>
              <w:rPr>
                <w:rFonts w:hint="eastAsia"/>
                <w:color w:val="auto"/>
                <w:sz w:val="24"/>
                <w:szCs w:val="24"/>
                <w:highlight w:val="none"/>
                <w:lang w:val="zh-CN" w:eastAsia="zh-CN"/>
              </w:rPr>
              <w:instrText xml:space="preserve"> EQ \o\ac(</w:instrText>
            </w:r>
            <w:r>
              <w:rPr>
                <w:rFonts w:hint="eastAsia"/>
                <w:color w:val="auto"/>
                <w:position w:val="-4"/>
                <w:sz w:val="36"/>
                <w:szCs w:val="24"/>
                <w:highlight w:val="none"/>
                <w:lang w:val="zh-CN" w:eastAsia="zh-CN"/>
              </w:rPr>
              <w:instrText xml:space="preserve">○</w:instrText>
            </w:r>
            <w:r>
              <w:rPr>
                <w:rFonts w:hint="eastAsia"/>
                <w:color w:val="auto"/>
                <w:sz w:val="24"/>
                <w:szCs w:val="24"/>
                <w:highlight w:val="none"/>
                <w:lang w:val="zh-CN" w:eastAsia="zh-CN"/>
              </w:rPr>
              <w:instrText xml:space="preserve">,√)</w:instrText>
            </w:r>
            <w:r>
              <w:rPr>
                <w:rFonts w:hint="eastAsia"/>
                <w:color w:val="auto"/>
                <w:sz w:val="24"/>
                <w:szCs w:val="24"/>
                <w:highlight w:val="none"/>
                <w:lang w:val="zh-CN" w:eastAsia="zh-CN"/>
              </w:rPr>
              <w:fldChar w:fldCharType="end"/>
            </w:r>
            <w:r>
              <w:rPr>
                <w:rFonts w:hint="eastAsia"/>
                <w:color w:val="auto"/>
                <w:sz w:val="24"/>
                <w:szCs w:val="24"/>
                <w:highlight w:val="none"/>
                <w:lang w:val="zh-CN" w:eastAsia="zh-CN"/>
              </w:rPr>
              <w:t>固</w:t>
            </w:r>
            <w:r>
              <w:rPr>
                <w:rFonts w:hint="eastAsia"/>
                <w:color w:val="auto"/>
                <w:sz w:val="24"/>
                <w:szCs w:val="24"/>
                <w:highlight w:val="none"/>
              </w:rPr>
              <w:t>定总价</w:t>
            </w:r>
          </w:p>
          <w:p>
            <w:pPr>
              <w:pStyle w:val="63"/>
              <w:spacing w:before="100" w:line="240" w:lineRule="auto"/>
              <w:ind w:firstLine="0"/>
              <w:jc w:val="both"/>
              <w:rPr>
                <w:rFonts w:hint="eastAsia"/>
                <w:color w:val="auto"/>
                <w:sz w:val="24"/>
                <w:szCs w:val="24"/>
                <w:highlight w:val="none"/>
              </w:rPr>
            </w:pPr>
            <w:r>
              <w:rPr>
                <w:rFonts w:hint="eastAsia"/>
                <w:color w:val="auto"/>
                <w:sz w:val="24"/>
                <w:szCs w:val="24"/>
                <w:highlight w:val="none"/>
              </w:rPr>
              <w:t>◯固定单价（适用于</w:t>
            </w:r>
            <w:r>
              <w:rPr>
                <w:rFonts w:hint="eastAsia"/>
                <w:color w:val="auto"/>
                <w:sz w:val="24"/>
                <w:szCs w:val="24"/>
                <w:highlight w:val="none"/>
                <w:lang w:eastAsia="zh-CN"/>
              </w:rPr>
              <w:t>采</w:t>
            </w:r>
            <w:r>
              <w:rPr>
                <w:rFonts w:hint="eastAsia"/>
                <w:color w:val="auto"/>
                <w:sz w:val="24"/>
                <w:szCs w:val="24"/>
                <w:highlight w:val="none"/>
              </w:rPr>
              <w:t>购数量不定的情形）</w:t>
            </w:r>
          </w:p>
          <w:p>
            <w:pPr>
              <w:pStyle w:val="63"/>
              <w:spacing w:before="100" w:line="240" w:lineRule="auto"/>
              <w:ind w:firstLine="0"/>
              <w:jc w:val="both"/>
              <w:rPr>
                <w:rFonts w:hint="eastAsia"/>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lang w:val="en-US" w:eastAsia="zh-CN"/>
              </w:rPr>
              <w:t xml:space="preserve">                  </w:t>
            </w:r>
          </w:p>
        </w:tc>
      </w:tr>
      <w:tr>
        <w:tblPrEx>
          <w:tblCellMar>
            <w:top w:w="0" w:type="dxa"/>
            <w:left w:w="10" w:type="dxa"/>
            <w:bottom w:w="0" w:type="dxa"/>
            <w:right w:w="10" w:type="dxa"/>
          </w:tblCellMar>
        </w:tblPrEx>
        <w:trPr>
          <w:trHeight w:val="23" w:hRule="atLeast"/>
          <w:jc w:val="center"/>
        </w:trPr>
        <w:tc>
          <w:tcPr>
            <w:tcW w:w="371" w:type="pct"/>
            <w:tcBorders>
              <w:top w:val="single" w:color="auto" w:sz="4" w:space="0"/>
              <w:left w:val="single" w:color="auto" w:sz="4" w:space="0"/>
            </w:tcBorders>
            <w:shd w:val="clear" w:color="auto" w:fill="FFFFFF"/>
            <w:noWrap w:val="0"/>
            <w:vAlign w:val="center"/>
          </w:tcPr>
          <w:p>
            <w:pPr>
              <w:pStyle w:val="63"/>
              <w:spacing w:line="240" w:lineRule="auto"/>
              <w:ind w:firstLine="220"/>
              <w:rPr>
                <w:rFonts w:hint="eastAsia"/>
                <w:color w:val="auto"/>
                <w:sz w:val="24"/>
                <w:szCs w:val="24"/>
                <w:highlight w:val="none"/>
              </w:rPr>
            </w:pPr>
            <w:r>
              <w:rPr>
                <w:rFonts w:hint="eastAsia"/>
                <w:color w:val="auto"/>
                <w:sz w:val="24"/>
                <w:szCs w:val="24"/>
                <w:highlight w:val="none"/>
              </w:rPr>
              <w:t>11</w:t>
            </w:r>
          </w:p>
        </w:tc>
        <w:tc>
          <w:tcPr>
            <w:tcW w:w="833" w:type="pct"/>
            <w:tcBorders>
              <w:top w:val="single" w:color="auto" w:sz="4" w:space="0"/>
              <w:left w:val="single" w:color="auto" w:sz="4" w:space="0"/>
            </w:tcBorders>
            <w:shd w:val="clear" w:color="auto" w:fill="FFFFFF"/>
            <w:noWrap w:val="0"/>
            <w:vAlign w:val="center"/>
          </w:tcPr>
          <w:p>
            <w:pPr>
              <w:pStyle w:val="63"/>
              <w:spacing w:line="240" w:lineRule="auto"/>
              <w:ind w:firstLine="0"/>
              <w:jc w:val="center"/>
              <w:rPr>
                <w:rFonts w:hint="eastAsia"/>
                <w:color w:val="auto"/>
                <w:sz w:val="24"/>
                <w:szCs w:val="24"/>
                <w:highlight w:val="none"/>
              </w:rPr>
            </w:pPr>
            <w:r>
              <w:rPr>
                <w:rFonts w:hint="eastAsia"/>
                <w:color w:val="auto"/>
                <w:sz w:val="24"/>
                <w:szCs w:val="24"/>
                <w:highlight w:val="none"/>
              </w:rPr>
              <w:t>争议解决途径</w:t>
            </w:r>
          </w:p>
        </w:tc>
        <w:tc>
          <w:tcPr>
            <w:tcW w:w="3795" w:type="pct"/>
            <w:tcBorders>
              <w:top w:val="single" w:color="auto" w:sz="4" w:space="0"/>
              <w:left w:val="single" w:color="auto" w:sz="4" w:space="0"/>
              <w:right w:val="single" w:color="auto" w:sz="4" w:space="0"/>
            </w:tcBorders>
            <w:shd w:val="clear" w:color="auto" w:fill="FFFFFF"/>
            <w:noWrap w:val="0"/>
            <w:vAlign w:val="top"/>
          </w:tcPr>
          <w:p>
            <w:pPr>
              <w:pStyle w:val="63"/>
              <w:spacing w:before="100" w:line="240" w:lineRule="auto"/>
              <w:ind w:firstLine="0"/>
              <w:jc w:val="both"/>
              <w:rPr>
                <w:rFonts w:hint="eastAsia"/>
                <w:color w:val="auto"/>
                <w:sz w:val="24"/>
                <w:szCs w:val="24"/>
                <w:highlight w:val="none"/>
              </w:rPr>
            </w:pPr>
            <w:r>
              <w:rPr>
                <w:rFonts w:hint="eastAsia"/>
                <w:color w:val="auto"/>
                <w:sz w:val="24"/>
                <w:szCs w:val="24"/>
                <w:highlight w:val="none"/>
                <w:lang w:val="zh-CN" w:eastAsia="zh-CN"/>
              </w:rPr>
              <w:fldChar w:fldCharType="begin"/>
            </w:r>
            <w:r>
              <w:rPr>
                <w:rFonts w:hint="eastAsia"/>
                <w:color w:val="auto"/>
                <w:sz w:val="24"/>
                <w:szCs w:val="24"/>
                <w:highlight w:val="none"/>
                <w:lang w:val="zh-CN" w:eastAsia="zh-CN"/>
              </w:rPr>
              <w:instrText xml:space="preserve"> EQ \o\ac(</w:instrText>
            </w:r>
            <w:r>
              <w:rPr>
                <w:rFonts w:hint="eastAsia"/>
                <w:color w:val="auto"/>
                <w:position w:val="-4"/>
                <w:sz w:val="36"/>
                <w:szCs w:val="24"/>
                <w:highlight w:val="none"/>
                <w:lang w:val="zh-CN" w:eastAsia="zh-CN"/>
              </w:rPr>
              <w:instrText xml:space="preserve">○</w:instrText>
            </w:r>
            <w:r>
              <w:rPr>
                <w:rFonts w:hint="eastAsia"/>
                <w:color w:val="auto"/>
                <w:sz w:val="24"/>
                <w:szCs w:val="24"/>
                <w:highlight w:val="none"/>
                <w:lang w:val="zh-CN" w:eastAsia="zh-CN"/>
              </w:rPr>
              <w:instrText xml:space="preserve">,√)</w:instrText>
            </w:r>
            <w:r>
              <w:rPr>
                <w:rFonts w:hint="eastAsia"/>
                <w:color w:val="auto"/>
                <w:sz w:val="24"/>
                <w:szCs w:val="24"/>
                <w:highlight w:val="none"/>
                <w:lang w:val="zh-CN" w:eastAsia="zh-CN"/>
              </w:rPr>
              <w:fldChar w:fldCharType="end"/>
            </w:r>
            <w:r>
              <w:rPr>
                <w:rFonts w:hint="eastAsia"/>
                <w:color w:val="auto"/>
                <w:sz w:val="24"/>
                <w:szCs w:val="24"/>
                <w:highlight w:val="none"/>
              </w:rPr>
              <w:t>向有管辖权的人民法院提起诉讼</w:t>
            </w:r>
          </w:p>
          <w:p>
            <w:pPr>
              <w:pStyle w:val="63"/>
              <w:spacing w:before="100" w:line="240" w:lineRule="auto"/>
              <w:ind w:firstLine="0"/>
              <w:jc w:val="both"/>
              <w:rPr>
                <w:rFonts w:hint="eastAsia"/>
                <w:color w:val="auto"/>
                <w:sz w:val="24"/>
                <w:szCs w:val="24"/>
                <w:highlight w:val="none"/>
              </w:rPr>
            </w:pPr>
            <w:r>
              <w:rPr>
                <w:rFonts w:hint="eastAsia"/>
                <w:color w:val="auto"/>
                <w:sz w:val="24"/>
                <w:szCs w:val="24"/>
                <w:highlight w:val="none"/>
              </w:rPr>
              <w:t xml:space="preserve">◯向西安仲裁委员会提请仲裁 </w:t>
            </w:r>
          </w:p>
          <w:p>
            <w:pPr>
              <w:pStyle w:val="63"/>
              <w:spacing w:before="100" w:line="240" w:lineRule="auto"/>
              <w:ind w:firstLine="0"/>
              <w:jc w:val="both"/>
              <w:rPr>
                <w:rFonts w:hint="eastAsia"/>
                <w:color w:val="auto"/>
                <w:sz w:val="24"/>
                <w:szCs w:val="24"/>
                <w:highlight w:val="none"/>
              </w:rPr>
            </w:pPr>
            <w:r>
              <w:rPr>
                <w:rFonts w:hint="eastAsia"/>
                <w:color w:val="auto"/>
                <w:sz w:val="24"/>
                <w:szCs w:val="24"/>
                <w:highlight w:val="none"/>
              </w:rPr>
              <w:t>◯由供应商做出选择</w:t>
            </w:r>
          </w:p>
        </w:tc>
      </w:tr>
      <w:tr>
        <w:tblPrEx>
          <w:tblCellMar>
            <w:top w:w="0" w:type="dxa"/>
            <w:left w:w="10" w:type="dxa"/>
            <w:bottom w:w="0" w:type="dxa"/>
            <w:right w:w="10" w:type="dxa"/>
          </w:tblCellMar>
        </w:tblPrEx>
        <w:trPr>
          <w:trHeight w:val="23" w:hRule="atLeast"/>
          <w:jc w:val="center"/>
        </w:trPr>
        <w:tc>
          <w:tcPr>
            <w:tcW w:w="371" w:type="pct"/>
            <w:tcBorders>
              <w:top w:val="single" w:color="auto" w:sz="4" w:space="0"/>
              <w:left w:val="single" w:color="auto" w:sz="4" w:space="0"/>
              <w:bottom w:val="single" w:color="auto" w:sz="4" w:space="0"/>
            </w:tcBorders>
            <w:shd w:val="clear" w:color="auto" w:fill="FFFFFF"/>
            <w:noWrap w:val="0"/>
            <w:vAlign w:val="center"/>
          </w:tcPr>
          <w:p>
            <w:pPr>
              <w:pStyle w:val="63"/>
              <w:spacing w:line="240" w:lineRule="auto"/>
              <w:ind w:firstLine="220"/>
              <w:rPr>
                <w:rFonts w:hint="eastAsia"/>
                <w:color w:val="auto"/>
                <w:sz w:val="24"/>
                <w:szCs w:val="24"/>
                <w:highlight w:val="none"/>
              </w:rPr>
            </w:pPr>
            <w:r>
              <w:rPr>
                <w:rFonts w:hint="eastAsia"/>
                <w:color w:val="auto"/>
                <w:sz w:val="24"/>
                <w:szCs w:val="24"/>
                <w:highlight w:val="none"/>
              </w:rPr>
              <w:t>12</w:t>
            </w:r>
          </w:p>
        </w:tc>
        <w:tc>
          <w:tcPr>
            <w:tcW w:w="833" w:type="pct"/>
            <w:tcBorders>
              <w:top w:val="single" w:color="auto" w:sz="4" w:space="0"/>
              <w:left w:val="single" w:color="auto" w:sz="4" w:space="0"/>
              <w:bottom w:val="single" w:color="auto" w:sz="4" w:space="0"/>
            </w:tcBorders>
            <w:shd w:val="clear" w:color="auto" w:fill="FFFFFF"/>
            <w:noWrap w:val="0"/>
            <w:vAlign w:val="center"/>
          </w:tcPr>
          <w:p>
            <w:pPr>
              <w:pStyle w:val="63"/>
              <w:spacing w:line="240" w:lineRule="auto"/>
              <w:ind w:firstLine="0"/>
              <w:jc w:val="center"/>
              <w:rPr>
                <w:rFonts w:hint="eastAsia"/>
                <w:color w:val="auto"/>
                <w:sz w:val="24"/>
                <w:szCs w:val="24"/>
                <w:highlight w:val="none"/>
              </w:rPr>
            </w:pPr>
            <w:r>
              <w:rPr>
                <w:rFonts w:hint="eastAsia"/>
                <w:color w:val="auto"/>
                <w:sz w:val="24"/>
                <w:szCs w:val="24"/>
                <w:highlight w:val="none"/>
              </w:rPr>
              <w:t>联系方式</w:t>
            </w:r>
          </w:p>
        </w:tc>
        <w:tc>
          <w:tcPr>
            <w:tcW w:w="3795" w:type="pct"/>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63"/>
              <w:tabs>
                <w:tab w:val="left" w:leader="underscore" w:pos="2999"/>
                <w:tab w:val="left" w:leader="underscore" w:pos="3006"/>
                <w:tab w:val="left" w:leader="underscore" w:pos="3010"/>
              </w:tabs>
              <w:spacing w:line="310" w:lineRule="exact"/>
              <w:ind w:firstLine="0"/>
              <w:rPr>
                <w:rFonts w:hint="eastAsia"/>
                <w:color w:val="auto"/>
                <w:sz w:val="24"/>
                <w:szCs w:val="24"/>
                <w:highlight w:val="none"/>
              </w:rPr>
            </w:pPr>
            <w:r>
              <w:rPr>
                <w:rFonts w:hint="eastAsia"/>
                <w:color w:val="auto"/>
                <w:sz w:val="24"/>
                <w:szCs w:val="24"/>
                <w:highlight w:val="none"/>
              </w:rPr>
              <w:t>项目对接人：</w:t>
            </w:r>
            <w:r>
              <w:rPr>
                <w:rFonts w:hint="eastAsia"/>
                <w:color w:val="auto"/>
                <w:sz w:val="24"/>
                <w:szCs w:val="24"/>
                <w:highlight w:val="none"/>
                <w:lang w:val="en-US" w:eastAsia="zh-CN"/>
              </w:rPr>
              <w:t>吴老师</w:t>
            </w:r>
            <w:r>
              <w:rPr>
                <w:rFonts w:hint="eastAsia"/>
                <w:color w:val="auto"/>
                <w:sz w:val="24"/>
                <w:szCs w:val="24"/>
                <w:highlight w:val="none"/>
              </w:rPr>
              <w:t xml:space="preserve"> </w:t>
            </w:r>
          </w:p>
          <w:p>
            <w:pPr>
              <w:pStyle w:val="63"/>
              <w:tabs>
                <w:tab w:val="left" w:leader="underscore" w:pos="2999"/>
                <w:tab w:val="left" w:leader="underscore" w:pos="3006"/>
                <w:tab w:val="left" w:leader="underscore" w:pos="3010"/>
              </w:tabs>
              <w:spacing w:line="310" w:lineRule="exact"/>
              <w:ind w:firstLine="0"/>
              <w:rPr>
                <w:rFonts w:hint="eastAsia"/>
                <w:color w:val="auto"/>
                <w:sz w:val="24"/>
                <w:szCs w:val="24"/>
                <w:highlight w:val="none"/>
              </w:rPr>
            </w:pPr>
            <w:r>
              <w:rPr>
                <w:rFonts w:hint="eastAsia"/>
                <w:color w:val="auto"/>
                <w:sz w:val="24"/>
                <w:szCs w:val="24"/>
                <w:highlight w:val="none"/>
              </w:rPr>
              <w:t>联系电话：029-87802603</w:t>
            </w:r>
            <w:r>
              <w:rPr>
                <w:rFonts w:hint="eastAsia"/>
                <w:color w:val="auto"/>
                <w:sz w:val="24"/>
                <w:szCs w:val="24"/>
                <w:highlight w:val="none"/>
                <w:lang w:val="en-US" w:eastAsia="zh-CN"/>
              </w:rPr>
              <w:t xml:space="preserve"> </w:t>
            </w:r>
            <w:r>
              <w:rPr>
                <w:rFonts w:hint="eastAsia"/>
                <w:color w:val="auto"/>
                <w:sz w:val="24"/>
                <w:szCs w:val="24"/>
                <w:highlight w:val="none"/>
              </w:rPr>
              <w:t xml:space="preserve"> </w:t>
            </w:r>
          </w:p>
          <w:p>
            <w:pPr>
              <w:pStyle w:val="63"/>
              <w:tabs>
                <w:tab w:val="left" w:leader="underscore" w:pos="2999"/>
                <w:tab w:val="left" w:leader="underscore" w:pos="3006"/>
                <w:tab w:val="left" w:leader="underscore" w:pos="3010"/>
              </w:tabs>
              <w:spacing w:line="310" w:lineRule="exact"/>
              <w:ind w:firstLine="0"/>
              <w:rPr>
                <w:rFonts w:hint="eastAsia"/>
                <w:color w:val="auto"/>
                <w:sz w:val="24"/>
                <w:szCs w:val="24"/>
                <w:highlight w:val="none"/>
              </w:rPr>
            </w:pPr>
            <w:r>
              <w:rPr>
                <w:rFonts w:hint="eastAsia"/>
                <w:color w:val="auto"/>
                <w:sz w:val="24"/>
                <w:szCs w:val="24"/>
                <w:highlight w:val="none"/>
              </w:rPr>
              <w:t>电子邮箱：</w:t>
            </w:r>
            <w:r>
              <w:rPr>
                <w:rFonts w:hint="eastAsia"/>
                <w:color w:val="auto"/>
                <w:sz w:val="24"/>
                <w:szCs w:val="24"/>
                <w:highlight w:val="none"/>
                <w:lang w:val="en-US" w:eastAsia="zh-CN"/>
              </w:rPr>
              <w:t xml:space="preserve"> 283439669</w:t>
            </w:r>
            <w:r>
              <w:rPr>
                <w:rFonts w:hint="eastAsia"/>
                <w:color w:val="auto"/>
                <w:sz w:val="24"/>
                <w:szCs w:val="24"/>
                <w:highlight w:val="none"/>
              </w:rPr>
              <w:t>@qq.com</w:t>
            </w:r>
            <w:r>
              <w:rPr>
                <w:rFonts w:hint="eastAsia"/>
                <w:color w:val="auto"/>
                <w:sz w:val="24"/>
                <w:szCs w:val="24"/>
                <w:highlight w:val="none"/>
              </w:rPr>
              <w:tab/>
            </w:r>
          </w:p>
        </w:tc>
      </w:tr>
    </w:tbl>
    <w:p>
      <w:pPr>
        <w:rPr>
          <w:rFonts w:hint="eastAsia" w:ascii="宋体" w:hAnsi="宋体" w:cs="宋体"/>
          <w:sz w:val="32"/>
          <w:szCs w:val="32"/>
          <w:highlight w:val="none"/>
          <w:lang w:eastAsia="zh-TW" w:bidi="zh-TW"/>
        </w:rPr>
      </w:pPr>
    </w:p>
    <w:p>
      <w:pPr>
        <w:pStyle w:val="5"/>
        <w:numPr>
          <w:ilvl w:val="0"/>
          <w:numId w:val="5"/>
        </w:numPr>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pPr>
        <w:spacing w:line="360" w:lineRule="auto"/>
        <w:rPr>
          <w:rFonts w:hint="eastAsia" w:ascii="宋体" w:hAnsi="宋体" w:cs="宋体"/>
          <w:color w:val="auto"/>
          <w:sz w:val="24"/>
          <w:highlight w:val="none"/>
          <w:lang w:bidi="zh-TW"/>
        </w:rPr>
      </w:pPr>
      <w:r>
        <w:rPr>
          <w:rFonts w:hint="eastAsia" w:ascii="宋体" w:hAnsi="宋体" w:cs="宋体"/>
          <w:color w:val="auto"/>
          <w:sz w:val="24"/>
          <w:highlight w:val="none"/>
          <w:lang w:bidi="zh-TW"/>
        </w:rPr>
        <w:t xml:space="preserve">    西安市碑林区文艺路小学</w:t>
      </w:r>
      <w:r>
        <w:rPr>
          <w:rFonts w:hint="eastAsia" w:ascii="宋体" w:hAnsi="宋体" w:cs="宋体"/>
          <w:color w:val="auto"/>
          <w:sz w:val="24"/>
          <w:highlight w:val="none"/>
          <w:lang w:val="en-US" w:eastAsia="zh-CN" w:bidi="zh-TW"/>
        </w:rPr>
        <w:t>为提高教学质量，现采购班班通和云机房设备</w:t>
      </w:r>
      <w:r>
        <w:rPr>
          <w:rFonts w:hint="eastAsia" w:ascii="宋体" w:hAnsi="宋体" w:cs="宋体"/>
          <w:color w:val="auto"/>
          <w:sz w:val="24"/>
          <w:highlight w:val="none"/>
          <w:lang w:bidi="zh-TW"/>
        </w:rPr>
        <w:t>。</w:t>
      </w:r>
    </w:p>
    <w:p>
      <w:pPr>
        <w:pStyle w:val="5"/>
        <w:numPr>
          <w:ilvl w:val="0"/>
          <w:numId w:val="5"/>
        </w:numPr>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bidi="zh-TW"/>
        </w:rPr>
      </w:pPr>
      <w:r>
        <w:rPr>
          <w:rFonts w:hint="eastAsia" w:ascii="宋体" w:hAnsi="宋体" w:cs="宋体"/>
          <w:color w:val="auto"/>
          <w:sz w:val="24"/>
          <w:highlight w:val="none"/>
          <w:lang w:bidi="zh-TW"/>
        </w:rPr>
        <w:t>（一）本次采购内容为</w:t>
      </w:r>
      <w:r>
        <w:rPr>
          <w:rFonts w:hint="eastAsia" w:ascii="宋体" w:hAnsi="宋体" w:cs="宋体"/>
          <w:color w:val="auto"/>
          <w:sz w:val="24"/>
          <w:highlight w:val="none"/>
          <w:lang w:val="en-US" w:eastAsia="zh-CN" w:bidi="zh-TW"/>
        </w:rPr>
        <w:t>35套班班通设备和1间云机房设备</w:t>
      </w:r>
      <w:r>
        <w:rPr>
          <w:rFonts w:hint="eastAsia" w:ascii="宋体" w:hAnsi="宋体" w:cs="宋体"/>
          <w:color w:val="auto"/>
          <w:sz w:val="24"/>
          <w:highlight w:val="none"/>
          <w:lang w:bidi="zh-TW"/>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jc w:val="left"/>
        <w:textAlignment w:val="auto"/>
        <w:rPr>
          <w:rFonts w:hint="default"/>
          <w:highlight w:val="none"/>
          <w:lang w:val="en-US"/>
        </w:rPr>
      </w:pPr>
      <w:r>
        <w:rPr>
          <w:rFonts w:hint="eastAsia" w:ascii="宋体" w:hAnsi="宋体" w:cs="宋体"/>
          <w:color w:val="auto"/>
          <w:sz w:val="24"/>
          <w:highlight w:val="none"/>
          <w:lang w:bidi="zh-TW"/>
        </w:rPr>
        <w:t>采购清单：</w:t>
      </w:r>
      <w:r>
        <w:rPr>
          <w:rFonts w:hint="eastAsia" w:ascii="宋体" w:hAnsi="宋体" w:cs="宋体"/>
          <w:color w:val="auto"/>
          <w:sz w:val="24"/>
          <w:highlight w:val="none"/>
          <w:lang w:eastAsia="zh-CN" w:bidi="zh-TW"/>
        </w:rPr>
        <w:t>（</w:t>
      </w:r>
      <w:r>
        <w:rPr>
          <w:rFonts w:hint="eastAsia" w:ascii="宋体" w:hAnsi="宋体" w:cs="宋体"/>
          <w:color w:val="auto"/>
          <w:sz w:val="24"/>
          <w:highlight w:val="none"/>
          <w:lang w:val="en-US" w:eastAsia="zh-CN" w:bidi="zh-TW"/>
        </w:rPr>
        <w:t>本项目为非面向中小企业采购项目</w:t>
      </w:r>
      <w:r>
        <w:rPr>
          <w:rFonts w:hint="eastAsia" w:ascii="宋体" w:hAnsi="宋体" w:cs="宋体"/>
          <w:color w:val="auto"/>
          <w:sz w:val="24"/>
          <w:highlight w:val="none"/>
          <w:lang w:eastAsia="zh-CN" w:bidi="zh-TW"/>
        </w:rPr>
        <w:t>）</w:t>
      </w:r>
    </w:p>
    <w:p>
      <w:pPr>
        <w:jc w:val="center"/>
        <w:rPr>
          <w:color w:val="auto"/>
          <w:sz w:val="44"/>
          <w:szCs w:val="44"/>
          <w:highlight w:val="none"/>
        </w:rPr>
      </w:pPr>
      <w:r>
        <w:rPr>
          <w:rFonts w:hint="eastAsia"/>
          <w:color w:val="auto"/>
          <w:sz w:val="44"/>
          <w:szCs w:val="44"/>
          <w:highlight w:val="none"/>
        </w:rPr>
        <w:t>86寸一体机</w:t>
      </w:r>
    </w:p>
    <w:p>
      <w:pPr>
        <w:rPr>
          <w:color w:val="auto"/>
          <w:highlight w:val="none"/>
        </w:rPr>
      </w:pPr>
    </w:p>
    <w:p>
      <w:pPr>
        <w:pStyle w:val="2"/>
        <w:rPr>
          <w:color w:val="auto"/>
          <w:highlight w:val="none"/>
        </w:rPr>
      </w:pP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
        <w:gridCol w:w="360"/>
        <w:gridCol w:w="6920"/>
        <w:gridCol w:w="360"/>
        <w:gridCol w:w="360"/>
        <w:gridCol w:w="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4"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04"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设备名称</w:t>
            </w:r>
          </w:p>
        </w:tc>
        <w:tc>
          <w:tcPr>
            <w:tcW w:w="3977"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技术参数</w:t>
            </w:r>
          </w:p>
        </w:tc>
        <w:tc>
          <w:tcPr>
            <w:tcW w:w="204"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单位</w:t>
            </w:r>
          </w:p>
        </w:tc>
        <w:tc>
          <w:tcPr>
            <w:tcW w:w="204"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204" w:type="pct"/>
            <w:vAlign w:val="center"/>
          </w:tcPr>
          <w:p>
            <w:pPr>
              <w:pStyle w:val="2"/>
              <w:ind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04"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一体机</w:t>
            </w:r>
          </w:p>
        </w:tc>
        <w:tc>
          <w:tcPr>
            <w:tcW w:w="3977"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一、外观及音频设计</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整机采用一体设计，外部无任何可见内部功能模块连接线，边角采用弧形设计，表面无尖锐边缘或凸起。</w:t>
            </w:r>
          </w:p>
          <w:p>
            <w:pPr>
              <w:pStyle w:val="2"/>
              <w:ind w:firstLine="0" w:firstLineChars="0"/>
              <w:rPr>
                <w:rFonts w:hint="eastAsia" w:ascii="宋体" w:hAnsi="宋体" w:eastAsia="宋体" w:cs="宋体"/>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w:t>
            </w:r>
            <w:r>
              <w:rPr>
                <w:rFonts w:hint="eastAsia" w:ascii="宋体" w:hAnsi="宋体" w:eastAsia="宋体" w:cs="宋体"/>
                <w:b/>
                <w:bCs/>
                <w:color w:val="auto"/>
                <w:kern w:val="0"/>
                <w:sz w:val="21"/>
                <w:szCs w:val="21"/>
                <w:highlight w:val="none"/>
              </w:rPr>
              <w:t>整机内置2.1声道音响，前朝向2个不低于15W中高音扬声器，后朝向1个不低于20W低音扬声器，额定总功率不低于50W。需提供相应的功能证明材料（包括但不限于测试报告、官网和功能截图等）。</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二、屏幕显示设计</w:t>
            </w:r>
          </w:p>
          <w:p>
            <w:pPr>
              <w:pStyle w:val="2"/>
              <w:ind w:firstLine="0" w:firstLineChars="0"/>
              <w:rPr>
                <w:rFonts w:hint="eastAsia" w:ascii="宋体" w:hAnsi="宋体" w:eastAsia="宋体" w:cs="宋体"/>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w:t>
            </w:r>
            <w:r>
              <w:rPr>
                <w:rFonts w:hint="eastAsia" w:ascii="宋体" w:hAnsi="宋体" w:eastAsia="宋体" w:cs="宋体"/>
                <w:b/>
                <w:bCs/>
                <w:color w:val="auto"/>
                <w:kern w:val="0"/>
                <w:sz w:val="21"/>
                <w:szCs w:val="21"/>
                <w:highlight w:val="none"/>
              </w:rPr>
              <w:t>整机屏幕采用86英寸 UHD超高清LED 液晶屏，显示比例16:9，屏幕分辨率≥3840*2160，具备防眩光效果。屏幕显示灰度分辨等级达到256灰阶以上，保证画面显示效果细腻。提供生产厂家确认的、相应的功能证明材料（包括但不限于测试报告、官网和功能截图等）。</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采用红外触控技术，支持Windows系统及Android系统中进行20点或以上触控。</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三、接口及按键</w:t>
            </w:r>
          </w:p>
          <w:p>
            <w:pPr>
              <w:pStyle w:val="2"/>
              <w:ind w:firstLine="0" w:firstLineChars="0"/>
              <w:rPr>
                <w:rFonts w:hint="eastAsia" w:ascii="宋体" w:hAnsi="宋体" w:eastAsia="宋体" w:cs="宋体"/>
                <w:strike/>
                <w:dstrike w:val="0"/>
                <w:color w:val="auto"/>
                <w:kern w:val="0"/>
                <w:sz w:val="21"/>
                <w:szCs w:val="21"/>
                <w:highlight w:val="none"/>
              </w:rPr>
            </w:pPr>
            <w:r>
              <w:rPr>
                <w:rFonts w:hint="eastAsia" w:ascii="宋体" w:hAnsi="宋体" w:eastAsia="宋体" w:cs="宋体"/>
                <w:color w:val="auto"/>
                <w:kern w:val="0"/>
                <w:sz w:val="21"/>
                <w:szCs w:val="21"/>
                <w:highlight w:val="none"/>
              </w:rPr>
              <w:t>整机具备不少于2路前置双系统USB3.0接口,双系统USB3.0接口支持Android系统、Windows系统读取外接移动存储设备</w:t>
            </w:r>
            <w:r>
              <w:rPr>
                <w:rFonts w:hint="eastAsia" w:ascii="宋体" w:hAnsi="宋体" w:cs="宋体"/>
                <w:color w:val="auto"/>
                <w:kern w:val="0"/>
                <w:sz w:val="21"/>
                <w:szCs w:val="21"/>
                <w:highlight w:val="none"/>
                <w:lang w:eastAsia="zh-CN"/>
              </w:rPr>
              <w:t>。</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整机具备不少于1路前置Type</w:t>
            </w:r>
            <w:r>
              <w:rPr>
                <w:rFonts w:hint="eastAsia" w:ascii="宋体" w:hAnsi="宋体" w:cs="宋体"/>
                <w:color w:val="auto"/>
                <w:kern w:val="0"/>
                <w:sz w:val="21"/>
                <w:szCs w:val="21"/>
                <w:highlight w:val="none"/>
                <w:lang w:val="en-US" w:eastAsia="zh-CN"/>
              </w:rPr>
              <w:t>-C</w:t>
            </w:r>
            <w:r>
              <w:rPr>
                <w:rFonts w:hint="eastAsia" w:ascii="宋体" w:hAnsi="宋体" w:eastAsia="宋体" w:cs="宋体"/>
                <w:color w:val="auto"/>
                <w:kern w:val="0"/>
                <w:sz w:val="21"/>
                <w:szCs w:val="21"/>
                <w:highlight w:val="none"/>
              </w:rPr>
              <w:t>接口。</w:t>
            </w:r>
          </w:p>
          <w:p>
            <w:pPr>
              <w:pStyle w:val="2"/>
              <w:ind w:firstLine="0" w:firstLineChars="0"/>
              <w:rPr>
                <w:rFonts w:hint="eastAsia" w:ascii="宋体" w:hAnsi="宋体" w:eastAsia="宋体" w:cs="宋体"/>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w:t>
            </w:r>
            <w:r>
              <w:rPr>
                <w:rFonts w:hint="eastAsia" w:ascii="宋体" w:hAnsi="宋体" w:eastAsia="宋体" w:cs="宋体"/>
                <w:b/>
                <w:bCs/>
                <w:color w:val="auto"/>
                <w:kern w:val="0"/>
                <w:sz w:val="21"/>
                <w:szCs w:val="21"/>
                <w:highlight w:val="none"/>
              </w:rPr>
              <w:t>前置按键≤7个，更多的功能可以直接在屏幕上触控操作。需提供相应的功能证明材料（包括但不限于测试报告、官网和功能截图等）。</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采用智能电子产品一键式设计：同一物理按键完成Android系统、Windows系统和节能熄屏操作，通过轻按按键实现节能熄屏/唤醒，长按按键实现关机。</w:t>
            </w:r>
          </w:p>
          <w:p>
            <w:pPr>
              <w:pStyle w:val="2"/>
              <w:ind w:firstLine="0" w:firstLineChars="0"/>
              <w:rPr>
                <w:rFonts w:hint="eastAsia" w:ascii="宋体" w:hAnsi="宋体" w:eastAsia="宋体" w:cs="宋体"/>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w:t>
            </w:r>
            <w:r>
              <w:rPr>
                <w:rFonts w:hint="eastAsia" w:ascii="宋体" w:hAnsi="宋体" w:eastAsia="宋体" w:cs="宋体"/>
                <w:b/>
                <w:bCs/>
                <w:color w:val="auto"/>
                <w:kern w:val="0"/>
                <w:sz w:val="21"/>
                <w:szCs w:val="21"/>
                <w:highlight w:val="none"/>
              </w:rPr>
              <w:t>可通过前置物理功能按键一键启用减滤蓝光模式，需提供相应的功能证明材料（包括但不限于测试报告、官网和功能截图等）。</w:t>
            </w:r>
          </w:p>
          <w:p>
            <w:pPr>
              <w:pStyle w:val="2"/>
              <w:ind w:firstLine="0" w:firstLineChars="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设备支持通过前置物理按键一键启动录屏功能，可将屏幕中显示的所有内容与老师人声同时录制。需提供相应的功能证明材料（包括但不限于测试报告、官网和功能截图等）。</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四、整机功能</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整机内置非独立的高清摄像头，支持远程巡课应用、二维码扫码功能，摄像头像素数≥800万，对角角度≥120°。提供生产厂家出具的、相应的功能证明材料（包括但不限于测试报告、官网和功能截图等）</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整机内置非独立外扩展的麦克风，可用于录屏对音频进行采集。</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整机支持蓝牙Bluetooth 4.2标准，能连接外部蓝牙音箱播放音频，也能接收外部手机通过蓝牙发送的文件。</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支持将自定义图片设置为开机画面。</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五、嵌入式系统</w:t>
            </w:r>
          </w:p>
          <w:p>
            <w:pPr>
              <w:pStyle w:val="2"/>
              <w:ind w:firstLine="0" w:firstLineChars="0"/>
              <w:rPr>
                <w:rFonts w:hint="eastAsia" w:ascii="宋体" w:hAnsi="宋体" w:eastAsia="宋体" w:cs="宋体"/>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w:t>
            </w:r>
            <w:r>
              <w:rPr>
                <w:rFonts w:hint="eastAsia" w:ascii="宋体" w:hAnsi="宋体" w:eastAsia="宋体" w:cs="宋体"/>
                <w:b/>
                <w:bCs/>
                <w:color w:val="auto"/>
                <w:kern w:val="0"/>
                <w:sz w:val="21"/>
                <w:szCs w:val="21"/>
                <w:highlight w:val="none"/>
              </w:rPr>
              <w:t>系统版本不低于Android9.0，内存不低于2GB，存储空间不低于8GB。提供生产厂家出具的、相应的功能证明材料（包括但不限于测试报告、官网和功能截图等）</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嵌入式Android操作系统下，白板支持对已经书写的笔迹和形状的颜色进行更换。</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六、电脑配置</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采用抽拉内置式模块化电脑，无需工具即可快速拆卸电脑模块。</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搭载Intel 9代酷睿 i</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或以上配置CPU。内存：8GB DDR4笔记本内存或以上配置。硬盘：256GB SSD固态硬盘或以上配置。</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具有独立非外扩展的电脑USB接口：电脑上至少具备3个USB3.0 接口。</w:t>
            </w:r>
          </w:p>
        </w:tc>
        <w:tc>
          <w:tcPr>
            <w:tcW w:w="204" w:type="pct"/>
            <w:shd w:val="clear" w:color="auto" w:fill="auto"/>
            <w:vAlign w:val="center"/>
          </w:tcPr>
          <w:p>
            <w:pPr>
              <w:widowControl/>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台</w:t>
            </w:r>
          </w:p>
        </w:tc>
        <w:tc>
          <w:tcPr>
            <w:tcW w:w="204" w:type="pct"/>
            <w:shd w:val="clear" w:color="auto" w:fill="auto"/>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204" w:type="pct"/>
            <w:shd w:val="clear" w:color="auto" w:fill="auto"/>
            <w:vAlign w:val="center"/>
          </w:tcPr>
          <w:p>
            <w:pPr>
              <w:pStyle w:val="2"/>
              <w:ind w:firstLine="0" w:firstLineChars="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 w:type="pct"/>
            <w:vAlign w:val="center"/>
          </w:tcPr>
          <w:p>
            <w:pPr>
              <w:pStyle w:val="2"/>
              <w:ind w:firstLine="0" w:firstLineChars="0"/>
              <w:rPr>
                <w:rFonts w:hint="eastAsia" w:ascii="宋体" w:hAnsi="宋体" w:eastAsia="宋体" w:cs="宋体"/>
                <w:color w:val="auto"/>
                <w:kern w:val="0"/>
                <w:sz w:val="21"/>
                <w:szCs w:val="21"/>
                <w:highlight w:val="none"/>
              </w:rPr>
            </w:pPr>
          </w:p>
        </w:tc>
        <w:tc>
          <w:tcPr>
            <w:tcW w:w="204"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白板软件</w:t>
            </w:r>
          </w:p>
        </w:tc>
        <w:tc>
          <w:tcPr>
            <w:tcW w:w="3977"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备授课一体化，具有备课模式及授课模式，且操作界面根据备课和授课使用场景不同而区别设计，符合用户使用需求。</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支持通过数字账号、微信二维码方式登录教师个人账号。互动教学课件支持定向精准分享：分享者可将互动课件、课件组精准推送至指定接收方账号云空间，接收方可在云空间接收并打开分享课件；</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支持课件内嵌图片、音视频等多媒体文件，兼容以下格式：mp3\wav\wma\ogg\aac\mp4\rmvb\wmv\avi\rm\3gp\mkv\flv\mov\png\bmp\jpg\jpeg\gif\svg\swf\ppt\pptx</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具备云端静默推送下载功能，可实现应用在线升级，升级具有信息验证机制，确保教学秩序不受干扰。</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课件回收站功能：按照删除时间存储已删除课件，支持用户在3天内自主或彻底删除单份/多份/全部已删除课件 </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板中板：支持授课过程中调用板中板辅助教学，可进行批注、加页及背景色切换；板中板支持插入图片、音视频素材进行独立讲解，不影响课件主画面。</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提供多种翻页按键布局，翻页按键可分布于屏幕单侧或左右两侧，支持上下翻页、课件页面预览及页面非线性跳转。</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内置专用美术画板工具，提供铅笔、毛笔、油画笔等笔触，具备符合绘画调色教学需求的模拟调色盘，可选择不同颜色混合调色，便于学生理解调色合成过程。</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为保证软件稳定性，</w:t>
            </w:r>
            <w:r>
              <w:rPr>
                <w:rFonts w:hint="eastAsia" w:ascii="宋体" w:hAnsi="宋体" w:cs="宋体"/>
                <w:color w:val="auto"/>
                <w:kern w:val="0"/>
                <w:sz w:val="21"/>
                <w:szCs w:val="21"/>
                <w:highlight w:val="none"/>
                <w:lang w:val="en-US" w:eastAsia="zh-CN"/>
              </w:rPr>
              <w:t>应</w:t>
            </w:r>
            <w:r>
              <w:rPr>
                <w:rFonts w:hint="eastAsia" w:ascii="宋体" w:hAnsi="宋体" w:eastAsia="宋体" w:cs="宋体"/>
                <w:color w:val="auto"/>
                <w:kern w:val="0"/>
                <w:sz w:val="21"/>
                <w:szCs w:val="21"/>
                <w:highlight w:val="none"/>
              </w:rPr>
              <w:t>与一体机为同一品牌</w:t>
            </w:r>
            <w:r>
              <w:rPr>
                <w:rFonts w:hint="eastAsia" w:ascii="宋体" w:hAnsi="宋体" w:cs="宋体"/>
                <w:color w:val="auto"/>
                <w:kern w:val="0"/>
                <w:sz w:val="21"/>
                <w:szCs w:val="21"/>
                <w:highlight w:val="none"/>
                <w:lang w:val="en-US" w:eastAsia="zh-CN"/>
              </w:rPr>
              <w:t>系列产品</w:t>
            </w:r>
            <w:r>
              <w:rPr>
                <w:rFonts w:hint="eastAsia" w:ascii="宋体" w:hAnsi="宋体" w:eastAsia="宋体" w:cs="宋体"/>
                <w:color w:val="auto"/>
                <w:kern w:val="0"/>
                <w:sz w:val="21"/>
                <w:szCs w:val="21"/>
                <w:highlight w:val="none"/>
              </w:rPr>
              <w:t>。</w:t>
            </w:r>
          </w:p>
        </w:tc>
        <w:tc>
          <w:tcPr>
            <w:tcW w:w="204" w:type="pct"/>
            <w:shd w:val="clear" w:color="auto" w:fill="auto"/>
            <w:vAlign w:val="center"/>
          </w:tcPr>
          <w:p>
            <w:pPr>
              <w:widowControl/>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套</w:t>
            </w:r>
          </w:p>
        </w:tc>
        <w:tc>
          <w:tcPr>
            <w:tcW w:w="204" w:type="pct"/>
            <w:shd w:val="clear" w:color="auto" w:fill="auto"/>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204" w:type="pct"/>
            <w:shd w:val="clear" w:color="auto" w:fill="auto"/>
            <w:vAlign w:val="center"/>
          </w:tcPr>
          <w:p>
            <w:pPr>
              <w:pStyle w:val="2"/>
              <w:ind w:firstLine="0" w:firstLineChars="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 w:type="pct"/>
            <w:vAlign w:val="center"/>
          </w:tcPr>
          <w:p>
            <w:pPr>
              <w:pStyle w:val="2"/>
              <w:ind w:firstLine="0" w:firstLineChars="0"/>
              <w:rPr>
                <w:rFonts w:hint="eastAsia" w:ascii="宋体" w:hAnsi="宋体" w:eastAsia="宋体" w:cs="宋体"/>
                <w:color w:val="auto"/>
                <w:kern w:val="0"/>
                <w:sz w:val="21"/>
                <w:szCs w:val="21"/>
                <w:highlight w:val="none"/>
              </w:rPr>
            </w:pPr>
          </w:p>
        </w:tc>
        <w:tc>
          <w:tcPr>
            <w:tcW w:w="204"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教学教研管理平台</w:t>
            </w:r>
          </w:p>
        </w:tc>
        <w:tc>
          <w:tcPr>
            <w:tcW w:w="3977"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整体要求</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于数据分析的教学教研管理平台，支持学校管理教学教研流程，包括教学计划、电子备课、听课评课、班级氛围、校本资源建设，同时收集数据反馈和评价，方便管理者掌握和促进教学教研效果。同时支持教师管理个人教学教研活动并进行数据采集分析，帮助教师提升个人专业发展。</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产品采用Saas的服务模式，后台应用B/S架构设计，支持学校管理者在Windows、Linux、Android、iOS等多种不同的操作系统上通过网页浏览器登陆进行操作，可统计全校教师软件活跃数据、点评数据及课件上传等数据。</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多端登录：支持管理员及教师使用网页端、移动端登录，移动端支持查看网页端数据信息，教师榜单，并定期推送数据分析报表，帮助学校检验信息化教学成果。</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基础数据中心</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信息化指数：通过多维度分析学校的信息化教学应用情况，综合评估出信息化指数，并与月均值、全省均值进行对比，方便管理者快速了解信息化教学进展。</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信息化数据雷达图：将信息化教学数据分五个维度进行评估，分别为课件制作、听课评课、师生互动、互动教学、家校沟通，并与全省均值对比，学校信息化教学情况一目了然。</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升实力：一键分析学校信息化教学的待提升项，并将本校信息化教学数值与省最高值进行对比，方便学校了解自身情况和实际差距；同时可通过管理端督促教师开展信息化教学活动，并为管理者预测督促后可提升的指标，督促信息将通过短信触达教师，保证督促效果。</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系统管理</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学校通知：管理员可根据组织架构信息，自由选定教师发送学校通知。发送后，管理员可实时查阅教师已读、未读情况。通知的发送、接收都可在微信小程序中完成，方便随时随地进行通知的查阅和管理。</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组织架构：管理员可自定义构建部门，亦可将教师导入相应的部门，方便进行分组管理。支持管理者在移动端审核教师入校，方便快速处理教师的申请。</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人员管理：支持管理员通过多种方式邀请教师入校，包含直接导入教师、链接邀请入校、二维码邀请入校。支持以姓名、手机号快速搜索教师，同时支持导出学校教师名单。</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申请入校：教师输入学校账号以及入校验证信息完成入校申请，管理员审核申请后即可入校；支持教师通过回答自定义验证问题直接入校。</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四、教研管理中心</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学校提供教研全流程管理服务，包含教学计划、电子教案、听课评课、校本资源、班级氛围的流程管理和数据分析，方便学校统筹管理教学、教研活动进展，收集数据反馈和评价，了解全校教师的教学教研产出。</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教研组计划：以不同学科不同年级教研组为单位，可以在系统中录入教研组教学计划，计划可以和教案的课时数相关联，方便教研组管理教学进度。</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教案模板管理：支持管理者自定义学校的教案模板，可以设置必填项和选填项，有效规范教师教案的编写。</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校本课件管理：可统一审核发布、删除教师上传至校本库的课件，支持查看更新时间、大小、下载次数等数据。校本课件支持文件夹分组，方便各学科课件的分组管理。同时支持课件的批量移动、删除。</w:t>
            </w:r>
          </w:p>
        </w:tc>
        <w:tc>
          <w:tcPr>
            <w:tcW w:w="204" w:type="pct"/>
            <w:shd w:val="clear" w:color="auto" w:fill="auto"/>
            <w:vAlign w:val="center"/>
          </w:tcPr>
          <w:p>
            <w:pPr>
              <w:widowControl/>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套</w:t>
            </w:r>
          </w:p>
        </w:tc>
        <w:tc>
          <w:tcPr>
            <w:tcW w:w="204" w:type="pct"/>
            <w:shd w:val="clear" w:color="auto" w:fill="auto"/>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204" w:type="pct"/>
            <w:shd w:val="clear" w:color="auto" w:fill="auto"/>
            <w:vAlign w:val="center"/>
          </w:tcPr>
          <w:p>
            <w:pPr>
              <w:pStyle w:val="2"/>
              <w:ind w:firstLine="0" w:firstLineChars="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 w:type="pct"/>
            <w:vAlign w:val="center"/>
          </w:tcPr>
          <w:p>
            <w:pPr>
              <w:pStyle w:val="2"/>
              <w:ind w:firstLine="0" w:firstLineChars="0"/>
              <w:rPr>
                <w:rFonts w:hint="eastAsia" w:ascii="宋体" w:hAnsi="宋体" w:eastAsia="宋体" w:cs="宋体"/>
                <w:color w:val="auto"/>
                <w:kern w:val="0"/>
                <w:sz w:val="21"/>
                <w:szCs w:val="21"/>
                <w:highlight w:val="none"/>
              </w:rPr>
            </w:pPr>
          </w:p>
        </w:tc>
        <w:tc>
          <w:tcPr>
            <w:tcW w:w="204"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视频展台</w:t>
            </w:r>
          </w:p>
        </w:tc>
        <w:tc>
          <w:tcPr>
            <w:tcW w:w="3977"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硬件参数：</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壁挂式安装，防盗防破坏，无锐角无利边设计，有效防止师生碰伤、划伤。</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采用800W像素自动对焦摄像头，可拍摄A4画幅。</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展台按键采用电容式触摸按键，一键启动展台画面、画面放大、画面缩小、画面旋转、拍照截图等功能，同时也支持在一体机或电脑上进行同样的操作。</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视频展台</w:t>
            </w:r>
            <w:r>
              <w:rPr>
                <w:rFonts w:hint="eastAsia" w:ascii="宋体" w:hAnsi="宋体" w:cs="宋体"/>
                <w:color w:val="auto"/>
                <w:kern w:val="0"/>
                <w:sz w:val="21"/>
                <w:szCs w:val="21"/>
                <w:highlight w:val="none"/>
                <w:lang w:val="en-US" w:eastAsia="zh-CN"/>
              </w:rPr>
              <w:t>应</w:t>
            </w:r>
            <w:r>
              <w:rPr>
                <w:rFonts w:hint="eastAsia" w:ascii="宋体" w:hAnsi="宋体" w:eastAsia="宋体" w:cs="宋体"/>
                <w:color w:val="auto"/>
                <w:kern w:val="0"/>
                <w:sz w:val="21"/>
                <w:szCs w:val="21"/>
                <w:highlight w:val="none"/>
              </w:rPr>
              <w:t>与一体机为同一品牌厂家。</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软件参数：</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支持对展台画面进行放大、缩小、旋转、自适应、冻结画面等操作。</w:t>
            </w:r>
          </w:p>
          <w:p>
            <w:pPr>
              <w:pStyle w:val="2"/>
              <w:ind w:firstLine="0" w:firstLineChars="0"/>
              <w:rPr>
                <w:rFonts w:hint="eastAsia" w:ascii="宋体" w:hAnsi="宋体" w:eastAsia="宋体" w:cs="宋体"/>
                <w:color w:val="auto"/>
                <w:kern w:val="0"/>
                <w:sz w:val="21"/>
                <w:szCs w:val="21"/>
                <w:highlight w:val="none"/>
                <w:lang w:val="zh-TW" w:eastAsia="zh-TW"/>
              </w:rPr>
            </w:pPr>
            <w:r>
              <w:rPr>
                <w:rFonts w:hint="eastAsia" w:ascii="宋体" w:hAnsi="宋体" w:eastAsia="宋体" w:cs="宋体"/>
                <w:color w:val="auto"/>
                <w:kern w:val="0"/>
                <w:sz w:val="21"/>
                <w:szCs w:val="21"/>
                <w:highlight w:val="none"/>
              </w:rPr>
              <w:t>支持展台画面实时批注，预设多种笔划粗细及颜色供选择，且支持对展台画面联同批注内容进行同步缩放、移动。</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支持故障自动检测，在软件无法出现展台拍摄画面时，自动出现检测链接，帮助用户检测“无画面”的原因，并给出引导性解决方案。可判断硬件连接、显卡驱动、摄像头占用、软件版本等问题。</w:t>
            </w:r>
          </w:p>
        </w:tc>
        <w:tc>
          <w:tcPr>
            <w:tcW w:w="204" w:type="pct"/>
            <w:shd w:val="clear" w:color="auto" w:fill="auto"/>
            <w:vAlign w:val="center"/>
          </w:tcPr>
          <w:p>
            <w:pPr>
              <w:widowControl/>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套</w:t>
            </w:r>
          </w:p>
        </w:tc>
        <w:tc>
          <w:tcPr>
            <w:tcW w:w="204" w:type="pct"/>
            <w:shd w:val="clear" w:color="auto" w:fill="auto"/>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204" w:type="pct"/>
            <w:shd w:val="clear" w:color="auto" w:fill="auto"/>
            <w:vAlign w:val="center"/>
          </w:tcPr>
          <w:p>
            <w:pPr>
              <w:pStyle w:val="2"/>
              <w:ind w:firstLine="0" w:firstLineChars="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 w:type="pct"/>
            <w:vAlign w:val="center"/>
          </w:tcPr>
          <w:p>
            <w:pPr>
              <w:pStyle w:val="2"/>
              <w:ind w:firstLine="0" w:firstLineChars="0"/>
              <w:rPr>
                <w:rFonts w:hint="eastAsia" w:ascii="宋体" w:hAnsi="宋体" w:eastAsia="宋体" w:cs="宋体"/>
                <w:color w:val="auto"/>
                <w:kern w:val="0"/>
                <w:sz w:val="21"/>
                <w:szCs w:val="21"/>
                <w:highlight w:val="none"/>
              </w:rPr>
            </w:pPr>
          </w:p>
        </w:tc>
        <w:tc>
          <w:tcPr>
            <w:tcW w:w="204"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推拉黑板</w:t>
            </w:r>
          </w:p>
        </w:tc>
        <w:tc>
          <w:tcPr>
            <w:tcW w:w="3977"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一、定制推拉黑板， 外形尺寸：4000mm*1300mm。</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 产品结构：内外双层结构，支持触摸电视偏一侧或居中安装方式,根据所配触摸电视适当调整。</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 边框：外框铝型材正面尺寸68mm，壁厚1.2mm。耐腐蚀、耐磨性</w:t>
            </w:r>
            <w:r>
              <w:rPr>
                <w:rFonts w:hint="eastAsia" w:ascii="宋体" w:hAnsi="宋体" w:cs="宋体"/>
                <w:strike w:val="0"/>
                <w:dstrike w:val="0"/>
                <w:color w:val="auto"/>
                <w:kern w:val="0"/>
                <w:sz w:val="21"/>
                <w:szCs w:val="21"/>
                <w:highlight w:val="none"/>
                <w:lang w:val="en-US" w:eastAsia="zh-CN"/>
              </w:rPr>
              <w:t>符合</w:t>
            </w:r>
            <w:r>
              <w:rPr>
                <w:rFonts w:hint="eastAsia" w:ascii="宋体" w:hAnsi="宋体" w:eastAsia="宋体" w:cs="宋体"/>
                <w:color w:val="auto"/>
                <w:kern w:val="0"/>
                <w:sz w:val="21"/>
                <w:szCs w:val="21"/>
                <w:highlight w:val="none"/>
              </w:rPr>
              <w:t>GB/T5237-2008标准。内框铝型材正面尺寸50mm,壁厚1.0mm，耐腐蚀、耐磨性</w:t>
            </w:r>
            <w:r>
              <w:rPr>
                <w:rFonts w:hint="eastAsia" w:ascii="宋体" w:hAnsi="宋体" w:cs="宋体"/>
                <w:strike w:val="0"/>
                <w:dstrike w:val="0"/>
                <w:color w:val="auto"/>
                <w:kern w:val="0"/>
                <w:sz w:val="21"/>
                <w:szCs w:val="21"/>
                <w:highlight w:val="none"/>
                <w:lang w:val="en-US" w:eastAsia="zh-CN"/>
              </w:rPr>
              <w:t>符合</w:t>
            </w:r>
            <w:r>
              <w:rPr>
                <w:rFonts w:hint="eastAsia" w:ascii="宋体" w:hAnsi="宋体" w:eastAsia="宋体" w:cs="宋体"/>
                <w:color w:val="auto"/>
                <w:kern w:val="0"/>
                <w:sz w:val="21"/>
                <w:szCs w:val="21"/>
                <w:highlight w:val="none"/>
              </w:rPr>
              <w:t>GB/T5237-2008标准 。四、 书写板面：金属烤漆书写板，表面细致光洁，书写流畅，抗撞击、磨损、刮擦、不褪色。</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 采用环保型双组份聚氨酯胶水，自动化流水线覆板作业，确保粘接牢固板面平整，甲醛释放量≤0.2mg/L，符合GB/T 28231-2011《书写板安全卫生要求》。</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 夹层：采用高密度聚苯乙烯板做夹层，厚度18mm，面层平整，无折痕，不变形，吸音强且环保，书写无噪音。</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 背板：采用高档优质镀锌板，厚度0.27mm，板面平整，镀层牢固、光滑而均匀。</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 外框四角与绿板四角采用ABS工程塑料，模具一次成型，抗冲击力强。</w:t>
            </w:r>
          </w:p>
        </w:tc>
        <w:tc>
          <w:tcPr>
            <w:tcW w:w="204" w:type="pct"/>
            <w:shd w:val="clear" w:color="auto" w:fill="auto"/>
            <w:vAlign w:val="center"/>
          </w:tcPr>
          <w:p>
            <w:pPr>
              <w:widowControl/>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个</w:t>
            </w:r>
          </w:p>
        </w:tc>
        <w:tc>
          <w:tcPr>
            <w:tcW w:w="204" w:type="pct"/>
            <w:shd w:val="clear" w:color="auto" w:fill="auto"/>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204" w:type="pct"/>
            <w:shd w:val="clear" w:color="auto" w:fill="auto"/>
            <w:vAlign w:val="center"/>
          </w:tcPr>
          <w:p>
            <w:pPr>
              <w:pStyle w:val="2"/>
              <w:ind w:firstLine="0" w:firstLineChars="0"/>
              <w:jc w:val="center"/>
              <w:rPr>
                <w:rFonts w:hint="eastAsia" w:ascii="宋体" w:hAnsi="宋体" w:eastAsia="宋体" w:cs="宋体"/>
                <w:color w:val="auto"/>
                <w:kern w:val="0"/>
                <w:sz w:val="21"/>
                <w:szCs w:val="21"/>
                <w:highlight w:val="none"/>
              </w:rPr>
            </w:pPr>
          </w:p>
        </w:tc>
      </w:tr>
    </w:tbl>
    <w:p>
      <w:pPr>
        <w:pStyle w:val="2"/>
        <w:rPr>
          <w:color w:val="auto"/>
          <w:highlight w:val="none"/>
        </w:rPr>
      </w:pPr>
    </w:p>
    <w:p>
      <w:pPr>
        <w:pStyle w:val="2"/>
        <w:rPr>
          <w:color w:val="auto"/>
          <w:highlight w:val="none"/>
        </w:rPr>
      </w:pPr>
    </w:p>
    <w:p>
      <w:pPr>
        <w:pStyle w:val="2"/>
        <w:ind w:firstLine="4840" w:firstLineChars="1100"/>
        <w:rPr>
          <w:color w:val="auto"/>
          <w:sz w:val="44"/>
          <w:szCs w:val="44"/>
          <w:highlight w:val="none"/>
        </w:rPr>
      </w:pPr>
    </w:p>
    <w:p>
      <w:pPr>
        <w:pStyle w:val="2"/>
        <w:ind w:left="0" w:leftChars="0" w:firstLine="0" w:firstLineChars="0"/>
        <w:jc w:val="center"/>
        <w:rPr>
          <w:color w:val="auto"/>
          <w:sz w:val="44"/>
          <w:szCs w:val="44"/>
          <w:highlight w:val="none"/>
        </w:rPr>
      </w:pPr>
      <w:r>
        <w:rPr>
          <w:rFonts w:hint="eastAsia"/>
          <w:color w:val="auto"/>
          <w:sz w:val="44"/>
          <w:szCs w:val="44"/>
          <w:highlight w:val="none"/>
        </w:rPr>
        <w:t>云机房</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0"/>
        <w:gridCol w:w="1170"/>
        <w:gridCol w:w="5925"/>
        <w:gridCol w:w="496"/>
        <w:gridCol w:w="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305" w:type="pct"/>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686" w:type="pct"/>
            <w:shd w:val="clear" w:color="auto" w:fill="FFFFFF" w:themeFill="background1"/>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货物名称</w:t>
            </w:r>
          </w:p>
        </w:tc>
        <w:tc>
          <w:tcPr>
            <w:tcW w:w="3474" w:type="pct"/>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技术参数</w:t>
            </w:r>
          </w:p>
        </w:tc>
        <w:tc>
          <w:tcPr>
            <w:tcW w:w="291" w:type="pct"/>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241" w:type="pct"/>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5" w:type="pct"/>
            <w:shd w:val="clear" w:color="auto" w:fill="auto"/>
            <w:tcMar>
              <w:top w:w="15" w:type="dxa"/>
              <w:left w:w="15" w:type="dxa"/>
              <w:right w:w="15" w:type="dxa"/>
            </w:tcMar>
            <w:vAlign w:val="center"/>
          </w:tcPr>
          <w:p>
            <w:pPr>
              <w:pStyle w:val="2"/>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86" w:type="pct"/>
            <w:shd w:val="clear" w:color="auto" w:fill="FFFFFF" w:themeFill="background1"/>
            <w:tcMar>
              <w:top w:w="15" w:type="dxa"/>
              <w:left w:w="15" w:type="dxa"/>
              <w:right w:w="15" w:type="dxa"/>
            </w:tcMar>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云桌面服务器</w:t>
            </w:r>
          </w:p>
        </w:tc>
        <w:tc>
          <w:tcPr>
            <w:tcW w:w="3474" w:type="pct"/>
            <w:shd w:val="clear" w:color="auto" w:fill="auto"/>
            <w:tcMar>
              <w:top w:w="15" w:type="dxa"/>
              <w:left w:w="15" w:type="dxa"/>
              <w:right w:w="15" w:type="dxa"/>
            </w:tcMar>
          </w:tcPr>
          <w:p>
            <w:pPr>
              <w:pStyle w:val="2"/>
              <w:ind w:firstLine="0" w:firstLineChars="0"/>
              <w:rPr>
                <w:rFonts w:hint="eastAsia" w:ascii="宋体" w:hAnsi="宋体" w:eastAsia="宋体" w:cs="宋体"/>
                <w:color w:val="auto"/>
                <w:kern w:val="0"/>
                <w:sz w:val="21"/>
                <w:szCs w:val="21"/>
                <w:highlight w:val="none"/>
              </w:rPr>
            </w:pPr>
            <w:bookmarkStart w:id="142" w:name="OLE_LINK1"/>
            <w:bookmarkStart w:id="143" w:name="OLE_LINK2"/>
            <w:r>
              <w:rPr>
                <w:rFonts w:hint="eastAsia" w:ascii="宋体" w:hAnsi="宋体" w:eastAsia="宋体" w:cs="宋体"/>
                <w:color w:val="auto"/>
                <w:kern w:val="0"/>
                <w:sz w:val="21"/>
                <w:szCs w:val="21"/>
                <w:highlight w:val="none"/>
              </w:rPr>
              <w:t>1、处理器≥Intel Xeon E-2234</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2、内存：≥32G DDR4 2400 ecc内存，最大可支持64GB内存</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3、阵列：默认板载Raid，支持raid0，1，10</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4、网卡：提供≥2个千兆网络，支持TEAMING技术；提供一个ipmi专用千兆管理口</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5、硬盘：≥256G SSD*1,2* 4TB SATA 7200 RPM企业级硬盘</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6、I/O插槽：提供≥一个pcie x16 扩展槽；主板集成≥2个m.2 ssd扩展插槽。</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7、机箱：机架式，带导轨 </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8、电源：单 250W 80 PLUS 铜级电源</w:t>
            </w:r>
          </w:p>
          <w:bookmarkEnd w:id="142"/>
          <w:bookmarkEnd w:id="143"/>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9、远端维护：可实现独立于操作系统的远程操作，包括远程的开机、关机、重启等，远程管理，支持视频重定向，主机复位、重新启动、开机/关机，可用于紧急的软件诊断，支持加密连接 (SSL)； </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10、近端维护：提供可视化故障诊断 Q-Code   Logger，实时反馈机器运行状态，当机器发生异常，并可通过状态码查询直接定位故障部件和故障原因，便于快速解决问题；同时主板主要部件均设有LED故障指示灯，可方便定位故障部件，方便现场维护。</w:t>
            </w:r>
          </w:p>
          <w:p>
            <w:pPr>
              <w:pStyle w:val="2"/>
              <w:ind w:firstLine="0" w:firstLineChars="0"/>
              <w:rPr>
                <w:rFonts w:hint="eastAsia" w:ascii="宋体" w:hAnsi="宋体" w:eastAsia="宋体" w:cs="宋体"/>
                <w:strike/>
                <w:dstrike w:val="0"/>
                <w:color w:val="auto"/>
                <w:kern w:val="0"/>
                <w:sz w:val="21"/>
                <w:szCs w:val="21"/>
                <w:highlight w:val="none"/>
                <w:lang w:eastAsia="zh-CN"/>
              </w:rPr>
            </w:pPr>
            <w:r>
              <w:rPr>
                <w:rFonts w:hint="eastAsia" w:ascii="宋体" w:hAnsi="宋体" w:eastAsia="宋体" w:cs="宋体"/>
                <w:color w:val="auto"/>
                <w:kern w:val="0"/>
                <w:sz w:val="21"/>
                <w:szCs w:val="21"/>
                <w:highlight w:val="none"/>
              </w:rPr>
              <w:t>11、节能技术：集成硬件式节能芯片EPU绿色能量引擎，通过实时侦测系统负载，自动调节CPU、内存等电子元器件的电压，达成系统所需最合适的处理器性能</w:t>
            </w:r>
            <w:r>
              <w:rPr>
                <w:rFonts w:hint="eastAsia" w:ascii="宋体" w:hAnsi="宋体" w:cs="宋体"/>
                <w:color w:val="auto"/>
                <w:kern w:val="0"/>
                <w:sz w:val="21"/>
                <w:szCs w:val="21"/>
                <w:highlight w:val="none"/>
                <w:lang w:eastAsia="zh-CN"/>
              </w:rPr>
              <w:t>。</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13、售后服务：提供原厂3年专业服务。</w:t>
            </w:r>
          </w:p>
        </w:tc>
        <w:tc>
          <w:tcPr>
            <w:tcW w:w="291" w:type="pct"/>
            <w:shd w:val="clear" w:color="auto" w:fill="auto"/>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241"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5" w:type="pct"/>
            <w:shd w:val="clear" w:color="auto" w:fill="auto"/>
            <w:tcMar>
              <w:top w:w="15" w:type="dxa"/>
              <w:left w:w="15" w:type="dxa"/>
              <w:right w:w="15" w:type="dxa"/>
            </w:tcMar>
            <w:vAlign w:val="center"/>
          </w:tcPr>
          <w:p>
            <w:pPr>
              <w:pStyle w:val="2"/>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686" w:type="pct"/>
            <w:shd w:val="clear" w:color="auto" w:fill="FFFFFF" w:themeFill="background1"/>
            <w:tcMar>
              <w:top w:w="15" w:type="dxa"/>
              <w:left w:w="15" w:type="dxa"/>
              <w:right w:w="15" w:type="dxa"/>
            </w:tcMar>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云管理平台</w:t>
            </w:r>
          </w:p>
        </w:tc>
        <w:tc>
          <w:tcPr>
            <w:tcW w:w="3474" w:type="pct"/>
            <w:shd w:val="clear" w:color="auto" w:fill="auto"/>
            <w:tcMar>
              <w:top w:w="15" w:type="dxa"/>
              <w:left w:w="15" w:type="dxa"/>
              <w:right w:w="15" w:type="dxa"/>
            </w:tcMa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1、提供B/S架构的WEB管理界面，方便管理者了解整个服务器的运行状态、排查故障，可以实时监控服务器的CPU、内存、网络、磁盘等运行状态。</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2、提供模板资源动态管理机制，在不删除模板的情况下，在线实时对模板的CPU、内存等资源进行灵活分配，满足不同场景的资源需求。</w:t>
            </w:r>
          </w:p>
          <w:p>
            <w:pPr>
              <w:pStyle w:val="2"/>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3、提供Adobe Photoshop、Adobe DreamWeaver、AutodeskCAD、SolidWorks、Material Studio、Mathcad、Solidworks、Matlab、IBM spss statics、Edius、UGNX、MAYA、3DMAX等常用第三方软件批量注册功能，只需对模板内的第三方软件注册，通过模板分发更新终端数据后，所有终端自动完成注册</w:t>
            </w:r>
            <w:r>
              <w:rPr>
                <w:rFonts w:hint="eastAsia" w:ascii="宋体" w:hAnsi="宋体" w:cs="宋体"/>
                <w:color w:val="auto"/>
                <w:kern w:val="0"/>
                <w:sz w:val="21"/>
                <w:szCs w:val="21"/>
                <w:highlight w:val="none"/>
                <w:lang w:eastAsia="zh-CN"/>
              </w:rPr>
              <w:t>。</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4、提供模板在线安装/编辑/导入/导出/删除/更新/分发等操作、模板分发支持Legacy PXE和UEFI PXE两种连线方式，可满足不同的新旧终端设备使用。</w:t>
            </w:r>
          </w:p>
          <w:p>
            <w:pPr>
              <w:pStyle w:val="2"/>
              <w:ind w:firstLine="0" w:firstLineChars="0"/>
              <w:rPr>
                <w:rFonts w:hint="eastAsia" w:ascii="宋体" w:hAnsi="宋体" w:eastAsia="宋体" w:cs="宋体"/>
                <w:strike/>
                <w:dstrike w:val="0"/>
                <w:color w:val="auto"/>
                <w:kern w:val="0"/>
                <w:sz w:val="21"/>
                <w:szCs w:val="21"/>
                <w:highlight w:val="none"/>
                <w:lang w:eastAsia="zh-CN"/>
              </w:rPr>
            </w:pPr>
            <w:r>
              <w:rPr>
                <w:rFonts w:hint="eastAsia" w:ascii="宋体" w:hAnsi="宋体" w:eastAsia="宋体" w:cs="宋体"/>
                <w:color w:val="auto"/>
                <w:kern w:val="0"/>
                <w:sz w:val="21"/>
                <w:szCs w:val="21"/>
                <w:highlight w:val="none"/>
              </w:rPr>
              <w:t>5、提供通过WEB界面直接对模板进行在线编辑，同一模板可同时支持多个系统桌面，不同的系统桌面可设置每天/每周/每月/每次开机/定时等多种还原策略，每一个系统桌面都可以独立或共享模板内的数据分区，通过模板下发后，所有终端统一更新，无需在终端再逐台设置</w:t>
            </w:r>
            <w:r>
              <w:rPr>
                <w:rFonts w:hint="eastAsia" w:ascii="宋体" w:hAnsi="宋体" w:cs="宋体"/>
                <w:color w:val="auto"/>
                <w:kern w:val="0"/>
                <w:sz w:val="21"/>
                <w:szCs w:val="21"/>
                <w:highlight w:val="none"/>
                <w:lang w:eastAsia="zh-CN"/>
              </w:rPr>
              <w:t>。</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6、提供多教室管理功能，单台服务器可同时管理多个教室，每个教室可指派特定的IP地址段，所有终端根据预设的IP地址段，上线自动登录到各自所属的教室列表内，无需手动逐台添加。</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提供云盘局域网、广域网远程访问存储功能，用户可随时随地在线预览（在线直接打开，无需下载本地）、上传、下载、分享文件，支持30秒内批量创建导入不低于500个用户的快捷功能，无需管理人员逐一添加用户信息，存储设备支持热挂载，当存储空间不足时，可快速灵活扩充空间。</w:t>
            </w:r>
          </w:p>
          <w:p>
            <w:pPr>
              <w:pStyle w:val="2"/>
              <w:ind w:firstLine="0" w:firstLineChars="0"/>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8、提供云教室教学运行的大数据预览平台功能，管理员通过全方位可视化动态实时预览，实时感知云教室的运行状况，实现对校园信息数据的全方位了解，强化云教室机房的运维保障体系，平台可提供针对不同教室，不同的教学环境，展示不同的在线实时数据和终端桌面状态，确保云机房运维保证体系有序进行。</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9、提供课程计划，老师可对教室终端设置不同的课程计划，执行的终端会定时启动或切换到指定教学桌面，满足“一室多用”，轻松应对走班排课，解决学校教室不足的问题。</w:t>
            </w:r>
          </w:p>
        </w:tc>
        <w:tc>
          <w:tcPr>
            <w:tcW w:w="291" w:type="pct"/>
            <w:shd w:val="clear" w:color="auto" w:fill="auto"/>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241"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5" w:type="pct"/>
            <w:shd w:val="clear" w:color="auto" w:fill="auto"/>
            <w:tcMar>
              <w:top w:w="15" w:type="dxa"/>
              <w:left w:w="15" w:type="dxa"/>
              <w:right w:w="15" w:type="dxa"/>
            </w:tcMar>
            <w:vAlign w:val="center"/>
          </w:tcPr>
          <w:p>
            <w:pPr>
              <w:pStyle w:val="2"/>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686" w:type="pct"/>
            <w:shd w:val="clear" w:color="auto" w:fill="FFFFFF" w:themeFill="background1"/>
            <w:tcMar>
              <w:top w:w="15" w:type="dxa"/>
              <w:left w:w="15" w:type="dxa"/>
              <w:right w:w="15" w:type="dxa"/>
            </w:tcMar>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云桌面系统</w:t>
            </w:r>
          </w:p>
        </w:tc>
        <w:tc>
          <w:tcPr>
            <w:tcW w:w="3474" w:type="pct"/>
            <w:shd w:val="clear" w:color="auto" w:fill="auto"/>
            <w:tcMar>
              <w:top w:w="15" w:type="dxa"/>
              <w:left w:w="15" w:type="dxa"/>
              <w:right w:w="15" w:type="dxa"/>
            </w:tcMa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教师端主要参数</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提供Windows系统下C/S架构的教学管理软件，学生端教学管理程序可自动登录到教师端，在上电不启动的环境下支持通过教学管理软件对所有终端实现一键开机（无需手工逐台开机）、关机、重启等功能，支持学生端断线或重启自动重连功能。</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提供常用Linux系统（如：Ubuntu、Kubuntu、UOS等）下C/S架构的教学管理软件，在Linux系统下教师端可对学生端进行广播教学、网页广播、消息发送、文件分发、远程关机/开机/重启/控制等操作，满足Linux系统教学管控场景。</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12、提供30秒内完成200个以上Win10或Win7桌面同时并发启动或切换，快速完成教学场景切换。</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提供教师端可控制将任意学生端模板下发到单一，特定，全部学生端，分发过程支持断点续传，同时可自定义分发模式，可根据实际网络环境调节网络延时。服务器宕机或损坏时，模板分发依然可以正常使用。</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14、提供教师端控制学生端平台软件批量更新升级，支持Legacy PXE和UEFI PXE两种连线方式，升级后学生终端数据不受任何影响，升级过程无需连接服务器即可完成。</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提供教师端对学生终端的任务管理器、控制面板、桌面显示、注册表、电源选项、设备管理器、磁盘管理、系统信息、系统服务、网络、声音等项目进行灵活管理（禁用或启用）的组策略功能，实现终端全方位管控。</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提供教师端对单一、部分、全体学生端进行屏幕广播教学，同时播放100台1080P高清视频无卡顿，实现多媒体高清教学，当服务器宕机、网络中断或学生端人为重启后，无需人为干预，自动续播，确保广播教学正常进行。</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17、提供教师端实时遥控单一、多个学生端的屏幕（最多同一画面可遥控16台终端屏幕），同时可实时监看单个学生端桌面的变化和操作轨迹。</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18、提供教师端将指定的学生端屏幕广播给其他部分或者所有学生，同时老师也能看到该指定学生的屏幕画面。</w:t>
            </w:r>
          </w:p>
          <w:p>
            <w:pPr>
              <w:pStyle w:val="2"/>
              <w:ind w:firstLine="0" w:firstLineChars="0"/>
              <w:rPr>
                <w:rFonts w:hint="eastAsia" w:ascii="宋体"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19、提供教师端向学生端发布消息/通知，通知信息可在学生端屏幕上方以特殊颜色字体滚动显示</w:t>
            </w:r>
            <w:r>
              <w:rPr>
                <w:rFonts w:hint="eastAsia" w:ascii="宋体" w:hAnsi="宋体" w:cs="宋体"/>
                <w:color w:val="auto"/>
                <w:kern w:val="0"/>
                <w:sz w:val="21"/>
                <w:szCs w:val="21"/>
                <w:highlight w:val="none"/>
                <w:lang w:eastAsia="zh-CN"/>
              </w:rPr>
              <w:t>。</w:t>
            </w:r>
          </w:p>
          <w:p>
            <w:pPr>
              <w:pStyle w:val="2"/>
              <w:ind w:firstLine="0" w:firstLineChars="0"/>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20、提供教师端对学生端锁定网络、锁定USB、锁定键鼠、锁定光驱、锁定扬声器、锁定屏幕以及黑屏肃静操作、同时确保屏幕广播、电子白板、网络影院等教学应用功能正常使用。</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21、提供在线考试功能，教师可通过在线考试对所有学生进行随堂考试，考试完成后可实现自动阅卷，成绩自动统计，无需教师逐一批改试卷，提升考试和阅卷效率。</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提供数据漫游，学生可以将作业提交到作业空间，或将未完成的作业暂存到班级或者个人私有的作业空间，同时也可以通过作业空间看到老师布置的作业；老师可将优秀作业、新闻通知、活动展播分享给特定或者全体学生；老师通过作业空间进行在线投票/讨论管理，同时自动统计投票结果；老师可以在线直接打开查看学生作业，无需下载本地</w:t>
            </w:r>
            <w:r>
              <w:rPr>
                <w:rFonts w:hint="eastAsia" w:ascii="宋体" w:hAnsi="宋体" w:cs="宋体"/>
                <w:color w:val="auto"/>
                <w:kern w:val="0"/>
                <w:sz w:val="21"/>
                <w:szCs w:val="21"/>
                <w:highlight w:val="none"/>
                <w:lang w:eastAsia="zh-CN"/>
              </w:rPr>
              <w:t>。</w:t>
            </w:r>
          </w:p>
          <w:p>
            <w:pPr>
              <w:pStyle w:val="2"/>
              <w:ind w:firstLine="0" w:firstLineChars="0"/>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23、提供完备的权限管理机制，可自行建立多个二级管理员，同时可以对不同管理员分配特定权限，实现多级差异化管理，不同权限具有不同的功能管理界面</w:t>
            </w:r>
            <w:r>
              <w:rPr>
                <w:rFonts w:hint="eastAsia" w:ascii="宋体" w:hAnsi="宋体" w:cs="宋体"/>
                <w:color w:val="auto"/>
                <w:kern w:val="0"/>
                <w:sz w:val="21"/>
                <w:szCs w:val="21"/>
                <w:highlight w:val="none"/>
                <w:lang w:eastAsia="zh-CN"/>
              </w:rPr>
              <w:t>。</w:t>
            </w:r>
          </w:p>
          <w:p>
            <w:pPr>
              <w:pStyle w:val="2"/>
              <w:ind w:firstLine="0" w:firstLineChars="0"/>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24、提供学生在线点名功能，老师点名完成后，可快速统计本次上课学生的出勤情况，同时学生的班级、姓名、学号等信息会以水印形式显示在学生端桌面，自动完成座次安排，无需老师逐台指派，学生下次上课可直接按照水印信息快速寻找自己座位。如需要自由上机，老师可隐藏学生端桌面水印信息，学生可自由选座灵活上机。</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25、提供班级模型功能，多个班级上课时，可将所有的学生信息按照不同的班级分别保存到对应的班级模型中，下次上课时可直接使用，无需每次进行学生信息确认。</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26、无需重启即可快速完成多语言界面切换，方便不同语种的老师更便捷的使用本系统软件。</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学生端主要参数</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27、提供学生端离线使用，当网络中断时，学生端依然可以正常启动，多个教学桌面正常切换使用无任何影响。</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28、提供学生端模板一键自动上传功能，为节省网络带宽资源，支持上传模板所有数据、系统数据、分区数据、增量数据等多种方式，节省维护时间和成本，提升上传效率。</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提供学生端Windows10、Ubuntu、Kubuntu、Deepin、UOS、CentOS、Debian、Redhat、Ezgo、麒麟、普华等多种系统桌面独立启动及多系统一键切换，每个系统可以单独设置不还原/手动/自动/每天/每周/每月/每次开机等还原策略。</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30、提供学生端本地批量升级和服务器批量升级两种维护升级模式，方便后期维护，当服务器断网时，终端依然可以正常快速完成升级维护。</w:t>
            </w:r>
          </w:p>
          <w:p>
            <w:pPr>
              <w:pStyle w:val="2"/>
              <w:ind w:firstLine="0" w:firstLineChars="0"/>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31、提供学生端组策略管理，当网络中断后学生终端与教师端失去连线，学生端依然可以独立设置任务管理器、控制面板、桌面显示、注册表、电源选项、设备管理器、磁盘管理、系统信息、系统服务、网络、声音等项目的使用策略，使学生端依然处于可控范围。</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32、为方便维护升级，支持教师端控制学生端在线批量升级/降级BIOS程序</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服务器通过补丁包升级，无需重新安装。</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提供学生终端进程保护和断网锁屏功能，防止学生恶意卸载或退出云教室管理软件，或拔掉网线破坏上课环境，确保上课正常秩序。提供学生端系统单独设置桌面启动密码或免密自动登录，确保系统登录安全。</w:t>
            </w:r>
          </w:p>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35、支持一体化的教学管理功能操作，无需独立安装第三方教学软件。</w:t>
            </w:r>
          </w:p>
        </w:tc>
        <w:tc>
          <w:tcPr>
            <w:tcW w:w="291" w:type="pct"/>
            <w:shd w:val="clear" w:color="auto" w:fill="auto"/>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点</w:t>
            </w:r>
          </w:p>
        </w:tc>
        <w:tc>
          <w:tcPr>
            <w:tcW w:w="241"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0" w:hRule="atLeast"/>
          <w:jc w:val="center"/>
        </w:trPr>
        <w:tc>
          <w:tcPr>
            <w:tcW w:w="305" w:type="pct"/>
            <w:shd w:val="clear" w:color="auto" w:fill="auto"/>
            <w:tcMar>
              <w:top w:w="15" w:type="dxa"/>
              <w:left w:w="15" w:type="dxa"/>
              <w:right w:w="15" w:type="dxa"/>
            </w:tcMar>
            <w:vAlign w:val="center"/>
          </w:tcPr>
          <w:p>
            <w:pPr>
              <w:pStyle w:val="2"/>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686" w:type="pct"/>
            <w:shd w:val="clear" w:color="auto" w:fill="FFFFFF" w:themeFill="background1"/>
            <w:tcMar>
              <w:top w:w="15" w:type="dxa"/>
              <w:left w:w="15" w:type="dxa"/>
              <w:right w:w="15" w:type="dxa"/>
            </w:tcMar>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云终端学生机</w:t>
            </w:r>
          </w:p>
        </w:tc>
        <w:tc>
          <w:tcPr>
            <w:tcW w:w="3474" w:type="pct"/>
            <w:shd w:val="clear" w:color="auto" w:fill="auto"/>
            <w:tcMar>
              <w:top w:w="15" w:type="dxa"/>
              <w:left w:w="15" w:type="dxa"/>
              <w:right w:w="15" w:type="dxa"/>
            </w:tcMar>
          </w:tcPr>
          <w:p>
            <w:pPr>
              <w:pStyle w:val="2"/>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内置X86高性能低功耗处理器，处理器不低于4核，主频2.0 GHz，睿频2.7 GHz缓存4MB；要求配置内存容量≥4GB，内置存储空间≥120GB。USB接口≥5个（包含≥3个USB 3.0接口），≥1个千兆网口，≥1个VGA接口，≥1个HDMI接口，≥1个DP接口，支持VESA标准背挂装置，Windows 10操作系统。</w:t>
            </w:r>
          </w:p>
        </w:tc>
        <w:tc>
          <w:tcPr>
            <w:tcW w:w="291" w:type="pct"/>
            <w:shd w:val="clear" w:color="auto" w:fill="auto"/>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241"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305" w:type="pct"/>
            <w:shd w:val="clear" w:color="auto" w:fill="auto"/>
            <w:tcMar>
              <w:top w:w="15" w:type="dxa"/>
              <w:left w:w="15" w:type="dxa"/>
              <w:right w:w="15" w:type="dxa"/>
            </w:tcMar>
            <w:vAlign w:val="center"/>
          </w:tcPr>
          <w:p>
            <w:pPr>
              <w:pStyle w:val="2"/>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86" w:type="pct"/>
            <w:shd w:val="clear" w:color="auto" w:fill="FFFFFF" w:themeFill="background1"/>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显示器</w:t>
            </w:r>
          </w:p>
        </w:tc>
        <w:tc>
          <w:tcPr>
            <w:tcW w:w="3474" w:type="pct"/>
            <w:shd w:val="clear" w:color="auto" w:fill="auto"/>
            <w:tcMar>
              <w:top w:w="15" w:type="dxa"/>
              <w:left w:w="15" w:type="dxa"/>
              <w:right w:w="15" w:type="dxa"/>
            </w:tcMar>
          </w:tcPr>
          <w:p>
            <w:pPr>
              <w:pStyle w:val="2"/>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显示器≥21.5寸</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LED宽屏液晶显示器，分辨率支持1920*1080</w:t>
            </w:r>
            <w:r>
              <w:rPr>
                <w:rFonts w:hint="eastAsia" w:ascii="宋体" w:hAnsi="宋体" w:cs="宋体"/>
                <w:color w:val="auto"/>
                <w:kern w:val="0"/>
                <w:sz w:val="21"/>
                <w:szCs w:val="21"/>
                <w:highlight w:val="none"/>
                <w:lang w:eastAsia="zh-CN"/>
              </w:rPr>
              <w:t>。</w:t>
            </w:r>
          </w:p>
        </w:tc>
        <w:tc>
          <w:tcPr>
            <w:tcW w:w="291" w:type="pct"/>
            <w:shd w:val="clear" w:color="auto" w:fill="auto"/>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241"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5" w:hRule="atLeast"/>
          <w:jc w:val="center"/>
        </w:trPr>
        <w:tc>
          <w:tcPr>
            <w:tcW w:w="305" w:type="pct"/>
            <w:shd w:val="clear" w:color="auto" w:fill="auto"/>
            <w:tcMar>
              <w:top w:w="15" w:type="dxa"/>
              <w:left w:w="15" w:type="dxa"/>
              <w:right w:w="15" w:type="dxa"/>
            </w:tcMar>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6</w:t>
            </w:r>
          </w:p>
        </w:tc>
        <w:tc>
          <w:tcPr>
            <w:tcW w:w="686" w:type="pct"/>
            <w:shd w:val="clear" w:color="auto" w:fill="FFFFFF" w:themeFill="background1"/>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教师机</w:t>
            </w:r>
          </w:p>
        </w:tc>
        <w:tc>
          <w:tcPr>
            <w:tcW w:w="3474" w:type="pct"/>
            <w:shd w:val="clear" w:color="auto" w:fill="auto"/>
            <w:tcMar>
              <w:top w:w="15" w:type="dxa"/>
              <w:left w:w="15" w:type="dxa"/>
              <w:right w:w="15" w:type="dxa"/>
            </w:tcMa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处理器：≥Intel 酷睿11代I7，内存：≥8GB，硬盘：≥1TB+256G固态，显卡：独立显卡，≥2GB显存，声卡：集成声卡，接口 ≥8个USB,其中≥4个USB3.0，1个HDMI，2 X PS/2接口，可支持三屏独显功能。屏幕：≥23.8英寸液晶显示器。</w:t>
            </w:r>
          </w:p>
        </w:tc>
        <w:tc>
          <w:tcPr>
            <w:tcW w:w="291" w:type="pct"/>
            <w:shd w:val="clear" w:color="auto" w:fill="auto"/>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241"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305" w:type="pct"/>
            <w:shd w:val="clear" w:color="auto" w:fill="auto"/>
            <w:tcMar>
              <w:top w:w="15" w:type="dxa"/>
              <w:left w:w="15" w:type="dxa"/>
              <w:right w:w="15" w:type="dxa"/>
            </w:tcMar>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7</w:t>
            </w:r>
          </w:p>
        </w:tc>
        <w:tc>
          <w:tcPr>
            <w:tcW w:w="686" w:type="pct"/>
            <w:shd w:val="clear" w:color="auto" w:fill="FFFFFF" w:themeFill="background1"/>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键鼠套装</w:t>
            </w:r>
          </w:p>
        </w:tc>
        <w:tc>
          <w:tcPr>
            <w:tcW w:w="3474" w:type="pct"/>
            <w:shd w:val="clear" w:color="auto" w:fill="auto"/>
            <w:tcMar>
              <w:top w:w="15" w:type="dxa"/>
              <w:left w:w="15" w:type="dxa"/>
              <w:right w:w="15" w:type="dxa"/>
            </w:tcMar>
            <w:vAlign w:val="center"/>
          </w:tcPr>
          <w:p>
            <w:pPr>
              <w:pStyle w:val="2"/>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内含有线键盘、鼠标各一个</w:t>
            </w:r>
            <w:r>
              <w:rPr>
                <w:rFonts w:hint="eastAsia" w:ascii="宋体" w:hAnsi="宋体" w:cs="宋体"/>
                <w:color w:val="auto"/>
                <w:kern w:val="0"/>
                <w:sz w:val="21"/>
                <w:szCs w:val="21"/>
                <w:highlight w:val="none"/>
                <w:lang w:eastAsia="zh-CN"/>
              </w:rPr>
              <w:t>。</w:t>
            </w:r>
          </w:p>
        </w:tc>
        <w:tc>
          <w:tcPr>
            <w:tcW w:w="291" w:type="pct"/>
            <w:shd w:val="clear" w:color="auto" w:fill="auto"/>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241"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5" w:type="pct"/>
            <w:shd w:val="clear" w:color="auto" w:fill="auto"/>
            <w:tcMar>
              <w:top w:w="15" w:type="dxa"/>
              <w:left w:w="15" w:type="dxa"/>
              <w:right w:w="15" w:type="dxa"/>
            </w:tcMar>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8</w:t>
            </w:r>
          </w:p>
        </w:tc>
        <w:tc>
          <w:tcPr>
            <w:tcW w:w="686" w:type="pct"/>
            <w:shd w:val="clear" w:color="auto" w:fill="FFFFFF" w:themeFill="background1"/>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专用耳机</w:t>
            </w:r>
          </w:p>
        </w:tc>
        <w:tc>
          <w:tcPr>
            <w:tcW w:w="3474" w:type="pct"/>
            <w:shd w:val="clear" w:color="auto" w:fill="auto"/>
            <w:tcMar>
              <w:top w:w="15" w:type="dxa"/>
              <w:left w:w="15" w:type="dxa"/>
              <w:right w:w="15" w:type="dxa"/>
            </w:tcMar>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头戴封闭式立体声耳机，带抗静电话咪，动圈式工作方式，弹簧型导线</w:t>
            </w:r>
          </w:p>
        </w:tc>
        <w:tc>
          <w:tcPr>
            <w:tcW w:w="291" w:type="pct"/>
            <w:shd w:val="clear" w:color="auto" w:fill="auto"/>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241"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305" w:type="pct"/>
            <w:shd w:val="clear" w:color="auto" w:fill="auto"/>
            <w:tcMar>
              <w:top w:w="15" w:type="dxa"/>
              <w:left w:w="15" w:type="dxa"/>
              <w:right w:w="15" w:type="dxa"/>
            </w:tcMar>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11</w:t>
            </w:r>
          </w:p>
        </w:tc>
        <w:tc>
          <w:tcPr>
            <w:tcW w:w="686" w:type="pct"/>
            <w:shd w:val="clear" w:color="auto" w:fill="FFFFFF" w:themeFill="background1"/>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交换机</w:t>
            </w:r>
          </w:p>
        </w:tc>
        <w:tc>
          <w:tcPr>
            <w:tcW w:w="3474" w:type="pct"/>
            <w:shd w:val="clear" w:color="auto" w:fill="auto"/>
            <w:tcMar>
              <w:top w:w="15" w:type="dxa"/>
              <w:left w:w="15" w:type="dxa"/>
              <w:right w:w="15" w:type="dxa"/>
            </w:tcMa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24*10/100/1000 Base-T 以太网端口</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4*100/1000 Base-X SFP光口</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交换:192Gbps，包转:42Mpps支持IRF2（最大支持9台堆叠）。支持MAC地址学习数目限制(MAC地址深度最大支持8K)支持802.1Q (最大4K个VLAN)。支持二层、三层、四层ACL支持IPv4、IPv6 ACL支持VLAN ACL</w:t>
            </w:r>
          </w:p>
        </w:tc>
        <w:tc>
          <w:tcPr>
            <w:tcW w:w="291" w:type="pct"/>
            <w:shd w:val="clear" w:color="auto" w:fill="auto"/>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241"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305" w:type="pct"/>
            <w:shd w:val="clear" w:color="auto" w:fill="auto"/>
            <w:tcMar>
              <w:top w:w="15" w:type="dxa"/>
              <w:left w:w="15" w:type="dxa"/>
              <w:right w:w="15" w:type="dxa"/>
            </w:tcMar>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12</w:t>
            </w:r>
          </w:p>
        </w:tc>
        <w:tc>
          <w:tcPr>
            <w:tcW w:w="686" w:type="pct"/>
            <w:shd w:val="clear" w:color="auto" w:fill="FFFFFF" w:themeFill="background1"/>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机柜</w:t>
            </w:r>
          </w:p>
        </w:tc>
        <w:tc>
          <w:tcPr>
            <w:tcW w:w="3474" w:type="pct"/>
            <w:shd w:val="clear" w:color="auto" w:fill="auto"/>
            <w:tcMar>
              <w:top w:w="15" w:type="dxa"/>
              <w:left w:w="15" w:type="dxa"/>
              <w:right w:w="15" w:type="dxa"/>
            </w:tcMar>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标准服务器机柜，规格：≥1200*600*1000，带≥8孔位PDU电源接线板一个</w:t>
            </w:r>
          </w:p>
        </w:tc>
        <w:tc>
          <w:tcPr>
            <w:tcW w:w="291" w:type="pct"/>
            <w:shd w:val="clear" w:color="auto" w:fill="auto"/>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241"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305" w:type="pct"/>
            <w:shd w:val="clear" w:color="auto" w:fill="auto"/>
            <w:tcMar>
              <w:top w:w="15" w:type="dxa"/>
              <w:left w:w="15" w:type="dxa"/>
              <w:right w:w="15" w:type="dxa"/>
            </w:tcMar>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686" w:type="pct"/>
            <w:shd w:val="clear" w:color="auto" w:fill="FFFFFF" w:themeFill="background1"/>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w:t>
            </w:r>
          </w:p>
        </w:tc>
        <w:tc>
          <w:tcPr>
            <w:tcW w:w="3474" w:type="pct"/>
            <w:shd w:val="clear" w:color="auto" w:fill="auto"/>
            <w:tcMar>
              <w:top w:w="15" w:type="dxa"/>
              <w:left w:w="15" w:type="dxa"/>
              <w:right w:w="15" w:type="dxa"/>
            </w:tcMar>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安装调试及辅材</w:t>
            </w:r>
          </w:p>
        </w:tc>
        <w:tc>
          <w:tcPr>
            <w:tcW w:w="291" w:type="pct"/>
            <w:shd w:val="clear" w:color="auto" w:fill="auto"/>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点</w:t>
            </w:r>
          </w:p>
        </w:tc>
        <w:tc>
          <w:tcPr>
            <w:tcW w:w="241" w:type="pct"/>
            <w:vAlign w:val="center"/>
          </w:tcPr>
          <w:p>
            <w:pPr>
              <w:pStyle w:val="2"/>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w:t>
            </w:r>
          </w:p>
        </w:tc>
      </w:tr>
    </w:tbl>
    <w:p>
      <w:pPr>
        <w:jc w:val="left"/>
        <w:rPr>
          <w:rFonts w:hint="eastAsia" w:ascii="宋体" w:hAnsi="宋体" w:cs="宋体"/>
          <w:color w:val="auto"/>
          <w:sz w:val="32"/>
          <w:szCs w:val="32"/>
          <w:highlight w:val="none"/>
          <w:lang w:bidi="zh-TW"/>
        </w:rPr>
      </w:pPr>
    </w:p>
    <w:p>
      <w:pPr>
        <w:jc w:val="left"/>
        <w:rPr>
          <w:rFonts w:hint="eastAsia" w:ascii="宋体" w:hAnsi="宋体" w:cs="宋体"/>
          <w:color w:val="auto"/>
          <w:sz w:val="32"/>
          <w:szCs w:val="32"/>
          <w:highlight w:val="none"/>
          <w:lang w:bidi="zh-TW"/>
        </w:rPr>
      </w:pPr>
    </w:p>
    <w:p>
      <w:pPr>
        <w:pStyle w:val="5"/>
        <w:numPr>
          <w:ilvl w:val="0"/>
          <w:numId w:val="5"/>
        </w:numPr>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服务要求</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bCs/>
          <w:color w:val="auto"/>
          <w:sz w:val="24"/>
          <w:highlight w:val="none"/>
        </w:rPr>
        <w:t>. 产品运输、保险及保管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1.1 成交供应商负责产品到采购人指定地点的全部运输，包括装卸及现场搬运等。</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1.2 成交供应商负责产品在采购人指定地点的保管，直至项目验收合格。</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1.3 成交供应商负责其派出的工作人员的人身意外保险。</w:t>
      </w:r>
    </w:p>
    <w:p>
      <w:pPr>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 安装调试</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2.1 成交供应商须加强施工的组织管理，所有工作人员须遵守文明安全施工的有关规章制度，持证上岗。</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2.2 项目完成后，成交供应商应将项目有关的全部资料，包括产品资料、技术文档、施工图纸等，移交采购人。</w:t>
      </w:r>
    </w:p>
    <w:p>
      <w:pPr>
        <w:adjustRightInd w:val="0"/>
        <w:spacing w:line="360" w:lineRule="auto"/>
        <w:ind w:left="-622" w:leftChars="-296"/>
        <w:rPr>
          <w:rFonts w:ascii="宋体" w:hAnsi="宋体" w:cs="宋体"/>
          <w:b/>
          <w:bCs/>
          <w:color w:val="auto"/>
          <w:sz w:val="24"/>
          <w:highlight w:val="none"/>
        </w:rPr>
      </w:pPr>
      <w:r>
        <w:rPr>
          <w:rFonts w:hint="eastAsia" w:ascii="宋体" w:hAnsi="宋体" w:cs="宋体"/>
          <w:b/>
          <w:bCs/>
          <w:color w:val="auto"/>
          <w:sz w:val="24"/>
          <w:highlight w:val="none"/>
        </w:rPr>
        <w:t xml:space="preserve">      3. 项目验收</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3.1 项目验收国家有强制性规定的，按国家规定执行，验收费用由采购人承担，验收报告作为申请付款的凭证之一。</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3.2 验收过程中产生纠纷的，由质量技术监督部门认定的检测机构检测,如为成交供应商原因造成的，由成交供应商承担检测费用；否则，由采购人承担。</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3.3 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pPr>
        <w:adjustRightInd w:val="0"/>
        <w:spacing w:line="360" w:lineRule="auto"/>
        <w:ind w:left="-622" w:leftChars="-296"/>
        <w:rPr>
          <w:rFonts w:ascii="宋体" w:hAnsi="宋体" w:cs="宋体"/>
          <w:b/>
          <w:bCs/>
          <w:color w:val="auto"/>
          <w:sz w:val="24"/>
          <w:highlight w:val="none"/>
        </w:rPr>
      </w:pPr>
      <w:r>
        <w:rPr>
          <w:rFonts w:hint="eastAsia" w:ascii="宋体" w:hAnsi="宋体" w:cs="宋体"/>
          <w:b/>
          <w:bCs/>
          <w:color w:val="auto"/>
          <w:sz w:val="24"/>
          <w:highlight w:val="none"/>
        </w:rPr>
        <w:t xml:space="preserve">      4.质量保证</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4.1所有产品超出厂家正常保修范围的，成交供应商需向厂家购买；未在投标报价表中单列其费用的，视为免费提供。</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4.2成交供应商提供的产品应是原装正品，符合国家质量检测标准，具有出厂合格证或国家鉴定合格证。</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4.3</w:t>
      </w:r>
      <w:r>
        <w:rPr>
          <w:rFonts w:hint="eastAsia" w:ascii="宋体" w:hAnsi="宋体" w:cs="宋体"/>
          <w:color w:val="auto"/>
          <w:sz w:val="24"/>
          <w:highlight w:val="none"/>
          <w:lang w:val="en-US" w:eastAsia="zh-CN"/>
        </w:rPr>
        <w:t>质保期</w:t>
      </w:r>
      <w:r>
        <w:rPr>
          <w:rFonts w:hint="eastAsia" w:ascii="宋体" w:hAnsi="宋体" w:cs="宋体"/>
          <w:color w:val="auto"/>
          <w:sz w:val="24"/>
          <w:highlight w:val="none"/>
        </w:rPr>
        <w:t>应从</w:t>
      </w:r>
      <w:r>
        <w:rPr>
          <w:rFonts w:hint="eastAsia" w:ascii="宋体" w:hAnsi="宋体" w:cs="宋体"/>
          <w:color w:val="auto"/>
          <w:sz w:val="24"/>
          <w:highlight w:val="none"/>
          <w:lang w:val="en-US" w:eastAsia="zh-CN"/>
        </w:rPr>
        <w:t>终验合格之日</w:t>
      </w:r>
      <w:r>
        <w:rPr>
          <w:rFonts w:hint="eastAsia" w:ascii="宋体" w:hAnsi="宋体" w:cs="宋体"/>
          <w:color w:val="auto"/>
          <w:sz w:val="24"/>
          <w:highlight w:val="none"/>
        </w:rPr>
        <w:t>算起。超出厂家正常保修范围的，成交供应商需向厂家购买；未在投标报价表中单列其费用的，视为免费提供。</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4.4质保期内因设备质量或安装调试原因引起的全部维修费用（包括更换零配件的费用）均由成交供应商承担。在质保期满后提供终身技术支持，并按最低价格提供所需系统配件。</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4.5质保期外，成交供应商签订合同后每半年回访一次，所需费用由成交供应商承担，发现问题及时通知采购人，且应提供广泛而优惠的技术支持及备件的供应，设备维修零配件须以优惠价给采购人。</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4.6质保期内所有设备维修和保养等要求免费上门服务。</w:t>
      </w:r>
    </w:p>
    <w:p>
      <w:pPr>
        <w:adjustRightInd w:val="0"/>
        <w:spacing w:line="360" w:lineRule="auto"/>
        <w:ind w:left="718" w:leftChars="1" w:hanging="716" w:hangingChars="297"/>
        <w:rPr>
          <w:rFonts w:ascii="宋体" w:hAnsi="宋体" w:cs="宋体"/>
          <w:b/>
          <w:bCs/>
          <w:color w:val="auto"/>
          <w:sz w:val="24"/>
          <w:highlight w:val="none"/>
        </w:rPr>
      </w:pPr>
      <w:r>
        <w:rPr>
          <w:rFonts w:hint="eastAsia" w:ascii="宋体" w:hAnsi="宋体" w:cs="宋体"/>
          <w:b/>
          <w:bCs/>
          <w:color w:val="auto"/>
          <w:sz w:val="24"/>
          <w:highlight w:val="none"/>
        </w:rPr>
        <w:t>5. 售后服务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5.1设备维修要求提交以下内容。</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1）定期维修计划。</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2）对采购人不定期维修要求的响应措施。</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3）对用户修改设计要求的响应措施。</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5.2技术支持</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1）提供7×24小时的技术咨询服务。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2）敏感时期、重大节假日提供技术人员值守服务。</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5.3故障响应</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1）提供7×24小时的故障服务受理。</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2）对重大故障提供7×24小时的现场支援，一般故障提供5×4小时的现场支援。</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3）备件服务：遇到重大故障，提供设备所需更换的任何备件。</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5.4质保期内出现任何质量问题（人为破坏或自然灾害等不可抗力除外），由成交供应商负责全免费（免全部工时费、材料费、管理费、财务费等等）更换或维修。质保期满后，无论采购人是否另行选择维保供应商，成交供应商应及时优惠提供所需的备品备件。</w:t>
      </w:r>
    </w:p>
    <w:p>
      <w:pPr>
        <w:pStyle w:val="12"/>
        <w:tabs>
          <w:tab w:val="left" w:pos="567"/>
        </w:tabs>
        <w:spacing w:line="360" w:lineRule="auto"/>
        <w:rPr>
          <w:rFonts w:hint="eastAsia" w:ascii="宋体" w:hAnsi="宋体" w:eastAsia="宋体" w:cs="宋体"/>
          <w:b w:val="0"/>
          <w:color w:val="auto"/>
          <w:kern w:val="2"/>
          <w:sz w:val="24"/>
          <w:highlight w:val="none"/>
          <w:lang w:val="en-US" w:eastAsia="zh-CN" w:bidi="ar-SA"/>
        </w:rPr>
      </w:pPr>
      <w:r>
        <w:rPr>
          <w:rFonts w:hint="eastAsia" w:ascii="宋体" w:hAnsi="宋体" w:eastAsia="宋体" w:cs="宋体"/>
          <w:b w:val="0"/>
          <w:color w:val="auto"/>
          <w:kern w:val="2"/>
          <w:sz w:val="24"/>
          <w:highlight w:val="none"/>
          <w:lang w:val="en-US" w:eastAsia="zh-CN" w:bidi="ar-SA"/>
        </w:rPr>
        <w:t>5.5产品交付使用后，成交供应商负责每半年要深入产品使用单位进行一次巡检服务，巡检服务情况要经学校管理部门签署意见后报相关管理部门备查。</w:t>
      </w:r>
    </w:p>
    <w:p>
      <w:pPr>
        <w:adjustRightInd w:val="0"/>
        <w:spacing w:line="360" w:lineRule="auto"/>
        <w:ind w:left="718" w:leftChars="1" w:hanging="716" w:hangingChars="297"/>
        <w:rPr>
          <w:rFonts w:ascii="宋体" w:hAnsi="宋体" w:cs="宋体"/>
          <w:b/>
          <w:bCs/>
          <w:color w:val="auto"/>
          <w:sz w:val="24"/>
          <w:highlight w:val="none"/>
        </w:rPr>
      </w:pPr>
      <w:r>
        <w:rPr>
          <w:rFonts w:hint="eastAsia" w:ascii="宋体" w:hAnsi="宋体" w:cs="宋体"/>
          <w:b/>
          <w:bCs/>
          <w:color w:val="auto"/>
          <w:sz w:val="24"/>
          <w:highlight w:val="none"/>
        </w:rPr>
        <w:t>6.培训</w:t>
      </w:r>
    </w:p>
    <w:p>
      <w:pPr>
        <w:adjustRightInd w:val="0"/>
        <w:spacing w:line="360" w:lineRule="auto"/>
        <w:rPr>
          <w:rFonts w:ascii="宋体" w:hAnsi="宋体" w:cs="宋体"/>
          <w:color w:val="auto"/>
          <w:szCs w:val="21"/>
          <w:highlight w:val="none"/>
        </w:rPr>
      </w:pPr>
      <w:r>
        <w:rPr>
          <w:rFonts w:hint="eastAsia" w:ascii="宋体" w:hAnsi="宋体" w:cs="宋体"/>
          <w:color w:val="auto"/>
          <w:sz w:val="24"/>
          <w:highlight w:val="none"/>
        </w:rPr>
        <w:t>6.1 成交供应商应按采购人要求免费提供安装前技术指导和设备调试时的现场指导，按采购人要求进行调试和验收。且免费培训采购方（按采购方要求进行人员培训）操作管理及维护人员，达到熟练掌握产品性能，能及时排除一般故障的程度，并提供其他一切所必须的技术支持。</w:t>
      </w:r>
    </w:p>
    <w:p>
      <w:pPr>
        <w:pStyle w:val="16"/>
        <w:spacing w:line="360" w:lineRule="auto"/>
        <w:rPr>
          <w:rFonts w:ascii="宋体" w:hAnsi="宋体" w:cs="宋体"/>
          <w:color w:val="auto"/>
          <w:highlight w:val="none"/>
        </w:rPr>
      </w:pPr>
    </w:p>
    <w:p>
      <w:pPr>
        <w:pStyle w:val="5"/>
        <w:numPr>
          <w:ilvl w:val="0"/>
          <w:numId w:val="5"/>
        </w:numPr>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商务要求</w:t>
      </w:r>
    </w:p>
    <w:p>
      <w:pPr>
        <w:adjustRightInd w:val="0"/>
        <w:spacing w:line="360" w:lineRule="auto"/>
        <w:ind w:left="718" w:leftChars="1" w:hanging="716" w:hangingChars="297"/>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交货时间、地点及方式</w:t>
      </w:r>
    </w:p>
    <w:p>
      <w:pPr>
        <w:adjustRightInd w:val="0"/>
        <w:spacing w:line="360" w:lineRule="auto"/>
        <w:rPr>
          <w:rFonts w:ascii="宋体" w:hAnsi="宋体" w:cs="宋体"/>
          <w:bCs/>
          <w:color w:val="auto"/>
          <w:sz w:val="24"/>
          <w:highlight w:val="none"/>
        </w:rPr>
      </w:pPr>
      <w:r>
        <w:rPr>
          <w:rFonts w:hint="eastAsia" w:ascii="宋体" w:hAnsi="宋体" w:cs="宋体"/>
          <w:color w:val="auto"/>
          <w:sz w:val="24"/>
          <w:highlight w:val="none"/>
        </w:rPr>
        <w:t>（1）交货时间：</w:t>
      </w:r>
      <w:r>
        <w:rPr>
          <w:rFonts w:hint="eastAsia" w:ascii="宋体" w:hAnsi="宋体" w:cs="宋体"/>
          <w:bCs/>
          <w:color w:val="auto"/>
          <w:sz w:val="24"/>
          <w:highlight w:val="none"/>
        </w:rPr>
        <w:t>在合同签订后30日内交货完毕，且安装调试完成。</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（2）交货地点：采购人指定地点。</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（3）交货方式：成交供应商将货物运至采购人指定地点安装完毕直至验收合格；由成交单位承担验收前的一切风险、责任和费用。</w:t>
      </w:r>
    </w:p>
    <w:p>
      <w:pPr>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结算方法</w:t>
      </w:r>
    </w:p>
    <w:p>
      <w:pPr>
        <w:adjustRightInd w:val="0"/>
        <w:spacing w:line="360" w:lineRule="auto"/>
        <w:rPr>
          <w:rFonts w:ascii="宋体" w:hAnsi="宋体" w:cs="宋体"/>
          <w:bCs/>
          <w:color w:val="auto"/>
          <w:sz w:val="24"/>
          <w:highlight w:val="none"/>
        </w:rPr>
      </w:pPr>
      <w:r>
        <w:rPr>
          <w:rFonts w:hint="eastAsia" w:ascii="宋体" w:hAnsi="宋体" w:cs="宋体"/>
          <w:color w:val="auto"/>
          <w:sz w:val="24"/>
          <w:highlight w:val="none"/>
        </w:rPr>
        <w:t>（1）付款人：成交供应商应自成交通知书发出之日起30日内，与采购人</w:t>
      </w:r>
      <w:r>
        <w:rPr>
          <w:rFonts w:hint="eastAsia" w:ascii="宋体" w:hAnsi="宋体" w:cs="宋体"/>
          <w:bCs/>
          <w:color w:val="auto"/>
          <w:sz w:val="24"/>
          <w:highlight w:val="none"/>
        </w:rPr>
        <w:t>签订采购合同，货款由采购人支付。</w:t>
      </w:r>
    </w:p>
    <w:p>
      <w:pPr>
        <w:adjustRightInd w:val="0"/>
        <w:spacing w:line="360" w:lineRule="auto"/>
        <w:rPr>
          <w:rFonts w:ascii="宋体" w:hAnsi="宋体" w:cs="宋体"/>
          <w:bCs/>
          <w:color w:val="auto"/>
          <w:sz w:val="24"/>
          <w:highlight w:val="none"/>
        </w:rPr>
      </w:pPr>
      <w:r>
        <w:rPr>
          <w:rFonts w:hint="eastAsia" w:ascii="宋体" w:hAnsi="宋体" w:cs="宋体"/>
          <w:bCs/>
          <w:color w:val="auto"/>
          <w:sz w:val="24"/>
          <w:highlight w:val="none"/>
        </w:rPr>
        <w:t>（2）付款方式：</w:t>
      </w:r>
    </w:p>
    <w:p>
      <w:pPr>
        <w:adjustRightIn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项目验收合格后一次性付清。</w:t>
      </w:r>
    </w:p>
    <w:p>
      <w:pPr>
        <w:adjustRightInd w:val="0"/>
        <w:spacing w:line="360" w:lineRule="auto"/>
        <w:rPr>
          <w:rFonts w:ascii="宋体" w:hAnsi="宋体" w:cs="宋体"/>
          <w:bCs/>
          <w:color w:val="auto"/>
          <w:sz w:val="24"/>
          <w:highlight w:val="none"/>
        </w:rPr>
      </w:pPr>
      <w:r>
        <w:rPr>
          <w:rFonts w:hint="eastAsia" w:ascii="宋体" w:hAnsi="宋体" w:cs="宋体"/>
          <w:bCs/>
          <w:color w:val="auto"/>
          <w:sz w:val="24"/>
          <w:highlight w:val="none"/>
        </w:rPr>
        <w:t>（3）发票要求：提供增值税普通发票。</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2.1</w:t>
      </w:r>
      <w:r>
        <w:rPr>
          <w:rFonts w:hint="eastAsia" w:ascii="宋体" w:hAnsi="宋体" w:cs="宋体"/>
          <w:color w:val="auto"/>
          <w:sz w:val="24"/>
          <w:highlight w:val="none"/>
        </w:rPr>
        <w:t>质保和售后要求超出厂家正常质保期限和要求的，成交供应商收到成交通知书后10天内提交有效证明确保能履行承诺。</w:t>
      </w:r>
    </w:p>
    <w:p>
      <w:pPr>
        <w:adjustRightInd w:val="0"/>
        <w:spacing w:line="360" w:lineRule="auto"/>
        <w:rPr>
          <w:rFonts w:ascii="宋体" w:hAnsi="宋体" w:cs="宋体"/>
          <w:bCs/>
          <w:color w:val="auto"/>
          <w:szCs w:val="21"/>
          <w:highlight w:val="none"/>
        </w:rPr>
      </w:pPr>
      <w:r>
        <w:rPr>
          <w:rFonts w:hint="eastAsia" w:ascii="宋体" w:hAnsi="宋体" w:cs="宋体"/>
          <w:bCs/>
          <w:color w:val="auto"/>
          <w:sz w:val="24"/>
          <w:highlight w:val="none"/>
          <w:lang w:val="en-US" w:eastAsia="zh-CN"/>
        </w:rPr>
        <w:t>2.2</w:t>
      </w:r>
      <w:r>
        <w:rPr>
          <w:rFonts w:hint="eastAsia" w:ascii="宋体" w:hAnsi="宋体" w:cs="宋体"/>
          <w:bCs/>
          <w:color w:val="auto"/>
          <w:sz w:val="24"/>
          <w:highlight w:val="none"/>
        </w:rPr>
        <w:t>供应商须负责所有货物的安装调试直至验收合格。安装过程中，根据现场需要，增加费用，均须包含在投标报价中。供应商应根据项目要求和现场情况，详细列明项目所需的设备及材料购置，以及产品运输保险保管、项目安装调试、试运行测试通过验收、培训、质保期免费保修维护等所有人工、管理、财务等所有费用，如一旦中标或成交，在项目实施中出现任何遗漏，均由成交供应商免费提供，采购人不再支付任何费用。</w:t>
      </w:r>
    </w:p>
    <w:p>
      <w:pPr>
        <w:pStyle w:val="16"/>
        <w:spacing w:line="360" w:lineRule="auto"/>
        <w:rPr>
          <w:rFonts w:ascii="宋体" w:hAnsi="宋体" w:cs="宋体"/>
          <w:color w:val="auto"/>
          <w:highlight w:val="none"/>
        </w:rPr>
      </w:pPr>
    </w:p>
    <w:p>
      <w:pPr>
        <w:pStyle w:val="5"/>
        <w:numPr>
          <w:ilvl w:val="0"/>
          <w:numId w:val="5"/>
        </w:numPr>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p>
      <w:pPr>
        <w:pStyle w:val="1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质量验收标准或规范：现行的国家标准或国家行政部门颁布的法律法规、规章制度等，没有国家标准的，可以参考行业标准。</w:t>
      </w:r>
    </w:p>
    <w:p>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质保期：项目整体质保期限不少于叁年，从</w:t>
      </w:r>
      <w:r>
        <w:rPr>
          <w:rFonts w:hint="eastAsia" w:ascii="宋体" w:hAnsi="宋体" w:cs="宋体"/>
          <w:color w:val="auto"/>
          <w:sz w:val="24"/>
          <w:highlight w:val="none"/>
          <w:lang w:val="en-US" w:eastAsia="zh-CN"/>
        </w:rPr>
        <w:t>终验</w:t>
      </w:r>
      <w:r>
        <w:rPr>
          <w:rFonts w:hint="eastAsia" w:ascii="宋体" w:hAnsi="宋体" w:cs="宋体"/>
          <w:color w:val="auto"/>
          <w:sz w:val="24"/>
          <w:highlight w:val="none"/>
        </w:rPr>
        <w:t>合格之日起计算。</w:t>
      </w:r>
    </w:p>
    <w:p>
      <w:pPr>
        <w:adjustRightIn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违约责任</w:t>
      </w:r>
    </w:p>
    <w:p>
      <w:pPr>
        <w:pStyle w:val="1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.1质量瑕疵的补救措施和索赔</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1）如果乙方提供的产品不符合质量标准或存在产品质量缺陷，而甲方在合同条款规定的检验、安装、调试、验收和质量保证期内，根据法定质量检测部门出具的检验证书向乙方提出了索赔，乙方应按照甲方同意的下列一种或几种方式结合起来解决索赔事宜：</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①乙方同意退货并将货款退还给甲方，由此发生的一切费用和损失由乙方承担。</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②根据货物的质量状况以及甲方所遭受的损失，经过甲乙双方商定降低货物的价格。</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pPr>
        <w:pStyle w:val="1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.2 迟延交货的违约责任</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pStyle w:val="16"/>
        <w:spacing w:line="360" w:lineRule="auto"/>
        <w:rPr>
          <w:rFonts w:ascii="宋体" w:hAnsi="宋体" w:cs="宋体"/>
          <w:color w:val="auto"/>
          <w:sz w:val="24"/>
          <w:szCs w:val="24"/>
          <w:highlight w:val="none"/>
        </w:rPr>
      </w:pPr>
      <w:r>
        <w:rPr>
          <w:rFonts w:ascii="宋体" w:hAnsi="宋体" w:cs="宋体"/>
          <w:color w:val="auto"/>
          <w:sz w:val="24"/>
          <w:szCs w:val="24"/>
          <w:highlight w:val="none"/>
        </w:rPr>
        <w:t>（2）除</w:t>
      </w:r>
      <w:r>
        <w:rPr>
          <w:rFonts w:hint="eastAsia" w:ascii="宋体" w:hAnsi="宋体" w:cs="宋体"/>
          <w:color w:val="auto"/>
          <w:sz w:val="24"/>
          <w:szCs w:val="24"/>
          <w:highlight w:val="none"/>
        </w:rPr>
        <w:t>不可抗力</w:t>
      </w:r>
      <w:r>
        <w:rPr>
          <w:rFonts w:ascii="宋体" w:hAnsi="宋体" w:cs="宋体"/>
          <w:color w:val="auto"/>
          <w:sz w:val="24"/>
          <w:szCs w:val="24"/>
          <w:highlight w:val="none"/>
        </w:rPr>
        <w:t>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pPr>
        <w:pStyle w:val="12"/>
        <w:tabs>
          <w:tab w:val="left" w:pos="567"/>
        </w:tabs>
        <w:spacing w:line="360" w:lineRule="auto"/>
        <w:rPr>
          <w:rFonts w:ascii="宋体" w:hAnsi="宋体" w:eastAsia="宋体" w:cs="宋体"/>
          <w:b w:val="0"/>
          <w:kern w:val="2"/>
          <w:sz w:val="24"/>
          <w:szCs w:val="24"/>
          <w:highlight w:val="none"/>
          <w:lang w:val="en-US" w:eastAsia="zh-CN" w:bidi="ar-SA"/>
        </w:rPr>
      </w:pPr>
      <w:r>
        <w:rPr>
          <w:rFonts w:ascii="宋体" w:hAnsi="宋体" w:eastAsia="宋体" w:cs="宋体"/>
          <w:b w:val="0"/>
          <w:color w:val="auto"/>
          <w:kern w:val="2"/>
          <w:sz w:val="24"/>
          <w:szCs w:val="24"/>
          <w:highlight w:val="none"/>
          <w:lang w:val="en-US" w:eastAsia="zh-CN" w:bidi="ar-SA"/>
        </w:rPr>
        <w:t>（3）如果乙方迟延交货，甲方有权终止全部或部分合同，并依其认为适当的条件和方法购买与未交货物类似的货物，乙方应对购买类似货物所超出的那部分费用负责。但是，乙方应继续执行合同中未终止的部分。</w:t>
      </w:r>
    </w:p>
    <w:p>
      <w:pPr>
        <w:spacing w:line="360" w:lineRule="auto"/>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br w:type="page"/>
      </w:r>
    </w:p>
    <w:p>
      <w:pPr>
        <w:pStyle w:val="21"/>
        <w:rPr>
          <w:rFonts w:hint="eastAsia" w:ascii="宋体" w:hAnsi="宋体" w:eastAsia="宋体" w:cs="宋体"/>
          <w:color w:val="auto"/>
          <w:highlight w:val="none"/>
        </w:rPr>
      </w:pPr>
      <w:r>
        <w:rPr>
          <w:rFonts w:hint="eastAsia" w:ascii="宋体" w:hAnsi="宋体" w:eastAsia="宋体" w:cs="宋体"/>
          <w:color w:val="auto"/>
          <w:highlight w:val="none"/>
        </w:rPr>
        <w:t>第四</w:t>
      </w:r>
      <w:bookmarkEnd w:id="131"/>
      <w:bookmarkStart w:id="144" w:name="_Toc246928931"/>
      <w:r>
        <w:rPr>
          <w:rFonts w:hint="eastAsia" w:ascii="宋体" w:hAnsi="宋体" w:eastAsia="宋体" w:cs="宋体"/>
          <w:color w:val="auto"/>
          <w:highlight w:val="none"/>
        </w:rPr>
        <w:t>章  合同一般条款</w:t>
      </w:r>
      <w:bookmarkEnd w:id="132"/>
      <w:bookmarkEnd w:id="133"/>
      <w:bookmarkEnd w:id="134"/>
      <w:bookmarkEnd w:id="135"/>
      <w:bookmarkEnd w:id="136"/>
      <w:bookmarkEnd w:id="137"/>
      <w:bookmarkEnd w:id="138"/>
      <w:bookmarkEnd w:id="139"/>
      <w:bookmarkEnd w:id="140"/>
      <w:bookmarkEnd w:id="141"/>
      <w:bookmarkEnd w:id="144"/>
    </w:p>
    <w:p>
      <w:pPr>
        <w:spacing w:before="120" w:line="360" w:lineRule="auto"/>
        <w:jc w:val="center"/>
        <w:rPr>
          <w:rFonts w:hint="eastAsia" w:ascii="宋体" w:hAnsi="宋体" w:eastAsia="宋体" w:cs="宋体"/>
          <w:color w:val="auto"/>
          <w:sz w:val="28"/>
          <w:szCs w:val="28"/>
          <w:highlight w:val="none"/>
        </w:rPr>
      </w:pPr>
      <w:bookmarkStart w:id="145" w:name="_Toc246928960"/>
      <w:bookmarkStart w:id="146" w:name="_Toc497711586"/>
      <w:bookmarkStart w:id="147" w:name="_Toc492955460"/>
      <w:bookmarkStart w:id="148" w:name="_Toc497546919"/>
      <w:bookmarkStart w:id="149" w:name="_Toc497712134"/>
      <w:bookmarkStart w:id="150" w:name="_Toc389620242"/>
      <w:bookmarkStart w:id="151" w:name="_Toc497551821"/>
      <w:bookmarkStart w:id="152" w:name="_Toc385992402"/>
      <w:r>
        <w:rPr>
          <w:rFonts w:hint="eastAsia" w:ascii="宋体" w:hAnsi="宋体" w:eastAsia="宋体" w:cs="宋体"/>
          <w:color w:val="auto"/>
          <w:sz w:val="28"/>
          <w:szCs w:val="28"/>
          <w:highlight w:val="none"/>
        </w:rPr>
        <w:t>（参考格式）</w:t>
      </w:r>
    </w:p>
    <w:p>
      <w:pPr>
        <w:spacing w:before="120" w:line="360" w:lineRule="auto"/>
        <w:jc w:val="center"/>
        <w:rPr>
          <w:rFonts w:hint="eastAsia" w:ascii="宋体" w:hAnsi="宋体" w:eastAsia="宋体" w:cs="宋体"/>
          <w:b/>
          <w:bCs/>
          <w:color w:val="auto"/>
          <w:sz w:val="36"/>
          <w:szCs w:val="36"/>
          <w:highlight w:val="none"/>
        </w:rPr>
      </w:pPr>
    </w:p>
    <w:p>
      <w:pPr>
        <w:spacing w:before="120" w:line="360" w:lineRule="auto"/>
        <w:jc w:val="center"/>
        <w:rPr>
          <w:rFonts w:hint="eastAsia" w:ascii="宋体" w:hAnsi="宋体" w:eastAsia="宋体" w:cs="宋体"/>
          <w:b/>
          <w:bCs/>
          <w:color w:val="auto"/>
          <w:sz w:val="36"/>
          <w:szCs w:val="36"/>
          <w:highlight w:val="none"/>
        </w:rPr>
      </w:pPr>
    </w:p>
    <w:p>
      <w:pPr>
        <w:spacing w:before="120" w:line="360" w:lineRule="auto"/>
        <w:jc w:val="center"/>
        <w:rPr>
          <w:rFonts w:hint="eastAsia" w:ascii="宋体" w:hAnsi="宋体" w:eastAsia="宋体" w:cs="宋体"/>
          <w:b/>
          <w:bCs/>
          <w:color w:val="auto"/>
          <w:sz w:val="36"/>
          <w:szCs w:val="36"/>
          <w:highlight w:val="none"/>
        </w:rPr>
      </w:pPr>
    </w:p>
    <w:p>
      <w:pPr>
        <w:spacing w:before="12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政 府 采 购 合 同</w:t>
      </w:r>
    </w:p>
    <w:p>
      <w:pPr>
        <w:spacing w:before="120" w:line="360" w:lineRule="auto"/>
        <w:jc w:val="center"/>
        <w:rPr>
          <w:rFonts w:hint="eastAsia" w:ascii="宋体" w:hAnsi="宋体" w:eastAsia="宋体" w:cs="宋体"/>
          <w:color w:val="auto"/>
          <w:sz w:val="28"/>
          <w:szCs w:val="28"/>
          <w:highlight w:val="none"/>
        </w:rPr>
      </w:pPr>
    </w:p>
    <w:p>
      <w:pPr>
        <w:spacing w:before="120" w:line="360" w:lineRule="auto"/>
        <w:ind w:firstLine="3064" w:firstLineChars="1090"/>
        <w:rPr>
          <w:rFonts w:hint="eastAsia" w:ascii="宋体" w:hAnsi="宋体" w:eastAsia="宋体" w:cs="宋体"/>
          <w:color w:val="auto"/>
          <w:sz w:val="28"/>
          <w:szCs w:val="28"/>
          <w:highlight w:val="none"/>
        </w:rPr>
      </w:pPr>
      <w:bookmarkStart w:id="153" w:name="_Toc109543216"/>
      <w:bookmarkStart w:id="154" w:name="_Toc109542396"/>
      <w:r>
        <w:rPr>
          <w:rFonts w:hint="eastAsia" w:ascii="宋体" w:hAnsi="宋体" w:eastAsia="宋体" w:cs="宋体"/>
          <w:b/>
          <w:bCs/>
          <w:color w:val="auto"/>
          <w:sz w:val="28"/>
          <w:szCs w:val="28"/>
          <w:highlight w:val="none"/>
        </w:rPr>
        <w:t>合同编号：</w:t>
      </w:r>
      <w:bookmarkEnd w:id="153"/>
      <w:bookmarkEnd w:id="154"/>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Style w:val="10"/>
        <w:spacing w:before="120" w:line="360" w:lineRule="auto"/>
        <w:ind w:firstLine="0"/>
        <w:rPr>
          <w:rFonts w:hint="eastAsia" w:ascii="宋体" w:hAnsi="宋体" w:eastAsia="宋体" w:cs="宋体"/>
          <w:color w:val="auto"/>
          <w:sz w:val="28"/>
          <w:szCs w:val="28"/>
          <w:highlight w:val="none"/>
        </w:rPr>
      </w:pPr>
    </w:p>
    <w:p>
      <w:pPr>
        <w:spacing w:before="120" w:line="360" w:lineRule="auto"/>
        <w:rPr>
          <w:rFonts w:hint="eastAsia" w:ascii="宋体" w:hAnsi="宋体" w:eastAsia="宋体" w:cs="宋体"/>
          <w:color w:val="auto"/>
          <w:sz w:val="28"/>
          <w:szCs w:val="28"/>
          <w:highlight w:val="none"/>
        </w:rPr>
      </w:pPr>
    </w:p>
    <w:p>
      <w:pPr>
        <w:spacing w:before="120" w:line="360" w:lineRule="auto"/>
        <w:rPr>
          <w:rFonts w:hint="eastAsia" w:ascii="宋体" w:hAnsi="宋体" w:eastAsia="宋体" w:cs="宋体"/>
          <w:color w:val="auto"/>
          <w:sz w:val="28"/>
          <w:szCs w:val="28"/>
          <w:highlight w:val="none"/>
        </w:rPr>
      </w:pPr>
    </w:p>
    <w:p>
      <w:pPr>
        <w:spacing w:before="120" w:line="360" w:lineRule="auto"/>
        <w:rPr>
          <w:rFonts w:hint="eastAsia" w:ascii="宋体" w:hAnsi="宋体" w:eastAsia="宋体" w:cs="宋体"/>
          <w:color w:val="auto"/>
          <w:sz w:val="28"/>
          <w:szCs w:val="28"/>
          <w:highlight w:val="none"/>
        </w:rPr>
      </w:pPr>
    </w:p>
    <w:p>
      <w:pPr>
        <w:spacing w:before="120" w:line="360" w:lineRule="auto"/>
        <w:rPr>
          <w:rFonts w:hint="eastAsia" w:ascii="宋体" w:hAnsi="宋体" w:eastAsia="宋体" w:cs="宋体"/>
          <w:b/>
          <w:bCs/>
          <w:color w:val="auto"/>
          <w:sz w:val="28"/>
          <w:szCs w:val="28"/>
          <w:highlight w:val="none"/>
        </w:rPr>
      </w:pPr>
    </w:p>
    <w:p>
      <w:pPr>
        <w:spacing w:line="480" w:lineRule="auto"/>
        <w:ind w:left="96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p>
    <w:p>
      <w:pPr>
        <w:spacing w:line="480" w:lineRule="auto"/>
        <w:ind w:left="96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采购内容：</w:t>
      </w:r>
      <w:r>
        <w:rPr>
          <w:rFonts w:hint="eastAsia" w:ascii="宋体" w:hAnsi="宋体" w:eastAsia="宋体" w:cs="宋体"/>
          <w:b/>
          <w:bCs/>
          <w:color w:val="auto"/>
          <w:sz w:val="28"/>
          <w:szCs w:val="28"/>
          <w:highlight w:val="none"/>
          <w:u w:val="single"/>
        </w:rPr>
        <w:t xml:space="preserve">                                </w:t>
      </w:r>
    </w:p>
    <w:p>
      <w:pPr>
        <w:spacing w:line="480" w:lineRule="auto"/>
        <w:ind w:left="96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采购人：</w:t>
      </w:r>
      <w:r>
        <w:rPr>
          <w:rFonts w:hint="eastAsia" w:ascii="宋体" w:hAnsi="宋体" w:eastAsia="宋体" w:cs="宋体"/>
          <w:b/>
          <w:bCs/>
          <w:color w:val="auto"/>
          <w:sz w:val="28"/>
          <w:szCs w:val="28"/>
          <w:highlight w:val="none"/>
          <w:u w:val="single"/>
        </w:rPr>
        <w:t xml:space="preserve">                                  </w:t>
      </w:r>
    </w:p>
    <w:p>
      <w:pPr>
        <w:spacing w:line="480" w:lineRule="auto"/>
        <w:ind w:left="96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成交供应商：</w:t>
      </w:r>
      <w:r>
        <w:rPr>
          <w:rFonts w:hint="eastAsia" w:ascii="宋体" w:hAnsi="宋体" w:eastAsia="宋体" w:cs="宋体"/>
          <w:b/>
          <w:bCs/>
          <w:color w:val="auto"/>
          <w:sz w:val="28"/>
          <w:szCs w:val="28"/>
          <w:highlight w:val="none"/>
          <w:u w:val="single"/>
        </w:rPr>
        <w:t xml:space="preserve">                              </w:t>
      </w:r>
    </w:p>
    <w:p>
      <w:pPr>
        <w:spacing w:line="480" w:lineRule="auto"/>
        <w:ind w:firstLine="981" w:firstLineChars="349"/>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8"/>
          <w:szCs w:val="28"/>
          <w:highlight w:val="none"/>
        </w:rPr>
        <w:t>签署日期：</w:t>
      </w:r>
      <w:r>
        <w:rPr>
          <w:rFonts w:hint="eastAsia" w:ascii="宋体" w:hAnsi="宋体" w:eastAsia="宋体" w:cs="宋体"/>
          <w:b/>
          <w:bCs/>
          <w:color w:val="auto"/>
          <w:sz w:val="24"/>
          <w:szCs w:val="24"/>
          <w:highlight w:val="none"/>
          <w:u w:val="single"/>
        </w:rPr>
        <w:t xml:space="preserve">　　　　　　　　　　　　　           </w:t>
      </w:r>
      <w:bookmarkStart w:id="155" w:name="_Toc356836840"/>
      <w:bookmarkStart w:id="156" w:name="_Toc322598584"/>
      <w:bookmarkStart w:id="157" w:name="_Toc356825230"/>
    </w:p>
    <w:bookmarkEnd w:id="155"/>
    <w:bookmarkEnd w:id="156"/>
    <w:bookmarkEnd w:id="157"/>
    <w:p>
      <w:pPr>
        <w:spacing w:line="360" w:lineRule="auto"/>
        <w:jc w:val="center"/>
        <w:rPr>
          <w:rFonts w:hint="eastAsia" w:ascii="宋体" w:hAnsi="宋体" w:eastAsia="宋体" w:cs="宋体"/>
          <w:b/>
          <w:bCs/>
          <w:color w:val="auto"/>
          <w:sz w:val="36"/>
          <w:szCs w:val="36"/>
          <w:highlight w:val="none"/>
        </w:rPr>
        <w:sectPr>
          <w:headerReference r:id="rId9" w:type="default"/>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adjustRightInd w:val="0"/>
        <w:snapToGrid w:val="0"/>
        <w:spacing w:line="58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r>
        <w:rPr>
          <w:rFonts w:hint="eastAsia" w:ascii="宋体" w:hAnsi="宋体" w:eastAsia="宋体" w:cs="宋体"/>
          <w:b/>
          <w:bCs/>
          <w:color w:val="auto"/>
          <w:sz w:val="24"/>
          <w:szCs w:val="24"/>
          <w:highlight w:val="none"/>
        </w:rPr>
        <w:t>本</w:t>
      </w:r>
      <w:r>
        <w:rPr>
          <w:rFonts w:hint="eastAsia" w:ascii="宋体" w:hAnsi="宋体" w:cs="宋体"/>
          <w:b/>
          <w:bCs/>
          <w:color w:val="auto"/>
          <w:sz w:val="24"/>
          <w:szCs w:val="24"/>
          <w:highlight w:val="none"/>
          <w:lang w:val="en-US" w:eastAsia="zh-CN"/>
        </w:rPr>
        <w:t>项目不专门面向中小企业采购，如成交供应商对部分合同内容</w:t>
      </w:r>
      <w:r>
        <w:rPr>
          <w:rFonts w:hint="eastAsia" w:ascii="宋体" w:hAnsi="宋体" w:eastAsia="宋体" w:cs="宋体"/>
          <w:b/>
          <w:bCs/>
          <w:color w:val="auto"/>
          <w:sz w:val="24"/>
          <w:szCs w:val="24"/>
          <w:highlight w:val="none"/>
        </w:rPr>
        <w:t>分包，分包意向协议</w:t>
      </w:r>
      <w:r>
        <w:rPr>
          <w:rFonts w:hint="eastAsia" w:ascii="宋体" w:hAnsi="宋体" w:eastAsia="宋体" w:cs="宋体"/>
          <w:b/>
          <w:bCs/>
          <w:color w:val="auto"/>
          <w:sz w:val="24"/>
          <w:szCs w:val="24"/>
          <w:highlight w:val="none"/>
          <w:lang w:val="en-US" w:eastAsia="zh-CN"/>
        </w:rPr>
        <w:t>将</w:t>
      </w:r>
      <w:r>
        <w:rPr>
          <w:rFonts w:hint="eastAsia" w:ascii="宋体" w:hAnsi="宋体" w:eastAsia="宋体" w:cs="宋体"/>
          <w:b/>
          <w:bCs/>
          <w:color w:val="auto"/>
          <w:sz w:val="24"/>
          <w:szCs w:val="24"/>
          <w:highlight w:val="none"/>
        </w:rPr>
        <w:t>作为</w:t>
      </w:r>
      <w:r>
        <w:rPr>
          <w:rFonts w:hint="eastAsia" w:ascii="宋体" w:hAnsi="宋体" w:eastAsia="宋体" w:cs="宋体"/>
          <w:b/>
          <w:bCs/>
          <w:color w:val="auto"/>
          <w:sz w:val="24"/>
          <w:szCs w:val="24"/>
          <w:highlight w:val="none"/>
          <w:lang w:val="en-US" w:eastAsia="zh-CN"/>
        </w:rPr>
        <w:t>本</w:t>
      </w:r>
      <w:r>
        <w:rPr>
          <w:rFonts w:hint="eastAsia" w:ascii="宋体" w:hAnsi="宋体" w:eastAsia="宋体" w:cs="宋体"/>
          <w:b/>
          <w:bCs/>
          <w:color w:val="auto"/>
          <w:sz w:val="24"/>
          <w:szCs w:val="24"/>
          <w:highlight w:val="none"/>
        </w:rPr>
        <w:t>采购合同的组成部分。</w:t>
      </w:r>
      <w:r>
        <w:rPr>
          <w:rFonts w:hint="eastAsia" w:ascii="宋体" w:hAnsi="宋体" w:cs="宋体"/>
          <w:b/>
          <w:bCs/>
          <w:color w:val="auto"/>
          <w:sz w:val="24"/>
          <w:szCs w:val="24"/>
          <w:highlight w:val="none"/>
          <w:lang w:val="en-US" w:eastAsia="zh-CN"/>
        </w:rPr>
        <w:t>分包部分必须是由中小企业生产厂家生产的产品。</w:t>
      </w:r>
    </w:p>
    <w:p>
      <w:pPr>
        <w:spacing w:line="360" w:lineRule="auto"/>
        <w:jc w:val="center"/>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协议书</w:t>
      </w:r>
    </w:p>
    <w:p>
      <w:pPr>
        <w:spacing w:before="12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（主要条款）</w:t>
      </w:r>
    </w:p>
    <w:p>
      <w:pPr>
        <w:adjustRightInd w:val="0"/>
        <w:snapToGrid w:val="0"/>
        <w:spacing w:line="5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采购人（全称）：</w:t>
      </w:r>
      <w:r>
        <w:rPr>
          <w:rFonts w:hint="eastAsia" w:ascii="宋体" w:hAnsi="宋体" w:eastAsia="宋体" w:cs="宋体"/>
          <w:b/>
          <w:color w:val="auto"/>
          <w:sz w:val="24"/>
          <w:szCs w:val="24"/>
          <w:highlight w:val="none"/>
          <w:u w:val="single"/>
        </w:rPr>
        <w:t xml:space="preserve">                                      </w:t>
      </w:r>
    </w:p>
    <w:p>
      <w:pPr>
        <w:adjustRightInd w:val="0"/>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供应商（全称）：</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pPr>
        <w:adjustRightInd w:val="0"/>
        <w:snapToGrid w:val="0"/>
        <w:spacing w:line="5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》及其他有关法律、法规，遵循平等、自愿、公平和诚信的原则，双方就下述项目范围与相关服务事项协商一致，订立本合同。</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一、项目概况</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项目地点：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项目规模：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5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项目内容：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二、组成本合同的文件</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协议书；</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成交通知书、响应文件、竞争性谈判文件、澄清、谈判补充文件（或委托书）；</w:t>
      </w:r>
    </w:p>
    <w:p>
      <w:pPr>
        <w:adjustRightInd w:val="0"/>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响应文件或相关服务建议书；</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本合同签订后，双方依法签订的补充协议、备忘录也是本合同文件的组成部分。</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三、签约金额</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签约金额（大写）：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合同总价即成交价，合同总价一次包死，不受市场价变化或实际工作量变化的影响，合同价格为含税价，成交供应商提供产品所发生的一切税（包括增值税）费等都已包含于合同价款中。</w:t>
      </w:r>
    </w:p>
    <w:p>
      <w:pPr>
        <w:adjustRightInd w:val="0"/>
        <w:snapToGrid w:val="0"/>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四、结算方式：</w:t>
      </w:r>
    </w:p>
    <w:p>
      <w:pPr>
        <w:adjustRightInd w:val="0"/>
        <w:snapToGrid w:val="0"/>
        <w:spacing w:line="5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adjustRightInd w:val="0"/>
        <w:snapToGrid w:val="0"/>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五、期限</w:t>
      </w:r>
    </w:p>
    <w:p>
      <w:pPr>
        <w:adjustRightInd w:val="0"/>
        <w:snapToGrid w:val="0"/>
        <w:spacing w:line="580" w:lineRule="exact"/>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交货及安装期：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六、双方承诺</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供应商向采购人承诺，按照本合同约定提供相关服务。</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采购人向供应商承诺，按照本合同约定支付服务款项。</w:t>
      </w:r>
    </w:p>
    <w:p>
      <w:pPr>
        <w:tabs>
          <w:tab w:val="left" w:pos="840"/>
        </w:tabs>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七、内容及要求：</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即交付的设备（产品）、服务内容、数量与响应文件、竞争性谈判文件等所指明的，或者与本合同所指明的设备（产品）、服务内容相一致。（附清单）</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八、项目实施地点：</w:t>
      </w:r>
      <w:r>
        <w:rPr>
          <w:rFonts w:hint="eastAsia" w:ascii="宋体" w:hAnsi="宋体" w:eastAsia="宋体" w:cs="宋体"/>
          <w:color w:val="auto"/>
          <w:sz w:val="24"/>
          <w:szCs w:val="24"/>
          <w:highlight w:val="none"/>
        </w:rPr>
        <w:t>用户指定交货地点。</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九、安装、培训：</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培训除非另有说明，凡需要现场安装、装配、测试的设备，成交供应商必须提供免费现场安装并义务进行相关货物的基本操作原理、调试、操作使用和保养维修等有关内容的培训。所有费用一次性计入投标报价。</w:t>
      </w:r>
    </w:p>
    <w:p>
      <w:pPr>
        <w:tabs>
          <w:tab w:val="left" w:pos="840"/>
        </w:tabs>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十、验收时提供以下技术资料：</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1、货物到达采购人指定的地点时必须提供渠道证明文件原件和售后服务证明文件原件；</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2、进口货物需提供相关报关手续的资料（如允许进口产品投标）；</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3、装箱清单；</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4、产品合格证；</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5、安装使用说明书；</w:t>
      </w:r>
    </w:p>
    <w:p>
      <w:pPr>
        <w:tabs>
          <w:tab w:val="left" w:pos="84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6、安装时根据采购人的要求派技术人员现场指导。</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十一、技术培训：</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包括设备(产品)使用操作、保养、维修等培训内容。供应商需为采购人免费培训技术人员若干名，培训服务以受培训人员熟练掌握相应技能为原则。在设备(产品)投入使用初期进行必要的跟踪指导，保障设备(产品)的稳定运行。投标设备(产品)需在培训基地培训的，供应商应按要求履行，培训产生的交通费、食宿费、培训费等均由供应商承担。</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十二、技术资料要求：</w:t>
      </w:r>
    </w:p>
    <w:p>
      <w:pPr>
        <w:spacing w:line="58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供应商应向采购人提供全套中文技术资料一套，其费用包括在投标价格中：</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1.完整的设备(产品)操作使用手册和维护、修理技术文件，保修卡等；</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2.制造厂的检验、测试报告、设备(产品)检验合格证书，质量保证书等文件验收时须一并提供；</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3.投标设备(产品)是原装进口的，应提供进口设备报关单及商检证明；</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4.设备(产品)验收标准；</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5.技术说明书及必须的其它技术资料；</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6.使用说明书；</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7.系统安装，调试、维修线路图及原理图；</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8.零部件目录；</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9.备品备件、易损件清单；</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10.项目完工后提供竣工验收报告；</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11.合同中要求的其他文件资料。</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十三、质量保证：</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货物质保期：自甲方验收合格之日起不少于</w:t>
      </w:r>
      <w:r>
        <w:rPr>
          <w:rFonts w:hint="eastAsia" w:ascii="宋体" w:hAnsi="宋体" w:eastAsia="宋体" w:cs="宋体"/>
          <w:b/>
          <w:bCs/>
          <w:color w:val="auto"/>
          <w:sz w:val="24"/>
          <w:szCs w:val="24"/>
          <w:highlight w:val="none"/>
          <w:lang w:val="en-US" w:eastAsia="zh-CN"/>
        </w:rPr>
        <w:t>1年</w:t>
      </w:r>
      <w:r>
        <w:rPr>
          <w:rFonts w:hint="eastAsia" w:ascii="宋体" w:hAnsi="宋体" w:eastAsia="宋体" w:cs="宋体"/>
          <w:color w:val="auto"/>
          <w:sz w:val="24"/>
          <w:szCs w:val="24"/>
          <w:highlight w:val="none"/>
        </w:rPr>
        <w:t>，采购文件另有约定、厂家或供应商另有承诺的除外。</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（2）货物的设计、制造应遵照行业的现行规范和标准。所有货物及辅材必须是未使用过的，是用最新工艺生产的最新产品，质量优良、渠道正当，配置合理。</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（3）供应商应承诺在质量保证期内免费提供货物维修、更换零部件等服务，质量保证期后以优惠价提供上述服务。</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（4）用户只对成交供应商提出质量服务要求，所有涉及货物制造商的质量、售后、版权等有关事项均由成交供应商负责。</w:t>
      </w:r>
    </w:p>
    <w:p>
      <w:pPr>
        <w:spacing w:line="5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十四、验收:</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（一）验收的三个关键环节：</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（1）设备验收</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乙方负责将设备运至现场后，采购人或甲方根据响应文件中约定硬件设备清单和实际运抵的设备进行逐一核对、清点并确认收货。经双方共同确认后，双方代表应于当日内签字确认。</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初验：成交供应商安装调试合格后，且对甲方进行必要的培训和服务后，向甲方提出验收申请，甲方接到验收申请后组织验收（必要时可聘请相应专家或委托相应部门验收），验收合格后，出具使用验收合格证明。</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（3）项目正式验收</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甲方和成交供应商共同递交项目初验合格证明材料后，由项目主管部门（采购人）组织人员对项目进行全面验收，对所有设备和系统的稳定性、运行/使用状况进行验收，合格后由项目主管部门（采购人）向成交供应商出具验收报告。验收报告作为付款依据，成交供应商要向甲方提交实施过程中的所有资料，以便日后管理和维护。</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（4）验收依据</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合同文本、合同附件、竞争性谈判文件、响应文件；</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验收不合格的产品，乙方需在7个工作日内补充、更换，保证产品正常使用，保证设备运行，无安全隐患和明显的潜在风险。如接到通知后7个日历日内未保证货物运行正常，则终止其供货合同，并赔偿甲方的损失。</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（二）成交供应商对最终的产品质量负完全责任。</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（2）国家有关的验收标准及规范；</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（3）生产厂家的生产标准；</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（4）竞争性谈判文件、响应文件。</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十五、质保及维保服务（提供售后服务承诺书）：</w:t>
      </w:r>
    </w:p>
    <w:p>
      <w:pPr>
        <w:tabs>
          <w:tab w:val="left" w:pos="1080"/>
        </w:tabs>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1）供应商应提供可承担维修职能的公司、全资分公司或办事处，并驻守多名维护技术人员，并提供地点、联系人（常驻工程师）及联系电话（服务热线），随时解答各种疑问（需提供相关证明材料）。</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2）服务方式:现场服务，整体验收合格后质量保证期为≥</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年，并提供终身维修（护）。在质量保证期内发生重大故障，维修工程师抵达现场时间≤2小时，24小时内无法恢复的故障提供免费备机服务。</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3）每年至少两次上门维护，回访。</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4）对于存在质量问题或者短少的设备，供应商应在接到采购人的通知2个日历日内负责修复，调换、重新制作或补齐。</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5）工程质量保修期内，供应商应按照有关管理规定及双方约定承担工程质量保修责任。</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6）在设备(产品)最终验收后的质量保证期内，供应商应对设计、工艺或材料的缺陷而产生的故障负责（负责解决并承担全部费用）。质保期满后如出现此类问题亦应负责。</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及所投设备(产品)的生产厂商应承诺质保期、维保期的售后服务条款（包括具体的服务内容、故障响应时间、响应方式、维修措施及时限、维护响应计划等方面），未提供任何质保期、维保期的售后服务条款或提供的内容不实的以不满足采购文件要求对待。</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十六、保密</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双方须对工作中了解到的使用单位技术、机密等进行严格保密，不得向他人泄漏。</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十七、知识产权</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保证投标产品及服务不会出现因第三方提出侵犯其专利权、商标权或其它知识产权而引发法律或经济纠纷，否则由供应商承担全部责任。任何被供应商用于未经授权的商业目的行为所造成的违约或侵权责任由供应商承但。</w:t>
      </w:r>
    </w:p>
    <w:p>
      <w:pPr>
        <w:spacing w:line="5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十八、合同争议的解决：</w:t>
      </w:r>
      <w:r>
        <w:rPr>
          <w:rFonts w:hint="eastAsia" w:ascii="宋体" w:hAnsi="宋体" w:eastAsia="宋体" w:cs="宋体"/>
          <w:color w:val="auto"/>
          <w:sz w:val="24"/>
          <w:szCs w:val="24"/>
          <w:highlight w:val="none"/>
        </w:rPr>
        <w:t>合同执行中发生争议的，当事人双方应协商解决，协商达不成一致时，可向采购人住所地有管辖权的人民法院提请诉讼。</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十九、服务要求</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供应商的责任包括从投标设备及其配件到整套设备的交付使用。谈判供应商应提供在西安市内的售后服务中心自建证明材料或与合作方的协议书，这些服务中心和特约维修服务点的名称、地址、电话、联系人应在响应文件中一一列出。维修中心应备有对所购设备进行及时维修所需的常用关键零部件。谈判供应商应保证设备在进行安装、调试和试运行等过程中损坏的或有缺陷的组件或零、部件可方便地得到修理和免费更换。设备使用期间，凡发生质量问题，卖方均应能够及时地提供买方提出的技术服务要求。在质量保证期内，买方发出通知后，卖方应提供维修服务，免费修理或更换不合格的零、部件，以保证设备正常运行。</w:t>
      </w:r>
    </w:p>
    <w:p>
      <w:pPr>
        <w:spacing w:line="5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谈判供应商必须定期巡检，每年不少于1次的全面巡检，在巡检的过程对硬件进行检修（包括但不限于清灰、检查运行情况、解决甲方提出的问题等）、软件系统进行维护。</w:t>
      </w:r>
    </w:p>
    <w:p>
      <w:pPr>
        <w:spacing w:line="5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负责完成产品及相关物件的运输、保管、安装，直至其产品在采购人指定地点安装完毕、投入使用，并经采购人验收合格。对因此而产生的费用以及保修期内的维修、保养等与项目发生的一切费用，全部由成交供应商承担。</w:t>
      </w:r>
    </w:p>
    <w:p>
      <w:pPr>
        <w:spacing w:line="58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在发生不可抗力情况下的应对措施和解决办法。</w:t>
      </w:r>
    </w:p>
    <w:p>
      <w:pPr>
        <w:spacing w:line="5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二十、</w:t>
      </w:r>
      <w:r>
        <w:rPr>
          <w:rFonts w:hint="eastAsia" w:ascii="宋体" w:hAnsi="宋体" w:eastAsia="宋体" w:cs="宋体"/>
          <w:color w:val="auto"/>
          <w:sz w:val="24"/>
          <w:szCs w:val="24"/>
          <w:highlight w:val="none"/>
        </w:rPr>
        <w:t>合同一经签订，不得擅自变更、中止或者终止合同。对确需变更、调整或者中止、终止合同的，应按规定履行相应的手续。</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二十一、违约责任</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w:t>
      </w:r>
      <w:r>
        <w:rPr>
          <w:rFonts w:hint="eastAsia" w:ascii="宋体"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》中的相关条款执行。</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（2）未按合同要求提供货物或货物质量不能满足技术要求（所供货物不满足采购人实际需求），用户有权终止合同。</w:t>
      </w:r>
    </w:p>
    <w:p>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（3）乙方应按照合同规定的期限完成供货及安装、调试、验收，每延迟一天应承担当期应付款2%的违约金，违约金累计不超过当期应付款10%。若违约金累计已达上限，乙方仍未履行，甲方有权解除合同。</w:t>
      </w:r>
    </w:p>
    <w:p>
      <w:pPr>
        <w:spacing w:line="58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二十二、其他（</w:t>
      </w:r>
      <w:r>
        <w:rPr>
          <w:rFonts w:hint="eastAsia" w:ascii="宋体" w:hAnsi="宋体" w:eastAsia="宋体" w:cs="宋体"/>
          <w:color w:val="auto"/>
          <w:sz w:val="24"/>
          <w:szCs w:val="24"/>
          <w:highlight w:val="none"/>
        </w:rPr>
        <w:t>在合同中具体明确）</w:t>
      </w:r>
    </w:p>
    <w:p>
      <w:pPr>
        <w:spacing w:line="5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二十三、合同订立</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58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订立地点：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tabs>
          <w:tab w:val="left" w:pos="980"/>
        </w:tabs>
        <w:kinsoku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本合同一式    份，具有同等法律效力，双方各执        份，监管部门备案壹份、采购代理机构存档壹份。各方签字盖章后生效，合同执行完毕自动失效。（合同的服务承诺则长期有效）。</w:t>
      </w:r>
    </w:p>
    <w:p>
      <w:pPr>
        <w:adjustRightInd w:val="0"/>
        <w:snapToGrid w:val="0"/>
        <w:spacing w:line="580" w:lineRule="exact"/>
        <w:ind w:firstLine="475" w:firstLineChars="198"/>
        <w:rPr>
          <w:rFonts w:hint="eastAsia" w:ascii="宋体" w:hAnsi="宋体" w:eastAsia="宋体" w:cs="宋体"/>
          <w:color w:val="auto"/>
          <w:sz w:val="24"/>
          <w:szCs w:val="24"/>
          <w:highlight w:val="none"/>
        </w:rPr>
      </w:pP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u w:val="single"/>
        </w:rPr>
        <w:t xml:space="preserve">   （盖章）     </w:t>
      </w: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u w:val="single"/>
        </w:rPr>
        <w:t xml:space="preserve">   （盖章）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地址： </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                 法定代表人或其授权</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的代理人：</w:t>
      </w:r>
      <w:r>
        <w:rPr>
          <w:rFonts w:hint="eastAsia" w:ascii="宋体" w:hAnsi="宋体" w:eastAsia="宋体" w:cs="宋体"/>
          <w:color w:val="auto"/>
          <w:sz w:val="24"/>
          <w:szCs w:val="24"/>
          <w:highlight w:val="none"/>
          <w:u w:val="single"/>
        </w:rPr>
        <w:t xml:space="preserve">（签字）      </w:t>
      </w:r>
      <w:r>
        <w:rPr>
          <w:rFonts w:hint="eastAsia" w:ascii="宋体" w:hAnsi="宋体" w:eastAsia="宋体" w:cs="宋体"/>
          <w:color w:val="auto"/>
          <w:sz w:val="24"/>
          <w:szCs w:val="24"/>
          <w:highlight w:val="none"/>
        </w:rPr>
        <w:t xml:space="preserve">            的代理人：</w:t>
      </w:r>
      <w:r>
        <w:rPr>
          <w:rFonts w:hint="eastAsia" w:ascii="宋体" w:hAnsi="宋体" w:eastAsia="宋体" w:cs="宋体"/>
          <w:color w:val="auto"/>
          <w:sz w:val="24"/>
          <w:szCs w:val="24"/>
          <w:highlight w:val="none"/>
          <w:u w:val="single"/>
        </w:rPr>
        <w:t xml:space="preserve">（签字）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 w:val="24"/>
          <w:szCs w:val="24"/>
          <w:highlight w:val="none"/>
          <w:u w:val="singl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电子邮箱：</w:t>
      </w:r>
      <w:r>
        <w:rPr>
          <w:rFonts w:hint="eastAsia" w:ascii="宋体" w:hAnsi="宋体" w:eastAsia="宋体" w:cs="宋体"/>
          <w:color w:val="auto"/>
          <w:sz w:val="24"/>
          <w:szCs w:val="24"/>
          <w:highlight w:val="none"/>
          <w:u w:val="single"/>
        </w:rPr>
        <w:t xml:space="preserve">                   </w:t>
      </w:r>
    </w:p>
    <w:p>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分包意向协议书</w:t>
      </w:r>
    </w:p>
    <w:p>
      <w:pPr>
        <w:jc w:val="both"/>
        <w:rPr>
          <w:rFonts w:hint="eastAsia" w:ascii="宋体" w:hAnsi="宋体" w:eastAsia="宋体" w:cs="宋体"/>
          <w:sz w:val="28"/>
          <w:szCs w:val="28"/>
          <w:highlight w:val="none"/>
        </w:rPr>
      </w:pPr>
    </w:p>
    <w:p>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立约方:</w:t>
      </w:r>
      <w:r>
        <w:rPr>
          <w:rFonts w:hint="eastAsia" w:ascii="宋体" w:hAnsi="宋体" w:eastAsia="宋体" w:cs="宋体"/>
          <w:sz w:val="24"/>
          <w:szCs w:val="24"/>
          <w:highlight w:val="none"/>
          <w:u w:val="single"/>
        </w:rPr>
        <w:t>(甲公司全称)</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(乙公司全称)</w:t>
      </w:r>
    </w:p>
    <w:p>
      <w:pPr>
        <w:spacing w:line="360" w:lineRule="auto"/>
        <w:ind w:firstLine="720" w:firstLineChars="3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(……公司全称)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(甲公司全称)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(乙公司全称)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(……公司全称)</w:t>
      </w:r>
      <w:r>
        <w:rPr>
          <w:rFonts w:hint="eastAsia" w:ascii="宋体" w:hAnsi="宋体" w:eastAsia="宋体" w:cs="宋体"/>
          <w:sz w:val="24"/>
          <w:szCs w:val="24"/>
          <w:highlight w:val="none"/>
        </w:rPr>
        <w:t>自愿达成分包意向，参加</w:t>
      </w:r>
      <w:r>
        <w:rPr>
          <w:rFonts w:hint="eastAsia" w:ascii="宋体" w:hAnsi="宋体" w:eastAsia="宋体" w:cs="宋体"/>
          <w:sz w:val="24"/>
          <w:szCs w:val="24"/>
          <w:highlight w:val="none"/>
          <w:u w:val="single"/>
        </w:rPr>
        <w:t>(采购项目名称)(采购项目编号)[包组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的响应活动。经各方充分协商一致，就项目的响应和合同实施阶段的有关事务协商一致订立意向如下: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一、分包意向各方关系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(甲公司全称)为投标方、(乙公司全称)、(……公司全称)</w:t>
      </w:r>
      <w:r>
        <w:rPr>
          <w:rFonts w:hint="eastAsia" w:ascii="宋体" w:hAnsi="宋体" w:eastAsia="宋体" w:cs="宋体"/>
          <w:sz w:val="24"/>
          <w:szCs w:val="24"/>
          <w:highlight w:val="none"/>
        </w:rPr>
        <w:t>为分包意向供应商，</w:t>
      </w:r>
      <w:r>
        <w:rPr>
          <w:rFonts w:hint="eastAsia" w:ascii="宋体" w:hAnsi="宋体" w:eastAsia="宋体" w:cs="宋体"/>
          <w:sz w:val="24"/>
          <w:szCs w:val="24"/>
          <w:highlight w:val="none"/>
          <w:u w:val="single"/>
        </w:rPr>
        <w:t>(甲公司全称)</w:t>
      </w:r>
      <w:r>
        <w:rPr>
          <w:rFonts w:hint="eastAsia" w:ascii="宋体" w:hAnsi="宋体" w:eastAsia="宋体" w:cs="宋体"/>
          <w:sz w:val="24"/>
          <w:szCs w:val="24"/>
          <w:highlight w:val="none"/>
        </w:rPr>
        <w:t>以投标供应商的身份参加本项目的响应。若中标，</w:t>
      </w:r>
      <w:r>
        <w:rPr>
          <w:rFonts w:hint="eastAsia" w:ascii="宋体" w:hAnsi="宋体" w:eastAsia="宋体" w:cs="宋体"/>
          <w:sz w:val="24"/>
          <w:szCs w:val="24"/>
          <w:highlight w:val="none"/>
          <w:u w:val="single"/>
        </w:rPr>
        <w:t>(甲公司全称)与采购人</w:t>
      </w:r>
      <w:r>
        <w:rPr>
          <w:rFonts w:hint="eastAsia" w:ascii="宋体" w:hAnsi="宋体" w:eastAsia="宋体" w:cs="宋体"/>
          <w:sz w:val="24"/>
          <w:szCs w:val="24"/>
          <w:highlight w:val="none"/>
        </w:rPr>
        <w:t>签订政府采购合同。承接分包意向的各供应商与</w:t>
      </w:r>
      <w:r>
        <w:rPr>
          <w:rFonts w:hint="eastAsia" w:ascii="宋体" w:hAnsi="宋体" w:eastAsia="宋体" w:cs="宋体"/>
          <w:sz w:val="24"/>
          <w:szCs w:val="24"/>
          <w:highlight w:val="none"/>
          <w:u w:val="single"/>
        </w:rPr>
        <w:t>(甲公司全称)</w:t>
      </w:r>
      <w:r>
        <w:rPr>
          <w:rFonts w:hint="eastAsia" w:ascii="宋体" w:hAnsi="宋体" w:eastAsia="宋体" w:cs="宋体"/>
          <w:sz w:val="24"/>
          <w:szCs w:val="24"/>
          <w:highlight w:val="none"/>
        </w:rPr>
        <w:t>签订分包合同。</w:t>
      </w:r>
      <w:r>
        <w:rPr>
          <w:rFonts w:hint="eastAsia" w:ascii="宋体" w:hAnsi="宋体" w:eastAsia="宋体" w:cs="宋体"/>
          <w:sz w:val="24"/>
          <w:szCs w:val="24"/>
          <w:highlight w:val="none"/>
          <w:u w:val="single"/>
        </w:rPr>
        <w:t>(甲公司全称)</w:t>
      </w:r>
      <w:r>
        <w:rPr>
          <w:rFonts w:hint="eastAsia" w:ascii="宋体" w:hAnsi="宋体" w:eastAsia="宋体" w:cs="宋体"/>
          <w:sz w:val="24"/>
          <w:szCs w:val="24"/>
          <w:highlight w:val="none"/>
        </w:rPr>
        <w:t>就采购项目和分包项目向采购人负责，分包供应商就分包项目承担责任。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二、有关事项约定如下: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1.如中标</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，分包供应商分别与</w:t>
      </w:r>
      <w:r>
        <w:rPr>
          <w:rFonts w:hint="eastAsia" w:ascii="宋体" w:hAnsi="宋体" w:eastAsia="宋体" w:cs="宋体"/>
          <w:sz w:val="24"/>
          <w:szCs w:val="24"/>
          <w:highlight w:val="none"/>
          <w:u w:val="single"/>
        </w:rPr>
        <w:t>(甲公司全称)</w:t>
      </w:r>
      <w:r>
        <w:rPr>
          <w:rFonts w:hint="eastAsia" w:ascii="宋体" w:hAnsi="宋体" w:eastAsia="宋体" w:cs="宋体"/>
          <w:sz w:val="24"/>
          <w:szCs w:val="24"/>
          <w:highlight w:val="none"/>
        </w:rPr>
        <w:t>签订合同书，并就中标项目分包部分向采购人负责有连带的和各自的法律责任;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2.分包意向供应商1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(公司全称)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(请填写:大型、中型、小型、微型)</w:t>
      </w:r>
      <w:r>
        <w:rPr>
          <w:rFonts w:hint="eastAsia" w:ascii="宋体" w:hAnsi="宋体" w:eastAsia="宋体" w:cs="宋体"/>
          <w:sz w:val="24"/>
          <w:szCs w:val="24"/>
          <w:highlight w:val="none"/>
        </w:rPr>
        <w:t>企业，将承担适宜分包部分</w:t>
      </w:r>
      <w:r>
        <w:rPr>
          <w:rFonts w:hint="eastAsia" w:ascii="宋体" w:hAnsi="宋体" w:eastAsia="宋体" w:cs="宋体"/>
          <w:sz w:val="24"/>
          <w:szCs w:val="24"/>
          <w:highlight w:val="none"/>
          <w:u w:val="single"/>
        </w:rPr>
        <w:t>(具体分包内容)</w:t>
      </w:r>
      <w:r>
        <w:rPr>
          <w:rFonts w:hint="eastAsia" w:ascii="宋体" w:hAnsi="宋体" w:eastAsia="宋体" w:cs="宋体"/>
          <w:sz w:val="24"/>
          <w:szCs w:val="24"/>
          <w:highlight w:val="none"/>
        </w:rPr>
        <w:t>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%的工作内容。</w:t>
      </w:r>
    </w:p>
    <w:p>
      <w:pPr>
        <w:spacing w:line="360" w:lineRule="auto"/>
        <w:jc w:val="both"/>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分包意向供应商2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(公司全称)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(请填写:大型、中型、小型、微型)</w:t>
      </w:r>
      <w:r>
        <w:rPr>
          <w:rFonts w:hint="eastAsia" w:ascii="宋体" w:hAnsi="宋体" w:eastAsia="宋体" w:cs="宋体"/>
          <w:sz w:val="24"/>
          <w:szCs w:val="24"/>
          <w:highlight w:val="none"/>
        </w:rPr>
        <w:t>企业，将承担适宜分包部分</w:t>
      </w:r>
      <w:r>
        <w:rPr>
          <w:rFonts w:hint="eastAsia" w:ascii="宋体" w:hAnsi="宋体" w:eastAsia="宋体" w:cs="宋体"/>
          <w:sz w:val="24"/>
          <w:szCs w:val="24"/>
          <w:highlight w:val="none"/>
          <w:u w:val="single"/>
        </w:rPr>
        <w:t>(具体分包内容)</w:t>
      </w:r>
      <w:r>
        <w:rPr>
          <w:rFonts w:hint="eastAsia" w:ascii="宋体" w:hAnsi="宋体" w:eastAsia="宋体" w:cs="宋体"/>
          <w:sz w:val="24"/>
          <w:szCs w:val="24"/>
          <w:highlight w:val="none"/>
        </w:rPr>
        <w:t>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%的工作内容。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分包意向供应商3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(公司全称)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(请填写:大型、中型、小型、微型)</w:t>
      </w:r>
      <w:r>
        <w:rPr>
          <w:rFonts w:hint="eastAsia" w:ascii="宋体" w:hAnsi="宋体" w:eastAsia="宋体" w:cs="宋体"/>
          <w:sz w:val="24"/>
          <w:szCs w:val="24"/>
          <w:highlight w:val="none"/>
        </w:rPr>
        <w:t>企业，将承担适宜分包部分</w:t>
      </w:r>
      <w:r>
        <w:rPr>
          <w:rFonts w:hint="eastAsia" w:ascii="宋体" w:hAnsi="宋体" w:eastAsia="宋体" w:cs="宋体"/>
          <w:sz w:val="24"/>
          <w:szCs w:val="24"/>
          <w:highlight w:val="none"/>
          <w:u w:val="single"/>
        </w:rPr>
        <w:t>(具体分包内容)</w:t>
      </w:r>
      <w:r>
        <w:rPr>
          <w:rFonts w:hint="eastAsia" w:ascii="宋体" w:hAnsi="宋体" w:eastAsia="宋体" w:cs="宋体"/>
          <w:sz w:val="24"/>
          <w:szCs w:val="24"/>
          <w:highlight w:val="none"/>
        </w:rPr>
        <w:t>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%的工作内容。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三、接受分包合同的中小企业与分包企业之间</w:t>
      </w:r>
      <w:r>
        <w:rPr>
          <w:rFonts w:hint="eastAsia" w:ascii="宋体" w:hAnsi="宋体" w:eastAsia="宋体" w:cs="宋体"/>
          <w:sz w:val="24"/>
          <w:szCs w:val="24"/>
          <w:highlight w:val="none"/>
          <w:u w:val="single"/>
        </w:rPr>
        <w:t>(请填写:是否存在)</w:t>
      </w:r>
      <w:r>
        <w:rPr>
          <w:rFonts w:hint="eastAsia" w:ascii="宋体" w:hAnsi="宋体" w:eastAsia="宋体" w:cs="宋体"/>
          <w:sz w:val="24"/>
          <w:szCs w:val="24"/>
          <w:highlight w:val="none"/>
        </w:rPr>
        <w:t>直接控股、管理关系的情形。(</w:t>
      </w:r>
      <w:r>
        <w:rPr>
          <w:rFonts w:hint="eastAsia" w:ascii="宋体" w:hAnsi="宋体" w:eastAsia="宋体" w:cs="宋体"/>
          <w:b/>
          <w:bCs/>
          <w:sz w:val="24"/>
          <w:szCs w:val="24"/>
          <w:highlight w:val="none"/>
        </w:rPr>
        <w:t>分包中有中小企业时适用</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四、如因违约过失责任而导致采购人经济损失或被索赔时，</w:t>
      </w:r>
      <w:r>
        <w:rPr>
          <w:rFonts w:hint="eastAsia" w:ascii="宋体" w:hAnsi="宋体" w:eastAsia="宋体" w:cs="宋体"/>
          <w:sz w:val="24"/>
          <w:szCs w:val="24"/>
          <w:highlight w:val="none"/>
          <w:u w:val="single"/>
        </w:rPr>
        <w:t>(甲公司全称)</w:t>
      </w:r>
      <w:r>
        <w:rPr>
          <w:rFonts w:hint="eastAsia" w:ascii="宋体" w:hAnsi="宋体" w:eastAsia="宋体" w:cs="宋体"/>
          <w:sz w:val="24"/>
          <w:szCs w:val="24"/>
          <w:highlight w:val="none"/>
        </w:rPr>
        <w:t>同意无条件优先清偿采购人的一切债务和经济赔偿。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五、如中标</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，分包意向供应商不得以任何理由提出终止本意向协议。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六、本意向书在自签署之日起生效，有效期内有效，如获中标资格，有效期延续至合同履行完毕之日。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七、本意向书正本一式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份，随投标</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文件装订</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u w:val="single"/>
        </w:rPr>
        <w:t>(甲公司全称)</w:t>
      </w:r>
      <w:r>
        <w:rPr>
          <w:rFonts w:hint="eastAsia" w:ascii="宋体" w:hAnsi="宋体" w:eastAsia="宋体" w:cs="宋体"/>
          <w:sz w:val="24"/>
          <w:szCs w:val="24"/>
          <w:highlight w:val="none"/>
        </w:rPr>
        <w:t>及各分包意向供应商各一份。</w:t>
      </w:r>
    </w:p>
    <w:p>
      <w:pPr>
        <w:spacing w:line="360" w:lineRule="auto"/>
        <w:jc w:val="both"/>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甲公司全称:(盖章)</w:t>
      </w:r>
    </w:p>
    <w:p>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pPr>
        <w:spacing w:line="360" w:lineRule="auto"/>
        <w:ind w:firstLine="720" w:firstLineChars="3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ind w:firstLine="720" w:firstLineChars="300"/>
        <w:jc w:val="both"/>
        <w:rPr>
          <w:rFonts w:hint="eastAsia" w:ascii="宋体" w:hAnsi="宋体" w:eastAsia="宋体" w:cs="宋体"/>
          <w:sz w:val="24"/>
          <w:szCs w:val="24"/>
          <w:highlight w:val="none"/>
        </w:rPr>
      </w:pPr>
    </w:p>
    <w:p>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乙公司全称:(盖章)</w:t>
      </w:r>
    </w:p>
    <w:p>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pPr>
        <w:spacing w:line="360" w:lineRule="auto"/>
        <w:ind w:firstLine="720" w:firstLineChars="3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jc w:val="both"/>
        <w:rPr>
          <w:rFonts w:hint="eastAsia" w:ascii="宋体" w:hAnsi="宋体" w:eastAsia="宋体" w:cs="宋体"/>
          <w:sz w:val="24"/>
          <w:szCs w:val="24"/>
          <w:highlight w:val="none"/>
        </w:rPr>
      </w:pPr>
    </w:p>
    <w:p>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……公司全称(盖章)</w:t>
      </w:r>
    </w:p>
    <w:p>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pPr>
        <w:spacing w:line="360" w:lineRule="auto"/>
        <w:ind w:firstLine="720" w:firstLineChars="3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jc w:val="both"/>
        <w:rPr>
          <w:rFonts w:hint="eastAsia" w:ascii="宋体" w:hAnsi="宋体" w:eastAsia="宋体" w:cs="宋体"/>
          <w:sz w:val="24"/>
          <w:szCs w:val="24"/>
          <w:highlight w:val="none"/>
        </w:rPr>
      </w:pPr>
    </w:p>
    <w:p>
      <w:pPr>
        <w:spacing w:line="36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注:</w:t>
      </w:r>
      <w:r>
        <w:rPr>
          <w:rFonts w:hint="eastAsia" w:ascii="宋体" w:hAnsi="宋体" w:eastAsia="宋体" w:cs="宋体"/>
          <w:b/>
          <w:bCs/>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1.各方成员应在本意向书上共同盖章</w:t>
      </w:r>
      <w:r>
        <w:rPr>
          <w:rFonts w:hint="eastAsia" w:ascii="宋体" w:hAnsi="宋体" w:eastAsia="宋体" w:cs="宋体"/>
          <w:b/>
          <w:bCs/>
          <w:sz w:val="24"/>
          <w:szCs w:val="24"/>
          <w:highlight w:val="none"/>
          <w:lang w:val="en-US" w:eastAsia="zh-CN"/>
        </w:rPr>
        <w:t>或分别盖章</w:t>
      </w:r>
      <w:r>
        <w:rPr>
          <w:rFonts w:hint="eastAsia" w:ascii="宋体" w:hAnsi="宋体" w:eastAsia="宋体" w:cs="宋体"/>
          <w:b/>
          <w:bCs/>
          <w:sz w:val="24"/>
          <w:szCs w:val="24"/>
          <w:highlight w:val="none"/>
        </w:rPr>
        <w:t>确认。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rPr>
        <w:t>本意向书内容不得擅自修改。并将作为签订合同的附件之一。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lang w:val="en-US" w:eastAsia="zh-CN"/>
        </w:rPr>
        <w:t>本意向书在投标/谈判/磋商响应时提供。</w:t>
      </w:r>
    </w:p>
    <w:p>
      <w:pPr>
        <w:pStyle w:val="2"/>
        <w:rPr>
          <w:rFonts w:hint="eastAsia"/>
          <w:highlight w:val="none"/>
        </w:rPr>
      </w:pPr>
    </w:p>
    <w:p>
      <w:pPr>
        <w:adjustRightInd w:val="0"/>
        <w:snapToGrid w:val="0"/>
        <w:spacing w:line="360" w:lineRule="auto"/>
        <w:ind w:firstLine="415" w:firstLineChars="198"/>
        <w:rPr>
          <w:rFonts w:hint="eastAsia" w:ascii="宋体" w:hAnsi="宋体" w:eastAsia="宋体" w:cs="宋体"/>
          <w:color w:val="auto"/>
          <w:szCs w:val="22"/>
          <w:highlight w:val="none"/>
        </w:rPr>
      </w:pPr>
    </w:p>
    <w:p>
      <w:pPr>
        <w:pStyle w:val="4"/>
        <w:spacing w:beforeLines="100" w:afterLines="100"/>
        <w:jc w:val="both"/>
        <w:rPr>
          <w:rFonts w:hint="eastAsia" w:ascii="宋体" w:hAnsi="宋体" w:eastAsia="宋体" w:cs="宋体"/>
          <w:color w:val="auto"/>
          <w:sz w:val="24"/>
          <w:highlight w:val="none"/>
          <w:u w:val="singl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21"/>
        <w:rPr>
          <w:rFonts w:hint="eastAsia" w:ascii="宋体" w:hAnsi="宋体" w:eastAsia="宋体" w:cs="宋体"/>
          <w:color w:val="auto"/>
          <w:highlight w:val="none"/>
        </w:rPr>
      </w:pPr>
      <w:bookmarkStart w:id="158" w:name="_Toc519091924"/>
      <w:bookmarkStart w:id="159" w:name="_Toc3770"/>
      <w:bookmarkStart w:id="160" w:name="_Toc519091209"/>
      <w:bookmarkStart w:id="161" w:name="_Toc519085742"/>
      <w:bookmarkStart w:id="162" w:name="_Toc19146"/>
      <w:bookmarkStart w:id="163" w:name="_Toc15378"/>
      <w:r>
        <w:rPr>
          <w:rFonts w:hint="eastAsia" w:ascii="宋体" w:hAnsi="宋体" w:eastAsia="宋体" w:cs="宋体"/>
          <w:color w:val="auto"/>
          <w:highlight w:val="none"/>
        </w:rPr>
        <w:t>第五章  附件--谈判响应文件格式</w:t>
      </w:r>
      <w:bookmarkEnd w:id="145"/>
      <w:bookmarkEnd w:id="158"/>
      <w:bookmarkEnd w:id="159"/>
      <w:bookmarkEnd w:id="160"/>
      <w:bookmarkEnd w:id="161"/>
      <w:bookmarkEnd w:id="162"/>
      <w:bookmarkEnd w:id="163"/>
    </w:p>
    <w:bookmarkEnd w:id="146"/>
    <w:bookmarkEnd w:id="147"/>
    <w:bookmarkEnd w:id="148"/>
    <w:bookmarkEnd w:id="149"/>
    <w:bookmarkEnd w:id="150"/>
    <w:bookmarkEnd w:id="151"/>
    <w:bookmarkEnd w:id="152"/>
    <w:p>
      <w:pPr>
        <w:spacing w:line="360" w:lineRule="auto"/>
        <w:rPr>
          <w:rFonts w:hint="eastAsia" w:ascii="宋体" w:hAnsi="宋体" w:eastAsia="宋体" w:cs="宋体"/>
          <w:b/>
          <w:bCs/>
          <w:color w:val="auto"/>
          <w:sz w:val="24"/>
          <w:szCs w:val="24"/>
          <w:highlight w:val="none"/>
        </w:rPr>
      </w:pPr>
      <w:bookmarkStart w:id="164" w:name="_Toc357087379"/>
      <w:bookmarkStart w:id="165" w:name="_Toc357061558"/>
      <w:bookmarkStart w:id="166" w:name="_Toc30434"/>
      <w:bookmarkStart w:id="167" w:name="_Toc18978"/>
      <w:bookmarkStart w:id="168" w:name="_Toc246928961"/>
      <w:bookmarkStart w:id="169" w:name="_Toc246928962"/>
      <w:bookmarkStart w:id="170" w:name="_Toc128557264"/>
      <w:bookmarkStart w:id="171" w:name="_Toc497712137"/>
      <w:bookmarkStart w:id="172" w:name="_Toc492955463"/>
      <w:bookmarkStart w:id="173" w:name="_Toc497551824"/>
      <w:bookmarkStart w:id="174" w:name="_Toc385992404"/>
      <w:bookmarkStart w:id="175" w:name="_Toc497546922"/>
      <w:bookmarkStart w:id="176" w:name="_Toc389620244"/>
      <w:bookmarkStart w:id="177" w:name="_Toc497711589"/>
    </w:p>
    <w:p>
      <w:pPr>
        <w:pStyle w:val="5"/>
        <w:spacing w:line="360" w:lineRule="auto"/>
        <w:rPr>
          <w:rFonts w:hint="eastAsia" w:ascii="宋体" w:hAnsi="宋体" w:eastAsia="宋体" w:cs="宋体"/>
          <w:color w:val="auto"/>
          <w:highlight w:val="none"/>
        </w:rPr>
      </w:pPr>
      <w:bookmarkStart w:id="178" w:name="_Toc9843"/>
      <w:r>
        <w:rPr>
          <w:rFonts w:hint="eastAsia" w:ascii="宋体" w:hAnsi="宋体" w:eastAsia="宋体" w:cs="宋体"/>
          <w:bCs/>
          <w:color w:val="auto"/>
          <w:sz w:val="24"/>
          <w:szCs w:val="24"/>
          <w:highlight w:val="none"/>
        </w:rPr>
        <w:t>一、</w:t>
      </w:r>
      <w:bookmarkEnd w:id="164"/>
      <w:bookmarkEnd w:id="165"/>
      <w:r>
        <w:rPr>
          <w:rFonts w:hint="eastAsia" w:ascii="宋体" w:hAnsi="宋体" w:eastAsia="宋体" w:cs="宋体"/>
          <w:bCs/>
          <w:color w:val="auto"/>
          <w:sz w:val="24"/>
          <w:szCs w:val="24"/>
          <w:highlight w:val="none"/>
        </w:rPr>
        <w:t>封面</w:t>
      </w:r>
      <w:bookmarkEnd w:id="166"/>
      <w:bookmarkEnd w:id="167"/>
      <w:bookmarkEnd w:id="178"/>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18"/>
          <w:szCs w:val="16"/>
          <w:highlight w:val="none"/>
        </w:rPr>
        <w:t xml:space="preserve">     </w:t>
      </w:r>
      <w:r>
        <w:rPr>
          <w:rFonts w:hint="eastAsia" w:ascii="宋体" w:hAnsi="宋体" w:eastAsia="宋体" w:cs="宋体"/>
          <w:color w:val="auto"/>
          <w:highlight w:val="none"/>
        </w:rPr>
        <w:t xml:space="preserve">               </w:t>
      </w:r>
    </w:p>
    <w:p>
      <w:pPr>
        <w:spacing w:line="360" w:lineRule="auto"/>
        <w:jc w:val="right"/>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0"/>
          <w:szCs w:val="30"/>
          <w:highlight w:val="none"/>
        </w:rPr>
        <w:t>正本/副本</w:t>
      </w:r>
      <w:r>
        <w:rPr>
          <w:rFonts w:hint="eastAsia" w:ascii="宋体" w:hAnsi="宋体" w:eastAsia="宋体" w:cs="宋体"/>
          <w:b/>
          <w:bCs/>
          <w:color w:val="auto"/>
          <w:sz w:val="32"/>
          <w:szCs w:val="32"/>
          <w:highlight w:val="none"/>
        </w:rPr>
        <w:t>）</w:t>
      </w:r>
    </w:p>
    <w:p>
      <w:pPr>
        <w:spacing w:line="360" w:lineRule="auto"/>
        <w:jc w:val="left"/>
        <w:rPr>
          <w:rFonts w:hint="eastAsia" w:ascii="宋体" w:hAnsi="宋体" w:eastAsia="宋体" w:cs="宋体"/>
          <w:b/>
          <w:color w:val="auto"/>
          <w:sz w:val="32"/>
          <w:highlight w:val="none"/>
        </w:rPr>
      </w:pPr>
    </w:p>
    <w:p>
      <w:pPr>
        <w:spacing w:line="360" w:lineRule="auto"/>
        <w:jc w:val="left"/>
        <w:rPr>
          <w:rFonts w:hint="eastAsia" w:ascii="宋体" w:hAnsi="宋体" w:eastAsia="宋体" w:cs="宋体"/>
          <w:b/>
          <w:color w:val="auto"/>
          <w:sz w:val="32"/>
          <w:highlight w:val="none"/>
        </w:rPr>
      </w:pPr>
    </w:p>
    <w:p>
      <w:pPr>
        <w:spacing w:line="360" w:lineRule="auto"/>
        <w:jc w:val="left"/>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32"/>
          <w:highlight w:val="none"/>
        </w:rPr>
        <w:t>项目编号：</w:t>
      </w:r>
      <w:r>
        <w:rPr>
          <w:rFonts w:hint="eastAsia" w:ascii="宋体" w:hAnsi="宋体" w:cs="宋体"/>
          <w:b/>
          <w:color w:val="auto"/>
          <w:sz w:val="32"/>
          <w:highlight w:val="none"/>
          <w:lang w:eastAsia="zh-CN"/>
        </w:rPr>
        <w:t>ZXHC2022-ZCBL-0702</w:t>
      </w:r>
    </w:p>
    <w:p>
      <w:pPr>
        <w:jc w:val="center"/>
        <w:rPr>
          <w:rFonts w:hint="eastAsia" w:ascii="宋体" w:hAnsi="宋体" w:eastAsia="宋体" w:cs="宋体"/>
          <w:b/>
          <w:color w:val="auto"/>
          <w:sz w:val="44"/>
          <w:szCs w:val="44"/>
          <w:highlight w:val="none"/>
        </w:rPr>
      </w:pPr>
    </w:p>
    <w:p>
      <w:pPr>
        <w:jc w:val="center"/>
        <w:rPr>
          <w:rFonts w:hint="eastAsia" w:ascii="宋体" w:hAnsi="宋体" w:eastAsia="宋体" w:cs="宋体"/>
          <w:b/>
          <w:color w:val="auto"/>
          <w:sz w:val="44"/>
          <w:szCs w:val="44"/>
          <w:highlight w:val="none"/>
        </w:rPr>
      </w:pPr>
    </w:p>
    <w:p>
      <w:pPr>
        <w:spacing w:line="480" w:lineRule="auto"/>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 xml:space="preserve">            </w:t>
      </w:r>
      <w:r>
        <w:rPr>
          <w:rFonts w:hint="eastAsia" w:ascii="宋体" w:hAnsi="宋体" w:eastAsia="宋体" w:cs="宋体"/>
          <w:b/>
          <w:color w:val="auto"/>
          <w:sz w:val="36"/>
          <w:szCs w:val="36"/>
          <w:highlight w:val="none"/>
          <w:u w:val="single"/>
        </w:rPr>
        <w:t xml:space="preserve">                   项目名称</w:t>
      </w:r>
    </w:p>
    <w:p>
      <w:pPr>
        <w:spacing w:line="480" w:lineRule="auto"/>
        <w:rPr>
          <w:rFonts w:hint="eastAsia" w:ascii="宋体" w:hAnsi="宋体" w:eastAsia="宋体" w:cs="宋体"/>
          <w:b/>
          <w:color w:val="auto"/>
          <w:sz w:val="36"/>
          <w:szCs w:val="36"/>
          <w:highlight w:val="none"/>
          <w:u w:val="single"/>
        </w:rPr>
      </w:pPr>
    </w:p>
    <w:p>
      <w:pPr>
        <w:rPr>
          <w:rFonts w:hint="eastAsia" w:ascii="宋体" w:hAnsi="宋体" w:eastAsia="宋体" w:cs="宋体"/>
          <w:b/>
          <w:color w:val="auto"/>
          <w:sz w:val="48"/>
          <w:highlight w:val="none"/>
        </w:rPr>
      </w:pPr>
    </w:p>
    <w:p>
      <w:pPr>
        <w:jc w:val="center"/>
        <w:rPr>
          <w:rFonts w:hint="eastAsia" w:ascii="宋体" w:hAnsi="宋体" w:eastAsia="宋体" w:cs="宋体"/>
          <w:b/>
          <w:color w:val="auto"/>
          <w:sz w:val="72"/>
          <w:szCs w:val="48"/>
          <w:highlight w:val="none"/>
        </w:rPr>
      </w:pPr>
      <w:r>
        <w:rPr>
          <w:rFonts w:hint="eastAsia" w:ascii="宋体" w:hAnsi="宋体" w:eastAsia="宋体" w:cs="宋体"/>
          <w:b/>
          <w:color w:val="auto"/>
          <w:sz w:val="72"/>
          <w:szCs w:val="48"/>
          <w:highlight w:val="none"/>
        </w:rPr>
        <w:t xml:space="preserve">谈判响应文件 </w:t>
      </w: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pPr>
        <w:spacing w:line="360" w:lineRule="auto"/>
        <w:ind w:firstLine="1265" w:firstLineChars="45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  谈判供应商：</w:t>
      </w: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 xml:space="preserve">（盖章）   </w:t>
      </w:r>
    </w:p>
    <w:p>
      <w:pPr>
        <w:jc w:val="center"/>
        <w:rPr>
          <w:rFonts w:hint="eastAsia" w:ascii="宋体" w:hAnsi="宋体" w:eastAsia="宋体" w:cs="宋体"/>
          <w:b/>
          <w:color w:val="auto"/>
          <w:sz w:val="28"/>
          <w:highlight w:val="none"/>
        </w:rPr>
      </w:pPr>
    </w:p>
    <w:p>
      <w:pPr>
        <w:jc w:val="center"/>
        <w:rPr>
          <w:rFonts w:hint="eastAsia" w:ascii="宋体" w:hAnsi="宋体" w:eastAsia="宋体" w:cs="宋体"/>
          <w:color w:val="auto"/>
          <w:highlight w:val="none"/>
        </w:rPr>
      </w:pP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年</w:t>
      </w: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月</w:t>
      </w: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日</w:t>
      </w:r>
    </w:p>
    <w:p>
      <w:pPr>
        <w:rPr>
          <w:rFonts w:hint="eastAsia" w:ascii="宋体" w:hAnsi="宋体" w:eastAsia="宋体" w:cs="宋体"/>
          <w:color w:val="auto"/>
          <w:highlight w:val="none"/>
        </w:rPr>
      </w:pPr>
      <w:bookmarkStart w:id="179" w:name="_Toc21305"/>
      <w:bookmarkStart w:id="180" w:name="_Toc357087380"/>
    </w:p>
    <w:p>
      <w:pPr>
        <w:rPr>
          <w:rFonts w:hint="eastAsia" w:ascii="宋体" w:hAnsi="宋体" w:eastAsia="宋体" w:cs="宋体"/>
          <w:color w:val="auto"/>
          <w:highlight w:val="none"/>
        </w:rPr>
      </w:pPr>
    </w:p>
    <w:p>
      <w:pP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br w:type="page"/>
      </w:r>
    </w:p>
    <w:p>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书脊格式（规定格式）</w:t>
      </w:r>
    </w:p>
    <w:p>
      <w:pPr>
        <w:widowControl/>
        <w:spacing w:line="400" w:lineRule="exact"/>
        <w:jc w:val="center"/>
        <w:rPr>
          <w:rFonts w:hint="eastAsia" w:ascii="宋体" w:hAnsi="宋体" w:eastAsia="宋体" w:cs="宋体"/>
          <w:color w:val="auto"/>
          <w:kern w:val="0"/>
          <w:sz w:val="28"/>
          <w:szCs w:val="28"/>
          <w:highlight w:val="none"/>
          <w:u w:val="none" w:color="000000"/>
        </w:rPr>
      </w:pPr>
      <w:r>
        <w:rPr>
          <w:rFonts w:hint="eastAsia" w:ascii="宋体" w:hAnsi="宋体" w:eastAsia="宋体" w:cs="宋体"/>
          <w:color w:val="auto"/>
          <w:kern w:val="0"/>
          <w:sz w:val="28"/>
          <w:szCs w:val="28"/>
          <w:highlight w:val="none"/>
          <w:u w:val="none" w:color="000000"/>
        </w:rPr>
        <w:t>书脊格式</w:t>
      </w:r>
    </w:p>
    <w:p>
      <w:pPr>
        <w:widowControl/>
        <w:spacing w:line="400" w:lineRule="exact"/>
        <w:jc w:val="center"/>
        <w:rPr>
          <w:rFonts w:hint="eastAsia" w:ascii="宋体" w:hAnsi="宋体" w:eastAsia="宋体" w:cs="宋体"/>
          <w:color w:val="auto"/>
          <w:kern w:val="0"/>
          <w:sz w:val="28"/>
          <w:szCs w:val="28"/>
          <w:highlight w:val="none"/>
          <w:u w:val="none" w:color="000000"/>
        </w:rPr>
      </w:pPr>
    </w:p>
    <w:tbl>
      <w:tblPr>
        <w:tblStyle w:val="24"/>
        <w:tblpPr w:leftFromText="180" w:rightFromText="180" w:vertAnchor="text" w:horzAnchor="margin" w:tblpXSpec="center" w:tblpY="1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3" w:hRule="atLeast"/>
        </w:trPr>
        <w:tc>
          <w:tcPr>
            <w:tcW w:w="817" w:type="dxa"/>
            <w:noWrap w:val="0"/>
            <w:textDirection w:val="tbRlV"/>
            <w:vAlign w:val="center"/>
          </w:tcPr>
          <w:p>
            <w:pPr>
              <w:widowControl/>
              <w:spacing w:line="400" w:lineRule="exact"/>
              <w:ind w:left="113" w:right="113"/>
              <w:textAlignment w:val="baseline"/>
              <w:rPr>
                <w:rFonts w:hint="eastAsia" w:ascii="宋体" w:hAnsi="宋体" w:eastAsia="宋体" w:cs="宋体"/>
                <w:b/>
                <w:color w:val="auto"/>
                <w:kern w:val="0"/>
                <w:szCs w:val="21"/>
                <w:highlight w:val="none"/>
                <w:u w:val="none" w:color="000000"/>
              </w:rPr>
            </w:pPr>
            <w:r>
              <w:rPr>
                <w:rFonts w:hint="eastAsia" w:ascii="宋体" w:hAnsi="宋体" w:eastAsia="宋体" w:cs="宋体"/>
                <w:b/>
                <w:bCs/>
                <w:color w:val="auto"/>
                <w:kern w:val="0"/>
                <w:szCs w:val="21"/>
                <w:highlight w:val="none"/>
                <w:u w:val="none" w:color="000000"/>
              </w:rPr>
              <w:t>项目编号：              项目名称：                          投标单位名称：</w:t>
            </w:r>
          </w:p>
        </w:tc>
      </w:tr>
    </w:tbl>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color w:val="auto"/>
          <w:kern w:val="0"/>
          <w:sz w:val="28"/>
          <w:szCs w:val="28"/>
          <w:highlight w:val="none"/>
          <w:u w:val="none" w:color="000000"/>
        </w:rPr>
      </w:pPr>
    </w:p>
    <w:p>
      <w:pPr>
        <w:widowControl/>
        <w:spacing w:line="400" w:lineRule="exact"/>
        <w:jc w:val="center"/>
        <w:rPr>
          <w:rFonts w:hint="eastAsia" w:ascii="宋体" w:hAnsi="宋体" w:eastAsia="宋体" w:cs="宋体"/>
          <w:bCs/>
          <w:color w:val="auto"/>
          <w:kern w:val="0"/>
          <w:sz w:val="22"/>
          <w:szCs w:val="28"/>
          <w:highlight w:val="none"/>
        </w:rPr>
      </w:pPr>
    </w:p>
    <w:p>
      <w:pPr>
        <w:rPr>
          <w:rFonts w:hint="eastAsia" w:ascii="宋体" w:hAnsi="宋体" w:eastAsia="宋体" w:cs="宋体"/>
          <w:b/>
          <w:color w:val="auto"/>
          <w:sz w:val="24"/>
          <w:highlight w:val="none"/>
          <w:lang w:eastAsia="zh-CN"/>
        </w:rPr>
      </w:pPr>
      <w:r>
        <w:rPr>
          <w:rFonts w:hint="eastAsia" w:ascii="宋体" w:hAnsi="宋体" w:eastAsia="宋体" w:cs="宋体"/>
          <w:bCs/>
          <w:color w:val="auto"/>
          <w:kern w:val="0"/>
          <w:sz w:val="22"/>
          <w:szCs w:val="28"/>
          <w:highlight w:val="none"/>
        </w:rPr>
        <w:t>注:书脊内容如果编辑空间不够，可以简写书脊内容标书厚度如小于1cm，可简化书脊</w:t>
      </w:r>
      <w:r>
        <w:rPr>
          <w:rFonts w:hint="eastAsia" w:ascii="宋体" w:hAnsi="宋体" w:eastAsia="宋体" w:cs="宋体"/>
          <w:b/>
          <w:color w:val="auto"/>
          <w:sz w:val="24"/>
          <w:highlight w:val="none"/>
          <w:lang w:eastAsia="zh-CN"/>
        </w:rPr>
        <w:t>。</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rPr>
          <w:rFonts w:hint="eastAsia" w:ascii="宋体" w:hAnsi="宋体" w:eastAsia="宋体" w:cs="宋体"/>
          <w:color w:val="auto"/>
          <w:sz w:val="24"/>
          <w:szCs w:val="24"/>
          <w:highlight w:val="none"/>
        </w:rPr>
      </w:pPr>
      <w:bookmarkStart w:id="181" w:name="_Toc24925"/>
      <w:bookmarkStart w:id="182" w:name="_Toc16296"/>
      <w:r>
        <w:rPr>
          <w:rFonts w:hint="eastAsia" w:ascii="宋体" w:hAnsi="宋体" w:eastAsia="宋体" w:cs="宋体"/>
          <w:color w:val="auto"/>
          <w:sz w:val="24"/>
          <w:szCs w:val="24"/>
          <w:highlight w:val="none"/>
        </w:rPr>
        <w:t>二、目录</w:t>
      </w:r>
      <w:bookmarkEnd w:id="181"/>
      <w:bookmarkEnd w:id="182"/>
    </w:p>
    <w:p>
      <w:pPr>
        <w:rPr>
          <w:rFonts w:hint="eastAsia" w:ascii="宋体" w:hAnsi="宋体" w:eastAsia="宋体" w:cs="宋体"/>
          <w:color w:val="auto"/>
          <w:szCs w:val="22"/>
          <w:highlight w:val="none"/>
        </w:rPr>
      </w:pPr>
    </w:p>
    <w:p>
      <w:pPr>
        <w:rPr>
          <w:rFonts w:hint="eastAsia" w:ascii="宋体" w:hAnsi="宋体" w:eastAsia="宋体" w:cs="宋体"/>
          <w:color w:val="auto"/>
          <w:sz w:val="24"/>
          <w:szCs w:val="24"/>
          <w:highlight w:val="none"/>
        </w:rPr>
        <w:sectPr>
          <w:footnotePr>
            <w:pos w:val="beneathText"/>
          </w:footnote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4"/>
          <w:szCs w:val="24"/>
          <w:highlight w:val="none"/>
        </w:rPr>
        <w:t>根据响应文件自行编制</w:t>
      </w:r>
      <w:r>
        <w:rPr>
          <w:rFonts w:hint="eastAsia" w:ascii="宋体" w:hAnsi="宋体" w:eastAsia="宋体" w:cs="宋体"/>
          <w:color w:val="auto"/>
          <w:sz w:val="24"/>
          <w:szCs w:val="24"/>
          <w:highlight w:val="none"/>
          <w:u w:val="single"/>
        </w:rPr>
        <w:t>详细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清晰、精准</w:t>
      </w:r>
      <w:r>
        <w:rPr>
          <w:rFonts w:hint="eastAsia" w:ascii="宋体" w:hAnsi="宋体" w:eastAsia="宋体" w:cs="宋体"/>
          <w:color w:val="auto"/>
          <w:sz w:val="24"/>
          <w:szCs w:val="24"/>
          <w:highlight w:val="none"/>
          <w:u w:val="single"/>
        </w:rPr>
        <w:t>的目录</w:t>
      </w:r>
      <w:r>
        <w:rPr>
          <w:rFonts w:hint="eastAsia" w:ascii="宋体" w:hAnsi="宋体" w:eastAsia="宋体" w:cs="宋体"/>
          <w:color w:val="auto"/>
          <w:sz w:val="24"/>
          <w:szCs w:val="24"/>
          <w:highlight w:val="none"/>
        </w:rPr>
        <w:t>。</w:t>
      </w:r>
    </w:p>
    <w:p>
      <w:pPr>
        <w:widowControl/>
        <w:jc w:val="left"/>
        <w:rPr>
          <w:rFonts w:hint="eastAsia" w:ascii="宋体" w:hAnsi="宋体" w:eastAsia="宋体" w:cs="宋体"/>
          <w:color w:val="auto"/>
          <w:highlight w:val="none"/>
        </w:rPr>
      </w:pPr>
    </w:p>
    <w:p>
      <w:pPr>
        <w:pStyle w:val="5"/>
        <w:rPr>
          <w:rFonts w:hint="eastAsia" w:ascii="宋体" w:hAnsi="宋体" w:eastAsia="宋体" w:cs="宋体"/>
          <w:color w:val="auto"/>
          <w:sz w:val="24"/>
          <w:szCs w:val="24"/>
          <w:highlight w:val="none"/>
        </w:rPr>
      </w:pPr>
      <w:bookmarkStart w:id="183" w:name="_Toc519085751"/>
      <w:bookmarkStart w:id="184" w:name="_Toc2209"/>
      <w:r>
        <w:rPr>
          <w:rFonts w:hint="eastAsia" w:ascii="宋体" w:hAnsi="宋体" w:eastAsia="宋体" w:cs="宋体"/>
          <w:color w:val="auto"/>
          <w:sz w:val="24"/>
          <w:szCs w:val="24"/>
          <w:highlight w:val="none"/>
        </w:rPr>
        <w:t>三、</w:t>
      </w:r>
      <w:bookmarkEnd w:id="168"/>
      <w:bookmarkEnd w:id="179"/>
      <w:bookmarkEnd w:id="180"/>
      <w:bookmarkEnd w:id="183"/>
      <w:r>
        <w:rPr>
          <w:rFonts w:hint="eastAsia" w:ascii="宋体" w:hAnsi="宋体" w:eastAsia="宋体" w:cs="宋体"/>
          <w:color w:val="auto"/>
          <w:sz w:val="24"/>
          <w:szCs w:val="24"/>
          <w:highlight w:val="none"/>
        </w:rPr>
        <w:t>谈判响应函</w:t>
      </w:r>
      <w:bookmarkEnd w:id="184"/>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pacing w:val="4"/>
          <w:sz w:val="24"/>
          <w:highlight w:val="none"/>
          <w:u w:val="single"/>
        </w:rPr>
        <w:t xml:space="preserve">     （采购人名称）   </w:t>
      </w:r>
    </w:p>
    <w:p>
      <w:pPr>
        <w:spacing w:line="400" w:lineRule="atLeast"/>
        <w:rPr>
          <w:rFonts w:hint="eastAsia" w:ascii="宋体" w:hAnsi="宋体" w:eastAsia="宋体" w:cs="宋体"/>
          <w:color w:val="auto"/>
          <w:sz w:val="24"/>
          <w:highlight w:val="none"/>
        </w:rPr>
      </w:pPr>
    </w:p>
    <w:p>
      <w:pPr>
        <w:spacing w:line="400" w:lineRule="atLeas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项目名称、项目编号</w:t>
      </w:r>
      <w:r>
        <w:rPr>
          <w:rFonts w:hint="eastAsia" w:ascii="宋体" w:hAnsi="宋体" w:eastAsia="宋体" w:cs="宋体"/>
          <w:color w:val="auto"/>
          <w:sz w:val="24"/>
          <w:highlight w:val="none"/>
        </w:rPr>
        <w:t>采购项目的竞争性谈判文件，签字代表</w:t>
      </w:r>
      <w:r>
        <w:rPr>
          <w:rFonts w:hint="eastAsia" w:ascii="宋体" w:hAnsi="宋体" w:eastAsia="宋体" w:cs="宋体"/>
          <w:color w:val="auto"/>
          <w:sz w:val="24"/>
          <w:highlight w:val="none"/>
          <w:u w:val="single"/>
        </w:rPr>
        <w:t xml:space="preserve">              (全名、职务)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 xml:space="preserve"> (供应商名称、地址）</w:t>
      </w:r>
      <w:r>
        <w:rPr>
          <w:rFonts w:hint="eastAsia" w:ascii="宋体" w:hAnsi="宋体" w:eastAsia="宋体" w:cs="宋体"/>
          <w:color w:val="auto"/>
          <w:sz w:val="24"/>
          <w:highlight w:val="none"/>
        </w:rPr>
        <w:t>提交包含下述内容的谈判响应文件正本</w:t>
      </w:r>
      <w:r>
        <w:rPr>
          <w:rFonts w:hint="eastAsia" w:ascii="宋体" w:hAnsi="宋体" w:eastAsia="宋体" w:cs="宋体"/>
          <w:color w:val="auto"/>
          <w:sz w:val="24"/>
          <w:highlight w:val="none"/>
          <w:u w:val="single"/>
        </w:rPr>
        <w:t xml:space="preserve"> 壹 </w:t>
      </w:r>
      <w:r>
        <w:rPr>
          <w:rFonts w:hint="eastAsia" w:ascii="宋体" w:hAnsi="宋体" w:eastAsia="宋体" w:cs="宋体"/>
          <w:color w:val="auto"/>
          <w:sz w:val="24"/>
          <w:highlight w:val="none"/>
        </w:rPr>
        <w:t>份、副本一式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份，电子版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 谈判响应函；</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首次谈判报价表；</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按谈判须知要求提供的全部文件和谈判文件要求的响应文件；</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 供应商资格证明文件；</w:t>
      </w:r>
    </w:p>
    <w:p>
      <w:pPr>
        <w:spacing w:line="400" w:lineRule="atLeas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 已交纳谈判保证金，金额为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据此函，签字代表宣布同意如下：</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 所附开标一览表中规定的报价为：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（即：大写金额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2.供应商将按谈判文件的规定履行合同责任和义务;</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 供应商已详细审查全部谈判文件，包括修改文件（如有的话）以及全部参考资料和有关附件。我们完全理解并同意放弃对这方面有不明及误解的权利；</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 谈判报价自谈判响应文件截止之日起有效期为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个日历天；</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5. 如果在响应文件截止时间后，供应商在谈判有效期内撤回谈判报价；或成交后未按谈判文件中谈判须知规定的向采购代理机构交纳足额的招标代理服务费，其谈判保证金将被贵方没收；</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6. 供应商同意提供按照贵方可能要求的与其报价有关的一切数据或资料，完全理解贵方不一定要接受最低价的谈判报价或收到的任何谈判报价。</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7. 与本谈判有关的一切正式往来通讯请寄：</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供应商代表姓名、职务（印刷体）：</w:t>
      </w:r>
      <w:r>
        <w:rPr>
          <w:rFonts w:hint="eastAsia" w:ascii="宋体" w:hAnsi="宋体" w:eastAsia="宋体" w:cs="宋体"/>
          <w:color w:val="auto"/>
          <w:sz w:val="24"/>
          <w:highlight w:val="none"/>
          <w:u w:val="single"/>
        </w:rPr>
        <w:t xml:space="preserve">                                   </w:t>
      </w:r>
    </w:p>
    <w:p>
      <w:pPr>
        <w:spacing w:line="40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00" w:lineRule="atLeast"/>
        <w:ind w:firstLine="42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00" w:lineRule="atLeast"/>
        <w:ind w:firstLine="422"/>
        <w:jc w:val="center"/>
        <w:rPr>
          <w:rFonts w:hint="eastAsia" w:ascii="宋体" w:hAnsi="宋体" w:eastAsia="宋体" w:cs="宋体"/>
          <w:color w:val="auto"/>
          <w:sz w:val="24"/>
          <w:highlight w:val="none"/>
        </w:rPr>
      </w:pPr>
    </w:p>
    <w:p>
      <w:pPr>
        <w:spacing w:line="400" w:lineRule="atLeast"/>
        <w:ind w:firstLine="422"/>
        <w:jc w:val="center"/>
        <w:rPr>
          <w:rFonts w:hint="eastAsia" w:ascii="宋体" w:hAnsi="宋体" w:eastAsia="宋体" w:cs="宋体"/>
          <w:b/>
          <w:color w:val="auto"/>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4"/>
          <w:highlight w:val="none"/>
        </w:rPr>
        <w:t xml:space="preserve"> 日期：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bookmarkEnd w:id="169"/>
      <w:bookmarkEnd w:id="170"/>
      <w:bookmarkStart w:id="185" w:name="_Toc519085752"/>
    </w:p>
    <w:p>
      <w:pPr>
        <w:pStyle w:val="5"/>
        <w:ind w:firstLine="562"/>
        <w:rPr>
          <w:rFonts w:hint="eastAsia" w:ascii="宋体" w:hAnsi="宋体" w:eastAsia="宋体" w:cs="宋体"/>
          <w:color w:val="auto"/>
          <w:sz w:val="24"/>
          <w:szCs w:val="24"/>
          <w:highlight w:val="none"/>
        </w:rPr>
      </w:pPr>
      <w:bookmarkStart w:id="186" w:name="_Toc1469"/>
      <w:r>
        <w:rPr>
          <w:rFonts w:hint="eastAsia" w:ascii="宋体" w:hAnsi="宋体" w:eastAsia="宋体" w:cs="宋体"/>
          <w:color w:val="auto"/>
          <w:sz w:val="24"/>
          <w:szCs w:val="24"/>
          <w:highlight w:val="none"/>
        </w:rPr>
        <w:t>四、</w:t>
      </w:r>
      <w:bookmarkEnd w:id="185"/>
      <w:r>
        <w:rPr>
          <w:rFonts w:hint="eastAsia" w:ascii="宋体" w:hAnsi="宋体" w:eastAsia="宋体" w:cs="宋体"/>
          <w:color w:val="auto"/>
          <w:sz w:val="24"/>
          <w:szCs w:val="24"/>
          <w:highlight w:val="none"/>
        </w:rPr>
        <w:t>首次谈判报价表</w:t>
      </w:r>
      <w:bookmarkEnd w:id="186"/>
    </w:p>
    <w:p>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szCs w:val="22"/>
          <w:highlight w:val="none"/>
        </w:rPr>
        <w:t xml:space="preserve">      </w:t>
      </w:r>
    </w:p>
    <w:p>
      <w:pPr>
        <w:spacing w:line="360" w:lineRule="auto"/>
        <w:jc w:val="right"/>
        <w:rPr>
          <w:rFonts w:hint="eastAsia" w:ascii="宋体" w:hAnsi="宋体" w:eastAsia="宋体" w:cs="宋体"/>
          <w:color w:val="auto"/>
          <w:highlight w:val="none"/>
        </w:rPr>
      </w:pPr>
      <w:r>
        <w:rPr>
          <w:rFonts w:hint="eastAsia" w:ascii="宋体" w:hAnsi="宋体" w:eastAsia="宋体" w:cs="宋体"/>
          <w:color w:val="auto"/>
          <w:sz w:val="24"/>
          <w:szCs w:val="22"/>
          <w:highlight w:val="none"/>
        </w:rPr>
        <w:t xml:space="preserve"> 单位：元</w:t>
      </w:r>
    </w:p>
    <w:bookmarkEnd w:id="171"/>
    <w:bookmarkEnd w:id="172"/>
    <w:bookmarkEnd w:id="173"/>
    <w:bookmarkEnd w:id="174"/>
    <w:bookmarkEnd w:id="175"/>
    <w:bookmarkEnd w:id="176"/>
    <w:bookmarkEnd w:id="177"/>
    <w:p>
      <w:pPr>
        <w:rPr>
          <w:rFonts w:hint="eastAsia" w:ascii="宋体" w:hAnsi="宋体" w:eastAsia="宋体" w:cs="宋体"/>
          <w:color w:val="auto"/>
          <w:highlight w:val="none"/>
        </w:rPr>
      </w:pPr>
      <w:bookmarkStart w:id="187" w:name="_Hlt491766443"/>
      <w:bookmarkStart w:id="188" w:name="_Toc385992405"/>
      <w:bookmarkStart w:id="189" w:name="_Toc497546923"/>
      <w:bookmarkStart w:id="190" w:name="_Toc246928964"/>
      <w:bookmarkStart w:id="191" w:name="_Toc497711590"/>
      <w:bookmarkStart w:id="192" w:name="_Toc497551825"/>
      <w:bookmarkStart w:id="193" w:name="_Toc492955464"/>
      <w:bookmarkStart w:id="194" w:name="_Toc497712138"/>
      <w:bookmarkStart w:id="195" w:name="_Toc389620245"/>
    </w:p>
    <w:tbl>
      <w:tblPr>
        <w:tblStyle w:val="2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4"/>
                <w:szCs w:val="22"/>
                <w:highlight w:val="none"/>
              </w:rPr>
              <w:t>项目名称</w:t>
            </w:r>
          </w:p>
        </w:tc>
        <w:tc>
          <w:tcPr>
            <w:tcW w:w="670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项目编号</w:t>
            </w:r>
          </w:p>
        </w:tc>
        <w:tc>
          <w:tcPr>
            <w:tcW w:w="670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exact"/>
          <w:jc w:val="center"/>
        </w:trPr>
        <w:tc>
          <w:tcPr>
            <w:tcW w:w="2044"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总报价</w:t>
            </w:r>
          </w:p>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（人民币）</w:t>
            </w:r>
          </w:p>
        </w:tc>
        <w:tc>
          <w:tcPr>
            <w:tcW w:w="6704" w:type="dxa"/>
            <w:vAlign w:val="center"/>
          </w:tcPr>
          <w:p>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小写金额：</w:t>
            </w:r>
            <w:r>
              <w:rPr>
                <w:rFonts w:hint="eastAsia" w:ascii="宋体" w:hAnsi="宋体" w:eastAsia="宋体" w:cs="宋体"/>
                <w:color w:val="auto"/>
                <w:sz w:val="24"/>
                <w:szCs w:val="22"/>
                <w:highlight w:val="none"/>
                <w:lang w:val="en-US" w:eastAsia="zh-CN"/>
              </w:rPr>
              <w:t>￥</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w:t>
            </w:r>
          </w:p>
          <w:p>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大写金额：</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 w:val="24"/>
                <w:szCs w:val="22"/>
                <w:highlight w:val="none"/>
              </w:rPr>
              <w:t>备注：表内报价内容以元为单位，保留小数点后两位。</w:t>
            </w:r>
          </w:p>
        </w:tc>
      </w:tr>
    </w:tbl>
    <w:p>
      <w:pPr>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备注：供应商的报价应考虑到该采购项目所发生的一切费用。</w:t>
      </w:r>
    </w:p>
    <w:p>
      <w:pPr>
        <w:ind w:firstLine="420"/>
        <w:rPr>
          <w:rFonts w:hint="eastAsia" w:ascii="宋体" w:hAnsi="宋体" w:eastAsia="宋体" w:cs="宋体"/>
          <w:color w:val="auto"/>
          <w:sz w:val="24"/>
          <w:highlight w:val="none"/>
        </w:rPr>
      </w:pPr>
    </w:p>
    <w:p>
      <w:pPr>
        <w:rPr>
          <w:rFonts w:hint="eastAsia" w:ascii="宋体" w:hAnsi="宋体" w:eastAsia="宋体" w:cs="宋体"/>
          <w:color w:val="auto"/>
          <w:sz w:val="30"/>
          <w:highlight w:val="none"/>
        </w:rPr>
      </w:pPr>
    </w:p>
    <w:p>
      <w:pPr>
        <w:spacing w:line="480" w:lineRule="auto"/>
        <w:ind w:right="-161" w:firstLine="2640" w:firstLineChars="1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u w:val="single"/>
        </w:rPr>
        <w:t xml:space="preserve">              </w:t>
      </w: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adjustRightInd w:val="0"/>
        <w:spacing w:line="416" w:lineRule="atLeast"/>
        <w:textAlignment w:val="baseline"/>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6"/>
        <w:ind w:firstLine="562"/>
        <w:jc w:val="center"/>
        <w:rPr>
          <w:rFonts w:hint="eastAsia" w:ascii="宋体" w:hAnsi="宋体" w:eastAsia="宋体" w:cs="宋体"/>
          <w:b/>
          <w:color w:val="auto"/>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36"/>
        <w:ind w:firstLine="562"/>
        <w:jc w:val="center"/>
        <w:rPr>
          <w:rFonts w:hint="eastAsia" w:ascii="宋体" w:hAnsi="宋体" w:eastAsia="宋体" w:cs="宋体"/>
          <w:b/>
          <w:color w:val="auto"/>
          <w:highlight w:val="none"/>
        </w:rPr>
      </w:pPr>
      <w:r>
        <w:rPr>
          <w:rFonts w:hint="eastAsia" w:ascii="宋体" w:hAnsi="宋体" w:eastAsia="宋体" w:cs="宋体"/>
          <w:b/>
          <w:color w:val="auto"/>
          <w:highlight w:val="none"/>
        </w:rPr>
        <w:t>1、分项报价表（格式）</w:t>
      </w:r>
    </w:p>
    <w:p>
      <w:pPr>
        <w:rPr>
          <w:rFonts w:hint="eastAsia" w:ascii="宋体" w:hAnsi="宋体" w:eastAsia="宋体" w:cs="宋体"/>
          <w:color w:val="auto"/>
          <w:szCs w:val="24"/>
          <w:highlight w:val="none"/>
        </w:rPr>
      </w:pPr>
    </w:p>
    <w:tbl>
      <w:tblPr>
        <w:tblStyle w:val="2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24"/>
        <w:gridCol w:w="760"/>
        <w:gridCol w:w="1306"/>
        <w:gridCol w:w="783"/>
        <w:gridCol w:w="783"/>
        <w:gridCol w:w="783"/>
        <w:gridCol w:w="617"/>
        <w:gridCol w:w="925"/>
        <w:gridCol w:w="76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 w:type="pct"/>
            <w:tcBorders>
              <w:top w:val="double" w:color="auto" w:sz="4" w:space="0"/>
              <w:left w:val="double" w:color="auto" w:sz="4" w:space="0"/>
              <w:right w:val="single" w:color="auto" w:sz="4" w:space="0"/>
            </w:tcBorders>
            <w:vAlign w:val="center"/>
          </w:tcPr>
          <w:p>
            <w:pPr>
              <w:pStyle w:val="14"/>
              <w:jc w:val="center"/>
              <w:rPr>
                <w:rFonts w:hint="eastAsia" w:ascii="宋体" w:hAnsi="宋体" w:eastAsia="宋体" w:cs="宋体"/>
                <w:color w:val="auto"/>
                <w:szCs w:val="24"/>
                <w:highlight w:val="none"/>
              </w:rPr>
            </w:pPr>
            <w:r>
              <w:rPr>
                <w:rFonts w:hint="eastAsia" w:ascii="宋体" w:hAnsi="宋体" w:eastAsia="宋体" w:cs="宋体"/>
                <w:color w:val="auto"/>
                <w:spacing w:val="-20"/>
                <w:szCs w:val="24"/>
                <w:highlight w:val="none"/>
              </w:rPr>
              <w:t>序号</w:t>
            </w:r>
          </w:p>
        </w:tc>
        <w:tc>
          <w:tcPr>
            <w:tcW w:w="421"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设备名称</w:t>
            </w:r>
          </w:p>
        </w:tc>
        <w:tc>
          <w:tcPr>
            <w:tcW w:w="442"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品牌</w:t>
            </w:r>
          </w:p>
        </w:tc>
        <w:tc>
          <w:tcPr>
            <w:tcW w:w="755"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规格型号</w:t>
            </w:r>
          </w:p>
        </w:tc>
        <w:tc>
          <w:tcPr>
            <w:tcW w:w="455" w:type="pct"/>
            <w:tcBorders>
              <w:top w:val="double" w:color="auto" w:sz="4" w:space="0"/>
              <w:left w:val="single" w:color="auto" w:sz="4" w:space="0"/>
              <w:right w:val="single" w:color="auto" w:sz="4" w:space="0"/>
            </w:tcBorders>
            <w:vAlign w:val="center"/>
          </w:tcPr>
          <w:p>
            <w:pPr>
              <w:pStyle w:val="14"/>
              <w:jc w:val="center"/>
              <w:rPr>
                <w:rFonts w:hint="default" w:ascii="宋体" w:hAnsi="宋体" w:eastAsia="宋体" w:cs="宋体"/>
                <w:color w:val="auto"/>
                <w:szCs w:val="24"/>
                <w:highlight w:val="none"/>
                <w:lang w:val="en-US" w:eastAsia="zh-CN"/>
              </w:rPr>
            </w:pPr>
            <w:r>
              <w:rPr>
                <w:rFonts w:hint="eastAsia" w:hAnsi="宋体" w:cs="宋体"/>
                <w:color w:val="auto"/>
                <w:spacing w:val="-20"/>
                <w:szCs w:val="24"/>
                <w:highlight w:val="none"/>
                <w:lang w:val="en-US" w:eastAsia="zh-CN"/>
              </w:rPr>
              <w:t>制造厂家名称</w:t>
            </w:r>
          </w:p>
        </w:tc>
        <w:tc>
          <w:tcPr>
            <w:tcW w:w="455" w:type="pct"/>
            <w:tcBorders>
              <w:top w:val="double" w:color="auto" w:sz="4" w:space="0"/>
              <w:left w:val="single" w:color="auto" w:sz="4" w:space="0"/>
              <w:right w:val="single" w:color="auto" w:sz="4" w:space="0"/>
            </w:tcBorders>
            <w:vAlign w:val="center"/>
          </w:tcPr>
          <w:p>
            <w:pPr>
              <w:pStyle w:val="14"/>
              <w:rPr>
                <w:rFonts w:hint="eastAsia" w:ascii="宋体" w:hAnsi="宋体" w:eastAsia="宋体" w:cs="宋体"/>
                <w:color w:val="auto"/>
                <w:szCs w:val="24"/>
                <w:highlight w:val="none"/>
              </w:rPr>
            </w:pPr>
            <w:r>
              <w:rPr>
                <w:rFonts w:hint="eastAsia" w:hAnsi="宋体" w:cs="宋体"/>
                <w:color w:val="auto"/>
                <w:spacing w:val="-20"/>
                <w:szCs w:val="24"/>
                <w:highlight w:val="none"/>
                <w:lang w:val="en-US" w:eastAsia="zh-CN"/>
              </w:rPr>
              <w:t>制造厂家类型</w:t>
            </w:r>
          </w:p>
        </w:tc>
        <w:tc>
          <w:tcPr>
            <w:tcW w:w="455" w:type="pct"/>
            <w:tcBorders>
              <w:top w:val="double" w:color="auto" w:sz="4" w:space="0"/>
              <w:left w:val="single" w:color="auto" w:sz="4" w:space="0"/>
              <w:right w:val="single" w:color="auto" w:sz="4" w:space="0"/>
            </w:tcBorders>
            <w:vAlign w:val="center"/>
          </w:tcPr>
          <w:p>
            <w:pPr>
              <w:pStyle w:val="14"/>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w:t>
            </w:r>
          </w:p>
        </w:tc>
        <w:tc>
          <w:tcPr>
            <w:tcW w:w="360" w:type="pct"/>
            <w:tcBorders>
              <w:top w:val="double" w:color="auto" w:sz="4" w:space="0"/>
              <w:left w:val="single" w:color="auto" w:sz="4" w:space="0"/>
              <w:right w:val="single" w:color="auto" w:sz="4" w:space="0"/>
            </w:tcBorders>
            <w:vAlign w:val="center"/>
          </w:tcPr>
          <w:p>
            <w:pPr>
              <w:pStyle w:val="14"/>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数量</w:t>
            </w:r>
          </w:p>
        </w:tc>
        <w:tc>
          <w:tcPr>
            <w:tcW w:w="536"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单价(元)</w:t>
            </w:r>
          </w:p>
        </w:tc>
        <w:tc>
          <w:tcPr>
            <w:tcW w:w="444" w:type="pct"/>
            <w:tcBorders>
              <w:top w:val="double" w:color="auto" w:sz="4" w:space="0"/>
              <w:left w:val="single" w:color="auto" w:sz="4" w:space="0"/>
              <w:right w:val="single" w:color="auto" w:sz="4" w:space="0"/>
            </w:tcBorders>
            <w:vAlign w:val="center"/>
          </w:tcPr>
          <w:p>
            <w:pPr>
              <w:pStyle w:val="14"/>
              <w:jc w:val="center"/>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合计(元)</w:t>
            </w:r>
          </w:p>
        </w:tc>
        <w:tc>
          <w:tcPr>
            <w:tcW w:w="462" w:type="pct"/>
            <w:tcBorders>
              <w:top w:val="double" w:color="auto" w:sz="4" w:space="0"/>
              <w:left w:val="single" w:color="auto" w:sz="4" w:space="0"/>
              <w:right w:val="double" w:color="auto" w:sz="4" w:space="0"/>
            </w:tcBorders>
            <w:vAlign w:val="center"/>
          </w:tcPr>
          <w:p>
            <w:pPr>
              <w:pStyle w:val="14"/>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07" w:type="pct"/>
            <w:tcBorders>
              <w:left w:val="doub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p>
        </w:tc>
        <w:tc>
          <w:tcPr>
            <w:tcW w:w="421"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42"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75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360"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36"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44"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62" w:type="pct"/>
            <w:tcBorders>
              <w:left w:val="single" w:color="auto" w:sz="4" w:space="0"/>
              <w:right w:val="double" w:color="auto" w:sz="4" w:space="0"/>
            </w:tcBorders>
          </w:tcPr>
          <w:p>
            <w:pPr>
              <w:spacing w:line="400" w:lineRule="atLeast"/>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07" w:type="pct"/>
            <w:tcBorders>
              <w:left w:val="double" w:color="auto" w:sz="4" w:space="0"/>
              <w:right w:val="single" w:color="auto" w:sz="4" w:space="0"/>
            </w:tcBorders>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w:t>
            </w:r>
          </w:p>
        </w:tc>
        <w:tc>
          <w:tcPr>
            <w:tcW w:w="421"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42"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75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360"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36"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44"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62" w:type="pct"/>
            <w:tcBorders>
              <w:left w:val="single" w:color="auto" w:sz="4" w:space="0"/>
              <w:right w:val="double" w:color="auto" w:sz="4" w:space="0"/>
            </w:tcBorders>
          </w:tcPr>
          <w:p>
            <w:pPr>
              <w:spacing w:line="400" w:lineRule="atLeast"/>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07" w:type="pct"/>
            <w:tcBorders>
              <w:left w:val="double" w:color="auto" w:sz="4" w:space="0"/>
              <w:right w:val="single" w:color="auto" w:sz="4" w:space="0"/>
            </w:tcBorders>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N</w:t>
            </w:r>
          </w:p>
        </w:tc>
        <w:tc>
          <w:tcPr>
            <w:tcW w:w="421"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42"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75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55"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360"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536"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44" w:type="pct"/>
            <w:tcBorders>
              <w:left w:val="single" w:color="auto" w:sz="4" w:space="0"/>
              <w:right w:val="single" w:color="auto" w:sz="4" w:space="0"/>
            </w:tcBorders>
          </w:tcPr>
          <w:p>
            <w:pPr>
              <w:spacing w:line="400" w:lineRule="atLeast"/>
              <w:jc w:val="center"/>
              <w:rPr>
                <w:rFonts w:hint="eastAsia" w:ascii="宋体" w:hAnsi="宋体" w:eastAsia="宋体" w:cs="宋体"/>
                <w:color w:val="auto"/>
                <w:sz w:val="24"/>
                <w:szCs w:val="22"/>
                <w:highlight w:val="none"/>
              </w:rPr>
            </w:pPr>
          </w:p>
        </w:tc>
        <w:tc>
          <w:tcPr>
            <w:tcW w:w="462" w:type="pct"/>
            <w:tcBorders>
              <w:left w:val="single" w:color="auto" w:sz="4" w:space="0"/>
              <w:right w:val="double" w:color="auto" w:sz="4" w:space="0"/>
            </w:tcBorders>
          </w:tcPr>
          <w:p>
            <w:pPr>
              <w:spacing w:line="400" w:lineRule="atLeast"/>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00" w:type="pct"/>
            <w:gridSpan w:val="11"/>
            <w:tcBorders>
              <w:left w:val="double" w:color="auto" w:sz="4" w:space="0"/>
              <w:right w:val="double" w:color="auto" w:sz="4" w:space="0"/>
            </w:tcBorders>
          </w:tcPr>
          <w:p>
            <w:pPr>
              <w:spacing w:line="400" w:lineRule="atLeast"/>
              <w:rPr>
                <w:rFonts w:hint="eastAsia" w:ascii="宋体" w:hAnsi="宋体" w:eastAsia="宋体" w:cs="宋体"/>
                <w:color w:val="auto"/>
                <w:sz w:val="24"/>
                <w:szCs w:val="22"/>
                <w:highlight w:val="none"/>
              </w:rPr>
            </w:pPr>
            <w:r>
              <w:rPr>
                <w:rFonts w:hint="eastAsia" w:ascii="宋体" w:hAnsi="宋体" w:eastAsia="宋体" w:cs="宋体"/>
                <w:color w:val="auto"/>
                <w:spacing w:val="-6"/>
                <w:sz w:val="24"/>
                <w:szCs w:val="24"/>
                <w:highlight w:val="none"/>
              </w:rPr>
              <w:t>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00" w:type="pct"/>
            <w:gridSpan w:val="11"/>
            <w:tcBorders>
              <w:left w:val="double" w:color="auto" w:sz="4" w:space="0"/>
              <w:right w:val="double" w:color="auto" w:sz="4" w:space="0"/>
            </w:tcBorders>
          </w:tcPr>
          <w:p>
            <w:pPr>
              <w:spacing w:line="400" w:lineRule="atLeast"/>
              <w:rPr>
                <w:rFonts w:hint="default" w:ascii="宋体" w:hAnsi="宋体" w:eastAsia="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其中：中小企业产品占总报价比重</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none"/>
                <w:lang w:val="en-US" w:eastAsia="zh-CN"/>
              </w:rPr>
              <w:t>，小微企业产品占总报价比重</w:t>
            </w:r>
            <w:r>
              <w:rPr>
                <w:rFonts w:hint="eastAsia" w:ascii="宋体" w:hAnsi="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000" w:type="pct"/>
            <w:gridSpan w:val="11"/>
            <w:tcBorders>
              <w:left w:val="double" w:color="auto" w:sz="4" w:space="0"/>
              <w:bottom w:val="double" w:color="auto" w:sz="4" w:space="0"/>
              <w:right w:val="double" w:color="auto" w:sz="4" w:space="0"/>
            </w:tcBorders>
          </w:tcPr>
          <w:p>
            <w:pPr>
              <w:spacing w:line="400" w:lineRule="atLeast"/>
              <w:rPr>
                <w:rFonts w:hint="eastAsia"/>
                <w:b/>
                <w:bCs/>
                <w:highlight w:val="none"/>
              </w:rPr>
            </w:pPr>
            <w:r>
              <w:rPr>
                <w:rFonts w:hint="eastAsia"/>
                <w:b/>
                <w:bCs/>
                <w:highlight w:val="none"/>
              </w:rPr>
              <w:t>备注：</w:t>
            </w:r>
          </w:p>
          <w:p>
            <w:pPr>
              <w:numPr>
                <w:ilvl w:val="0"/>
                <w:numId w:val="7"/>
              </w:numPr>
              <w:spacing w:line="400" w:lineRule="atLeast"/>
              <w:rPr>
                <w:rFonts w:hint="eastAsia"/>
                <w:b/>
                <w:bCs/>
                <w:highlight w:val="none"/>
              </w:rPr>
            </w:pPr>
            <w:r>
              <w:rPr>
                <w:rFonts w:hint="eastAsia"/>
                <w:b/>
                <w:bCs/>
                <w:highlight w:val="none"/>
              </w:rPr>
              <w:t>表内报价内容以元为单位，保留小数点后两位。</w:t>
            </w:r>
          </w:p>
          <w:p>
            <w:pPr>
              <w:numPr>
                <w:ilvl w:val="0"/>
                <w:numId w:val="7"/>
              </w:numPr>
              <w:spacing w:line="400" w:lineRule="atLeast"/>
              <w:rPr>
                <w:rFonts w:hint="eastAsia"/>
                <w:b/>
                <w:bCs/>
                <w:highlight w:val="none"/>
              </w:rPr>
            </w:pPr>
            <w:r>
              <w:rPr>
                <w:rFonts w:hint="eastAsia"/>
                <w:b/>
                <w:bCs/>
                <w:highlight w:val="none"/>
                <w:lang w:eastAsia="zh-CN"/>
              </w:rPr>
              <w:t>“</w:t>
            </w:r>
            <w:r>
              <w:rPr>
                <w:rFonts w:hint="eastAsia"/>
                <w:b/>
                <w:bCs/>
                <w:highlight w:val="none"/>
                <w:lang w:val="en-US" w:eastAsia="zh-CN"/>
              </w:rPr>
              <w:t>制造厂家类型</w:t>
            </w:r>
            <w:r>
              <w:rPr>
                <w:rFonts w:hint="eastAsia"/>
                <w:b/>
                <w:bCs/>
                <w:highlight w:val="none"/>
                <w:lang w:eastAsia="zh-CN"/>
              </w:rPr>
              <w:t>”</w:t>
            </w:r>
            <w:r>
              <w:rPr>
                <w:rFonts w:hint="eastAsia"/>
                <w:b/>
                <w:bCs/>
                <w:highlight w:val="none"/>
                <w:lang w:val="en-US" w:eastAsia="zh-CN"/>
              </w:rPr>
              <w:t>填写“大型”或“中型”或“小微”，且与中小企业声明函中声明的必须一致。</w:t>
            </w:r>
          </w:p>
          <w:p>
            <w:pPr>
              <w:numPr>
                <w:ilvl w:val="0"/>
                <w:numId w:val="7"/>
              </w:numPr>
              <w:spacing w:line="400" w:lineRule="atLeast"/>
              <w:rPr>
                <w:rFonts w:hint="eastAsia"/>
                <w:highlight w:val="none"/>
              </w:rPr>
            </w:pPr>
            <w:r>
              <w:rPr>
                <w:rFonts w:hint="eastAsia"/>
                <w:b/>
                <w:bCs/>
                <w:highlight w:val="none"/>
                <w:lang w:val="en-US" w:eastAsia="zh-CN"/>
              </w:rPr>
              <w:t>此表将随中标/成交结果公告一同公示。</w:t>
            </w:r>
          </w:p>
        </w:tc>
      </w:tr>
    </w:tbl>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pPr>
        <w:kinsoku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本表中的“总价”与“首次谈判报价表”中的</w:t>
      </w:r>
      <w:r>
        <w:rPr>
          <w:rFonts w:hint="eastAsia" w:ascii="宋体" w:hAnsi="宋体" w:eastAsia="宋体" w:cs="宋体"/>
          <w:color w:val="auto"/>
          <w:spacing w:val="-6"/>
          <w:sz w:val="24"/>
          <w:highlight w:val="none"/>
        </w:rPr>
        <w:t>“谈判总价”</w:t>
      </w:r>
      <w:r>
        <w:rPr>
          <w:rFonts w:hint="eastAsia" w:ascii="宋体" w:hAnsi="宋体" w:eastAsia="宋体" w:cs="宋体"/>
          <w:color w:val="auto"/>
          <w:sz w:val="24"/>
          <w:highlight w:val="none"/>
        </w:rPr>
        <w:t>一致。各子项分别报价。</w:t>
      </w:r>
    </w:p>
    <w:p>
      <w:pPr>
        <w:pStyle w:val="12"/>
        <w:rPr>
          <w:rFonts w:hint="eastAsia" w:ascii="宋体" w:hAnsi="宋体" w:eastAsia="宋体" w:cs="宋体"/>
          <w:color w:val="auto"/>
          <w:highlight w:val="none"/>
        </w:rPr>
      </w:pPr>
    </w:p>
    <w:p>
      <w:pPr>
        <w:rPr>
          <w:rFonts w:hint="eastAsia" w:ascii="宋体" w:hAnsi="宋体" w:eastAsia="宋体" w:cs="宋体"/>
          <w:color w:val="auto"/>
          <w:szCs w:val="24"/>
          <w:highlight w:val="none"/>
        </w:rPr>
      </w:pP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u w:val="single"/>
        </w:rPr>
        <w:t xml:space="preserve">               </w:t>
      </w: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u w:val="single"/>
        </w:rPr>
        <w:t xml:space="preserve">      </w:t>
      </w:r>
    </w:p>
    <w:p>
      <w:pPr>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36"/>
        <w:ind w:firstLine="560"/>
        <w:jc w:val="center"/>
        <w:rPr>
          <w:rFonts w:hint="eastAsia" w:ascii="宋体" w:hAnsi="宋体" w:eastAsia="宋体" w:cs="宋体"/>
          <w:b/>
          <w:color w:val="auto"/>
          <w:highlight w:val="none"/>
        </w:rPr>
        <w:sectPr>
          <w:footerReference r:id="rId10" w:type="default"/>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36"/>
        <w:ind w:firstLine="560"/>
        <w:jc w:val="center"/>
        <w:rPr>
          <w:rFonts w:hint="eastAsia" w:ascii="宋体" w:hAnsi="宋体" w:eastAsia="宋体" w:cs="宋体"/>
          <w:b/>
          <w:color w:val="auto"/>
          <w:highlight w:val="none"/>
        </w:rPr>
      </w:pPr>
      <w:r>
        <w:rPr>
          <w:rFonts w:hint="eastAsia" w:ascii="宋体" w:hAnsi="宋体" w:eastAsia="宋体" w:cs="宋体"/>
          <w:b/>
          <w:color w:val="auto"/>
          <w:highlight w:val="none"/>
        </w:rPr>
        <w:t>2、</w:t>
      </w:r>
      <w:bookmarkStart w:id="196" w:name="_Toc15553"/>
      <w:r>
        <w:rPr>
          <w:rFonts w:hint="eastAsia" w:ascii="宋体" w:hAnsi="宋体" w:eastAsia="宋体" w:cs="宋体"/>
          <w:b/>
          <w:color w:val="auto"/>
          <w:highlight w:val="none"/>
        </w:rPr>
        <w:t>谈判内容要求技术/商务偏</w:t>
      </w:r>
      <w:r>
        <w:rPr>
          <w:rFonts w:hint="eastAsia" w:ascii="宋体" w:hAnsi="宋体" w:eastAsia="宋体" w:cs="宋体"/>
          <w:b/>
          <w:color w:val="auto"/>
          <w:highlight w:val="none"/>
          <w:lang w:val="en-US" w:eastAsia="zh-CN"/>
        </w:rPr>
        <w:t>离</w:t>
      </w:r>
      <w:r>
        <w:rPr>
          <w:rFonts w:hint="eastAsia" w:ascii="宋体" w:hAnsi="宋体" w:eastAsia="宋体" w:cs="宋体"/>
          <w:b/>
          <w:color w:val="auto"/>
          <w:highlight w:val="none"/>
        </w:rPr>
        <w:t>表（格式）</w:t>
      </w:r>
    </w:p>
    <w:p>
      <w:pPr>
        <w:pStyle w:val="36"/>
        <w:ind w:firstLineChars="71"/>
        <w:rPr>
          <w:rFonts w:hint="eastAsia" w:ascii="宋体" w:hAnsi="宋体" w:eastAsia="宋体" w:cs="宋体"/>
          <w:b/>
          <w:color w:val="auto"/>
          <w:highlight w:val="none"/>
        </w:rPr>
      </w:pPr>
    </w:p>
    <w:p>
      <w:pPr>
        <w:spacing w:line="400" w:lineRule="atLeast"/>
        <w:rPr>
          <w:rFonts w:hint="eastAsia" w:ascii="宋体" w:hAnsi="宋体" w:eastAsia="宋体" w:cs="宋体"/>
          <w:color w:val="auto"/>
          <w:szCs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tbl>
      <w:tblPr>
        <w:tblStyle w:val="24"/>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exact"/>
              <w:ind w:left="40" w:leftChars="19"/>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2794" w:type="dxa"/>
            <w:tcMar>
              <w:top w:w="57" w:type="dxa"/>
              <w:left w:w="28" w:type="dxa"/>
              <w:bottom w:w="57" w:type="dxa"/>
              <w:right w:w="28" w:type="dxa"/>
            </w:tcMar>
            <w:vAlign w:val="center"/>
          </w:tcPr>
          <w:p>
            <w:pPr>
              <w:spacing w:line="360" w:lineRule="exact"/>
              <w:ind w:left="210" w:leftChars="10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谈判要求技术/商务需求</w:t>
            </w:r>
          </w:p>
        </w:tc>
        <w:tc>
          <w:tcPr>
            <w:tcW w:w="2659" w:type="dxa"/>
            <w:tcMar>
              <w:top w:w="57" w:type="dxa"/>
              <w:left w:w="28" w:type="dxa"/>
              <w:bottom w:w="57" w:type="dxa"/>
              <w:right w:w="28" w:type="dxa"/>
            </w:tcMar>
            <w:vAlign w:val="center"/>
          </w:tcPr>
          <w:p>
            <w:pPr>
              <w:spacing w:line="360" w:lineRule="exact"/>
              <w:jc w:val="center"/>
              <w:rPr>
                <w:rFonts w:hint="eastAsia" w:ascii="宋体" w:hAnsi="宋体" w:eastAsia="宋体" w:cs="宋体"/>
                <w:b/>
                <w:color w:val="auto"/>
                <w:szCs w:val="24"/>
                <w:highlight w:val="none"/>
              </w:rPr>
            </w:pPr>
            <w:r>
              <w:rPr>
                <w:rFonts w:hint="eastAsia" w:ascii="宋体" w:hAnsi="宋体" w:cs="宋体"/>
                <w:b/>
                <w:color w:val="auto"/>
                <w:szCs w:val="24"/>
                <w:highlight w:val="none"/>
                <w:lang w:eastAsia="zh-CN"/>
              </w:rPr>
              <w:t>响应</w:t>
            </w:r>
            <w:r>
              <w:rPr>
                <w:rFonts w:hint="eastAsia" w:ascii="宋体" w:hAnsi="宋体" w:eastAsia="宋体" w:cs="宋体"/>
                <w:b/>
                <w:color w:val="auto"/>
                <w:szCs w:val="24"/>
                <w:highlight w:val="none"/>
              </w:rPr>
              <w:t>技术/商务响应</w:t>
            </w:r>
          </w:p>
        </w:tc>
        <w:tc>
          <w:tcPr>
            <w:tcW w:w="2485" w:type="dxa"/>
            <w:tcMar>
              <w:top w:w="57" w:type="dxa"/>
              <w:left w:w="28" w:type="dxa"/>
              <w:bottom w:w="57" w:type="dxa"/>
              <w:right w:w="28" w:type="dxa"/>
            </w:tcMar>
            <w:vAlign w:val="center"/>
          </w:tcPr>
          <w:p>
            <w:pPr>
              <w:spacing w:line="360" w:lineRule="exact"/>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Borders>
              <w:bottom w:val="single" w:color="auto" w:sz="4" w:space="0"/>
            </w:tcBorders>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Borders>
              <w:bottom w:val="single" w:color="auto" w:sz="4" w:space="0"/>
            </w:tcBorders>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Cs w:val="24"/>
                <w:highlight w:val="none"/>
              </w:rPr>
            </w:pPr>
          </w:p>
        </w:tc>
        <w:tc>
          <w:tcPr>
            <w:tcW w:w="2485" w:type="dxa"/>
            <w:tcMar>
              <w:top w:w="57" w:type="dxa"/>
              <w:left w:w="28" w:type="dxa"/>
              <w:bottom w:w="57" w:type="dxa"/>
              <w:right w:w="28" w:type="dxa"/>
            </w:tcMar>
            <w:vAlign w:val="center"/>
          </w:tcPr>
          <w:p>
            <w:pPr>
              <w:spacing w:line="480" w:lineRule="exact"/>
              <w:rPr>
                <w:rFonts w:hint="eastAsia" w:ascii="宋体" w:hAnsi="宋体" w:eastAsia="宋体" w:cs="宋体"/>
                <w:color w:val="auto"/>
                <w:szCs w:val="24"/>
                <w:highlight w:val="none"/>
              </w:rPr>
            </w:pPr>
          </w:p>
        </w:tc>
      </w:tr>
    </w:tbl>
    <w:p>
      <w:pPr>
        <w:spacing w:line="360" w:lineRule="auto"/>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注：1、</w:t>
      </w:r>
      <w:r>
        <w:rPr>
          <w:rFonts w:hint="eastAsia" w:ascii="宋体" w:hAnsi="宋体" w:eastAsia="宋体" w:cs="宋体"/>
          <w:b/>
          <w:color w:val="auto"/>
          <w:szCs w:val="24"/>
          <w:highlight w:val="none"/>
          <w:u w:val="single"/>
          <w:lang w:val="en-US" w:eastAsia="zh-CN"/>
        </w:rPr>
        <w:t>供应商应按采购清单逐条填写技术条款并响应，响应的产品参数条款不得直接复制采购要求，应按所投产品实际参数指标进行响应</w:t>
      </w:r>
      <w:r>
        <w:rPr>
          <w:rFonts w:hint="eastAsia" w:ascii="宋体" w:hAnsi="宋体" w:eastAsia="宋体" w:cs="宋体"/>
          <w:b/>
          <w:color w:val="auto"/>
          <w:szCs w:val="24"/>
          <w:highlight w:val="none"/>
          <w:lang w:val="en-US" w:eastAsia="zh-CN"/>
        </w:rPr>
        <w:t>；</w:t>
      </w:r>
    </w:p>
    <w:p>
      <w:pPr>
        <w:pStyle w:val="12"/>
        <w:numPr>
          <w:ilvl w:val="0"/>
          <w:numId w:val="8"/>
        </w:numPr>
        <w:spacing w:line="360" w:lineRule="auto"/>
        <w:rPr>
          <w:rFonts w:hint="eastAsia" w:ascii="宋体" w:hAnsi="宋体" w:eastAsia="宋体" w:cs="宋体"/>
          <w:b/>
          <w:color w:val="auto"/>
          <w:sz w:val="21"/>
          <w:szCs w:val="20"/>
          <w:highlight w:val="none"/>
          <w:lang w:val="en-US" w:eastAsia="zh-CN"/>
        </w:rPr>
      </w:pPr>
      <w:r>
        <w:rPr>
          <w:rFonts w:hint="eastAsia" w:ascii="宋体" w:hAnsi="宋体" w:cs="宋体"/>
          <w:b/>
          <w:color w:val="auto"/>
          <w:sz w:val="21"/>
          <w:szCs w:val="20"/>
          <w:highlight w:val="none"/>
          <w:lang w:val="en-US" w:eastAsia="zh-CN"/>
        </w:rPr>
        <w:t>商务条款偏离情况须对</w:t>
      </w:r>
      <w:r>
        <w:rPr>
          <w:rFonts w:hint="eastAsia" w:ascii="宋体" w:hAnsi="宋体" w:cs="宋体"/>
          <w:b/>
          <w:color w:val="auto"/>
          <w:sz w:val="21"/>
          <w:szCs w:val="20"/>
          <w:highlight w:val="none"/>
          <w:u w:val="single"/>
          <w:shd w:val="clear"/>
          <w:lang w:val="en-US" w:eastAsia="zh-CN"/>
        </w:rPr>
        <w:t>交货安装期、质保期、付款方式</w:t>
      </w:r>
      <w:r>
        <w:rPr>
          <w:rFonts w:hint="eastAsia" w:ascii="宋体" w:hAnsi="宋体" w:cs="宋体"/>
          <w:b/>
          <w:color w:val="auto"/>
          <w:sz w:val="21"/>
          <w:szCs w:val="20"/>
          <w:highlight w:val="none"/>
          <w:shd w:val="clear"/>
          <w:lang w:val="en-US" w:eastAsia="zh-CN"/>
        </w:rPr>
        <w:t>条款进</w:t>
      </w:r>
      <w:r>
        <w:rPr>
          <w:rFonts w:hint="eastAsia" w:ascii="宋体" w:hAnsi="宋体" w:cs="宋体"/>
          <w:b/>
          <w:color w:val="auto"/>
          <w:sz w:val="21"/>
          <w:szCs w:val="20"/>
          <w:highlight w:val="none"/>
          <w:lang w:val="en-US" w:eastAsia="zh-CN"/>
        </w:rPr>
        <w:t>行明确响应，其他</w:t>
      </w:r>
      <w:r>
        <w:rPr>
          <w:rFonts w:hint="eastAsia" w:ascii="宋体" w:hAnsi="宋体" w:eastAsia="宋体" w:cs="宋体"/>
          <w:b/>
          <w:color w:val="auto"/>
          <w:sz w:val="21"/>
          <w:szCs w:val="20"/>
          <w:highlight w:val="none"/>
          <w:lang w:val="en-US" w:eastAsia="zh-CN"/>
        </w:rPr>
        <w:t>未列明商务</w:t>
      </w:r>
      <w:r>
        <w:rPr>
          <w:rFonts w:hint="eastAsia" w:ascii="宋体" w:hAnsi="宋体" w:cs="宋体"/>
          <w:b/>
          <w:color w:val="auto"/>
          <w:sz w:val="21"/>
          <w:szCs w:val="20"/>
          <w:highlight w:val="none"/>
          <w:lang w:val="en-US" w:eastAsia="zh-CN"/>
        </w:rPr>
        <w:t>条款</w:t>
      </w:r>
      <w:r>
        <w:rPr>
          <w:rFonts w:hint="eastAsia" w:ascii="宋体" w:hAnsi="宋体" w:eastAsia="宋体" w:cs="宋体"/>
          <w:b/>
          <w:color w:val="auto"/>
          <w:sz w:val="21"/>
          <w:szCs w:val="20"/>
          <w:highlight w:val="none"/>
          <w:lang w:val="en-US" w:eastAsia="zh-CN"/>
        </w:rPr>
        <w:t>视为全部响应谈判文件要求；</w:t>
      </w:r>
    </w:p>
    <w:p>
      <w:pPr>
        <w:pStyle w:val="12"/>
        <w:numPr>
          <w:ilvl w:val="0"/>
          <w:numId w:val="8"/>
        </w:numPr>
        <w:spacing w:line="360" w:lineRule="auto"/>
        <w:rPr>
          <w:rFonts w:hint="eastAsia" w:ascii="宋体" w:hAnsi="宋体" w:eastAsia="宋体" w:cs="宋体"/>
          <w:b/>
          <w:color w:val="auto"/>
          <w:sz w:val="21"/>
          <w:szCs w:val="20"/>
          <w:highlight w:val="none"/>
          <w:lang w:val="en-US" w:eastAsia="zh-CN"/>
        </w:rPr>
      </w:pPr>
      <w:r>
        <w:rPr>
          <w:rFonts w:hint="eastAsia" w:ascii="宋体" w:hAnsi="宋体" w:eastAsia="宋体" w:cs="宋体"/>
          <w:b/>
          <w:color w:val="auto"/>
          <w:sz w:val="21"/>
          <w:szCs w:val="20"/>
          <w:highlight w:val="none"/>
          <w:lang w:val="en-US" w:eastAsia="zh-CN"/>
        </w:rPr>
        <w:t>如列明技术响应情况有重要条款的缺漏项，</w:t>
      </w:r>
      <w:r>
        <w:rPr>
          <w:rFonts w:hint="eastAsia" w:ascii="宋体" w:hAnsi="宋体" w:eastAsia="宋体" w:cs="宋体"/>
          <w:b/>
          <w:color w:val="auto"/>
          <w:kern w:val="2"/>
          <w:sz w:val="21"/>
          <w:szCs w:val="20"/>
          <w:highlight w:val="none"/>
          <w:lang w:val="en-US" w:eastAsia="zh-CN" w:bidi="ar-SA"/>
        </w:rPr>
        <w:t>谈判小组</w:t>
      </w:r>
      <w:r>
        <w:rPr>
          <w:rFonts w:hint="eastAsia" w:ascii="宋体" w:hAnsi="宋体" w:cs="宋体"/>
          <w:b/>
          <w:color w:val="auto"/>
          <w:kern w:val="2"/>
          <w:sz w:val="21"/>
          <w:szCs w:val="20"/>
          <w:highlight w:val="none"/>
          <w:lang w:val="en-US" w:eastAsia="zh-CN" w:bidi="ar-SA"/>
        </w:rPr>
        <w:t>可认定为重大偏离，按</w:t>
      </w:r>
      <w:r>
        <w:rPr>
          <w:rFonts w:hint="eastAsia" w:ascii="宋体" w:hAnsi="宋体" w:eastAsia="宋体" w:cs="宋体"/>
          <w:b/>
          <w:color w:val="auto"/>
          <w:kern w:val="2"/>
          <w:sz w:val="21"/>
          <w:szCs w:val="20"/>
          <w:highlight w:val="none"/>
          <w:lang w:val="en-US" w:eastAsia="zh-CN" w:bidi="ar-SA"/>
        </w:rPr>
        <w:t>无效标</w:t>
      </w:r>
      <w:r>
        <w:rPr>
          <w:rFonts w:hint="eastAsia" w:ascii="宋体" w:hAnsi="宋体" w:cs="宋体"/>
          <w:b/>
          <w:color w:val="auto"/>
          <w:kern w:val="2"/>
          <w:sz w:val="21"/>
          <w:szCs w:val="20"/>
          <w:highlight w:val="none"/>
          <w:lang w:val="en-US" w:eastAsia="zh-CN" w:bidi="ar-SA"/>
        </w:rPr>
        <w:t>处理</w:t>
      </w:r>
      <w:r>
        <w:rPr>
          <w:rFonts w:hint="eastAsia" w:ascii="宋体" w:hAnsi="宋体" w:eastAsia="宋体" w:cs="宋体"/>
          <w:b/>
          <w:color w:val="auto"/>
          <w:sz w:val="21"/>
          <w:szCs w:val="20"/>
          <w:highlight w:val="none"/>
          <w:lang w:val="en-US" w:eastAsia="zh-CN"/>
        </w:rPr>
        <w:t>；</w:t>
      </w:r>
    </w:p>
    <w:p>
      <w:pPr>
        <w:numPr>
          <w:ilvl w:val="0"/>
          <w:numId w:val="8"/>
        </w:numPr>
        <w:spacing w:line="360" w:lineRule="auto"/>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t>当本表参数响应内容与证明材料不一致，谈判小组</w:t>
      </w:r>
      <w:r>
        <w:rPr>
          <w:rFonts w:hint="eastAsia" w:ascii="宋体" w:hAnsi="宋体" w:cs="宋体"/>
          <w:b/>
          <w:color w:val="auto"/>
          <w:kern w:val="2"/>
          <w:sz w:val="21"/>
          <w:szCs w:val="20"/>
          <w:highlight w:val="none"/>
          <w:lang w:val="en-US" w:eastAsia="zh-CN" w:bidi="ar-SA"/>
        </w:rPr>
        <w:t>可认定为虚假响应，按</w:t>
      </w:r>
      <w:r>
        <w:rPr>
          <w:rFonts w:hint="eastAsia" w:ascii="宋体" w:hAnsi="宋体" w:eastAsia="宋体" w:cs="宋体"/>
          <w:b/>
          <w:color w:val="auto"/>
          <w:kern w:val="2"/>
          <w:sz w:val="21"/>
          <w:szCs w:val="20"/>
          <w:highlight w:val="none"/>
          <w:lang w:val="en-US" w:eastAsia="zh-CN" w:bidi="ar-SA"/>
        </w:rPr>
        <w:t>无效标</w:t>
      </w:r>
      <w:r>
        <w:rPr>
          <w:rFonts w:hint="eastAsia" w:ascii="宋体" w:hAnsi="宋体" w:cs="宋体"/>
          <w:b/>
          <w:color w:val="auto"/>
          <w:kern w:val="2"/>
          <w:sz w:val="21"/>
          <w:szCs w:val="20"/>
          <w:highlight w:val="none"/>
          <w:lang w:val="en-US" w:eastAsia="zh-CN" w:bidi="ar-SA"/>
        </w:rPr>
        <w:t>处理</w:t>
      </w:r>
      <w:r>
        <w:rPr>
          <w:rFonts w:hint="eastAsia" w:ascii="宋体" w:hAnsi="宋体" w:eastAsia="宋体" w:cs="宋体"/>
          <w:b/>
          <w:color w:val="auto"/>
          <w:kern w:val="2"/>
          <w:sz w:val="21"/>
          <w:szCs w:val="20"/>
          <w:highlight w:val="none"/>
          <w:lang w:val="en-US" w:eastAsia="zh-CN" w:bidi="ar-SA"/>
        </w:rPr>
        <w:t>；</w:t>
      </w:r>
    </w:p>
    <w:p>
      <w:pPr>
        <w:numPr>
          <w:ilvl w:val="0"/>
          <w:numId w:val="8"/>
        </w:numPr>
        <w:spacing w:line="360" w:lineRule="auto"/>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t>供应商应提供</w:t>
      </w:r>
      <w:r>
        <w:rPr>
          <w:rFonts w:hint="eastAsia" w:ascii="宋体" w:hAnsi="宋体" w:cs="宋体"/>
          <w:b/>
          <w:color w:val="auto"/>
          <w:kern w:val="2"/>
          <w:sz w:val="21"/>
          <w:szCs w:val="20"/>
          <w:highlight w:val="none"/>
          <w:lang w:val="en-US" w:eastAsia="zh-CN" w:bidi="ar-SA"/>
        </w:rPr>
        <w:t>采购文件要求要求的</w:t>
      </w:r>
      <w:r>
        <w:rPr>
          <w:rFonts w:hint="eastAsia" w:ascii="宋体" w:hAnsi="宋体" w:eastAsia="宋体" w:cs="宋体"/>
          <w:b/>
          <w:color w:val="auto"/>
          <w:kern w:val="2"/>
          <w:sz w:val="21"/>
          <w:szCs w:val="20"/>
          <w:highlight w:val="none"/>
          <w:lang w:val="en-US" w:eastAsia="zh-CN" w:bidi="ar-SA"/>
        </w:rPr>
        <w:t>产品证明资料（如产品彩页、检测报告、功能截图）。</w:t>
      </w:r>
    </w:p>
    <w:p>
      <w:pPr>
        <w:spacing w:line="480" w:lineRule="auto"/>
        <w:ind w:right="-161" w:firstLine="2640" w:firstLineChars="1100"/>
        <w:rPr>
          <w:rFonts w:hint="eastAsia" w:ascii="宋体" w:hAnsi="宋体" w:eastAsia="宋体" w:cs="宋体"/>
          <w:color w:val="auto"/>
          <w:sz w:val="24"/>
          <w:szCs w:val="24"/>
          <w:highlight w:val="none"/>
        </w:rPr>
      </w:pPr>
    </w:p>
    <w:p>
      <w:pPr>
        <w:spacing w:line="480" w:lineRule="auto"/>
        <w:ind w:right="-161" w:firstLine="2640" w:firstLineChars="1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u w:val="single"/>
        </w:rPr>
        <w:t xml:space="preserve">                      </w:t>
      </w: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u w:val="single"/>
        </w:rPr>
        <w:t xml:space="preserve">      </w:t>
      </w:r>
    </w:p>
    <w:p>
      <w:pPr>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pPr>
        <w:pStyle w:val="36"/>
        <w:numPr>
          <w:ilvl w:val="0"/>
          <w:numId w:val="9"/>
        </w:numPr>
        <w:ind w:firstLine="562"/>
        <w:jc w:val="center"/>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谈判文件要求</w:t>
      </w:r>
      <w:r>
        <w:rPr>
          <w:rFonts w:hint="eastAsia" w:ascii="宋体" w:hAnsi="宋体" w:eastAsia="宋体" w:cs="宋体"/>
          <w:b/>
          <w:color w:val="auto"/>
          <w:highlight w:val="none"/>
          <w:u w:val="single"/>
          <w:lang w:val="en-US" w:eastAsia="zh-CN"/>
        </w:rPr>
        <w:t>提供的检测报告、功能截图</w:t>
      </w:r>
    </w:p>
    <w:p>
      <w:pPr>
        <w:pStyle w:val="12"/>
        <w:numPr>
          <w:ilvl w:val="0"/>
          <w:numId w:val="0"/>
        </w:numPr>
        <w:spacing w:line="360" w:lineRule="auto"/>
        <w:rPr>
          <w:rFonts w:hint="eastAsia" w:ascii="宋体" w:hAnsi="宋体" w:eastAsia="宋体" w:cs="宋体"/>
          <w:b/>
          <w:color w:val="auto"/>
          <w:sz w:val="21"/>
          <w:szCs w:val="20"/>
          <w:highlight w:val="none"/>
          <w:lang w:val="en-US" w:eastAsia="zh-CN"/>
        </w:rPr>
      </w:pPr>
    </w:p>
    <w:p>
      <w:pPr>
        <w:pStyle w:val="3"/>
        <w:rPr>
          <w:rFonts w:hint="eastAsia" w:ascii="宋体" w:hAnsi="宋体" w:eastAsia="宋体" w:cs="宋体"/>
          <w:color w:val="auto"/>
          <w:szCs w:val="24"/>
          <w:highlight w:val="none"/>
        </w:rPr>
      </w:pPr>
    </w:p>
    <w:p>
      <w:pPr>
        <w:pStyle w:val="3"/>
        <w:numPr>
          <w:ilvl w:val="0"/>
          <w:numId w:val="10"/>
        </w:numPr>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所附资料抬头须列</w:t>
      </w:r>
      <w:r>
        <w:rPr>
          <w:rFonts w:hint="eastAsia" w:ascii="宋体" w:hAnsi="宋体" w:eastAsia="宋体" w:cs="宋体"/>
          <w:b/>
          <w:bCs/>
          <w:color w:val="auto"/>
          <w:sz w:val="24"/>
          <w:szCs w:val="32"/>
          <w:highlight w:val="none"/>
          <w:u w:val="single"/>
          <w:lang w:val="en-US" w:eastAsia="zh-CN"/>
        </w:rPr>
        <w:t>醒目标题</w:t>
      </w:r>
      <w:r>
        <w:rPr>
          <w:rFonts w:hint="eastAsia" w:ascii="宋体" w:hAnsi="宋体" w:eastAsia="宋体" w:cs="宋体"/>
          <w:b w:val="0"/>
          <w:bCs w:val="0"/>
          <w:color w:val="auto"/>
          <w:sz w:val="24"/>
          <w:szCs w:val="32"/>
          <w:highlight w:val="none"/>
          <w:lang w:val="en-US" w:eastAsia="zh-CN"/>
        </w:rPr>
        <w:t>并同步至总目录，写明是针对哪一项产品的功能提供的材料。</w:t>
      </w:r>
    </w:p>
    <w:p>
      <w:pPr>
        <w:pStyle w:val="3"/>
        <w:numPr>
          <w:ilvl w:val="0"/>
          <w:numId w:val="10"/>
        </w:numPr>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依次按产品序号顺序提供证明材料</w:t>
      </w:r>
      <w:r>
        <w:rPr>
          <w:rFonts w:hint="eastAsia" w:ascii="宋体" w:hAnsi="宋体" w:cs="宋体"/>
          <w:b/>
          <w:bCs/>
          <w:color w:val="auto"/>
          <w:sz w:val="24"/>
          <w:szCs w:val="32"/>
          <w:highlight w:val="none"/>
          <w:lang w:val="en-US" w:eastAsia="zh-CN"/>
        </w:rPr>
        <w:t>。</w:t>
      </w:r>
    </w:p>
    <w:p>
      <w:pPr>
        <w:pStyle w:val="3"/>
        <w:rPr>
          <w:rFonts w:hint="eastAsia" w:ascii="宋体" w:hAnsi="宋体" w:eastAsia="宋体" w:cs="宋体"/>
          <w:color w:val="auto"/>
          <w:szCs w:val="24"/>
          <w:highlight w:val="none"/>
        </w:rPr>
      </w:pPr>
    </w:p>
    <w:p>
      <w:pPr>
        <w:pStyle w:val="3"/>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pPr>
        <w:pStyle w:val="3"/>
        <w:ind w:left="0" w:leftChars="0" w:firstLine="0" w:firstLineChars="0"/>
        <w:rPr>
          <w:rFonts w:hint="eastAsia" w:ascii="宋体" w:hAnsi="宋体" w:eastAsia="宋体" w:cs="宋体"/>
          <w:color w:val="auto"/>
          <w:szCs w:val="24"/>
          <w:highlight w:val="none"/>
        </w:rPr>
      </w:pPr>
    </w:p>
    <w:p>
      <w:pPr>
        <w:pStyle w:val="36"/>
        <w:numPr>
          <w:ilvl w:val="0"/>
          <w:numId w:val="9"/>
        </w:numPr>
        <w:ind w:firstLine="562"/>
        <w:jc w:val="center"/>
        <w:rPr>
          <w:rFonts w:hint="eastAsia" w:ascii="宋体" w:hAnsi="宋体" w:eastAsia="宋体" w:cs="宋体"/>
          <w:b/>
          <w:color w:val="auto"/>
          <w:highlight w:val="none"/>
        </w:rPr>
      </w:pPr>
      <w:r>
        <w:rPr>
          <w:rFonts w:hint="eastAsia" w:ascii="宋体" w:hAnsi="宋体" w:eastAsia="宋体" w:cs="宋体"/>
          <w:b/>
          <w:color w:val="auto"/>
          <w:highlight w:val="none"/>
        </w:rPr>
        <w:t>所投产品常用耗材一览表</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如有</w:t>
      </w:r>
      <w:r>
        <w:rPr>
          <w:rFonts w:hint="eastAsia" w:ascii="宋体" w:hAnsi="宋体" w:eastAsia="宋体" w:cs="宋体"/>
          <w:b/>
          <w:color w:val="auto"/>
          <w:highlight w:val="none"/>
          <w:lang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1744"/>
        <w:gridCol w:w="1744"/>
        <w:gridCol w:w="1744"/>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6"/>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耗材名称</w:t>
            </w:r>
          </w:p>
        </w:tc>
        <w:tc>
          <w:tcPr>
            <w:tcW w:w="1744" w:type="dxa"/>
          </w:tcPr>
          <w:p>
            <w:pPr>
              <w:pStyle w:val="36"/>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对应产品</w:t>
            </w:r>
          </w:p>
        </w:tc>
        <w:tc>
          <w:tcPr>
            <w:tcW w:w="1744" w:type="dxa"/>
          </w:tcPr>
          <w:p>
            <w:pPr>
              <w:pStyle w:val="36"/>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规格型号</w:t>
            </w:r>
          </w:p>
        </w:tc>
        <w:tc>
          <w:tcPr>
            <w:tcW w:w="1744" w:type="dxa"/>
          </w:tcPr>
          <w:p>
            <w:pPr>
              <w:pStyle w:val="36"/>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tc>
        <w:tc>
          <w:tcPr>
            <w:tcW w:w="1744" w:type="dxa"/>
          </w:tcPr>
          <w:p>
            <w:pPr>
              <w:pStyle w:val="36"/>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6"/>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c>
          <w:tcPr>
            <w:tcW w:w="1744" w:type="dxa"/>
          </w:tcPr>
          <w:p>
            <w:pPr>
              <w:pStyle w:val="36"/>
              <w:ind w:firstLine="0" w:firstLineChars="0"/>
              <w:rPr>
                <w:rFonts w:hint="eastAsia" w:ascii="宋体" w:hAnsi="宋体" w:eastAsia="宋体" w:cs="宋体"/>
                <w:b/>
                <w:color w:val="auto"/>
                <w:sz w:val="24"/>
                <w:szCs w:val="24"/>
                <w:highlight w:val="none"/>
              </w:rPr>
            </w:pPr>
          </w:p>
        </w:tc>
      </w:tr>
    </w:tbl>
    <w:p>
      <w:pPr>
        <w:pStyle w:val="36"/>
        <w:ind w:firstLine="0" w:firstLineChars="0"/>
        <w:rPr>
          <w:rFonts w:hint="eastAsia" w:ascii="宋体" w:hAnsi="宋体" w:eastAsia="宋体" w:cs="宋体"/>
          <w:b/>
          <w:color w:val="auto"/>
          <w:highlight w:val="none"/>
        </w:rPr>
      </w:pPr>
    </w:p>
    <w:p>
      <w:pPr>
        <w:spacing w:line="480" w:lineRule="auto"/>
        <w:ind w:right="-161" w:firstLine="2640" w:firstLineChars="1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u w:val="single"/>
        </w:rPr>
        <w:t xml:space="preserve">      </w:t>
      </w:r>
    </w:p>
    <w:p>
      <w:pPr>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480" w:lineRule="exact"/>
        <w:rPr>
          <w:rFonts w:hint="eastAsia" w:ascii="宋体" w:hAnsi="宋体" w:eastAsia="宋体" w:cs="宋体"/>
          <w:color w:val="auto"/>
          <w:szCs w:val="24"/>
          <w:highlight w:val="none"/>
        </w:rPr>
        <w:sectPr>
          <w:footerReference r:id="rId11" w:type="default"/>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widowControl/>
        <w:jc w:val="left"/>
        <w:rPr>
          <w:rFonts w:hint="eastAsia" w:ascii="宋体" w:hAnsi="宋体" w:eastAsia="宋体" w:cs="宋体"/>
          <w:b/>
          <w:color w:val="auto"/>
          <w:kern w:val="0"/>
          <w:sz w:val="28"/>
          <w:highlight w:val="none"/>
        </w:rPr>
      </w:pPr>
    </w:p>
    <w:bookmarkEnd w:id="187"/>
    <w:bookmarkEnd w:id="188"/>
    <w:bookmarkEnd w:id="189"/>
    <w:bookmarkEnd w:id="190"/>
    <w:bookmarkEnd w:id="191"/>
    <w:bookmarkEnd w:id="192"/>
    <w:bookmarkEnd w:id="193"/>
    <w:bookmarkEnd w:id="194"/>
    <w:bookmarkEnd w:id="195"/>
    <w:bookmarkEnd w:id="196"/>
    <w:p>
      <w:pPr>
        <w:rPr>
          <w:rFonts w:hint="eastAsia" w:ascii="宋体" w:hAnsi="宋体" w:eastAsia="宋体" w:cs="宋体"/>
          <w:color w:val="auto"/>
          <w:highlight w:val="none"/>
        </w:rPr>
      </w:pPr>
      <w:bookmarkStart w:id="197" w:name="_Toc497546930"/>
      <w:bookmarkStart w:id="198" w:name="_Toc167595494"/>
      <w:bookmarkStart w:id="199" w:name="_Toc497551832"/>
      <w:bookmarkStart w:id="200" w:name="_Toc492955471"/>
      <w:bookmarkStart w:id="201" w:name="_Toc173809567"/>
      <w:bookmarkStart w:id="202" w:name="_Toc497711597"/>
      <w:bookmarkStart w:id="203" w:name="_Toc246928970"/>
      <w:bookmarkStart w:id="204" w:name="_Toc497712145"/>
    </w:p>
    <w:bookmarkEnd w:id="197"/>
    <w:bookmarkEnd w:id="198"/>
    <w:bookmarkEnd w:id="199"/>
    <w:bookmarkEnd w:id="200"/>
    <w:bookmarkEnd w:id="201"/>
    <w:bookmarkEnd w:id="202"/>
    <w:bookmarkEnd w:id="203"/>
    <w:bookmarkEnd w:id="204"/>
    <w:p>
      <w:pPr>
        <w:pStyle w:val="5"/>
        <w:ind w:firstLine="562"/>
        <w:rPr>
          <w:rFonts w:hint="eastAsia" w:ascii="宋体" w:hAnsi="宋体" w:eastAsia="宋体" w:cs="宋体"/>
          <w:color w:val="auto"/>
          <w:sz w:val="24"/>
          <w:szCs w:val="24"/>
          <w:highlight w:val="none"/>
        </w:rPr>
      </w:pPr>
      <w:bookmarkStart w:id="205" w:name="_Toc1244"/>
      <w:bookmarkStart w:id="206" w:name="_Toc519085755"/>
      <w:r>
        <w:rPr>
          <w:rFonts w:hint="eastAsia" w:ascii="宋体" w:hAnsi="宋体" w:eastAsia="宋体" w:cs="宋体"/>
          <w:color w:val="auto"/>
          <w:sz w:val="24"/>
          <w:szCs w:val="24"/>
          <w:highlight w:val="none"/>
        </w:rPr>
        <w:t>五、响应方案</w:t>
      </w:r>
      <w:bookmarkEnd w:id="205"/>
      <w:bookmarkEnd w:id="206"/>
    </w:p>
    <w:p>
      <w:pPr>
        <w:spacing w:line="360" w:lineRule="auto"/>
        <w:ind w:firstLine="480" w:firstLineChars="200"/>
        <w:rPr>
          <w:rFonts w:hint="eastAsia" w:ascii="宋体" w:hAnsi="宋体" w:eastAsia="宋体" w:cs="宋体"/>
          <w:color w:val="auto"/>
          <w:sz w:val="24"/>
          <w:szCs w:val="28"/>
          <w:highlight w:val="none"/>
        </w:rPr>
      </w:pP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谈判响应方案：</w:t>
      </w:r>
    </w:p>
    <w:p>
      <w:pPr>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供应商根据本项目实际情况</w:t>
      </w:r>
      <w:r>
        <w:rPr>
          <w:rFonts w:hint="eastAsia" w:ascii="宋体" w:hAnsi="宋体" w:cs="宋体"/>
          <w:color w:val="auto"/>
          <w:sz w:val="24"/>
          <w:szCs w:val="22"/>
          <w:highlight w:val="none"/>
          <w:lang w:val="en-US" w:eastAsia="zh-CN"/>
        </w:rPr>
        <w:t>及要求</w:t>
      </w:r>
      <w:r>
        <w:rPr>
          <w:rFonts w:hint="eastAsia" w:ascii="宋体" w:hAnsi="宋体" w:eastAsia="宋体" w:cs="宋体"/>
          <w:color w:val="auto"/>
          <w:sz w:val="24"/>
          <w:szCs w:val="22"/>
          <w:highlight w:val="none"/>
        </w:rPr>
        <w:t>编写，格式自拟。</w:t>
      </w: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5"/>
        <w:ind w:firstLine="560"/>
        <w:rPr>
          <w:rFonts w:hint="eastAsia" w:ascii="宋体" w:hAnsi="宋体" w:eastAsia="宋体" w:cs="宋体"/>
          <w:color w:val="auto"/>
          <w:highlight w:val="none"/>
        </w:rPr>
      </w:pPr>
      <w:bookmarkStart w:id="207" w:name="_Toc519085756"/>
      <w:r>
        <w:rPr>
          <w:rFonts w:hint="eastAsia" w:ascii="宋体" w:hAnsi="宋体" w:eastAsia="宋体" w:cs="宋体"/>
          <w:color w:val="auto"/>
          <w:highlight w:val="none"/>
        </w:rPr>
        <w:br w:type="page"/>
      </w:r>
      <w:bookmarkStart w:id="208" w:name="_Toc30363"/>
      <w:r>
        <w:rPr>
          <w:rFonts w:hint="eastAsia" w:ascii="宋体" w:hAnsi="宋体" w:eastAsia="宋体" w:cs="宋体"/>
          <w:color w:val="auto"/>
          <w:sz w:val="24"/>
          <w:szCs w:val="24"/>
          <w:highlight w:val="none"/>
        </w:rPr>
        <w:t>六、供应商资格证明文件及其他</w:t>
      </w:r>
      <w:bookmarkEnd w:id="207"/>
      <w:bookmarkEnd w:id="208"/>
    </w:p>
    <w:p>
      <w:pPr>
        <w:pStyle w:val="20"/>
        <w:spacing w:beforeAutospacing="0" w:afterAutospacing="0"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1、满足《中华人民共和国政府采购法》第二十二条规定</w:t>
      </w:r>
    </w:p>
    <w:p>
      <w:pPr>
        <w:pStyle w:val="20"/>
        <w:spacing w:beforeAutospacing="0" w:afterAutospacing="0"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①.合法有效的企事业法人、其他组织或自然人；</w:t>
      </w:r>
    </w:p>
    <w:p>
      <w:pPr>
        <w:pStyle w:val="20"/>
        <w:spacing w:beforeAutospacing="0" w:afterAutospacing="0"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②.具有良好的商业信誉和健全的财务会计制度；</w:t>
      </w:r>
    </w:p>
    <w:p>
      <w:pPr>
        <w:pStyle w:val="20"/>
        <w:spacing w:beforeAutospacing="0" w:afterAutospacing="0"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③.具有履行合同所必需的设备和专业技术能力；</w:t>
      </w:r>
    </w:p>
    <w:p>
      <w:pPr>
        <w:pStyle w:val="20"/>
        <w:spacing w:beforeAutospacing="0" w:afterAutospacing="0"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④.有依法缴纳税收和社会保障资金的良好记录；</w:t>
      </w:r>
    </w:p>
    <w:p>
      <w:pPr>
        <w:pStyle w:val="20"/>
        <w:spacing w:beforeAutospacing="0" w:afterAutospacing="0"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⑤.近三年内，在经营活动中没有重大违法记录；</w:t>
      </w:r>
    </w:p>
    <w:p>
      <w:pPr>
        <w:pStyle w:val="20"/>
        <w:spacing w:beforeAutospacing="0" w:afterAutospacing="0"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2、本项目的特定资格要求：</w:t>
      </w:r>
    </w:p>
    <w:p>
      <w:pPr>
        <w:pStyle w:val="20"/>
        <w:spacing w:beforeAutospacing="0" w:afterAutospacing="0" w:line="360" w:lineRule="auto"/>
        <w:ind w:firstLine="420"/>
        <w:rPr>
          <w:rFonts w:hint="eastAsia" w:ascii="宋体" w:hAnsi="宋体" w:eastAsia="宋体" w:cs="宋体"/>
          <w:color w:val="auto"/>
          <w:szCs w:val="24"/>
          <w:highlight w:val="none"/>
          <w:lang w:eastAsia="zh-CN"/>
        </w:rPr>
      </w:pPr>
      <w:r>
        <w:rPr>
          <w:rFonts w:hint="eastAsia" w:cs="宋体"/>
          <w:color w:val="auto"/>
          <w:szCs w:val="24"/>
          <w:highlight w:val="none"/>
          <w:lang w:val="en-US" w:eastAsia="zh-CN"/>
        </w:rPr>
        <w:t>①</w:t>
      </w:r>
      <w:r>
        <w:rPr>
          <w:rFonts w:hint="eastAsia" w:ascii="宋体" w:hAnsi="宋体" w:eastAsia="宋体" w:cs="宋体"/>
          <w:color w:val="auto"/>
          <w:szCs w:val="24"/>
          <w:highlight w:val="none"/>
          <w:lang w:eastAsia="zh-CN"/>
        </w:rPr>
        <w:t>.单位负责</w:t>
      </w:r>
      <w:r>
        <w:rPr>
          <w:rFonts w:hint="eastAsia" w:ascii="宋体" w:hAnsi="宋体" w:eastAsia="宋体" w:cs="宋体"/>
          <w:color w:val="auto"/>
          <w:szCs w:val="24"/>
          <w:highlight w:val="none"/>
          <w:lang w:eastAsia="zh-CN"/>
        </w:rPr>
        <w:t>人为同一人或者存在直接控股、管理关系的不同供应商，不得参加本项目采购活动。</w:t>
      </w:r>
      <w:r>
        <w:rPr>
          <w:rFonts w:hint="eastAsia" w:cs="宋体"/>
          <w:color w:val="auto"/>
          <w:szCs w:val="24"/>
          <w:highlight w:val="none"/>
          <w:lang w:val="en-US" w:eastAsia="zh-CN"/>
        </w:rPr>
        <w:t>②</w:t>
      </w:r>
      <w:r>
        <w:rPr>
          <w:rFonts w:hint="eastAsia" w:ascii="宋体" w:hAnsi="宋体" w:eastAsia="宋体" w:cs="宋体"/>
          <w:color w:val="auto"/>
          <w:szCs w:val="24"/>
          <w:highlight w:val="none"/>
          <w:lang w:eastAsia="zh-CN"/>
        </w:rPr>
        <w:t>.</w:t>
      </w:r>
      <w:r>
        <w:rPr>
          <w:rFonts w:hint="eastAsia" w:cs="宋体"/>
          <w:i w:val="0"/>
          <w:iCs w:val="0"/>
          <w:caps w:val="0"/>
          <w:color w:val="auto"/>
          <w:spacing w:val="0"/>
          <w:sz w:val="24"/>
          <w:szCs w:val="24"/>
          <w:highlight w:val="none"/>
          <w:shd w:val="clear" w:fill="FFFFFF"/>
          <w:vertAlign w:val="baseline"/>
          <w:lang w:eastAsia="zh-CN"/>
        </w:rPr>
        <w:t>本项目不专门面向中小企业采购；</w:t>
      </w:r>
      <w:r>
        <w:rPr>
          <w:rFonts w:hint="eastAsia" w:cs="宋体"/>
          <w:i w:val="0"/>
          <w:iCs w:val="0"/>
          <w:caps w:val="0"/>
          <w:color w:val="auto"/>
          <w:spacing w:val="0"/>
          <w:sz w:val="24"/>
          <w:szCs w:val="24"/>
          <w:highlight w:val="none"/>
          <w:shd w:val="clear" w:fill="FFFFFF"/>
          <w:vertAlign w:val="baseline"/>
          <w:lang w:val="en-US" w:eastAsia="zh-CN"/>
        </w:rPr>
        <w:t>③.</w:t>
      </w:r>
      <w:r>
        <w:rPr>
          <w:rFonts w:hint="eastAsia" w:ascii="宋体" w:hAnsi="宋体" w:eastAsia="宋体" w:cs="宋体"/>
          <w:color w:val="auto"/>
          <w:szCs w:val="24"/>
          <w:highlight w:val="none"/>
          <w:lang w:eastAsia="zh-CN"/>
        </w:rPr>
        <w:t>本项目不接受联合体参与。</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6"/>
        <w:rPr>
          <w:rFonts w:hint="eastAsia" w:ascii="宋体" w:hAnsi="宋体" w:eastAsia="宋体" w:cs="宋体"/>
          <w:color w:val="auto"/>
          <w:sz w:val="24"/>
          <w:szCs w:val="24"/>
          <w:highlight w:val="none"/>
        </w:rPr>
      </w:pPr>
      <w:bookmarkStart w:id="209" w:name="_Toc332805171"/>
      <w:bookmarkStart w:id="210" w:name="_Toc332805616"/>
      <w:bookmarkStart w:id="211" w:name="_Toc332805172"/>
      <w:bookmarkStart w:id="212" w:name="_Toc332805617"/>
      <w:r>
        <w:rPr>
          <w:rFonts w:hint="eastAsia" w:ascii="宋体" w:hAnsi="宋体" w:eastAsia="宋体" w:cs="宋体"/>
          <w:color w:val="auto"/>
          <w:sz w:val="24"/>
          <w:szCs w:val="24"/>
          <w:highlight w:val="none"/>
        </w:rPr>
        <w:t>1、满足《中华人民共和国政府采购法》第二十二条规定</w:t>
      </w:r>
    </w:p>
    <w:p>
      <w:pPr>
        <w:tabs>
          <w:tab w:val="left" w:pos="5580"/>
        </w:tabs>
        <w:spacing w:before="120" w:line="360" w:lineRule="auto"/>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①.合法有效的企事业法人、其他组织或自然人；</w:t>
      </w:r>
    </w:p>
    <w:p>
      <w:pPr>
        <w:pStyle w:val="14"/>
        <w:tabs>
          <w:tab w:val="left" w:pos="5580"/>
        </w:tabs>
        <w:spacing w:before="120" w:line="360" w:lineRule="auto"/>
        <w:rPr>
          <w:rFonts w:hint="eastAsia" w:ascii="宋体" w:hAnsi="宋体" w:eastAsia="宋体" w:cs="宋体"/>
          <w:b/>
          <w:color w:val="auto"/>
          <w:szCs w:val="24"/>
          <w:highlight w:val="none"/>
        </w:rPr>
      </w:pPr>
    </w:p>
    <w:p>
      <w:pPr>
        <w:pStyle w:val="14"/>
        <w:tabs>
          <w:tab w:val="left" w:pos="5580"/>
        </w:tabs>
        <w:spacing w:before="120" w:line="360" w:lineRule="auto"/>
        <w:rPr>
          <w:rFonts w:hint="eastAsia" w:ascii="宋体" w:hAnsi="宋体" w:eastAsia="宋体" w:cs="宋体"/>
          <w:b/>
          <w:color w:val="auto"/>
          <w:szCs w:val="24"/>
          <w:highlight w:val="none"/>
        </w:rPr>
      </w:pPr>
    </w:p>
    <w:p>
      <w:pPr>
        <w:pStyle w:val="14"/>
        <w:tabs>
          <w:tab w:val="left" w:pos="5580"/>
        </w:tabs>
        <w:spacing w:before="120" w:line="360" w:lineRule="auto"/>
        <w:ind w:firstLine="352" w:firstLineChars="147"/>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w:t>
      </w:r>
    </w:p>
    <w:p>
      <w:pPr>
        <w:pStyle w:val="14"/>
        <w:tabs>
          <w:tab w:val="left" w:pos="5580"/>
        </w:tabs>
        <w:spacing w:before="120" w:line="360" w:lineRule="auto"/>
        <w:ind w:firstLine="352" w:firstLineChars="147"/>
        <w:rPr>
          <w:rFonts w:hint="eastAsia" w:ascii="宋体" w:hAnsi="宋体" w:eastAsia="宋体" w:cs="宋体"/>
          <w:color w:val="auto"/>
          <w:szCs w:val="24"/>
          <w:highlight w:val="none"/>
        </w:rPr>
      </w:pPr>
      <w:r>
        <w:rPr>
          <w:rFonts w:hint="eastAsia" w:ascii="宋体" w:hAnsi="宋体" w:eastAsia="宋体" w:cs="宋体"/>
          <w:color w:val="auto"/>
          <w:szCs w:val="24"/>
          <w:highlight w:val="none"/>
        </w:rPr>
        <w:t>1、如供应商是企业（包括合伙企业），应提供在工商部门注册的有效“企业法人营业执照”或“营业执照”；</w:t>
      </w:r>
    </w:p>
    <w:p>
      <w:pPr>
        <w:pStyle w:val="14"/>
        <w:tabs>
          <w:tab w:val="left" w:pos="5580"/>
        </w:tabs>
        <w:spacing w:before="120" w:line="360" w:lineRule="auto"/>
        <w:ind w:firstLine="352" w:firstLineChars="147"/>
        <w:rPr>
          <w:rFonts w:hint="eastAsia" w:ascii="宋体" w:hAnsi="宋体" w:eastAsia="宋体" w:cs="宋体"/>
          <w:color w:val="auto"/>
          <w:szCs w:val="24"/>
          <w:highlight w:val="none"/>
        </w:rPr>
      </w:pPr>
      <w:r>
        <w:rPr>
          <w:rFonts w:hint="eastAsia" w:ascii="宋体" w:hAnsi="宋体" w:eastAsia="宋体" w:cs="宋体"/>
          <w:color w:val="auto"/>
          <w:szCs w:val="24"/>
          <w:highlight w:val="none"/>
        </w:rPr>
        <w:t>2、如供应商是事业单位，应提供有效的“事业单位法人证书”；</w:t>
      </w:r>
    </w:p>
    <w:p>
      <w:pPr>
        <w:pStyle w:val="14"/>
        <w:tabs>
          <w:tab w:val="left" w:pos="5580"/>
        </w:tabs>
        <w:spacing w:before="120" w:line="360" w:lineRule="auto"/>
        <w:ind w:firstLine="352" w:firstLineChars="147"/>
        <w:rPr>
          <w:rFonts w:hint="eastAsia" w:ascii="宋体" w:hAnsi="宋体" w:eastAsia="宋体" w:cs="宋体"/>
          <w:color w:val="auto"/>
          <w:szCs w:val="24"/>
          <w:highlight w:val="none"/>
        </w:rPr>
      </w:pPr>
      <w:r>
        <w:rPr>
          <w:rFonts w:hint="eastAsia" w:ascii="宋体" w:hAnsi="宋体" w:eastAsia="宋体" w:cs="宋体"/>
          <w:color w:val="auto"/>
          <w:szCs w:val="24"/>
          <w:highlight w:val="none"/>
        </w:rPr>
        <w:t>3、如供应商是个体工商户，应提供有效的“个体工商户营业执照”；</w:t>
      </w:r>
    </w:p>
    <w:p>
      <w:pPr>
        <w:pStyle w:val="14"/>
        <w:tabs>
          <w:tab w:val="left" w:pos="5580"/>
        </w:tabs>
        <w:spacing w:before="120" w:line="360" w:lineRule="auto"/>
        <w:ind w:firstLine="352" w:firstLineChars="147"/>
        <w:rPr>
          <w:rFonts w:hint="eastAsia" w:ascii="宋体" w:hAnsi="宋体" w:eastAsia="宋体" w:cs="宋体"/>
          <w:color w:val="auto"/>
          <w:szCs w:val="24"/>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、如供应商为自然人，应提供有效的自然人身份证明。</w:t>
      </w:r>
    </w:p>
    <w:p>
      <w:pPr>
        <w:pStyle w:val="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法定代表人证明书</w:t>
      </w:r>
      <w:r>
        <w:rPr>
          <w:rFonts w:hint="eastAsia" w:ascii="宋体" w:hAnsi="宋体" w:eastAsia="宋体" w:cs="宋体"/>
          <w:color w:val="auto"/>
          <w:sz w:val="24"/>
          <w:szCs w:val="24"/>
          <w:highlight w:val="none"/>
        </w:rPr>
        <w:t>或授权委托书</w:t>
      </w:r>
    </w:p>
    <w:p>
      <w:pPr>
        <w:pStyle w:val="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法定代表人证明书</w:t>
      </w:r>
    </w:p>
    <w:p>
      <w:pPr>
        <w:tabs>
          <w:tab w:val="left" w:pos="210"/>
        </w:tabs>
        <w:spacing w:line="320" w:lineRule="exact"/>
        <w:jc w:val="center"/>
        <w:rPr>
          <w:rFonts w:hint="eastAsia" w:ascii="宋体" w:hAnsi="宋体" w:eastAsia="宋体" w:cs="宋体"/>
          <w:b/>
          <w:color w:val="auto"/>
          <w:kern w:val="0"/>
          <w:sz w:val="24"/>
          <w:szCs w:val="24"/>
          <w:highlight w:val="none"/>
        </w:rPr>
      </w:pPr>
    </w:p>
    <w:tbl>
      <w:tblPr>
        <w:tblStyle w:val="2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151"/>
        <w:gridCol w:w="2145"/>
        <w:gridCol w:w="184"/>
        <w:gridCol w:w="2145"/>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6" w:type="dxa"/>
            <w:gridSpan w:val="6"/>
            <w:vAlign w:val="center"/>
          </w:tcPr>
          <w:p>
            <w:pPr>
              <w:tabs>
                <w:tab w:val="left" w:pos="210"/>
              </w:tabs>
              <w:spacing w:line="3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致：陕西中信海诚造价咨询有限公司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64" w:type="dxa"/>
            <w:vMerge w:val="restart"/>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w:t>
            </w: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w:t>
            </w: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w:t>
            </w: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法定地址</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2329" w:type="dxa"/>
            <w:gridSpan w:val="2"/>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45"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性别</w:t>
            </w:r>
          </w:p>
        </w:tc>
        <w:tc>
          <w:tcPr>
            <w:tcW w:w="2097"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职务</w:t>
            </w:r>
          </w:p>
        </w:tc>
        <w:tc>
          <w:tcPr>
            <w:tcW w:w="2329" w:type="dxa"/>
            <w:gridSpan w:val="2"/>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45"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2097"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64" w:type="dxa"/>
            <w:vMerge w:val="restart"/>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法定代表人身份证复印件</w:t>
            </w:r>
          </w:p>
        </w:tc>
        <w:tc>
          <w:tcPr>
            <w:tcW w:w="4296" w:type="dxa"/>
            <w:gridSpan w:val="2"/>
            <w:vMerge w:val="restart"/>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（粘贴处）</w:t>
            </w:r>
          </w:p>
        </w:tc>
        <w:tc>
          <w:tcPr>
            <w:tcW w:w="4426" w:type="dxa"/>
            <w:gridSpan w:val="3"/>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4296" w:type="dxa"/>
            <w:gridSpan w:val="2"/>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4426" w:type="dxa"/>
            <w:gridSpan w:val="3"/>
            <w:vAlign w:val="bottom"/>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（公章）</w:t>
            </w: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r>
    </w:tbl>
    <w:p>
      <w:pPr>
        <w:pStyle w:val="8"/>
        <w:tabs>
          <w:tab w:val="left" w:pos="21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kern w:val="2"/>
          <w:sz w:val="24"/>
          <w:szCs w:val="24"/>
          <w:highlight w:val="none"/>
        </w:rPr>
        <w:t>（2）授权委托书</w:t>
      </w:r>
    </w:p>
    <w:p>
      <w:pPr>
        <w:pStyle w:val="14"/>
        <w:spacing w:line="500" w:lineRule="exact"/>
        <w:rPr>
          <w:rFonts w:hint="eastAsia" w:ascii="宋体" w:hAnsi="宋体" w:eastAsia="宋体" w:cs="宋体"/>
          <w:b/>
          <w:bCs/>
          <w:color w:val="auto"/>
          <w:szCs w:val="24"/>
          <w:highlight w:val="none"/>
        </w:rPr>
      </w:pPr>
      <w:r>
        <w:rPr>
          <w:rFonts w:hint="eastAsia" w:ascii="宋体" w:hAnsi="宋体" w:eastAsia="宋体" w:cs="宋体"/>
          <w:color w:val="auto"/>
          <w:spacing w:val="4"/>
          <w:sz w:val="24"/>
          <w:highlight w:val="none"/>
          <w:u w:val="single"/>
        </w:rPr>
        <w:t xml:space="preserve">     （采购人名称）   </w:t>
      </w:r>
      <w:r>
        <w:rPr>
          <w:rFonts w:hint="eastAsia" w:ascii="宋体" w:hAnsi="宋体" w:eastAsia="宋体" w:cs="宋体"/>
          <w:color w:val="auto"/>
          <w:szCs w:val="24"/>
          <w:highlight w:val="none"/>
        </w:rPr>
        <w:t>：</w:t>
      </w:r>
    </w:p>
    <w:p>
      <w:pPr>
        <w:pStyle w:val="14"/>
        <w:spacing w:line="5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本授权书声明：注册于（</w:t>
      </w:r>
      <w:r>
        <w:rPr>
          <w:rFonts w:hint="eastAsia" w:ascii="宋体" w:hAnsi="宋体" w:eastAsia="宋体" w:cs="宋体"/>
          <w:color w:val="auto"/>
          <w:szCs w:val="24"/>
          <w:highlight w:val="none"/>
          <w:u w:val="single"/>
        </w:rPr>
        <w:t xml:space="preserve">工商行政管理局名称）之（委托单位全称） </w:t>
      </w:r>
      <w:r>
        <w:rPr>
          <w:rFonts w:hint="eastAsia" w:ascii="宋体" w:hAnsi="宋体" w:eastAsia="宋体" w:cs="宋体"/>
          <w:color w:val="auto"/>
          <w:szCs w:val="24"/>
          <w:highlight w:val="none"/>
        </w:rPr>
        <w:t>的法定代表人</w:t>
      </w:r>
      <w:r>
        <w:rPr>
          <w:rFonts w:hint="eastAsia" w:ascii="宋体" w:hAnsi="宋体" w:eastAsia="宋体" w:cs="宋体"/>
          <w:color w:val="auto"/>
          <w:szCs w:val="24"/>
          <w:highlight w:val="none"/>
          <w:u w:val="single"/>
        </w:rPr>
        <w:t>（姓名、性别、职务）</w:t>
      </w:r>
      <w:r>
        <w:rPr>
          <w:rFonts w:hint="eastAsia" w:ascii="宋体" w:hAnsi="宋体" w:eastAsia="宋体" w:cs="宋体"/>
          <w:color w:val="auto"/>
          <w:szCs w:val="24"/>
          <w:highlight w:val="none"/>
        </w:rPr>
        <w:t>授权本公司的</w:t>
      </w:r>
      <w:r>
        <w:rPr>
          <w:rFonts w:hint="eastAsia" w:ascii="宋体" w:hAnsi="宋体" w:eastAsia="宋体" w:cs="宋体"/>
          <w:color w:val="auto"/>
          <w:szCs w:val="24"/>
          <w:highlight w:val="none"/>
          <w:u w:val="single"/>
        </w:rPr>
        <w:t>（被授权人姓名、性别、职务）</w:t>
      </w:r>
      <w:r>
        <w:rPr>
          <w:rFonts w:hint="eastAsia" w:ascii="宋体" w:hAnsi="宋体" w:eastAsia="宋体" w:cs="宋体"/>
          <w:color w:val="auto"/>
          <w:szCs w:val="24"/>
          <w:highlight w:val="none"/>
        </w:rPr>
        <w:t>为合法代理人，就贵方组织的有关</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u w:val="single"/>
          <w:lang w:eastAsia="zh-CN"/>
        </w:rPr>
        <w:t>：</w:t>
      </w:r>
      <w:r>
        <w:rPr>
          <w:rFonts w:hint="eastAsia" w:ascii="宋体" w:hAnsi="宋体" w:eastAsia="宋体" w:cs="宋体"/>
          <w:color w:val="auto"/>
          <w:szCs w:val="24"/>
          <w:highlight w:val="none"/>
          <w:u w:val="single"/>
          <w:lang w:val="en-US" w:eastAsia="zh-CN"/>
        </w:rPr>
        <w:t xml:space="preserve">   </w:t>
      </w:r>
      <w:r>
        <w:rPr>
          <w:rFonts w:hint="eastAsia" w:hAnsi="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项目编号：  </w:t>
      </w:r>
      <w:r>
        <w:rPr>
          <w:rFonts w:hint="eastAsia" w:hAnsi="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的谈判采购的具体事务，签署全部有关文件、文书、协议、合同，本公司对被授权人在本项目中的签名承担全部法律责任。本授权书自响应文件递交截止时间起计算有效期为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天。</w:t>
      </w:r>
    </w:p>
    <w:p>
      <w:pPr>
        <w:pStyle w:val="14"/>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委托单位：    （公章）                  法定代表人（签字）：</w:t>
      </w:r>
    </w:p>
    <w:p>
      <w:pPr>
        <w:pStyle w:val="14"/>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pPr>
        <w:pStyle w:val="14"/>
        <w:spacing w:line="500" w:lineRule="exact"/>
        <w:ind w:firstLine="480" w:firstLineChars="200"/>
        <w:rPr>
          <w:rFonts w:hint="eastAsia" w:ascii="宋体" w:hAnsi="宋体" w:eastAsia="宋体" w:cs="宋体"/>
          <w:color w:val="auto"/>
          <w:szCs w:val="24"/>
          <w:highlight w:val="none"/>
        </w:rPr>
      </w:pPr>
    </w:p>
    <w:p>
      <w:pPr>
        <w:pStyle w:val="14"/>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附：被授权人姓名：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w:t>
      </w:r>
      <w:r>
        <w:rPr>
          <w:rFonts w:hint="eastAsia" w:ascii="宋体" w:hAnsi="宋体" w:eastAsia="宋体" w:cs="宋体"/>
          <w:color w:val="auto"/>
          <w:szCs w:val="24"/>
          <w:highlight w:val="none"/>
          <w:u w:val="single"/>
        </w:rPr>
        <w:t xml:space="preserve">             </w:t>
      </w:r>
    </w:p>
    <w:p>
      <w:pPr>
        <w:pStyle w:val="14"/>
        <w:spacing w:line="500" w:lineRule="exact"/>
        <w:ind w:firstLine="960" w:firstLine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 xml:space="preserve">联系地址：  </w:t>
      </w:r>
      <w:r>
        <w:rPr>
          <w:rFonts w:hint="eastAsia" w:ascii="宋体" w:hAnsi="宋体" w:eastAsia="宋体" w:cs="宋体"/>
          <w:color w:val="auto"/>
          <w:szCs w:val="24"/>
          <w:highlight w:val="none"/>
          <w:u w:val="single"/>
        </w:rPr>
        <w:t xml:space="preserve">                                                </w:t>
      </w:r>
    </w:p>
    <w:p>
      <w:pPr>
        <w:pStyle w:val="14"/>
        <w:spacing w:line="500" w:lineRule="exact"/>
        <w:ind w:firstLine="960" w:firstLine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联系电话：</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传真：</w:t>
      </w:r>
      <w:r>
        <w:rPr>
          <w:rFonts w:hint="eastAsia" w:ascii="宋体" w:hAnsi="宋体" w:eastAsia="宋体" w:cs="宋体"/>
          <w:color w:val="auto"/>
          <w:szCs w:val="24"/>
          <w:highlight w:val="none"/>
          <w:u w:val="single"/>
        </w:rPr>
        <w:t xml:space="preserve">                          </w:t>
      </w:r>
    </w:p>
    <w:p>
      <w:pPr>
        <w:pStyle w:val="14"/>
        <w:spacing w:line="500" w:lineRule="exact"/>
        <w:ind w:firstLine="960" w:firstLine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被授权人签字：</w:t>
      </w:r>
      <w:r>
        <w:rPr>
          <w:rFonts w:hint="eastAsia" w:ascii="宋体" w:hAnsi="宋体" w:eastAsia="宋体" w:cs="宋体"/>
          <w:color w:val="auto"/>
          <w:szCs w:val="24"/>
          <w:highlight w:val="none"/>
          <w:u w:val="single"/>
        </w:rPr>
        <w:t xml:space="preserve">            </w:t>
      </w:r>
    </w:p>
    <w:p>
      <w:pPr>
        <w:pStyle w:val="14"/>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说明：授权书内容填写要明确，文字要工整清楚，涂改无效。</w:t>
      </w:r>
    </w:p>
    <w:p>
      <w:pPr>
        <w:pStyle w:val="14"/>
        <w:spacing w:line="500" w:lineRule="exact"/>
        <w:ind w:firstLine="2760" w:firstLineChars="115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法定代表人/被授权人身份证复印件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4002" w:hRule="atLeast"/>
          <w:jc w:val="center"/>
        </w:trPr>
        <w:tc>
          <w:tcPr>
            <w:tcW w:w="4193" w:type="dxa"/>
            <w:shd w:val="clear" w:color="auto" w:fill="E0E0E0"/>
            <w:vAlign w:val="center"/>
          </w:tcPr>
          <w:p>
            <w:pPr>
              <w:pStyle w:val="14"/>
              <w:spacing w:line="500" w:lineRule="exact"/>
              <w:jc w:val="center"/>
              <w:rPr>
                <w:rFonts w:hint="eastAsia" w:ascii="宋体" w:hAnsi="宋体" w:eastAsia="宋体" w:cs="宋体"/>
                <w:color w:val="auto"/>
                <w:szCs w:val="24"/>
                <w:highlight w:val="none"/>
                <w:shd w:val="pct10" w:color="auto" w:fill="FFFFFF"/>
              </w:rPr>
            </w:pPr>
            <w:r>
              <w:rPr>
                <w:rFonts w:hint="eastAsia" w:ascii="宋体" w:hAnsi="宋体" w:eastAsia="宋体" w:cs="宋体"/>
                <w:color w:val="auto"/>
                <w:szCs w:val="24"/>
                <w:highlight w:val="none"/>
                <w:shd w:val="pct10" w:color="auto" w:fill="FFFFFF"/>
              </w:rPr>
              <w:t>法定代表人身份证复印件（正、反两面）</w:t>
            </w:r>
          </w:p>
        </w:tc>
        <w:tc>
          <w:tcPr>
            <w:tcW w:w="4193" w:type="dxa"/>
            <w:shd w:val="clear" w:color="auto" w:fill="E0E0E0"/>
            <w:vAlign w:val="center"/>
          </w:tcPr>
          <w:p>
            <w:pPr>
              <w:pStyle w:val="14"/>
              <w:spacing w:line="500" w:lineRule="exact"/>
              <w:jc w:val="center"/>
              <w:rPr>
                <w:rFonts w:hint="eastAsia" w:ascii="宋体" w:hAnsi="宋体" w:eastAsia="宋体" w:cs="宋体"/>
                <w:color w:val="auto"/>
                <w:szCs w:val="24"/>
                <w:highlight w:val="none"/>
                <w:shd w:val="pct10" w:color="auto" w:fill="FFFFFF"/>
              </w:rPr>
            </w:pPr>
            <w:r>
              <w:rPr>
                <w:rFonts w:hint="eastAsia" w:ascii="宋体" w:hAnsi="宋体" w:eastAsia="宋体" w:cs="宋体"/>
                <w:color w:val="auto"/>
                <w:szCs w:val="24"/>
                <w:highlight w:val="none"/>
                <w:shd w:val="pct10" w:color="auto" w:fill="FFFFFF"/>
              </w:rPr>
              <w:t>被授权人身份证复印件（正、反两面）</w:t>
            </w:r>
          </w:p>
        </w:tc>
      </w:tr>
    </w:tbl>
    <w:p>
      <w:pPr>
        <w:pStyle w:val="14"/>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法定代表人直接参与投标的，无需提供此授权书。</w:t>
      </w:r>
    </w:p>
    <w:p>
      <w:pPr>
        <w:spacing w:line="360" w:lineRule="auto"/>
        <w:ind w:left="1"/>
        <w:jc w:val="center"/>
        <w:rPr>
          <w:rFonts w:hint="eastAsia" w:ascii="宋体" w:hAnsi="宋体" w:eastAsia="宋体" w:cs="宋体"/>
          <w:b/>
          <w:color w:val="auto"/>
          <w:sz w:val="32"/>
          <w:szCs w:val="32"/>
          <w:highlight w:val="none"/>
        </w:rPr>
      </w:pPr>
    </w:p>
    <w:p>
      <w:pPr>
        <w:spacing w:line="360" w:lineRule="auto"/>
        <w:ind w:left="1"/>
        <w:jc w:val="center"/>
        <w:rPr>
          <w:rFonts w:hint="eastAsia" w:ascii="宋体" w:hAnsi="宋体" w:eastAsia="宋体" w:cs="宋体"/>
          <w:b/>
          <w:color w:val="auto"/>
          <w:sz w:val="32"/>
          <w:szCs w:val="32"/>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bookmarkEnd w:id="209"/>
    <w:bookmarkEnd w:id="210"/>
    <w:p>
      <w:pPr>
        <w:tabs>
          <w:tab w:val="left" w:pos="5580"/>
        </w:tabs>
        <w:spacing w:before="120" w:line="360" w:lineRule="auto"/>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②.具有良好的商业信誉和健全的财务会计制度；</w:t>
      </w:r>
    </w:p>
    <w:p>
      <w:pPr>
        <w:tabs>
          <w:tab w:val="left" w:pos="3060"/>
          <w:tab w:val="left" w:pos="5580"/>
        </w:tabs>
        <w:spacing w:before="120" w:line="360" w:lineRule="auto"/>
        <w:ind w:left="3057" w:hanging="1619"/>
        <w:rPr>
          <w:rFonts w:hint="eastAsia" w:ascii="宋体" w:hAnsi="宋体" w:eastAsia="宋体" w:cs="宋体"/>
          <w:b/>
          <w:color w:val="auto"/>
          <w:sz w:val="24"/>
          <w:highlight w:val="none"/>
        </w:rPr>
      </w:pPr>
    </w:p>
    <w:p>
      <w:pPr>
        <w:tabs>
          <w:tab w:val="left" w:pos="3060"/>
          <w:tab w:val="left" w:pos="5580"/>
        </w:tabs>
        <w:spacing w:before="120" w:line="360" w:lineRule="auto"/>
        <w:ind w:left="3057" w:hanging="1619"/>
        <w:rPr>
          <w:rFonts w:hint="eastAsia" w:ascii="宋体" w:hAnsi="宋体" w:eastAsia="宋体" w:cs="宋体"/>
          <w:b/>
          <w:color w:val="auto"/>
          <w:sz w:val="24"/>
          <w:highlight w:val="none"/>
        </w:rPr>
      </w:pPr>
    </w:p>
    <w:p>
      <w:pPr>
        <w:tabs>
          <w:tab w:val="left" w:pos="5580"/>
        </w:tabs>
        <w:spacing w:before="120" w:line="312"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spacing w:line="360" w:lineRule="auto"/>
        <w:ind w:firstLine="480" w:firstLineChars="20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1、提供</w:t>
      </w:r>
      <w:r>
        <w:rPr>
          <w:rFonts w:hint="eastAsia" w:ascii="宋体" w:hAnsi="宋体" w:cs="宋体"/>
          <w:color w:val="auto"/>
          <w:kern w:val="28"/>
          <w:sz w:val="24"/>
          <w:szCs w:val="24"/>
          <w:highlight w:val="none"/>
          <w:lang w:eastAsia="zh-CN"/>
        </w:rPr>
        <w:t>2020年度或2021年度经审计的财务报告</w:t>
      </w:r>
      <w:r>
        <w:rPr>
          <w:rFonts w:hint="eastAsia" w:ascii="宋体" w:hAnsi="宋体" w:eastAsia="宋体" w:cs="宋体"/>
          <w:color w:val="auto"/>
          <w:kern w:val="28"/>
          <w:sz w:val="24"/>
          <w:szCs w:val="24"/>
          <w:highlight w:val="none"/>
        </w:rPr>
        <w:t>（至少</w:t>
      </w:r>
      <w:r>
        <w:rPr>
          <w:rFonts w:hint="eastAsia" w:ascii="宋体" w:hAnsi="宋体" w:eastAsia="宋体" w:cs="宋体"/>
          <w:color w:val="auto"/>
          <w:kern w:val="28"/>
          <w:sz w:val="24"/>
          <w:szCs w:val="24"/>
          <w:highlight w:val="none"/>
          <w:lang w:eastAsia="zh-CN"/>
        </w:rPr>
        <w:t>包括资产负债表、利润表、现金流量表及其附注</w:t>
      </w:r>
      <w:r>
        <w:rPr>
          <w:rFonts w:hint="eastAsia" w:ascii="宋体" w:hAnsi="宋体" w:eastAsia="宋体" w:cs="宋体"/>
          <w:color w:val="auto"/>
          <w:kern w:val="28"/>
          <w:sz w:val="24"/>
          <w:szCs w:val="24"/>
          <w:highlight w:val="none"/>
        </w:rPr>
        <w:t>，成立时间至提交竞争性谈判响应文件截止时间不足一年的可提供成立后任意时段的资产负债表）或其基本存款账户开户银行</w:t>
      </w:r>
      <w:r>
        <w:rPr>
          <w:rFonts w:hint="eastAsia" w:ascii="宋体" w:hAnsi="宋体" w:eastAsia="宋体" w:cs="宋体"/>
          <w:color w:val="auto"/>
          <w:kern w:val="28"/>
          <w:sz w:val="24"/>
          <w:szCs w:val="24"/>
          <w:highlight w:val="none"/>
          <w:lang w:val="en-US" w:eastAsia="zh-CN"/>
        </w:rPr>
        <w:t>开具</w:t>
      </w:r>
      <w:r>
        <w:rPr>
          <w:rFonts w:hint="eastAsia" w:ascii="宋体" w:hAnsi="宋体" w:eastAsia="宋体" w:cs="宋体"/>
          <w:color w:val="auto"/>
          <w:kern w:val="28"/>
          <w:sz w:val="24"/>
          <w:szCs w:val="24"/>
          <w:highlight w:val="none"/>
        </w:rPr>
        <w:t>的资信证明</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如基本户银行不具备开具资信证明条件，由其上级部门开具，供应商应附相关说明</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w:t>
      </w:r>
    </w:p>
    <w:p>
      <w:pPr>
        <w:spacing w:line="360" w:lineRule="auto"/>
        <w:ind w:firstLine="480" w:firstLineChars="200"/>
        <w:jc w:val="left"/>
        <w:rPr>
          <w:rFonts w:hint="eastAsia" w:ascii="宋体" w:hAnsi="宋体" w:eastAsia="宋体" w:cs="宋体"/>
          <w:color w:val="auto"/>
          <w:kern w:val="28"/>
          <w:sz w:val="24"/>
          <w:szCs w:val="24"/>
          <w:highlight w:val="none"/>
        </w:rPr>
      </w:pPr>
      <w:r>
        <w:rPr>
          <w:rFonts w:hint="eastAsia" w:ascii="宋体" w:hAnsi="宋体" w:cs="宋体"/>
          <w:color w:val="auto"/>
          <w:kern w:val="28"/>
          <w:sz w:val="24"/>
          <w:szCs w:val="24"/>
          <w:highlight w:val="none"/>
          <w:lang w:val="en-US" w:eastAsia="zh-CN"/>
        </w:rPr>
        <w:t>2</w:t>
      </w:r>
      <w:r>
        <w:rPr>
          <w:rFonts w:hint="eastAsia" w:ascii="宋体" w:hAnsi="宋体" w:eastAsia="宋体" w:cs="宋体"/>
          <w:color w:val="auto"/>
          <w:kern w:val="28"/>
          <w:sz w:val="24"/>
          <w:szCs w:val="24"/>
          <w:highlight w:val="none"/>
        </w:rPr>
        <w:t>、信用记录</w:t>
      </w:r>
    </w:p>
    <w:p>
      <w:pPr>
        <w:spacing w:line="360" w:lineRule="auto"/>
        <w:ind w:firstLine="480" w:firstLineChars="200"/>
        <w:jc w:val="left"/>
        <w:rPr>
          <w:rFonts w:hint="eastAsia" w:ascii="宋体" w:hAnsi="宋体" w:eastAsia="宋体" w:cs="宋体"/>
          <w:b/>
          <w:color w:val="auto"/>
          <w:sz w:val="24"/>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kern w:val="28"/>
          <w:sz w:val="24"/>
          <w:szCs w:val="24"/>
          <w:highlight w:val="none"/>
          <w:lang w:val="en-US" w:eastAsia="zh-CN"/>
        </w:rPr>
        <w:t>通过</w:t>
      </w:r>
      <w:r>
        <w:rPr>
          <w:rFonts w:hint="eastAsia" w:ascii="宋体" w:hAnsi="宋体" w:eastAsia="宋体" w:cs="宋体"/>
          <w:color w:val="auto"/>
          <w:kern w:val="28"/>
          <w:sz w:val="24"/>
          <w:szCs w:val="24"/>
          <w:highlight w:val="none"/>
        </w:rPr>
        <w:t>“信用中国”网站（www.creditchina.gov.cn）和中国政府采购网（www.ccgp.gov.cn）查询供应商信用记录，被列入失信被执行人、重大税收违法案件当事人名单、政府采购严重违法失信行为记录名单的单位将被拒绝参与本项目</w:t>
      </w:r>
      <w:r>
        <w:rPr>
          <w:rFonts w:hint="eastAsia" w:ascii="宋体" w:hAnsi="宋体" w:cs="宋体"/>
          <w:color w:val="auto"/>
          <w:kern w:val="28"/>
          <w:sz w:val="24"/>
          <w:szCs w:val="24"/>
          <w:highlight w:val="none"/>
          <w:lang w:val="en-US" w:eastAsia="zh-CN"/>
        </w:rPr>
        <w:t>谈判</w:t>
      </w:r>
      <w:r>
        <w:rPr>
          <w:rFonts w:hint="eastAsia" w:ascii="宋体" w:hAnsi="宋体" w:eastAsia="宋体" w:cs="宋体"/>
          <w:color w:val="auto"/>
          <w:kern w:val="28"/>
          <w:sz w:val="24"/>
          <w:szCs w:val="24"/>
          <w:highlight w:val="none"/>
        </w:rPr>
        <w:t>。</w:t>
      </w:r>
    </w:p>
    <w:p>
      <w:pPr>
        <w:tabs>
          <w:tab w:val="left" w:pos="5580"/>
        </w:tabs>
        <w:spacing w:before="120" w:line="360" w:lineRule="auto"/>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③.具有履行合同所必需的设备和专业技术能力；</w:t>
      </w:r>
    </w:p>
    <w:p>
      <w:pPr>
        <w:spacing w:line="360" w:lineRule="auto"/>
        <w:rPr>
          <w:rFonts w:hint="eastAsia" w:ascii="宋体" w:hAnsi="宋体" w:eastAsia="宋体" w:cs="宋体"/>
          <w:color w:val="auto"/>
          <w:spacing w:val="4"/>
          <w:sz w:val="24"/>
          <w:highlight w:val="none"/>
          <w:u w:val="single"/>
        </w:rPr>
      </w:pPr>
    </w:p>
    <w:p>
      <w:pPr>
        <w:spacing w:line="360" w:lineRule="auto"/>
        <w:jc w:val="center"/>
        <w:rPr>
          <w:rFonts w:hint="eastAsia" w:ascii="宋体" w:hAnsi="宋体" w:eastAsia="宋体" w:cs="宋体"/>
          <w:color w:val="auto"/>
          <w:spacing w:val="4"/>
          <w:sz w:val="24"/>
          <w:highlight w:val="none"/>
        </w:rPr>
      </w:pPr>
      <w:r>
        <w:rPr>
          <w:rFonts w:hint="eastAsia" w:ascii="宋体" w:hAnsi="宋体" w:eastAsia="宋体" w:cs="宋体"/>
          <w:b/>
          <w:color w:val="auto"/>
          <w:sz w:val="24"/>
          <w:highlight w:val="none"/>
        </w:rPr>
        <w:t>具有履行合同所必需的设备和专业技术能力的承诺函</w:t>
      </w:r>
    </w:p>
    <w:p>
      <w:pPr>
        <w:spacing w:line="360" w:lineRule="auto"/>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u w:val="single"/>
        </w:rPr>
        <w:t xml:space="preserve">     （采购人名称）   </w:t>
      </w:r>
      <w:r>
        <w:rPr>
          <w:rFonts w:hint="eastAsia" w:ascii="宋体" w:hAnsi="宋体" w:eastAsia="宋体" w:cs="宋体"/>
          <w:color w:val="auto"/>
          <w:spacing w:val="4"/>
          <w:sz w:val="24"/>
          <w:highlight w:val="none"/>
        </w:rPr>
        <w:t>：</w:t>
      </w:r>
    </w:p>
    <w:p>
      <w:pPr>
        <w:spacing w:beforeLines="100" w:afterLines="50"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u w:val="single"/>
        </w:rPr>
        <w:t>（公司或其他组织）</w:t>
      </w:r>
      <w:r>
        <w:rPr>
          <w:rFonts w:hint="eastAsia" w:ascii="宋体" w:hAnsi="宋体" w:eastAsia="宋体" w:cs="宋体"/>
          <w:color w:val="auto"/>
          <w:spacing w:val="4"/>
          <w:sz w:val="24"/>
          <w:highlight w:val="none"/>
        </w:rPr>
        <w:t>于</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年</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月</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日在中华人民共和国境内</w:t>
      </w:r>
      <w:r>
        <w:rPr>
          <w:rFonts w:hint="eastAsia" w:ascii="宋体" w:hAnsi="宋体" w:eastAsia="宋体" w:cs="宋体"/>
          <w:color w:val="auto"/>
          <w:spacing w:val="4"/>
          <w:sz w:val="24"/>
          <w:highlight w:val="none"/>
          <w:u w:val="single"/>
        </w:rPr>
        <w:t>（详细注册地址）</w:t>
      </w:r>
      <w:r>
        <w:rPr>
          <w:rFonts w:hint="eastAsia" w:ascii="宋体" w:hAnsi="宋体" w:eastAsia="宋体" w:cs="宋体"/>
          <w:color w:val="auto"/>
          <w:spacing w:val="4"/>
          <w:sz w:val="24"/>
          <w:highlight w:val="none"/>
        </w:rPr>
        <w:t>合法注册并经营，公司主营业务为</w:t>
      </w:r>
      <w:r>
        <w:rPr>
          <w:rFonts w:hint="eastAsia" w:ascii="宋体" w:hAnsi="宋体" w:eastAsia="宋体" w:cs="宋体"/>
          <w:color w:val="auto"/>
          <w:spacing w:val="4"/>
          <w:sz w:val="24"/>
          <w:highlight w:val="none"/>
          <w:u w:val="single"/>
        </w:rPr>
        <w:t>（）</w:t>
      </w:r>
      <w:r>
        <w:rPr>
          <w:rFonts w:hint="eastAsia" w:ascii="宋体" w:hAnsi="宋体" w:eastAsia="宋体" w:cs="宋体"/>
          <w:color w:val="auto"/>
          <w:spacing w:val="4"/>
          <w:sz w:val="24"/>
          <w:highlight w:val="none"/>
        </w:rPr>
        <w:t>，营业（生产经营）面积为</w:t>
      </w:r>
      <w:r>
        <w:rPr>
          <w:rFonts w:hint="eastAsia" w:ascii="宋体" w:hAnsi="宋体" w:eastAsia="宋体" w:cs="宋体"/>
          <w:color w:val="auto"/>
          <w:spacing w:val="4"/>
          <w:sz w:val="24"/>
          <w:highlight w:val="none"/>
          <w:u w:val="single"/>
        </w:rPr>
        <w:t>（）</w:t>
      </w:r>
      <w:r>
        <w:rPr>
          <w:rFonts w:hint="eastAsia" w:ascii="宋体" w:hAnsi="宋体" w:eastAsia="宋体" w:cs="宋体"/>
          <w:color w:val="auto"/>
          <w:spacing w:val="4"/>
          <w:sz w:val="24"/>
          <w:highlight w:val="none"/>
        </w:rPr>
        <w:t>。主要设备有</w:t>
      </w:r>
      <w:r>
        <w:rPr>
          <w:rFonts w:hint="eastAsia" w:ascii="宋体" w:hAnsi="宋体" w:eastAsia="宋体" w:cs="宋体"/>
          <w:color w:val="auto"/>
          <w:spacing w:val="4"/>
          <w:sz w:val="24"/>
          <w:highlight w:val="none"/>
          <w:u w:val="single"/>
        </w:rPr>
        <w:t>（品种、数量）</w:t>
      </w:r>
      <w:r>
        <w:rPr>
          <w:rFonts w:hint="eastAsia" w:ascii="宋体" w:hAnsi="宋体" w:eastAsia="宋体" w:cs="宋体"/>
          <w:color w:val="auto"/>
          <w:spacing w:val="4"/>
          <w:sz w:val="24"/>
          <w:highlight w:val="none"/>
        </w:rPr>
        <w:t>，其中用于履行本合同所必需的设备有</w:t>
      </w:r>
      <w:r>
        <w:rPr>
          <w:rFonts w:hint="eastAsia" w:ascii="宋体" w:hAnsi="宋体" w:eastAsia="宋体" w:cs="宋体"/>
          <w:color w:val="auto"/>
          <w:spacing w:val="4"/>
          <w:sz w:val="24"/>
          <w:highlight w:val="none"/>
          <w:u w:val="single"/>
        </w:rPr>
        <w:t>（ 品种、数量）</w:t>
      </w:r>
      <w:r>
        <w:rPr>
          <w:rFonts w:hint="eastAsia" w:ascii="宋体" w:hAnsi="宋体" w:eastAsia="宋体" w:cs="宋体"/>
          <w:color w:val="auto"/>
          <w:spacing w:val="4"/>
          <w:sz w:val="24"/>
          <w:highlight w:val="none"/>
        </w:rPr>
        <w:t>；现有员工数量为</w:t>
      </w:r>
      <w:r>
        <w:rPr>
          <w:rFonts w:hint="eastAsia" w:ascii="宋体" w:hAnsi="宋体" w:eastAsia="宋体" w:cs="宋体"/>
          <w:color w:val="auto"/>
          <w:spacing w:val="4"/>
          <w:sz w:val="24"/>
          <w:highlight w:val="none"/>
          <w:u w:val="single"/>
        </w:rPr>
        <w:t>（）</w:t>
      </w:r>
      <w:r>
        <w:rPr>
          <w:rFonts w:hint="eastAsia" w:ascii="宋体" w:hAnsi="宋体" w:eastAsia="宋体" w:cs="宋体"/>
          <w:color w:val="auto"/>
          <w:spacing w:val="4"/>
          <w:sz w:val="24"/>
          <w:highlight w:val="none"/>
        </w:rPr>
        <w:t>，其中与履行本合同相关的专业技术人员有</w:t>
      </w:r>
      <w:r>
        <w:rPr>
          <w:rFonts w:hint="eastAsia" w:ascii="宋体" w:hAnsi="宋体" w:eastAsia="宋体" w:cs="宋体"/>
          <w:color w:val="auto"/>
          <w:spacing w:val="4"/>
          <w:sz w:val="24"/>
          <w:highlight w:val="none"/>
          <w:u w:val="single"/>
        </w:rPr>
        <w:t>（专业能力、数量）</w:t>
      </w:r>
      <w:r>
        <w:rPr>
          <w:rFonts w:hint="eastAsia" w:ascii="宋体" w:hAnsi="宋体" w:eastAsia="宋体" w:cs="宋体"/>
          <w:color w:val="auto"/>
          <w:spacing w:val="4"/>
          <w:sz w:val="24"/>
          <w:highlight w:val="none"/>
        </w:rPr>
        <w:t>，本单位郑重承诺，具有履行本合同所必需的设备和专业技术能力。</w:t>
      </w:r>
    </w:p>
    <w:p>
      <w:pPr>
        <w:spacing w:beforeLines="100" w:afterLines="50" w:line="360" w:lineRule="auto"/>
        <w:ind w:firstLine="170"/>
        <w:rPr>
          <w:rFonts w:hint="eastAsia" w:ascii="宋体" w:hAnsi="宋体" w:eastAsia="宋体" w:cs="宋体"/>
          <w:color w:val="auto"/>
          <w:spacing w:val="4"/>
          <w:sz w:val="24"/>
          <w:highlight w:val="none"/>
        </w:rPr>
      </w:pPr>
    </w:p>
    <w:p>
      <w:pPr>
        <w:spacing w:beforeLines="100" w:afterLines="50" w:line="360" w:lineRule="auto"/>
        <w:ind w:firstLine="2480" w:firstLineChars="1000"/>
        <w:jc w:val="left"/>
        <w:rPr>
          <w:rFonts w:hint="eastAsia" w:ascii="宋体" w:hAnsi="宋体" w:eastAsia="宋体" w:cs="宋体"/>
          <w:color w:val="auto"/>
          <w:spacing w:val="14"/>
          <w:kern w:val="0"/>
          <w:sz w:val="24"/>
          <w:highlight w:val="none"/>
        </w:rPr>
      </w:pPr>
      <w:r>
        <w:rPr>
          <w:rFonts w:hint="eastAsia" w:ascii="宋体" w:hAnsi="宋体" w:eastAsia="宋体" w:cs="宋体"/>
          <w:color w:val="auto"/>
          <w:spacing w:val="4"/>
          <w:sz w:val="24"/>
          <w:highlight w:val="none"/>
        </w:rPr>
        <w:t>供应商名称（盖章）：</w:t>
      </w:r>
      <w:r>
        <w:rPr>
          <w:rFonts w:hint="eastAsia" w:ascii="宋体" w:hAnsi="宋体" w:eastAsia="宋体" w:cs="宋体"/>
          <w:color w:val="auto"/>
          <w:spacing w:val="14"/>
          <w:kern w:val="0"/>
          <w:sz w:val="24"/>
          <w:highlight w:val="none"/>
          <w:u w:val="single"/>
        </w:rPr>
        <w:t xml:space="preserve">（单位全称）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4"/>
          <w:kern w:val="0"/>
          <w:sz w:val="24"/>
          <w:highlight w:val="none"/>
          <w:u w:val="single"/>
        </w:rPr>
        <w:t xml:space="preserve">      </w:t>
      </w:r>
    </w:p>
    <w:p>
      <w:pPr>
        <w:spacing w:beforeLines="100" w:afterLines="50" w:line="360" w:lineRule="auto"/>
        <w:ind w:firstLine="2520" w:firstLineChars="1050"/>
        <w:jc w:val="left"/>
        <w:rPr>
          <w:rFonts w:hint="eastAsia" w:ascii="宋体" w:hAnsi="宋体" w:eastAsia="宋体" w:cs="宋体"/>
          <w:color w:val="auto"/>
          <w:spacing w:val="4"/>
          <w:sz w:val="24"/>
          <w:highlight w:val="none"/>
        </w:rPr>
      </w:pPr>
      <w:r>
        <w:rPr>
          <w:rFonts w:hint="eastAsia" w:ascii="宋体" w:hAnsi="宋体" w:eastAsia="宋体" w:cs="宋体"/>
          <w:color w:val="auto"/>
          <w:kern w:val="0"/>
          <w:sz w:val="24"/>
          <w:highlight w:val="none"/>
        </w:rPr>
        <w:t>法定代表人或委托代理人（签字或盖章）：</w:t>
      </w:r>
      <w:r>
        <w:rPr>
          <w:rFonts w:hint="eastAsia" w:ascii="宋体" w:hAnsi="宋体" w:eastAsia="宋体" w:cs="宋体"/>
          <w:color w:val="auto"/>
          <w:sz w:val="24"/>
          <w:highlight w:val="none"/>
          <w:u w:val="single"/>
        </w:rPr>
        <w:t xml:space="preserve">                                             </w:t>
      </w:r>
    </w:p>
    <w:p>
      <w:pPr>
        <w:spacing w:beforeLines="100" w:afterLines="50" w:line="360" w:lineRule="auto"/>
        <w:ind w:firstLine="17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 xml:space="preserve">                                         日期：   年     月    日</w:t>
      </w:r>
    </w:p>
    <w:p>
      <w:pPr>
        <w:tabs>
          <w:tab w:val="left" w:pos="5580"/>
        </w:tabs>
        <w:spacing w:before="120" w:line="360" w:lineRule="auto"/>
        <w:outlineLvl w:val="3"/>
        <w:rPr>
          <w:rFonts w:hint="eastAsia" w:ascii="宋体" w:hAnsi="宋体" w:eastAsia="宋体" w:cs="宋体"/>
          <w:b/>
          <w:color w:val="auto"/>
          <w:sz w:val="24"/>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bookmarkEnd w:id="211"/>
    <w:bookmarkEnd w:id="212"/>
    <w:p>
      <w:pPr>
        <w:tabs>
          <w:tab w:val="left" w:pos="5580"/>
        </w:tabs>
        <w:spacing w:before="120" w:line="360" w:lineRule="auto"/>
        <w:outlineLvl w:val="3"/>
        <w:rPr>
          <w:rFonts w:hint="eastAsia" w:ascii="宋体" w:hAnsi="宋体" w:eastAsia="宋体" w:cs="宋体"/>
          <w:b/>
          <w:color w:val="auto"/>
          <w:szCs w:val="24"/>
          <w:highlight w:val="none"/>
        </w:rPr>
      </w:pPr>
      <w:r>
        <w:rPr>
          <w:rFonts w:hint="eastAsia" w:ascii="宋体" w:hAnsi="宋体" w:eastAsia="宋体" w:cs="宋体"/>
          <w:b/>
          <w:color w:val="auto"/>
          <w:sz w:val="24"/>
          <w:highlight w:val="none"/>
        </w:rPr>
        <w:t>④.有依法缴纳税收和社会保障资金的良好记录；</w:t>
      </w:r>
    </w:p>
    <w:p>
      <w:pPr>
        <w:spacing w:before="120" w:line="360" w:lineRule="auto"/>
        <w:rPr>
          <w:rFonts w:hint="eastAsia" w:ascii="宋体" w:hAnsi="宋体" w:eastAsia="宋体" w:cs="宋体"/>
          <w:color w:val="auto"/>
          <w:sz w:val="24"/>
          <w:highlight w:val="none"/>
        </w:rPr>
      </w:pPr>
    </w:p>
    <w:p>
      <w:pPr>
        <w:spacing w:before="120"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pStyle w:val="23"/>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有依法缴纳税收和社会保障资金的良好记录</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1、税收缴纳证明：提供供应商2021年7月至今任意3个月已缴纳税收凭证或税务机关开具的完税证明（任意税种）；</w:t>
      </w:r>
    </w:p>
    <w:p>
      <w:pPr>
        <w:pStyle w:val="23"/>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2、社会保障资金缴纳证明：提供供应商2021年7月至今任意3个月已缴纳的社会保障资金缴存单据或社保机构开具的社会保险参保缴费情况证明；</w:t>
      </w:r>
    </w:p>
    <w:p>
      <w:pPr>
        <w:pStyle w:val="23"/>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3、依法免税的应提供相关文件证明；依法不需要缴纳社会保障资金的应提供相关文件证明。。</w:t>
      </w: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tabs>
          <w:tab w:val="left" w:pos="5580"/>
        </w:tabs>
        <w:spacing w:before="120" w:line="360" w:lineRule="auto"/>
        <w:outlineLvl w:val="3"/>
        <w:rPr>
          <w:rFonts w:hint="eastAsia" w:ascii="宋体" w:hAnsi="宋体" w:eastAsia="宋体" w:cs="宋体"/>
          <w:b/>
          <w:color w:val="auto"/>
          <w:sz w:val="24"/>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213" w:name="_Toc519085757"/>
      <w:bookmarkStart w:id="214" w:name="_Toc14151"/>
    </w:p>
    <w:p>
      <w:pPr>
        <w:tabs>
          <w:tab w:val="left" w:pos="5580"/>
        </w:tabs>
        <w:spacing w:before="120" w:line="360" w:lineRule="auto"/>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⑤.近三年内，在经营活动中没有重大违法记录；</w:t>
      </w:r>
    </w:p>
    <w:p>
      <w:pPr>
        <w:spacing w:before="120" w:line="360" w:lineRule="auto"/>
        <w:jc w:val="center"/>
        <w:rPr>
          <w:rFonts w:hint="eastAsia" w:ascii="宋体" w:hAnsi="宋体" w:eastAsia="宋体" w:cs="宋体"/>
          <w:b/>
          <w:color w:val="auto"/>
          <w:sz w:val="24"/>
          <w:highlight w:val="none"/>
        </w:rPr>
      </w:pPr>
    </w:p>
    <w:p>
      <w:pPr>
        <w:spacing w:line="360" w:lineRule="auto"/>
        <w:ind w:left="1"/>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供应商无重大违法记录的书面声明格式</w:t>
      </w:r>
    </w:p>
    <w:p>
      <w:pPr>
        <w:spacing w:line="360" w:lineRule="auto"/>
        <w:rPr>
          <w:rFonts w:hint="eastAsia" w:ascii="宋体" w:hAnsi="宋体" w:eastAsia="宋体" w:cs="宋体"/>
          <w:b/>
          <w:color w:val="auto"/>
          <w:spacing w:val="4"/>
          <w:sz w:val="24"/>
          <w:highlight w:val="none"/>
          <w:u w:val="single"/>
        </w:rPr>
      </w:pPr>
    </w:p>
    <w:p>
      <w:pPr>
        <w:spacing w:line="480" w:lineRule="auto"/>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u w:val="single"/>
        </w:rPr>
        <w:t xml:space="preserve">     （采购人名称）    </w:t>
      </w:r>
      <w:r>
        <w:rPr>
          <w:rFonts w:hint="eastAsia" w:ascii="宋体" w:hAnsi="宋体" w:eastAsia="宋体" w:cs="宋体"/>
          <w:color w:val="auto"/>
          <w:spacing w:val="4"/>
          <w:sz w:val="24"/>
          <w:highlight w:val="none"/>
        </w:rPr>
        <w:t>：</w:t>
      </w:r>
    </w:p>
    <w:p>
      <w:pPr>
        <w:spacing w:line="48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公司）为在中华人民共和国境内合法注册并经营的机构。在此郑重声明，我公司在参与本次政府采购活动前3年内在经营活动中没有重大违法记录。</w:t>
      </w:r>
    </w:p>
    <w:p>
      <w:pPr>
        <w:spacing w:line="480" w:lineRule="auto"/>
        <w:ind w:firstLine="496" w:firstLineChars="200"/>
        <w:rPr>
          <w:rFonts w:hint="eastAsia" w:ascii="宋体" w:hAnsi="宋体" w:eastAsia="宋体" w:cs="宋体"/>
          <w:color w:val="auto"/>
          <w:spacing w:val="4"/>
          <w:sz w:val="24"/>
          <w:highlight w:val="none"/>
        </w:rPr>
      </w:pPr>
    </w:p>
    <w:p>
      <w:pPr>
        <w:spacing w:line="480" w:lineRule="auto"/>
        <w:ind w:firstLine="496" w:firstLineChars="200"/>
        <w:rPr>
          <w:rFonts w:hint="eastAsia" w:ascii="宋体" w:hAnsi="宋体" w:eastAsia="宋体" w:cs="宋体"/>
          <w:color w:val="auto"/>
          <w:spacing w:val="4"/>
          <w:sz w:val="24"/>
          <w:highlight w:val="none"/>
        </w:rPr>
      </w:pPr>
    </w:p>
    <w:p>
      <w:pPr>
        <w:spacing w:beforeLines="100" w:afterLines="50" w:line="360" w:lineRule="auto"/>
        <w:ind w:firstLine="2480" w:firstLineChars="1000"/>
        <w:jc w:val="left"/>
        <w:rPr>
          <w:rFonts w:hint="eastAsia" w:ascii="宋体" w:hAnsi="宋体" w:eastAsia="宋体" w:cs="宋体"/>
          <w:color w:val="auto"/>
          <w:spacing w:val="14"/>
          <w:kern w:val="0"/>
          <w:sz w:val="24"/>
          <w:highlight w:val="none"/>
        </w:rPr>
      </w:pPr>
      <w:r>
        <w:rPr>
          <w:rFonts w:hint="eastAsia" w:ascii="宋体" w:hAnsi="宋体" w:eastAsia="宋体" w:cs="宋体"/>
          <w:color w:val="auto"/>
          <w:spacing w:val="4"/>
          <w:sz w:val="24"/>
          <w:highlight w:val="none"/>
        </w:rPr>
        <w:t>供应商名称（盖章）：</w:t>
      </w:r>
      <w:r>
        <w:rPr>
          <w:rFonts w:hint="eastAsia" w:ascii="宋体" w:hAnsi="宋体" w:eastAsia="宋体" w:cs="宋体"/>
          <w:color w:val="auto"/>
          <w:spacing w:val="14"/>
          <w:kern w:val="0"/>
          <w:sz w:val="24"/>
          <w:highlight w:val="none"/>
          <w:u w:val="single"/>
        </w:rPr>
        <w:t xml:space="preserve">（单位全称）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4"/>
          <w:kern w:val="0"/>
          <w:sz w:val="24"/>
          <w:highlight w:val="none"/>
          <w:u w:val="single"/>
        </w:rPr>
        <w:t xml:space="preserve">      </w:t>
      </w:r>
    </w:p>
    <w:p>
      <w:pPr>
        <w:spacing w:beforeLines="100" w:afterLines="50" w:line="360" w:lineRule="auto"/>
        <w:ind w:firstLine="2520" w:firstLineChars="1050"/>
        <w:jc w:val="left"/>
        <w:rPr>
          <w:rFonts w:hint="eastAsia" w:ascii="宋体" w:hAnsi="宋体" w:eastAsia="宋体" w:cs="宋体"/>
          <w:color w:val="auto"/>
          <w:spacing w:val="4"/>
          <w:sz w:val="24"/>
          <w:highlight w:val="none"/>
        </w:rPr>
      </w:pPr>
      <w:r>
        <w:rPr>
          <w:rFonts w:hint="eastAsia" w:ascii="宋体" w:hAnsi="宋体" w:eastAsia="宋体" w:cs="宋体"/>
          <w:color w:val="auto"/>
          <w:kern w:val="0"/>
          <w:sz w:val="24"/>
          <w:highlight w:val="none"/>
        </w:rPr>
        <w:t>法定代表人或委托代理人（签字或盖章）：</w:t>
      </w:r>
      <w:r>
        <w:rPr>
          <w:rFonts w:hint="eastAsia" w:ascii="宋体" w:hAnsi="宋体" w:eastAsia="宋体" w:cs="宋体"/>
          <w:color w:val="auto"/>
          <w:sz w:val="24"/>
          <w:highlight w:val="none"/>
          <w:u w:val="single"/>
        </w:rPr>
        <w:t xml:space="preserve">                                             </w:t>
      </w:r>
    </w:p>
    <w:p>
      <w:pPr>
        <w:spacing w:beforeLines="100" w:afterLines="50" w:line="360" w:lineRule="auto"/>
        <w:ind w:firstLine="17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 xml:space="preserve">                                         日期：   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480" w:lineRule="auto"/>
        <w:ind w:firstLine="496" w:firstLineChars="200"/>
        <w:rPr>
          <w:rFonts w:hint="eastAsia" w:ascii="宋体" w:hAnsi="宋体" w:eastAsia="宋体" w:cs="宋体"/>
          <w:color w:val="auto"/>
          <w:spacing w:val="4"/>
          <w:sz w:val="24"/>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pacing w:val="4"/>
          <w:sz w:val="24"/>
          <w:highlight w:val="none"/>
        </w:rPr>
        <w:t>说明：重大违法记录是指供应商因违法经营受到刑事处罚或者责令停产停业、吊销许可证或者执照、较大数额罚款等行政处罚。</w:t>
      </w:r>
    </w:p>
    <w:p>
      <w:pPr>
        <w:pStyle w:val="6"/>
        <w:rPr>
          <w:rFonts w:hint="eastAsia" w:ascii="宋体" w:hAnsi="宋体" w:eastAsia="宋体" w:cs="宋体"/>
          <w:color w:val="auto"/>
          <w:sz w:val="24"/>
          <w:szCs w:val="24"/>
          <w:highlight w:val="none"/>
        </w:rPr>
      </w:pPr>
      <w:bookmarkStart w:id="215" w:name="_Toc332805620"/>
      <w:bookmarkStart w:id="216" w:name="_Toc332805175"/>
      <w:r>
        <w:rPr>
          <w:rFonts w:hint="eastAsia" w:ascii="宋体" w:hAnsi="宋体" w:eastAsia="宋体" w:cs="宋体"/>
          <w:color w:val="auto"/>
          <w:sz w:val="24"/>
          <w:szCs w:val="24"/>
          <w:highlight w:val="none"/>
        </w:rPr>
        <w:t>2、本项目的特定资格要求：</w:t>
      </w:r>
    </w:p>
    <w:bookmarkEnd w:id="215"/>
    <w:bookmarkEnd w:id="216"/>
    <w:p>
      <w:pPr>
        <w:pStyle w:val="20"/>
        <w:spacing w:beforeAutospacing="0" w:afterAutospacing="0" w:line="360" w:lineRule="auto"/>
        <w:ind w:firstLine="420"/>
        <w:rPr>
          <w:rFonts w:hint="eastAsia" w:ascii="宋体" w:hAnsi="宋体" w:eastAsia="宋体" w:cs="宋体"/>
          <w:color w:val="auto"/>
          <w:spacing w:val="4"/>
          <w:kern w:val="2"/>
          <w:sz w:val="24"/>
          <w:highlight w:val="none"/>
          <w:lang w:val="en-US" w:eastAsia="zh-CN" w:bidi="ar-SA"/>
        </w:rPr>
      </w:pPr>
      <w:r>
        <w:rPr>
          <w:rFonts w:hint="eastAsia" w:ascii="宋体" w:hAnsi="宋体" w:eastAsia="宋体" w:cs="宋体"/>
          <w:color w:val="auto"/>
          <w:spacing w:val="4"/>
          <w:kern w:val="2"/>
          <w:sz w:val="24"/>
          <w:highlight w:val="none"/>
          <w:lang w:val="en-US" w:eastAsia="zh-CN" w:bidi="ar-SA"/>
        </w:rPr>
        <w:t>1.单位负责人为同一人或者存在直接控股、管理关系的不同供应商，不得参加本项目采购活动</w:t>
      </w:r>
      <w:r>
        <w:rPr>
          <w:rFonts w:hint="eastAsia" w:cs="宋体"/>
          <w:color w:val="auto"/>
          <w:spacing w:val="4"/>
          <w:kern w:val="2"/>
          <w:sz w:val="24"/>
          <w:highlight w:val="none"/>
          <w:lang w:val="en-US" w:eastAsia="zh-CN" w:bidi="ar-SA"/>
        </w:rPr>
        <w:t>；</w:t>
      </w:r>
    </w:p>
    <w:p>
      <w:pPr>
        <w:pStyle w:val="20"/>
        <w:spacing w:beforeAutospacing="0" w:afterAutospacing="0" w:line="360" w:lineRule="auto"/>
        <w:ind w:firstLine="420"/>
        <w:rPr>
          <w:rFonts w:hint="eastAsia" w:ascii="宋体" w:hAnsi="宋体" w:eastAsia="宋体" w:cs="宋体"/>
          <w:color w:val="auto"/>
          <w:spacing w:val="4"/>
          <w:kern w:val="2"/>
          <w:sz w:val="24"/>
          <w:highlight w:val="none"/>
          <w:lang w:val="en-US" w:eastAsia="zh-CN" w:bidi="ar-SA"/>
        </w:rPr>
      </w:pPr>
      <w:r>
        <w:rPr>
          <w:rFonts w:hint="eastAsia" w:ascii="宋体" w:hAnsi="宋体" w:eastAsia="宋体" w:cs="宋体"/>
          <w:color w:val="auto"/>
          <w:spacing w:val="4"/>
          <w:kern w:val="2"/>
          <w:sz w:val="24"/>
          <w:highlight w:val="none"/>
          <w:lang w:val="en-US" w:eastAsia="zh-CN" w:bidi="ar-SA"/>
        </w:rPr>
        <w:t>2.</w:t>
      </w:r>
      <w:r>
        <w:rPr>
          <w:rFonts w:hint="eastAsia" w:cs="宋体"/>
          <w:color w:val="auto"/>
          <w:spacing w:val="4"/>
          <w:kern w:val="2"/>
          <w:sz w:val="24"/>
          <w:highlight w:val="none"/>
          <w:lang w:val="en-US" w:eastAsia="zh-CN" w:bidi="ar-SA"/>
        </w:rPr>
        <w:t>本项目不专门面向中小企业采购；</w:t>
      </w:r>
    </w:p>
    <w:p>
      <w:pPr>
        <w:pStyle w:val="20"/>
        <w:spacing w:beforeAutospacing="0" w:afterAutospacing="0" w:line="360" w:lineRule="auto"/>
        <w:ind w:firstLine="420"/>
        <w:rPr>
          <w:rFonts w:hint="eastAsia" w:ascii="宋体" w:hAnsi="宋体" w:eastAsia="宋体" w:cs="宋体"/>
          <w:color w:val="auto"/>
          <w:spacing w:val="4"/>
          <w:kern w:val="2"/>
          <w:sz w:val="24"/>
          <w:highlight w:val="none"/>
          <w:lang w:val="en-US" w:eastAsia="zh-CN" w:bidi="ar-SA"/>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cs="宋体"/>
          <w:color w:val="auto"/>
          <w:spacing w:val="4"/>
          <w:kern w:val="2"/>
          <w:sz w:val="24"/>
          <w:highlight w:val="none"/>
          <w:lang w:val="en-US" w:eastAsia="zh-CN" w:bidi="ar-SA"/>
        </w:rPr>
        <w:t>3.</w:t>
      </w:r>
      <w:r>
        <w:rPr>
          <w:rFonts w:hint="eastAsia" w:ascii="宋体" w:hAnsi="宋体" w:eastAsia="宋体" w:cs="宋体"/>
          <w:color w:val="auto"/>
          <w:spacing w:val="4"/>
          <w:kern w:val="2"/>
          <w:sz w:val="24"/>
          <w:highlight w:val="none"/>
          <w:lang w:val="en-US" w:eastAsia="zh-CN" w:bidi="ar-SA"/>
        </w:rPr>
        <w:t>本项目不接受联合体参与。</w:t>
      </w:r>
    </w:p>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投标声明（格式）</w:t>
      </w:r>
    </w:p>
    <w:p>
      <w:pPr>
        <w:spacing w:line="360" w:lineRule="auto"/>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u w:val="single"/>
        </w:rPr>
        <w:t xml:space="preserve">     （采购人名称）   </w:t>
      </w:r>
      <w:r>
        <w:rPr>
          <w:rFonts w:hint="eastAsia" w:ascii="宋体" w:hAnsi="宋体" w:eastAsia="宋体" w:cs="宋体"/>
          <w:color w:val="auto"/>
          <w:spacing w:val="4"/>
          <w:sz w:val="24"/>
          <w:highlight w:val="none"/>
        </w:rPr>
        <w:t>：</w:t>
      </w:r>
    </w:p>
    <w:p>
      <w:pPr>
        <w:spacing w:beforeLines="100" w:afterLines="50"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我公司参与本项目以单个主体进行参与，没有与其他供应商组成联合体。我公司的</w:t>
      </w:r>
      <w:r>
        <w:rPr>
          <w:rFonts w:hint="eastAsia" w:ascii="宋体" w:hAnsi="宋体" w:eastAsia="宋体" w:cs="宋体"/>
          <w:color w:val="auto"/>
          <w:sz w:val="24"/>
          <w:szCs w:val="24"/>
          <w:highlight w:val="none"/>
          <w:lang w:val="zh-CN"/>
        </w:rPr>
        <w:t>单位负责人</w:t>
      </w:r>
      <w:r>
        <w:rPr>
          <w:rFonts w:hint="eastAsia" w:ascii="宋体" w:hAnsi="宋体" w:eastAsia="宋体" w:cs="宋体"/>
          <w:color w:val="auto"/>
          <w:sz w:val="24"/>
          <w:szCs w:val="24"/>
          <w:highlight w:val="none"/>
        </w:rPr>
        <w:t>不与其他投标供应商的单位负责人</w:t>
      </w:r>
      <w:r>
        <w:rPr>
          <w:rFonts w:hint="eastAsia" w:ascii="宋体" w:hAnsi="宋体" w:eastAsia="宋体" w:cs="宋体"/>
          <w:color w:val="auto"/>
          <w:sz w:val="24"/>
          <w:szCs w:val="24"/>
          <w:highlight w:val="none"/>
          <w:lang w:val="zh-CN"/>
        </w:rPr>
        <w:t>为同一人，</w:t>
      </w:r>
      <w:r>
        <w:rPr>
          <w:rFonts w:hint="eastAsia" w:ascii="宋体" w:hAnsi="宋体" w:eastAsia="宋体" w:cs="宋体"/>
          <w:color w:val="auto"/>
          <w:sz w:val="24"/>
          <w:szCs w:val="24"/>
          <w:highlight w:val="none"/>
        </w:rPr>
        <w:t>不存在与其他供应商有</w:t>
      </w:r>
      <w:r>
        <w:rPr>
          <w:rFonts w:hint="eastAsia" w:ascii="宋体" w:hAnsi="宋体" w:eastAsia="宋体" w:cs="宋体"/>
          <w:color w:val="auto"/>
          <w:sz w:val="24"/>
          <w:szCs w:val="24"/>
          <w:highlight w:val="none"/>
          <w:lang w:val="zh-CN"/>
        </w:rPr>
        <w:t>直接控股、管理关系。</w:t>
      </w:r>
    </w:p>
    <w:p>
      <w:pPr>
        <w:spacing w:beforeLines="100" w:afterLines="50" w:line="360" w:lineRule="auto"/>
        <w:ind w:firstLine="170"/>
        <w:rPr>
          <w:rFonts w:hint="eastAsia" w:ascii="宋体" w:hAnsi="宋体" w:eastAsia="宋体" w:cs="宋体"/>
          <w:color w:val="auto"/>
          <w:spacing w:val="4"/>
          <w:sz w:val="24"/>
          <w:highlight w:val="none"/>
        </w:rPr>
      </w:pPr>
    </w:p>
    <w:p>
      <w:pPr>
        <w:spacing w:beforeLines="100" w:afterLines="50" w:line="360" w:lineRule="auto"/>
        <w:ind w:firstLine="170"/>
        <w:rPr>
          <w:rFonts w:hint="eastAsia" w:ascii="宋体" w:hAnsi="宋体" w:eastAsia="宋体" w:cs="宋体"/>
          <w:color w:val="auto"/>
          <w:spacing w:val="4"/>
          <w:sz w:val="24"/>
          <w:highlight w:val="none"/>
        </w:rPr>
      </w:pPr>
    </w:p>
    <w:p>
      <w:pPr>
        <w:kinsoku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                法定代表人/被授权人（签字或盖章）：</w:t>
      </w:r>
    </w:p>
    <w:p>
      <w:pPr>
        <w:spacing w:line="360" w:lineRule="auto"/>
        <w:ind w:firstLine="643" w:firstLineChars="200"/>
        <w:jc w:val="center"/>
        <w:rPr>
          <w:rFonts w:hint="eastAsia" w:ascii="宋体" w:hAnsi="宋体" w:eastAsia="宋体" w:cs="宋体"/>
          <w:b/>
          <w:bCs/>
          <w:color w:val="auto"/>
          <w:kern w:val="44"/>
          <w:sz w:val="32"/>
          <w:szCs w:val="44"/>
          <w:highlight w:val="none"/>
        </w:rPr>
      </w:pPr>
    </w:p>
    <w:p>
      <w:pPr>
        <w:spacing w:line="360" w:lineRule="auto"/>
        <w:ind w:firstLine="643" w:firstLineChars="200"/>
        <w:jc w:val="center"/>
        <w:rPr>
          <w:rFonts w:hint="eastAsia" w:ascii="宋体" w:hAnsi="宋体" w:eastAsia="宋体" w:cs="宋体"/>
          <w:color w:val="auto"/>
          <w:sz w:val="24"/>
          <w:highlight w:val="none"/>
        </w:rPr>
      </w:pPr>
      <w:r>
        <w:rPr>
          <w:rFonts w:hint="eastAsia" w:ascii="宋体" w:hAnsi="宋体" w:eastAsia="宋体" w:cs="宋体"/>
          <w:b/>
          <w:bCs/>
          <w:color w:val="auto"/>
          <w:kern w:val="44"/>
          <w:sz w:val="32"/>
          <w:szCs w:val="44"/>
          <w:highlight w:val="none"/>
        </w:rPr>
        <w:t xml:space="preserve">                    </w:t>
      </w:r>
      <w:r>
        <w:rPr>
          <w:rFonts w:hint="eastAsia" w:ascii="宋体" w:hAnsi="宋体" w:eastAsia="宋体" w:cs="宋体"/>
          <w:color w:val="auto"/>
          <w:sz w:val="24"/>
          <w:highlight w:val="none"/>
        </w:rPr>
        <w:t xml:space="preserve">  年   月   日</w:t>
      </w:r>
    </w:p>
    <w:p>
      <w:pPr>
        <w:rPr>
          <w:rFonts w:hint="eastAsia" w:ascii="宋体" w:hAnsi="宋体" w:eastAsia="宋体" w:cs="宋体"/>
          <w:color w:val="auto"/>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5"/>
        <w:ind w:firstLine="560"/>
        <w:rPr>
          <w:rFonts w:hint="eastAsia" w:ascii="宋体" w:hAnsi="宋体" w:eastAsia="宋体" w:cs="宋体"/>
          <w:color w:val="auto"/>
          <w:sz w:val="24"/>
          <w:szCs w:val="24"/>
          <w:highlight w:val="none"/>
        </w:rPr>
      </w:pPr>
      <w:bookmarkStart w:id="217" w:name="_Toc7357"/>
      <w:r>
        <w:rPr>
          <w:rFonts w:hint="eastAsia" w:ascii="宋体" w:hAnsi="宋体" w:eastAsia="宋体" w:cs="宋体"/>
          <w:color w:val="auto"/>
          <w:sz w:val="24"/>
          <w:szCs w:val="24"/>
          <w:highlight w:val="none"/>
        </w:rPr>
        <w:t>七、陕西省政府采购供应商拒绝政府采购领域商业贿赂承诺书</w:t>
      </w:r>
      <w:bookmarkEnd w:id="213"/>
      <w:bookmarkEnd w:id="217"/>
    </w:p>
    <w:p>
      <w:pPr>
        <w:pStyle w:val="36"/>
        <w:ind w:firstLine="482"/>
        <w:rPr>
          <w:rFonts w:hint="eastAsia" w:ascii="宋体" w:hAnsi="宋体" w:eastAsia="宋体" w:cs="宋体"/>
          <w:b/>
          <w:color w:val="auto"/>
          <w:sz w:val="24"/>
          <w:highlight w:val="none"/>
        </w:rPr>
      </w:pP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5、不采取不正当手段诋毁、排挤其他供应商。</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9、不发生其他有悖于政府采购公开、公平、公正和诚信原则的行为。</w:t>
      </w:r>
    </w:p>
    <w:p>
      <w:pPr>
        <w:pStyle w:val="12"/>
        <w:rPr>
          <w:rFonts w:hint="eastAsia"/>
          <w:color w:val="auto"/>
          <w:highlight w:val="none"/>
          <w:lang w:eastAsia="zh-CN"/>
        </w:rPr>
      </w:pPr>
    </w:p>
    <w:p>
      <w:pPr>
        <w:widowControl/>
        <w:spacing w:line="408" w:lineRule="auto"/>
        <w:ind w:left="239" w:leftChars="114"/>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承诺单位：（盖章）</w:t>
      </w:r>
    </w:p>
    <w:p>
      <w:pPr>
        <w:widowControl/>
        <w:spacing w:line="408" w:lineRule="auto"/>
        <w:ind w:left="239" w:leftChars="114"/>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kern w:val="0"/>
          <w:sz w:val="24"/>
          <w:highlight w:val="none"/>
        </w:rPr>
        <w:t>：（签字或盖章）</w:t>
      </w:r>
    </w:p>
    <w:p>
      <w:pPr>
        <w:widowControl/>
        <w:spacing w:line="408" w:lineRule="auto"/>
        <w:ind w:left="239" w:leftChars="11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  址：                        </w:t>
      </w:r>
    </w:p>
    <w:p>
      <w:pPr>
        <w:widowControl/>
        <w:spacing w:line="408" w:lineRule="auto"/>
        <w:ind w:left="239" w:leftChars="114"/>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邮  编：</w:t>
      </w:r>
    </w:p>
    <w:p>
      <w:pPr>
        <w:widowControl/>
        <w:spacing w:line="408" w:lineRule="auto"/>
        <w:ind w:left="239" w:leftChars="11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  话：                                                            年  月  日</w:t>
      </w:r>
    </w:p>
    <w:p>
      <w:pPr>
        <w:widowControl/>
        <w:spacing w:line="408" w:lineRule="auto"/>
        <w:ind w:left="239" w:leftChars="114"/>
        <w:jc w:val="left"/>
        <w:rPr>
          <w:rFonts w:hint="eastAsia" w:ascii="宋体" w:hAnsi="宋体" w:eastAsia="宋体" w:cs="宋体"/>
          <w:color w:val="auto"/>
          <w:kern w:val="0"/>
          <w:sz w:val="24"/>
          <w:highlight w:val="none"/>
        </w:rPr>
      </w:pPr>
    </w:p>
    <w:p>
      <w:pPr>
        <w:spacing w:line="360" w:lineRule="auto"/>
        <w:ind w:left="1"/>
        <w:jc w:val="center"/>
        <w:rPr>
          <w:rFonts w:hint="eastAsia" w:ascii="宋体" w:hAnsi="宋体" w:eastAsia="宋体" w:cs="宋体"/>
          <w:b/>
          <w:color w:val="auto"/>
          <w:highlight w:val="none"/>
        </w:rPr>
      </w:pPr>
      <w:r>
        <w:rPr>
          <w:rFonts w:hint="eastAsia" w:ascii="宋体" w:hAnsi="宋体" w:eastAsia="宋体" w:cs="宋体"/>
          <w:b/>
          <w:color w:val="auto"/>
          <w:sz w:val="32"/>
          <w:szCs w:val="32"/>
          <w:highlight w:val="none"/>
        </w:rPr>
        <w:br w:type="page"/>
      </w:r>
      <w:bookmarkStart w:id="218" w:name="_Toc519085758"/>
    </w:p>
    <w:bookmarkEnd w:id="214"/>
    <w:bookmarkEnd w:id="218"/>
    <w:p>
      <w:pPr>
        <w:pStyle w:val="5"/>
        <w:ind w:firstLine="560"/>
        <w:rPr>
          <w:rFonts w:hint="eastAsia" w:ascii="宋体" w:hAnsi="宋体" w:eastAsia="宋体" w:cs="宋体"/>
          <w:color w:val="auto"/>
          <w:sz w:val="24"/>
          <w:szCs w:val="24"/>
          <w:highlight w:val="none"/>
        </w:rPr>
      </w:pPr>
      <w:bookmarkStart w:id="219" w:name="_Toc15317"/>
      <w:bookmarkStart w:id="220" w:name="_Toc25333"/>
      <w:bookmarkStart w:id="221" w:name="_Toc7717"/>
      <w:r>
        <w:rPr>
          <w:rFonts w:hint="eastAsia" w:ascii="宋体" w:hAnsi="宋体" w:eastAsia="宋体" w:cs="宋体"/>
          <w:color w:val="auto"/>
          <w:sz w:val="24"/>
          <w:szCs w:val="24"/>
          <w:highlight w:val="none"/>
        </w:rPr>
        <w:t>八、供应商满足政府采购相关优惠政策的声明或证明材料</w:t>
      </w:r>
      <w:bookmarkEnd w:id="219"/>
      <w:bookmarkEnd w:id="220"/>
      <w:bookmarkEnd w:id="221"/>
    </w:p>
    <w:p>
      <w:pPr>
        <w:spacing w:before="120" w:line="360" w:lineRule="auto"/>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 　</w:t>
      </w:r>
    </w:p>
    <w:p>
      <w:pPr>
        <w:rPr>
          <w:rFonts w:hint="eastAsia" w:ascii="宋体" w:hAnsi="宋体" w:eastAsia="宋体" w:cs="宋体"/>
          <w:color w:val="auto"/>
          <w:highlight w:val="none"/>
        </w:rPr>
      </w:pPr>
    </w:p>
    <w:p>
      <w:pPr>
        <w:widowControl/>
        <w:spacing w:line="432"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凡满足政府采购相关优惠政策的供应商自行根据相关政策规定提供声明和证明材料，如供应商不符合要求无需提供。</w:t>
      </w:r>
    </w:p>
    <w:p>
      <w:pPr>
        <w:spacing w:line="500" w:lineRule="exact"/>
        <w:ind w:firstLine="480" w:firstLineChars="200"/>
        <w:jc w:val="left"/>
        <w:rPr>
          <w:rFonts w:hint="eastAsia" w:ascii="宋体" w:hAnsi="宋体" w:eastAsia="宋体" w:cs="宋体"/>
          <w:color w:val="auto"/>
          <w:sz w:val="24"/>
          <w:szCs w:val="24"/>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spacing w:line="5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中小企业声明函（货物）</w:t>
      </w:r>
    </w:p>
    <w:p>
      <w:pPr>
        <w:spacing w:line="500" w:lineRule="exact"/>
        <w:jc w:val="center"/>
        <w:rPr>
          <w:rFonts w:hint="eastAsia" w:ascii="宋体" w:hAnsi="宋体" w:eastAsia="宋体" w:cs="宋体"/>
          <w:b/>
          <w:color w:val="auto"/>
          <w:sz w:val="30"/>
          <w:szCs w:val="30"/>
          <w:highlight w:val="none"/>
        </w:rPr>
      </w:pP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p>
    <w:p>
      <w:pPr>
        <w:widowControl/>
        <w:numPr>
          <w:ilvl w:val="0"/>
          <w:numId w:val="11"/>
        </w:num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（采购文件中明确的所属行业）行业</w:t>
      </w:r>
      <w:r>
        <w:rPr>
          <w:rFonts w:hint="eastAsia" w:ascii="宋体" w:hAnsi="宋体" w:eastAsia="宋体" w:cs="宋体"/>
          <w:color w:val="auto"/>
          <w:kern w:val="0"/>
          <w:sz w:val="24"/>
          <w:szCs w:val="24"/>
          <w:highlight w:val="none"/>
        </w:rPr>
        <w:t>；制造商为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pPr>
        <w:widowControl/>
        <w:numPr>
          <w:ilvl w:val="0"/>
          <w:numId w:val="11"/>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（采购文件中明确的所属行业）行业</w:t>
      </w:r>
      <w:r>
        <w:rPr>
          <w:rFonts w:hint="eastAsia" w:ascii="宋体" w:hAnsi="宋体" w:eastAsia="宋体" w:cs="宋体"/>
          <w:color w:val="auto"/>
          <w:kern w:val="0"/>
          <w:sz w:val="24"/>
          <w:szCs w:val="24"/>
          <w:highlight w:val="none"/>
        </w:rPr>
        <w:t>；制造商为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pPr>
        <w:widowControl/>
        <w:spacing w:line="360" w:lineRule="auto"/>
        <w:ind w:firstLine="480" w:firstLineChars="200"/>
        <w:jc w:val="left"/>
        <w:rPr>
          <w:rFonts w:hint="eastAsia" w:ascii="宋体" w:hAnsi="宋体" w:eastAsia="宋体" w:cs="宋体"/>
          <w:color w:val="auto"/>
          <w:kern w:val="0"/>
          <w:sz w:val="24"/>
          <w:szCs w:val="24"/>
          <w:highlight w:val="none"/>
        </w:rPr>
      </w:pP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企业名称（盖章）：</w:t>
      </w:r>
    </w:p>
    <w:p>
      <w:pPr>
        <w:widowControl/>
        <w:spacing w:line="360" w:lineRule="auto"/>
        <w:ind w:firstLine="480" w:firstLineChars="200"/>
        <w:jc w:val="left"/>
        <w:rPr>
          <w:rFonts w:hint="eastAsia" w:ascii="宋体" w:hAnsi="宋体" w:eastAsia="宋体" w:cs="宋体"/>
          <w:color w:val="auto"/>
          <w:kern w:val="0"/>
          <w:sz w:val="24"/>
          <w:szCs w:val="24"/>
          <w:highlight w:val="none"/>
        </w:rPr>
      </w:pP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widowControl/>
        <w:spacing w:line="360" w:lineRule="auto"/>
        <w:ind w:firstLine="480" w:firstLineChars="200"/>
        <w:jc w:val="left"/>
        <w:rPr>
          <w:rFonts w:hint="eastAsia" w:ascii="宋体" w:hAnsi="宋体" w:eastAsia="宋体" w:cs="宋体"/>
          <w:color w:val="auto"/>
          <w:kern w:val="0"/>
          <w:sz w:val="24"/>
          <w:szCs w:val="24"/>
          <w:highlight w:val="none"/>
        </w:rPr>
      </w:pPr>
    </w:p>
    <w:p>
      <w:pPr>
        <w:widowControl/>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pPr>
        <w:widowControl/>
        <w:numPr>
          <w:ilvl w:val="0"/>
          <w:numId w:val="12"/>
        </w:numPr>
        <w:spacing w:line="360" w:lineRule="auto"/>
        <w:ind w:left="-60" w:leftChars="0" w:firstLine="480" w:firstLineChars="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从业人员、营业收入、资产总额填报上一年度数据，无上一年度数据的新成立企业可不填报。</w:t>
      </w:r>
    </w:p>
    <w:p>
      <w:pPr>
        <w:widowControl/>
        <w:numPr>
          <w:ilvl w:val="0"/>
          <w:numId w:val="12"/>
        </w:numPr>
        <w:spacing w:line="360" w:lineRule="auto"/>
        <w:ind w:left="-60" w:leftChars="0" w:firstLine="480" w:firstLineChars="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非</w:t>
      </w:r>
      <w:r>
        <w:rPr>
          <w:rFonts w:hint="eastAsia" w:ascii="宋体" w:hAnsi="宋体" w:cs="宋体"/>
          <w:b/>
          <w:bCs/>
          <w:color w:val="auto"/>
          <w:kern w:val="0"/>
          <w:sz w:val="24"/>
          <w:szCs w:val="24"/>
          <w:highlight w:val="none"/>
          <w:lang w:val="en-US" w:eastAsia="zh-CN"/>
        </w:rPr>
        <w:t>中型/</w:t>
      </w:r>
      <w:r>
        <w:rPr>
          <w:rFonts w:hint="eastAsia" w:ascii="宋体" w:hAnsi="宋体" w:eastAsia="宋体" w:cs="宋体"/>
          <w:b/>
          <w:bCs/>
          <w:color w:val="auto"/>
          <w:kern w:val="0"/>
          <w:sz w:val="24"/>
          <w:szCs w:val="24"/>
          <w:highlight w:val="none"/>
        </w:rPr>
        <w:t>小型/微型企业无需出具此函。根据中小企业划型标准规定（工信部联企业[2011]300号），本项目属于</w:t>
      </w:r>
      <w:r>
        <w:rPr>
          <w:rFonts w:hint="eastAsia" w:ascii="宋体" w:hAnsi="宋体" w:cs="宋体"/>
          <w:b/>
          <w:bCs/>
          <w:color w:val="auto"/>
          <w:kern w:val="0"/>
          <w:sz w:val="24"/>
          <w:szCs w:val="24"/>
          <w:highlight w:val="none"/>
          <w:lang w:eastAsia="zh-CN"/>
        </w:rPr>
        <w:t>工业</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本项目为货物类政府采购项目，</w:t>
      </w:r>
      <w:r>
        <w:rPr>
          <w:rFonts w:hint="eastAsia" w:ascii="宋体" w:hAnsi="宋体" w:eastAsia="宋体" w:cs="宋体"/>
          <w:b/>
          <w:bCs/>
          <w:color w:val="auto"/>
          <w:kern w:val="0"/>
          <w:sz w:val="24"/>
          <w:szCs w:val="24"/>
          <w:highlight w:val="none"/>
        </w:rPr>
        <w:t>根据《政府采购促进中小企业发展管理办法》（财库﹝2020﹞46号）的规定</w:t>
      </w:r>
      <w:r>
        <w:rPr>
          <w:rFonts w:hint="eastAsia" w:ascii="宋体" w:hAnsi="宋体" w:cs="宋体"/>
          <w:b/>
          <w:bCs/>
          <w:color w:val="auto"/>
          <w:kern w:val="0"/>
          <w:sz w:val="24"/>
          <w:szCs w:val="24"/>
          <w:highlight w:val="none"/>
          <w:lang w:eastAsia="zh-CN"/>
        </w:rPr>
        <w:t>，货物由中小企业制造，即货物由中小企业生产且使用该中小企业商号或者注册商标，</w:t>
      </w:r>
      <w:r>
        <w:rPr>
          <w:rFonts w:hint="eastAsia" w:ascii="宋体" w:hAnsi="宋体" w:cs="宋体"/>
          <w:b/>
          <w:bCs/>
          <w:color w:val="auto"/>
          <w:kern w:val="0"/>
          <w:sz w:val="24"/>
          <w:szCs w:val="24"/>
          <w:highlight w:val="none"/>
          <w:lang w:val="en-US" w:eastAsia="zh-CN"/>
        </w:rPr>
        <w:t>而以代理商身份参与的供应商本身。</w:t>
      </w:r>
    </w:p>
    <w:p>
      <w:pPr>
        <w:widowControl/>
        <w:numPr>
          <w:ilvl w:val="0"/>
          <w:numId w:val="12"/>
        </w:numPr>
        <w:spacing w:line="360" w:lineRule="auto"/>
        <w:ind w:left="-60" w:leftChars="0" w:firstLine="480" w:firstLineChars="0"/>
        <w:jc w:val="left"/>
        <w:rPr>
          <w:rFonts w:hint="default" w:ascii="宋体" w:hAnsi="宋体" w:eastAsia="宋体" w:cs="宋体"/>
          <w:b/>
          <w:bCs/>
          <w:color w:val="auto"/>
          <w:kern w:val="0"/>
          <w:sz w:val="24"/>
          <w:szCs w:val="24"/>
          <w:highlight w:val="none"/>
          <w:lang w:val="en-US"/>
        </w:rPr>
      </w:pPr>
      <w:r>
        <w:rPr>
          <w:rFonts w:hint="eastAsia" w:ascii="宋体" w:hAnsi="宋体" w:cs="宋体"/>
          <w:b/>
          <w:bCs/>
          <w:color w:val="auto"/>
          <w:kern w:val="0"/>
          <w:sz w:val="24"/>
          <w:szCs w:val="24"/>
          <w:highlight w:val="none"/>
          <w:lang w:val="en-US" w:eastAsia="zh-CN"/>
        </w:rPr>
        <w:t>此函应与《分项报价表》相对应。</w:t>
      </w:r>
    </w:p>
    <w:p>
      <w:pPr>
        <w:widowControl/>
        <w:numPr>
          <w:ilvl w:val="0"/>
          <w:numId w:val="12"/>
        </w:numPr>
        <w:spacing w:line="360" w:lineRule="auto"/>
        <w:ind w:left="-60" w:leftChars="0" w:firstLine="480" w:firstLineChars="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公示期间若发现供应商虚假填报本表，将被上报至财政主管部门，处以相应惩罚。</w:t>
      </w:r>
    </w:p>
    <w:p>
      <w:pPr>
        <w:pStyle w:val="2"/>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5后附中小企业查询小程序。</w:t>
      </w:r>
    </w:p>
    <w:p>
      <w:pPr>
        <w:rPr>
          <w:rFonts w:hint="default"/>
          <w:highlight w:val="none"/>
          <w:lang w:val="en-US"/>
        </w:rPr>
      </w:pPr>
    </w:p>
    <w:p>
      <w:pPr>
        <w:rPr>
          <w:rFonts w:hint="eastAsia" w:ascii="宋体" w:hAnsi="宋体" w:eastAsia="宋体" w:cs="宋体"/>
          <w:color w:val="auto"/>
          <w:highlight w:val="none"/>
        </w:rPr>
      </w:pPr>
    </w:p>
    <w:p>
      <w:pPr>
        <w:tabs>
          <w:tab w:val="left" w:pos="5670"/>
        </w:tabs>
        <w:spacing w:line="500" w:lineRule="exact"/>
        <w:ind w:firstLine="420" w:firstLineChars="200"/>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1034415</wp:posOffset>
            </wp:positionH>
            <wp:positionV relativeFrom="paragraph">
              <wp:posOffset>57150</wp:posOffset>
            </wp:positionV>
            <wp:extent cx="3237230" cy="6492240"/>
            <wp:effectExtent l="0" t="0" r="1270" b="10160"/>
            <wp:wrapNone/>
            <wp:docPr id="7" name="图片 7" descr="3d13c85815f00ecb4dfee7cc2b249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d13c85815f00ecb4dfee7cc2b2496e"/>
                    <pic:cNvPicPr>
                      <a:picLocks noChangeAspect="1"/>
                    </pic:cNvPicPr>
                  </pic:nvPicPr>
                  <pic:blipFill>
                    <a:blip r:embed="rId14"/>
                    <a:stretch>
                      <a:fillRect/>
                    </a:stretch>
                  </pic:blipFill>
                  <pic:spPr>
                    <a:xfrm>
                      <a:off x="0" y="0"/>
                      <a:ext cx="3237230" cy="6492240"/>
                    </a:xfrm>
                    <a:prstGeom prst="rect">
                      <a:avLst/>
                    </a:prstGeom>
                  </pic:spPr>
                </pic:pic>
              </a:graphicData>
            </a:graphic>
          </wp:anchor>
        </w:drawing>
      </w:r>
      <w:r>
        <w:rPr>
          <w:rFonts w:hint="eastAsia" w:ascii="宋体" w:hAnsi="宋体" w:eastAsia="宋体" w:cs="宋体"/>
          <w:color w:val="auto"/>
          <w:highlight w:val="none"/>
        </w:rPr>
        <w:br w:type="page"/>
      </w:r>
      <w:r>
        <w:rPr>
          <w:rFonts w:hint="eastAsia" w:ascii="宋体" w:hAnsi="宋体" w:eastAsia="宋体" w:cs="宋体"/>
          <w:b/>
          <w:color w:val="auto"/>
          <w:sz w:val="30"/>
          <w:szCs w:val="30"/>
          <w:highlight w:val="none"/>
        </w:rPr>
        <w:t>残疾人福利性单位声明函</w:t>
      </w:r>
    </w:p>
    <w:p>
      <w:pPr>
        <w:spacing w:line="500" w:lineRule="exact"/>
        <w:jc w:val="center"/>
        <w:rPr>
          <w:rFonts w:hint="eastAsia" w:ascii="宋体" w:hAnsi="宋体" w:eastAsia="宋体" w:cs="宋体"/>
          <w:b/>
          <w:color w:val="auto"/>
          <w:sz w:val="30"/>
          <w:szCs w:val="30"/>
          <w:highlight w:val="none"/>
        </w:rPr>
      </w:pP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项目编号：____）采购活动提供本单位制造的货物（由本单位承担工程/提供服务），或者提供其他残疾人福利性单位制造的货物（不包括使用非残疾人福利性单位注册商标的货物）。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500" w:lineRule="exact"/>
        <w:ind w:firstLine="480" w:firstLineChars="200"/>
        <w:jc w:val="left"/>
        <w:rPr>
          <w:rFonts w:hint="eastAsia" w:ascii="宋体" w:hAnsi="宋体" w:eastAsia="宋体" w:cs="宋体"/>
          <w:color w:val="auto"/>
          <w:sz w:val="24"/>
          <w:szCs w:val="24"/>
          <w:highlight w:val="none"/>
        </w:rPr>
      </w:pPr>
    </w:p>
    <w:p>
      <w:pPr>
        <w:tabs>
          <w:tab w:val="left" w:pos="5670"/>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Cs w:val="24"/>
          <w:highlight w:val="none"/>
        </w:rPr>
        <w:t>签字或盖章</w:t>
      </w:r>
      <w:r>
        <w:rPr>
          <w:rFonts w:hint="eastAsia" w:ascii="宋体" w:hAnsi="宋体" w:eastAsia="宋体" w:cs="宋体"/>
          <w:color w:val="auto"/>
          <w:sz w:val="24"/>
          <w:szCs w:val="24"/>
          <w:highlight w:val="none"/>
        </w:rPr>
        <w:t>）</w:t>
      </w:r>
    </w:p>
    <w:p>
      <w:pPr>
        <w:tabs>
          <w:tab w:val="left" w:pos="5670"/>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tabs>
          <w:tab w:val="left" w:pos="5670"/>
        </w:tabs>
        <w:spacing w:line="500" w:lineRule="exact"/>
        <w:ind w:firstLine="480" w:firstLineChars="200"/>
        <w:jc w:val="left"/>
        <w:rPr>
          <w:rFonts w:hint="eastAsia" w:ascii="宋体" w:hAnsi="宋体" w:eastAsia="宋体" w:cs="宋体"/>
          <w:color w:val="auto"/>
          <w:sz w:val="24"/>
          <w:szCs w:val="24"/>
          <w:highlight w:val="none"/>
        </w:rPr>
      </w:pP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根据《财政部 民政部 中国残疾人联合会关于促进残疾人就业政府采购政策的通知》（财库〔2017〕141号）的规定：</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一、享受政府采购支持政策的残疾人福利性单位应当同时满足以下条件：</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（一）安置的残疾人占本单位在职职工人数的比例不低于25%（含25%），并且安置的残疾人人数不少于10人（含10人）；</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（二）依法与安置的每位残疾人签订了一年以上（含一年）的劳动合同或服务协议；</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（三）为安置的每位残疾人按月足额缴纳了基本养老保险、基本医疗保险、失业保险、工伤保险和生育保险等社会保险费；</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（四）通过银行等金融机构向安置的每位残疾人，按月支付了不低于单位所在区县适用的经省级人民政府批准的月最低工资标准的工资；</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（五）提供本单位制造的货物、承担的工程或者服务（以下简称产品），或者提供其他残疾人福利性单位制造的货物（不包括使用非残疾人福利性单位注册商标的货物）。</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二、中标/成交供应商为残疾人福利性单位的，采购人或者其委托的采购代理机构应当随中标/成交结果同时公告其《残疾人福利性单位声明函》，接受社会监督。</w:t>
      </w:r>
    </w:p>
    <w:p>
      <w:pPr>
        <w:tabs>
          <w:tab w:val="left" w:pos="5670"/>
        </w:tabs>
        <w:spacing w:line="500" w:lineRule="exact"/>
        <w:ind w:firstLine="482" w:firstLineChars="200"/>
        <w:jc w:val="left"/>
        <w:rPr>
          <w:rFonts w:hint="eastAsia" w:ascii="宋体" w:hAnsi="宋体" w:eastAsia="宋体" w:cs="宋体"/>
          <w:b/>
          <w:color w:val="auto"/>
          <w:sz w:val="30"/>
          <w:szCs w:val="30"/>
          <w:highlight w:val="none"/>
        </w:rPr>
      </w:pPr>
      <w:r>
        <w:rPr>
          <w:rFonts w:hint="eastAsia" w:ascii="宋体" w:hAnsi="宋体" w:eastAsia="宋体" w:cs="宋体"/>
          <w:b/>
          <w:bCs/>
          <w:color w:val="auto"/>
          <w:sz w:val="24"/>
          <w:szCs w:val="24"/>
          <w:highlight w:val="none"/>
        </w:rPr>
        <w:t>非残疾人福利性单位无需出具此函。</w:t>
      </w:r>
    </w:p>
    <w:p>
      <w:pPr>
        <w:pStyle w:val="7"/>
        <w:rPr>
          <w:rFonts w:hint="eastAsia" w:ascii="宋体" w:hAnsi="宋体" w:eastAsia="宋体" w:cs="宋体"/>
          <w:color w:val="auto"/>
          <w:highlight w:val="none"/>
        </w:rPr>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pPr>
        <w:tabs>
          <w:tab w:val="left" w:pos="5670"/>
        </w:tabs>
        <w:spacing w:line="500" w:lineRule="exact"/>
        <w:ind w:firstLine="3313" w:firstLineChars="1100"/>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监狱企业证明函</w:t>
      </w:r>
    </w:p>
    <w:p>
      <w:pPr>
        <w:spacing w:line="500" w:lineRule="exact"/>
        <w:jc w:val="center"/>
        <w:rPr>
          <w:rFonts w:hint="eastAsia" w:ascii="宋体" w:hAnsi="宋体" w:eastAsia="宋体" w:cs="宋体"/>
          <w:b/>
          <w:color w:val="auto"/>
          <w:sz w:val="30"/>
          <w:szCs w:val="30"/>
          <w:highlight w:val="none"/>
        </w:rPr>
      </w:pP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非监狱企业无需出具此函。</w:t>
      </w:r>
    </w:p>
    <w:p>
      <w:pPr>
        <w:rPr>
          <w:rFonts w:hint="eastAsia" w:ascii="宋体" w:hAnsi="宋体" w:eastAsia="宋体" w:cs="宋体"/>
          <w:color w:val="auto"/>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lang w:val="en-US" w:eastAsia="zh-CN"/>
        </w:rPr>
      </w:pPr>
    </w:p>
    <w:bookmarkEnd w:id="222"/>
    <w:sectPr>
      <w:pgSz w:w="11906" w:h="16838"/>
      <w:pgMar w:top="1417" w:right="1644" w:bottom="1191" w:left="175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8"/>
      </w:rPr>
    </w:pPr>
    <w:r>
      <w:fldChar w:fldCharType="begin"/>
    </w:r>
    <w:r>
      <w:rPr>
        <w:rStyle w:val="28"/>
      </w:rPr>
      <w:instrText xml:space="preserve">PAGE  </w:instrText>
    </w:r>
    <w: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cs="宋体"/>
        <w:szCs w:val="18"/>
        <w:lang w:val="en-US" w:eastAsia="zh-CN"/>
      </w:rPr>
    </w:pPr>
  </w:p>
  <w:p>
    <w:pPr>
      <w:pStyle w:val="16"/>
      <w:rPr>
        <w:rFonts w:cs="宋体"/>
        <w:szCs w:val="18"/>
      </w:rPr>
    </w:pPr>
    <w:r>
      <w:rPr>
        <w:rFonts w:hint="eastAsia" w:cs="宋体"/>
        <w:szCs w:val="18"/>
      </w:rPr>
      <w:t xml:space="preserve">陕西中信海诚造价咨询有限公司          </w:t>
    </w:r>
    <w:r>
      <w:rPr>
        <w:rFonts w:hint="eastAsia" w:cs="宋体"/>
        <w:szCs w:val="18"/>
        <w:lang w:val="en-US" w:eastAsia="zh-CN"/>
      </w:rPr>
      <w:t xml:space="preserve">  </w:t>
    </w:r>
    <w:r>
      <w:rPr>
        <w:rFonts w:hint="eastAsia" w:cs="宋体"/>
        <w:szCs w:val="18"/>
      </w:rPr>
      <w:t xml:space="preserve">  地址：西安市碑林区含光北路2号广丰国际大厦II区806室</w:t>
    </w:r>
  </w:p>
  <w:p>
    <w:pPr>
      <w:pStyle w:val="16"/>
      <w:jc w:val="center"/>
      <w:rPr>
        <w:rFonts w:ascii="宋体" w:hAnsi="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posOffset>2266315</wp:posOffset>
              </wp:positionH>
              <wp:positionV relativeFrom="paragraph">
                <wp:posOffset>12700</wp:posOffset>
              </wp:positionV>
              <wp:extent cx="1135380" cy="2165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35380" cy="216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8.45pt;margin-top:1pt;height:17.05pt;width:89.4pt;mso-position-horizontal-relative:margin;z-index:251660288;mso-width-relative:page;mso-height-relative:page;" filled="f" stroked="f" coordsize="21600,21600" o:gfxdata="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wEIjtcAAAAIAQAADwAAAAAAAAABACAAAAAiAAAAZHJzL2Rvd25y&#10;ZXYueG1sUEsBAhQAFAAAAAgAh07iQB2ass84AgAAYgQAAA4AAAAAAAAAAQAgAAAAJgEAAGRycy9l&#10;Mm9Eb2MueG1sUEsFBgAAAAAGAAYAWQEAANAFAAAAAA==&#10;">
              <v:fill on="f" focussize="0,0"/>
              <v:stroke on="f" weight="0.5pt"/>
              <v:imagedata o:title=""/>
              <o:lock v:ext="edit" aspectratio="f"/>
              <v:textbox inset="0mm,0mm,0mm,0mm">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cs="宋体"/>
        <w:szCs w:val="18"/>
        <w:lang w:val="en-US" w:eastAsia="zh-CN"/>
      </w:rPr>
    </w:pPr>
  </w:p>
  <w:p>
    <w:pPr>
      <w:pStyle w:val="16"/>
      <w:rPr>
        <w:rFonts w:hint="eastAsia" w:cs="宋体"/>
        <w:szCs w:val="18"/>
      </w:rPr>
    </w:pPr>
    <w:r>
      <w:rPr>
        <w:rFonts w:hint="eastAsia" w:cs="宋体"/>
        <w:szCs w:val="18"/>
      </w:rPr>
      <w:t>陕西中信海诚造价咨询有限公司            地址：西安市碑林区含光北路2号广丰国际大厦II区806室</w:t>
    </w:r>
  </w:p>
  <w:p>
    <w:pPr>
      <w:pStyle w:val="16"/>
      <w:rPr>
        <w:rFonts w:hint="eastAsia" w:cs="宋体"/>
        <w:szCs w:val="18"/>
      </w:rPr>
    </w:pPr>
    <w:r>
      <w:rPr>
        <w:sz w:val="18"/>
      </w:rPr>
      <mc:AlternateContent>
        <mc:Choice Requires="wps">
          <w:drawing>
            <wp:anchor distT="0" distB="0" distL="114300" distR="114300" simplePos="0" relativeHeight="251661312" behindDoc="0" locked="0" layoutInCell="1" allowOverlap="1">
              <wp:simplePos x="0" y="0"/>
              <wp:positionH relativeFrom="margin">
                <wp:posOffset>1957070</wp:posOffset>
              </wp:positionH>
              <wp:positionV relativeFrom="paragraph">
                <wp:posOffset>19685</wp:posOffset>
              </wp:positionV>
              <wp:extent cx="1333500" cy="2311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33500"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54.1pt;margin-top:1.55pt;height:18.2pt;width:105pt;mso-position-horizontal-relative:margin;z-index:251661312;mso-width-relative:page;mso-height-relative:page;" filled="f" stroked="f" coordsize="21600,21600" o:gfxdata="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3VZ9UAAAAIAQAADwAAAAAAAAABACAAAAAiAAAAZHJzL2Rvd25yZXYu&#10;eG1sUEsBAhQAFAAAAAgAh07iQGG4qFQ3AgAAYgQAAA4AAAAAAAAAAQAgAAAAJAEAAGRycy9lMm9E&#10;b2MueG1sUEsFBgAAAAAGAAYAWQEAAM0FAAAAAA==&#10;">
              <v:fill on="f" focussize="0,0"/>
              <v:stroke on="f" weight="0.5pt"/>
              <v:imagedata o:title=""/>
              <o:lock v:ext="edit" aspectratio="f"/>
              <v:textbox inset="0mm,0mm,0mm,0mm">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p>
  <w:p>
    <w:pPr>
      <w:pStyle w:val="16"/>
      <w:jc w:val="cente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cs="宋体"/>
        <w:szCs w:val="18"/>
        <w:lang w:val="en-US" w:eastAsia="zh-CN"/>
      </w:rPr>
    </w:pPr>
  </w:p>
  <w:p>
    <w:pPr>
      <w:pStyle w:val="16"/>
      <w:rPr>
        <w:rFonts w:cs="宋体"/>
        <w:szCs w:val="18"/>
      </w:rPr>
    </w:pPr>
    <w:r>
      <w:rPr>
        <w:rFonts w:hint="eastAsia" w:cs="宋体"/>
        <w:szCs w:val="18"/>
      </w:rPr>
      <w:t xml:space="preserve">陕西中信海诚造价咨询有限公司          </w:t>
    </w:r>
    <w:r>
      <w:rPr>
        <w:rFonts w:hint="eastAsia" w:cs="宋体"/>
        <w:szCs w:val="18"/>
        <w:lang w:val="en-US" w:eastAsia="zh-CN"/>
      </w:rPr>
      <w:t xml:space="preserve">                                                                </w:t>
    </w:r>
    <w:r>
      <w:rPr>
        <w:rFonts w:hint="eastAsia" w:cs="宋体"/>
        <w:szCs w:val="18"/>
      </w:rPr>
      <w:t xml:space="preserve">  地址：西安市碑林区含光北路2号广丰国际大厦II区806室</w:t>
    </w:r>
  </w:p>
  <w:p>
    <w:pPr>
      <w:pStyle w:val="16"/>
      <w:jc w:val="center"/>
      <w:rPr>
        <w:rFonts w:ascii="宋体" w:hAnsi="宋体" w:cs="宋体"/>
      </w:rPr>
    </w:pPr>
    <w:r>
      <w:rPr>
        <w:sz w:val="18"/>
      </w:rPr>
      <mc:AlternateContent>
        <mc:Choice Requires="wps">
          <w:drawing>
            <wp:anchor distT="0" distB="0" distL="114300" distR="114300" simplePos="0" relativeHeight="251662336" behindDoc="0" locked="0" layoutInCell="1" allowOverlap="1">
              <wp:simplePos x="0" y="0"/>
              <wp:positionH relativeFrom="margin">
                <wp:posOffset>3767455</wp:posOffset>
              </wp:positionH>
              <wp:positionV relativeFrom="paragraph">
                <wp:posOffset>12700</wp:posOffset>
              </wp:positionV>
              <wp:extent cx="1305560" cy="2165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05560" cy="216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96.65pt;margin-top:1pt;height:17.05pt;width:102.8pt;mso-position-horizontal-relative:margin;z-index:251662336;mso-width-relative:page;mso-height-relative:page;" filled="f" stroked="f" coordsize="21600,21600" o:gfxdata="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x9kaX1wAAAAgBAAAPAAAAAAAAAAEAIAAAACIAAABkcnMvZG93bnJl&#10;di54bWxQSwECFAAUAAAACACHTuJAZFVk6TcCAABiBAAADgAAAAAAAAABACAAAAAmAQAAZHJzL2Uy&#10;b0RvYy54bWxQSwUGAAAAAAYABgBZAQAAzwUAAAAA&#10;">
              <v:fill on="f" focussize="0,0"/>
              <v:stroke on="f" weight="0.5pt"/>
              <v:imagedata o:title=""/>
              <o:lock v:ext="edit" aspectratio="f"/>
              <v:textbox inset="0mm,0mm,0mm,0mm">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rPr>
        <w:rFonts w:hint="eastAsia" w:cs="宋体"/>
        <w:szCs w:val="18"/>
        <w:lang w:val="en-US" w:eastAsia="zh-CN"/>
      </w:rPr>
    </w:pPr>
  </w:p>
  <w:p>
    <w:pPr>
      <w:pStyle w:val="16"/>
      <w:rPr>
        <w:rFonts w:cs="宋体"/>
        <w:szCs w:val="18"/>
      </w:rPr>
    </w:pPr>
    <w:r>
      <w:rPr>
        <w:rFonts w:hint="eastAsia" w:cs="宋体"/>
        <w:szCs w:val="18"/>
      </w:rPr>
      <w:t xml:space="preserve">陕西中信海诚造价咨询有限公司         </w:t>
    </w:r>
    <w:r>
      <w:rPr>
        <w:rFonts w:hint="eastAsia" w:cs="宋体"/>
        <w:szCs w:val="18"/>
        <w:lang w:val="en-US" w:eastAsia="zh-CN"/>
      </w:rPr>
      <w:t xml:space="preserve">   </w:t>
    </w:r>
    <w:r>
      <w:rPr>
        <w:rFonts w:hint="eastAsia" w:cs="宋体"/>
        <w:szCs w:val="18"/>
      </w:rPr>
      <w:t xml:space="preserve">  地址：西安市碑林区含光北路2号广丰国际大厦II区806室</w:t>
    </w:r>
  </w:p>
  <w:p>
    <w:pPr>
      <w:pStyle w:val="16"/>
      <w:jc w:val="center"/>
      <w:rPr>
        <w:rFonts w:ascii="宋体" w:hAnsi="宋体" w:cs="宋体"/>
      </w:rPr>
    </w:pPr>
    <w:r>
      <w:rPr>
        <w:sz w:val="18"/>
      </w:rPr>
      <mc:AlternateContent>
        <mc:Choice Requires="wps">
          <w:drawing>
            <wp:anchor distT="0" distB="0" distL="114300" distR="114300" simplePos="0" relativeHeight="251663360" behindDoc="0" locked="0" layoutInCell="1" allowOverlap="1">
              <wp:simplePos x="0" y="0"/>
              <wp:positionH relativeFrom="margin">
                <wp:posOffset>1931035</wp:posOffset>
              </wp:positionH>
              <wp:positionV relativeFrom="paragraph">
                <wp:posOffset>12700</wp:posOffset>
              </wp:positionV>
              <wp:extent cx="1282065" cy="2165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282065" cy="216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52.05pt;margin-top:1pt;height:17.05pt;width:100.95pt;mso-position-horizontal-relative:margin;z-index:251663360;mso-width-relative:page;mso-height-relative:page;" filled="f" stroked="f" coordsize="21600,21600" o:gfxdata="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SZQq61QAAAAgBAAAPAAAAAAAAAAEAIAAAACIAAABkcnMvZG93bnJldi54&#10;bWxQSwECFAAUAAAACACHTuJABEXWFjYCAABiBAAADgAAAAAAAAABACAAAAAkAQAAZHJzL2Uyb0Rv&#10;Yy54bWxQSwUGAAAAAAYABgBZAQAAzAUAAAAA&#10;">
              <v:fill on="f" focussize="0,0"/>
              <v:stroke on="f" weight="0.5pt"/>
              <v:imagedata o:title=""/>
              <o:lock v:ext="edit" aspectratio="f"/>
              <v:textbox inset="0mm,0mm,0mm,0mm">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Cs w:val="18"/>
      </w:rPr>
    </w:pPr>
    <w:r>
      <w:rPr>
        <w:rFonts w:hint="eastAsia" w:ascii="宋体" w:hAnsi="宋体" w:cs="宋体"/>
        <w:szCs w:val="18"/>
        <w:lang w:eastAsia="zh-CN"/>
      </w:rPr>
      <w:t>西安市碑林区文艺路小学班班通及云机房设备采购项目</w:t>
    </w:r>
    <w:r>
      <w:rPr>
        <w:rFonts w:hint="eastAsia" w:ascii="宋体" w:hAnsi="宋体" w:cs="宋体"/>
        <w:szCs w:val="18"/>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szCs w:val="18"/>
      </w:rPr>
    </w:pPr>
    <w:r>
      <w:rPr>
        <w:rFonts w:hint="eastAsia" w:ascii="宋体" w:hAnsi="宋体" w:cs="宋体"/>
        <w:szCs w:val="18"/>
        <w:lang w:eastAsia="zh-CN"/>
      </w:rPr>
      <w:t>西安市碑林区文艺路小学班班通及云机房设备采购项目</w:t>
    </w:r>
    <w:r>
      <w:rPr>
        <w:rFonts w:hint="eastAsia" w:ascii="宋体" w:hAnsi="宋体" w:cs="宋体"/>
        <w:szCs w:val="18"/>
      </w:rPr>
      <w:t>竞争性谈判文件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Fonts w:hint="eastAsia" w:ascii="宋体" w:hAnsi="宋体" w:cs="宋体"/>
        <w:szCs w:val="18"/>
        <w:lang w:eastAsia="zh-CN"/>
      </w:rPr>
      <w:t>西安市碑林区文艺路小学班班通及云机房设备采购项目</w:t>
    </w:r>
    <w:r>
      <w:rPr>
        <w:rFonts w:hint="eastAsia" w:ascii="宋体" w:hAnsi="宋体" w:cs="宋体"/>
        <w:szCs w:val="18"/>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E7A21"/>
    <w:multiLevelType w:val="singleLevel"/>
    <w:tmpl w:val="970E7A21"/>
    <w:lvl w:ilvl="0" w:tentative="0">
      <w:start w:val="1"/>
      <w:numFmt w:val="decimal"/>
      <w:suff w:val="nothing"/>
      <w:lvlText w:val="%1、"/>
      <w:lvlJc w:val="left"/>
    </w:lvl>
  </w:abstractNum>
  <w:abstractNum w:abstractNumId="1">
    <w:nsid w:val="B0AE91AE"/>
    <w:multiLevelType w:val="singleLevel"/>
    <w:tmpl w:val="B0AE91AE"/>
    <w:lvl w:ilvl="0" w:tentative="0">
      <w:start w:val="3"/>
      <w:numFmt w:val="decimal"/>
      <w:suff w:val="nothing"/>
      <w:lvlText w:val="%1、"/>
      <w:lvlJc w:val="left"/>
    </w:lvl>
  </w:abstractNum>
  <w:abstractNum w:abstractNumId="2">
    <w:nsid w:val="B5D25826"/>
    <w:multiLevelType w:val="singleLevel"/>
    <w:tmpl w:val="B5D25826"/>
    <w:lvl w:ilvl="0" w:tentative="0">
      <w:start w:val="2"/>
      <w:numFmt w:val="decimal"/>
      <w:suff w:val="nothing"/>
      <w:lvlText w:val="%1、"/>
      <w:lvlJc w:val="left"/>
    </w:lvl>
  </w:abstractNum>
  <w:abstractNum w:abstractNumId="3">
    <w:nsid w:val="DC289C3F"/>
    <w:multiLevelType w:val="singleLevel"/>
    <w:tmpl w:val="DC289C3F"/>
    <w:lvl w:ilvl="0" w:tentative="0">
      <w:start w:val="1"/>
      <w:numFmt w:val="chineseCounting"/>
      <w:suff w:val="nothing"/>
      <w:lvlText w:val="%1、"/>
      <w:lvlJc w:val="left"/>
      <w:rPr>
        <w:rFonts w:hint="eastAsia" w:ascii="宋体" w:hAnsi="宋体" w:eastAsia="宋体" w:cs="宋体"/>
        <w:sz w:val="24"/>
        <w:szCs w:val="24"/>
      </w:rPr>
    </w:lvl>
  </w:abstractNum>
  <w:abstractNum w:abstractNumId="4">
    <w:nsid w:val="FC5F827B"/>
    <w:multiLevelType w:val="singleLevel"/>
    <w:tmpl w:val="FC5F827B"/>
    <w:lvl w:ilvl="0" w:tentative="0">
      <w:start w:val="1"/>
      <w:numFmt w:val="decimal"/>
      <w:lvlText w:val="%1."/>
      <w:lvlJc w:val="left"/>
      <w:pPr>
        <w:tabs>
          <w:tab w:val="left" w:pos="312"/>
        </w:tabs>
      </w:pPr>
    </w:lvl>
  </w:abstractNum>
  <w:abstractNum w:abstractNumId="5">
    <w:nsid w:val="FE9D9E2D"/>
    <w:multiLevelType w:val="singleLevel"/>
    <w:tmpl w:val="FE9D9E2D"/>
    <w:lvl w:ilvl="0" w:tentative="0">
      <w:start w:val="1"/>
      <w:numFmt w:val="decimal"/>
      <w:suff w:val="nothing"/>
      <w:lvlText w:val="%1、"/>
      <w:lvlJc w:val="left"/>
    </w:lvl>
  </w:abstractNum>
  <w:abstractNum w:abstractNumId="6">
    <w:nsid w:val="005859CF"/>
    <w:multiLevelType w:val="singleLevel"/>
    <w:tmpl w:val="005859CF"/>
    <w:lvl w:ilvl="0" w:tentative="0">
      <w:start w:val="1"/>
      <w:numFmt w:val="decimal"/>
      <w:lvlText w:val="%1."/>
      <w:lvlJc w:val="left"/>
      <w:pPr>
        <w:ind w:left="425" w:hanging="425"/>
      </w:pPr>
      <w:rPr>
        <w:rFonts w:hint="default"/>
      </w:rPr>
    </w:lvl>
  </w:abstractNum>
  <w:abstractNum w:abstractNumId="7">
    <w:nsid w:val="05DC2D9D"/>
    <w:multiLevelType w:val="singleLevel"/>
    <w:tmpl w:val="05DC2D9D"/>
    <w:lvl w:ilvl="0" w:tentative="0">
      <w:start w:val="2"/>
      <w:numFmt w:val="chineseCounting"/>
      <w:suff w:val="nothing"/>
      <w:lvlText w:val="（%1）"/>
      <w:lvlJc w:val="left"/>
      <w:rPr>
        <w:rFonts w:hint="eastAsia"/>
      </w:rPr>
    </w:lvl>
  </w:abstractNum>
  <w:abstractNum w:abstractNumId="8">
    <w:nsid w:val="1C1749AA"/>
    <w:multiLevelType w:val="singleLevel"/>
    <w:tmpl w:val="1C1749AA"/>
    <w:lvl w:ilvl="0" w:tentative="0">
      <w:start w:val="1"/>
      <w:numFmt w:val="decimal"/>
      <w:suff w:val="nothing"/>
      <w:lvlText w:val="%1）"/>
      <w:lvlJc w:val="left"/>
    </w:lvl>
  </w:abstractNum>
  <w:abstractNum w:abstractNumId="9">
    <w:nsid w:val="4432A424"/>
    <w:multiLevelType w:val="singleLevel"/>
    <w:tmpl w:val="4432A424"/>
    <w:lvl w:ilvl="0" w:tentative="0">
      <w:start w:val="1"/>
      <w:numFmt w:val="decimal"/>
      <w:suff w:val="nothing"/>
      <w:lvlText w:val="%1、"/>
      <w:lvlJc w:val="left"/>
      <w:pPr>
        <w:ind w:left="-60"/>
      </w:pPr>
    </w:lvl>
  </w:abstractNum>
  <w:abstractNum w:abstractNumId="10">
    <w:nsid w:val="69843588"/>
    <w:multiLevelType w:val="singleLevel"/>
    <w:tmpl w:val="69843588"/>
    <w:lvl w:ilvl="0" w:tentative="0">
      <w:start w:val="1"/>
      <w:numFmt w:val="decimal"/>
      <w:suff w:val="nothing"/>
      <w:lvlText w:val="%1、"/>
      <w:lvlJc w:val="left"/>
    </w:lvl>
  </w:abstractNum>
  <w:abstractNum w:abstractNumId="11">
    <w:nsid w:val="70E23EC0"/>
    <w:multiLevelType w:val="singleLevel"/>
    <w:tmpl w:val="70E23EC0"/>
    <w:lvl w:ilvl="0" w:tentative="0">
      <w:start w:val="1"/>
      <w:numFmt w:val="decimal"/>
      <w:lvlText w:val="%1."/>
      <w:lvlJc w:val="left"/>
      <w:pPr>
        <w:ind w:left="425" w:hanging="425"/>
      </w:pPr>
      <w:rPr>
        <w:rFonts w:hint="default"/>
      </w:rPr>
    </w:lvl>
  </w:abstractNum>
  <w:num w:numId="1">
    <w:abstractNumId w:val="11"/>
  </w:num>
  <w:num w:numId="2">
    <w:abstractNumId w:val="10"/>
  </w:num>
  <w:num w:numId="3">
    <w:abstractNumId w:val="6"/>
  </w:num>
  <w:num w:numId="4">
    <w:abstractNumId w:val="0"/>
  </w:num>
  <w:num w:numId="5">
    <w:abstractNumId w:val="3"/>
  </w:num>
  <w:num w:numId="6">
    <w:abstractNumId w:val="7"/>
  </w:num>
  <w:num w:numId="7">
    <w:abstractNumId w:val="5"/>
  </w:num>
  <w:num w:numId="8">
    <w:abstractNumId w:val="2"/>
  </w:num>
  <w:num w:numId="9">
    <w:abstractNumId w:val="1"/>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forms" w:formatting="1"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MzczNTc3YmU2NmQwYjVhMDNlYzc4OTI1OWNmMTIifQ=="/>
  </w:docVars>
  <w:rsids>
    <w:rsidRoot w:val="68E14B9D"/>
    <w:rsid w:val="00030E3B"/>
    <w:rsid w:val="00036460"/>
    <w:rsid w:val="00082611"/>
    <w:rsid w:val="000F5B9D"/>
    <w:rsid w:val="00173181"/>
    <w:rsid w:val="00181BEC"/>
    <w:rsid w:val="00184E6A"/>
    <w:rsid w:val="001E01C9"/>
    <w:rsid w:val="001E264E"/>
    <w:rsid w:val="0023578A"/>
    <w:rsid w:val="00287BB1"/>
    <w:rsid w:val="002A0EFA"/>
    <w:rsid w:val="002A6B4B"/>
    <w:rsid w:val="0030743C"/>
    <w:rsid w:val="00317B43"/>
    <w:rsid w:val="00321DA0"/>
    <w:rsid w:val="003A6814"/>
    <w:rsid w:val="00433134"/>
    <w:rsid w:val="00460885"/>
    <w:rsid w:val="004819D5"/>
    <w:rsid w:val="00486D75"/>
    <w:rsid w:val="004C5F35"/>
    <w:rsid w:val="004D6D2A"/>
    <w:rsid w:val="00503783"/>
    <w:rsid w:val="005C3B13"/>
    <w:rsid w:val="005C5513"/>
    <w:rsid w:val="005E4180"/>
    <w:rsid w:val="00675F3D"/>
    <w:rsid w:val="0068355E"/>
    <w:rsid w:val="00685920"/>
    <w:rsid w:val="00753CB9"/>
    <w:rsid w:val="00792F0C"/>
    <w:rsid w:val="007C7A9A"/>
    <w:rsid w:val="0092286A"/>
    <w:rsid w:val="00941083"/>
    <w:rsid w:val="00966EE6"/>
    <w:rsid w:val="009C267F"/>
    <w:rsid w:val="009D1750"/>
    <w:rsid w:val="009E795C"/>
    <w:rsid w:val="00A0287F"/>
    <w:rsid w:val="00A53485"/>
    <w:rsid w:val="00AD41B0"/>
    <w:rsid w:val="00B3567E"/>
    <w:rsid w:val="00BE24F7"/>
    <w:rsid w:val="00C236C0"/>
    <w:rsid w:val="00C920C1"/>
    <w:rsid w:val="00C92D04"/>
    <w:rsid w:val="00CD4BDE"/>
    <w:rsid w:val="00D459A3"/>
    <w:rsid w:val="00D75AED"/>
    <w:rsid w:val="00D9767A"/>
    <w:rsid w:val="00DA3868"/>
    <w:rsid w:val="00DA50FE"/>
    <w:rsid w:val="00DB7D6D"/>
    <w:rsid w:val="00E12827"/>
    <w:rsid w:val="00E332EB"/>
    <w:rsid w:val="00E36116"/>
    <w:rsid w:val="00E4172E"/>
    <w:rsid w:val="00EA6363"/>
    <w:rsid w:val="00ED7CAD"/>
    <w:rsid w:val="00EE06DE"/>
    <w:rsid w:val="00EF7C50"/>
    <w:rsid w:val="00F03510"/>
    <w:rsid w:val="00FB3B8E"/>
    <w:rsid w:val="00FF48CE"/>
    <w:rsid w:val="026B0E48"/>
    <w:rsid w:val="02B03C97"/>
    <w:rsid w:val="02F60B1E"/>
    <w:rsid w:val="032A0C79"/>
    <w:rsid w:val="03564A79"/>
    <w:rsid w:val="039E4FA9"/>
    <w:rsid w:val="03C96D89"/>
    <w:rsid w:val="04172BF8"/>
    <w:rsid w:val="043F3CA7"/>
    <w:rsid w:val="04DA3A06"/>
    <w:rsid w:val="04E50E24"/>
    <w:rsid w:val="04FB2EB1"/>
    <w:rsid w:val="050642F1"/>
    <w:rsid w:val="05650933"/>
    <w:rsid w:val="058E78B6"/>
    <w:rsid w:val="0675074F"/>
    <w:rsid w:val="069B07AA"/>
    <w:rsid w:val="07460585"/>
    <w:rsid w:val="07E763D1"/>
    <w:rsid w:val="080816E0"/>
    <w:rsid w:val="080D4F1E"/>
    <w:rsid w:val="08A544E7"/>
    <w:rsid w:val="08CE1BEC"/>
    <w:rsid w:val="09836E04"/>
    <w:rsid w:val="0A797E83"/>
    <w:rsid w:val="0AB82D91"/>
    <w:rsid w:val="0B853613"/>
    <w:rsid w:val="0CF54666"/>
    <w:rsid w:val="0DA36D2B"/>
    <w:rsid w:val="0E0F7F0B"/>
    <w:rsid w:val="0E3A1D5C"/>
    <w:rsid w:val="0E813FB1"/>
    <w:rsid w:val="0E8925F9"/>
    <w:rsid w:val="0EA9019B"/>
    <w:rsid w:val="0EEB1858"/>
    <w:rsid w:val="0F31639B"/>
    <w:rsid w:val="0F466F3B"/>
    <w:rsid w:val="0F9676F6"/>
    <w:rsid w:val="0FD47384"/>
    <w:rsid w:val="10B87336"/>
    <w:rsid w:val="10DF0397"/>
    <w:rsid w:val="10F5023B"/>
    <w:rsid w:val="11474561"/>
    <w:rsid w:val="119B329C"/>
    <w:rsid w:val="11A623CB"/>
    <w:rsid w:val="12716693"/>
    <w:rsid w:val="12766E6A"/>
    <w:rsid w:val="12A91934"/>
    <w:rsid w:val="12C25A87"/>
    <w:rsid w:val="12DD6110"/>
    <w:rsid w:val="12E71012"/>
    <w:rsid w:val="136E2B1F"/>
    <w:rsid w:val="13F83460"/>
    <w:rsid w:val="149C06D4"/>
    <w:rsid w:val="14F50214"/>
    <w:rsid w:val="14FF7444"/>
    <w:rsid w:val="15AA110F"/>
    <w:rsid w:val="15C80202"/>
    <w:rsid w:val="15CA5D30"/>
    <w:rsid w:val="15F06E59"/>
    <w:rsid w:val="16365C85"/>
    <w:rsid w:val="166070CD"/>
    <w:rsid w:val="166A5115"/>
    <w:rsid w:val="16B62592"/>
    <w:rsid w:val="16B67B5B"/>
    <w:rsid w:val="173B0CF0"/>
    <w:rsid w:val="17C410E8"/>
    <w:rsid w:val="17F142F2"/>
    <w:rsid w:val="183250CC"/>
    <w:rsid w:val="18B84D23"/>
    <w:rsid w:val="18D64480"/>
    <w:rsid w:val="1913512D"/>
    <w:rsid w:val="19695EA1"/>
    <w:rsid w:val="197C23D2"/>
    <w:rsid w:val="1A311299"/>
    <w:rsid w:val="1AA54730"/>
    <w:rsid w:val="1CE15080"/>
    <w:rsid w:val="1CF1611C"/>
    <w:rsid w:val="1D2753DD"/>
    <w:rsid w:val="1DE11FCD"/>
    <w:rsid w:val="1EA9562C"/>
    <w:rsid w:val="1ED86328"/>
    <w:rsid w:val="1F1D0FA8"/>
    <w:rsid w:val="1F8C4ACB"/>
    <w:rsid w:val="1F9E003B"/>
    <w:rsid w:val="1FB15B3E"/>
    <w:rsid w:val="20974C17"/>
    <w:rsid w:val="21162ADA"/>
    <w:rsid w:val="21282C9D"/>
    <w:rsid w:val="21413C8E"/>
    <w:rsid w:val="21855480"/>
    <w:rsid w:val="219F4C39"/>
    <w:rsid w:val="21E83927"/>
    <w:rsid w:val="22761F52"/>
    <w:rsid w:val="22922850"/>
    <w:rsid w:val="231478EE"/>
    <w:rsid w:val="23191484"/>
    <w:rsid w:val="23482EF7"/>
    <w:rsid w:val="238F5A30"/>
    <w:rsid w:val="23C27C22"/>
    <w:rsid w:val="24184829"/>
    <w:rsid w:val="243B0C17"/>
    <w:rsid w:val="247D7612"/>
    <w:rsid w:val="24913C2C"/>
    <w:rsid w:val="24C03050"/>
    <w:rsid w:val="24D90E50"/>
    <w:rsid w:val="24DA2E77"/>
    <w:rsid w:val="25D91DE0"/>
    <w:rsid w:val="26106916"/>
    <w:rsid w:val="264F1DAC"/>
    <w:rsid w:val="2731493A"/>
    <w:rsid w:val="27806612"/>
    <w:rsid w:val="27ED457B"/>
    <w:rsid w:val="28D477F0"/>
    <w:rsid w:val="296E4EFF"/>
    <w:rsid w:val="29B45308"/>
    <w:rsid w:val="29F933D2"/>
    <w:rsid w:val="2A6718E9"/>
    <w:rsid w:val="2B2506EE"/>
    <w:rsid w:val="2B684EC8"/>
    <w:rsid w:val="2B9619FE"/>
    <w:rsid w:val="2BBE6F14"/>
    <w:rsid w:val="2BD44CEC"/>
    <w:rsid w:val="2D003251"/>
    <w:rsid w:val="2D2A4919"/>
    <w:rsid w:val="2D823B19"/>
    <w:rsid w:val="2DBF32F7"/>
    <w:rsid w:val="2DE8293D"/>
    <w:rsid w:val="2E430855"/>
    <w:rsid w:val="2E9A01D7"/>
    <w:rsid w:val="2E9F2BA8"/>
    <w:rsid w:val="2EC754FB"/>
    <w:rsid w:val="2F7C1992"/>
    <w:rsid w:val="2FD40A9F"/>
    <w:rsid w:val="30271754"/>
    <w:rsid w:val="307870CA"/>
    <w:rsid w:val="308A4FC2"/>
    <w:rsid w:val="30E635EF"/>
    <w:rsid w:val="31081ED3"/>
    <w:rsid w:val="31167FB1"/>
    <w:rsid w:val="31501BB8"/>
    <w:rsid w:val="32F403E5"/>
    <w:rsid w:val="331308B2"/>
    <w:rsid w:val="339B5E6E"/>
    <w:rsid w:val="34B03B5A"/>
    <w:rsid w:val="351F4A4B"/>
    <w:rsid w:val="35306081"/>
    <w:rsid w:val="35483492"/>
    <w:rsid w:val="35AD3460"/>
    <w:rsid w:val="35C175DC"/>
    <w:rsid w:val="35F953B3"/>
    <w:rsid w:val="370F5C4C"/>
    <w:rsid w:val="37111B4C"/>
    <w:rsid w:val="37415A36"/>
    <w:rsid w:val="382261BB"/>
    <w:rsid w:val="382A7843"/>
    <w:rsid w:val="384D3846"/>
    <w:rsid w:val="386E4086"/>
    <w:rsid w:val="391B520F"/>
    <w:rsid w:val="398A71F8"/>
    <w:rsid w:val="39A07173"/>
    <w:rsid w:val="3A084A21"/>
    <w:rsid w:val="3A380EDB"/>
    <w:rsid w:val="3A541246"/>
    <w:rsid w:val="3B0B7CC2"/>
    <w:rsid w:val="3C1F5239"/>
    <w:rsid w:val="3C826B6D"/>
    <w:rsid w:val="3C834E16"/>
    <w:rsid w:val="3CE232A1"/>
    <w:rsid w:val="3E0C32FF"/>
    <w:rsid w:val="3E254B56"/>
    <w:rsid w:val="3EAC7D34"/>
    <w:rsid w:val="3F6D58F2"/>
    <w:rsid w:val="3FA7438D"/>
    <w:rsid w:val="40526335"/>
    <w:rsid w:val="408708C6"/>
    <w:rsid w:val="40D55FC1"/>
    <w:rsid w:val="42165935"/>
    <w:rsid w:val="42214C53"/>
    <w:rsid w:val="4224223B"/>
    <w:rsid w:val="42375BDE"/>
    <w:rsid w:val="42D95A64"/>
    <w:rsid w:val="42FA51D3"/>
    <w:rsid w:val="43075DC8"/>
    <w:rsid w:val="43B17D90"/>
    <w:rsid w:val="44CC2F1C"/>
    <w:rsid w:val="459D5052"/>
    <w:rsid w:val="45C47D8D"/>
    <w:rsid w:val="45E75709"/>
    <w:rsid w:val="463A5FFE"/>
    <w:rsid w:val="46770A39"/>
    <w:rsid w:val="46C603C0"/>
    <w:rsid w:val="46FE3916"/>
    <w:rsid w:val="485F5A2D"/>
    <w:rsid w:val="48E26672"/>
    <w:rsid w:val="490E096C"/>
    <w:rsid w:val="4910720E"/>
    <w:rsid w:val="494F1608"/>
    <w:rsid w:val="4AE03396"/>
    <w:rsid w:val="4AE62AAE"/>
    <w:rsid w:val="4BA267E9"/>
    <w:rsid w:val="4BD86D8D"/>
    <w:rsid w:val="4C01632E"/>
    <w:rsid w:val="4C331B03"/>
    <w:rsid w:val="4C504CF2"/>
    <w:rsid w:val="4C8C76CE"/>
    <w:rsid w:val="4CFB7112"/>
    <w:rsid w:val="4D2B6942"/>
    <w:rsid w:val="4D482242"/>
    <w:rsid w:val="4D602B6B"/>
    <w:rsid w:val="4DA24BDF"/>
    <w:rsid w:val="4DAA5044"/>
    <w:rsid w:val="4E616C3D"/>
    <w:rsid w:val="4FA450F9"/>
    <w:rsid w:val="4FDD71CE"/>
    <w:rsid w:val="50FF44A5"/>
    <w:rsid w:val="514029A7"/>
    <w:rsid w:val="51E01378"/>
    <w:rsid w:val="51F90549"/>
    <w:rsid w:val="52112A75"/>
    <w:rsid w:val="52281D83"/>
    <w:rsid w:val="53021A50"/>
    <w:rsid w:val="53E3498A"/>
    <w:rsid w:val="54533A36"/>
    <w:rsid w:val="54816FCD"/>
    <w:rsid w:val="54B35A61"/>
    <w:rsid w:val="54C622AA"/>
    <w:rsid w:val="54DA4E6B"/>
    <w:rsid w:val="54F8581B"/>
    <w:rsid w:val="551B0923"/>
    <w:rsid w:val="55664D9D"/>
    <w:rsid w:val="56360DA6"/>
    <w:rsid w:val="56893461"/>
    <w:rsid w:val="56FC12E0"/>
    <w:rsid w:val="575241F5"/>
    <w:rsid w:val="58867C79"/>
    <w:rsid w:val="589E64A1"/>
    <w:rsid w:val="58A21DAF"/>
    <w:rsid w:val="5918439C"/>
    <w:rsid w:val="59A47F88"/>
    <w:rsid w:val="59B3689E"/>
    <w:rsid w:val="59DC482A"/>
    <w:rsid w:val="5ABD0931"/>
    <w:rsid w:val="5B5E4E03"/>
    <w:rsid w:val="5B871FF5"/>
    <w:rsid w:val="5B8A674F"/>
    <w:rsid w:val="5BA94701"/>
    <w:rsid w:val="5BBC3C32"/>
    <w:rsid w:val="5BDA07F6"/>
    <w:rsid w:val="5CCA4DB2"/>
    <w:rsid w:val="5D5B4236"/>
    <w:rsid w:val="5D6448D7"/>
    <w:rsid w:val="5D85684A"/>
    <w:rsid w:val="5DBB6A4D"/>
    <w:rsid w:val="5DDD08B6"/>
    <w:rsid w:val="5DF07ECB"/>
    <w:rsid w:val="5E731AA7"/>
    <w:rsid w:val="5EAB07C7"/>
    <w:rsid w:val="5F8C3876"/>
    <w:rsid w:val="6153538F"/>
    <w:rsid w:val="61EC16EE"/>
    <w:rsid w:val="62E14735"/>
    <w:rsid w:val="630A013F"/>
    <w:rsid w:val="63DF696F"/>
    <w:rsid w:val="640A041F"/>
    <w:rsid w:val="64291F0A"/>
    <w:rsid w:val="64384F95"/>
    <w:rsid w:val="643A5DAD"/>
    <w:rsid w:val="64422923"/>
    <w:rsid w:val="64820305"/>
    <w:rsid w:val="64FA7634"/>
    <w:rsid w:val="6541152B"/>
    <w:rsid w:val="65441F93"/>
    <w:rsid w:val="65C629FA"/>
    <w:rsid w:val="65D469A4"/>
    <w:rsid w:val="65EE0C62"/>
    <w:rsid w:val="66E84C26"/>
    <w:rsid w:val="671A529D"/>
    <w:rsid w:val="676F4FF1"/>
    <w:rsid w:val="678767D7"/>
    <w:rsid w:val="67F667BA"/>
    <w:rsid w:val="68493A94"/>
    <w:rsid w:val="687C4C4A"/>
    <w:rsid w:val="68910BAB"/>
    <w:rsid w:val="68A06514"/>
    <w:rsid w:val="68E14B9D"/>
    <w:rsid w:val="69010F7C"/>
    <w:rsid w:val="69303956"/>
    <w:rsid w:val="69551FF4"/>
    <w:rsid w:val="6959390B"/>
    <w:rsid w:val="6A905B81"/>
    <w:rsid w:val="6B981E05"/>
    <w:rsid w:val="6D0936FF"/>
    <w:rsid w:val="6D0F055C"/>
    <w:rsid w:val="6D2650AA"/>
    <w:rsid w:val="6D545F9D"/>
    <w:rsid w:val="6D650477"/>
    <w:rsid w:val="6DAF7683"/>
    <w:rsid w:val="6DB34CEE"/>
    <w:rsid w:val="6DD57802"/>
    <w:rsid w:val="6E5A77CC"/>
    <w:rsid w:val="6E6D107E"/>
    <w:rsid w:val="6E9175C9"/>
    <w:rsid w:val="6EA712FB"/>
    <w:rsid w:val="6F115FA3"/>
    <w:rsid w:val="6F4110B0"/>
    <w:rsid w:val="6F67333C"/>
    <w:rsid w:val="6F9603E0"/>
    <w:rsid w:val="6FA74C06"/>
    <w:rsid w:val="70166085"/>
    <w:rsid w:val="710A080E"/>
    <w:rsid w:val="71D465A4"/>
    <w:rsid w:val="721335B7"/>
    <w:rsid w:val="72C749B5"/>
    <w:rsid w:val="73521564"/>
    <w:rsid w:val="739E141C"/>
    <w:rsid w:val="73E12740"/>
    <w:rsid w:val="74A06B32"/>
    <w:rsid w:val="74E71794"/>
    <w:rsid w:val="74F61A28"/>
    <w:rsid w:val="75174EF0"/>
    <w:rsid w:val="756861B9"/>
    <w:rsid w:val="7593069C"/>
    <w:rsid w:val="75E94D61"/>
    <w:rsid w:val="760F6440"/>
    <w:rsid w:val="763216AE"/>
    <w:rsid w:val="77884403"/>
    <w:rsid w:val="782A5497"/>
    <w:rsid w:val="78744B90"/>
    <w:rsid w:val="78866844"/>
    <w:rsid w:val="790C7500"/>
    <w:rsid w:val="7964518E"/>
    <w:rsid w:val="79C41825"/>
    <w:rsid w:val="7AA064A2"/>
    <w:rsid w:val="7AA560F1"/>
    <w:rsid w:val="7AC12467"/>
    <w:rsid w:val="7B181812"/>
    <w:rsid w:val="7B214172"/>
    <w:rsid w:val="7B22333A"/>
    <w:rsid w:val="7B4302CD"/>
    <w:rsid w:val="7B88061D"/>
    <w:rsid w:val="7B9421BA"/>
    <w:rsid w:val="7C141288"/>
    <w:rsid w:val="7CF62216"/>
    <w:rsid w:val="7DBA117A"/>
    <w:rsid w:val="7E0C4283"/>
    <w:rsid w:val="7E121065"/>
    <w:rsid w:val="7E4F53C3"/>
    <w:rsid w:val="7EC07DE8"/>
    <w:rsid w:val="7F2D1569"/>
    <w:rsid w:val="7FDE549E"/>
    <w:rsid w:val="7FEB0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jc w:val="center"/>
      <w:outlineLvl w:val="0"/>
    </w:pPr>
    <w:rPr>
      <w:b/>
      <w:kern w:val="44"/>
      <w:sz w:val="36"/>
    </w:rPr>
  </w:style>
  <w:style w:type="paragraph" w:styleId="5">
    <w:name w:val="heading 2"/>
    <w:basedOn w:val="1"/>
    <w:next w:val="1"/>
    <w:link w:val="42"/>
    <w:qFormat/>
    <w:uiPriority w:val="0"/>
    <w:pPr>
      <w:keepNext/>
      <w:keepLines/>
      <w:spacing w:line="415" w:lineRule="auto"/>
      <w:jc w:val="center"/>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adjustRightInd w:val="0"/>
      <w:spacing w:line="376" w:lineRule="atLeast"/>
      <w:outlineLvl w:val="3"/>
    </w:pPr>
    <w:rPr>
      <w:rFonts w:ascii="Arial" w:hAnsi="Arial" w:eastAsia="黑体"/>
      <w:b/>
      <w:kern w:val="0"/>
      <w:sz w:val="28"/>
    </w:rPr>
  </w:style>
  <w:style w:type="paragraph" w:styleId="8">
    <w:name w:val="heading 5"/>
    <w:basedOn w:val="1"/>
    <w:next w:val="1"/>
    <w:qFormat/>
    <w:uiPriority w:val="0"/>
    <w:pPr>
      <w:keepNext/>
      <w:keepLines/>
      <w:adjustRightInd w:val="0"/>
      <w:spacing w:line="376" w:lineRule="atLeast"/>
      <w:outlineLvl w:val="4"/>
    </w:pPr>
    <w:rPr>
      <w:b/>
      <w:kern w:val="0"/>
      <w:sz w:val="28"/>
    </w:rPr>
  </w:style>
  <w:style w:type="paragraph" w:styleId="9">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39"/>
    <w:qFormat/>
    <w:uiPriority w:val="99"/>
  </w:style>
  <w:style w:type="paragraph" w:styleId="3">
    <w:name w:val="Body Text Indent"/>
    <w:basedOn w:val="1"/>
    <w:link w:val="38"/>
    <w:qFormat/>
    <w:uiPriority w:val="99"/>
    <w:pPr>
      <w:ind w:firstLine="420" w:firstLineChars="200"/>
    </w:pPr>
    <w:rPr>
      <w:rFonts w:ascii="Calibri" w:hAnsi="Calibri"/>
      <w:szCs w:val="24"/>
    </w:rPr>
  </w:style>
  <w:style w:type="paragraph" w:styleId="10">
    <w:name w:val="Normal Indent"/>
    <w:basedOn w:val="1"/>
    <w:qFormat/>
    <w:uiPriority w:val="0"/>
    <w:pPr>
      <w:ind w:firstLine="420"/>
    </w:pPr>
  </w:style>
  <w:style w:type="paragraph" w:styleId="11">
    <w:name w:val="annotation text"/>
    <w:basedOn w:val="1"/>
    <w:link w:val="51"/>
    <w:semiHidden/>
    <w:unhideWhenUsed/>
    <w:qFormat/>
    <w:uiPriority w:val="0"/>
    <w:pPr>
      <w:jc w:val="left"/>
    </w:pPr>
  </w:style>
  <w:style w:type="paragraph" w:styleId="12">
    <w:name w:val="Body Text"/>
    <w:basedOn w:val="1"/>
    <w:next w:val="1"/>
    <w:qFormat/>
    <w:uiPriority w:val="0"/>
    <w:rPr>
      <w:b/>
      <w:sz w:val="28"/>
    </w:rPr>
  </w:style>
  <w:style w:type="paragraph" w:styleId="13">
    <w:name w:val="toc 3"/>
    <w:basedOn w:val="1"/>
    <w:next w:val="1"/>
    <w:semiHidden/>
    <w:unhideWhenUsed/>
    <w:qFormat/>
    <w:uiPriority w:val="0"/>
    <w:pPr>
      <w:ind w:left="840" w:leftChars="400"/>
    </w:pPr>
  </w:style>
  <w:style w:type="paragraph" w:styleId="14">
    <w:name w:val="Plain Text"/>
    <w:basedOn w:val="1"/>
    <w:next w:val="1"/>
    <w:qFormat/>
    <w:uiPriority w:val="0"/>
    <w:rPr>
      <w:rFonts w:hint="eastAsia" w:ascii="宋体" w:hAnsi="Courier New"/>
      <w:sz w:val="24"/>
    </w:rPr>
  </w:style>
  <w:style w:type="paragraph" w:styleId="15">
    <w:name w:val="Balloon Text"/>
    <w:basedOn w:val="1"/>
    <w:link w:val="43"/>
    <w:qFormat/>
    <w:uiPriority w:val="0"/>
    <w:rPr>
      <w:sz w:val="18"/>
      <w:szCs w:val="18"/>
    </w:rPr>
  </w:style>
  <w:style w:type="paragraph" w:styleId="16">
    <w:name w:val="footer"/>
    <w:basedOn w:val="1"/>
    <w:link w:val="41"/>
    <w:qFormat/>
    <w:uiPriority w:val="0"/>
    <w:pPr>
      <w:tabs>
        <w:tab w:val="center" w:pos="4153"/>
        <w:tab w:val="right" w:pos="8306"/>
      </w:tabs>
      <w:snapToGrid w:val="0"/>
      <w:jc w:val="left"/>
    </w:pPr>
    <w:rPr>
      <w:sz w:val="18"/>
    </w:rPr>
  </w:style>
  <w:style w:type="paragraph" w:styleId="17">
    <w:name w:val="header"/>
    <w:basedOn w:val="1"/>
    <w:link w:val="40"/>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18">
    <w:name w:val="toc 1"/>
    <w:basedOn w:val="1"/>
    <w:next w:val="1"/>
    <w:qFormat/>
    <w:uiPriority w:val="39"/>
    <w:pPr>
      <w:jc w:val="left"/>
    </w:pPr>
    <w:rPr>
      <w:b/>
      <w:bCs/>
      <w:caps/>
      <w:sz w:val="20"/>
    </w:rPr>
  </w:style>
  <w:style w:type="paragraph" w:styleId="19">
    <w:name w:val="toc 2"/>
    <w:basedOn w:val="1"/>
    <w:next w:val="1"/>
    <w:qFormat/>
    <w:uiPriority w:val="39"/>
    <w:pPr>
      <w:ind w:left="210"/>
      <w:jc w:val="left"/>
    </w:pPr>
    <w:rPr>
      <w:smallCaps/>
      <w:sz w:val="20"/>
    </w:rPr>
  </w:style>
  <w:style w:type="paragraph" w:styleId="20">
    <w:name w:val="Normal (Web)"/>
    <w:basedOn w:val="1"/>
    <w:qFormat/>
    <w:uiPriority w:val="99"/>
    <w:pPr>
      <w:widowControl/>
      <w:spacing w:beforeAutospacing="1" w:afterAutospacing="1"/>
      <w:jc w:val="left"/>
    </w:pPr>
    <w:rPr>
      <w:rFonts w:ascii="宋体" w:hAnsi="宋体"/>
      <w:kern w:val="0"/>
      <w:sz w:val="24"/>
    </w:rPr>
  </w:style>
  <w:style w:type="paragraph" w:styleId="21">
    <w:name w:val="Title"/>
    <w:basedOn w:val="1"/>
    <w:next w:val="1"/>
    <w:qFormat/>
    <w:uiPriority w:val="0"/>
    <w:pPr>
      <w:spacing w:before="240" w:after="60"/>
      <w:jc w:val="center"/>
      <w:outlineLvl w:val="0"/>
    </w:pPr>
    <w:rPr>
      <w:rFonts w:ascii="等线 Light" w:hAnsi="等线 Light"/>
      <w:b/>
      <w:bCs/>
      <w:sz w:val="32"/>
      <w:szCs w:val="32"/>
    </w:rPr>
  </w:style>
  <w:style w:type="paragraph" w:styleId="22">
    <w:name w:val="annotation subject"/>
    <w:basedOn w:val="11"/>
    <w:next w:val="11"/>
    <w:link w:val="52"/>
    <w:semiHidden/>
    <w:unhideWhenUsed/>
    <w:qFormat/>
    <w:uiPriority w:val="0"/>
    <w:rPr>
      <w:b/>
      <w:bCs/>
    </w:rPr>
  </w:style>
  <w:style w:type="paragraph" w:styleId="23">
    <w:name w:val="Body Text First Indent"/>
    <w:basedOn w:val="12"/>
    <w:next w:val="2"/>
    <w:qFormat/>
    <w:uiPriority w:val="0"/>
    <w:pPr>
      <w:adjustRightInd w:val="0"/>
      <w:ind w:firstLine="420"/>
      <w:jc w:val="left"/>
      <w:textAlignment w:val="baseline"/>
    </w:pPr>
    <w:rPr>
      <w:b w:val="0"/>
      <w:kern w:val="0"/>
      <w:sz w:val="21"/>
    </w:rPr>
  </w:style>
  <w:style w:type="table" w:styleId="25">
    <w:name w:val="Table Grid"/>
    <w:basedOn w:val="2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qFormat/>
    <w:uiPriority w:val="22"/>
    <w:rPr>
      <w:b/>
    </w:rPr>
  </w:style>
  <w:style w:type="character" w:styleId="28">
    <w:name w:val="page number"/>
    <w:basedOn w:val="26"/>
    <w:qFormat/>
    <w:uiPriority w:val="0"/>
  </w:style>
  <w:style w:type="character" w:styleId="29">
    <w:name w:val="FollowedHyperlink"/>
    <w:basedOn w:val="26"/>
    <w:semiHidden/>
    <w:unhideWhenUsed/>
    <w:qFormat/>
    <w:uiPriority w:val="0"/>
    <w:rPr>
      <w:color w:val="800080"/>
      <w:u w:val="none"/>
    </w:rPr>
  </w:style>
  <w:style w:type="character" w:styleId="30">
    <w:name w:val="Emphasis"/>
    <w:basedOn w:val="26"/>
    <w:qFormat/>
    <w:uiPriority w:val="0"/>
  </w:style>
  <w:style w:type="character" w:styleId="31">
    <w:name w:val="Hyperlink"/>
    <w:qFormat/>
    <w:uiPriority w:val="99"/>
    <w:rPr>
      <w:color w:val="333333"/>
      <w:u w:val="none"/>
    </w:rPr>
  </w:style>
  <w:style w:type="character" w:styleId="32">
    <w:name w:val="annotation reference"/>
    <w:basedOn w:val="26"/>
    <w:semiHidden/>
    <w:unhideWhenUsed/>
    <w:qFormat/>
    <w:uiPriority w:val="0"/>
    <w:rPr>
      <w:sz w:val="21"/>
      <w:szCs w:val="21"/>
    </w:rPr>
  </w:style>
  <w:style w:type="paragraph" w:customStyle="1" w:styleId="33">
    <w:name w:val="首行缩进"/>
    <w:basedOn w:val="1"/>
    <w:qFormat/>
    <w:uiPriority w:val="0"/>
    <w:pPr>
      <w:spacing w:line="360" w:lineRule="auto"/>
      <w:ind w:firstLine="480" w:firstLineChars="200"/>
    </w:pPr>
    <w:rPr>
      <w:rFonts w:ascii="宋体" w:hAnsi="宋体" w:cs="宋体"/>
      <w:kern w:val="0"/>
      <w:sz w:val="24"/>
    </w:rPr>
  </w:style>
  <w:style w:type="paragraph" w:customStyle="1" w:styleId="34">
    <w:name w:val="_Style 6"/>
    <w:basedOn w:val="4"/>
    <w:next w:val="1"/>
    <w:qFormat/>
    <w:uiPriority w:val="39"/>
    <w:pPr>
      <w:widowControl/>
      <w:spacing w:before="240" w:line="259" w:lineRule="auto"/>
      <w:jc w:val="left"/>
      <w:outlineLvl w:val="9"/>
    </w:pPr>
    <w:rPr>
      <w:rFonts w:ascii="等线 Light" w:hAnsi="等线 Light" w:eastAsia="等线 Light"/>
      <w:b w:val="0"/>
      <w:color w:val="2F5496"/>
      <w:kern w:val="0"/>
      <w:sz w:val="32"/>
      <w:szCs w:val="32"/>
    </w:rPr>
  </w:style>
  <w:style w:type="paragraph" w:customStyle="1" w:styleId="35">
    <w:name w:val="列出段落1"/>
    <w:basedOn w:val="1"/>
    <w:qFormat/>
    <w:uiPriority w:val="0"/>
    <w:pPr>
      <w:ind w:firstLine="420" w:firstLineChars="200"/>
    </w:pPr>
    <w:rPr>
      <w:szCs w:val="24"/>
    </w:rPr>
  </w:style>
  <w:style w:type="paragraph" w:customStyle="1" w:styleId="36">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7">
    <w:name w:val="title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8">
    <w:name w:val="正文文本缩进 Char"/>
    <w:basedOn w:val="26"/>
    <w:link w:val="3"/>
    <w:qFormat/>
    <w:uiPriority w:val="99"/>
    <w:rPr>
      <w:rFonts w:ascii="Calibri" w:hAnsi="Calibri" w:eastAsia="宋体" w:cs="Times New Roman"/>
      <w:kern w:val="2"/>
      <w:sz w:val="21"/>
      <w:szCs w:val="24"/>
    </w:rPr>
  </w:style>
  <w:style w:type="character" w:customStyle="1" w:styleId="39">
    <w:name w:val="正文首行缩进 2 Char"/>
    <w:basedOn w:val="38"/>
    <w:link w:val="2"/>
    <w:qFormat/>
    <w:uiPriority w:val="99"/>
    <w:rPr>
      <w:rFonts w:ascii="Calibri" w:hAnsi="Calibri" w:eastAsia="宋体" w:cs="Times New Roman"/>
      <w:kern w:val="2"/>
      <w:sz w:val="21"/>
      <w:szCs w:val="24"/>
    </w:rPr>
  </w:style>
  <w:style w:type="character" w:customStyle="1" w:styleId="40">
    <w:name w:val="页眉 Char"/>
    <w:basedOn w:val="26"/>
    <w:link w:val="17"/>
    <w:qFormat/>
    <w:uiPriority w:val="0"/>
    <w:rPr>
      <w:rFonts w:ascii="Times New Roman" w:hAnsi="Times New Roman" w:eastAsia="宋体" w:cs="Times New Roman"/>
      <w:sz w:val="18"/>
    </w:rPr>
  </w:style>
  <w:style w:type="character" w:customStyle="1" w:styleId="41">
    <w:name w:val="页脚 Char"/>
    <w:basedOn w:val="26"/>
    <w:link w:val="16"/>
    <w:qFormat/>
    <w:uiPriority w:val="0"/>
    <w:rPr>
      <w:rFonts w:ascii="Times New Roman" w:hAnsi="Times New Roman" w:eastAsia="宋体" w:cs="Times New Roman"/>
      <w:kern w:val="2"/>
      <w:sz w:val="18"/>
    </w:rPr>
  </w:style>
  <w:style w:type="character" w:customStyle="1" w:styleId="42">
    <w:name w:val="标题 2 Char"/>
    <w:link w:val="5"/>
    <w:qFormat/>
    <w:uiPriority w:val="0"/>
    <w:rPr>
      <w:rFonts w:ascii="Arial" w:hAnsi="Arial" w:eastAsia="黑体"/>
      <w:b/>
      <w:sz w:val="32"/>
    </w:rPr>
  </w:style>
  <w:style w:type="character" w:customStyle="1" w:styleId="43">
    <w:name w:val="批注框文本 Char"/>
    <w:basedOn w:val="26"/>
    <w:link w:val="15"/>
    <w:qFormat/>
    <w:uiPriority w:val="0"/>
    <w:rPr>
      <w:kern w:val="2"/>
      <w:sz w:val="18"/>
      <w:szCs w:val="18"/>
    </w:rPr>
  </w:style>
  <w:style w:type="character" w:customStyle="1" w:styleId="44">
    <w:name w:val="beforeinfotext"/>
    <w:basedOn w:val="26"/>
    <w:qFormat/>
    <w:uiPriority w:val="0"/>
    <w:rPr>
      <w:color w:val="666666"/>
    </w:rPr>
  </w:style>
  <w:style w:type="paragraph" w:customStyle="1" w:styleId="45">
    <w:name w:val="title12"/>
    <w:basedOn w:val="1"/>
    <w:qFormat/>
    <w:uiPriority w:val="0"/>
    <w:pPr>
      <w:spacing w:before="100"/>
      <w:jc w:val="left"/>
    </w:pPr>
    <w:rPr>
      <w:b/>
      <w:kern w:val="0"/>
      <w:sz w:val="15"/>
      <w:szCs w:val="15"/>
    </w:rPr>
  </w:style>
  <w:style w:type="character" w:customStyle="1" w:styleId="46">
    <w:name w:val="number"/>
    <w:basedOn w:val="26"/>
    <w:qFormat/>
    <w:uiPriority w:val="0"/>
    <w:rPr>
      <w:color w:val="FF8833"/>
      <w:sz w:val="12"/>
      <w:szCs w:val="12"/>
    </w:rPr>
  </w:style>
  <w:style w:type="character" w:customStyle="1" w:styleId="47">
    <w:name w:val="proollist"/>
    <w:basedOn w:val="26"/>
    <w:qFormat/>
    <w:uiPriority w:val="0"/>
  </w:style>
  <w:style w:type="character" w:customStyle="1" w:styleId="48">
    <w:name w:val="phone"/>
    <w:basedOn w:val="26"/>
    <w:qFormat/>
    <w:uiPriority w:val="0"/>
    <w:rPr>
      <w:color w:val="FF8833"/>
      <w:sz w:val="12"/>
      <w:szCs w:val="12"/>
    </w:rPr>
  </w:style>
  <w:style w:type="character" w:customStyle="1" w:styleId="49">
    <w:name w:val="stclosebtn"/>
    <w:basedOn w:val="26"/>
    <w:qFormat/>
    <w:uiPriority w:val="0"/>
  </w:style>
  <w:style w:type="paragraph" w:customStyle="1" w:styleId="50">
    <w:name w:val="正文缩进1"/>
    <w:basedOn w:val="1"/>
    <w:qFormat/>
    <w:uiPriority w:val="0"/>
    <w:pPr>
      <w:autoSpaceDE w:val="0"/>
      <w:autoSpaceDN w:val="0"/>
      <w:adjustRightInd w:val="0"/>
      <w:ind w:firstLine="420"/>
      <w:jc w:val="left"/>
    </w:pPr>
    <w:rPr>
      <w:rFonts w:ascii="宋体"/>
      <w:kern w:val="0"/>
      <w:sz w:val="24"/>
    </w:rPr>
  </w:style>
  <w:style w:type="character" w:customStyle="1" w:styleId="51">
    <w:name w:val="批注文字 Char"/>
    <w:basedOn w:val="26"/>
    <w:link w:val="11"/>
    <w:semiHidden/>
    <w:qFormat/>
    <w:uiPriority w:val="0"/>
    <w:rPr>
      <w:kern w:val="2"/>
      <w:sz w:val="21"/>
    </w:rPr>
  </w:style>
  <w:style w:type="character" w:customStyle="1" w:styleId="52">
    <w:name w:val="批注主题 Char"/>
    <w:basedOn w:val="51"/>
    <w:link w:val="22"/>
    <w:semiHidden/>
    <w:qFormat/>
    <w:uiPriority w:val="0"/>
    <w:rPr>
      <w:b/>
      <w:bCs/>
      <w:kern w:val="2"/>
      <w:sz w:val="21"/>
    </w:rPr>
  </w:style>
  <w:style w:type="character" w:customStyle="1" w:styleId="53">
    <w:name w:val="font21"/>
    <w:basedOn w:val="26"/>
    <w:qFormat/>
    <w:uiPriority w:val="0"/>
    <w:rPr>
      <w:rFonts w:hint="eastAsia" w:ascii="宋体" w:hAnsi="宋体" w:eastAsia="宋体" w:cs="宋体"/>
      <w:color w:val="000000"/>
      <w:sz w:val="20"/>
      <w:szCs w:val="20"/>
      <w:u w:val="none"/>
    </w:rPr>
  </w:style>
  <w:style w:type="character" w:customStyle="1" w:styleId="54">
    <w:name w:val="font31"/>
    <w:basedOn w:val="26"/>
    <w:qFormat/>
    <w:uiPriority w:val="0"/>
    <w:rPr>
      <w:rFonts w:hint="eastAsia" w:ascii="宋体" w:hAnsi="宋体" w:eastAsia="宋体" w:cs="宋体"/>
      <w:b/>
      <w:bCs/>
      <w:color w:val="000000"/>
      <w:sz w:val="20"/>
      <w:szCs w:val="20"/>
      <w:u w:val="none"/>
    </w:rPr>
  </w:style>
  <w:style w:type="paragraph" w:styleId="55">
    <w:name w:val="List Paragraph"/>
    <w:basedOn w:val="1"/>
    <w:qFormat/>
    <w:uiPriority w:val="34"/>
    <w:pPr>
      <w:ind w:firstLine="420" w:firstLineChars="200"/>
    </w:pPr>
    <w:rPr>
      <w:rFonts w:ascii="Calibri" w:hAnsi="Calibri" w:eastAsia="宋体" w:cs="Times New Roman"/>
    </w:rPr>
  </w:style>
  <w:style w:type="paragraph" w:customStyle="1" w:styleId="56">
    <w:name w:val="p0"/>
    <w:basedOn w:val="1"/>
    <w:qFormat/>
    <w:uiPriority w:val="0"/>
    <w:pPr>
      <w:widowControl/>
    </w:pPr>
    <w:rPr>
      <w:rFonts w:ascii="Times New Roman" w:hAnsi="Times New Roman" w:eastAsia="宋体" w:cs="Times New Roman"/>
      <w:kern w:val="0"/>
      <w:szCs w:val="21"/>
    </w:rPr>
  </w:style>
  <w:style w:type="character" w:customStyle="1" w:styleId="57">
    <w:name w:val="font71"/>
    <w:basedOn w:val="26"/>
    <w:qFormat/>
    <w:uiPriority w:val="0"/>
    <w:rPr>
      <w:rFonts w:hint="eastAsia" w:ascii="宋体" w:hAnsi="宋体" w:eastAsia="宋体" w:cs="宋体"/>
      <w:color w:val="000000"/>
      <w:sz w:val="28"/>
      <w:szCs w:val="28"/>
      <w:u w:val="single"/>
    </w:rPr>
  </w:style>
  <w:style w:type="paragraph" w:customStyle="1" w:styleId="58">
    <w:name w:val="列出段落3"/>
    <w:basedOn w:val="1"/>
    <w:qFormat/>
    <w:uiPriority w:val="34"/>
    <w:pPr>
      <w:ind w:firstLine="420" w:firstLineChars="200"/>
    </w:pPr>
    <w:rPr>
      <w:rFonts w:ascii="Calibri" w:hAnsi="Calibri"/>
      <w:szCs w:val="22"/>
    </w:rPr>
  </w:style>
  <w:style w:type="paragraph" w:customStyle="1" w:styleId="5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0">
    <w:name w:val="No Spacing"/>
    <w:qFormat/>
    <w:uiPriority w:val="1"/>
    <w:pPr>
      <w:widowControl w:val="0"/>
      <w:adjustRightInd w:val="0"/>
      <w:ind w:firstLine="200" w:firstLineChars="200"/>
      <w:jc w:val="both"/>
      <w:textAlignment w:val="baseline"/>
    </w:pPr>
    <w:rPr>
      <w:rFonts w:ascii="Times New Roman" w:hAnsi="Times New Roman" w:eastAsia="宋体" w:cs="Times New Roman"/>
      <w:sz w:val="24"/>
      <w:lang w:val="en-US" w:eastAsia="zh-CN" w:bidi="ar-SA"/>
    </w:rPr>
  </w:style>
  <w:style w:type="paragraph" w:customStyle="1" w:styleId="61">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62">
    <w:name w:val="font41"/>
    <w:basedOn w:val="26"/>
    <w:qFormat/>
    <w:uiPriority w:val="0"/>
    <w:rPr>
      <w:rFonts w:hint="eastAsia" w:ascii="宋体" w:hAnsi="宋体" w:eastAsia="宋体" w:cs="宋体"/>
      <w:color w:val="FF0000"/>
      <w:sz w:val="16"/>
      <w:szCs w:val="16"/>
      <w:u w:val="none"/>
    </w:rPr>
  </w:style>
  <w:style w:type="paragraph" w:customStyle="1" w:styleId="63">
    <w:name w:val="Other|1"/>
    <w:basedOn w:val="1"/>
    <w:qFormat/>
    <w:uiPriority w:val="0"/>
    <w:pPr>
      <w:spacing w:line="434" w:lineRule="auto"/>
      <w:ind w:firstLine="400"/>
      <w:jc w:val="left"/>
    </w:pPr>
    <w:rPr>
      <w:rFonts w:ascii="宋体" w:hAnsi="宋体" w:cs="宋体"/>
      <w:color w:val="000000"/>
      <w:kern w:val="0"/>
      <w:sz w:val="28"/>
      <w:szCs w:val="28"/>
      <w:lang w:val="zh-TW" w:eastAsia="zh-TW" w:bidi="zh-TW"/>
    </w:rPr>
  </w:style>
  <w:style w:type="character" w:customStyle="1" w:styleId="64">
    <w:name w:val="font51"/>
    <w:qFormat/>
    <w:uiPriority w:val="0"/>
    <w:rPr>
      <w:rFonts w:hint="eastAsia" w:ascii="宋体" w:hAnsi="宋体" w:eastAsia="宋体" w:cs="宋体"/>
      <w:color w:val="FF0000"/>
      <w:sz w:val="16"/>
      <w:szCs w:val="16"/>
      <w:u w:val="none"/>
    </w:rPr>
  </w:style>
  <w:style w:type="character" w:customStyle="1" w:styleId="65">
    <w:name w:val="font0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34071</Words>
  <Characters>36447</Characters>
  <Lines>273</Lines>
  <Paragraphs>76</Paragraphs>
  <TotalTime>5</TotalTime>
  <ScaleCrop>false</ScaleCrop>
  <LinksUpToDate>false</LinksUpToDate>
  <CharactersWithSpaces>39701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2020-08-10T02:16:00Z</dcterms:created>
  <dc:creator>吃猫的鱼</dc:creator>
  <cp:lastModifiedBy>Administrator</cp:lastModifiedBy>
  <cp:lastPrinted>2018-10-10T07:57:00Z</cp:lastPrinted>
  <dcterms:modified xsi:type="dcterms:W3CDTF">2022-08-02T08:04:49Z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A144BAD898814B249DFBE995BE6B74D1</vt:lpwstr>
  </property>
</Properties>
</file>