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rPr>
          <w:rFonts w:ascii="楷体" w:hAnsi="楷体" w:cs="楷体"/>
          <w:b/>
          <w:bCs/>
          <w:kern w:val="0"/>
          <w:highlight w:val="none"/>
        </w:rPr>
      </w:pPr>
      <w:r>
        <w:rPr>
          <w:rFonts w:hint="default" w:ascii="楷体" w:hAnsi="楷体" w:cs="楷体"/>
          <w:b/>
          <w:bCs/>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36"/>
        <w:ind w:firstLine="0" w:firstLineChars="0"/>
        <w:jc w:val="center"/>
        <w:rPr>
          <w:rFonts w:ascii="楷体" w:hAnsi="楷体" w:eastAsia="楷体" w:cs="楷体"/>
          <w:b/>
          <w:bCs/>
          <w:kern w:val="0"/>
          <w:sz w:val="52"/>
          <w:szCs w:val="52"/>
          <w:highlight w:val="none"/>
        </w:rPr>
      </w:pPr>
    </w:p>
    <w:p>
      <w:pPr>
        <w:pStyle w:val="36"/>
        <w:ind w:firstLine="0" w:firstLineChars="0"/>
        <w:jc w:val="center"/>
        <w:rPr>
          <w:rFonts w:ascii="楷体" w:hAnsi="楷体" w:eastAsia="楷体" w:cs="楷体"/>
          <w:b/>
          <w:bCs/>
          <w:kern w:val="0"/>
          <w:sz w:val="52"/>
          <w:szCs w:val="52"/>
          <w:highlight w:val="none"/>
        </w:rPr>
      </w:pPr>
    </w:p>
    <w:p>
      <w:pPr>
        <w:widowControl/>
        <w:ind w:firstLine="0" w:firstLineChars="0"/>
        <w:jc w:val="center"/>
        <w:rPr>
          <w:rFonts w:hint="eastAsia" w:ascii="楷体" w:hAnsi="楷体" w:cs="楷体"/>
          <w:b/>
          <w:bCs/>
          <w:kern w:val="0"/>
          <w:sz w:val="48"/>
          <w:szCs w:val="48"/>
          <w:highlight w:val="none"/>
          <w:lang w:eastAsia="zh-CN"/>
        </w:rPr>
      </w:pPr>
      <w:r>
        <w:rPr>
          <w:rFonts w:hint="eastAsia" w:ascii="楷体" w:hAnsi="楷体" w:cs="楷体"/>
          <w:b/>
          <w:bCs/>
          <w:kern w:val="0"/>
          <w:sz w:val="48"/>
          <w:szCs w:val="48"/>
          <w:highlight w:val="none"/>
          <w:lang w:eastAsia="zh-CN"/>
        </w:rPr>
        <w:t>西安市第二十六中学太乙分校</w:t>
      </w:r>
    </w:p>
    <w:p>
      <w:pPr>
        <w:widowControl/>
        <w:ind w:firstLine="0" w:firstLineChars="0"/>
        <w:jc w:val="center"/>
        <w:rPr>
          <w:rFonts w:hint="eastAsia" w:ascii="楷体" w:hAnsi="楷体" w:cs="楷体"/>
          <w:b/>
          <w:bCs/>
          <w:kern w:val="0"/>
          <w:sz w:val="48"/>
          <w:szCs w:val="48"/>
          <w:highlight w:val="none"/>
          <w:lang w:eastAsia="zh-CN"/>
        </w:rPr>
      </w:pPr>
      <w:r>
        <w:rPr>
          <w:rFonts w:hint="eastAsia" w:ascii="楷体" w:hAnsi="楷体" w:cs="楷体"/>
          <w:b/>
          <w:bCs/>
          <w:kern w:val="0"/>
          <w:sz w:val="48"/>
          <w:szCs w:val="48"/>
          <w:highlight w:val="none"/>
          <w:lang w:eastAsia="zh-CN"/>
        </w:rPr>
        <w:t>心理辅导室、音乐形体室、</w:t>
      </w:r>
    </w:p>
    <w:p>
      <w:pPr>
        <w:widowControl/>
        <w:ind w:firstLine="0" w:firstLineChars="0"/>
        <w:jc w:val="center"/>
        <w:rPr>
          <w:rFonts w:hint="eastAsia" w:ascii="楷体" w:hAnsi="楷体" w:eastAsia="楷体" w:cs="楷体"/>
          <w:b/>
          <w:bCs/>
          <w:kern w:val="0"/>
          <w:sz w:val="48"/>
          <w:szCs w:val="48"/>
          <w:highlight w:val="none"/>
          <w:lang w:eastAsia="zh-CN"/>
        </w:rPr>
      </w:pPr>
      <w:r>
        <w:rPr>
          <w:rFonts w:hint="eastAsia" w:ascii="楷体" w:hAnsi="楷体" w:cs="楷体"/>
          <w:b/>
          <w:bCs/>
          <w:kern w:val="0"/>
          <w:sz w:val="48"/>
          <w:szCs w:val="48"/>
          <w:highlight w:val="none"/>
          <w:lang w:eastAsia="zh-CN"/>
        </w:rPr>
        <w:t>书画室建设项目</w:t>
      </w:r>
    </w:p>
    <w:p>
      <w:pPr>
        <w:pStyle w:val="2"/>
        <w:ind w:firstLine="560"/>
        <w:rPr>
          <w:rFonts w:ascii="楷体" w:hAnsi="楷体"/>
          <w:highlight w:val="none"/>
        </w:rPr>
      </w:pPr>
    </w:p>
    <w:p/>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72"/>
          <w:szCs w:val="72"/>
          <w:highlight w:val="none"/>
        </w:rPr>
        <w:t>竞争性</w:t>
      </w:r>
      <w:r>
        <w:rPr>
          <w:rFonts w:hint="eastAsia" w:ascii="楷体" w:hAnsi="楷体" w:cs="楷体"/>
          <w:b/>
          <w:bCs/>
          <w:kern w:val="0"/>
          <w:sz w:val="72"/>
          <w:szCs w:val="72"/>
          <w:highlight w:val="none"/>
          <w:lang w:val="en-US" w:eastAsia="zh-CN"/>
        </w:rPr>
        <w:t>谈判</w:t>
      </w:r>
      <w:r>
        <w:rPr>
          <w:rFonts w:hint="eastAsia" w:ascii="楷体" w:hAnsi="楷体" w:cs="楷体"/>
          <w:b/>
          <w:bCs/>
          <w:kern w:val="0"/>
          <w:sz w:val="72"/>
          <w:szCs w:val="72"/>
          <w:highlight w:val="none"/>
          <w:lang w:val="zh-CN"/>
        </w:rPr>
        <w:t>文件</w:t>
      </w:r>
    </w:p>
    <w:p>
      <w:pPr>
        <w:widowControl/>
        <w:ind w:left="0" w:leftChars="0" w:firstLine="0" w:firstLineChars="0"/>
        <w:jc w:val="center"/>
        <w:rPr>
          <w:rFonts w:hint="eastAsia" w:ascii="楷体" w:hAnsi="楷体" w:cs="楷体"/>
          <w:b/>
          <w:bCs/>
          <w:kern w:val="0"/>
          <w:sz w:val="32"/>
          <w:szCs w:val="32"/>
          <w:highlight w:val="none"/>
          <w:lang w:val="en-US" w:eastAsia="zh-CN"/>
        </w:rPr>
      </w:pPr>
      <w:r>
        <w:rPr>
          <w:rFonts w:hint="eastAsia" w:ascii="楷体" w:hAnsi="楷体" w:cs="楷体"/>
          <w:b/>
          <w:bCs/>
          <w:kern w:val="0"/>
          <w:sz w:val="32"/>
          <w:szCs w:val="32"/>
          <w:highlight w:val="none"/>
          <w:lang w:val="zh-CN"/>
        </w:rPr>
        <w:t>采购项目编号：HYTH-202205029</w:t>
      </w:r>
    </w:p>
    <w:p>
      <w:pPr>
        <w:widowControl/>
        <w:ind w:firstLine="562"/>
        <w:jc w:val="center"/>
        <w:rPr>
          <w:rFonts w:ascii="楷体" w:hAnsi="楷体" w:cs="楷体"/>
          <w:b/>
          <w:bCs/>
          <w:kern w:val="0"/>
          <w:sz w:val="28"/>
          <w:szCs w:val="28"/>
          <w:highlight w:val="none"/>
        </w:rPr>
      </w:pPr>
    </w:p>
    <w:p>
      <w:pPr>
        <w:pStyle w:val="42"/>
        <w:rPr>
          <w:rFonts w:ascii="楷体" w:hAnsi="楷体" w:cs="楷体"/>
          <w:b/>
          <w:bCs/>
          <w:kern w:val="0"/>
          <w:sz w:val="28"/>
          <w:szCs w:val="28"/>
          <w:highlight w:val="none"/>
        </w:rPr>
      </w:pPr>
    </w:p>
    <w:p>
      <w:pPr>
        <w:pStyle w:val="42"/>
        <w:rPr>
          <w:rFonts w:ascii="楷体" w:hAnsi="楷体" w:cs="楷体"/>
          <w:b/>
          <w:bCs/>
          <w:kern w:val="0"/>
          <w:sz w:val="28"/>
          <w:szCs w:val="28"/>
          <w:highlight w:val="none"/>
        </w:rPr>
      </w:pPr>
    </w:p>
    <w:p>
      <w:pPr>
        <w:pStyle w:val="42"/>
        <w:ind w:left="0" w:leftChars="0" w:firstLine="0" w:firstLineChars="0"/>
        <w:rPr>
          <w:rFonts w:ascii="楷体" w:hAnsi="楷体" w:cs="楷体"/>
          <w:b/>
          <w:bCs/>
          <w:kern w:val="0"/>
          <w:sz w:val="28"/>
          <w:szCs w:val="28"/>
          <w:highlight w:val="none"/>
        </w:rPr>
      </w:pPr>
    </w:p>
    <w:p>
      <w:pPr>
        <w:pStyle w:val="36"/>
        <w:ind w:firstLine="560"/>
        <w:rPr>
          <w:rFonts w:ascii="楷体" w:hAnsi="楷体" w:eastAsia="楷体"/>
          <w:highlight w:val="none"/>
        </w:rPr>
      </w:pPr>
    </w:p>
    <w:p>
      <w:pPr>
        <w:tabs>
          <w:tab w:val="left" w:pos="734"/>
        </w:tabs>
        <w:spacing w:line="600" w:lineRule="auto"/>
        <w:ind w:firstLine="0" w:firstLineChars="0"/>
        <w:jc w:val="center"/>
        <w:rPr>
          <w:rFonts w:hint="eastAsia" w:ascii="楷体" w:hAnsi="楷体" w:eastAsia="楷体" w:cs="楷体"/>
          <w:b/>
          <w:bCs/>
          <w:sz w:val="32"/>
          <w:szCs w:val="32"/>
          <w:highlight w:val="none"/>
          <w:lang w:eastAsia="zh-CN"/>
        </w:rPr>
      </w:pPr>
      <w:r>
        <w:rPr>
          <w:rFonts w:hint="eastAsia" w:ascii="楷体" w:hAnsi="楷体" w:cs="楷体"/>
          <w:b/>
          <w:bCs/>
          <w:sz w:val="32"/>
          <w:szCs w:val="32"/>
          <w:highlight w:val="none"/>
          <w:lang w:eastAsia="zh-CN"/>
        </w:rPr>
        <w:t>陕西四方衡裕项目管理有限公司</w:t>
      </w:r>
    </w:p>
    <w:p>
      <w:pPr>
        <w:tabs>
          <w:tab w:val="left" w:pos="734"/>
        </w:tabs>
        <w:spacing w:line="600" w:lineRule="auto"/>
        <w:ind w:firstLine="0" w:firstLineChars="0"/>
        <w:jc w:val="center"/>
        <w:rPr>
          <w:rFonts w:ascii="楷体" w:hAnsi="楷体" w:cs="楷体"/>
          <w:b/>
          <w:bCs/>
          <w:sz w:val="32"/>
          <w:szCs w:val="32"/>
          <w:highlight w:val="none"/>
        </w:rPr>
      </w:pPr>
      <w:r>
        <w:rPr>
          <w:rFonts w:hint="eastAsia" w:ascii="楷体" w:hAnsi="楷体" w:cs="楷体"/>
          <w:b/>
          <w:bCs/>
          <w:sz w:val="32"/>
          <w:szCs w:val="32"/>
          <w:highlight w:val="none"/>
        </w:rPr>
        <w:t>二0二</w:t>
      </w:r>
      <w:r>
        <w:rPr>
          <w:rFonts w:hint="eastAsia" w:ascii="楷体" w:hAnsi="楷体" w:cs="楷体"/>
          <w:b/>
          <w:bCs/>
          <w:sz w:val="32"/>
          <w:szCs w:val="32"/>
          <w:highlight w:val="none"/>
          <w:lang w:val="en-US" w:eastAsia="zh-CN"/>
        </w:rPr>
        <w:t>二</w:t>
      </w:r>
      <w:r>
        <w:rPr>
          <w:rFonts w:hint="eastAsia" w:ascii="楷体" w:hAnsi="楷体" w:cs="楷体"/>
          <w:b/>
          <w:bCs/>
          <w:sz w:val="32"/>
          <w:szCs w:val="32"/>
          <w:highlight w:val="none"/>
        </w:rPr>
        <w:t>年</w:t>
      </w:r>
      <w:r>
        <w:rPr>
          <w:rFonts w:hint="eastAsia" w:ascii="楷体" w:hAnsi="楷体" w:cs="楷体"/>
          <w:b/>
          <w:bCs/>
          <w:sz w:val="32"/>
          <w:szCs w:val="32"/>
          <w:highlight w:val="none"/>
          <w:lang w:val="en-US" w:eastAsia="zh-CN"/>
        </w:rPr>
        <w:t>七</w:t>
      </w:r>
      <w:r>
        <w:rPr>
          <w:rFonts w:hint="eastAsia" w:ascii="楷体" w:hAnsi="楷体" w:cs="楷体"/>
          <w:b/>
          <w:bCs/>
          <w:sz w:val="32"/>
          <w:szCs w:val="32"/>
          <w:highlight w:val="none"/>
        </w:rPr>
        <w:t>月</w:t>
      </w:r>
    </w:p>
    <w:p>
      <w:pPr>
        <w:pStyle w:val="42"/>
        <w:ind w:left="480" w:firstLine="480"/>
        <w:rPr>
          <w:rFonts w:ascii="楷体" w:hAnsi="楷体"/>
          <w:highlight w:val="none"/>
        </w:rPr>
      </w:pPr>
      <w:r>
        <w:rPr>
          <w:rFonts w:ascii="楷体" w:hAnsi="楷体"/>
          <w:highlight w:val="none"/>
        </w:rPr>
        <w:br w:type="page"/>
      </w:r>
    </w:p>
    <w:p>
      <w:pPr>
        <w:ind w:firstLine="480"/>
        <w:jc w:val="center"/>
        <w:rPr>
          <w:rFonts w:ascii="楷体" w:hAnsi="楷体"/>
          <w:highlight w:val="none"/>
        </w:rPr>
      </w:pPr>
    </w:p>
    <w:p>
      <w:pPr>
        <w:jc w:val="center"/>
        <w:rPr>
          <w:rFonts w:ascii="楷体" w:hAnsi="楷体" w:cs="Helvetica"/>
          <w:b/>
          <w:bCs/>
          <w:sz w:val="44"/>
          <w:szCs w:val="44"/>
          <w:highlight w:val="none"/>
        </w:rPr>
      </w:pPr>
      <w:r>
        <w:rPr>
          <w:rFonts w:hint="eastAsia" w:ascii="楷体" w:hAnsi="楷体" w:cs="Helvetica"/>
          <w:b/>
          <w:bCs/>
          <w:sz w:val="44"/>
          <w:szCs w:val="44"/>
          <w:highlight w:val="none"/>
        </w:rPr>
        <w:t>温馨提示</w:t>
      </w:r>
    </w:p>
    <w:p>
      <w:pPr>
        <w:spacing w:line="240" w:lineRule="auto"/>
        <w:ind w:firstLine="0" w:firstLineChars="0"/>
        <w:rPr>
          <w:rFonts w:ascii="楷体" w:hAnsi="楷体" w:cs="Helvetica"/>
          <w:b/>
          <w:bCs/>
          <w:sz w:val="21"/>
          <w:szCs w:val="21"/>
          <w:highlight w:val="none"/>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w:t>
      </w:r>
      <w:r>
        <w:rPr>
          <w:rFonts w:hint="eastAsia" w:ascii="楷体" w:hAnsi="楷体" w:cs="Helvetica"/>
          <w:b/>
          <w:bCs/>
          <w:sz w:val="28"/>
          <w:szCs w:val="28"/>
          <w:lang w:val="en-US" w:eastAsia="zh-CN"/>
        </w:rPr>
        <w:t>谈判</w:t>
      </w:r>
      <w:r>
        <w:rPr>
          <w:rFonts w:hint="eastAsia" w:ascii="楷体" w:hAnsi="楷体" w:cs="Helvetica"/>
          <w:b/>
          <w:bCs/>
          <w:sz w:val="28"/>
          <w:szCs w:val="28"/>
        </w:rPr>
        <w:t>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tabs>
          <w:tab w:val="left" w:pos="734"/>
        </w:tabs>
        <w:spacing w:line="600" w:lineRule="auto"/>
        <w:ind w:firstLine="0" w:firstLineChars="0"/>
        <w:jc w:val="center"/>
        <w:rPr>
          <w:rFonts w:ascii="楷体" w:hAnsi="楷体" w:cs="楷体"/>
          <w:b/>
          <w:bCs/>
          <w:sz w:val="32"/>
          <w:szCs w:val="32"/>
          <w:highlight w:val="none"/>
        </w:rPr>
      </w:pPr>
    </w:p>
    <w:p>
      <w:pPr>
        <w:rPr>
          <w:rFonts w:ascii="楷体" w:hAnsi="楷体"/>
          <w:highlight w:val="none"/>
        </w:rPr>
      </w:pPr>
      <w:r>
        <w:rPr>
          <w:rFonts w:ascii="楷体" w:hAnsi="楷体"/>
          <w:highlight w:val="none"/>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hint="eastAsia" w:ascii="Times New Roman" w:hAnsi="Times New Roman" w:cs="Times New Roman"/>
          <w:sz w:val="21"/>
          <w:szCs w:val="21"/>
        </w:rPr>
      </w:pP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2"/>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42"/>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kern w:val="2"/>
          <w:sz w:val="44"/>
          <w:szCs w:val="44"/>
          <w:highlight w:val="none"/>
          <w:lang w:val="en-US" w:eastAsia="zh-CN" w:bidi="ar-SA"/>
        </w:rPr>
        <w:id w:val="147479754"/>
        <w15:color w:val="DBDBDB"/>
        <w:docPartObj>
          <w:docPartGallery w:val="Table of Contents"/>
          <w:docPartUnique/>
        </w:docPartObj>
      </w:sdtPr>
      <w:sdtEndPr>
        <w:rPr>
          <w:rFonts w:hint="eastAsia" w:ascii="楷体" w:hAnsi="楷体" w:eastAsia="楷体" w:cs="楷体"/>
          <w:kern w:val="2"/>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目</w:t>
          </w:r>
          <w:r>
            <w:rPr>
              <w:rFonts w:hint="eastAsia" w:ascii="楷体" w:hAnsi="楷体" w:cs="楷体"/>
              <w:sz w:val="44"/>
              <w:szCs w:val="44"/>
              <w:highlight w:val="none"/>
              <w:lang w:val="en-US" w:eastAsia="zh-CN"/>
            </w:rPr>
            <w:t xml:space="preserve"> </w:t>
          </w:r>
          <w:r>
            <w:rPr>
              <w:rFonts w:hint="eastAsia" w:ascii="楷体" w:hAnsi="楷体" w:eastAsia="楷体" w:cs="楷体"/>
              <w:sz w:val="44"/>
              <w:szCs w:val="44"/>
              <w:highlight w:val="none"/>
            </w:rPr>
            <w:t>录</w:t>
          </w:r>
        </w:p>
        <w:p>
          <w:pPr>
            <w:pStyle w:val="2"/>
            <w:rPr>
              <w:rFonts w:hint="eastAsia"/>
              <w:highlight w:val="none"/>
            </w:rPr>
          </w:pPr>
        </w:p>
        <w:p>
          <w:pPr>
            <w:pStyle w:val="29"/>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30"/>
              <w:szCs w:val="30"/>
              <w:highlight w:val="none"/>
            </w:rPr>
            <w:fldChar w:fldCharType="begin"/>
          </w:r>
          <w:r>
            <w:rPr>
              <w:rFonts w:hint="eastAsia" w:ascii="楷体" w:hAnsi="楷体" w:eastAsia="楷体" w:cs="楷体"/>
              <w:sz w:val="30"/>
              <w:szCs w:val="30"/>
              <w:highlight w:val="none"/>
            </w:rPr>
            <w:instrText xml:space="preserve">TOC \o "1-1" \h \u </w:instrText>
          </w:r>
          <w:r>
            <w:rPr>
              <w:rFonts w:hint="eastAsia" w:ascii="楷体" w:hAnsi="楷体" w:eastAsia="楷体" w:cs="楷体"/>
              <w:sz w:val="30"/>
              <w:szCs w:val="30"/>
              <w:highlight w:val="none"/>
            </w:rPr>
            <w:fldChar w:fldCharType="separate"/>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_Toc3536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第一章 竞争性</w:t>
          </w:r>
          <w:r>
            <w:rPr>
              <w:rFonts w:hint="eastAsia" w:ascii="楷体" w:hAnsi="楷体" w:eastAsia="楷体" w:cs="楷体"/>
              <w:sz w:val="28"/>
              <w:szCs w:val="28"/>
              <w:highlight w:val="none"/>
              <w:lang w:eastAsia="zh-CN"/>
            </w:rPr>
            <w:t>谈判</w:t>
          </w:r>
          <w:r>
            <w:rPr>
              <w:rFonts w:hint="eastAsia" w:ascii="楷体" w:hAnsi="楷体" w:eastAsia="楷体" w:cs="楷体"/>
              <w:sz w:val="28"/>
              <w:szCs w:val="28"/>
              <w:highlight w:val="none"/>
            </w:rPr>
            <w:t>公告</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_Toc3536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2</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29"/>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_Toc4179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第二章 供应商须知</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_Toc4179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5</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29"/>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_Toc1845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第三章 采购</w:t>
          </w:r>
          <w:r>
            <w:rPr>
              <w:rFonts w:hint="eastAsia" w:ascii="楷体" w:hAnsi="楷体" w:eastAsia="楷体" w:cs="楷体"/>
              <w:sz w:val="28"/>
              <w:szCs w:val="28"/>
              <w:highlight w:val="none"/>
              <w:lang w:val="en-US" w:eastAsia="zh-CN"/>
            </w:rPr>
            <w:t>内容及要求</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_Toc1845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16</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29"/>
            <w:tabs>
              <w:tab w:val="right" w:leader="dot" w:pos="9356"/>
              <w:tab w:val="clear" w:pos="9060"/>
            </w:tabs>
            <w:rPr>
              <w:rFonts w:hint="eastAsia" w:ascii="楷体" w:hAnsi="楷体" w:eastAsia="楷体" w:cs="楷体"/>
              <w:sz w:val="28"/>
              <w:szCs w:val="28"/>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_Toc14275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第四章 拟签订的合同文本</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_Toc14275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41</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29"/>
            <w:tabs>
              <w:tab w:val="right" w:leader="dot" w:pos="9356"/>
              <w:tab w:val="clear" w:pos="9060"/>
            </w:tabs>
            <w:rPr>
              <w:highlight w:val="none"/>
            </w:rPr>
          </w:pP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\l _Toc29997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第五章 响应文件格式</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_Toc29997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47</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29"/>
            <w:tabs>
              <w:tab w:val="right" w:leader="dot" w:pos="9356"/>
              <w:tab w:val="clear" w:pos="9060"/>
            </w:tabs>
            <w:rPr>
              <w:highlight w:val="none"/>
            </w:rPr>
          </w:pPr>
        </w:p>
        <w:p>
          <w:pPr>
            <w:rPr>
              <w:highlight w:val="none"/>
            </w:rPr>
          </w:pPr>
          <w:r>
            <w:rPr>
              <w:rFonts w:hint="eastAsia" w:ascii="楷体" w:hAnsi="楷体" w:eastAsia="楷体" w:cs="楷体"/>
              <w:szCs w:val="30"/>
              <w:highlight w:val="none"/>
            </w:rPr>
            <w:fldChar w:fldCharType="end"/>
          </w:r>
        </w:p>
      </w:sdtContent>
    </w:sdt>
    <w:p>
      <w:pPr>
        <w:ind w:firstLine="480"/>
        <w:rPr>
          <w:rFonts w:ascii="楷体" w:hAnsi="楷体"/>
          <w:highlight w:val="none"/>
        </w:rPr>
      </w:pPr>
      <w:r>
        <w:rPr>
          <w:rFonts w:hint="eastAsia" w:ascii="楷体" w:hAnsi="楷体"/>
          <w:highlight w:val="none"/>
        </w:rPr>
        <w:br w:type="page"/>
      </w:r>
    </w:p>
    <w:p>
      <w:pPr>
        <w:pStyle w:val="3"/>
        <w:spacing w:before="460" w:line="240" w:lineRule="auto"/>
        <w:ind w:firstLine="883"/>
        <w:rPr>
          <w:rFonts w:ascii="楷体" w:hAnsi="楷体"/>
          <w:highlight w:val="none"/>
        </w:rPr>
      </w:pPr>
      <w:bookmarkStart w:id="0" w:name="_Toc3536"/>
      <w:bookmarkStart w:id="1" w:name="_Toc508_WPSOffice_Level1"/>
      <w:r>
        <w:rPr>
          <w:rFonts w:hint="eastAsia" w:ascii="楷体" w:hAnsi="楷体"/>
          <w:highlight w:val="none"/>
        </w:rPr>
        <w:t>竞争性</w:t>
      </w:r>
      <w:r>
        <w:rPr>
          <w:rFonts w:hint="eastAsia" w:ascii="楷体" w:hAnsi="楷体"/>
          <w:highlight w:val="none"/>
          <w:lang w:val="en-US" w:eastAsia="zh-CN"/>
        </w:rPr>
        <w:t>谈判</w:t>
      </w:r>
      <w:r>
        <w:rPr>
          <w:rFonts w:hint="eastAsia" w:ascii="楷体" w:hAnsi="楷体"/>
          <w:highlight w:val="none"/>
        </w:rPr>
        <w:t>公告</w:t>
      </w:r>
      <w:bookmarkEnd w:id="0"/>
      <w:bookmarkEnd w:id="1"/>
    </w:p>
    <w:p>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864" w:right="0" w:hanging="864" w:firstLineChars="0"/>
        <w:jc w:val="left"/>
        <w:textAlignment w:val="baseline"/>
        <w:outlineLvl w:val="9"/>
        <w:rPr>
          <w:sz w:val="24"/>
          <w:szCs w:val="24"/>
        </w:rPr>
      </w:pPr>
      <w:r>
        <w:rPr>
          <w:sz w:val="24"/>
          <w:szCs w:val="24"/>
        </w:rPr>
        <mc:AlternateContent>
          <mc:Choice Requires="wps">
            <w:drawing>
              <wp:inline distT="0" distB="0" distL="114300" distR="114300">
                <wp:extent cx="6122035" cy="944245"/>
                <wp:effectExtent l="4445" t="4445" r="7620" b="22860"/>
                <wp:docPr id="1" name="文本框 1"/>
                <wp:cNvGraphicFramePr/>
                <a:graphic xmlns:a="http://schemas.openxmlformats.org/drawingml/2006/main">
                  <a:graphicData uri="http://schemas.microsoft.com/office/word/2010/wordprocessingShape">
                    <wps:wsp>
                      <wps:cNvSpPr txBox="1"/>
                      <wps:spPr>
                        <a:xfrm>
                          <a:off x="1028700" y="2415540"/>
                          <a:ext cx="6122035" cy="94424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eastAsia="zh-CN"/>
                              </w:rPr>
                              <w:t>西安市第二十六中学太乙分校心理辅导室、音乐形体室、书画室建设项目采购项目的潜在供应商应在西安市高新区沣惠路16号泰华金贸国际8号楼28层获取采购文件，并于 2022年8月1日 09时30分 （北京时间）前提交响应文件。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4.35pt;width:482.05pt;" filled="f" stroked="t" coordsize="21600,21600" o:gfxdata="UEsDBAoAAAAAAIdO4kAAAAAAAAAAAAAAAAAEAAAAZHJzL1BLAwQUAAAACACHTuJAvBXbL9cAAAAF&#10;AQAADwAAAGRycy9kb3ducmV2LnhtbE2PwU7DMBBE70j8g7VI3KgdVNoS4vSA6AEJIVFQ26OTLHGE&#10;vQ6xmxa+ni0XuIy0mtHM22J59E6MOMQukIZsokAg1aHpqNXw9rq6WoCIyVBjXCDU8IURluX5WWHy&#10;JhzoBcd1agWXUMyNBptSn0sZa4vexEnokdh7D4M3ic+hlc1gDlzunbxWaia96YgXrOnx3mL9sd57&#10;DU+b7efD6nmntli57mZ0c/v4XWl9eZGpOxAJj+kvDCd8RoeSmaqwpyYKp4EfSb/K3u1smoGoODRd&#10;zEGWhfxPX/4AUEsDBBQAAAAIAIdO4kDXrF30WgIAAJsEAAAOAAAAZHJzL2Uyb0RvYy54bWytVM1u&#10;2zAMvg/YOwi6r3Zcpz9BnCJL0WFAsRbIhp0VWY4FSKImKbG7B9jeYKdddt9z9TlGyW4bdDv0sBwU&#10;SvxC8vtIZn7Ra0X2wnkJpqKTo5wSYTjU0mwr+unj1ZszSnxgpmYKjKjonfD0YvH61byzM1FAC6oW&#10;jmAQ42edrWgbgp1lmeet0MwfgRUGnQ04zQJe3TarHeswulZZkecnWQeutg648B5fLwcnHSO6lwSE&#10;ppFcXALfaWHCENUJxQJS8q20ni5StU0jeLhpGi8CURVFpiGdmATtTTyzxZzNto7ZVvKxBPaSEp5x&#10;0kwaTPoY6pIFRnZO/hVKS+7AQxOOOOhsIJIUQRaT/Jk265ZZkbig1N4+iu7/X1j+YX/riKxxEigx&#10;TGPD7398v//5+/7XNzKJ8nTWzxC1togL/VvoI3R89/gYWfeN0/Eb+ZDoz4uz0xwlvqtoUU6m03IU&#10;WvSBcAScTIoiP55SwhFxXpZFOY0hs6dI1vnwToAm0aiow0Ymfdn+2ocB+gCJiQ1cSaXwnc2UIR1m&#10;OJ7m6QcelKyjM/q8225WypE9i+OQPmPeAxhWoQwWE4kPBKMV+k0/st5AfYdiOBimyVt+JbHKa+bD&#10;LXM4PsgcFyzc4NEowGpgtChpwX3913vEY1fRS0mH41hR/2XHnKBEvTfY7/NJiSKSkC7l9LTAizv0&#10;bA49ZqdXgBSxp1hdMiM+qAezcaA/4x4uY1Z0McMxd0XDg7kKw5LgHnOxXCYQTqxl4dqsLY+hB92X&#10;uwCNTC2JMg3ajOrhzKamjvsVl+LwnlBP/ym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V2y/X&#10;AAAABQEAAA8AAAAAAAAAAQAgAAAAIgAAAGRycy9kb3ducmV2LnhtbFBLAQIUABQAAAAIAIdO4kDX&#10;rF30WgIAAJsEAAAOAAAAAAAAAAEAIAAAACYBAABkcnMvZTJvRG9jLnhtbFBLBQYAAAAABgAGAFkB&#10;AADyBQAAAAA=&#10;">
                <v:fill on="f" focussize="0,0"/>
                <v:stroke weight="0.5pt" color="#000000 [3213]" joinstyle="round"/>
                <v:imagedata o:title=""/>
                <o:lock v:ext="edit" aspectratio="f"/>
                <v:textbox>
                  <w:txbxContent>
                    <w:p>
                      <w:r>
                        <w:rPr>
                          <w:rFonts w:hint="eastAsia"/>
                          <w:lang w:eastAsia="zh-CN"/>
                        </w:rPr>
                        <w:t>西安市第二十六中学太乙分校心理辅导室、音乐形体室、书画室建设项目采购项目的潜在供应商应在西安市高新区沣惠路16号泰华金贸国际8号楼28层获取采购文件，并于 2022年8月1日 09时30分 （北京时间）前提交响应文件。</w:t>
                      </w:r>
                    </w:p>
                  </w:txbxContent>
                </v:textbox>
                <w10:wrap type="none"/>
                <w10:anchorlock/>
              </v:shape>
            </w:pict>
          </mc:Fallback>
        </mc:AlternateConten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864" w:right="0" w:hanging="864" w:firstLineChars="0"/>
        <w:jc w:val="left"/>
        <w:textAlignment w:val="baseline"/>
        <w:outlineLvl w:val="9"/>
        <w:rPr>
          <w:rFonts w:hint="eastAsia" w:ascii="楷体" w:hAnsi="楷体" w:eastAsia="楷体" w:cs="楷体"/>
          <w:b w:val="0"/>
          <w:bCs w:val="0"/>
          <w:i w:val="0"/>
          <w:iCs w:val="0"/>
          <w:caps w:val="0"/>
          <w:color w:val="333333"/>
          <w:spacing w:val="0"/>
          <w:kern w:val="0"/>
          <w:sz w:val="24"/>
          <w:szCs w:val="24"/>
          <w:lang w:bidi="ar"/>
        </w:rPr>
      </w:pPr>
      <w:r>
        <w:rPr>
          <w:rStyle w:val="46"/>
          <w:rFonts w:hint="eastAsia" w:ascii="楷体" w:hAnsi="楷体" w:eastAsia="楷体" w:cs="楷体"/>
          <w:b/>
          <w:bCs/>
          <w:i w:val="0"/>
          <w:iCs w:val="0"/>
          <w:caps w:val="0"/>
          <w:color w:val="333333"/>
          <w:spacing w:val="0"/>
          <w:kern w:val="0"/>
          <w:sz w:val="24"/>
          <w:szCs w:val="24"/>
          <w:shd w:val="clear" w:fill="FFFFFF"/>
          <w:vertAlign w:val="baseline"/>
          <w:lang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项目编号：</w:t>
      </w:r>
      <w:r>
        <w:rPr>
          <w:rFonts w:hint="eastAsia" w:ascii="楷体" w:hAnsi="楷体" w:cs="楷体"/>
          <w:i w:val="0"/>
          <w:iCs w:val="0"/>
          <w:caps w:val="0"/>
          <w:color w:val="333333"/>
          <w:spacing w:val="0"/>
          <w:kern w:val="0"/>
          <w:sz w:val="24"/>
          <w:szCs w:val="24"/>
          <w:shd w:val="clear" w:fill="FFFFFF"/>
          <w:vertAlign w:val="baseline"/>
          <w:lang w:val="en-US" w:eastAsia="zh-CN" w:bidi="ar"/>
        </w:rPr>
        <w:t>HYTH-202205029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项目名称：</w:t>
      </w:r>
      <w:r>
        <w:rPr>
          <w:rFonts w:hint="eastAsia" w:ascii="楷体" w:hAnsi="楷体" w:cs="楷体"/>
          <w:i w:val="0"/>
          <w:iCs w:val="0"/>
          <w:caps w:val="0"/>
          <w:color w:val="333333"/>
          <w:spacing w:val="0"/>
          <w:kern w:val="0"/>
          <w:sz w:val="24"/>
          <w:szCs w:val="24"/>
          <w:shd w:val="clear" w:fill="FFFFFF"/>
          <w:vertAlign w:val="baseline"/>
          <w:lang w:val="en-US" w:eastAsia="zh-CN" w:bidi="ar"/>
        </w:rPr>
        <w:t>西安市第二十六中学太乙分校心理辅导室、音乐形体室、书画室建设项目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采购方式：竞争性谈判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预算金额：640,000.00元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采购需求：</w:t>
      </w:r>
    </w:p>
    <w:tbl>
      <w:tblPr>
        <w:tblStyle w:val="43"/>
        <w:tblW w:w="9576"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3"/>
        <w:gridCol w:w="2153"/>
        <w:gridCol w:w="1378"/>
        <w:gridCol w:w="1677"/>
        <w:gridCol w:w="1677"/>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6" w:hRule="atLeast"/>
          <w:tblHeader/>
        </w:trPr>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合同包号</w:t>
            </w:r>
          </w:p>
        </w:tc>
        <w:tc>
          <w:tcPr>
            <w:tcW w:w="2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合同包名称</w:t>
            </w: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技术规格、参数及要求</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预算金额（元）</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是否接受联合体</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firstLineChars="0"/>
              <w:jc w:val="center"/>
              <w:textAlignment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3" w:hRule="atLeast"/>
        </w:trPr>
        <w:tc>
          <w:tcPr>
            <w:tcW w:w="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w:t>
            </w:r>
          </w:p>
        </w:tc>
        <w:tc>
          <w:tcPr>
            <w:tcW w:w="21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西安市第二十六中学太乙分校心理辅导室、音乐形体室、书画室建设项目</w:t>
            </w: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default"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详见采购文件</w:t>
            </w:r>
            <w:r>
              <w:rPr>
                <w:rFonts w:hint="eastAsia" w:ascii="楷体" w:hAnsi="楷体" w:cs="楷体"/>
                <w:i w:val="0"/>
                <w:iCs w:val="0"/>
                <w:caps w:val="0"/>
                <w:color w:val="333333"/>
                <w:spacing w:val="0"/>
                <w:kern w:val="0"/>
                <w:sz w:val="24"/>
                <w:szCs w:val="24"/>
                <w:shd w:val="clear" w:fill="FFFFFF"/>
                <w:vertAlign w:val="baseline"/>
                <w:lang w:val="en-US" w:eastAsia="zh-CN" w:bidi="ar"/>
              </w:rPr>
              <w:t xml:space="preserve"> </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640,000.00</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否</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0" w:firstLineChars="0"/>
              <w:jc w:val="center"/>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自合同签订之日起30个日历日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6"/>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2.落实政府采购政策需满足的资格要求：无。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480" w:firstLineChars="20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3.本项目的特定资格要求：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480" w:firstLineChars="200"/>
        <w:jc w:val="both"/>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合同包1(</w:t>
      </w:r>
      <w:r>
        <w:rPr>
          <w:rFonts w:hint="eastAsia" w:ascii="楷体" w:hAnsi="楷体" w:cs="楷体"/>
          <w:i w:val="0"/>
          <w:iCs w:val="0"/>
          <w:caps w:val="0"/>
          <w:color w:val="333333"/>
          <w:spacing w:val="0"/>
          <w:kern w:val="0"/>
          <w:sz w:val="24"/>
          <w:szCs w:val="24"/>
          <w:shd w:val="clear" w:fill="FFFFFF"/>
          <w:vertAlign w:val="baseline"/>
          <w:lang w:val="en-US" w:eastAsia="zh-CN" w:bidi="ar"/>
        </w:rPr>
        <w:t>西安市第二十六中学太乙分校心理辅导室、音乐形体室、书画室建设项目</w:t>
      </w: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)特定资格要求如下: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供应商符合《政府采购促进中小企业发展管理办法》（财库〔2020〕46号）规定为中小型企业；（2）供应商通过“信用中国”网站（www.creditchina.gov.cn)、中国政府采购网(www.ccgp.gov.cn)等查询相关主体信用记录；（3）供应商参加本项目的合法授权人授权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6"/>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时间： 2022年07月22日 至 2022年07月27日 ，每天上午 09:00:00 至 12:00:00 ，下午 13:30:00 至 17:30:00 （北京时间,法定节假日除外）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地点：西安市高新区沣惠路16号泰华金贸国际8号楼28层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方式：现场获取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售价： 免费获取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highlight w:val="none"/>
          <w:lang w:val="en-US" w:eastAsia="zh-CN" w:bidi="ar"/>
        </w:rPr>
      </w:pPr>
      <w:r>
        <w:rPr>
          <w:rStyle w:val="46"/>
          <w:rFonts w:hint="eastAsia" w:ascii="楷体" w:hAnsi="楷体" w:eastAsia="楷体" w:cs="楷体"/>
          <w:b/>
          <w:bCs/>
          <w:i w:val="0"/>
          <w:iCs w:val="0"/>
          <w:caps w:val="0"/>
          <w:color w:val="333333"/>
          <w:spacing w:val="0"/>
          <w:kern w:val="0"/>
          <w:sz w:val="24"/>
          <w:szCs w:val="24"/>
          <w:highlight w:val="none"/>
          <w:shd w:val="clear" w:fill="FFFFFF"/>
          <w:vertAlign w:val="baseline"/>
          <w:lang w:val="en-US" w:eastAsia="zh-CN" w:bidi="ar"/>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t>截止时间： 2022年8月1日 09时30分00秒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t>地点：西安市高新区沣惠路16号泰华金贸国际8号楼29层开标一室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highlight w:val="none"/>
          <w:lang w:val="en-US" w:eastAsia="zh-CN" w:bidi="ar"/>
        </w:rPr>
      </w:pPr>
      <w:r>
        <w:rPr>
          <w:rStyle w:val="46"/>
          <w:rFonts w:hint="eastAsia" w:ascii="楷体" w:hAnsi="楷体" w:eastAsia="楷体" w:cs="楷体"/>
          <w:b/>
          <w:bCs/>
          <w:i w:val="0"/>
          <w:iCs w:val="0"/>
          <w:caps w:val="0"/>
          <w:color w:val="333333"/>
          <w:spacing w:val="0"/>
          <w:kern w:val="0"/>
          <w:sz w:val="24"/>
          <w:szCs w:val="24"/>
          <w:highlight w:val="none"/>
          <w:shd w:val="clear" w:fill="FFFFFF"/>
          <w:vertAlign w:val="baseline"/>
          <w:lang w:val="en-US" w:eastAsia="zh-CN" w:bidi="ar"/>
        </w:rPr>
        <w:t>五、开启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t>时间： 2022年8月1日 09时30分00秒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t>地点：西安市高新区沣惠路16号泰华金贸国际8号楼29层开标一室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6"/>
          <w:rFonts w:hint="eastAsia" w:ascii="楷体" w:hAnsi="楷体" w:eastAsia="楷体" w:cs="楷体"/>
          <w:b/>
          <w:bCs/>
          <w:i w:val="0"/>
          <w:iCs w:val="0"/>
          <w:caps w:val="0"/>
          <w:color w:val="333333"/>
          <w:spacing w:val="0"/>
          <w:kern w:val="0"/>
          <w:sz w:val="24"/>
          <w:szCs w:val="24"/>
          <w:shd w:val="clear" w:fill="FFFFFF"/>
          <w:vertAlign w:val="baseline"/>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6"/>
          <w:rFonts w:hint="eastAsia" w:ascii="楷体" w:hAnsi="楷体" w:eastAsia="楷体" w:cs="楷体"/>
          <w:b/>
          <w:bCs/>
          <w:i w:val="0"/>
          <w:iCs w:val="0"/>
          <w:caps w:val="0"/>
          <w:color w:val="333333"/>
          <w:spacing w:val="0"/>
          <w:kern w:val="0"/>
          <w:sz w:val="24"/>
          <w:szCs w:val="24"/>
          <w:shd w:val="clear" w:fill="FFFFFF"/>
          <w:vertAlign w:val="baseline"/>
          <w:lang w:val="en-US" w:eastAsia="zh-CN" w:bidi="ar"/>
        </w:rPr>
        <w:t>七、其他补充事宜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1、落实政府采购政策：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其他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2、本项目专门面向中小企业采购。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Style w:val="46"/>
          <w:rFonts w:hint="eastAsia" w:ascii="楷体" w:hAnsi="楷体" w:eastAsia="楷体" w:cs="楷体"/>
          <w:b/>
          <w:bCs/>
          <w:i w:val="0"/>
          <w:iCs w:val="0"/>
          <w:caps w:val="0"/>
          <w:color w:val="333333"/>
          <w:spacing w:val="0"/>
          <w:kern w:val="0"/>
          <w:sz w:val="24"/>
          <w:szCs w:val="24"/>
          <w:shd w:val="clear" w:fill="FFFFFF"/>
          <w:vertAlign w:val="baseli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3、参加采购项目的供应商获取谈判文件时请携带单位介绍信原件、本人身份证原件或复印件加盖公章。竞争性谈判文件以电子文档方式提供。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333333"/>
          <w:spacing w:val="0"/>
          <w:kern w:val="0"/>
          <w:sz w:val="24"/>
          <w:szCs w:val="24"/>
          <w:lang w:val="en-US" w:eastAsia="zh-CN" w:bidi="ar"/>
        </w:rPr>
      </w:pPr>
      <w:r>
        <w:rPr>
          <w:rStyle w:val="46"/>
          <w:rFonts w:hint="eastAsia" w:ascii="楷体" w:hAnsi="楷体" w:eastAsia="楷体" w:cs="楷体"/>
          <w:b/>
          <w:bCs/>
          <w:i w:val="0"/>
          <w:iCs w:val="0"/>
          <w:caps w:val="0"/>
          <w:color w:val="333333"/>
          <w:spacing w:val="0"/>
          <w:kern w:val="0"/>
          <w:sz w:val="24"/>
          <w:szCs w:val="24"/>
          <w:shd w:val="clear" w:fill="FFFFFF"/>
          <w:vertAlign w:val="baseline"/>
          <w:lang w:val="en-US" w:eastAsia="zh-CN" w:bidi="ar"/>
        </w:rPr>
        <w:t>八、凡对本次采购提出询问，请按以下方式联系。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楷体" w:hAnsi="楷体" w:eastAsia="楷体" w:cs="楷体"/>
          <w:b w:val="0"/>
          <w:bCs w:val="0"/>
          <w:kern w:val="0"/>
          <w:sz w:val="24"/>
          <w:szCs w:val="24"/>
          <w:lang w:val="en-US" w:eastAsia="zh-CN" w:bidi="ar"/>
        </w:rPr>
      </w:pPr>
      <w:r>
        <w:rPr>
          <w:rFonts w:hint="eastAsia" w:ascii="楷体" w:hAnsi="楷体" w:eastAsia="楷体" w:cs="楷体"/>
          <w:b w:val="0"/>
          <w:bCs w:val="0"/>
          <w:i w:val="0"/>
          <w:iCs w:val="0"/>
          <w:caps w:val="0"/>
          <w:color w:val="333333"/>
          <w:spacing w:val="0"/>
          <w:kern w:val="0"/>
          <w:sz w:val="24"/>
          <w:szCs w:val="24"/>
          <w:shd w:val="clear" w:fill="FFFFFF"/>
          <w:vertAlign w:val="baseline"/>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名称：西安市第二十六中学太乙分校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地址：</w:t>
      </w:r>
      <w:r>
        <w:rPr>
          <w:rFonts w:hint="eastAsia" w:ascii="楷体" w:hAnsi="楷体" w:cs="楷体"/>
          <w:i w:val="0"/>
          <w:iCs w:val="0"/>
          <w:caps w:val="0"/>
          <w:color w:val="333333"/>
          <w:spacing w:val="0"/>
          <w:kern w:val="0"/>
          <w:sz w:val="24"/>
          <w:szCs w:val="24"/>
          <w:shd w:val="clear" w:fill="FFFFFF"/>
          <w:vertAlign w:val="baseline"/>
          <w:lang w:val="en-US" w:eastAsia="zh-CN" w:bidi="ar"/>
        </w:rPr>
        <w:t>西安市碑林区环城南路东段72号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楷体" w:hAnsi="楷体" w:eastAsia="楷体" w:cs="楷体"/>
          <w:kern w:val="0"/>
          <w:sz w:val="24"/>
          <w:szCs w:val="24"/>
          <w:highlight w:val="none"/>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联系方式</w:t>
      </w:r>
      <w:r>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t>：</w:t>
      </w:r>
      <w:r>
        <w:rPr>
          <w:rFonts w:hint="eastAsia" w:ascii="楷体" w:hAnsi="楷体" w:cs="楷体"/>
          <w:i w:val="0"/>
          <w:iCs w:val="0"/>
          <w:caps w:val="0"/>
          <w:color w:val="333333"/>
          <w:spacing w:val="0"/>
          <w:kern w:val="0"/>
          <w:sz w:val="24"/>
          <w:szCs w:val="24"/>
          <w:highlight w:val="none"/>
          <w:shd w:val="clear" w:fill="FFFFFF"/>
          <w:vertAlign w:val="baseline"/>
          <w:lang w:val="en-US" w:eastAsia="zh-CN" w:bidi="ar"/>
        </w:rPr>
        <w:t>029-88641936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楷体" w:hAnsi="楷体" w:eastAsia="楷体" w:cs="楷体"/>
          <w:b w:val="0"/>
          <w:bCs w:val="0"/>
          <w:kern w:val="0"/>
          <w:sz w:val="24"/>
          <w:szCs w:val="24"/>
          <w:lang w:val="en-US" w:eastAsia="zh-CN" w:bidi="ar"/>
        </w:rPr>
      </w:pPr>
      <w:r>
        <w:rPr>
          <w:rFonts w:hint="eastAsia" w:ascii="楷体" w:hAnsi="楷体" w:eastAsia="楷体" w:cs="楷体"/>
          <w:b w:val="0"/>
          <w:bCs w:val="0"/>
          <w:i w:val="0"/>
          <w:iCs w:val="0"/>
          <w:caps w:val="0"/>
          <w:color w:val="333333"/>
          <w:spacing w:val="0"/>
          <w:kern w:val="0"/>
          <w:sz w:val="24"/>
          <w:szCs w:val="24"/>
          <w:shd w:val="clear" w:fill="FFFFFF"/>
          <w:vertAlign w:val="baseline"/>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名称：陕西四方衡裕项目管理有限公司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地址：西安市高新区沣惠路16号泰华金贸国际8号楼28层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联系方式：029-89284433-604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楷体" w:hAnsi="楷体" w:eastAsia="楷体" w:cs="楷体"/>
          <w:b w:val="0"/>
          <w:bCs w:val="0"/>
          <w:kern w:val="0"/>
          <w:sz w:val="24"/>
          <w:szCs w:val="24"/>
          <w:lang w:val="en-US" w:eastAsia="zh-CN" w:bidi="ar"/>
        </w:rPr>
      </w:pPr>
      <w:r>
        <w:rPr>
          <w:rFonts w:hint="eastAsia" w:ascii="楷体" w:hAnsi="楷体" w:eastAsia="楷体" w:cs="楷体"/>
          <w:b w:val="0"/>
          <w:bCs w:val="0"/>
          <w:i w:val="0"/>
          <w:iCs w:val="0"/>
          <w:caps w:val="0"/>
          <w:color w:val="333333"/>
          <w:spacing w:val="0"/>
          <w:kern w:val="0"/>
          <w:sz w:val="24"/>
          <w:szCs w:val="24"/>
          <w:shd w:val="clear" w:fill="FFFFFF"/>
          <w:vertAlign w:val="baseline"/>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项目联系人：</w:t>
      </w:r>
      <w:r>
        <w:rPr>
          <w:rFonts w:hint="eastAsia" w:ascii="楷体" w:hAnsi="楷体" w:cs="楷体"/>
          <w:i w:val="0"/>
          <w:iCs w:val="0"/>
          <w:caps w:val="0"/>
          <w:color w:val="333333"/>
          <w:spacing w:val="0"/>
          <w:kern w:val="0"/>
          <w:sz w:val="24"/>
          <w:szCs w:val="24"/>
          <w:shd w:val="clear" w:fill="FFFFFF"/>
          <w:vertAlign w:val="baseline"/>
          <w:lang w:val="en-US" w:eastAsia="zh-CN" w:bidi="ar"/>
        </w:rPr>
        <w:t>张晓花、赵维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楷体" w:hAnsi="楷体" w:eastAsia="楷体" w:cs="楷体"/>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电话：029-89284433-604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shd w:val="clear" w:fill="FFFFFF"/>
          <w:vertAlign w:val="baseline"/>
          <w:lang w:val="en-US" w:eastAsia="zh-CN" w:bidi="ar"/>
        </w:rPr>
        <w:t>陕西四方衡裕项目管理有限公司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楷体" w:hAnsi="楷体" w:eastAsia="楷体" w:cs="楷体"/>
          <w:i w:val="0"/>
          <w:iCs w:val="0"/>
          <w:caps w:val="0"/>
          <w:color w:val="333333"/>
          <w:spacing w:val="0"/>
          <w:kern w:val="0"/>
          <w:sz w:val="24"/>
          <w:szCs w:val="24"/>
          <w:highlight w:val="none"/>
          <w:lang w:val="en-US" w:eastAsia="zh-CN" w:bidi="ar"/>
        </w:rPr>
      </w:pPr>
      <w:r>
        <w:rPr>
          <w:rFonts w:hint="eastAsia" w:ascii="楷体" w:hAnsi="楷体" w:eastAsia="楷体" w:cs="楷体"/>
          <w:i w:val="0"/>
          <w:iCs w:val="0"/>
          <w:caps w:val="0"/>
          <w:color w:val="333333"/>
          <w:spacing w:val="0"/>
          <w:kern w:val="0"/>
          <w:sz w:val="24"/>
          <w:szCs w:val="24"/>
          <w:highlight w:val="none"/>
          <w:shd w:val="clear" w:fill="FFFFFF"/>
          <w:vertAlign w:val="baseline"/>
          <w:lang w:val="en-US" w:eastAsia="zh-CN" w:bidi="ar"/>
        </w:rPr>
        <w:t>2022年7月22日</w:t>
      </w:r>
    </w:p>
    <w:p>
      <w:pPr>
        <w:rPr>
          <w:highlight w:val="none"/>
        </w:rPr>
      </w:pPr>
      <w:r>
        <w:rPr>
          <w:highlight w:val="none"/>
        </w:rPr>
        <w:br w:type="page"/>
      </w:r>
    </w:p>
    <w:p>
      <w:pPr>
        <w:pStyle w:val="3"/>
        <w:ind w:firstLine="883" w:firstLineChars="200"/>
        <w:rPr>
          <w:rFonts w:ascii="楷体" w:hAnsi="楷体" w:cs="楷体"/>
          <w:highlight w:val="none"/>
        </w:rPr>
      </w:pPr>
      <w:bookmarkStart w:id="3" w:name="_Toc4179"/>
      <w:r>
        <w:rPr>
          <w:rFonts w:hint="eastAsia" w:ascii="楷体" w:hAnsi="楷体" w:cs="楷体"/>
          <w:highlight w:val="none"/>
        </w:rPr>
        <w:t>供应商须知</w:t>
      </w:r>
      <w:bookmarkEnd w:id="2"/>
      <w:bookmarkEnd w:id="3"/>
    </w:p>
    <w:p>
      <w:pPr>
        <w:pStyle w:val="4"/>
        <w:spacing w:line="360" w:lineRule="auto"/>
        <w:ind w:left="573"/>
        <w:rPr>
          <w:rFonts w:ascii="楷体" w:hAnsi="楷体"/>
          <w:highlight w:val="none"/>
        </w:rPr>
      </w:pPr>
      <w:bookmarkStart w:id="4" w:name="_Toc16405_WPSOffice_Level2"/>
      <w:bookmarkStart w:id="5" w:name="_Toc25285_WPSOffice_Level2"/>
      <w:r>
        <w:rPr>
          <w:rFonts w:hint="eastAsia" w:ascii="楷体" w:hAnsi="楷体"/>
          <w:highlight w:val="none"/>
        </w:rPr>
        <w:t>定义</w:t>
      </w:r>
      <w:bookmarkEnd w:id="4"/>
      <w:bookmarkEnd w:id="5"/>
    </w:p>
    <w:p>
      <w:pPr>
        <w:numPr>
          <w:ilvl w:val="0"/>
          <w:numId w:val="5"/>
        </w:numPr>
        <w:ind w:firstLine="480" w:firstLineChars="0"/>
        <w:rPr>
          <w:rFonts w:ascii="楷体" w:hAnsi="楷体" w:cs="楷体"/>
          <w:highlight w:val="none"/>
        </w:rPr>
      </w:pPr>
      <w:r>
        <w:rPr>
          <w:rFonts w:hint="eastAsia" w:ascii="楷体" w:hAnsi="楷体" w:cs="楷体"/>
          <w:highlight w:val="none"/>
        </w:rPr>
        <w:t>采 购 人：</w:t>
      </w:r>
      <w:r>
        <w:rPr>
          <w:rFonts w:hint="eastAsia" w:ascii="楷体" w:hAnsi="楷体" w:cs="楷体"/>
          <w:highlight w:val="none"/>
          <w:lang w:eastAsia="zh-CN"/>
        </w:rPr>
        <w:t>西安市第二十六中学太乙分校</w:t>
      </w:r>
    </w:p>
    <w:p>
      <w:pPr>
        <w:numPr>
          <w:ilvl w:val="0"/>
          <w:numId w:val="5"/>
        </w:numPr>
        <w:ind w:firstLine="480"/>
        <w:rPr>
          <w:rFonts w:ascii="楷体" w:hAnsi="楷体" w:cs="楷体"/>
          <w:highlight w:val="none"/>
        </w:rPr>
      </w:pPr>
      <w:r>
        <w:rPr>
          <w:rFonts w:hint="eastAsia" w:ascii="楷体" w:hAnsi="楷体" w:cs="楷体"/>
          <w:highlight w:val="none"/>
        </w:rPr>
        <w:t>监督机构：</w:t>
      </w:r>
      <w:r>
        <w:rPr>
          <w:rFonts w:hint="eastAsia" w:ascii="楷体" w:hAnsi="楷体" w:cs="楷体"/>
          <w:highlight w:val="none"/>
          <w:lang w:val="en-US" w:eastAsia="zh-CN"/>
        </w:rPr>
        <w:t>西安市碑林区财政局</w:t>
      </w:r>
    </w:p>
    <w:p>
      <w:pPr>
        <w:ind w:firstLine="480"/>
        <w:rPr>
          <w:rFonts w:hint="eastAsia" w:ascii="楷体" w:hAnsi="楷体" w:eastAsia="楷体" w:cs="楷体"/>
          <w:highlight w:val="none"/>
          <w:lang w:eastAsia="zh-CN"/>
        </w:rPr>
      </w:pPr>
      <w:r>
        <w:rPr>
          <w:rFonts w:hint="eastAsia" w:ascii="楷体" w:hAnsi="楷体" w:cs="楷体"/>
          <w:highlight w:val="none"/>
        </w:rPr>
        <w:t>3、采购代理机构：</w:t>
      </w:r>
      <w:r>
        <w:rPr>
          <w:rFonts w:hint="eastAsia" w:ascii="楷体" w:hAnsi="楷体" w:cs="楷体"/>
          <w:highlight w:val="none"/>
          <w:lang w:eastAsia="zh-CN"/>
        </w:rPr>
        <w:t>陕西四方衡裕项目管理有限公司</w:t>
      </w:r>
    </w:p>
    <w:p>
      <w:pPr>
        <w:ind w:firstLine="480"/>
        <w:rPr>
          <w:rFonts w:ascii="楷体" w:hAnsi="楷体" w:cs="楷体"/>
          <w:highlight w:val="none"/>
        </w:rPr>
      </w:pPr>
      <w:r>
        <w:rPr>
          <w:rFonts w:hint="eastAsia" w:ascii="楷体" w:hAnsi="楷体" w:cs="楷体"/>
          <w:highlight w:val="none"/>
        </w:rPr>
        <w:t>4、供应商：响应</w:t>
      </w:r>
      <w:r>
        <w:rPr>
          <w:rFonts w:hint="eastAsia" w:ascii="楷体" w:hAnsi="楷体" w:cs="楷体"/>
          <w:highlight w:val="none"/>
          <w:lang w:eastAsia="zh-CN"/>
        </w:rPr>
        <w:t>谈判</w:t>
      </w:r>
      <w:r>
        <w:rPr>
          <w:rFonts w:hint="eastAsia" w:ascii="楷体" w:hAnsi="楷体" w:cs="楷体"/>
          <w:highlight w:val="none"/>
        </w:rPr>
        <w:t>并且符合</w:t>
      </w:r>
      <w:r>
        <w:rPr>
          <w:rFonts w:hint="eastAsia" w:ascii="楷体" w:hAnsi="楷体" w:cs="楷体"/>
          <w:highlight w:val="none"/>
          <w:lang w:eastAsia="zh-CN"/>
        </w:rPr>
        <w:t>谈判</w:t>
      </w:r>
      <w:r>
        <w:rPr>
          <w:rFonts w:hint="eastAsia" w:ascii="楷体" w:hAnsi="楷体" w:cs="楷体"/>
          <w:highlight w:val="none"/>
        </w:rPr>
        <w:t>文件规定资格条件和参加</w:t>
      </w:r>
      <w:r>
        <w:rPr>
          <w:rFonts w:hint="eastAsia" w:ascii="楷体" w:hAnsi="楷体" w:cs="楷体"/>
          <w:highlight w:val="none"/>
          <w:lang w:eastAsia="zh-CN"/>
        </w:rPr>
        <w:t>谈判</w:t>
      </w:r>
      <w:r>
        <w:rPr>
          <w:rFonts w:hint="eastAsia" w:ascii="楷体" w:hAnsi="楷体" w:cs="楷体"/>
          <w:highlight w:val="none"/>
        </w:rPr>
        <w:t>的法人、其他组织或者自然人</w:t>
      </w:r>
    </w:p>
    <w:p>
      <w:pPr>
        <w:pStyle w:val="4"/>
        <w:spacing w:line="360" w:lineRule="auto"/>
        <w:ind w:left="573"/>
        <w:rPr>
          <w:rFonts w:ascii="楷体" w:hAnsi="楷体"/>
          <w:highlight w:val="none"/>
        </w:rPr>
      </w:pPr>
      <w:bookmarkStart w:id="6" w:name="_Toc19936_WPSOffice_Level2"/>
      <w:bookmarkStart w:id="7" w:name="_Toc1686_WPSOffice_Level2"/>
      <w:r>
        <w:rPr>
          <w:rFonts w:hint="eastAsia" w:ascii="楷体" w:hAnsi="楷体"/>
          <w:highlight w:val="none"/>
          <w:lang w:eastAsia="zh-CN"/>
        </w:rPr>
        <w:t>谈判</w:t>
      </w:r>
      <w:r>
        <w:rPr>
          <w:rFonts w:hint="eastAsia" w:ascii="楷体" w:hAnsi="楷体"/>
          <w:highlight w:val="none"/>
        </w:rPr>
        <w:t>文件说明</w:t>
      </w:r>
      <w:bookmarkEnd w:id="6"/>
      <w:bookmarkEnd w:id="7"/>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eastAsia="zh-CN"/>
        </w:rPr>
        <w:t>谈判</w:t>
      </w:r>
      <w:r>
        <w:rPr>
          <w:rFonts w:hint="eastAsia" w:ascii="楷体" w:hAnsi="楷体" w:cs="楷体"/>
          <w:highlight w:val="none"/>
        </w:rPr>
        <w:t>文件是根据本项目的内容和需求编制，</w:t>
      </w:r>
      <w:r>
        <w:rPr>
          <w:rFonts w:hint="eastAsia" w:ascii="楷体" w:hAnsi="楷体" w:cs="楷体"/>
          <w:highlight w:val="none"/>
          <w:lang w:eastAsia="zh-CN"/>
        </w:rPr>
        <w:t>谈判</w:t>
      </w:r>
      <w:r>
        <w:rPr>
          <w:rFonts w:hint="eastAsia" w:ascii="楷体" w:hAnsi="楷体" w:cs="楷体"/>
          <w:highlight w:val="none"/>
        </w:rPr>
        <w:t>文件包括以下内容：</w:t>
      </w:r>
    </w:p>
    <w:p>
      <w:pPr>
        <w:ind w:firstLine="480"/>
        <w:rPr>
          <w:rFonts w:ascii="楷体" w:hAnsi="楷体" w:cs="楷体"/>
          <w:highlight w:val="none"/>
        </w:rPr>
      </w:pPr>
      <w:r>
        <w:rPr>
          <w:rFonts w:hint="eastAsia" w:ascii="楷体" w:hAnsi="楷体" w:cs="楷体"/>
          <w:highlight w:val="none"/>
        </w:rPr>
        <w:t>1-1、竞争性</w:t>
      </w:r>
      <w:r>
        <w:rPr>
          <w:rFonts w:hint="eastAsia" w:ascii="楷体" w:hAnsi="楷体" w:cs="楷体"/>
          <w:highlight w:val="none"/>
          <w:lang w:eastAsia="zh-CN"/>
        </w:rPr>
        <w:t>谈判</w:t>
      </w:r>
      <w:r>
        <w:rPr>
          <w:rFonts w:hint="eastAsia" w:ascii="楷体" w:hAnsi="楷体" w:cs="楷体"/>
          <w:highlight w:val="none"/>
        </w:rPr>
        <w:t>公告</w:t>
      </w:r>
    </w:p>
    <w:p>
      <w:pPr>
        <w:ind w:firstLine="480"/>
        <w:rPr>
          <w:rFonts w:ascii="楷体" w:hAnsi="楷体" w:cs="楷体"/>
          <w:highlight w:val="none"/>
        </w:rPr>
      </w:pPr>
      <w:r>
        <w:rPr>
          <w:rFonts w:hint="eastAsia" w:ascii="楷体" w:hAnsi="楷体" w:cs="楷体"/>
          <w:highlight w:val="none"/>
        </w:rPr>
        <w:t>1-2、供应商须知</w:t>
      </w:r>
    </w:p>
    <w:p>
      <w:pPr>
        <w:ind w:firstLine="480"/>
        <w:rPr>
          <w:rFonts w:hint="default" w:ascii="楷体" w:hAnsi="楷体" w:eastAsia="楷体" w:cs="楷体"/>
          <w:highlight w:val="none"/>
          <w:lang w:val="en-US" w:eastAsia="zh-CN"/>
        </w:rPr>
      </w:pPr>
      <w:r>
        <w:rPr>
          <w:rFonts w:hint="eastAsia" w:ascii="楷体" w:hAnsi="楷体" w:cs="楷体"/>
          <w:highlight w:val="none"/>
        </w:rPr>
        <w:t>1-3、采购</w:t>
      </w:r>
      <w:r>
        <w:rPr>
          <w:rFonts w:hint="eastAsia" w:ascii="楷体" w:hAnsi="楷体" w:cs="楷体"/>
          <w:highlight w:val="none"/>
          <w:lang w:val="en-US" w:eastAsia="zh-CN"/>
        </w:rPr>
        <w:t>内容及要求</w:t>
      </w:r>
    </w:p>
    <w:p>
      <w:pPr>
        <w:ind w:firstLine="480"/>
        <w:rPr>
          <w:rFonts w:ascii="楷体" w:hAnsi="楷体" w:cs="楷体"/>
          <w:highlight w:val="none"/>
        </w:rPr>
      </w:pPr>
      <w:r>
        <w:rPr>
          <w:rFonts w:hint="eastAsia" w:ascii="楷体" w:hAnsi="楷体" w:cs="楷体"/>
          <w:highlight w:val="none"/>
        </w:rPr>
        <w:t>1-4、拟签订的合同文本</w:t>
      </w:r>
    </w:p>
    <w:p>
      <w:pPr>
        <w:ind w:firstLine="480"/>
        <w:rPr>
          <w:rFonts w:ascii="楷体" w:hAnsi="楷体" w:cs="楷体"/>
          <w:highlight w:val="none"/>
        </w:rPr>
      </w:pPr>
      <w:r>
        <w:rPr>
          <w:rFonts w:hint="eastAsia" w:ascii="楷体" w:hAnsi="楷体" w:cs="楷体"/>
          <w:highlight w:val="none"/>
        </w:rPr>
        <w:t>1-5、响应文件格式</w:t>
      </w:r>
    </w:p>
    <w:p>
      <w:pPr>
        <w:ind w:firstLine="480"/>
        <w:rPr>
          <w:rFonts w:ascii="楷体" w:hAnsi="楷体" w:cs="楷体"/>
          <w:highlight w:val="none"/>
        </w:rPr>
      </w:pPr>
      <w:r>
        <w:rPr>
          <w:rFonts w:hint="eastAsia" w:ascii="楷体" w:hAnsi="楷体" w:cs="楷体"/>
          <w:highlight w:val="none"/>
        </w:rPr>
        <w:t>2、</w:t>
      </w:r>
      <w:r>
        <w:rPr>
          <w:rFonts w:hint="eastAsia" w:ascii="楷体" w:hAnsi="楷体" w:cs="楷体"/>
          <w:highlight w:val="none"/>
          <w:lang w:eastAsia="zh-CN"/>
        </w:rPr>
        <w:t>谈判</w:t>
      </w:r>
      <w:r>
        <w:rPr>
          <w:rFonts w:hint="eastAsia" w:ascii="楷体" w:hAnsi="楷体" w:cs="楷体"/>
          <w:highlight w:val="none"/>
        </w:rPr>
        <w:t>文件的获取：竞争性</w:t>
      </w:r>
      <w:r>
        <w:rPr>
          <w:rFonts w:hint="eastAsia" w:ascii="楷体" w:hAnsi="楷体" w:cs="楷体"/>
          <w:highlight w:val="none"/>
          <w:lang w:eastAsia="zh-CN"/>
        </w:rPr>
        <w:t>谈判</w:t>
      </w:r>
      <w:r>
        <w:rPr>
          <w:rFonts w:hint="eastAsia" w:ascii="楷体" w:hAnsi="楷体" w:cs="楷体"/>
          <w:highlight w:val="none"/>
        </w:rPr>
        <w:t>公告发布后，有意向的供应商应从竞争性</w:t>
      </w:r>
      <w:r>
        <w:rPr>
          <w:rFonts w:hint="eastAsia" w:ascii="楷体" w:hAnsi="楷体" w:cs="楷体"/>
          <w:highlight w:val="none"/>
          <w:lang w:eastAsia="zh-CN"/>
        </w:rPr>
        <w:t>谈判</w:t>
      </w:r>
      <w:r>
        <w:rPr>
          <w:rFonts w:hint="eastAsia" w:ascii="楷体" w:hAnsi="楷体" w:cs="楷体"/>
          <w:highlight w:val="none"/>
        </w:rPr>
        <w:t>公告载明的</w:t>
      </w:r>
      <w:r>
        <w:rPr>
          <w:rFonts w:hint="eastAsia" w:ascii="楷体" w:hAnsi="楷体" w:cs="楷体"/>
          <w:highlight w:val="none"/>
          <w:lang w:eastAsia="zh-CN"/>
        </w:rPr>
        <w:t>谈判</w:t>
      </w:r>
      <w:r>
        <w:rPr>
          <w:rFonts w:hint="eastAsia" w:ascii="楷体" w:hAnsi="楷体" w:cs="楷体"/>
          <w:highlight w:val="none"/>
        </w:rPr>
        <w:t>文件获取地点获取</w:t>
      </w:r>
      <w:r>
        <w:rPr>
          <w:rFonts w:hint="eastAsia" w:ascii="楷体" w:hAnsi="楷体" w:cs="楷体"/>
          <w:highlight w:val="none"/>
          <w:lang w:eastAsia="zh-CN"/>
        </w:rPr>
        <w:t>谈判</w:t>
      </w:r>
      <w:r>
        <w:rPr>
          <w:rFonts w:hint="eastAsia" w:ascii="楷体" w:hAnsi="楷体" w:cs="楷体"/>
          <w:highlight w:val="none"/>
        </w:rPr>
        <w:t>文件，其文件仅作为本次</w:t>
      </w:r>
      <w:r>
        <w:rPr>
          <w:rFonts w:hint="eastAsia" w:ascii="楷体" w:hAnsi="楷体" w:cs="楷体"/>
          <w:highlight w:val="none"/>
          <w:lang w:eastAsia="zh-CN"/>
        </w:rPr>
        <w:t>谈判</w:t>
      </w:r>
      <w:r>
        <w:rPr>
          <w:rFonts w:hint="eastAsia" w:ascii="楷体" w:hAnsi="楷体" w:cs="楷体"/>
          <w:highlight w:val="none"/>
        </w:rPr>
        <w:t>使用；未按照竞争性</w:t>
      </w:r>
      <w:r>
        <w:rPr>
          <w:rFonts w:hint="eastAsia" w:ascii="楷体" w:hAnsi="楷体" w:cs="楷体"/>
          <w:highlight w:val="none"/>
          <w:lang w:eastAsia="zh-CN"/>
        </w:rPr>
        <w:t>谈判</w:t>
      </w:r>
      <w:r>
        <w:rPr>
          <w:rFonts w:hint="eastAsia" w:ascii="楷体" w:hAnsi="楷体" w:cs="楷体"/>
          <w:highlight w:val="none"/>
        </w:rPr>
        <w:t>公告要求取得</w:t>
      </w:r>
      <w:r>
        <w:rPr>
          <w:rFonts w:hint="eastAsia" w:ascii="楷体" w:hAnsi="楷体" w:cs="楷体"/>
          <w:highlight w:val="none"/>
          <w:lang w:eastAsia="zh-CN"/>
        </w:rPr>
        <w:t>谈判</w:t>
      </w:r>
      <w:r>
        <w:rPr>
          <w:rFonts w:hint="eastAsia" w:ascii="楷体" w:hAnsi="楷体" w:cs="楷体"/>
          <w:highlight w:val="none"/>
        </w:rPr>
        <w:t>文件的，其本次响应无效。</w:t>
      </w:r>
    </w:p>
    <w:p>
      <w:pPr>
        <w:ind w:left="120" w:leftChars="50" w:firstLine="360" w:firstLineChars="150"/>
        <w:rPr>
          <w:rFonts w:ascii="楷体" w:hAnsi="楷体" w:cs="楷体"/>
          <w:highlight w:val="none"/>
        </w:rPr>
      </w:pPr>
      <w:r>
        <w:rPr>
          <w:rFonts w:hint="eastAsia" w:ascii="楷体" w:hAnsi="楷体" w:cs="楷体"/>
          <w:highlight w:val="none"/>
        </w:rPr>
        <w:t>3、采购人或者采购代理机构可以对已发出的</w:t>
      </w:r>
      <w:r>
        <w:rPr>
          <w:rFonts w:hint="eastAsia" w:ascii="楷体" w:hAnsi="楷体" w:cs="楷体"/>
          <w:highlight w:val="none"/>
          <w:lang w:eastAsia="zh-CN"/>
        </w:rPr>
        <w:t>谈判</w:t>
      </w:r>
      <w:r>
        <w:rPr>
          <w:rFonts w:hint="eastAsia" w:ascii="楷体" w:hAnsi="楷体" w:cs="楷体"/>
          <w:highlight w:val="none"/>
        </w:rPr>
        <w:t>文件进行必要的澄清或者修改的，澄清或者修改内容在指定的政府采购信息发布媒体上发布澄清或更正公告，澄清或者修改的内容为</w:t>
      </w:r>
      <w:r>
        <w:rPr>
          <w:rFonts w:hint="eastAsia" w:ascii="楷体" w:hAnsi="楷体" w:cs="楷体"/>
          <w:highlight w:val="none"/>
          <w:lang w:eastAsia="zh-CN"/>
        </w:rPr>
        <w:t>谈判</w:t>
      </w:r>
      <w:r>
        <w:rPr>
          <w:rFonts w:hint="eastAsia" w:ascii="楷体" w:hAnsi="楷体" w:cs="楷体"/>
          <w:highlight w:val="none"/>
        </w:rPr>
        <w:t>文件的组成部分。澄清或者修改的内容可能影响响应文件编制的，在提交首次响应文件截止时间至少</w:t>
      </w:r>
      <w:r>
        <w:rPr>
          <w:rFonts w:hint="eastAsia" w:ascii="楷体" w:hAnsi="楷体" w:cs="楷体"/>
          <w:highlight w:val="none"/>
          <w:lang w:val="en-US" w:eastAsia="zh-CN"/>
        </w:rPr>
        <w:t>3个工作日</w:t>
      </w:r>
      <w:r>
        <w:rPr>
          <w:rFonts w:hint="eastAsia" w:ascii="楷体" w:hAnsi="楷体" w:cs="楷体"/>
          <w:highlight w:val="none"/>
        </w:rPr>
        <w:t>前，以书面形式通知所有获取</w:t>
      </w:r>
      <w:r>
        <w:rPr>
          <w:rFonts w:hint="eastAsia" w:ascii="楷体" w:hAnsi="楷体" w:cs="楷体"/>
          <w:highlight w:val="none"/>
          <w:lang w:eastAsia="zh-CN"/>
        </w:rPr>
        <w:t>谈判</w:t>
      </w:r>
      <w:r>
        <w:rPr>
          <w:rFonts w:hint="eastAsia" w:ascii="楷体" w:hAnsi="楷体" w:cs="楷体"/>
          <w:highlight w:val="none"/>
        </w:rPr>
        <w:t>文件的供应商；不足</w:t>
      </w:r>
      <w:r>
        <w:rPr>
          <w:rFonts w:hint="eastAsia" w:ascii="楷体" w:hAnsi="楷体" w:cs="楷体"/>
          <w:highlight w:val="none"/>
          <w:lang w:val="en-US" w:eastAsia="zh-CN"/>
        </w:rPr>
        <w:t>3个工作日</w:t>
      </w:r>
      <w:r>
        <w:rPr>
          <w:rFonts w:hint="eastAsia" w:ascii="楷体" w:hAnsi="楷体" w:cs="楷体"/>
          <w:highlight w:val="none"/>
        </w:rPr>
        <w:t>的，采购人、采购代理机构应当顺延提交首次响应文件截止时间。</w:t>
      </w:r>
    </w:p>
    <w:p>
      <w:pPr>
        <w:ind w:firstLine="480"/>
        <w:rPr>
          <w:rFonts w:ascii="楷体" w:hAnsi="楷体" w:cs="楷体"/>
          <w:highlight w:val="none"/>
        </w:rPr>
      </w:pPr>
      <w:r>
        <w:rPr>
          <w:rFonts w:hint="eastAsia" w:ascii="楷体" w:hAnsi="楷体" w:cs="楷体"/>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w:t>
      </w:r>
      <w:r>
        <w:rPr>
          <w:rFonts w:hint="eastAsia" w:ascii="楷体" w:hAnsi="楷体" w:cs="楷体"/>
          <w:highlight w:val="none"/>
          <w:lang w:eastAsia="zh-CN"/>
        </w:rPr>
        <w:t>谈判</w:t>
      </w:r>
      <w:r>
        <w:rPr>
          <w:rFonts w:hint="eastAsia" w:ascii="楷体" w:hAnsi="楷体" w:cs="楷体"/>
          <w:highlight w:val="none"/>
        </w:rPr>
        <w:t>文件的潜在供应商，且作为</w:t>
      </w:r>
      <w:r>
        <w:rPr>
          <w:rFonts w:hint="eastAsia" w:ascii="楷体" w:hAnsi="楷体" w:cs="楷体"/>
          <w:highlight w:val="none"/>
          <w:lang w:eastAsia="zh-CN"/>
        </w:rPr>
        <w:t>谈判</w:t>
      </w:r>
      <w:r>
        <w:rPr>
          <w:rFonts w:hint="eastAsia" w:ascii="楷体" w:hAnsi="楷体" w:cs="楷体"/>
          <w:highlight w:val="none"/>
        </w:rPr>
        <w:t>文件的组成部分。</w:t>
      </w:r>
    </w:p>
    <w:p>
      <w:pPr>
        <w:ind w:firstLine="480"/>
        <w:rPr>
          <w:rFonts w:ascii="楷体" w:hAnsi="楷体" w:cs="楷体"/>
          <w:highlight w:val="none"/>
        </w:rPr>
      </w:pPr>
      <w:r>
        <w:rPr>
          <w:rFonts w:hint="eastAsia" w:ascii="楷体" w:hAnsi="楷体" w:cs="楷体"/>
          <w:highlight w:val="none"/>
        </w:rPr>
        <w:t>5、</w:t>
      </w:r>
      <w:r>
        <w:rPr>
          <w:rFonts w:hint="eastAsia" w:ascii="楷体" w:hAnsi="楷体" w:cs="楷体"/>
          <w:highlight w:val="none"/>
          <w:lang w:eastAsia="zh-CN"/>
        </w:rPr>
        <w:t>谈判</w:t>
      </w:r>
      <w:r>
        <w:rPr>
          <w:rFonts w:hint="eastAsia" w:ascii="楷体" w:hAnsi="楷体" w:cs="楷体"/>
          <w:highlight w:val="none"/>
        </w:rPr>
        <w:t>文件的解释权归采购代理机构。</w:t>
      </w:r>
    </w:p>
    <w:p>
      <w:pPr>
        <w:pStyle w:val="4"/>
        <w:spacing w:line="360" w:lineRule="auto"/>
        <w:ind w:left="573"/>
        <w:rPr>
          <w:rFonts w:ascii="楷体" w:hAnsi="楷体"/>
          <w:highlight w:val="none"/>
        </w:rPr>
      </w:pPr>
      <w:bookmarkStart w:id="8" w:name="_Toc31078_WPSOffice_Level2"/>
      <w:bookmarkStart w:id="9" w:name="_Toc18774_WPSOffice_Level2"/>
      <w:r>
        <w:rPr>
          <w:rFonts w:hint="eastAsia" w:ascii="楷体" w:hAnsi="楷体"/>
          <w:highlight w:val="none"/>
        </w:rPr>
        <w:t>响应要求</w:t>
      </w:r>
      <w:bookmarkEnd w:id="8"/>
      <w:bookmarkEnd w:id="9"/>
    </w:p>
    <w:p>
      <w:pPr>
        <w:numPr>
          <w:ilvl w:val="0"/>
          <w:numId w:val="6"/>
        </w:numPr>
        <w:ind w:firstLine="480"/>
        <w:rPr>
          <w:rFonts w:ascii="楷体" w:hAnsi="楷体" w:cs="楷体"/>
          <w:highlight w:val="none"/>
        </w:rPr>
      </w:pPr>
      <w:r>
        <w:rPr>
          <w:rFonts w:hint="eastAsia" w:ascii="楷体" w:hAnsi="楷体" w:cs="楷体"/>
          <w:highlight w:val="none"/>
        </w:rPr>
        <w:t>供应商应当按照</w:t>
      </w:r>
      <w:r>
        <w:rPr>
          <w:rFonts w:hint="eastAsia" w:ascii="楷体" w:hAnsi="楷体" w:cs="楷体"/>
          <w:highlight w:val="none"/>
          <w:lang w:eastAsia="zh-CN"/>
        </w:rPr>
        <w:t>谈判</w:t>
      </w:r>
      <w:r>
        <w:rPr>
          <w:rFonts w:hint="eastAsia" w:ascii="楷体" w:hAnsi="楷体" w:cs="楷体"/>
          <w:highlight w:val="none"/>
        </w:rPr>
        <w:t>文件的要求编制响应文件，并对其提交的响应文件的真实性、合法性承担法律责任。</w:t>
      </w:r>
      <w:r>
        <w:rPr>
          <w:rFonts w:hint="eastAsia" w:ascii="楷体" w:hAnsi="楷体" w:cs="楷体"/>
          <w:highlight w:val="none"/>
          <w:lang w:eastAsia="zh-CN"/>
        </w:rPr>
        <w:t>谈判</w:t>
      </w:r>
      <w:r>
        <w:rPr>
          <w:rFonts w:hint="eastAsia" w:ascii="楷体" w:hAnsi="楷体" w:cs="楷体"/>
          <w:highlight w:val="none"/>
        </w:rPr>
        <w:t>响应应以</w:t>
      </w:r>
      <w:r>
        <w:rPr>
          <w:rFonts w:hint="eastAsia" w:ascii="楷体" w:hAnsi="楷体" w:cs="楷体"/>
          <w:color w:val="000000" w:themeColor="text1"/>
          <w:highlight w:val="none"/>
          <w:lang w:val="en-US" w:eastAsia="zh-CN"/>
          <w14:textFill>
            <w14:solidFill>
              <w14:schemeClr w14:val="tx1"/>
            </w14:solidFill>
          </w14:textFill>
        </w:rPr>
        <w:t>项目</w:t>
      </w:r>
      <w:r>
        <w:rPr>
          <w:rFonts w:hint="eastAsia" w:ascii="楷体" w:hAnsi="楷体" w:cs="楷体"/>
          <w:highlight w:val="none"/>
        </w:rPr>
        <w:t>为单位，不得在其中选项响应或将其中内容再行分解，否则响应无效。</w:t>
      </w:r>
    </w:p>
    <w:p>
      <w:pPr>
        <w:ind w:firstLine="480"/>
        <w:rPr>
          <w:rFonts w:ascii="楷体" w:hAnsi="楷体" w:cs="楷体"/>
          <w:highlight w:val="none"/>
        </w:rPr>
      </w:pPr>
      <w:r>
        <w:rPr>
          <w:rFonts w:hint="eastAsia" w:ascii="楷体" w:hAnsi="楷体" w:cs="楷体"/>
          <w:highlight w:val="none"/>
        </w:rPr>
        <w:t>2、供应商资格要求：</w:t>
      </w:r>
    </w:p>
    <w:p>
      <w:pPr>
        <w:pStyle w:val="36"/>
        <w:ind w:firstLine="480"/>
        <w:rPr>
          <w:rFonts w:hint="eastAsia" w:ascii="楷体" w:eastAsia="楷体" w:cs="楷体"/>
          <w:sz w:val="24"/>
        </w:rPr>
      </w:pPr>
      <w:r>
        <w:rPr>
          <w:rFonts w:hint="eastAsia" w:ascii="楷体" w:eastAsia="楷体" w:cs="楷体"/>
          <w:sz w:val="24"/>
        </w:rPr>
        <w:t>2-1符合《中华人民共和国政府采购法》第二十二条规定的供应商条件；</w:t>
      </w:r>
    </w:p>
    <w:p>
      <w:pPr>
        <w:pStyle w:val="36"/>
        <w:ind w:firstLine="480"/>
        <w:rPr>
          <w:rFonts w:hint="eastAsia" w:ascii="楷体" w:eastAsia="楷体" w:cs="楷体"/>
          <w:sz w:val="24"/>
        </w:rPr>
      </w:pPr>
      <w:r>
        <w:rPr>
          <w:rFonts w:hint="eastAsia" w:ascii="楷体" w:eastAsia="楷体" w:cs="楷体"/>
          <w:sz w:val="24"/>
        </w:rPr>
        <w:t>2-1-1供应商合法注册的法人或其他组织的营业执照等证明文件，自然人的身份证明；</w:t>
      </w:r>
    </w:p>
    <w:p>
      <w:pPr>
        <w:pStyle w:val="36"/>
        <w:ind w:firstLine="480"/>
        <w:rPr>
          <w:rFonts w:hint="eastAsia" w:ascii="楷体" w:eastAsia="楷体" w:cs="楷体"/>
          <w:sz w:val="24"/>
        </w:rPr>
      </w:pPr>
      <w:r>
        <w:rPr>
          <w:rFonts w:hint="eastAsia" w:ascii="楷体" w:eastAsia="楷体" w:cs="楷体"/>
          <w:sz w:val="24"/>
        </w:rPr>
        <w:t>2-1-2供应商经具有财务审计资质的第三方机构出具的2021年度财务报告，或其基本开户银行出具的资信证明及其基本存款账户开户许可证（无基本存款账户开户许可证可提供其基本存款账户信息证明）；</w:t>
      </w:r>
    </w:p>
    <w:p>
      <w:pPr>
        <w:pStyle w:val="36"/>
        <w:ind w:firstLine="480"/>
        <w:rPr>
          <w:rFonts w:hint="eastAsia" w:ascii="楷体" w:eastAsia="楷体" w:cs="楷体"/>
          <w:sz w:val="24"/>
        </w:rPr>
      </w:pPr>
      <w:r>
        <w:rPr>
          <w:rFonts w:hint="eastAsia" w:ascii="楷体" w:eastAsia="楷体" w:cs="楷体"/>
          <w:sz w:val="24"/>
        </w:rPr>
        <w:t>2-1-3依法缴纳税收的相关材料（提供2022年1月至今已缴纳任意一个月纳税证明或税务机关开具的完税证明，依法免税的单位应提供相关证明材料）；</w:t>
      </w:r>
    </w:p>
    <w:p>
      <w:pPr>
        <w:pStyle w:val="36"/>
        <w:ind w:firstLine="480"/>
        <w:rPr>
          <w:rFonts w:hint="eastAsia" w:ascii="楷体" w:eastAsia="楷体" w:cs="楷体"/>
          <w:sz w:val="24"/>
        </w:rPr>
      </w:pPr>
      <w:r>
        <w:rPr>
          <w:rFonts w:hint="eastAsia" w:ascii="楷体" w:eastAsia="楷体" w:cs="楷体"/>
          <w:sz w:val="24"/>
        </w:rPr>
        <w:t>2-1-4依法缴纳社会保障资金的相关材料（提供2022年1月至今已缴存任意一个月社会保障资金缴存单据或社保机构开具的社会保险参保缴费证明，依法不需要缴纳社会保障资金的单位应提供相关证明材料）；</w:t>
      </w:r>
    </w:p>
    <w:p>
      <w:pPr>
        <w:pStyle w:val="36"/>
        <w:ind w:firstLine="480"/>
        <w:rPr>
          <w:rFonts w:hint="eastAsia" w:ascii="楷体" w:eastAsia="楷体" w:cs="楷体"/>
          <w:sz w:val="24"/>
        </w:rPr>
      </w:pPr>
      <w:r>
        <w:rPr>
          <w:rFonts w:hint="eastAsia" w:ascii="楷体" w:eastAsia="楷体" w:cs="楷体"/>
          <w:sz w:val="24"/>
        </w:rPr>
        <w:t>2-1-5具备履行合同所必需的设备和专业技术能力的证明材料或书面声明；</w:t>
      </w:r>
    </w:p>
    <w:p>
      <w:pPr>
        <w:pStyle w:val="36"/>
        <w:ind w:firstLine="480"/>
        <w:rPr>
          <w:rFonts w:hint="eastAsia" w:ascii="楷体" w:eastAsia="楷体" w:cs="楷体"/>
          <w:sz w:val="24"/>
        </w:rPr>
      </w:pPr>
      <w:r>
        <w:rPr>
          <w:rFonts w:hint="eastAsia" w:ascii="楷体" w:eastAsia="楷体" w:cs="楷体"/>
          <w:sz w:val="24"/>
        </w:rPr>
        <w:t>2-1-6参加政府采购活动前三年内在经营活动中没有重大违法记录的书面声明；</w:t>
      </w:r>
    </w:p>
    <w:p>
      <w:pPr>
        <w:pStyle w:val="36"/>
        <w:ind w:firstLine="480"/>
        <w:rPr>
          <w:rFonts w:hint="eastAsia" w:ascii="楷体" w:eastAsia="楷体" w:cs="楷体"/>
          <w:sz w:val="24"/>
        </w:rPr>
      </w:pPr>
      <w:r>
        <w:rPr>
          <w:rFonts w:hint="eastAsia" w:ascii="楷体" w:eastAsia="楷体" w:cs="楷体"/>
          <w:sz w:val="24"/>
        </w:rPr>
        <w:t>2-1-7具备法律、行政法规规定的其他条件的证明材料。</w:t>
      </w:r>
    </w:p>
    <w:p>
      <w:pPr>
        <w:pStyle w:val="36"/>
        <w:ind w:firstLine="480"/>
        <w:rPr>
          <w:rFonts w:hint="eastAsia" w:ascii="楷体" w:eastAsia="楷体" w:cs="楷体"/>
          <w:sz w:val="24"/>
        </w:rPr>
      </w:pPr>
      <w:r>
        <w:rPr>
          <w:rFonts w:hint="eastAsia" w:ascii="楷体" w:eastAsia="楷体" w:cs="楷体"/>
          <w:sz w:val="24"/>
        </w:rPr>
        <w:t>2-2供应商符合《政府采购促进中小企业发展管理办法》（财库〔2020〕46号）规定为中小型企业；</w:t>
      </w:r>
    </w:p>
    <w:p>
      <w:pPr>
        <w:pStyle w:val="36"/>
        <w:ind w:firstLine="480"/>
        <w:rPr>
          <w:rFonts w:hint="eastAsia" w:ascii="楷体" w:eastAsia="楷体" w:cs="楷体"/>
          <w:sz w:val="24"/>
        </w:rPr>
      </w:pPr>
      <w:r>
        <w:rPr>
          <w:rFonts w:hint="eastAsia" w:ascii="楷体" w:eastAsia="楷体" w:cs="楷体"/>
          <w:sz w:val="24"/>
        </w:rPr>
        <w:t>2-</w:t>
      </w:r>
      <w:r>
        <w:rPr>
          <w:rFonts w:hint="eastAsia" w:ascii="楷体" w:eastAsia="楷体" w:cs="楷体"/>
          <w:sz w:val="24"/>
          <w:lang w:val="en-US" w:eastAsia="zh-CN"/>
        </w:rPr>
        <w:t>3</w:t>
      </w:r>
      <w:r>
        <w:rPr>
          <w:rFonts w:hint="eastAsia" w:ascii="楷体" w:eastAsia="楷体" w:cs="楷体"/>
          <w:sz w:val="24"/>
        </w:rPr>
        <w:t>供应商通过“信用中国”网站(www.creditchina.gov.cn)、中国政府采购网(</w:t>
      </w:r>
      <w:r>
        <w:rPr>
          <w:rFonts w:hint="eastAsia" w:ascii="楷体" w:eastAsia="楷体" w:cs="楷体"/>
          <w:sz w:val="24"/>
        </w:rPr>
        <w:fldChar w:fldCharType="begin"/>
      </w:r>
      <w:r>
        <w:rPr>
          <w:rFonts w:hint="eastAsia" w:ascii="楷体" w:eastAsia="楷体" w:cs="楷体"/>
          <w:sz w:val="24"/>
        </w:rPr>
        <w:instrText xml:space="preserve"> HYPERLINK "http://www.ccgp.gov.cn" </w:instrText>
      </w:r>
      <w:r>
        <w:rPr>
          <w:rFonts w:hint="eastAsia" w:ascii="楷体" w:eastAsia="楷体" w:cs="楷体"/>
          <w:sz w:val="24"/>
        </w:rP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w:t>
      </w:r>
      <w:r>
        <w:rPr>
          <w:rFonts w:hint="eastAsia" w:ascii="楷体" w:eastAsia="楷体" w:cs="楷体"/>
          <w:sz w:val="24"/>
          <w:lang w:val="en-US" w:eastAsia="zh-CN"/>
        </w:rPr>
        <w:t>重大税收违法失信主体</w:t>
      </w:r>
      <w:r>
        <w:rPr>
          <w:rFonts w:hint="eastAsia" w:ascii="楷体" w:eastAsia="楷体" w:cs="楷体"/>
          <w:sz w:val="24"/>
        </w:rPr>
        <w:t>、政府采购严重违法失信行为记录名单及其他不符合《中华人民共和国政府采购法》第二十二条规定条件的供应商，采购代理机构将拒绝其参与政府采购活动。）</w:t>
      </w:r>
    </w:p>
    <w:p>
      <w:pPr>
        <w:pStyle w:val="36"/>
        <w:ind w:firstLine="480"/>
        <w:rPr>
          <w:rFonts w:ascii="楷体" w:hAnsi="楷体" w:eastAsia="楷体" w:cs="楷体"/>
          <w:sz w:val="24"/>
          <w:highlight w:val="none"/>
        </w:rPr>
      </w:pPr>
      <w:r>
        <w:rPr>
          <w:rFonts w:hint="eastAsia" w:ascii="楷体" w:eastAsia="楷体" w:cs="楷体"/>
          <w:sz w:val="24"/>
        </w:rPr>
        <w:t>2-</w:t>
      </w:r>
      <w:r>
        <w:rPr>
          <w:rFonts w:hint="eastAsia" w:ascii="楷体" w:eastAsia="楷体" w:cs="楷体"/>
          <w:sz w:val="24"/>
          <w:lang w:val="en-US" w:eastAsia="zh-CN"/>
        </w:rPr>
        <w:t>4</w:t>
      </w:r>
      <w:r>
        <w:rPr>
          <w:rFonts w:hint="eastAsia" w:ascii="楷体" w:eastAsia="楷体" w:cs="楷体"/>
          <w:sz w:val="24"/>
        </w:rPr>
        <w:t>供应商应授权合法的人员参加谈判全过程，其中法定代表人直接参加谈判的，须出具法人身份证，并与营业执照上信息一致。</w:t>
      </w:r>
      <w:r>
        <w:rPr>
          <w:rFonts w:hint="eastAsia" w:ascii="楷体" w:hAnsi="楷体" w:eastAsia="楷体" w:cs="楷体"/>
          <w:sz w:val="24"/>
          <w:highlight w:val="none"/>
        </w:rPr>
        <w:t>法定代表人授权代表参加</w:t>
      </w:r>
      <w:r>
        <w:rPr>
          <w:rFonts w:hint="eastAsia" w:ascii="楷体" w:hAnsi="楷体" w:eastAsia="楷体" w:cs="楷体"/>
          <w:sz w:val="24"/>
          <w:highlight w:val="none"/>
          <w:lang w:eastAsia="zh-CN"/>
        </w:rPr>
        <w:t>谈判</w:t>
      </w:r>
      <w:r>
        <w:rPr>
          <w:rFonts w:hint="eastAsia" w:ascii="楷体" w:hAnsi="楷体" w:eastAsia="楷体" w:cs="楷体"/>
          <w:sz w:val="24"/>
          <w:highlight w:val="none"/>
        </w:rPr>
        <w:t>的，须出具法定代表人授权书及授权代表身份证、授权代表本单位证明（</w:t>
      </w:r>
      <w:r>
        <w:rPr>
          <w:rFonts w:hint="eastAsia" w:ascii="楷体" w:hAnsi="楷体" w:eastAsia="楷体" w:cs="楷体"/>
          <w:sz w:val="24"/>
          <w:highlight w:val="none"/>
          <w:lang w:eastAsia="zh-CN"/>
        </w:rPr>
        <w:t>谈判</w:t>
      </w:r>
      <w:r>
        <w:rPr>
          <w:rFonts w:hint="eastAsia" w:ascii="楷体" w:hAnsi="楷体" w:eastAsia="楷体" w:cs="楷体"/>
          <w:sz w:val="24"/>
          <w:highlight w:val="none"/>
        </w:rPr>
        <w:t>前三个月</w:t>
      </w:r>
      <w:r>
        <w:rPr>
          <w:rFonts w:hint="eastAsia" w:ascii="楷体" w:hAnsi="楷体" w:eastAsia="楷体" w:cs="楷体"/>
          <w:sz w:val="24"/>
          <w:highlight w:val="none"/>
          <w:lang w:val="en-US" w:eastAsia="zh-CN"/>
        </w:rPr>
        <w:t>内</w:t>
      </w:r>
      <w:r>
        <w:rPr>
          <w:rFonts w:hint="eastAsia" w:ascii="楷体" w:hAnsi="楷体" w:eastAsia="楷体" w:cs="楷体"/>
          <w:sz w:val="24"/>
          <w:highlight w:val="none"/>
        </w:rPr>
        <w:t>的个人养老保险缴纳证明或劳动合同）。</w:t>
      </w:r>
    </w:p>
    <w:p>
      <w:pPr>
        <w:ind w:firstLine="480"/>
        <w:rPr>
          <w:rFonts w:ascii="楷体" w:hAnsi="楷体" w:cs="楷体"/>
          <w:highlight w:val="none"/>
        </w:rPr>
      </w:pPr>
      <w:r>
        <w:rPr>
          <w:rFonts w:hint="eastAsia" w:ascii="楷体" w:hAnsi="楷体" w:cs="楷体"/>
          <w:highlight w:val="none"/>
        </w:rPr>
        <w:t>3、限制响应要求</w:t>
      </w:r>
    </w:p>
    <w:p>
      <w:pPr>
        <w:ind w:firstLine="480"/>
        <w:rPr>
          <w:rFonts w:ascii="楷体" w:hAnsi="楷体" w:cs="楷体"/>
          <w:highlight w:val="none"/>
        </w:rPr>
      </w:pPr>
      <w:r>
        <w:rPr>
          <w:rFonts w:hint="eastAsia" w:ascii="楷体" w:hAnsi="楷体" w:cs="楷体"/>
          <w:highlight w:val="none"/>
        </w:rPr>
        <w:t>3-1、单位负责人为同一人或者存在直接控股、管理关系的不同供应商，不得参加同一合同项下的政府采购活动。</w:t>
      </w:r>
    </w:p>
    <w:p>
      <w:pPr>
        <w:ind w:firstLine="480"/>
        <w:rPr>
          <w:rFonts w:ascii="楷体" w:hAnsi="楷体" w:cs="楷体"/>
          <w:highlight w:val="none"/>
        </w:rPr>
      </w:pPr>
      <w:r>
        <w:rPr>
          <w:rFonts w:hint="eastAsia" w:ascii="楷体" w:hAnsi="楷体" w:cs="楷体"/>
          <w:highlight w:val="none"/>
        </w:rPr>
        <w:t>3-2、除单一来源采购项目外，为采购项目提供整体设计、规范编制或者项目管理、监理、检测等服务的供应商，不得再参加该采购项目的其他采购活动。</w:t>
      </w:r>
    </w:p>
    <w:p>
      <w:pPr>
        <w:ind w:firstLine="480"/>
        <w:rPr>
          <w:rFonts w:ascii="楷体" w:hAnsi="楷体" w:cs="楷体"/>
          <w:highlight w:val="none"/>
        </w:rPr>
      </w:pPr>
      <w:r>
        <w:rPr>
          <w:rFonts w:hint="eastAsia" w:ascii="楷体" w:hAnsi="楷体" w:cs="楷体"/>
          <w:highlight w:val="none"/>
        </w:rPr>
        <w:t>3-3、供应商在参加政府采购活动前3年内因违法经营被禁止在一定期限内参加政府采购活动，期限未满的，不得参加本次政府采购活动。</w:t>
      </w:r>
    </w:p>
    <w:p>
      <w:pPr>
        <w:ind w:firstLine="480"/>
        <w:rPr>
          <w:rFonts w:ascii="楷体" w:hAnsi="楷体" w:cs="楷体"/>
          <w:highlight w:val="none"/>
        </w:rPr>
      </w:pPr>
      <w:r>
        <w:rPr>
          <w:rFonts w:hint="eastAsia" w:ascii="楷体" w:hAnsi="楷体" w:cs="楷体"/>
          <w:highlight w:val="none"/>
        </w:rPr>
        <w:t>4、本项目不接受联合体响应。</w:t>
      </w:r>
    </w:p>
    <w:p>
      <w:pPr>
        <w:ind w:firstLine="480"/>
        <w:rPr>
          <w:rFonts w:ascii="楷体" w:hAnsi="楷体" w:cs="楷体"/>
          <w:highlight w:val="none"/>
        </w:rPr>
      </w:pPr>
      <w:r>
        <w:rPr>
          <w:rFonts w:hint="eastAsia" w:ascii="楷体" w:hAnsi="楷体" w:cs="楷体"/>
          <w:highlight w:val="none"/>
        </w:rPr>
        <w:t>5、本项目不组织现场考察或者答疑会。</w:t>
      </w:r>
    </w:p>
    <w:p>
      <w:pPr>
        <w:ind w:firstLine="480"/>
        <w:rPr>
          <w:rFonts w:ascii="楷体" w:hAnsi="楷体" w:cs="楷体"/>
          <w:color w:val="auto"/>
          <w:highlight w:val="none"/>
        </w:rPr>
      </w:pPr>
      <w:r>
        <w:rPr>
          <w:rFonts w:hint="eastAsia" w:ascii="楷体" w:hAnsi="楷体" w:cs="楷体"/>
          <w:color w:val="auto"/>
          <w:highlight w:val="none"/>
        </w:rPr>
        <w:t>6、本项目无履约保证金</w:t>
      </w:r>
      <w:r>
        <w:rPr>
          <w:rFonts w:hint="eastAsia" w:ascii="楷体" w:hAnsi="楷体" w:cs="楷体"/>
          <w:color w:val="auto"/>
          <w:highlight w:val="none"/>
          <w:lang w:val="en-US" w:eastAsia="zh-CN"/>
        </w:rPr>
        <w:t>及谈判保证金</w:t>
      </w:r>
      <w:r>
        <w:rPr>
          <w:rFonts w:hint="eastAsia" w:ascii="楷体" w:hAnsi="楷体" w:cs="楷体"/>
          <w:color w:val="auto"/>
          <w:highlight w:val="none"/>
        </w:rPr>
        <w:t>。</w:t>
      </w:r>
    </w:p>
    <w:p>
      <w:pPr>
        <w:pStyle w:val="2"/>
        <w:ind w:firstLine="480"/>
        <w:rPr>
          <w:rFonts w:ascii="楷体" w:hAnsi="楷体" w:cs="楷体"/>
          <w:color w:val="auto"/>
          <w:sz w:val="24"/>
          <w:highlight w:val="none"/>
        </w:rPr>
      </w:pPr>
      <w:r>
        <w:rPr>
          <w:rFonts w:hint="eastAsia" w:ascii="楷体" w:hAnsi="楷体" w:cs="楷体"/>
          <w:color w:val="auto"/>
          <w:sz w:val="24"/>
          <w:highlight w:val="none"/>
        </w:rPr>
        <w:t>7、本项目不允许分包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highlight w:val="none"/>
        </w:rPr>
      </w:pPr>
      <w:r>
        <w:rPr>
          <w:rFonts w:hint="eastAsia" w:ascii="楷体" w:hAnsi="楷体"/>
          <w:highlight w:val="none"/>
        </w:rPr>
        <w:t>8、本项目不接受备选方案。</w:t>
      </w:r>
    </w:p>
    <w:p>
      <w:pPr>
        <w:ind w:firstLine="480"/>
        <w:rPr>
          <w:rFonts w:ascii="楷体" w:hAnsi="楷体" w:cs="楷体"/>
          <w:highlight w:val="none"/>
        </w:rPr>
      </w:pPr>
      <w:r>
        <w:rPr>
          <w:rFonts w:hint="eastAsia" w:ascii="楷体" w:hAnsi="楷体" w:cs="楷体"/>
          <w:highlight w:val="none"/>
        </w:rPr>
        <w:t>9、响应文件编制</w:t>
      </w:r>
    </w:p>
    <w:p>
      <w:pPr>
        <w:ind w:firstLine="480"/>
        <w:rPr>
          <w:rFonts w:hint="eastAsia" w:ascii="楷体" w:hAnsi="楷体" w:cs="楷体"/>
          <w:highlight w:val="none"/>
        </w:rPr>
      </w:pPr>
      <w:r>
        <w:rPr>
          <w:rFonts w:hint="eastAsia" w:ascii="楷体" w:hAnsi="楷体" w:cs="楷体"/>
          <w:highlight w:val="none"/>
        </w:rPr>
        <w:t>9-1、供应商应以采购代理机构提供的响应文件格式编制响应文件，</w:t>
      </w:r>
      <w:r>
        <w:rPr>
          <w:rFonts w:hint="eastAsia" w:ascii="楷体" w:hAnsi="楷体" w:cs="楷体"/>
          <w:b/>
          <w:bCs/>
          <w:highlight w:val="none"/>
        </w:rPr>
        <w:t>正本壹份，副本</w:t>
      </w:r>
      <w:r>
        <w:rPr>
          <w:rFonts w:hint="eastAsia" w:ascii="楷体" w:hAnsi="楷体" w:cs="楷体"/>
          <w:b/>
          <w:bCs/>
          <w:highlight w:val="none"/>
          <w:lang w:val="en-US" w:eastAsia="zh-CN"/>
        </w:rPr>
        <w:t>贰</w:t>
      </w:r>
      <w:r>
        <w:rPr>
          <w:rFonts w:hint="eastAsia" w:ascii="楷体" w:hAnsi="楷体" w:cs="楷体"/>
          <w:b/>
          <w:bCs/>
          <w:highlight w:val="none"/>
        </w:rPr>
        <w:t>份</w:t>
      </w:r>
      <w:r>
        <w:rPr>
          <w:rFonts w:hint="eastAsia" w:ascii="楷体" w:hAnsi="楷体" w:cs="楷体"/>
          <w:highlight w:val="none"/>
        </w:rPr>
        <w:t>，并各自装订成册，每套响应文件须清楚地标明“正本”或“副本”，一旦正本与副本不符，以正本为准。响应文件建议采用双面打印。</w:t>
      </w:r>
    </w:p>
    <w:p>
      <w:pPr>
        <w:ind w:firstLine="480"/>
      </w:pPr>
      <w:r>
        <w:rPr>
          <w:rFonts w:hint="eastAsia" w:ascii="楷体" w:cs="楷体"/>
          <w:b/>
          <w:bCs/>
          <w:color w:val="auto"/>
          <w:highlight w:val="none"/>
          <w:lang w:val="en-US" w:eastAsia="zh-CN"/>
        </w:rPr>
        <w:t>注：凡要求法定代表人签字或盖章之处，非法人单位负责人可参照执行。</w:t>
      </w:r>
    </w:p>
    <w:p>
      <w:pPr>
        <w:ind w:firstLine="480"/>
        <w:rPr>
          <w:rFonts w:ascii="楷体" w:hAnsi="楷体" w:cs="楷体"/>
          <w:highlight w:val="none"/>
        </w:rPr>
      </w:pPr>
      <w:r>
        <w:rPr>
          <w:rFonts w:hint="eastAsia" w:ascii="楷体" w:hAnsi="楷体" w:cs="楷体"/>
          <w:highlight w:val="none"/>
        </w:rPr>
        <w:t>9-2、供应商在编制响应文件时，应依据</w:t>
      </w:r>
      <w:r>
        <w:rPr>
          <w:rFonts w:hint="eastAsia" w:ascii="楷体" w:hAnsi="楷体" w:cs="楷体"/>
          <w:highlight w:val="none"/>
          <w:lang w:eastAsia="zh-CN"/>
        </w:rPr>
        <w:t>谈判</w:t>
      </w:r>
      <w:r>
        <w:rPr>
          <w:rFonts w:hint="eastAsia" w:ascii="楷体" w:hAnsi="楷体" w:cs="楷体"/>
          <w:highlight w:val="none"/>
        </w:rPr>
        <w:t>文件的要求，对</w:t>
      </w:r>
      <w:r>
        <w:rPr>
          <w:rFonts w:hint="eastAsia" w:ascii="楷体" w:hAnsi="楷体" w:cs="楷体"/>
          <w:highlight w:val="none"/>
          <w:lang w:eastAsia="zh-CN"/>
        </w:rPr>
        <w:t>谈判</w:t>
      </w:r>
      <w:r>
        <w:rPr>
          <w:rFonts w:hint="eastAsia" w:ascii="楷体" w:hAnsi="楷体" w:cs="楷体"/>
          <w:highlight w:val="none"/>
        </w:rPr>
        <w:t>文件作出实质性的响应。响应文件必须按要求加盖供应商公章和法定代表人（或其授权代表）签字。</w:t>
      </w:r>
    </w:p>
    <w:p>
      <w:pPr>
        <w:ind w:firstLine="480"/>
        <w:rPr>
          <w:rFonts w:ascii="楷体" w:hAnsi="楷体" w:cs="楷体"/>
          <w:highlight w:val="none"/>
        </w:rPr>
      </w:pPr>
      <w:r>
        <w:rPr>
          <w:rFonts w:hint="eastAsia" w:ascii="楷体" w:hAnsi="楷体" w:cs="楷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highlight w:val="none"/>
        </w:rPr>
      </w:pPr>
      <w:r>
        <w:rPr>
          <w:rFonts w:hint="eastAsia" w:ascii="楷体" w:hAnsi="楷体" w:cs="楷体"/>
          <w:highlight w:val="none"/>
        </w:rPr>
        <w:t>9-4、响应文件编制要求：包括（但不限于）以下内容</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-4-1、响应函；</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-4-2、</w:t>
      </w:r>
      <w:r>
        <w:rPr>
          <w:rFonts w:hint="eastAsia" w:ascii="楷体" w:hAnsi="楷体" w:cs="楷体"/>
          <w:highlight w:val="none"/>
          <w:lang w:eastAsia="zh-CN"/>
        </w:rPr>
        <w:t>谈判</w:t>
      </w:r>
      <w:r>
        <w:rPr>
          <w:rFonts w:hint="eastAsia" w:ascii="楷体" w:hAnsi="楷体" w:cs="楷体"/>
          <w:highlight w:val="none"/>
        </w:rPr>
        <w:t>报价一览表和</w:t>
      </w:r>
      <w:r>
        <w:rPr>
          <w:rFonts w:hint="eastAsia" w:ascii="楷体" w:hAnsi="楷体" w:cs="楷体"/>
          <w:highlight w:val="none"/>
          <w:lang w:eastAsia="zh-CN"/>
        </w:rPr>
        <w:t>分项报价表</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-4-3、供应商承诺书；</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-4-4、供应商企业关系关联承诺书；</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-4-5、资格证明文件，</w:t>
      </w:r>
      <w:r>
        <w:rPr>
          <w:rFonts w:hint="eastAsia" w:ascii="楷体" w:hAnsi="楷体" w:cs="楷体"/>
          <w:highlight w:val="none"/>
          <w:lang w:val="zh-CN"/>
        </w:rPr>
        <w:t>证明参加谈判供应商是响应本项目谈判的合格供应商</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-4-6、供应商为本次采购活动编制的</w:t>
      </w:r>
      <w:r>
        <w:rPr>
          <w:rFonts w:hint="eastAsia" w:ascii="楷体" w:hAnsi="楷体" w:cs="楷体"/>
          <w:highlight w:val="none"/>
          <w:lang w:val="en-US" w:eastAsia="zh-CN"/>
        </w:rPr>
        <w:t>供货实施方案</w:t>
      </w:r>
      <w:r>
        <w:rPr>
          <w:rFonts w:hint="eastAsia" w:ascii="楷体" w:hAnsi="楷体" w:cs="楷体"/>
          <w:highlight w:val="none"/>
        </w:rPr>
        <w:t>，具有履行合同所必须的专业服务能力，配备了相应的商务和技术人员，项目在组织实施、财务保证、人力安排、服务保障等方面具体做法和保障措施；</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-4-7、供应商提供相应业绩，证明其服务经验及能力；</w:t>
      </w:r>
    </w:p>
    <w:p>
      <w:pPr>
        <w:ind w:firstLine="480"/>
        <w:rPr>
          <w:rFonts w:hint="eastAsia"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-4-8、为采购活动提供的合理化建议。</w:t>
      </w:r>
    </w:p>
    <w:p>
      <w:pPr>
        <w:ind w:firstLine="480"/>
        <w:rPr>
          <w:rFonts w:ascii="楷体" w:hAnsi="楷体" w:cs="楷体"/>
          <w:highlight w:val="none"/>
        </w:rPr>
      </w:pPr>
      <w:r>
        <w:rPr>
          <w:rFonts w:hint="eastAsia" w:ascii="楷体" w:hAnsi="楷体" w:cs="楷体"/>
          <w:highlight w:val="none"/>
        </w:rPr>
        <w:t>10、响应文件密封</w:t>
      </w:r>
    </w:p>
    <w:p>
      <w:pPr>
        <w:ind w:firstLine="480"/>
        <w:rPr>
          <w:rFonts w:ascii="楷体" w:hAnsi="楷体" w:cs="楷体"/>
          <w:highlight w:val="none"/>
        </w:rPr>
      </w:pPr>
      <w:r>
        <w:rPr>
          <w:rFonts w:hint="eastAsia" w:ascii="楷体" w:hAnsi="楷体" w:cs="楷体"/>
          <w:highlight w:val="none"/>
        </w:rPr>
        <w:t>10-1、供应商应将响应文件正本、副本分别密封完好，在封套上标明采购项目编号、项目名称，供应商全称（公章）及“正本”、“副本”等内容。再加封条密封，在封线处加盖供应商公章（骑缝章）和法定代表人（或其授权代表）签字。</w:t>
      </w:r>
    </w:p>
    <w:p>
      <w:pPr>
        <w:ind w:firstLine="480"/>
        <w:rPr>
          <w:rFonts w:ascii="楷体" w:hAnsi="楷体" w:cs="楷体"/>
          <w:highlight w:val="none"/>
        </w:rPr>
      </w:pPr>
      <w:r>
        <w:rPr>
          <w:rFonts w:hint="eastAsia" w:ascii="楷体" w:hAnsi="楷体" w:cs="楷体"/>
          <w:highlight w:val="none"/>
        </w:rPr>
        <w:t>10-2、对于需提供资格证明文件/业绩证明材料等原件的采购项目，供应商应将其内容单独密封，并标明所提供原件的明细表。</w:t>
      </w:r>
    </w:p>
    <w:p>
      <w:pPr>
        <w:ind w:firstLine="480"/>
        <w:rPr>
          <w:rFonts w:ascii="楷体" w:hAnsi="楷体" w:cs="楷体"/>
          <w:highlight w:val="none"/>
        </w:rPr>
      </w:pPr>
      <w:r>
        <w:rPr>
          <w:rFonts w:hint="eastAsia" w:ascii="楷体" w:hAnsi="楷体" w:cs="楷体"/>
          <w:highlight w:val="none"/>
        </w:rPr>
        <w:t>10-3、响应文件未按要求密封或加写标记，采购代理机构对误投或过早启封的响应文件概不负责。</w:t>
      </w:r>
    </w:p>
    <w:p>
      <w:pPr>
        <w:ind w:firstLine="480"/>
        <w:rPr>
          <w:rFonts w:ascii="楷体" w:hAnsi="楷体" w:cs="楷体"/>
          <w:highlight w:val="none"/>
        </w:rPr>
      </w:pPr>
      <w:r>
        <w:rPr>
          <w:rFonts w:hint="eastAsia" w:ascii="楷体" w:hAnsi="楷体" w:cs="楷体"/>
          <w:highlight w:val="none"/>
        </w:rPr>
        <w:t>11、响应文件提交</w:t>
      </w:r>
    </w:p>
    <w:p>
      <w:pPr>
        <w:ind w:firstLine="480"/>
        <w:rPr>
          <w:rFonts w:ascii="楷体" w:hAnsi="楷体"/>
          <w:highlight w:val="none"/>
        </w:rPr>
      </w:pPr>
      <w:r>
        <w:rPr>
          <w:rFonts w:hint="eastAsia" w:ascii="楷体" w:hAnsi="楷体" w:cs="楷体"/>
          <w:highlight w:val="none"/>
        </w:rPr>
        <w:t>11-1、供应商应当在</w:t>
      </w:r>
      <w:r>
        <w:rPr>
          <w:rFonts w:hint="eastAsia" w:ascii="楷体" w:hAnsi="楷体" w:cs="楷体"/>
          <w:highlight w:val="none"/>
          <w:lang w:eastAsia="zh-CN"/>
        </w:rPr>
        <w:t>谈判</w:t>
      </w:r>
      <w:r>
        <w:rPr>
          <w:rFonts w:hint="eastAsia" w:ascii="楷体" w:hAnsi="楷体" w:cs="楷体"/>
          <w:highlight w:val="none"/>
        </w:rPr>
        <w:t>文件要求提交响应文件的截止时间前，将响应文件密封送达响应地点。在截止时间后送达的响应文件为无效文件，采购人、采购代理机构或者</w:t>
      </w:r>
      <w:r>
        <w:rPr>
          <w:rFonts w:hint="eastAsia" w:ascii="楷体" w:hAnsi="楷体" w:cs="楷体"/>
          <w:highlight w:val="none"/>
          <w:lang w:eastAsia="zh-CN"/>
        </w:rPr>
        <w:t>谈判</w:t>
      </w:r>
      <w:r>
        <w:rPr>
          <w:rFonts w:hint="eastAsia" w:ascii="楷体" w:hAnsi="楷体" w:cs="楷体"/>
          <w:highlight w:val="none"/>
        </w:rPr>
        <w:t>小组拒收。</w:t>
      </w:r>
    </w:p>
    <w:p>
      <w:pPr>
        <w:ind w:firstLine="480"/>
        <w:rPr>
          <w:rFonts w:ascii="楷体" w:hAnsi="楷体" w:cs="楷体"/>
          <w:highlight w:val="none"/>
        </w:rPr>
      </w:pPr>
      <w:r>
        <w:rPr>
          <w:rFonts w:hint="eastAsia" w:ascii="楷体" w:hAnsi="楷体" w:cs="楷体"/>
          <w:highlight w:val="none"/>
        </w:rPr>
        <w:t>11-2、供应商在提交响应文件截止时间前，可以对所提交的响应文件进行补充、修改或者撤回，并书面通知采购人、采购代理机构。补充、修改的内容应当按</w:t>
      </w:r>
      <w:r>
        <w:rPr>
          <w:rFonts w:hint="eastAsia" w:ascii="楷体" w:hAnsi="楷体" w:cs="楷体"/>
          <w:highlight w:val="none"/>
          <w:lang w:eastAsia="zh-CN"/>
        </w:rPr>
        <w:t>谈判</w:t>
      </w:r>
      <w:r>
        <w:rPr>
          <w:rFonts w:hint="eastAsia" w:ascii="楷体" w:hAnsi="楷体" w:cs="楷体"/>
          <w:highlight w:val="none"/>
        </w:rPr>
        <w:t>文件要求签署、盖章，并作为响应文件的组成部分。补充、修改的内容与响应文件不一致的，以补充、修改的内容为准。</w:t>
      </w:r>
    </w:p>
    <w:p>
      <w:pPr>
        <w:ind w:firstLine="480"/>
        <w:rPr>
          <w:rFonts w:ascii="楷体" w:hAnsi="楷体" w:cs="楷体"/>
          <w:highlight w:val="none"/>
        </w:rPr>
      </w:pPr>
      <w:r>
        <w:rPr>
          <w:rFonts w:hint="eastAsia" w:ascii="楷体" w:hAnsi="楷体" w:cs="楷体"/>
          <w:highlight w:val="none"/>
        </w:rPr>
        <w:t>12、响应活动中，有下列情形之一的，视为供应商串通响应，其响应无效：</w:t>
      </w:r>
    </w:p>
    <w:p>
      <w:pPr>
        <w:ind w:firstLine="480"/>
        <w:rPr>
          <w:rFonts w:ascii="楷体" w:hAnsi="楷体" w:cs="楷体"/>
          <w:highlight w:val="none"/>
        </w:rPr>
      </w:pPr>
      <w:r>
        <w:rPr>
          <w:rFonts w:hint="eastAsia" w:ascii="楷体" w:hAnsi="楷体" w:cs="楷体"/>
          <w:highlight w:val="none"/>
        </w:rPr>
        <w:t>12-1、不同供应商的响应文件由同一单位或者个人编制；</w:t>
      </w:r>
    </w:p>
    <w:p>
      <w:pPr>
        <w:ind w:firstLine="480"/>
        <w:rPr>
          <w:rFonts w:ascii="楷体" w:hAnsi="楷体" w:cs="楷体"/>
          <w:highlight w:val="none"/>
        </w:rPr>
      </w:pPr>
      <w:r>
        <w:rPr>
          <w:rFonts w:hint="eastAsia" w:ascii="楷体" w:hAnsi="楷体" w:cs="楷体"/>
          <w:highlight w:val="none"/>
        </w:rPr>
        <w:t>12-2、不同供应商委托同一单位或者个人办理响应事宜；</w:t>
      </w:r>
    </w:p>
    <w:p>
      <w:pPr>
        <w:ind w:firstLine="480"/>
        <w:rPr>
          <w:rFonts w:ascii="楷体" w:hAnsi="楷体" w:cs="楷体"/>
          <w:highlight w:val="none"/>
        </w:rPr>
      </w:pPr>
      <w:r>
        <w:rPr>
          <w:rFonts w:hint="eastAsia" w:ascii="楷体" w:hAnsi="楷体" w:cs="楷体"/>
          <w:highlight w:val="none"/>
        </w:rPr>
        <w:t>12-3、不同供应商的响应文件载明的项目管理成员或者联系人员为同一人；</w:t>
      </w:r>
    </w:p>
    <w:p>
      <w:pPr>
        <w:ind w:firstLine="480"/>
        <w:rPr>
          <w:rFonts w:ascii="楷体" w:hAnsi="楷体" w:cs="楷体"/>
          <w:highlight w:val="none"/>
        </w:rPr>
      </w:pPr>
      <w:r>
        <w:rPr>
          <w:rFonts w:hint="eastAsia" w:ascii="楷体" w:hAnsi="楷体" w:cs="楷体"/>
          <w:highlight w:val="none"/>
        </w:rPr>
        <w:t>12-4、不同供应商的响应文件异常一致或者</w:t>
      </w:r>
      <w:r>
        <w:rPr>
          <w:rFonts w:hint="eastAsia" w:ascii="楷体" w:hAnsi="楷体" w:cs="楷体"/>
          <w:highlight w:val="none"/>
          <w:lang w:eastAsia="zh-CN"/>
        </w:rPr>
        <w:t>谈判</w:t>
      </w:r>
      <w:r>
        <w:rPr>
          <w:rFonts w:hint="eastAsia" w:ascii="楷体" w:hAnsi="楷体" w:cs="楷体"/>
          <w:highlight w:val="none"/>
        </w:rPr>
        <w:t>报价呈规律性差异；</w:t>
      </w:r>
    </w:p>
    <w:p>
      <w:pPr>
        <w:ind w:firstLine="480"/>
        <w:rPr>
          <w:rFonts w:ascii="楷体" w:hAnsi="楷体" w:cs="楷体"/>
          <w:highlight w:val="none"/>
        </w:rPr>
      </w:pPr>
      <w:r>
        <w:rPr>
          <w:rFonts w:hint="eastAsia" w:ascii="楷体" w:hAnsi="楷体" w:cs="楷体"/>
          <w:highlight w:val="none"/>
        </w:rPr>
        <w:t>12-5、不同供应商的响应文件相互混装。</w:t>
      </w:r>
    </w:p>
    <w:p>
      <w:pPr>
        <w:ind w:firstLine="480"/>
        <w:rPr>
          <w:rFonts w:ascii="楷体" w:hAnsi="楷体"/>
          <w:highlight w:val="none"/>
        </w:rPr>
      </w:pPr>
      <w:r>
        <w:rPr>
          <w:rFonts w:hint="eastAsia" w:ascii="楷体" w:hAnsi="楷体" w:cs="楷体"/>
          <w:highlight w:val="none"/>
        </w:rPr>
        <w:t>13、响应文件中提供虚假证明，开具虚假资质，出现虚假应答或故意隐瞒行为，按无效响应处理。</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eastAsia="zh-CN"/>
        </w:rPr>
        <w:t>谈判</w:t>
      </w:r>
      <w:r>
        <w:rPr>
          <w:rFonts w:hint="eastAsia" w:ascii="楷体" w:hAnsi="楷体" w:cs="楷体"/>
          <w:highlight w:val="none"/>
        </w:rPr>
        <w:t>报价</w:t>
      </w:r>
    </w:p>
    <w:p>
      <w:pPr>
        <w:ind w:firstLine="480"/>
        <w:rPr>
          <w:rFonts w:hint="eastAsia"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1</w:t>
      </w:r>
      <w:r>
        <w:rPr>
          <w:rFonts w:hint="eastAsia" w:ascii="楷体" w:hAnsi="楷体" w:cs="楷体"/>
          <w:highlight w:val="none"/>
        </w:rPr>
        <w:t>、供应商应按照</w:t>
      </w:r>
      <w:r>
        <w:rPr>
          <w:rFonts w:hint="eastAsia" w:ascii="楷体" w:hAnsi="楷体" w:cs="楷体"/>
          <w:highlight w:val="none"/>
          <w:lang w:eastAsia="zh-CN"/>
        </w:rPr>
        <w:t>谈判</w:t>
      </w:r>
      <w:r>
        <w:rPr>
          <w:rFonts w:hint="eastAsia" w:ascii="楷体" w:hAnsi="楷体" w:cs="楷体"/>
          <w:highlight w:val="none"/>
        </w:rPr>
        <w:t>文件规定的</w:t>
      </w:r>
      <w:r>
        <w:rPr>
          <w:rFonts w:hint="eastAsia" w:ascii="楷体" w:hAnsi="楷体" w:cs="楷体"/>
          <w:highlight w:val="none"/>
          <w:lang w:val="en-US" w:eastAsia="zh-CN"/>
        </w:rPr>
        <w:t>货物和服务要求</w:t>
      </w:r>
      <w:r>
        <w:rPr>
          <w:rFonts w:hint="eastAsia" w:ascii="楷体" w:hAnsi="楷体" w:cs="楷体"/>
          <w:highlight w:val="none"/>
        </w:rPr>
        <w:t>，责任范围和合同条件进行报价，在响应文件中的</w:t>
      </w:r>
      <w:r>
        <w:rPr>
          <w:rFonts w:hint="eastAsia" w:ascii="楷体" w:hAnsi="楷体" w:cs="楷体"/>
          <w:highlight w:val="none"/>
          <w:lang w:eastAsia="zh-CN"/>
        </w:rPr>
        <w:t>谈判</w:t>
      </w:r>
      <w:r>
        <w:rPr>
          <w:rFonts w:hint="eastAsia" w:ascii="楷体" w:hAnsi="楷体" w:cs="楷体"/>
          <w:highlight w:val="none"/>
        </w:rPr>
        <w:t>报价一览表上按要求标明</w:t>
      </w:r>
      <w:r>
        <w:rPr>
          <w:rFonts w:hint="eastAsia" w:ascii="楷体" w:hAnsi="楷体" w:cs="楷体"/>
          <w:highlight w:val="none"/>
          <w:lang w:eastAsia="zh-CN"/>
        </w:rPr>
        <w:t>谈判</w:t>
      </w:r>
      <w:r>
        <w:rPr>
          <w:rFonts w:hint="eastAsia" w:ascii="楷体" w:hAnsi="楷体" w:cs="楷体"/>
          <w:highlight w:val="none"/>
        </w:rPr>
        <w:t>报价、</w:t>
      </w:r>
      <w:r>
        <w:rPr>
          <w:rFonts w:hint="eastAsia" w:ascii="楷体" w:hAnsi="楷体" w:cs="楷体"/>
          <w:highlight w:val="none"/>
          <w:lang w:val="en-US" w:eastAsia="zh-CN"/>
        </w:rPr>
        <w:t>交货安装期、质保期</w:t>
      </w:r>
      <w:r>
        <w:rPr>
          <w:rFonts w:hint="eastAsia" w:ascii="楷体" w:hAnsi="楷体" w:cs="楷体"/>
          <w:highlight w:val="none"/>
        </w:rPr>
        <w:t>等项，任何有选择的报价采购代理机构不予接受。</w:t>
      </w:r>
    </w:p>
    <w:p>
      <w:pPr>
        <w:ind w:firstLine="480"/>
        <w:rPr>
          <w:rFonts w:hint="eastAsia"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2</w:t>
      </w:r>
      <w:r>
        <w:rPr>
          <w:rFonts w:hint="eastAsia" w:ascii="楷体" w:hAnsi="楷体" w:cs="楷体"/>
          <w:highlight w:val="none"/>
        </w:rPr>
        <w:t>、</w:t>
      </w:r>
      <w:r>
        <w:rPr>
          <w:rFonts w:hint="eastAsia" w:ascii="楷体" w:hAnsi="楷体" w:cs="楷体"/>
          <w:highlight w:val="none"/>
          <w:lang w:val="zh-CN"/>
        </w:rPr>
        <w:t>谈判报价是完成谈判内容所需的全部费用。包括设备的供应价、运杂</w:t>
      </w:r>
      <w:r>
        <w:rPr>
          <w:rFonts w:hint="eastAsia" w:ascii="楷体" w:hAnsi="楷体" w:cs="楷体"/>
          <w:highlight w:val="none"/>
          <w:lang w:val="en-US" w:eastAsia="zh-CN"/>
        </w:rPr>
        <w:t>费</w:t>
      </w:r>
      <w:r>
        <w:rPr>
          <w:rFonts w:hint="eastAsia" w:ascii="楷体" w:hAnsi="楷体" w:cs="楷体"/>
          <w:highlight w:val="none"/>
          <w:lang w:val="zh-CN"/>
        </w:rPr>
        <w:t>（含保险、包装费）、安装调试费、检测验收费、服务费、各类税费、专利费、利润、税金、规费及其它相关的</w:t>
      </w:r>
      <w:r>
        <w:rPr>
          <w:rFonts w:hint="eastAsia" w:ascii="楷体" w:hAnsi="楷体" w:cs="楷体"/>
          <w:highlight w:val="none"/>
          <w:lang w:val="en-US" w:eastAsia="zh-CN"/>
        </w:rPr>
        <w:t>一切</w:t>
      </w:r>
      <w:r>
        <w:rPr>
          <w:rFonts w:hint="eastAsia" w:ascii="楷体" w:hAnsi="楷体" w:cs="楷体"/>
          <w:highlight w:val="none"/>
          <w:lang w:val="zh-CN"/>
        </w:rPr>
        <w:t>费用。若报价时未报或未在“谈判报价一览表”中予以说明，采购人将认为这些费用供应商已</w:t>
      </w:r>
      <w:r>
        <w:rPr>
          <w:rFonts w:hint="eastAsia" w:ascii="楷体" w:hAnsi="楷体" w:cs="楷体"/>
          <w:highlight w:val="none"/>
          <w:lang w:val="en-US" w:eastAsia="zh-CN"/>
        </w:rPr>
        <w:t>计</w:t>
      </w:r>
      <w:r>
        <w:rPr>
          <w:rFonts w:hint="eastAsia" w:ascii="楷体" w:hAnsi="楷体" w:cs="楷体"/>
          <w:highlight w:val="none"/>
          <w:lang w:val="zh-CN"/>
        </w:rPr>
        <w:t>取，并包含在谈判报价中。谈判报价中人员工资及社会保险费不得低于最新出台的《陕西省人力资源和社会保障厅关于调整陕西省最低工资标准的通知》标准。</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3</w:t>
      </w:r>
      <w:r>
        <w:rPr>
          <w:rFonts w:hint="eastAsia" w:ascii="楷体" w:hAnsi="楷体" w:cs="楷体"/>
          <w:highlight w:val="none"/>
        </w:rPr>
        <w:t>、首次</w:t>
      </w:r>
      <w:r>
        <w:rPr>
          <w:rFonts w:hint="eastAsia" w:ascii="楷体" w:hAnsi="楷体" w:cs="楷体"/>
          <w:highlight w:val="none"/>
          <w:lang w:eastAsia="zh-CN"/>
        </w:rPr>
        <w:t>谈判</w:t>
      </w:r>
      <w:r>
        <w:rPr>
          <w:rFonts w:hint="eastAsia" w:ascii="楷体" w:hAnsi="楷体" w:cs="楷体"/>
          <w:highlight w:val="none"/>
        </w:rPr>
        <w:t>报价随响应文件提交；最后</w:t>
      </w:r>
      <w:r>
        <w:rPr>
          <w:rFonts w:hint="eastAsia" w:ascii="楷体" w:hAnsi="楷体" w:cs="楷体"/>
          <w:highlight w:val="none"/>
          <w:lang w:eastAsia="zh-CN"/>
        </w:rPr>
        <w:t>谈判</w:t>
      </w:r>
      <w:r>
        <w:rPr>
          <w:rFonts w:hint="eastAsia" w:ascii="楷体" w:hAnsi="楷体" w:cs="楷体"/>
          <w:highlight w:val="none"/>
        </w:rPr>
        <w:t>报价在</w:t>
      </w:r>
      <w:r>
        <w:rPr>
          <w:rFonts w:hint="eastAsia" w:ascii="楷体" w:hAnsi="楷体" w:cs="楷体"/>
          <w:highlight w:val="none"/>
          <w:lang w:eastAsia="zh-CN"/>
        </w:rPr>
        <w:t>谈判</w:t>
      </w:r>
      <w:r>
        <w:rPr>
          <w:rFonts w:hint="eastAsia" w:ascii="楷体" w:hAnsi="楷体" w:cs="楷体"/>
          <w:highlight w:val="none"/>
        </w:rPr>
        <w:t>过程中提交，各供应商最后</w:t>
      </w:r>
      <w:r>
        <w:rPr>
          <w:rFonts w:hint="eastAsia" w:ascii="楷体" w:hAnsi="楷体" w:cs="楷体"/>
          <w:highlight w:val="none"/>
          <w:lang w:eastAsia="zh-CN"/>
        </w:rPr>
        <w:t>谈判</w:t>
      </w:r>
      <w:r>
        <w:rPr>
          <w:rFonts w:hint="eastAsia" w:ascii="楷体" w:hAnsi="楷体" w:cs="楷体"/>
          <w:highlight w:val="none"/>
        </w:rPr>
        <w:t>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4</w:t>
      </w:r>
      <w:r>
        <w:rPr>
          <w:rFonts w:hint="eastAsia" w:ascii="楷体" w:hAnsi="楷体" w:cs="楷体"/>
          <w:color w:val="auto"/>
          <w:highlight w:val="none"/>
        </w:rPr>
        <w:t>、最后</w:t>
      </w:r>
      <w:r>
        <w:rPr>
          <w:rFonts w:hint="eastAsia" w:ascii="楷体" w:hAnsi="楷体" w:cs="楷体"/>
          <w:color w:val="auto"/>
          <w:highlight w:val="none"/>
          <w:lang w:eastAsia="zh-CN"/>
        </w:rPr>
        <w:t>谈判</w:t>
      </w:r>
      <w:r>
        <w:rPr>
          <w:rFonts w:hint="eastAsia" w:ascii="楷体" w:hAnsi="楷体" w:cs="楷体"/>
          <w:color w:val="auto"/>
          <w:highlight w:val="none"/>
        </w:rPr>
        <w:t>报价，在采购内容无实质性变更下，不得高于首次</w:t>
      </w:r>
      <w:r>
        <w:rPr>
          <w:rFonts w:hint="eastAsia" w:ascii="楷体" w:hAnsi="楷体" w:cs="楷体"/>
          <w:color w:val="auto"/>
          <w:highlight w:val="none"/>
          <w:lang w:eastAsia="zh-CN"/>
        </w:rPr>
        <w:t>谈判</w:t>
      </w:r>
      <w:r>
        <w:rPr>
          <w:rFonts w:hint="eastAsia" w:ascii="楷体" w:hAnsi="楷体" w:cs="楷体"/>
          <w:color w:val="auto"/>
          <w:highlight w:val="none"/>
        </w:rPr>
        <w:t>报价。对于差异较大的报价，须作出明确的说明。</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5</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报价超出采购预算的供应商不进入</w:t>
      </w:r>
      <w:r>
        <w:rPr>
          <w:rFonts w:hint="eastAsia" w:ascii="楷体" w:hAnsi="楷体" w:cs="楷体"/>
          <w:highlight w:val="none"/>
          <w:lang w:eastAsia="zh-CN"/>
        </w:rPr>
        <w:t>谈判</w:t>
      </w:r>
      <w:r>
        <w:rPr>
          <w:rFonts w:hint="eastAsia" w:ascii="楷体" w:hAnsi="楷体" w:cs="楷体"/>
          <w:highlight w:val="none"/>
        </w:rPr>
        <w:t>程序。</w:t>
      </w:r>
    </w:p>
    <w:p>
      <w:pPr>
        <w:ind w:firstLine="480"/>
        <w:rPr>
          <w:rFonts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6</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最终报价表中标明的价格为合同最终价格，在合同执行过程中，不得以任何理由变更。</w:t>
      </w:r>
    </w:p>
    <w:p>
      <w:pPr>
        <w:ind w:firstLine="480"/>
        <w:rPr>
          <w:rFonts w:ascii="楷体" w:hAnsi="楷体" w:cs="楷体"/>
          <w:highlight w:val="none"/>
        </w:rPr>
      </w:pPr>
      <w:r>
        <w:rPr>
          <w:rFonts w:hint="eastAsia" w:ascii="楷体" w:hAnsi="楷体" w:cs="楷体"/>
          <w:highlight w:val="none"/>
        </w:rPr>
        <w:t>15、</w:t>
      </w:r>
      <w:r>
        <w:rPr>
          <w:rFonts w:hint="eastAsia" w:ascii="楷体" w:hAnsi="楷体" w:cs="楷体"/>
          <w:highlight w:val="none"/>
          <w:lang w:eastAsia="zh-CN"/>
        </w:rPr>
        <w:t>谈判</w:t>
      </w:r>
      <w:r>
        <w:rPr>
          <w:rFonts w:hint="eastAsia" w:ascii="楷体" w:hAnsi="楷体" w:cs="楷体"/>
          <w:highlight w:val="none"/>
        </w:rPr>
        <w:t>过程中所产生的一切费用应由供应商自行承担。</w:t>
      </w:r>
    </w:p>
    <w:p>
      <w:pPr>
        <w:ind w:firstLine="480"/>
        <w:rPr>
          <w:rFonts w:ascii="楷体" w:hAnsi="楷体" w:cs="楷体"/>
          <w:highlight w:val="none"/>
        </w:rPr>
      </w:pPr>
      <w:r>
        <w:rPr>
          <w:rFonts w:hint="eastAsia" w:ascii="楷体" w:hAnsi="楷体" w:cs="楷体"/>
          <w:highlight w:val="none"/>
        </w:rPr>
        <w:t>16、凡因供应商对</w:t>
      </w:r>
      <w:r>
        <w:rPr>
          <w:rFonts w:hint="eastAsia" w:ascii="楷体" w:hAnsi="楷体" w:cs="楷体"/>
          <w:highlight w:val="none"/>
          <w:lang w:eastAsia="zh-CN"/>
        </w:rPr>
        <w:t>谈判</w:t>
      </w:r>
      <w:r>
        <w:rPr>
          <w:rFonts w:hint="eastAsia" w:ascii="楷体" w:hAnsi="楷体" w:cs="楷体"/>
          <w:highlight w:val="none"/>
        </w:rPr>
        <w:t>文件阅读不深、理解不透、误解、疏漏、或因市场行情了解不清造成的后果和风险均由供应商自行负责。</w:t>
      </w:r>
    </w:p>
    <w:p>
      <w:pPr>
        <w:ind w:firstLine="480"/>
        <w:rPr>
          <w:rFonts w:ascii="楷体" w:hAnsi="楷体" w:cs="楷体"/>
          <w:highlight w:val="none"/>
        </w:rPr>
      </w:pPr>
      <w:r>
        <w:rPr>
          <w:rFonts w:hint="eastAsia" w:ascii="楷体" w:hAnsi="楷体" w:cs="楷体"/>
          <w:highlight w:val="none"/>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highlight w:val="none"/>
        </w:rPr>
      </w:pPr>
      <w:r>
        <w:rPr>
          <w:rFonts w:hint="eastAsia" w:ascii="楷体" w:hAnsi="楷体" w:cs="楷体"/>
          <w:highlight w:val="none"/>
        </w:rPr>
        <w:t>17-1、供应商在提交响应文件截止时间后撤回响应文件的；</w:t>
      </w:r>
    </w:p>
    <w:p>
      <w:pPr>
        <w:ind w:firstLine="480"/>
        <w:rPr>
          <w:rFonts w:ascii="楷体" w:hAnsi="楷体" w:cs="楷体"/>
          <w:highlight w:val="none"/>
        </w:rPr>
      </w:pPr>
      <w:r>
        <w:rPr>
          <w:rFonts w:hint="eastAsia" w:ascii="楷体" w:hAnsi="楷体" w:cs="楷体"/>
          <w:highlight w:val="none"/>
        </w:rPr>
        <w:t>17-2、供应商在响应文件中提供虚假材料的；</w:t>
      </w:r>
    </w:p>
    <w:p>
      <w:pPr>
        <w:ind w:firstLine="480"/>
        <w:rPr>
          <w:rFonts w:ascii="楷体" w:hAnsi="楷体" w:cs="楷体"/>
          <w:highlight w:val="none"/>
        </w:rPr>
      </w:pPr>
      <w:r>
        <w:rPr>
          <w:rFonts w:hint="eastAsia" w:ascii="楷体" w:hAnsi="楷体" w:cs="楷体"/>
          <w:highlight w:val="none"/>
        </w:rPr>
        <w:t>17-3、供应商与采购人、其他供应商或者采购代理机构恶意串通的；或向</w:t>
      </w:r>
      <w:r>
        <w:rPr>
          <w:rFonts w:hint="eastAsia" w:ascii="楷体" w:hAnsi="楷体" w:cs="楷体"/>
          <w:highlight w:val="none"/>
          <w:lang w:eastAsia="zh-CN"/>
        </w:rPr>
        <w:t>谈判</w:t>
      </w:r>
      <w:r>
        <w:rPr>
          <w:rFonts w:hint="eastAsia" w:ascii="楷体" w:hAnsi="楷体" w:cs="楷体"/>
          <w:highlight w:val="none"/>
        </w:rPr>
        <w:t>小组成员行贿或者提供其他不正当利益；</w:t>
      </w:r>
    </w:p>
    <w:p>
      <w:pPr>
        <w:ind w:firstLine="480"/>
        <w:rPr>
          <w:rFonts w:ascii="楷体" w:hAnsi="楷体" w:cs="楷体"/>
          <w:highlight w:val="none"/>
        </w:rPr>
      </w:pPr>
      <w:r>
        <w:rPr>
          <w:rFonts w:hint="eastAsia" w:ascii="楷体" w:hAnsi="楷体" w:cs="楷体"/>
          <w:highlight w:val="none"/>
        </w:rPr>
        <w:t>17-4、除因不可抗力或</w:t>
      </w:r>
      <w:r>
        <w:rPr>
          <w:rFonts w:hint="eastAsia" w:ascii="楷体" w:hAnsi="楷体" w:cs="楷体"/>
          <w:highlight w:val="none"/>
          <w:lang w:eastAsia="zh-CN"/>
        </w:rPr>
        <w:t>谈判</w:t>
      </w:r>
      <w:r>
        <w:rPr>
          <w:rFonts w:hint="eastAsia" w:ascii="楷体" w:hAnsi="楷体" w:cs="楷体"/>
          <w:highlight w:val="none"/>
        </w:rPr>
        <w:t>文件认可的情形以外，成交供应商不与采购人签订合同的；或未按照采购文件确定的事项签订政府采购合同；</w:t>
      </w:r>
    </w:p>
    <w:p>
      <w:pPr>
        <w:ind w:firstLine="480"/>
        <w:rPr>
          <w:rFonts w:ascii="楷体" w:hAnsi="楷体" w:cs="楷体"/>
          <w:highlight w:val="none"/>
        </w:rPr>
      </w:pPr>
      <w:r>
        <w:rPr>
          <w:rFonts w:hint="eastAsia" w:ascii="楷体" w:hAnsi="楷体" w:cs="楷体"/>
          <w:highlight w:val="none"/>
        </w:rPr>
        <w:t>17-5、成交供应商将政府采购合同转包；或者在响应文件中未说明，且未经采购人同意，将成交项目分包给他人的；</w:t>
      </w:r>
    </w:p>
    <w:p>
      <w:pPr>
        <w:ind w:firstLine="480"/>
        <w:rPr>
          <w:rFonts w:ascii="楷体" w:hAnsi="楷体" w:cs="楷体"/>
          <w:highlight w:val="none"/>
        </w:rPr>
      </w:pPr>
      <w:r>
        <w:rPr>
          <w:rFonts w:hint="eastAsia" w:ascii="楷体" w:hAnsi="楷体" w:cs="楷体"/>
          <w:highlight w:val="none"/>
        </w:rPr>
        <w:t>17-6、成交供应商拒绝履行合同义务的；或提供假冒伪劣产品；</w:t>
      </w:r>
    </w:p>
    <w:p>
      <w:pPr>
        <w:ind w:firstLine="480"/>
        <w:rPr>
          <w:rFonts w:ascii="楷体" w:hAnsi="楷体" w:cs="楷体"/>
          <w:highlight w:val="none"/>
        </w:rPr>
      </w:pPr>
      <w:r>
        <w:rPr>
          <w:rFonts w:hint="eastAsia" w:ascii="楷体" w:hAnsi="楷体" w:cs="楷体"/>
          <w:highlight w:val="none"/>
        </w:rPr>
        <w:t>17-7、成交供应商擅自变更、中止或者终止政府采购合同。</w:t>
      </w:r>
    </w:p>
    <w:p>
      <w:pPr>
        <w:widowControl/>
        <w:ind w:firstLine="480"/>
        <w:jc w:val="left"/>
        <w:rPr>
          <w:rFonts w:ascii="楷体" w:hAnsi="楷体" w:cs="楷体"/>
          <w:highlight w:val="none"/>
        </w:rPr>
      </w:pPr>
      <w:r>
        <w:rPr>
          <w:rFonts w:hint="eastAsia" w:ascii="楷体" w:hAnsi="楷体" w:cs="楷体"/>
          <w:highlight w:val="none"/>
        </w:rPr>
        <w:t>18、响应有效期</w:t>
      </w:r>
    </w:p>
    <w:p>
      <w:pPr>
        <w:ind w:firstLine="480"/>
        <w:rPr>
          <w:rFonts w:ascii="楷体" w:hAnsi="楷体" w:cs="楷体"/>
          <w:highlight w:val="none"/>
        </w:rPr>
      </w:pPr>
      <w:r>
        <w:rPr>
          <w:rFonts w:hint="eastAsia" w:ascii="楷体" w:hAnsi="楷体" w:cs="楷体"/>
          <w:highlight w:val="none"/>
        </w:rPr>
        <w:t>18-1、响应有效期从提交响应文件的截止之日起</w:t>
      </w:r>
      <w:r>
        <w:rPr>
          <w:rFonts w:hint="eastAsia" w:ascii="楷体" w:hAnsi="楷体" w:cs="楷体"/>
          <w:highlight w:val="none"/>
          <w:lang w:val="en-US" w:eastAsia="zh-CN"/>
        </w:rPr>
        <w:t>九十</w:t>
      </w:r>
      <w:r>
        <w:rPr>
          <w:rFonts w:hint="eastAsia" w:ascii="楷体" w:hAnsi="楷体" w:cs="楷体"/>
          <w:highlight w:val="none"/>
        </w:rPr>
        <w:t>（</w:t>
      </w:r>
      <w:r>
        <w:rPr>
          <w:rFonts w:hint="eastAsia" w:ascii="楷体" w:hAnsi="楷体" w:cs="楷体"/>
          <w:highlight w:val="none"/>
          <w:lang w:val="en-US" w:eastAsia="zh-CN"/>
        </w:rPr>
        <w:t>90</w:t>
      </w:r>
      <w:r>
        <w:rPr>
          <w:rFonts w:hint="eastAsia" w:ascii="楷体" w:hAnsi="楷体" w:cs="楷体"/>
          <w:highlight w:val="none"/>
        </w:rPr>
        <w:t>）个日历日。在有效期内，响应文件对供应商具有法律约束力，</w:t>
      </w:r>
      <w:r>
        <w:rPr>
          <w:rFonts w:hint="eastAsia" w:ascii="楷体" w:hAnsi="楷体" w:cs="楷体"/>
          <w:highlight w:val="none"/>
          <w:lang w:val="zh-CN"/>
        </w:rPr>
        <w:t>以保证采购人完成评审、确定成交供应商以及合同签订事项。</w:t>
      </w:r>
      <w:r>
        <w:rPr>
          <w:rFonts w:hint="eastAsia" w:ascii="楷体" w:hAnsi="楷体" w:cs="楷体"/>
          <w:highlight w:val="none"/>
        </w:rPr>
        <w:t>成交供应商的响应文件有效期自动延长至合同执行完毕。</w:t>
      </w:r>
    </w:p>
    <w:p>
      <w:pPr>
        <w:ind w:firstLine="480"/>
        <w:rPr>
          <w:rFonts w:ascii="楷体" w:hAnsi="楷体" w:cs="楷体"/>
          <w:highlight w:val="none"/>
        </w:rPr>
      </w:pPr>
      <w:r>
        <w:rPr>
          <w:rFonts w:hint="eastAsia" w:ascii="楷体" w:hAnsi="楷体" w:cs="楷体"/>
          <w:highlight w:val="none"/>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w:t>
      </w:r>
      <w:r>
        <w:rPr>
          <w:rFonts w:hint="eastAsia" w:ascii="楷体" w:hAnsi="楷体" w:cs="楷体"/>
          <w:highlight w:val="none"/>
          <w:lang w:val="en-US" w:eastAsia="zh-CN"/>
        </w:rPr>
        <w:t>其响应继续有效</w:t>
      </w:r>
      <w:r>
        <w:rPr>
          <w:rFonts w:hint="eastAsia" w:ascii="楷体" w:hAnsi="楷体" w:cs="楷体"/>
          <w:highlight w:val="none"/>
        </w:rPr>
        <w:t>应，但不允许修改或撤回响应文件。</w:t>
      </w:r>
    </w:p>
    <w:p>
      <w:pPr>
        <w:pStyle w:val="4"/>
        <w:spacing w:line="360" w:lineRule="auto"/>
        <w:ind w:left="573"/>
        <w:rPr>
          <w:rFonts w:ascii="楷体" w:hAnsi="楷体"/>
          <w:highlight w:val="none"/>
        </w:rPr>
      </w:pPr>
      <w:bookmarkStart w:id="10" w:name="_Toc12499_WPSOffice_Level2"/>
      <w:r>
        <w:rPr>
          <w:rFonts w:hint="eastAsia" w:ascii="楷体" w:hAnsi="楷体"/>
          <w:highlight w:val="none"/>
          <w:lang w:eastAsia="zh-CN"/>
        </w:rPr>
        <w:t>谈判</w:t>
      </w:r>
      <w:r>
        <w:rPr>
          <w:rFonts w:hint="eastAsia" w:ascii="楷体" w:hAnsi="楷体"/>
          <w:highlight w:val="none"/>
        </w:rPr>
        <w:t>小组</w:t>
      </w:r>
      <w:bookmarkEnd w:id="10"/>
    </w:p>
    <w:p>
      <w:pPr>
        <w:ind w:firstLine="480"/>
        <w:rPr>
          <w:rFonts w:ascii="楷体" w:hAnsi="楷体" w:cs="楷体"/>
          <w:highlight w:val="none"/>
        </w:rPr>
      </w:pPr>
      <w:r>
        <w:rPr>
          <w:rFonts w:hint="eastAsia" w:ascii="楷体" w:hAnsi="楷体" w:cs="楷体"/>
          <w:highlight w:val="none"/>
        </w:rPr>
        <w:t>1、采购代理机构负责组织</w:t>
      </w:r>
      <w:r>
        <w:rPr>
          <w:rFonts w:hint="eastAsia" w:ascii="楷体" w:hAnsi="楷体" w:cs="楷体"/>
          <w:highlight w:val="none"/>
          <w:lang w:eastAsia="zh-CN"/>
        </w:rPr>
        <w:t>谈判</w:t>
      </w:r>
      <w:r>
        <w:rPr>
          <w:rFonts w:hint="eastAsia" w:ascii="楷体" w:hAnsi="楷体" w:cs="楷体"/>
          <w:highlight w:val="none"/>
        </w:rPr>
        <w:t>工作。</w:t>
      </w:r>
    </w:p>
    <w:p>
      <w:pPr>
        <w:ind w:firstLine="480"/>
        <w:rPr>
          <w:rFonts w:ascii="楷体" w:hAnsi="楷体" w:cs="楷体"/>
          <w:highlight w:val="none"/>
        </w:rPr>
      </w:pPr>
      <w:r>
        <w:rPr>
          <w:rFonts w:hint="eastAsia" w:ascii="楷体" w:hAnsi="楷体" w:cs="楷体"/>
          <w:highlight w:val="none"/>
        </w:rPr>
        <w:t>2、采购人或采购代理机构依法组建</w:t>
      </w:r>
      <w:r>
        <w:rPr>
          <w:rFonts w:hint="eastAsia" w:ascii="楷体" w:hAnsi="楷体" w:cs="楷体"/>
          <w:highlight w:val="none"/>
          <w:lang w:eastAsia="zh-CN"/>
        </w:rPr>
        <w:t>谈判</w:t>
      </w:r>
      <w:r>
        <w:rPr>
          <w:rFonts w:hint="eastAsia" w:ascii="楷体" w:hAnsi="楷体" w:cs="楷体"/>
          <w:highlight w:val="none"/>
        </w:rPr>
        <w:t>小组，</w:t>
      </w:r>
      <w:r>
        <w:rPr>
          <w:rFonts w:hint="eastAsia" w:ascii="楷体" w:hAnsi="楷体" w:cs="楷体"/>
          <w:highlight w:val="none"/>
          <w:lang w:eastAsia="zh-CN"/>
        </w:rPr>
        <w:t>谈判</w:t>
      </w:r>
      <w:r>
        <w:rPr>
          <w:rFonts w:hint="eastAsia" w:ascii="楷体" w:hAnsi="楷体" w:cs="楷体"/>
          <w:highlight w:val="none"/>
        </w:rPr>
        <w:t>小组由评审专家和采购人代表组成。</w:t>
      </w:r>
    </w:p>
    <w:p>
      <w:pPr>
        <w:ind w:firstLine="480"/>
        <w:rPr>
          <w:rFonts w:ascii="楷体" w:hAnsi="楷体" w:cs="楷体"/>
          <w:highlight w:val="none"/>
        </w:rPr>
      </w:pPr>
      <w:r>
        <w:rPr>
          <w:rFonts w:hint="eastAsia" w:ascii="楷体" w:hAnsi="楷体" w:cs="楷体"/>
          <w:highlight w:val="none"/>
        </w:rPr>
        <w:t>3、</w:t>
      </w:r>
      <w:r>
        <w:rPr>
          <w:rFonts w:hint="eastAsia" w:ascii="楷体" w:hAnsi="楷体" w:cs="楷体"/>
          <w:highlight w:val="none"/>
          <w:lang w:eastAsia="zh-CN"/>
        </w:rPr>
        <w:t>谈判</w:t>
      </w:r>
      <w:r>
        <w:rPr>
          <w:rFonts w:hint="eastAsia" w:ascii="楷体" w:hAnsi="楷体" w:cs="楷体"/>
          <w:highlight w:val="none"/>
        </w:rPr>
        <w:t>小组负责具体</w:t>
      </w:r>
      <w:r>
        <w:rPr>
          <w:rFonts w:hint="eastAsia" w:ascii="楷体" w:hAnsi="楷体" w:cs="楷体"/>
          <w:highlight w:val="none"/>
          <w:lang w:eastAsia="zh-CN"/>
        </w:rPr>
        <w:t>谈判</w:t>
      </w:r>
      <w:r>
        <w:rPr>
          <w:rFonts w:hint="eastAsia" w:ascii="楷体" w:hAnsi="楷体" w:cs="楷体"/>
          <w:highlight w:val="none"/>
        </w:rPr>
        <w:t>事务，并独立履行下列职责：</w:t>
      </w:r>
    </w:p>
    <w:p>
      <w:pPr>
        <w:ind w:firstLine="480"/>
        <w:rPr>
          <w:rFonts w:ascii="楷体" w:hAnsi="楷体" w:cs="楷体"/>
          <w:highlight w:val="none"/>
        </w:rPr>
      </w:pPr>
      <w:r>
        <w:rPr>
          <w:rFonts w:hint="eastAsia" w:ascii="楷体" w:hAnsi="楷体" w:cs="楷体"/>
          <w:highlight w:val="none"/>
        </w:rPr>
        <w:t>3-1、确认</w:t>
      </w:r>
      <w:r>
        <w:rPr>
          <w:rFonts w:hint="eastAsia" w:ascii="楷体" w:hAnsi="楷体" w:cs="楷体"/>
          <w:highlight w:val="none"/>
          <w:lang w:eastAsia="zh-CN"/>
        </w:rPr>
        <w:t>谈判</w:t>
      </w:r>
      <w:r>
        <w:rPr>
          <w:rFonts w:hint="eastAsia" w:ascii="楷体" w:hAnsi="楷体" w:cs="楷体"/>
          <w:highlight w:val="none"/>
        </w:rPr>
        <w:t>文件；</w:t>
      </w:r>
    </w:p>
    <w:p>
      <w:pPr>
        <w:ind w:firstLine="480"/>
        <w:rPr>
          <w:rFonts w:ascii="楷体" w:hAnsi="楷体" w:cs="楷体"/>
          <w:highlight w:val="none"/>
        </w:rPr>
      </w:pPr>
      <w:r>
        <w:rPr>
          <w:rFonts w:hint="eastAsia" w:ascii="楷体" w:hAnsi="楷体" w:cs="楷体"/>
          <w:highlight w:val="none"/>
        </w:rPr>
        <w:t>3-2、确定符合资质条件的供应商参加</w:t>
      </w:r>
      <w:r>
        <w:rPr>
          <w:rFonts w:hint="eastAsia" w:ascii="楷体" w:hAnsi="楷体" w:cs="楷体"/>
          <w:highlight w:val="none"/>
          <w:lang w:eastAsia="zh-CN"/>
        </w:rPr>
        <w:t>谈判</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3-3、要求供应商解释或者澄清其响应文件；</w:t>
      </w:r>
    </w:p>
    <w:p>
      <w:pPr>
        <w:ind w:firstLine="480"/>
        <w:rPr>
          <w:rFonts w:ascii="楷体" w:hAnsi="楷体" w:cs="楷体"/>
          <w:highlight w:val="none"/>
        </w:rPr>
      </w:pPr>
      <w:r>
        <w:rPr>
          <w:rFonts w:hint="eastAsia" w:ascii="楷体" w:hAnsi="楷体" w:cs="楷体"/>
          <w:highlight w:val="none"/>
        </w:rPr>
        <w:t>3-4、集中与单一供应商分别进行</w:t>
      </w:r>
      <w:r>
        <w:rPr>
          <w:rFonts w:hint="eastAsia" w:ascii="楷体" w:hAnsi="楷体" w:cs="楷体"/>
          <w:highlight w:val="none"/>
          <w:lang w:eastAsia="zh-CN"/>
        </w:rPr>
        <w:t>谈判</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3-5、审查供应商的响应文件并做出评价；</w:t>
      </w:r>
    </w:p>
    <w:p>
      <w:pPr>
        <w:ind w:firstLine="480"/>
        <w:rPr>
          <w:rFonts w:ascii="楷体" w:hAnsi="楷体" w:cs="楷体"/>
          <w:highlight w:val="none"/>
        </w:rPr>
      </w:pPr>
      <w:r>
        <w:rPr>
          <w:rFonts w:hint="eastAsia" w:ascii="楷体" w:hAnsi="楷体" w:cs="楷体"/>
          <w:highlight w:val="none"/>
        </w:rPr>
        <w:t>3-6、告知采购人或采购代理机构在评审过程中发现供应商违法违规行为；</w:t>
      </w:r>
    </w:p>
    <w:p>
      <w:pPr>
        <w:ind w:firstLine="480"/>
        <w:rPr>
          <w:rFonts w:ascii="楷体" w:hAnsi="楷体" w:cs="楷体"/>
          <w:highlight w:val="none"/>
        </w:rPr>
      </w:pPr>
      <w:r>
        <w:rPr>
          <w:rFonts w:hint="eastAsia" w:ascii="楷体" w:hAnsi="楷体" w:cs="楷体"/>
          <w:highlight w:val="none"/>
        </w:rPr>
        <w:t>3-7、编写评审报告。</w:t>
      </w:r>
    </w:p>
    <w:p>
      <w:pPr>
        <w:pStyle w:val="4"/>
        <w:spacing w:line="360" w:lineRule="auto"/>
        <w:ind w:left="573"/>
        <w:rPr>
          <w:rFonts w:ascii="楷体" w:hAnsi="楷体"/>
          <w:highlight w:val="none"/>
        </w:rPr>
      </w:pPr>
      <w:bookmarkStart w:id="11" w:name="_Toc31795_WPSOffice_Level2"/>
      <w:r>
        <w:rPr>
          <w:rFonts w:hint="eastAsia" w:ascii="楷体" w:hAnsi="楷体"/>
          <w:highlight w:val="none"/>
          <w:lang w:eastAsia="zh-CN"/>
        </w:rPr>
        <w:t>谈判</w:t>
      </w:r>
      <w:r>
        <w:rPr>
          <w:rFonts w:hint="eastAsia" w:ascii="楷体" w:hAnsi="楷体"/>
          <w:highlight w:val="none"/>
        </w:rPr>
        <w:t>会议</w:t>
      </w:r>
      <w:bookmarkEnd w:id="11"/>
    </w:p>
    <w:p>
      <w:pPr>
        <w:numPr>
          <w:ilvl w:val="0"/>
          <w:numId w:val="7"/>
        </w:numPr>
        <w:ind w:firstLine="480"/>
        <w:rPr>
          <w:rFonts w:ascii="楷体" w:hAnsi="楷体" w:cs="楷体"/>
          <w:highlight w:val="none"/>
        </w:rPr>
      </w:pPr>
      <w:r>
        <w:rPr>
          <w:rFonts w:hint="eastAsia" w:ascii="楷体" w:hAnsi="楷体" w:cs="楷体"/>
          <w:highlight w:val="none"/>
        </w:rPr>
        <w:t>在</w:t>
      </w:r>
      <w:r>
        <w:rPr>
          <w:rFonts w:hint="eastAsia" w:ascii="楷体" w:hAnsi="楷体" w:cs="楷体"/>
          <w:highlight w:val="none"/>
          <w:lang w:eastAsia="zh-CN"/>
        </w:rPr>
        <w:t>谈判</w:t>
      </w:r>
      <w:r>
        <w:rPr>
          <w:rFonts w:hint="eastAsia" w:ascii="楷体" w:hAnsi="楷体" w:cs="楷体"/>
          <w:highlight w:val="none"/>
        </w:rPr>
        <w:t>文件规定的</w:t>
      </w:r>
      <w:r>
        <w:rPr>
          <w:rFonts w:hint="eastAsia" w:ascii="楷体" w:hAnsi="楷体" w:cs="楷体"/>
          <w:highlight w:val="none"/>
          <w:lang w:eastAsia="zh-CN"/>
        </w:rPr>
        <w:t>谈判</w:t>
      </w:r>
      <w:r>
        <w:rPr>
          <w:rFonts w:hint="eastAsia" w:ascii="楷体" w:hAnsi="楷体" w:cs="楷体"/>
          <w:highlight w:val="none"/>
        </w:rPr>
        <w:t>时间和</w:t>
      </w:r>
      <w:r>
        <w:rPr>
          <w:rFonts w:hint="eastAsia" w:ascii="楷体" w:hAnsi="楷体" w:cs="楷体"/>
          <w:highlight w:val="none"/>
          <w:lang w:eastAsia="zh-CN"/>
        </w:rPr>
        <w:t>谈判</w:t>
      </w:r>
      <w:r>
        <w:rPr>
          <w:rFonts w:hint="eastAsia" w:ascii="楷体" w:hAnsi="楷体" w:cs="楷体"/>
          <w:highlight w:val="none"/>
        </w:rPr>
        <w:t>地点，由采购代理机构主持</w:t>
      </w:r>
      <w:r>
        <w:rPr>
          <w:rFonts w:hint="eastAsia" w:ascii="楷体" w:hAnsi="楷体" w:cs="楷体"/>
          <w:highlight w:val="none"/>
          <w:lang w:eastAsia="zh-CN"/>
        </w:rPr>
        <w:t>谈判</w:t>
      </w:r>
      <w:r>
        <w:rPr>
          <w:rFonts w:hint="eastAsia" w:ascii="楷体" w:hAnsi="楷体" w:cs="楷体"/>
          <w:highlight w:val="none"/>
        </w:rPr>
        <w:t>会议，供应商须委派代表参加，签名报到以证明其出席。</w:t>
      </w:r>
    </w:p>
    <w:p>
      <w:pPr>
        <w:numPr>
          <w:ilvl w:val="0"/>
          <w:numId w:val="7"/>
        </w:numPr>
        <w:ind w:firstLine="480"/>
        <w:rPr>
          <w:rFonts w:ascii="楷体" w:hAnsi="楷体" w:cs="楷体"/>
          <w:highlight w:val="none"/>
        </w:rPr>
      </w:pPr>
      <w:r>
        <w:rPr>
          <w:rFonts w:hint="eastAsia" w:ascii="楷体" w:hAnsi="楷体" w:cs="楷体"/>
          <w:highlight w:val="none"/>
        </w:rPr>
        <w:t>参加</w:t>
      </w:r>
      <w:r>
        <w:rPr>
          <w:rFonts w:hint="eastAsia" w:ascii="楷体" w:hAnsi="楷体" w:cs="楷体"/>
          <w:highlight w:val="none"/>
          <w:lang w:eastAsia="zh-CN"/>
        </w:rPr>
        <w:t>谈判</w:t>
      </w:r>
      <w:r>
        <w:rPr>
          <w:rFonts w:hint="eastAsia" w:ascii="楷体" w:hAnsi="楷体" w:cs="楷体"/>
          <w:highlight w:val="none"/>
        </w:rPr>
        <w:t>会议的供应商的法定代表人或其授权代表应携带本人身份证原件、供应商资格要求相关材料的原件以备审核。</w:t>
      </w:r>
    </w:p>
    <w:p>
      <w:pPr>
        <w:numPr>
          <w:ilvl w:val="0"/>
          <w:numId w:val="7"/>
        </w:numPr>
        <w:ind w:firstLine="480"/>
        <w:rPr>
          <w:rFonts w:ascii="楷体" w:hAnsi="楷体" w:cs="楷体"/>
          <w:highlight w:val="none"/>
        </w:rPr>
      </w:pPr>
      <w:r>
        <w:rPr>
          <w:rFonts w:hint="eastAsia" w:ascii="楷体" w:hAnsi="楷体" w:cs="楷体"/>
          <w:highlight w:val="none"/>
          <w:lang w:eastAsia="zh-CN"/>
        </w:rPr>
        <w:t>谈判</w:t>
      </w:r>
      <w:r>
        <w:rPr>
          <w:rFonts w:hint="eastAsia" w:ascii="楷体" w:hAnsi="楷体" w:cs="楷体"/>
          <w:highlight w:val="none"/>
        </w:rPr>
        <w:t>时，由供应商或其推荐的代表与监督人共同检查响应文件的密封情况。</w:t>
      </w:r>
    </w:p>
    <w:p>
      <w:pPr>
        <w:numPr>
          <w:ilvl w:val="0"/>
          <w:numId w:val="7"/>
        </w:numPr>
        <w:ind w:firstLine="480"/>
        <w:rPr>
          <w:rFonts w:ascii="楷体" w:hAnsi="楷体" w:cs="楷体"/>
          <w:highlight w:val="none"/>
        </w:rPr>
      </w:pPr>
      <w:r>
        <w:rPr>
          <w:rFonts w:hint="eastAsia" w:ascii="楷体" w:hAnsi="楷体" w:cs="楷体"/>
          <w:highlight w:val="none"/>
        </w:rPr>
        <w:t>经对响应文件的密封情况确认无误后，由供应商法定代表人（或授权代表）和监督人签字确认。</w:t>
      </w:r>
    </w:p>
    <w:p>
      <w:pPr>
        <w:numPr>
          <w:ilvl w:val="0"/>
          <w:numId w:val="7"/>
        </w:numPr>
        <w:ind w:firstLine="480"/>
        <w:rPr>
          <w:rFonts w:ascii="楷体" w:hAnsi="楷体" w:cs="楷体"/>
          <w:highlight w:val="none"/>
        </w:rPr>
      </w:pPr>
      <w:r>
        <w:rPr>
          <w:rFonts w:hint="eastAsia" w:ascii="楷体" w:hAnsi="楷体" w:cs="楷体"/>
          <w:highlight w:val="none"/>
        </w:rPr>
        <w:t>由采购代理机构工作人员按照签到顺序开启各供应商响应文件，公布文件份数。</w:t>
      </w:r>
    </w:p>
    <w:p>
      <w:pPr>
        <w:numPr>
          <w:ilvl w:val="0"/>
          <w:numId w:val="7"/>
        </w:numPr>
        <w:ind w:firstLine="480"/>
        <w:rPr>
          <w:rFonts w:ascii="楷体" w:hAnsi="楷体" w:cs="楷体"/>
          <w:highlight w:val="none"/>
        </w:rPr>
      </w:pPr>
      <w:r>
        <w:rPr>
          <w:rFonts w:hint="eastAsia" w:ascii="楷体" w:hAnsi="楷体" w:cs="楷体"/>
          <w:highlight w:val="none"/>
        </w:rPr>
        <w:t>供应商对</w:t>
      </w:r>
      <w:r>
        <w:rPr>
          <w:rFonts w:hint="eastAsia" w:ascii="楷体" w:hAnsi="楷体" w:cs="楷体"/>
          <w:highlight w:val="none"/>
          <w:lang w:eastAsia="zh-CN"/>
        </w:rPr>
        <w:t>谈判</w:t>
      </w:r>
      <w:r>
        <w:rPr>
          <w:rFonts w:hint="eastAsia" w:ascii="楷体" w:hAnsi="楷体" w:cs="楷体"/>
          <w:highlight w:val="none"/>
        </w:rPr>
        <w:t>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0"/>
        </w:numPr>
        <w:ind w:firstLine="480" w:firstLineChars="200"/>
        <w:rPr>
          <w:rFonts w:hint="eastAsia" w:ascii="楷体" w:hAnsi="楷体" w:cs="楷体"/>
          <w:sz w:val="24"/>
          <w:szCs w:val="24"/>
          <w:highlight w:val="none"/>
        </w:rPr>
      </w:pPr>
      <w:r>
        <w:rPr>
          <w:rFonts w:hint="eastAsia" w:ascii="楷体" w:hAnsi="楷体" w:cs="楷体"/>
          <w:sz w:val="24"/>
          <w:szCs w:val="24"/>
          <w:highlight w:val="none"/>
          <w:lang w:val="en-US" w:eastAsia="zh-CN"/>
        </w:rPr>
        <w:t>7、</w:t>
      </w:r>
      <w:r>
        <w:rPr>
          <w:rFonts w:hint="eastAsia" w:ascii="楷体" w:hAnsi="楷体" w:cs="楷体"/>
          <w:sz w:val="24"/>
          <w:szCs w:val="24"/>
          <w:highlight w:val="none"/>
        </w:rPr>
        <w:t>供应商未参加</w:t>
      </w:r>
      <w:r>
        <w:rPr>
          <w:rFonts w:hint="eastAsia" w:ascii="楷体" w:hAnsi="楷体" w:cs="楷体"/>
          <w:sz w:val="24"/>
          <w:szCs w:val="24"/>
          <w:highlight w:val="none"/>
          <w:lang w:eastAsia="zh-CN"/>
        </w:rPr>
        <w:t>谈判</w:t>
      </w:r>
      <w:r>
        <w:rPr>
          <w:rFonts w:hint="eastAsia" w:ascii="楷体" w:hAnsi="楷体" w:cs="楷体"/>
          <w:sz w:val="24"/>
          <w:szCs w:val="24"/>
          <w:highlight w:val="none"/>
        </w:rPr>
        <w:t>会议的，视同认可</w:t>
      </w:r>
      <w:r>
        <w:rPr>
          <w:rFonts w:hint="eastAsia" w:ascii="楷体" w:hAnsi="楷体" w:cs="楷体"/>
          <w:sz w:val="24"/>
          <w:szCs w:val="24"/>
          <w:highlight w:val="none"/>
          <w:lang w:eastAsia="zh-CN"/>
        </w:rPr>
        <w:t>谈判</w:t>
      </w:r>
      <w:r>
        <w:rPr>
          <w:rFonts w:hint="eastAsia" w:ascii="楷体" w:hAnsi="楷体" w:cs="楷体"/>
          <w:sz w:val="24"/>
          <w:szCs w:val="24"/>
          <w:highlight w:val="none"/>
        </w:rPr>
        <w:t>结果。</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8、采购人依法对供应商的资格进行审查。</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 响应文件中的资格证明文件出现下列情况者（但不限于），按无效响应处理：</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8-1-1 供应商的名称与登记领取谈判文件单位的名称不符;</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8-1-2 供应商承诺书的有效性或符合性不符合要求的;</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8-1-3 谈判文件要求提交原件，而供应商未按要求提交的;</w:t>
      </w:r>
    </w:p>
    <w:p>
      <w:pPr>
        <w:numPr>
          <w:ilvl w:val="0"/>
          <w:numId w:val="0"/>
        </w:numPr>
        <w:ind w:firstLine="480" w:firstLineChars="200"/>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8-1-4 供应商资格证明文件的完整性、有效性或符合性不符合要求的。</w:t>
      </w:r>
    </w:p>
    <w:p>
      <w:pPr>
        <w:pStyle w:val="4"/>
        <w:spacing w:line="360" w:lineRule="auto"/>
        <w:ind w:left="573"/>
        <w:rPr>
          <w:rFonts w:ascii="楷体" w:hAnsi="楷体"/>
          <w:highlight w:val="none"/>
        </w:rPr>
      </w:pPr>
      <w:r>
        <w:rPr>
          <w:rFonts w:hint="eastAsia" w:ascii="楷体" w:hAnsi="楷体"/>
          <w:highlight w:val="none"/>
          <w:lang w:eastAsia="zh-CN"/>
        </w:rPr>
        <w:t>谈判</w:t>
      </w:r>
    </w:p>
    <w:p>
      <w:pPr>
        <w:numPr>
          <w:ilvl w:val="0"/>
          <w:numId w:val="8"/>
        </w:numPr>
        <w:ind w:firstLine="480"/>
        <w:rPr>
          <w:rFonts w:ascii="楷体" w:hAnsi="楷体" w:cs="楷体"/>
        </w:rPr>
      </w:pPr>
      <w:r>
        <w:rPr>
          <w:rFonts w:hint="eastAsia" w:ascii="楷体" w:hAnsi="楷体" w:cs="楷体"/>
        </w:rPr>
        <w:t>依据谈判文件的规定，谈判小组对资格审查合格的响应文件的有效性、完整性和对谈判文件的响应程度进行审查，以确定是否对谈判文件的实质性内容作出响应。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-1-1响应文件未按谈判文件要求填写、签署、盖章的;</w:t>
      </w:r>
    </w:p>
    <w:p>
      <w:pPr>
        <w:ind w:firstLine="480"/>
        <w:rPr>
          <w:rFonts w:hint="default" w:ascii="楷体" w:hAnsi="楷体" w:cs="楷体"/>
          <w:b/>
          <w:bCs/>
          <w:highlight w:val="none"/>
          <w:lang w:val="en-US" w:eastAsia="zh-CN"/>
        </w:rPr>
      </w:pPr>
      <w:r>
        <w:rPr>
          <w:rFonts w:hint="eastAsia" w:ascii="楷体" w:hAnsi="楷体" w:cs="楷体"/>
          <w:lang w:val="en-US" w:eastAsia="zh-CN"/>
        </w:rPr>
        <w:t>1-1-2</w:t>
      </w:r>
      <w:r>
        <w:rPr>
          <w:rFonts w:hint="eastAsia" w:ascii="楷体" w:hAnsi="楷体" w:cs="楷体"/>
          <w:b w:val="0"/>
          <w:bCs w:val="0"/>
          <w:lang w:val="en-US" w:eastAsia="zh-CN"/>
        </w:rPr>
        <w:t>响应</w:t>
      </w:r>
      <w:r>
        <w:rPr>
          <w:rFonts w:hint="eastAsia" w:ascii="楷体" w:hAnsi="楷体" w:cs="楷体"/>
          <w:b w:val="0"/>
          <w:bCs w:val="0"/>
          <w:highlight w:val="none"/>
          <w:lang w:val="en-US" w:eastAsia="zh-CN"/>
        </w:rPr>
        <w:t>文件谈判报价超出采购预算的;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3</w:t>
      </w:r>
      <w:r>
        <w:rPr>
          <w:rFonts w:hint="eastAsia" w:ascii="楷体" w:hAnsi="楷体" w:cs="楷体"/>
          <w:highlight w:val="none"/>
        </w:rPr>
        <w:t>供应商的报价</w:t>
      </w:r>
      <w:r>
        <w:rPr>
          <w:rFonts w:hint="eastAsia" w:ascii="楷体" w:hAnsi="楷体" w:cs="楷体"/>
          <w:highlight w:val="none"/>
          <w:lang w:val="zh-CN"/>
        </w:rPr>
        <w:t>与市场价偏离较大，低于成本，形成不正当竞争</w:t>
      </w:r>
      <w:r>
        <w:rPr>
          <w:rFonts w:hint="eastAsia" w:ascii="楷体" w:hAnsi="楷体" w:cs="楷体"/>
          <w:highlight w:val="none"/>
        </w:rPr>
        <w:t>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4</w:t>
      </w:r>
      <w:r>
        <w:rPr>
          <w:rFonts w:hint="eastAsia" w:ascii="楷体" w:hAnsi="楷体" w:cs="楷体"/>
          <w:highlight w:val="none"/>
        </w:rPr>
        <w:t>无响应有效期或有效期达不到谈判文件的要求；</w:t>
      </w:r>
    </w:p>
    <w:p>
      <w:pPr>
        <w:ind w:firstLine="480"/>
        <w:rPr>
          <w:rFonts w:ascii="楷体" w:hAnsi="楷体" w:cs="楷体"/>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5</w:t>
      </w:r>
      <w:r>
        <w:rPr>
          <w:rFonts w:hint="eastAsia" w:ascii="楷体" w:hAnsi="楷体" w:cs="楷体"/>
          <w:highlight w:val="none"/>
        </w:rPr>
        <w:t>响应文件的交货</w:t>
      </w:r>
      <w:r>
        <w:rPr>
          <w:rFonts w:hint="eastAsia" w:ascii="楷体" w:hAnsi="楷体" w:cs="楷体"/>
          <w:highlight w:val="none"/>
          <w:lang w:val="en-US" w:eastAsia="zh-CN"/>
        </w:rPr>
        <w:t>安装期</w:t>
      </w:r>
      <w:r>
        <w:rPr>
          <w:rFonts w:hint="eastAsia" w:ascii="楷体" w:hAnsi="楷体" w:cs="楷体"/>
          <w:highlight w:val="none"/>
        </w:rPr>
        <w:t>、</w:t>
      </w:r>
      <w:r>
        <w:rPr>
          <w:rFonts w:hint="eastAsia" w:ascii="楷体" w:hAnsi="楷体" w:cs="楷体"/>
          <w:highlight w:val="none"/>
          <w:lang w:val="en-US" w:eastAsia="zh-CN"/>
        </w:rPr>
        <w:t>质保期、</w:t>
      </w:r>
      <w:r>
        <w:rPr>
          <w:rFonts w:hint="eastAsia" w:ascii="楷体" w:hAnsi="楷体" w:cs="楷体"/>
          <w:highlight w:val="none"/>
        </w:rPr>
        <w:t>付款形式及要求、验收、售后服务等，没有响应</w:t>
      </w:r>
      <w:r>
        <w:rPr>
          <w:rFonts w:hint="eastAsia" w:ascii="楷体" w:hAnsi="楷体" w:cs="楷体"/>
          <w:highlight w:val="none"/>
          <w:lang w:eastAsia="zh-CN"/>
        </w:rPr>
        <w:t>谈判</w:t>
      </w:r>
      <w:r>
        <w:rPr>
          <w:rFonts w:hint="eastAsia" w:ascii="楷体" w:hAnsi="楷体" w:cs="楷体"/>
          <w:highlight w:val="none"/>
        </w:rPr>
        <w:t>文件</w:t>
      </w:r>
      <w:r>
        <w:rPr>
          <w:rFonts w:hint="eastAsia" w:ascii="楷体" w:hAnsi="楷体" w:cs="楷体"/>
        </w:rPr>
        <w:t>；</w:t>
      </w:r>
    </w:p>
    <w:p>
      <w:pPr>
        <w:ind w:firstLine="480"/>
        <w:rPr>
          <w:rFonts w:ascii="楷体" w:hAnsi="楷体" w:cs="楷体"/>
        </w:rPr>
      </w:pPr>
      <w:r>
        <w:rPr>
          <w:rFonts w:hint="eastAsia" w:ascii="楷体" w:hAnsi="楷体" w:cs="楷体"/>
          <w:lang w:val="en-US" w:eastAsia="zh-CN"/>
        </w:rPr>
        <w:t>1</w:t>
      </w:r>
      <w:r>
        <w:rPr>
          <w:rFonts w:hint="eastAsia" w:ascii="楷体" w:hAnsi="楷体" w:cs="楷体"/>
        </w:rPr>
        <w:t>-1-</w:t>
      </w:r>
      <w:r>
        <w:rPr>
          <w:rFonts w:hint="eastAsia" w:ascii="楷体" w:hAnsi="楷体" w:cs="楷体"/>
          <w:lang w:val="en-US" w:eastAsia="zh-CN"/>
        </w:rPr>
        <w:t>6</w:t>
      </w:r>
      <w:r>
        <w:rPr>
          <w:rFonts w:hint="eastAsia" w:ascii="楷体" w:hAnsi="楷体" w:cs="楷体"/>
        </w:rPr>
        <w:t>响应内容出现漏项或与采购要求不符，出现重大负偏差。</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-2谈判小组要求供应商澄清、说明或者更正响应文件应当以书面形式作出。供应商的澄清、说明或者更正应当由法定代表人或其授权代表签字或者加盖公章。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、谈判小组所有成员应当集中与单一供应商分别进行谈判，并给予所有参加谈判的供应商平等的谈判机会。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、在谈判过程中，谈判小组可以根据谈判文件和谈判情况实质性变动采购需求中的技术、服务要求以及合同草案条款，但不得变动谈判文件中的其他内容。实质性变动的内容，须经采购人代表确认。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、已提交响应文件的供应商，在提交最后报价之前，可以根据谈判情况退出谈判。</w:t>
      </w:r>
    </w:p>
    <w:p>
      <w:pPr>
        <w:ind w:firstLine="480"/>
        <w:rPr>
          <w:rFonts w:ascii="楷体" w:hAnsi="楷体" w:cs="楷体"/>
        </w:rPr>
      </w:pPr>
      <w:r>
        <w:rPr>
          <w:rFonts w:hint="eastAsia" w:ascii="楷体" w:hAnsi="楷体" w:cs="楷体"/>
          <w:lang w:val="en-US" w:eastAsia="zh-CN"/>
        </w:rPr>
        <w:t>6</w:t>
      </w:r>
      <w:r>
        <w:rPr>
          <w:rFonts w:hint="eastAsia" w:ascii="楷体" w:hAnsi="楷体" w:cs="楷体"/>
        </w:rPr>
        <w:t>、谈判结束后谈判小组应当要求所有实质性响应且继续参加谈判的供应商在规定时间内提交最后报价，该报价不予公开，提交最后报价的供应商不得少于3家。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、经谈判确定最终采购需求和提交最后报价的供应商后，由谈判小组从质量和服务均能满足采购文件实质性响应要求的供应商中，按照最后报价由低到高的顺序提出3名成交候选供应商。</w:t>
      </w:r>
    </w:p>
    <w:p>
      <w:pPr>
        <w:ind w:firstLine="480"/>
        <w:rPr>
          <w:rFonts w:ascii="楷体" w:hAnsi="楷体" w:cs="楷体"/>
        </w:rPr>
      </w:pPr>
      <w:r>
        <w:rPr>
          <w:rFonts w:hint="eastAsia" w:ascii="楷体" w:hAnsi="楷体" w:cs="楷体"/>
          <w:lang w:val="en-US" w:eastAsia="zh-CN"/>
        </w:rPr>
        <w:t>8</w:t>
      </w:r>
      <w:r>
        <w:rPr>
          <w:rFonts w:hint="eastAsia" w:ascii="楷体" w:hAnsi="楷体" w:cs="楷体"/>
        </w:rPr>
        <w:t>、谈判小组在评审过程中，发现响应文件出现下列情况之一者，按以下原则修正，修正后的报价经供应商确认后产生约束力，供应商不确认的，其响应无效。</w:t>
      </w:r>
    </w:p>
    <w:p>
      <w:pPr>
        <w:ind w:firstLine="480"/>
        <w:rPr>
          <w:rFonts w:hint="eastAsia" w:ascii="楷体" w:hAnsi="楷体" w:cs="楷体"/>
          <w:lang w:val="en-US" w:eastAsia="zh-CN"/>
        </w:rPr>
      </w:pPr>
      <w:r>
        <w:rPr>
          <w:rFonts w:hint="eastAsia" w:ascii="楷体" w:hAnsi="楷体" w:cs="楷体"/>
          <w:lang w:val="en-US" w:eastAsia="zh-CN"/>
        </w:rPr>
        <w:t>8-1大写金额和小写金额不一致的，以大写金额为准；</w:t>
      </w:r>
    </w:p>
    <w:p>
      <w:pPr>
        <w:ind w:firstLine="480"/>
        <w:rPr>
          <w:rFonts w:hint="eastAsia" w:ascii="楷体" w:hAnsi="楷体" w:cs="楷体"/>
          <w:lang w:val="en-US" w:eastAsia="zh-CN"/>
        </w:rPr>
      </w:pPr>
      <w:r>
        <w:rPr>
          <w:rFonts w:hint="eastAsia" w:ascii="楷体" w:hAnsi="楷体" w:cs="楷体"/>
          <w:lang w:val="en-US" w:eastAsia="zh-CN"/>
        </w:rPr>
        <w:t>8-2单价金额小数点或者百分比有明显错位的，以总价为准，并修改单价；</w:t>
      </w:r>
    </w:p>
    <w:p>
      <w:pPr>
        <w:ind w:firstLine="480"/>
        <w:rPr>
          <w:rFonts w:hint="eastAsia" w:ascii="楷体" w:hAnsi="楷体" w:cs="楷体"/>
          <w:lang w:val="en-US" w:eastAsia="zh-CN"/>
        </w:rPr>
      </w:pPr>
      <w:r>
        <w:rPr>
          <w:rFonts w:hint="eastAsia" w:ascii="楷体" w:hAnsi="楷体" w:cs="楷体"/>
          <w:lang w:val="en-US" w:eastAsia="zh-CN"/>
        </w:rPr>
        <w:t>8-3总价金额与按单价汇总金额不一致的，以单价金额计算结果为准；</w:t>
      </w:r>
    </w:p>
    <w:p>
      <w:pPr>
        <w:ind w:firstLine="480"/>
        <w:rPr>
          <w:rFonts w:hint="eastAsia" w:ascii="楷体" w:hAnsi="楷体" w:cs="楷体"/>
          <w:lang w:val="en-US" w:eastAsia="zh-CN"/>
        </w:rPr>
      </w:pPr>
      <w:r>
        <w:rPr>
          <w:rFonts w:hint="eastAsia" w:ascii="楷体" w:hAnsi="楷体" w:cs="楷体"/>
          <w:lang w:val="en-US" w:eastAsia="zh-CN"/>
        </w:rPr>
        <w:t>8-4对不同文字文本响应文件的解释发生异议的，以中文文本为准；</w:t>
      </w:r>
    </w:p>
    <w:p>
      <w:pPr>
        <w:ind w:firstLine="480"/>
        <w:rPr>
          <w:rFonts w:hint="eastAsia" w:ascii="楷体" w:hAnsi="楷体" w:cs="楷体"/>
          <w:lang w:val="en-US" w:eastAsia="zh-CN"/>
        </w:rPr>
      </w:pPr>
      <w:r>
        <w:rPr>
          <w:rFonts w:hint="eastAsia" w:ascii="楷体" w:hAnsi="楷体" w:cs="楷体"/>
          <w:lang w:val="en-US" w:eastAsia="zh-CN"/>
        </w:rPr>
        <w:t>8-5文字与图表不一致的，以文字为准；</w:t>
      </w:r>
    </w:p>
    <w:p>
      <w:pPr>
        <w:ind w:firstLine="480"/>
        <w:rPr>
          <w:rFonts w:ascii="楷体" w:hAnsi="楷体" w:cs="楷体"/>
        </w:rPr>
      </w:pPr>
      <w:r>
        <w:rPr>
          <w:rFonts w:hint="eastAsia" w:ascii="楷体" w:hAnsi="楷体" w:cs="楷体"/>
          <w:lang w:val="en-US" w:eastAsia="zh-CN"/>
        </w:rPr>
        <w:t>8-6正本与副本不一致的，以正本为准。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-1评审时，按照谈判文件规定的评审方法和标准，对资格性审查和符合性审查合格的文件进行商务和技术评审，实质性满足采购要求的最后报价作为成交的唯一条件。</w:t>
      </w:r>
    </w:p>
    <w:p>
      <w:pPr>
        <w:ind w:firstLine="480"/>
        <w:rPr>
          <w:rFonts w:ascii="楷体" w:hAnsi="楷体" w:cs="楷体"/>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-2采取逐项分步评审方式，每一步评审不符合者，不进入下一步评审，全部评审合格的供应商按最后报价由低到高的排序，推荐成交候选供应商。</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、需要落实的政府采购政策</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w:t>
      </w:r>
      <w:r>
        <w:rPr>
          <w:rFonts w:hint="eastAsia" w:ascii="楷体" w:hAnsi="楷体" w:cs="楷体"/>
          <w:color w:val="000000" w:themeColor="text1"/>
          <w:lang w:val="en-US" w:eastAsia="zh-CN"/>
          <w14:textFill>
            <w14:solidFill>
              <w14:schemeClr w14:val="tx1"/>
            </w14:solidFill>
          </w14:textFill>
        </w:rPr>
        <w:t>0</w:t>
      </w:r>
      <w:r>
        <w:rPr>
          <w:rFonts w:hint="eastAsia" w:ascii="楷体" w:hAnsi="楷体" w:cs="楷体"/>
          <w:color w:val="000000" w:themeColor="text1"/>
          <w14:textFill>
            <w14:solidFill>
              <w14:schemeClr w14:val="tx1"/>
            </w14:solidFill>
          </w14:textFill>
        </w:rPr>
        <w:t>-1 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2" w:name="OLE_LINK6"/>
      <w:r>
        <w:rPr>
          <w:rFonts w:hint="eastAsia" w:ascii="楷体" w:hAnsi="楷体" w:cs="楷体"/>
        </w:rPr>
        <w:t>工信部联企业[2011]300号</w:t>
      </w:r>
      <w:bookmarkEnd w:id="12"/>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ind w:firstLine="480"/>
        <w:rPr>
          <w:rFonts w:hint="eastAsia" w:ascii="楷体" w:hAnsi="楷体" w:cs="楷体"/>
          <w:b/>
          <w:bCs/>
          <w:highlight w:val="yellow"/>
          <w:lang w:val="en-US" w:eastAsia="zh-CN"/>
        </w:rPr>
      </w:pPr>
      <w:r>
        <w:rPr>
          <w:rFonts w:hint="eastAsia" w:ascii="楷体" w:hAnsi="楷体" w:cs="楷体"/>
          <w:b/>
          <w:bCs/>
        </w:rPr>
        <w:t>本项目采购标的</w:t>
      </w:r>
      <w:r>
        <w:rPr>
          <w:rFonts w:hint="eastAsia" w:ascii="楷体" w:hAnsi="楷体" w:cs="楷体"/>
          <w:b/>
          <w:bCs/>
          <w:lang w:val="en-US" w:eastAsia="zh-CN"/>
        </w:rPr>
        <w:t>中</w:t>
      </w:r>
      <w:r>
        <w:rPr>
          <w:rFonts w:hint="eastAsia" w:ascii="楷体" w:hAnsi="楷体" w:cs="楷体"/>
          <w:b/>
          <w:bCs/>
          <w:highlight w:val="none"/>
          <w:lang w:val="en-US" w:eastAsia="zh-CN"/>
        </w:rPr>
        <w:t>的“教学设备用具”等</w:t>
      </w:r>
      <w:r>
        <w:rPr>
          <w:rFonts w:hint="eastAsia" w:ascii="楷体" w:hAnsi="楷体" w:cs="楷体"/>
          <w:b/>
          <w:bCs/>
          <w:highlight w:val="none"/>
        </w:rPr>
        <w:t>对应的中小企业划分标准所属行业为</w:t>
      </w:r>
      <w:r>
        <w:rPr>
          <w:rFonts w:hint="eastAsia" w:ascii="楷体" w:hAnsi="楷体" w:cs="楷体"/>
          <w:b/>
          <w:bCs/>
          <w:highlight w:val="none"/>
          <w:lang w:eastAsia="zh-CN"/>
        </w:rPr>
        <w:t>：</w:t>
      </w:r>
      <w:r>
        <w:rPr>
          <w:rFonts w:hint="eastAsia" w:ascii="楷体" w:hAnsi="楷体" w:cs="楷体"/>
          <w:b/>
          <w:bCs/>
          <w:highlight w:val="none"/>
          <w:lang w:val="en-US" w:eastAsia="zh-CN"/>
        </w:rPr>
        <w:t>工业；“系统软件”对应的中小企业划分标准所属行业为：软件和信息技术服务业；“辅导室装修”对应的中小企业划分标准所属行业为：建筑业。</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b w:val="0"/>
          <w:bCs w:val="0"/>
          <w:highlight w:val="none"/>
        </w:rPr>
      </w:pPr>
      <w:r>
        <w:rPr>
          <w:rFonts w:hint="eastAsia" w:ascii="楷体" w:hAnsi="楷体" w:cs="楷体"/>
          <w:b w:val="0"/>
          <w:bCs w:val="0"/>
        </w:rPr>
        <w:t>（4）</w:t>
      </w:r>
      <w:r>
        <w:rPr>
          <w:rFonts w:hint="eastAsia" w:ascii="楷体" w:hAnsi="楷体" w:cs="楷体"/>
          <w:b w:val="0"/>
          <w:bCs w:val="0"/>
          <w:highlight w:val="none"/>
        </w:rPr>
        <w:t>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b w:val="0"/>
          <w:bCs w:val="0"/>
        </w:rPr>
      </w:pPr>
      <w:r>
        <w:rPr>
          <w:rFonts w:hint="eastAsia" w:ascii="楷体" w:hAnsi="楷体" w:cs="楷体"/>
          <w:b w:val="0"/>
          <w:bCs w:val="0"/>
        </w:rPr>
        <w:t>以上要求由谈判小组审定，符合条件的供应商享受政府采购政策。</w:t>
      </w:r>
    </w:p>
    <w:p>
      <w:pPr>
        <w:ind w:firstLine="480"/>
        <w:rPr>
          <w:rFonts w:ascii="楷体" w:hAnsi="楷体" w:cs="楷体"/>
        </w:rPr>
      </w:pPr>
      <w:r>
        <w:rPr>
          <w:rFonts w:hint="eastAsia" w:ascii="楷体" w:hAnsi="楷体" w:cs="楷体"/>
          <w:b w:val="0"/>
          <w:bCs w:val="0"/>
        </w:rPr>
        <w:t>1</w:t>
      </w:r>
      <w:r>
        <w:rPr>
          <w:rFonts w:hint="eastAsia" w:ascii="楷体" w:hAnsi="楷体" w:cs="楷体"/>
          <w:b w:val="0"/>
          <w:bCs w:val="0"/>
          <w:lang w:val="en-US" w:eastAsia="zh-CN"/>
        </w:rPr>
        <w:t>0</w:t>
      </w:r>
      <w:r>
        <w:rPr>
          <w:rFonts w:hint="eastAsia" w:ascii="楷体" w:hAnsi="楷体" w:cs="楷体"/>
          <w:b w:val="0"/>
          <w:bCs w:val="0"/>
        </w:rPr>
        <w:t>-1-2监狱和戒毒企业应符合《财政</w:t>
      </w:r>
      <w:r>
        <w:rPr>
          <w:rFonts w:hint="eastAsia" w:ascii="楷体" w:hAnsi="楷体" w:cs="楷体"/>
        </w:rPr>
        <w:t>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-1-4</w:t>
      </w:r>
      <w:r>
        <w:rPr>
          <w:rFonts w:hint="eastAsia" w:ascii="楷体" w:hAnsi="楷体" w:cs="楷体"/>
          <w:lang w:val="en-US" w:eastAsia="zh-CN"/>
        </w:rPr>
        <w:t>监狱企业、</w:t>
      </w:r>
      <w:r>
        <w:rPr>
          <w:rFonts w:hint="eastAsia" w:ascii="楷体" w:hAnsi="楷体" w:cs="楷体"/>
        </w:rPr>
        <w:t>残疾人福利性单位属于小型、微型企业的，不重复享受政策。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-2响应产品政府采购政策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pStyle w:val="27"/>
        <w:ind w:firstLine="480"/>
        <w:rPr>
          <w:rFonts w:ascii="楷体" w:hAnsi="楷体" w:cs="楷体"/>
          <w:sz w:val="24"/>
        </w:rPr>
      </w:pPr>
      <w:r>
        <w:rPr>
          <w:rFonts w:hint="eastAsia" w:ascii="楷体" w:hAnsi="楷体" w:cs="楷体"/>
          <w:sz w:val="24"/>
        </w:rPr>
        <w:t>1</w:t>
      </w:r>
      <w:r>
        <w:rPr>
          <w:rFonts w:hint="eastAsia" w:ascii="楷体" w:hAnsi="楷体" w:cs="楷体"/>
          <w:sz w:val="24"/>
          <w:lang w:val="en-US" w:eastAsia="zh-CN"/>
        </w:rPr>
        <w:t>0</w:t>
      </w:r>
      <w:r>
        <w:rPr>
          <w:rFonts w:hint="eastAsia" w:ascii="楷体" w:hAnsi="楷体" w:cs="楷体"/>
          <w:sz w:val="24"/>
        </w:rPr>
        <w:t>-3《关于运用政府采购政策支持乡村产业振兴的通知》（财库[2021]19号）</w:t>
      </w:r>
    </w:p>
    <w:p>
      <w:pPr>
        <w:pStyle w:val="27"/>
        <w:ind w:firstLine="480"/>
        <w:rPr>
          <w:rFonts w:ascii="楷体" w:hAnsi="楷体" w:cs="楷体"/>
          <w:sz w:val="24"/>
          <w:lang w:val="zh-CN"/>
        </w:rPr>
      </w:pPr>
      <w:r>
        <w:rPr>
          <w:rFonts w:hint="eastAsia" w:ascii="楷体" w:hAnsi="楷体" w:cs="楷体"/>
          <w:sz w:val="24"/>
        </w:rPr>
        <w:t>1</w:t>
      </w:r>
      <w:r>
        <w:rPr>
          <w:rFonts w:hint="eastAsia" w:ascii="楷体" w:hAnsi="楷体" w:cs="楷体"/>
          <w:sz w:val="24"/>
          <w:lang w:val="en-US" w:eastAsia="zh-CN"/>
        </w:rPr>
        <w:t>0</w:t>
      </w:r>
      <w:r>
        <w:rPr>
          <w:rFonts w:hint="eastAsia" w:ascii="楷体" w:hAnsi="楷体" w:cs="楷体"/>
          <w:sz w:val="24"/>
        </w:rPr>
        <w:t>-4《关于印发《商品包装政府采购需求标准（试行）》、 《快递包装政府采购需求标准（试行）》的通知</w:t>
      </w:r>
      <w:r>
        <w:rPr>
          <w:rFonts w:hint="eastAsia" w:ascii="楷体" w:hAnsi="楷体" w:cs="楷体"/>
          <w:sz w:val="24"/>
          <w:lang w:val="zh-CN"/>
        </w:rPr>
        <w:t>--财办库〔2020〕123号</w:t>
      </w:r>
    </w:p>
    <w:p>
      <w:pPr>
        <w:pStyle w:val="42"/>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cs="楷体"/>
        </w:rPr>
      </w:pPr>
      <w:r>
        <w:rPr>
          <w:rFonts w:hint="eastAsia" w:ascii="楷体" w:cs="楷体"/>
        </w:rPr>
        <w:t>1</w:t>
      </w:r>
      <w:r>
        <w:rPr>
          <w:rFonts w:hint="eastAsia" w:ascii="楷体" w:cs="楷体"/>
          <w:lang w:val="en-US" w:eastAsia="zh-CN"/>
        </w:rPr>
        <w:t>0</w:t>
      </w:r>
      <w:r>
        <w:rPr>
          <w:rFonts w:hint="eastAsia" w:ascii="楷体" w:cs="楷体"/>
        </w:rPr>
        <w:t>-5 陕西省财政厅关于印发《陕西省中小企业政府采购信用融资办法》（陕财办采〔2018〕23号）。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w:t>
      </w:r>
      <w:r>
        <w:rPr>
          <w:rFonts w:hint="eastAsia" w:ascii="楷体" w:hAnsi="楷体" w:cs="楷体"/>
          <w:lang w:val="en-US" w:eastAsia="zh-CN"/>
        </w:rPr>
        <w:t>6</w:t>
      </w:r>
      <w:r>
        <w:rPr>
          <w:rFonts w:hint="eastAsia" w:ascii="楷体" w:hAnsi="楷体" w:cs="楷体"/>
        </w:rPr>
        <w:t xml:space="preserve"> 供应商应如实提供以上证明文件，如存在虚假响应，将取消其响应资格。</w:t>
      </w:r>
    </w:p>
    <w:p>
      <w:pPr>
        <w:pStyle w:val="27"/>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11、</w:t>
      </w:r>
      <w:r>
        <w:rPr>
          <w:rFonts w:hint="eastAsia" w:ascii="楷体" w:hAnsi="楷体" w:eastAsia="楷体" w:cs="楷体"/>
          <w:kern w:val="2"/>
          <w:sz w:val="24"/>
          <w:szCs w:val="24"/>
          <w:lang w:val="en-US" w:eastAsia="zh-CN" w:bidi="ar-SA"/>
        </w:rPr>
        <w:t>提供相同品牌产品（或核心产品）且通过资格审查、符合性审查的不同</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参加同一合同项下</w:t>
      </w:r>
      <w:r>
        <w:rPr>
          <w:rFonts w:hint="eastAsia" w:ascii="楷体" w:hAnsi="楷体" w:cs="楷体"/>
          <w:kern w:val="2"/>
          <w:sz w:val="24"/>
          <w:szCs w:val="24"/>
          <w:lang w:val="en-US" w:eastAsia="zh-CN" w:bidi="ar-SA"/>
        </w:rPr>
        <w:t>谈判</w:t>
      </w:r>
      <w:r>
        <w:rPr>
          <w:rFonts w:hint="eastAsia" w:ascii="楷体" w:hAnsi="楷体" w:eastAsia="楷体" w:cs="楷体"/>
          <w:kern w:val="2"/>
          <w:sz w:val="24"/>
          <w:szCs w:val="24"/>
          <w:lang w:val="en-US" w:eastAsia="zh-CN" w:bidi="ar-SA"/>
        </w:rPr>
        <w:t>的，按一家</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计算，最后报价</w:t>
      </w:r>
      <w:r>
        <w:rPr>
          <w:rFonts w:hint="eastAsia" w:ascii="楷体" w:hAnsi="楷体" w:cs="楷体"/>
          <w:kern w:val="2"/>
          <w:sz w:val="24"/>
          <w:szCs w:val="24"/>
          <w:lang w:val="en-US" w:eastAsia="zh-CN" w:bidi="ar-SA"/>
        </w:rPr>
        <w:t>最</w:t>
      </w:r>
      <w:r>
        <w:rPr>
          <w:rFonts w:hint="eastAsia" w:ascii="楷体" w:hAnsi="楷体" w:eastAsia="楷体" w:cs="楷体"/>
          <w:kern w:val="2"/>
          <w:sz w:val="24"/>
          <w:szCs w:val="24"/>
          <w:lang w:val="en-US" w:eastAsia="zh-CN" w:bidi="ar-SA"/>
        </w:rPr>
        <w:t>低的同品牌</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获得</w:t>
      </w:r>
      <w:r>
        <w:rPr>
          <w:rFonts w:hint="eastAsia" w:ascii="楷体" w:hAnsi="楷体" w:cs="楷体"/>
          <w:kern w:val="2"/>
          <w:sz w:val="24"/>
          <w:szCs w:val="24"/>
          <w:lang w:val="en-US" w:eastAsia="zh-CN" w:bidi="ar-SA"/>
        </w:rPr>
        <w:t>成交供应商</w:t>
      </w:r>
      <w:r>
        <w:rPr>
          <w:rFonts w:hint="eastAsia" w:ascii="楷体" w:hAnsi="楷体" w:eastAsia="楷体" w:cs="楷体"/>
          <w:kern w:val="2"/>
          <w:sz w:val="24"/>
          <w:szCs w:val="24"/>
          <w:lang w:val="en-US" w:eastAsia="zh-CN" w:bidi="ar-SA"/>
        </w:rPr>
        <w:t>推荐资格；最后报价相同的，按照技术指标优劣方式确定一个</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获得</w:t>
      </w:r>
      <w:r>
        <w:rPr>
          <w:rFonts w:hint="eastAsia" w:ascii="楷体" w:hAnsi="楷体" w:cs="楷体"/>
          <w:kern w:val="2"/>
          <w:sz w:val="24"/>
          <w:szCs w:val="24"/>
          <w:lang w:val="en-US" w:eastAsia="zh-CN" w:bidi="ar-SA"/>
        </w:rPr>
        <w:t>成交供应商</w:t>
      </w:r>
      <w:r>
        <w:rPr>
          <w:rFonts w:hint="eastAsia" w:ascii="楷体" w:hAnsi="楷体" w:eastAsia="楷体" w:cs="楷体"/>
          <w:kern w:val="2"/>
          <w:sz w:val="24"/>
          <w:szCs w:val="24"/>
          <w:lang w:val="en-US" w:eastAsia="zh-CN" w:bidi="ar-SA"/>
        </w:rPr>
        <w:t>推荐资格，其他同品牌</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不作为</w:t>
      </w:r>
      <w:r>
        <w:rPr>
          <w:rFonts w:hint="eastAsia" w:ascii="楷体" w:hAnsi="楷体" w:cs="楷体"/>
          <w:kern w:val="2"/>
          <w:sz w:val="24"/>
          <w:szCs w:val="24"/>
          <w:lang w:val="en-US" w:eastAsia="zh-CN" w:bidi="ar-SA"/>
        </w:rPr>
        <w:t>成交</w:t>
      </w:r>
      <w:r>
        <w:rPr>
          <w:rFonts w:hint="eastAsia" w:ascii="楷体" w:hAnsi="楷体" w:eastAsia="楷体" w:cs="楷体"/>
          <w:kern w:val="2"/>
          <w:sz w:val="24"/>
          <w:szCs w:val="24"/>
          <w:lang w:val="en-US" w:eastAsia="zh-CN" w:bidi="ar-SA"/>
        </w:rPr>
        <w:t>候选人。</w:t>
      </w:r>
    </w:p>
    <w:p>
      <w:pPr>
        <w:ind w:firstLine="480"/>
        <w:rPr>
          <w:rFonts w:ascii="楷体" w:hAnsi="楷体" w:cs="楷体"/>
          <w:highlight w:val="none"/>
        </w:rPr>
      </w:pPr>
      <w:r>
        <w:rPr>
          <w:rFonts w:hint="eastAsia" w:ascii="楷体" w:hAnsi="楷体" w:cs="楷体"/>
          <w:lang w:val="en-US" w:eastAsia="zh-CN"/>
        </w:rPr>
        <w:t>12</w:t>
      </w:r>
      <w:r>
        <w:rPr>
          <w:rFonts w:hint="eastAsia" w:ascii="楷体" w:hAnsi="楷体" w:cs="楷体"/>
        </w:rPr>
        <w:t>、推荐成交候选供应商名单：谈判小组应当从质量和服务均能满足谈判文件实质性响应要求的供应商中，按照最后报价由低到高的顺序提出3名以上成交候选供应商</w:t>
      </w:r>
      <w:r>
        <w:rPr>
          <w:rFonts w:hint="eastAsia" w:ascii="楷体" w:hAnsi="楷体" w:cs="楷体"/>
          <w:lang w:eastAsia="zh-CN"/>
        </w:rPr>
        <w:t>（</w:t>
      </w:r>
      <w:r>
        <w:rPr>
          <w:rFonts w:hint="eastAsia" w:ascii="楷体" w:hAnsi="楷体" w:cs="楷体"/>
          <w:lang w:val="en-US" w:eastAsia="zh-CN"/>
        </w:rPr>
        <w:t>如最后报价相同则优先采购节能产品或环境标志产品</w:t>
      </w:r>
      <w:r>
        <w:rPr>
          <w:rFonts w:hint="eastAsia" w:ascii="楷体" w:hAnsi="楷体" w:cs="楷体"/>
          <w:lang w:eastAsia="zh-CN"/>
        </w:rPr>
        <w:t>）</w:t>
      </w:r>
      <w:r>
        <w:rPr>
          <w:rFonts w:hint="eastAsia" w:ascii="楷体" w:hAnsi="楷体" w:cs="楷体"/>
        </w:rPr>
        <w:t>，并编写评审报告。</w:t>
      </w:r>
    </w:p>
    <w:p>
      <w:pPr>
        <w:pStyle w:val="4"/>
        <w:spacing w:line="360" w:lineRule="auto"/>
        <w:ind w:left="573"/>
        <w:rPr>
          <w:rFonts w:ascii="楷体" w:hAnsi="楷体"/>
          <w:highlight w:val="none"/>
        </w:rPr>
      </w:pPr>
      <w:bookmarkStart w:id="13" w:name="_Toc3752_WPSOffice_Level2"/>
      <w:r>
        <w:rPr>
          <w:rFonts w:hint="eastAsia" w:ascii="楷体" w:hAnsi="楷体"/>
          <w:highlight w:val="none"/>
        </w:rPr>
        <w:t>确定候选供应商</w:t>
      </w:r>
      <w:bookmarkEnd w:id="13"/>
    </w:p>
    <w:p>
      <w:pPr>
        <w:ind w:firstLine="480"/>
        <w:rPr>
          <w:rFonts w:ascii="楷体" w:hAnsi="楷体" w:cs="楷体"/>
          <w:highlight w:val="none"/>
        </w:rPr>
      </w:pPr>
      <w:r>
        <w:rPr>
          <w:rFonts w:hint="eastAsia" w:ascii="楷体" w:hAnsi="楷体" w:cs="楷体"/>
          <w:highlight w:val="none"/>
        </w:rPr>
        <w:t>1、采购代理机构应在评审结束后</w:t>
      </w:r>
      <w:r>
        <w:rPr>
          <w:rFonts w:hint="eastAsia" w:ascii="楷体" w:hAnsi="楷体" w:cs="楷体"/>
          <w:highlight w:val="none"/>
          <w:lang w:val="en-US" w:eastAsia="zh-CN"/>
        </w:rPr>
        <w:t>1</w:t>
      </w:r>
      <w:r>
        <w:rPr>
          <w:rFonts w:hint="eastAsia" w:ascii="楷体" w:hAnsi="楷体" w:cs="楷体"/>
          <w:highlight w:val="none"/>
        </w:rPr>
        <w:t>个工作日内，将评审报告送采购人确认。</w:t>
      </w:r>
    </w:p>
    <w:p>
      <w:pPr>
        <w:ind w:firstLine="480"/>
        <w:rPr>
          <w:rFonts w:ascii="楷体" w:hAnsi="楷体" w:cs="楷体"/>
          <w:highlight w:val="none"/>
        </w:rPr>
      </w:pPr>
      <w:r>
        <w:rPr>
          <w:rFonts w:hint="eastAsia" w:ascii="楷体" w:hAnsi="楷体" w:cs="楷体"/>
          <w:highlight w:val="none"/>
        </w:rPr>
        <w:t>2、采购人在收到评审报告后</w:t>
      </w:r>
      <w:r>
        <w:rPr>
          <w:rFonts w:hint="eastAsia" w:ascii="楷体" w:hAnsi="楷体" w:cs="楷体"/>
          <w:highlight w:val="none"/>
          <w:lang w:val="en-US" w:eastAsia="zh-CN"/>
        </w:rPr>
        <w:t>4</w:t>
      </w:r>
      <w:r>
        <w:rPr>
          <w:rFonts w:hint="eastAsia" w:ascii="楷体" w:hAnsi="楷体" w:cs="楷体"/>
          <w:highlight w:val="none"/>
        </w:rPr>
        <w:t>个工作日内，根据评审报告对评审过程及结果进行严格审核后确定成交供应商，复函采购代理机构。</w:t>
      </w:r>
    </w:p>
    <w:p>
      <w:pPr>
        <w:ind w:firstLine="480"/>
        <w:rPr>
          <w:rFonts w:ascii="楷体" w:hAnsi="楷体" w:cs="楷体"/>
          <w:highlight w:val="none"/>
        </w:rPr>
      </w:pPr>
      <w:r>
        <w:rPr>
          <w:rFonts w:hint="eastAsia" w:ascii="楷体" w:hAnsi="楷体" w:cs="楷体"/>
          <w:highlight w:val="none"/>
        </w:rPr>
        <w:t>3、采购代理机构在接到采购人的《成交复函》后</w:t>
      </w:r>
      <w:r>
        <w:rPr>
          <w:rFonts w:hint="eastAsia" w:ascii="楷体" w:hAnsi="楷体" w:cs="楷体"/>
          <w:highlight w:val="none"/>
          <w:lang w:val="en-US" w:eastAsia="zh-CN"/>
        </w:rPr>
        <w:t>1</w:t>
      </w:r>
      <w:r>
        <w:rPr>
          <w:rFonts w:hint="eastAsia" w:ascii="楷体" w:hAnsi="楷体" w:cs="楷体"/>
          <w:highlight w:val="none"/>
        </w:rPr>
        <w:t>个工作日内，在财政部门指定的媒体上公告成交结果，成交公告期限为1个工作日，同时向成交供应商发出成交通知书。</w:t>
      </w:r>
    </w:p>
    <w:p>
      <w:pPr>
        <w:pStyle w:val="4"/>
        <w:spacing w:line="360" w:lineRule="auto"/>
        <w:ind w:left="573"/>
        <w:rPr>
          <w:rFonts w:ascii="楷体" w:hAnsi="楷体"/>
          <w:highlight w:val="none"/>
        </w:rPr>
      </w:pPr>
      <w:bookmarkStart w:id="14" w:name="_Toc18697_WPSOffice_Level2"/>
      <w:bookmarkStart w:id="15" w:name="_Toc16653_WPSOffice_Level2"/>
      <w:r>
        <w:rPr>
          <w:rFonts w:hint="eastAsia" w:ascii="楷体" w:hAnsi="楷体"/>
          <w:highlight w:val="none"/>
        </w:rPr>
        <w:t>质疑</w:t>
      </w:r>
      <w:bookmarkEnd w:id="14"/>
      <w:bookmarkEnd w:id="15"/>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1、提出质疑的供应商应是参与所质疑项目采购活动的供应商。</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highlight w:val="none"/>
        </w:rPr>
      </w:pPr>
      <w:r>
        <w:rPr>
          <w:rFonts w:hint="eastAsia" w:ascii="楷体" w:hAnsi="楷体" w:cs="楷体"/>
          <w:color w:val="000000" w:themeColor="text1"/>
          <w:highlight w:val="none"/>
          <w14:textFill>
            <w14:solidFill>
              <w14:schemeClr w14:val="tx1"/>
            </w14:solidFill>
          </w14:textFill>
        </w:rPr>
        <w:t>3、供应商提出质疑时须提交质疑函和必要的证明材料。</w:t>
      </w:r>
      <w:r>
        <w:rPr>
          <w:rFonts w:hint="eastAsia" w:ascii="楷体" w:hAnsi="楷体" w:cs="楷体"/>
          <w:highlight w:val="none"/>
        </w:rPr>
        <w:t>质疑函应当包括下列内容：</w:t>
      </w:r>
    </w:p>
    <w:p>
      <w:pPr>
        <w:ind w:firstLine="480"/>
        <w:rPr>
          <w:rFonts w:hint="eastAsia" w:ascii="楷体" w:hAnsi="楷体" w:cs="楷体"/>
          <w:highlight w:val="none"/>
        </w:rPr>
      </w:pPr>
      <w:r>
        <w:rPr>
          <w:rFonts w:hint="eastAsia" w:ascii="楷体" w:hAnsi="楷体" w:cs="楷体"/>
          <w:highlight w:val="none"/>
        </w:rPr>
        <w:t>　（1）</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rPr>
        <w:t>的姓名或者名称、地址、邮编、联系人及联系电话；</w:t>
      </w:r>
    </w:p>
    <w:p>
      <w:pPr>
        <w:ind w:firstLine="480"/>
        <w:rPr>
          <w:rFonts w:hint="eastAsia" w:ascii="楷体" w:hAnsi="楷体" w:cs="楷体"/>
          <w:highlight w:val="none"/>
        </w:rPr>
      </w:pPr>
      <w:r>
        <w:rPr>
          <w:rFonts w:hint="eastAsia" w:ascii="楷体" w:hAnsi="楷体" w:cs="楷体"/>
          <w:highlight w:val="none"/>
        </w:rPr>
        <w:t>　（2）质疑项目的名称、编号；</w:t>
      </w:r>
    </w:p>
    <w:p>
      <w:pPr>
        <w:ind w:firstLine="480"/>
        <w:rPr>
          <w:rFonts w:hint="eastAsia" w:ascii="楷体" w:hAnsi="楷体" w:cs="楷体"/>
          <w:highlight w:val="none"/>
        </w:rPr>
      </w:pPr>
      <w:r>
        <w:rPr>
          <w:rFonts w:hint="eastAsia" w:ascii="楷体" w:hAnsi="楷体" w:cs="楷体"/>
          <w:highlight w:val="none"/>
        </w:rPr>
        <w:t>　（3）具体、明确的质疑事项和与质疑事项相关的请求；</w:t>
      </w:r>
    </w:p>
    <w:p>
      <w:pPr>
        <w:ind w:firstLine="480"/>
        <w:rPr>
          <w:rFonts w:hint="eastAsia" w:ascii="楷体" w:hAnsi="楷体" w:cs="楷体"/>
          <w:highlight w:val="none"/>
        </w:rPr>
      </w:pPr>
      <w:r>
        <w:rPr>
          <w:rFonts w:hint="eastAsia" w:ascii="楷体" w:hAnsi="楷体" w:cs="楷体"/>
          <w:highlight w:val="none"/>
        </w:rPr>
        <w:t>　（4）事实依据；</w:t>
      </w:r>
    </w:p>
    <w:p>
      <w:pPr>
        <w:ind w:firstLine="480"/>
        <w:rPr>
          <w:rFonts w:hint="eastAsia" w:ascii="楷体" w:hAnsi="楷体" w:cs="楷体"/>
          <w:highlight w:val="none"/>
        </w:rPr>
      </w:pPr>
      <w:r>
        <w:rPr>
          <w:rFonts w:hint="eastAsia" w:ascii="楷体" w:hAnsi="楷体" w:cs="楷体"/>
          <w:highlight w:val="none"/>
        </w:rPr>
        <w:t>　（5）必要的法律依据；</w:t>
      </w:r>
    </w:p>
    <w:p>
      <w:pPr>
        <w:ind w:firstLine="480"/>
        <w:rPr>
          <w:rFonts w:hint="eastAsia" w:ascii="楷体" w:hAnsi="楷体" w:cs="楷体"/>
          <w:highlight w:val="none"/>
        </w:rPr>
      </w:pPr>
      <w:r>
        <w:rPr>
          <w:rFonts w:hint="eastAsia" w:ascii="楷体" w:hAnsi="楷体" w:cs="楷体"/>
          <w:highlight w:val="none"/>
        </w:rPr>
        <w:t>　（6）提出质疑的日期。</w:t>
      </w:r>
    </w:p>
    <w:p>
      <w:pPr>
        <w:ind w:firstLine="480"/>
        <w:rPr>
          <w:rFonts w:hint="eastAsia" w:ascii="楷体" w:hAnsi="楷体" w:cs="楷体"/>
          <w:highlight w:val="none"/>
          <w:lang w:val="zh-CN"/>
        </w:rPr>
      </w:pPr>
      <w:r>
        <w:rPr>
          <w:rFonts w:hint="eastAsia" w:ascii="楷体" w:hAnsi="楷体" w:cs="楷体"/>
          <w:highlight w:val="none"/>
        </w:rPr>
        <w:t>　</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为自然人的，应当由本人签字；</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为法人或者其他组织的，应当由法定代表人、主要负责人，或者授权委托代理人签字或者盖章，并加盖公章。</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可以委托代理人进行质疑，委托代理人质疑的，应当提交</w:t>
      </w:r>
      <w:r>
        <w:rPr>
          <w:rFonts w:hint="eastAsia" w:ascii="楷体" w:hAnsi="楷体" w:cs="楷体"/>
          <w:color w:val="000000" w:themeColor="text1"/>
          <w:highlight w:val="none"/>
          <w14:textFill>
            <w14:solidFill>
              <w14:schemeClr w14:val="tx1"/>
            </w14:solidFill>
          </w14:textFill>
        </w:rPr>
        <w:t>供应商</w:t>
      </w:r>
      <w:r>
        <w:rPr>
          <w:rFonts w:hint="eastAsia" w:ascii="楷体" w:hAnsi="楷体" w:cs="楷体"/>
          <w:highlight w:val="none"/>
          <w:lang w:val="zh-CN"/>
        </w:rPr>
        <w:t>签署的授权委托书，其授权委托书应当载明代理人的姓名或者名称、代理事项、具体权限、期限和相关事项。</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highlight w:val="none"/>
          <w:lang w:val="zh-CN"/>
        </w:rPr>
        <w:t>质疑函应采用财政部颁布的《政府采购供应商质疑函范本》。</w:t>
      </w:r>
    </w:p>
    <w:p>
      <w:pPr>
        <w:ind w:firstLine="480"/>
        <w:rPr>
          <w:rFonts w:ascii="楷体" w:hAnsi="楷体" w:cs="楷体"/>
          <w:color w:val="000000" w:themeColor="text1"/>
          <w:highlight w:val="none"/>
          <w14:textFill>
            <w14:solidFill>
              <w14:schemeClr w14:val="tx1"/>
            </w14:solidFill>
          </w14:textFill>
        </w:rPr>
      </w:pPr>
      <w:r>
        <w:rPr>
          <w:rFonts w:hint="eastAsia" w:ascii="楷体" w:hAnsi="楷体" w:cs="楷体"/>
          <w:color w:val="000000" w:themeColor="text1"/>
          <w:highlight w:val="none"/>
          <w14:textFill>
            <w14:solidFill>
              <w14:schemeClr w14:val="tx1"/>
            </w14:solidFill>
          </w14:textFill>
        </w:rPr>
        <w:t>4、供应商捏造事实、提供虚假材料或者以非法手段取得证明材料进行质疑的，采购代理机构将提供相关资料报监督机构，按其情况进行相应处理。</w:t>
      </w:r>
    </w:p>
    <w:p>
      <w:pPr>
        <w:ind w:right="276" w:rightChars="115" w:firstLine="480"/>
        <w:rPr>
          <w:rFonts w:ascii="楷体" w:hAnsi="楷体" w:cs="楷体"/>
          <w:highlight w:val="none"/>
        </w:rPr>
      </w:pPr>
      <w:r>
        <w:rPr>
          <w:rFonts w:hint="eastAsia" w:ascii="楷体" w:hAnsi="楷体" w:cs="楷体"/>
          <w:color w:val="000000" w:themeColor="text1"/>
          <w:highlight w:val="none"/>
          <w14:textFill>
            <w14:solidFill>
              <w14:schemeClr w14:val="tx1"/>
            </w14:solidFill>
          </w14:textFill>
        </w:rPr>
        <w:t>5、供应商在法定质疑期内提交的符合要求的质疑，采购代理机构将予以受理并答复，联系电话：029-89284433，联系人：</w:t>
      </w:r>
      <w:r>
        <w:rPr>
          <w:rFonts w:hint="eastAsia" w:ascii="楷体" w:hAnsi="楷体" w:cs="楷体"/>
          <w:color w:val="000000" w:themeColor="text1"/>
          <w:highlight w:val="none"/>
          <w:lang w:val="en-US" w:eastAsia="zh-CN"/>
          <w14:textFill>
            <w14:solidFill>
              <w14:schemeClr w14:val="tx1"/>
            </w14:solidFill>
          </w14:textFill>
        </w:rPr>
        <w:t>张晓花</w:t>
      </w:r>
      <w:r>
        <w:rPr>
          <w:rFonts w:hint="eastAsia" w:ascii="楷体" w:hAnsi="楷体" w:cs="楷体"/>
          <w:color w:val="000000" w:themeColor="text1"/>
          <w:highlight w:val="none"/>
          <w14:textFill>
            <w14:solidFill>
              <w14:schemeClr w14:val="tx1"/>
            </w14:solidFill>
          </w14:textFill>
        </w:rPr>
        <w:t>。</w:t>
      </w:r>
    </w:p>
    <w:p>
      <w:pPr>
        <w:pStyle w:val="4"/>
        <w:spacing w:line="360" w:lineRule="auto"/>
        <w:ind w:left="573"/>
        <w:rPr>
          <w:rFonts w:ascii="楷体" w:hAnsi="楷体"/>
          <w:highlight w:val="none"/>
        </w:rPr>
      </w:pPr>
      <w:bookmarkStart w:id="16" w:name="_Toc18733_WPSOffice_Level2"/>
      <w:bookmarkStart w:id="17" w:name="_Toc10289_WPSOffice_Level2"/>
      <w:r>
        <w:rPr>
          <w:rFonts w:hint="eastAsia" w:ascii="楷体" w:hAnsi="楷体"/>
          <w:highlight w:val="none"/>
        </w:rPr>
        <w:t>签订合同</w:t>
      </w:r>
      <w:bookmarkEnd w:id="16"/>
      <w:bookmarkEnd w:id="17"/>
    </w:p>
    <w:p>
      <w:pPr>
        <w:ind w:firstLine="480"/>
        <w:rPr>
          <w:rFonts w:ascii="楷体" w:hAnsi="楷体" w:cs="楷体"/>
          <w:highlight w:val="none"/>
        </w:rPr>
      </w:pPr>
      <w:r>
        <w:rPr>
          <w:rFonts w:hint="eastAsia" w:ascii="楷体" w:hAnsi="楷体" w:cs="楷体"/>
          <w:highlight w:val="none"/>
        </w:rPr>
        <w:t>1、自成交通知书发出之日起三十日内，根据</w:t>
      </w:r>
      <w:r>
        <w:rPr>
          <w:rFonts w:hint="eastAsia" w:ascii="楷体" w:hAnsi="楷体" w:cs="楷体"/>
          <w:highlight w:val="none"/>
          <w:lang w:eastAsia="zh-CN"/>
        </w:rPr>
        <w:t>谈判</w:t>
      </w:r>
      <w:r>
        <w:rPr>
          <w:rFonts w:hint="eastAsia" w:ascii="楷体" w:hAnsi="楷体" w:cs="楷体"/>
          <w:highlight w:val="none"/>
        </w:rPr>
        <w:t>文件的规定和成交供应商响应文件，采购人与成交供应商签订政府采购合同。</w:t>
      </w:r>
      <w:r>
        <w:rPr>
          <w:rFonts w:hint="eastAsia" w:ascii="楷体" w:hAnsi="楷体" w:cs="楷体"/>
          <w:highlight w:val="none"/>
          <w:lang w:eastAsia="zh-CN"/>
        </w:rPr>
        <w:t>谈判</w:t>
      </w:r>
      <w:r>
        <w:rPr>
          <w:rFonts w:hint="eastAsia" w:ascii="楷体" w:hAnsi="楷体" w:cs="楷体"/>
          <w:highlight w:val="none"/>
        </w:rPr>
        <w:t>文件及成交供应商的响应文件均作为合同的组成部分。</w:t>
      </w:r>
    </w:p>
    <w:p>
      <w:pPr>
        <w:ind w:firstLine="480"/>
        <w:rPr>
          <w:rFonts w:ascii="楷体" w:hAnsi="楷体" w:cs="楷体"/>
          <w:highlight w:val="none"/>
        </w:rPr>
      </w:pPr>
      <w:r>
        <w:rPr>
          <w:rFonts w:hint="eastAsia" w:ascii="楷体" w:hAnsi="楷体" w:cs="楷体"/>
          <w:highlight w:val="none"/>
        </w:rPr>
        <w:t>2、成交后，成交供应商因自身原因未按程序与采购人签订合同的，采购人可以按照评审报告推荐的成交候选供应商名单排序，确定下一候选供应商为成交供应商或重新</w:t>
      </w:r>
      <w:r>
        <w:rPr>
          <w:rFonts w:hint="eastAsia" w:ascii="楷体" w:hAnsi="楷体" w:cs="楷体"/>
          <w:highlight w:val="none"/>
          <w:lang w:eastAsia="zh-CN"/>
        </w:rPr>
        <w:t>谈判</w:t>
      </w:r>
      <w:r>
        <w:rPr>
          <w:rFonts w:hint="eastAsia" w:ascii="楷体" w:hAnsi="楷体" w:cs="楷体"/>
          <w:highlight w:val="none"/>
        </w:rPr>
        <w:t>。采购人将取消其成交资格，同时报请监督机构备案。</w:t>
      </w:r>
    </w:p>
    <w:p>
      <w:pPr>
        <w:pStyle w:val="4"/>
        <w:spacing w:line="360" w:lineRule="auto"/>
        <w:ind w:left="573"/>
        <w:rPr>
          <w:rFonts w:ascii="楷体" w:hAnsi="楷体"/>
          <w:highlight w:val="none"/>
        </w:rPr>
      </w:pPr>
      <w:bookmarkStart w:id="18" w:name="_Toc27538_WPSOffice_Level2"/>
      <w:bookmarkStart w:id="19" w:name="_Toc6155_WPSOffice_Level2"/>
      <w:r>
        <w:rPr>
          <w:rFonts w:hint="eastAsia" w:ascii="楷体" w:hAnsi="楷体"/>
          <w:highlight w:val="none"/>
        </w:rPr>
        <w:t>成交服务费</w:t>
      </w:r>
      <w:bookmarkEnd w:id="18"/>
      <w:bookmarkEnd w:id="19"/>
    </w:p>
    <w:p>
      <w:pPr>
        <w:ind w:firstLine="480"/>
        <w:rPr>
          <w:rFonts w:hint="eastAsia" w:ascii="楷体" w:hAnsi="楷体" w:cs="楷体"/>
          <w:highlight w:val="none"/>
        </w:rPr>
      </w:pPr>
      <w:r>
        <w:rPr>
          <w:rFonts w:hint="eastAsia" w:ascii="楷体" w:hAnsi="楷体" w:cs="楷体"/>
          <w:highlight w:val="none"/>
        </w:rPr>
        <w:t>1、成交供应商在领取成交通知书前，须向采购代理机构支付采购代理服务费，采购代理服务费计入</w:t>
      </w:r>
      <w:r>
        <w:rPr>
          <w:rFonts w:hint="eastAsia" w:ascii="楷体" w:hAnsi="楷体" w:cs="楷体"/>
          <w:highlight w:val="none"/>
          <w:lang w:val="en-US" w:eastAsia="zh-CN"/>
        </w:rPr>
        <w:t>谈判</w:t>
      </w:r>
      <w:r>
        <w:rPr>
          <w:rFonts w:hint="eastAsia" w:ascii="楷体" w:hAnsi="楷体" w:cs="楷体"/>
          <w:highlight w:val="none"/>
        </w:rPr>
        <w:t>报价但不单独列明。</w:t>
      </w:r>
    </w:p>
    <w:p>
      <w:pPr>
        <w:ind w:firstLine="480"/>
        <w:rPr>
          <w:rFonts w:hint="eastAsia" w:ascii="楷体" w:hAnsi="楷体" w:cs="楷体"/>
          <w:highlight w:val="none"/>
        </w:rPr>
      </w:pPr>
      <w:r>
        <w:rPr>
          <w:rFonts w:hint="eastAsia" w:ascii="楷体" w:hAnsi="楷体" w:cs="楷体"/>
          <w:highlight w:val="none"/>
        </w:rPr>
        <w:t>银行户名：陕西四方衡裕项目管理有限公司</w:t>
      </w:r>
    </w:p>
    <w:p>
      <w:pPr>
        <w:ind w:firstLine="480"/>
        <w:rPr>
          <w:rFonts w:hint="eastAsia" w:ascii="楷体" w:hAnsi="楷体" w:cs="楷体"/>
          <w:highlight w:val="none"/>
        </w:rPr>
      </w:pPr>
      <w:r>
        <w:rPr>
          <w:rFonts w:hint="eastAsia" w:ascii="楷体" w:hAnsi="楷体" w:cs="楷体"/>
          <w:highlight w:val="none"/>
        </w:rPr>
        <w:t xml:space="preserve">开户银行：兴业银行股份有限公司西安锦业路支行 </w:t>
      </w:r>
    </w:p>
    <w:p>
      <w:pPr>
        <w:ind w:firstLine="480"/>
        <w:rPr>
          <w:rFonts w:hint="eastAsia" w:ascii="楷体" w:hAnsi="楷体" w:cs="楷体"/>
          <w:highlight w:val="none"/>
        </w:rPr>
      </w:pPr>
      <w:r>
        <w:rPr>
          <w:rFonts w:hint="eastAsia" w:ascii="楷体" w:hAnsi="楷体" w:cs="楷体"/>
          <w:highlight w:val="none"/>
        </w:rPr>
        <w:t xml:space="preserve">账号：456700100100008334  </w:t>
      </w:r>
    </w:p>
    <w:p>
      <w:pPr>
        <w:ind w:firstLine="480"/>
        <w:rPr>
          <w:rFonts w:hint="eastAsia" w:ascii="楷体" w:hAnsi="楷体" w:cs="楷体"/>
          <w:highlight w:val="none"/>
        </w:rPr>
      </w:pPr>
      <w:r>
        <w:rPr>
          <w:rFonts w:hint="eastAsia" w:ascii="楷体" w:hAnsi="楷体" w:cs="楷体"/>
          <w:highlight w:val="none"/>
        </w:rPr>
        <w:t xml:space="preserve">联系人：方淑丽 舒欣欣    </w:t>
      </w:r>
    </w:p>
    <w:p>
      <w:pPr>
        <w:ind w:firstLine="480"/>
        <w:rPr>
          <w:rFonts w:hint="eastAsia" w:ascii="楷体" w:hAnsi="楷体" w:cs="楷体"/>
          <w:highlight w:val="none"/>
        </w:rPr>
      </w:pPr>
      <w:r>
        <w:rPr>
          <w:rFonts w:hint="eastAsia" w:ascii="楷体" w:hAnsi="楷体" w:cs="楷体"/>
          <w:highlight w:val="none"/>
        </w:rPr>
        <w:t xml:space="preserve">联系电话：029-89284433 </w:t>
      </w:r>
    </w:p>
    <w:p>
      <w:pPr>
        <w:ind w:firstLine="480"/>
        <w:rPr>
          <w:rFonts w:ascii="楷体" w:hAnsi="楷体" w:cs="楷体"/>
          <w:highlight w:val="none"/>
        </w:rPr>
      </w:pPr>
      <w:r>
        <w:rPr>
          <w:rFonts w:hint="eastAsia" w:ascii="楷体" w:hAnsi="楷体" w:cs="楷体"/>
          <w:highlight w:val="none"/>
        </w:rPr>
        <w:t xml:space="preserve">2、成交服务费参照《国家计委关于印发&lt;招标代理服务收费管理暂行办法&gt;的通知》（计价格[2002]1980号）和（发改办价格[2011]534号）规定标准收取。  </w:t>
      </w:r>
    </w:p>
    <w:p>
      <w:pPr>
        <w:pStyle w:val="4"/>
        <w:spacing w:line="360" w:lineRule="auto"/>
        <w:ind w:left="573"/>
        <w:rPr>
          <w:rFonts w:ascii="楷体" w:hAnsi="楷体"/>
          <w:highlight w:val="none"/>
        </w:rPr>
      </w:pPr>
      <w:r>
        <w:rPr>
          <w:rFonts w:hint="eastAsia" w:ascii="楷体" w:hAnsi="楷体"/>
          <w:highlight w:val="none"/>
        </w:rPr>
        <w:t>成交合同的履约验收</w:t>
      </w:r>
    </w:p>
    <w:p>
      <w:pPr>
        <w:ind w:firstLine="480"/>
        <w:rPr>
          <w:rFonts w:ascii="楷体" w:hAnsi="楷体" w:cs="楷体"/>
          <w:highlight w:val="none"/>
        </w:rPr>
      </w:pPr>
      <w:r>
        <w:rPr>
          <w:rFonts w:hint="eastAsia" w:ascii="楷体" w:hAnsi="楷体" w:cs="楷体"/>
          <w:highlight w:val="none"/>
        </w:rPr>
        <w:t>政府采购合同的履行、违约责任和解决争议的方法等适用《中华人民共和国</w:t>
      </w:r>
      <w:r>
        <w:rPr>
          <w:rFonts w:hint="eastAsia" w:ascii="楷体" w:hAnsi="楷体" w:cs="楷体"/>
          <w:highlight w:val="none"/>
          <w:lang w:val="en-US" w:eastAsia="zh-CN"/>
        </w:rPr>
        <w:t>民法典</w:t>
      </w:r>
      <w:r>
        <w:rPr>
          <w:rFonts w:hint="eastAsia" w:ascii="楷体" w:hAnsi="楷体" w:cs="楷体"/>
          <w:highlight w:val="none"/>
        </w:rPr>
        <w:t>》。政府采购合同订立后，合同各方不得擅自变更或者中止或者终止合同。采购人按照政府采购合同规定的技术、服务、安全标准组织对供应商履约情况进行验收，并出具验收书。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highlight w:val="none"/>
        </w:rPr>
      </w:pPr>
      <w:bookmarkStart w:id="20" w:name="_Toc23917_WPSOffice_Level2"/>
      <w:bookmarkStart w:id="21" w:name="_Toc15348_WPSOffice_Level2"/>
      <w:r>
        <w:rPr>
          <w:rFonts w:hint="eastAsia" w:ascii="楷体" w:hAnsi="楷体"/>
          <w:highlight w:val="none"/>
        </w:rPr>
        <w:t>其他</w:t>
      </w:r>
      <w:bookmarkEnd w:id="20"/>
      <w:bookmarkEnd w:id="21"/>
    </w:p>
    <w:p>
      <w:pPr>
        <w:ind w:firstLine="480"/>
        <w:rPr>
          <w:rFonts w:hint="eastAsia" w:ascii="楷体" w:hAnsi="楷体" w:cs="楷体"/>
          <w:highlight w:val="none"/>
          <w:lang w:val="en-US" w:eastAsia="zh-CN"/>
        </w:rPr>
      </w:pPr>
      <w:r>
        <w:rPr>
          <w:rFonts w:hint="eastAsia" w:ascii="楷体" w:hAnsi="楷体" w:cs="楷体"/>
          <w:highlight w:val="none"/>
          <w:lang w:val="en-US" w:eastAsia="zh-CN"/>
        </w:rPr>
        <w:t>出现下列情形之一的，采购人或者采购代理机构应当终止竞争性谈判采购活动，发布项目终止公告并说明原因，重新开展采购活动：</w:t>
      </w:r>
    </w:p>
    <w:p>
      <w:pPr>
        <w:numPr>
          <w:ilvl w:val="0"/>
          <w:numId w:val="9"/>
        </w:numPr>
        <w:ind w:firstLine="480"/>
        <w:rPr>
          <w:rFonts w:hint="eastAsia" w:ascii="楷体" w:hAnsi="楷体" w:cs="楷体"/>
          <w:highlight w:val="none"/>
          <w:lang w:val="en-US" w:eastAsia="zh-CN"/>
        </w:rPr>
      </w:pPr>
      <w:r>
        <w:rPr>
          <w:rFonts w:hint="eastAsia" w:ascii="楷体" w:hAnsi="楷体" w:cs="楷体"/>
          <w:highlight w:val="none"/>
          <w:lang w:val="en-US" w:eastAsia="zh-CN"/>
        </w:rPr>
        <w:t>因情况变化，不再符合规定的竞争性谈判采购方式适用情形的；</w:t>
      </w:r>
    </w:p>
    <w:p>
      <w:pPr>
        <w:numPr>
          <w:ilvl w:val="0"/>
          <w:numId w:val="9"/>
        </w:numPr>
        <w:ind w:firstLine="480"/>
        <w:rPr>
          <w:rFonts w:hint="eastAsia" w:ascii="楷体" w:hAnsi="楷体" w:cs="楷体"/>
          <w:highlight w:val="none"/>
          <w:lang w:val="zh-CN"/>
        </w:rPr>
      </w:pPr>
      <w:r>
        <w:rPr>
          <w:rFonts w:hint="eastAsia" w:ascii="楷体" w:hAnsi="楷体" w:cs="楷体"/>
          <w:highlight w:val="none"/>
          <w:lang w:val="en-US" w:eastAsia="zh-CN"/>
        </w:rPr>
        <w:t>出现影响采购公正的违法、违规行为的；</w:t>
      </w:r>
    </w:p>
    <w:p>
      <w:pPr>
        <w:numPr>
          <w:ilvl w:val="0"/>
          <w:numId w:val="9"/>
        </w:numPr>
        <w:ind w:firstLine="480"/>
        <w:rPr>
          <w:rFonts w:hint="eastAsia" w:ascii="楷体" w:hAnsi="楷体" w:cs="楷体"/>
          <w:highlight w:val="none"/>
          <w:lang w:val="zh-CN"/>
        </w:rPr>
      </w:pPr>
      <w:r>
        <w:rPr>
          <w:rFonts w:hint="eastAsia" w:ascii="楷体" w:hAnsi="楷体" w:cs="楷体"/>
          <w:highlight w:val="none"/>
          <w:lang w:val="zh-CN"/>
        </w:rPr>
        <w:t>在采购过程中符合竞争要求的供应商</w:t>
      </w:r>
      <w:r>
        <w:rPr>
          <w:rFonts w:hint="eastAsia" w:ascii="楷体" w:hAnsi="楷体" w:cs="楷体"/>
          <w:highlight w:val="none"/>
          <w:lang w:val="en-US" w:eastAsia="zh-CN"/>
        </w:rPr>
        <w:t>或者报价未超过采购预算的供应商</w:t>
      </w:r>
      <w:r>
        <w:rPr>
          <w:rFonts w:hint="eastAsia" w:ascii="楷体" w:hAnsi="楷体" w:cs="楷体"/>
          <w:highlight w:val="none"/>
          <w:lang w:val="zh-CN"/>
        </w:rPr>
        <w:t>不足3家的，</w:t>
      </w:r>
      <w:r>
        <w:rPr>
          <w:rFonts w:hint="eastAsia" w:ascii="楷体" w:hAnsi="楷体" w:cs="楷体"/>
          <w:highlight w:val="none"/>
          <w:lang w:val="en-US" w:eastAsia="zh-CN"/>
        </w:rPr>
        <w:t>除因项目技术复杂或者性质特殊，不能确定详细规格或者具体要求</w:t>
      </w:r>
      <w:r>
        <w:rPr>
          <w:rFonts w:hint="eastAsia" w:ascii="楷体" w:hAnsi="楷体" w:cs="楷体"/>
          <w:highlight w:val="none"/>
          <w:lang w:val="zh-CN"/>
        </w:rPr>
        <w:t>。</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ind w:firstLine="480"/>
        <w:rPr>
          <w:rFonts w:ascii="楷体" w:hAnsi="楷体" w:cs="楷体"/>
        </w:rPr>
        <w:sectPr>
          <w:footerReference r:id="rId11" w:type="default"/>
          <w:pgSz w:w="11906" w:h="16838"/>
          <w:pgMar w:top="1418" w:right="1134" w:bottom="1418" w:left="1134" w:header="851" w:footer="992" w:gutter="0"/>
          <w:pgNumType w:start="1"/>
          <w:cols w:space="720" w:num="1"/>
          <w:docGrid w:linePitch="312" w:charSpace="0"/>
        </w:sectPr>
      </w:pPr>
      <w:bookmarkStart w:id="22" w:name="_Toc21697_WPSOffice_Level1"/>
      <w:bookmarkStart w:id="23" w:name="_Toc1845"/>
      <w:r>
        <w:rPr>
          <w:rFonts w:hint="eastAsia" w:ascii="楷体" w:hAnsi="楷体" w:cs="楷体"/>
          <w:lang w:val="zh-CN"/>
        </w:rPr>
        <w:t>详见《陕西省财政厅关于印发&lt;陕西省中小企业政府采购信用融资办法&gt;的通知》（陕财办采〔2018〕23号）相关政策、业务流程、办理平台（http://www.ccgp-shaanxi.gov.cn/zcdservice/zcd/shanxi/）</w:t>
      </w:r>
      <w:r>
        <w:rPr>
          <w:rFonts w:hint="eastAsia" w:ascii="楷体" w:hAnsi="楷体" w:cs="楷体"/>
        </w:rPr>
        <w:t>。</w:t>
      </w:r>
    </w:p>
    <w:p>
      <w:pPr>
        <w:pStyle w:val="3"/>
        <w:ind w:firstLine="883"/>
        <w:rPr>
          <w:rFonts w:ascii="楷体" w:hAnsi="楷体" w:cs="楷体"/>
          <w:highlight w:val="none"/>
        </w:rPr>
      </w:pPr>
      <w:r>
        <w:rPr>
          <w:rFonts w:hint="eastAsia" w:ascii="楷体" w:hAnsi="楷体" w:cs="楷体"/>
          <w:highlight w:val="none"/>
        </w:rPr>
        <w:t>采购</w:t>
      </w:r>
      <w:bookmarkEnd w:id="22"/>
      <w:r>
        <w:rPr>
          <w:rFonts w:hint="eastAsia" w:ascii="楷体" w:hAnsi="楷体" w:cs="楷体"/>
          <w:highlight w:val="none"/>
          <w:lang w:val="en-US" w:eastAsia="zh-CN"/>
        </w:rPr>
        <w:t>内容及要求</w:t>
      </w:r>
      <w:bookmarkEnd w:id="23"/>
    </w:p>
    <w:p>
      <w:pPr>
        <w:ind w:firstLine="480" w:firstLineChars="0"/>
        <w:rPr>
          <w:rFonts w:hint="default"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一、项目概况</w:t>
      </w:r>
    </w:p>
    <w:p>
      <w:pPr>
        <w:ind w:firstLine="480"/>
        <w:rPr>
          <w:rFonts w:hint="default" w:ascii="楷体" w:hAnsi="楷体" w:eastAsia="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 xml:space="preserve"> </w:t>
      </w:r>
      <w:r>
        <w:rPr>
          <w:rFonts w:hint="eastAsia" w:ascii="楷体" w:hAnsi="楷体" w:cstheme="minorBidi"/>
          <w:color w:val="auto"/>
          <w:kern w:val="2"/>
          <w:sz w:val="24"/>
          <w:szCs w:val="24"/>
          <w:highlight w:val="none"/>
          <w:lang w:val="en-US" w:eastAsia="zh-CN" w:bidi="ar-SA"/>
        </w:rPr>
        <w:t>为实现心理、舞蹈、美术书法3个领域，教师与学生互动教学、数字化教学，教师管理和测评功能等功能要求，西安市第二十六中学太乙分校对心理辅导室、音乐形体室、书画室进行建设。</w:t>
      </w:r>
    </w:p>
    <w:p>
      <w:pPr>
        <w:ind w:firstLine="480" w:firstLineChars="0"/>
        <w:rPr>
          <w:rFonts w:hint="default"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cs="楷体"/>
          <w:b/>
          <w:bCs/>
          <w:color w:val="000000" w:themeColor="text1"/>
          <w:sz w:val="28"/>
          <w:szCs w:val="28"/>
          <w:highlight w:val="none"/>
          <w14:textFill>
            <w14:solidFill>
              <w14:schemeClr w14:val="tx1"/>
            </w14:solidFill>
          </w14:textFill>
        </w:rPr>
        <w:t>二、</w:t>
      </w:r>
      <w:r>
        <w:rPr>
          <w:rFonts w:hint="eastAsia" w:ascii="楷体" w:hAnsi="楷体" w:cs="楷体"/>
          <w:b/>
          <w:bCs/>
          <w:color w:val="000000" w:themeColor="text1"/>
          <w:sz w:val="28"/>
          <w:szCs w:val="28"/>
          <w:highlight w:val="none"/>
          <w:lang w:val="en-US" w:eastAsia="zh-CN"/>
          <w14:textFill>
            <w14:solidFill>
              <w14:schemeClr w14:val="tx1"/>
            </w14:solidFill>
          </w14:textFill>
        </w:rPr>
        <w:t>交货安装期</w:t>
      </w:r>
    </w:p>
    <w:p>
      <w:pPr>
        <w:pStyle w:val="2"/>
        <w:ind w:firstLine="480"/>
        <w:rPr>
          <w:rFonts w:hint="default" w:ascii="楷体" w:hAnsi="楷体"/>
          <w:color w:val="auto"/>
          <w:sz w:val="24"/>
          <w:highlight w:val="none"/>
          <w:lang w:val="en-US"/>
          <w14:textFill>
            <w14:gradFill>
              <w14:gsLst>
                <w14:gs w14:pos="0">
                  <w14:srgbClr w14:val="FE4444"/>
                </w14:gs>
                <w14:gs w14:pos="100000">
                  <w14:srgbClr w14:val="832B2B"/>
                </w14:gs>
              </w14:gsLst>
              <w14:lin w14:scaled="0"/>
            </w14:gradFill>
          </w14:textFill>
        </w:rPr>
      </w:pPr>
      <w:r>
        <w:rPr>
          <w:rFonts w:hint="eastAsia" w:ascii="楷体" w:hAnsi="楷体"/>
          <w:color w:val="auto"/>
          <w:sz w:val="24"/>
          <w:highlight w:val="none"/>
          <w:lang w:val="en-US" w:eastAsia="zh-CN"/>
        </w:rPr>
        <w:t>交货安装期：自合同签订之日起30个日历日内。</w:t>
      </w:r>
    </w:p>
    <w:p>
      <w:pPr>
        <w:ind w:firstLine="480" w:firstLineChars="0"/>
        <w:rPr>
          <w:rFonts w:hint="default" w:ascii="楷体" w:hAnsi="楷体" w:cs="楷体"/>
          <w:b/>
          <w:bCs/>
          <w:color w:val="000000" w:themeColor="text1"/>
          <w:sz w:val="28"/>
          <w:szCs w:val="28"/>
          <w:highlight w:val="none"/>
          <w:lang w:val="en-US" w:eastAsia="zh-CN"/>
          <w14:textFill>
            <w14:solidFill>
              <w14:schemeClr w14:val="tx1"/>
            </w14:solidFill>
          </w14:textFill>
        </w:rPr>
      </w:pPr>
      <w:r>
        <w:rPr>
          <w:rFonts w:hint="eastAsia" w:ascii="楷体" w:hAnsi="楷体" w:cs="楷体"/>
          <w:b/>
          <w:bCs/>
          <w:color w:val="000000" w:themeColor="text1"/>
          <w:sz w:val="28"/>
          <w:szCs w:val="28"/>
          <w:highlight w:val="none"/>
          <w:lang w:val="en-US" w:eastAsia="zh-CN"/>
          <w14:textFill>
            <w14:solidFill>
              <w14:schemeClr w14:val="tx1"/>
            </w14:solidFill>
          </w14:textFill>
        </w:rPr>
        <w:t>三、质保期</w:t>
      </w:r>
    </w:p>
    <w:p>
      <w:pPr>
        <w:pStyle w:val="2"/>
        <w:ind w:firstLine="480"/>
        <w:rPr>
          <w:rFonts w:hint="default" w:ascii="楷体" w:hAnsi="楷体"/>
          <w:color w:val="auto"/>
          <w:sz w:val="24"/>
          <w:highlight w:val="none"/>
          <w:lang w:val="en-US" w:eastAsia="zh-CN"/>
        </w:rPr>
      </w:pPr>
      <w:r>
        <w:rPr>
          <w:rFonts w:hint="eastAsia" w:ascii="楷体" w:hAnsi="楷体"/>
          <w:color w:val="auto"/>
          <w:sz w:val="24"/>
          <w:highlight w:val="none"/>
          <w:lang w:val="en-US" w:eastAsia="zh-CN"/>
        </w:rPr>
        <w:t>质保期：自验收合格之日起1年。</w:t>
      </w:r>
    </w:p>
    <w:p>
      <w:pPr>
        <w:ind w:firstLine="480" w:firstLineChars="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四、质量保证</w:t>
      </w:r>
    </w:p>
    <w:p>
      <w:pPr>
        <w:ind w:firstLine="426" w:firstLineChars="0"/>
        <w:rPr>
          <w:rFonts w:ascii="楷体" w:hAnsi="楷体"/>
          <w:color w:val="auto"/>
          <w:highlight w:val="none"/>
        </w:rPr>
      </w:pPr>
      <w:r>
        <w:rPr>
          <w:rFonts w:hint="eastAsia" w:ascii="楷体" w:hAnsi="楷体"/>
          <w:color w:val="auto"/>
          <w:highlight w:val="none"/>
        </w:rPr>
        <w:t>1、所选</w:t>
      </w:r>
      <w:r>
        <w:rPr>
          <w:rFonts w:hint="eastAsia" w:ascii="楷体" w:hAnsi="楷体"/>
          <w:color w:val="auto"/>
          <w:highlight w:val="none"/>
          <w:lang w:val="en-US" w:eastAsia="zh-CN"/>
        </w:rPr>
        <w:t>设备</w:t>
      </w:r>
      <w:r>
        <w:rPr>
          <w:rFonts w:hint="eastAsia" w:ascii="楷体" w:hAnsi="楷体"/>
          <w:color w:val="auto"/>
          <w:highlight w:val="none"/>
        </w:rPr>
        <w:t>必须保证安全环保、质量可靠、进货渠道正常，符合国家相关标准，满足质量要求。</w:t>
      </w:r>
    </w:p>
    <w:p>
      <w:pPr>
        <w:ind w:firstLine="426" w:firstLineChars="0"/>
        <w:rPr>
          <w:rFonts w:ascii="楷体" w:hAnsi="楷体"/>
          <w:color w:val="auto"/>
          <w:highlight w:val="none"/>
        </w:rPr>
      </w:pPr>
      <w:r>
        <w:rPr>
          <w:rFonts w:hint="eastAsia" w:ascii="楷体" w:hAnsi="楷体"/>
          <w:color w:val="auto"/>
          <w:highlight w:val="none"/>
        </w:rPr>
        <w:t>2、整个</w:t>
      </w:r>
      <w:r>
        <w:rPr>
          <w:rFonts w:hint="eastAsia" w:ascii="楷体" w:hAnsi="楷体"/>
          <w:color w:val="auto"/>
          <w:highlight w:val="none"/>
          <w:lang w:val="en-US" w:eastAsia="zh-CN"/>
        </w:rPr>
        <w:t>安装工作</w:t>
      </w:r>
      <w:r>
        <w:rPr>
          <w:rFonts w:hint="eastAsia" w:ascii="楷体" w:hAnsi="楷体"/>
          <w:color w:val="auto"/>
          <w:highlight w:val="none"/>
        </w:rPr>
        <w:t>符合国家有关规范，确保质量合格。</w:t>
      </w:r>
    </w:p>
    <w:p>
      <w:pPr>
        <w:ind w:firstLine="426" w:firstLineChars="0"/>
        <w:rPr>
          <w:rFonts w:ascii="楷体" w:hAnsi="楷体"/>
          <w:color w:val="auto"/>
          <w:highlight w:val="none"/>
        </w:rPr>
      </w:pPr>
      <w:r>
        <w:rPr>
          <w:rFonts w:hint="eastAsia" w:ascii="楷体" w:hAnsi="楷体"/>
          <w:color w:val="auto"/>
          <w:highlight w:val="none"/>
        </w:rPr>
        <w:t>3、</w:t>
      </w:r>
      <w:r>
        <w:rPr>
          <w:rFonts w:hint="eastAsia" w:ascii="楷体" w:hAnsi="楷体"/>
          <w:color w:val="auto"/>
          <w:highlight w:val="none"/>
          <w:lang w:val="en-US" w:eastAsia="zh-CN"/>
        </w:rPr>
        <w:t>保修</w:t>
      </w:r>
      <w:r>
        <w:rPr>
          <w:rFonts w:hint="eastAsia" w:ascii="楷体" w:hAnsi="楷体"/>
          <w:color w:val="auto"/>
          <w:highlight w:val="none"/>
        </w:rPr>
        <w:t>期</w:t>
      </w:r>
      <w:r>
        <w:rPr>
          <w:rFonts w:hint="eastAsia" w:ascii="楷体" w:hAnsi="楷体"/>
          <w:color w:val="auto"/>
          <w:highlight w:val="none"/>
          <w:lang w:val="en-US" w:eastAsia="zh-CN"/>
        </w:rPr>
        <w:t>满足采购人要求，</w:t>
      </w:r>
      <w:r>
        <w:rPr>
          <w:rFonts w:hint="eastAsia" w:ascii="楷体" w:hAnsi="楷体"/>
          <w:color w:val="auto"/>
          <w:highlight w:val="none"/>
        </w:rPr>
        <w:t>按国家行业有关规定执行。</w:t>
      </w:r>
    </w:p>
    <w:p>
      <w:pPr>
        <w:ind w:firstLine="480" w:firstLineChars="0"/>
        <w:rPr>
          <w:rFonts w:ascii="楷体" w:hAnsi="楷体" w:cs="楷体"/>
          <w:b/>
          <w:bCs/>
          <w:color w:val="auto"/>
          <w:sz w:val="28"/>
          <w:szCs w:val="28"/>
          <w:highlight w:val="none"/>
        </w:rPr>
      </w:pPr>
      <w:r>
        <w:rPr>
          <w:rFonts w:hint="eastAsia" w:ascii="楷体" w:hAnsi="楷体" w:cs="楷体"/>
          <w:b/>
          <w:bCs/>
          <w:color w:val="auto"/>
          <w:sz w:val="28"/>
          <w:szCs w:val="28"/>
          <w:highlight w:val="none"/>
          <w:lang w:val="en-US" w:eastAsia="zh-CN"/>
        </w:rPr>
        <w:t>五</w:t>
      </w:r>
      <w:r>
        <w:rPr>
          <w:rFonts w:hint="eastAsia" w:ascii="楷体" w:hAnsi="楷体" w:cs="楷体"/>
          <w:b/>
          <w:bCs/>
          <w:color w:val="auto"/>
          <w:sz w:val="28"/>
          <w:szCs w:val="28"/>
          <w:highlight w:val="none"/>
        </w:rPr>
        <w:t>、</w:t>
      </w:r>
      <w:r>
        <w:rPr>
          <w:rFonts w:hint="eastAsia" w:ascii="楷体" w:hAnsi="楷体" w:cs="楷体"/>
          <w:b/>
          <w:bCs/>
          <w:color w:val="auto"/>
          <w:sz w:val="28"/>
          <w:szCs w:val="28"/>
          <w:highlight w:val="none"/>
          <w:lang w:val="en-US" w:eastAsia="zh-CN"/>
        </w:rPr>
        <w:t>交货</w:t>
      </w:r>
      <w:r>
        <w:rPr>
          <w:rFonts w:hint="eastAsia" w:ascii="楷体" w:hAnsi="楷体" w:cs="楷体"/>
          <w:b/>
          <w:bCs/>
          <w:color w:val="auto"/>
          <w:sz w:val="28"/>
          <w:szCs w:val="28"/>
          <w:highlight w:val="none"/>
        </w:rPr>
        <w:t>地点</w:t>
      </w:r>
    </w:p>
    <w:p>
      <w:pPr>
        <w:pStyle w:val="2"/>
        <w:ind w:firstLine="480"/>
        <w:rPr>
          <w:rFonts w:hint="eastAsia" w:ascii="楷体" w:hAnsi="楷体"/>
          <w:color w:val="auto"/>
          <w:sz w:val="24"/>
          <w:highlight w:val="none"/>
        </w:rPr>
      </w:pPr>
      <w:r>
        <w:rPr>
          <w:rFonts w:hint="eastAsia" w:ascii="楷体" w:hAnsi="楷体"/>
          <w:color w:val="auto"/>
          <w:sz w:val="24"/>
          <w:highlight w:val="none"/>
          <w:lang w:val="en-US" w:eastAsia="zh-CN"/>
        </w:rPr>
        <w:t>采购人指定地点</w:t>
      </w:r>
      <w:r>
        <w:rPr>
          <w:rFonts w:hint="eastAsia" w:ascii="楷体" w:hAnsi="楷体"/>
          <w:color w:val="auto"/>
          <w:sz w:val="24"/>
          <w:highlight w:val="none"/>
        </w:rPr>
        <w:t>。</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六、付款方式</w:t>
      </w:r>
    </w:p>
    <w:p>
      <w:pPr>
        <w:pStyle w:val="2"/>
        <w:numPr>
          <w:ilvl w:val="0"/>
          <w:numId w:val="0"/>
        </w:numPr>
        <w:rPr>
          <w:rFonts w:hint="eastAsia" w:ascii="楷体" w:hAnsi="楷体" w:eastAsia="楷体" w:cstheme="minorBidi"/>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楷体" w:hAnsi="楷体" w:cstheme="minorBidi"/>
          <w:color w:val="auto"/>
          <w:kern w:val="2"/>
          <w:sz w:val="24"/>
          <w:szCs w:val="24"/>
          <w:highlight w:val="none"/>
          <w:lang w:val="en-US" w:eastAsia="zh-CN" w:bidi="ar-SA"/>
        </w:rPr>
        <w:t>交货、安装调试</w:t>
      </w:r>
      <w:r>
        <w:rPr>
          <w:rFonts w:hint="eastAsia" w:ascii="楷体" w:hAnsi="楷体" w:eastAsia="楷体" w:cstheme="minorBidi"/>
          <w:color w:val="auto"/>
          <w:kern w:val="2"/>
          <w:sz w:val="24"/>
          <w:szCs w:val="24"/>
          <w:highlight w:val="none"/>
          <w:lang w:val="en-US" w:eastAsia="zh-CN" w:bidi="ar-SA"/>
        </w:rPr>
        <w:t>完成并经验收合格后，甲方向乙方支付至合同价款的</w:t>
      </w:r>
      <w:r>
        <w:rPr>
          <w:rFonts w:hint="eastAsia" w:ascii="楷体" w:hAnsi="楷体" w:cstheme="minorBidi"/>
          <w:color w:val="auto"/>
          <w:kern w:val="2"/>
          <w:sz w:val="24"/>
          <w:szCs w:val="24"/>
          <w:highlight w:val="none"/>
          <w:lang w:val="en-US" w:eastAsia="zh-CN" w:bidi="ar-SA"/>
        </w:rPr>
        <w:t>100</w:t>
      </w:r>
      <w:r>
        <w:rPr>
          <w:rFonts w:hint="eastAsia" w:ascii="楷体" w:hAnsi="楷体" w:eastAsia="楷体" w:cstheme="minorBidi"/>
          <w:color w:val="auto"/>
          <w:kern w:val="2"/>
          <w:sz w:val="24"/>
          <w:szCs w:val="24"/>
          <w:highlight w:val="none"/>
          <w:lang w:val="en-US" w:eastAsia="zh-CN" w:bidi="ar-SA"/>
        </w:rPr>
        <w:t>%</w:t>
      </w:r>
      <w:r>
        <w:rPr>
          <w:rFonts w:hint="eastAsia" w:ascii="楷体" w:hAnsi="楷体" w:cstheme="minorBidi"/>
          <w:color w:val="auto"/>
          <w:kern w:val="2"/>
          <w:sz w:val="24"/>
          <w:szCs w:val="24"/>
          <w:highlight w:val="none"/>
          <w:lang w:val="en-US" w:eastAsia="zh-CN" w:bidi="ar-SA"/>
        </w:rPr>
        <w:t>，一次性</w:t>
      </w:r>
      <w:r>
        <w:rPr>
          <w:rFonts w:hint="eastAsia" w:ascii="楷体" w:hAnsi="楷体" w:eastAsia="楷体" w:cstheme="minorBidi"/>
          <w:color w:val="auto"/>
          <w:kern w:val="2"/>
          <w:sz w:val="24"/>
          <w:szCs w:val="24"/>
          <w:highlight w:val="none"/>
          <w:lang w:val="en-US" w:eastAsia="zh-CN" w:bidi="ar-SA"/>
        </w:rPr>
        <w:t>无息付清。</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七、安装、调试要求</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1、由供应商负责派技术人员到现场进行免费安装、调试至验收合格。</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r>
        <w:rPr>
          <w:rFonts w:hint="eastAsia" w:ascii="楷体" w:hAnsi="楷体" w:cstheme="minorBidi"/>
          <w:color w:val="auto"/>
          <w:kern w:val="2"/>
          <w:sz w:val="24"/>
          <w:szCs w:val="24"/>
          <w:highlight w:val="none"/>
          <w:lang w:val="en-US" w:eastAsia="zh-CN" w:bidi="ar-SA"/>
        </w:rPr>
        <w:t>、</w:t>
      </w:r>
      <w:r>
        <w:rPr>
          <w:rFonts w:hint="eastAsia" w:ascii="楷体" w:hAnsi="楷体" w:eastAsia="楷体" w:cstheme="minorBidi"/>
          <w:color w:val="auto"/>
          <w:kern w:val="2"/>
          <w:sz w:val="24"/>
          <w:szCs w:val="24"/>
          <w:highlight w:val="none"/>
          <w:lang w:val="en-US" w:eastAsia="zh-CN" w:bidi="ar-SA"/>
        </w:rPr>
        <w:t>供应商应在合同签订后一周内，向采购人提供安装、调试及试运行的进度计划表。</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r>
        <w:rPr>
          <w:rFonts w:hint="eastAsia" w:ascii="楷体" w:hAnsi="楷体" w:cstheme="minorBidi"/>
          <w:color w:val="auto"/>
          <w:kern w:val="2"/>
          <w:sz w:val="24"/>
          <w:szCs w:val="24"/>
          <w:highlight w:val="none"/>
          <w:lang w:val="en-US" w:eastAsia="zh-CN" w:bidi="ar-SA"/>
        </w:rPr>
        <w:t>、</w:t>
      </w:r>
      <w:r>
        <w:rPr>
          <w:rFonts w:hint="eastAsia" w:ascii="楷体" w:hAnsi="楷体" w:eastAsia="楷体" w:cstheme="minorBidi"/>
          <w:color w:val="auto"/>
          <w:kern w:val="2"/>
          <w:sz w:val="24"/>
          <w:szCs w:val="24"/>
          <w:highlight w:val="none"/>
          <w:lang w:val="en-US" w:eastAsia="zh-CN" w:bidi="ar-SA"/>
        </w:rPr>
        <w:t>供应商应在合同规定的安装调试期内完成该项工作。如因供应商责任而造成延期，每超过一天按合同总价款的（5‰）支付采购人误期赔偿金，直至交货或提供服务结束为止，所有因延期而产生的费用由供应商承担。</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541" w:left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4、安装和调试期间所发生的费用均由供应商负责。</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八、技术支持</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提供全年7×24小时的技术咨询服务。</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九、技术培训</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yellow"/>
          <w:lang w:val="en-US" w:eastAsia="zh-CN" w:bidi="ar-SA"/>
        </w:rPr>
      </w:pPr>
      <w:r>
        <w:rPr>
          <w:rFonts w:hint="eastAsia" w:ascii="楷体" w:hAnsi="楷体" w:eastAsia="楷体" w:cstheme="minorBidi"/>
          <w:color w:val="auto"/>
          <w:kern w:val="2"/>
          <w:sz w:val="24"/>
          <w:szCs w:val="24"/>
          <w:highlight w:val="none"/>
          <w:lang w:val="en-US" w:eastAsia="zh-CN" w:bidi="ar-SA"/>
        </w:rPr>
        <w:t>应包括设备(产品)使用操作、保养、维修等培训内容。供应商需为采购人免费培训技术人员若干名，培训服务以受培训人员熟练掌握相应技能为原则。在设备(产品)投入使用初期进行必要的跟踪指导，保障设备(产品)的稳定运行。响应设备(产品)需在培训基地培训的，供应商应按要求履行，培训产生的交通费、食宿费、培训费等均由供应商承担。</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十、技术资料要求</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供应商应向采购人提供全套中文技术资料一套，其费用包括在谈判报价中：</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1、完整的设备(产品)操作使用手册和维护、修理技术文件，图纸、保修卡等；</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2、制造厂的设备(产品)检验合格证书，质量保证书等文件验收时须一并提供；</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3、设备(产品)验收标准；</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4、技术说明书及必须的其它技术资料；</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5、使用说明书；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6、零部件目录；</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7、备品备件、易损件清单；</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8、项目完成后提供验收报告；</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9、合同中要求的其他文件资料。</w:t>
      </w: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十一、验收</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由采购人和供应商共同对项目整体进行验收。其内容包括确认设备(产品)的产地、规格、型号和数量，对其设备(产品)技术指标、性能参数以及质量是否达到现行国家有关验收规范“合格”标准进行逐项检查。</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1、所验设备(产品)的指标、性能参数通过验收达不到竞争性谈判文件要求和谈判响应文件承诺的，或在使用中发现采购人不能容忍的缺陷等，将视为设备(产品)验收不合格，供应商应无条件免费更换或退货。</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2、若发现供应商有弄虚作假的，在谈判阶段故意或随意夸大设备(产品)技术性能，供应商应无条件退货，并赔偿采购人相应的损失。</w:t>
      </w:r>
    </w:p>
    <w:p>
      <w:pPr>
        <w:numPr>
          <w:ilvl w:val="0"/>
          <w:numId w:val="0"/>
        </w:numPr>
        <w:ind w:firstLine="562" w:firstLineChars="200"/>
        <w:rPr>
          <w:rFonts w:hint="eastAsia" w:ascii="楷体" w:hAnsi="楷体" w:cs="楷体"/>
          <w:b/>
          <w:bCs/>
          <w:color w:val="auto"/>
          <w:sz w:val="28"/>
          <w:szCs w:val="28"/>
          <w:highlight w:val="none"/>
          <w:lang w:val="en-US" w:eastAsia="zh-CN"/>
        </w:rPr>
      </w:pPr>
    </w:p>
    <w:p>
      <w:pPr>
        <w:numPr>
          <w:ilvl w:val="0"/>
          <w:numId w:val="0"/>
        </w:numPr>
        <w:ind w:firstLine="562" w:firstLineChars="20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十二、质保及维保服务（提供售后服务承诺书）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1、供应商应提供可承担本项目维护的联络处，驻守维护技术人员，并提供地点、联系人（常驻负责人）及联系电话（服务热线），随时解答各种疑问。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2、服务方式:现场服务，整体验收合格后质量保证期为一年，并提供终身维修（护）。在质量保证期内发生重大故障，维修工程师抵达现场时间≤8小时，24小时内无法恢复的故障提供免费备机服务。</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3、每年至少四次上门维护，回访。</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4、对于存在质量问题或者短少的设备，供应商应在接到采购人的通知2个日历日内负责修复，调换、重新制作或补齐。</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5、设备质量出现问题，如属于三包产品供应商应负责三包（包修、包换、包退），费用由供应商承担。</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质保期内免收全部维修费用，终身维护保养并保证配件供应。在设备最终验收后的质量保证期内，供应商应对由于设计、工艺或材料的缺陷而产生的故障负责（负责解决并承担全部费用）。质保期满后如出现此类问题亦应负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楷体" w:hAnsi="楷体" w:eastAsia="楷体" w:cstheme="minorBidi"/>
          <w:color w:val="auto"/>
          <w:kern w:val="2"/>
          <w:sz w:val="24"/>
          <w:szCs w:val="24"/>
          <w:highlight w:val="yellow"/>
          <w:lang w:val="en-US" w:eastAsia="zh-CN" w:bidi="ar-SA"/>
        </w:rPr>
      </w:pPr>
      <w:r>
        <w:rPr>
          <w:rFonts w:hint="eastAsia" w:ascii="楷体" w:hAnsi="楷体" w:eastAsia="楷体" w:cstheme="minorBidi"/>
          <w:color w:val="auto"/>
          <w:kern w:val="2"/>
          <w:sz w:val="24"/>
          <w:szCs w:val="24"/>
          <w:highlight w:val="none"/>
          <w:lang w:val="en-US" w:eastAsia="zh-CN" w:bidi="ar-SA"/>
        </w:rPr>
        <w:t>7、谈判供应商及响应设备(产品)的生产厂商应承诺质保期、维保期的售后服务条款（包括具体的服务内容、故障响应时间、响应方式、维修措施及时限、维护响应计划等方面），未提供任何质保期、维保期的售后服务条款或提供的内容不实的以不满足竞争性谈判文件要求对待。</w:t>
      </w: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jc w:val="center"/>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spacing w:line="360" w:lineRule="auto"/>
        <w:ind w:left="0" w:leftChars="0" w:firstLine="0" w:firstLineChars="0"/>
        <w:jc w:val="both"/>
        <w:rPr>
          <w:rFonts w:eastAsia="仿宋"/>
          <w:b/>
          <w:color w:val="000000" w:themeColor="text1"/>
          <w:sz w:val="44"/>
          <w:szCs w:val="44"/>
          <w:highlight w:val="none"/>
          <w14:textFill>
            <w14:gradFill>
              <w14:gsLst>
                <w14:gs w14:pos="0">
                  <w14:srgbClr w14:val="14CD68"/>
                </w14:gs>
                <w14:gs w14:pos="100000">
                  <w14:srgbClr w14:val="0B6E38"/>
                </w14:gs>
              </w14:gsLst>
              <w14:lin w14:scaled="0"/>
            </w14:gradFill>
          </w14:textFill>
        </w:rPr>
      </w:pPr>
    </w:p>
    <w:p>
      <w:pPr>
        <w:ind w:left="0" w:leftChars="0" w:firstLine="0" w:firstLineChars="0"/>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br w:type="page"/>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default" w:ascii="楷体" w:hAnsi="楷体" w:eastAsia="楷体" w:cstheme="minorBidi"/>
          <w:b/>
          <w:bCs/>
          <w:color w:val="auto"/>
          <w:kern w:val="2"/>
          <w:sz w:val="32"/>
          <w:szCs w:val="32"/>
          <w:highlight w:val="none"/>
          <w:lang w:val="en-US" w:eastAsia="zh-CN" w:bidi="ar-SA"/>
        </w:rPr>
      </w:pPr>
      <w:r>
        <w:rPr>
          <w:rFonts w:hint="eastAsia" w:ascii="楷体" w:hAnsi="楷体" w:eastAsia="楷体" w:cstheme="minorBidi"/>
          <w:b/>
          <w:bCs/>
          <w:color w:val="auto"/>
          <w:kern w:val="2"/>
          <w:sz w:val="32"/>
          <w:szCs w:val="32"/>
          <w:highlight w:val="none"/>
          <w:lang w:val="en-US" w:eastAsia="zh-CN" w:bidi="ar-SA"/>
        </w:rPr>
        <w:t>采购清单</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心理辅导室专业设备</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80"/>
        <w:gridCol w:w="630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序号</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品目</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规格</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心理测评系统</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核心模块及主要技功能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1、用户管理</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系统为使用者区分了多种角色，如心理老师、学生、管理员等，每个角色权限不同，用户可批量导入。</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2、心理测评</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（1）测评量表：系统目前内置不少于65个心理测评量表。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（2）扫描二维码测评功能：系统可以给每一个量表生成一个二维码，学生通过手机或者平板扫描二维码实现随时随地测评。</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（3）支持微信小程序。学生以及老师的测评可以通过扫描二维码进入心理测评小程序进行心理测评。</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3、报告分析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（1）报告展示：系统通过报告数据分析，提供常规的折线图，饼图。多设备展示,电脑／手机／平板／大屏,兼容多种设备。</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（2）个体报告：个体测评完成之后，系统自动统计分析，生成图文并茂的心理测评报告；</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（3）数据导出：测评完成之后，可单独或批量导出学生的个人测评报告，以供学校保留存档；同时可自定义设置条件如参与量表、导出项目、参与人员导出测评的原始数据，以供学校自主分析数据；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4、危机预警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测试完成之后提供异常结果预警功能，预警展示测评结果得分超出量表规定的正常范围者，可对此类个体重点关注；预警同时可筛查出测试结果可信度较低者，如答题时存在掩饰成分或者答题速度过快者，对此类个体可重测，保证测试结果准确性；</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（2）预警通知：量表中SCL-90的三色分级预警，根据不同颜色表示心理危机、心理干预及提示，其次：提供预警通功能。方便根据等级轻重开展有针对性的心理辅导，帮助做好危机预防工作；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5、预约咨询</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（1）预约通知：学生可以在手机平板端可以随时随地的预约心理老师。</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（2）预约设置：系统还提供咨询留言、回复功能。方便学生及时获取咨询老师预约状态。</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（3）咨询管理： 自动生成专业的心理咨询记录表，对于在线预约通过者可在预约设置页面直接添加咨询记录，已添加的咨询记录可随时搜索查看并自动更新到学生的心理档案中。咨询记录遵循保密原则，当同一学校有多个心理老师账户时，每个心理老师创建的咨询记录仅个人可见，其他心理老师没有查看权限。</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反馈绘画系统</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心理绘画系统可帮助大脑开发、增强注意力、释放不良情绪、放松身心、缓解心理压力、认识自身，进行内在的对话和成长。</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系统功能：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1.设置不少于八个主题：内容包括但不限于涂鸦、情绪管理、色彩脱敏、曼陀罗画、秘密花园、绘画达人、我画你拼、个人中心。</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2.情绪管理4步法，完整解决情绪问题。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3.色彩脱敏功能。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4.个人中心、可查看、保存文件、可删除保存内容。</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茶几</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双层圆茶几，R=50cm(±5厘米）</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咨询沙发</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布艺、实木框架</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心理沙盘</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①沙具不少于3000件②标准沙盘 1个 、团体沙盘1个、沙具陈列架5个③原色海沙或白色石英砂60公斤</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④指导书籍 、沙盘游戏视频剪辑、辅助设备各1套</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智能身心反馈音乐放松按摩椅</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系统特点：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1.实时监测心率血氧脉搏强度,自动生成报告查看导出。</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2.压力评估，可从生理情绪行为和认知全方面进行评估，评估后可准确了解压力指数，可获得压力管理指导建议。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3.专业放松训练视频，传授专业放松方法。</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4.个性类型以及情绪状态两个维度，提供音乐调适方案。</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5.专业放松调节训练，提供高度可视化的结果反馈。</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6.可批量添加删除账号，快速查找报告以及皮肤切换。</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7.音乐放松椅：震动按摩，减轻身体压力。</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8.19英寸电脑显示器，双核CPU，4G内存，500G硬盘。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配置组成</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①音乐放松椅1张           ②电脑1套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③身心反馈调节软件 1套    ④可移动工作台1套</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⑤音乐治疗导论1本  </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专业版心理自主平衡身心反馈系统</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一 、头等舱设计开发的真皮（人体接触面）座椅1台独立中央控制模块\无线遥控器开关机功能、真皮面料（人体接触面）；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便携式生物数据处理器1套 ：可以将复杂的生理指标数字化处理，包括：M-HRT，SD-HRT、SDNN，rMSSD，SD、SDSD、PNN50、TP、VLF、LF、HF、LF/HF、LFnorm、HFnorm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耳夹式生理指标采集仪1个 ：约2米长，专业耳脉式脉博指数、压力指数，生理指标采集监控器，内置式数模转换器，多功能信息转换系器以及数据传输线。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可移动电视支架1套：用于电视机放置，可以移动电视机的摆放位置。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约49寸高清液晶电视1台</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可移动式操作台 1个：配套身心反馈运行主机使用，材料ABS工程塑料，参考尺寸：最大外径尺寸长69厘米宽50厘米高92厘米，人工测量有1--2cm的误差，可移动式结构，底部安装可锁万向轮，提供控制电脑安放位置。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可移动式操作台支架 1个：便于放置约19寸液晶显示器，以及支持方位调节，便于使用者调节显示器角度，调整到适合自己的位置放置。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身心反馈主机+≧19寸液晶显示器 1套（专业版心理自主平衡身心反馈系统：采用生物反馈和心理调适技术研制，集生理指标监控、情绪评估、身心状态调节、情绪稳定性训练为一体的智能系统，包括情绪评估和调节训练和报告库两部分，帐户管理:用户注册、登录等基础帐户管理，数据信息导出等功能， 用户信息:用户的基本个人信息(姓名、年龄、性别、身高、血型、体重)设定及修改密码等功能，学习中心：技术原理:介绍技术的原理，用户可自主选择内容查看，训练方法:视频播放，引导用户进行训练，共振中心：共振频率确定:多个共振频率选择，共振训练引导:通过视觉引导，帮助用户稳定频率。训练中心不少于8种训练，入门训练不少于2种（如心灵家园，训练目标建成心灵小屋），进阶训练不少于2种（如心灵乐章，训练目标房间粉刷完毕），高级训练不少于2种（如爬山虎，训练目标房间打开所有窗户），专家训练不少于2种（如浇花，训练目标让所有的花开放）；</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音乐治疗指导书籍 1本：音乐治疗学的入门读物，介绍了音乐治疗的定义、发展历史、基本原理、治疗关系、方法技术、治疗程序，及其在儿童病领域、精神科疾病领域和老年病领域的应用。</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智能互动仪</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集游戏、运动、互动于一体的新型智能宣泄设备。结合游戏治疗的心理学逻辑,引导来访者获得良好的放松娱乐体验,进而释放不良心理压力。</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产品特点：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1.&gt;39寸品牌超清液晶屏搭载平台。</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2.红外热感应人体骨架扫描仪，肢体动作控制互动游戏。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3.拥有不少于200款体感心理游戏。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4.根据体感互动声音，会显示7种以上不同的灯光。</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产品配置：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①智能互动仪主体 1台     ②电源线 1根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③无线遥控手柄 1个       ④互动仪配套钥匙 2片</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智能宣泄系统</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双控制系统：无线遥控控制和一体压制按键控制面板控制，让呐喊跟便捷。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参数精确监测：匹配不少于400个音源常模，精确反馈正向引导语。</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LED智能灯；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智能引导正向激励：系统智能分析宣泄者的行为（可以根据呐喊分贝、持续时间等因素或者根据击打力度、持续时间等因素），判断出其情绪宣泄的程度，根据不同宣泄的程度进行智能化的正向语音引导、激励；</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多种类别的宣泄情绪主题（呐喊）：系统提供了不少于8种常见的情绪问题而设定的宣泄主题，用户使用前先通过触摸按键控制面板选择符合自己情绪的宣泄主题。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多种类别的宣泄情绪主题(击打）：系统提供了不少于9种常见的情绪问题而设定的宣泄主题，用户使用前先通过触摸按键控制面板选择符合自己情绪的宣泄主题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高清语音操作引导：系统采用高清语音操作引导语，指导宣泄者如何操作使用宣泄仪。</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音乐放松减压：音乐放松减压状态，提供不少于3种主题，例如自然环境、经典治疗、心灵按摩等。</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选择常用减压放松主题可以方便快捷进入呐喊/击打状态。</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男女引导语切换：男声和女声引导语音自由切换，让体验者能更好的选择自己的喜好。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三、产品配置：1、智能宣泄系统主体1台  2、电源适配器1个  3、无线蓝牙遥控器1个    4、地毯1块</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智能心理咨询自助系统</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可普及心理知识以及自我心理评估，根据自己的心理状态及心理现象有针对性的了解心理学常识和知识，了解问题，解决问题，提升心理素质。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系统功能：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系统包含不少于十三个心理自助服务调适模块：包括但不限于心理科普、心理美文、心理图库、心理训练、心理影视、心理讲堂、放松减压、心语心声、心理FM、心理测评、咨询留言、新闻互动、单位简介以及留言信息功能模块。两种登录模式：用户具有游客登录和注册帐号登录。</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团体心理活动箱</w:t>
            </w:r>
          </w:p>
        </w:tc>
        <w:tc>
          <w:tcPr>
            <w:tcW w:w="630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包括但不限于：1.生涯彩虹分析图 1套、2.家族职业树 3.生涯连连看1本、4.职业鱼骨图1本（约100张）、5.职业平衡单1本（约100张）、6.多元智能探索卡6套、7.职业价值观探索卡6套、8.职业探索卡6套、9.职业兴趣探索卡6套、10.专业探索卡6套、</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心理挂图</w:t>
            </w:r>
          </w:p>
        </w:tc>
        <w:tc>
          <w:tcPr>
            <w:tcW w:w="6304" w:type="dxa"/>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高清画质，原木裱框，环保喷漆，亚克力面板。</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w:t>
            </w:r>
          </w:p>
        </w:tc>
        <w:tc>
          <w:tcPr>
            <w:tcW w:w="1680"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绿植</w:t>
            </w:r>
          </w:p>
        </w:tc>
        <w:tc>
          <w:tcPr>
            <w:tcW w:w="6304" w:type="dxa"/>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高≥50cm，绿植</w:t>
            </w:r>
          </w:p>
        </w:tc>
        <w:tc>
          <w:tcPr>
            <w:tcW w:w="864" w:type="dxa"/>
            <w:noWrap w:val="0"/>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p>
        </w:tc>
      </w:tr>
    </w:tbl>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br w:type="page"/>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心理辅导室装修</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1940"/>
        <w:gridCol w:w="5464"/>
        <w:gridCol w:w="989"/>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8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心理辅导室总面积：48㎡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tc>
        <w:tc>
          <w:tcPr>
            <w:tcW w:w="1940" w:type="dxa"/>
            <w:tcBorders>
              <w:top w:val="single" w:color="000000" w:sz="4" w:space="0"/>
              <w:left w:val="nil"/>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项目名称</w:t>
            </w:r>
          </w:p>
        </w:tc>
        <w:tc>
          <w:tcPr>
            <w:tcW w:w="5464" w:type="dxa"/>
            <w:tcBorders>
              <w:top w:val="single" w:color="000000" w:sz="4" w:space="0"/>
              <w:left w:val="nil"/>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工艺做法及材料说明</w:t>
            </w:r>
          </w:p>
        </w:tc>
        <w:tc>
          <w:tcPr>
            <w:tcW w:w="989" w:type="dxa"/>
            <w:tcBorders>
              <w:top w:val="single" w:color="000000" w:sz="4" w:space="0"/>
              <w:left w:val="nil"/>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数量</w:t>
            </w:r>
          </w:p>
        </w:tc>
        <w:tc>
          <w:tcPr>
            <w:tcW w:w="829" w:type="dxa"/>
            <w:tcBorders>
              <w:top w:val="single" w:color="000000" w:sz="4" w:space="0"/>
              <w:left w:val="nil"/>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单层双面石膏板隔墙</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9.5mm石膏板， 75龙骨 ，隔音棉。</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室内门及门套</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合页、门吸、小五金 ， 成品烤漆门扇 ， 成品烤漆门套 ，配套锁</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原墙面界面处理</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专用滚筒涂刷</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55</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墙面粉刷石膏找平</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嵌缝石膏，嵌缝带，白乳胶、纸胶带等 ，腻子</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55</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墙面基层处理</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嵌缝石膏，嵌缝带，白乳胶、纸胶带等 ，腻子</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55</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墙面涂刷乳胶漆</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刷子、滚筒，乳胶漆， 涂刷1遍底漆，滚筒涂刷2遍乳胶漆 。</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照明支路铺设</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五孔小五金， 办公照明灯， 成品安装</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插座支路铺设</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五孔小五金， 办公照明灯， 成品安装</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插座供应及安装</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五孔，小五金， 办公照明灯， 成品安装</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吊灯供应及安装</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小五金， 办公照明灯， 成品安装</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平板灯供应及安装</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小五金， 办公照明灯， 成品安装三色可变灯</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w:t>
            </w:r>
          </w:p>
        </w:tc>
        <w:tc>
          <w:tcPr>
            <w:tcW w:w="1940"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施工垃圾清理</w:t>
            </w:r>
          </w:p>
        </w:tc>
        <w:tc>
          <w:tcPr>
            <w:tcW w:w="5464"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扫帚、铁铲、推车、垃圾袋等， 垃圾装袋，运至楼内指定垃圾堆放点</w:t>
            </w:r>
          </w:p>
        </w:tc>
        <w:tc>
          <w:tcPr>
            <w:tcW w:w="98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49</w:t>
            </w:r>
          </w:p>
        </w:tc>
        <w:tc>
          <w:tcPr>
            <w:tcW w:w="829" w:type="dxa"/>
            <w:tcBorders>
              <w:top w:val="single" w:color="000000" w:sz="4" w:space="0"/>
              <w:left w:val="nil"/>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w:t>
            </w:r>
          </w:p>
        </w:tc>
      </w:tr>
    </w:tbl>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2.3 书画教室采购清单</w:t>
      </w:r>
    </w:p>
    <w:tbl>
      <w:tblPr>
        <w:tblStyle w:val="43"/>
        <w:tblW w:w="9569" w:type="dxa"/>
        <w:tblInd w:w="0" w:type="dxa"/>
        <w:tblLayout w:type="fixed"/>
        <w:tblCellMar>
          <w:top w:w="0" w:type="dxa"/>
          <w:left w:w="0" w:type="dxa"/>
          <w:bottom w:w="0" w:type="dxa"/>
          <w:right w:w="0" w:type="dxa"/>
        </w:tblCellMar>
      </w:tblPr>
      <w:tblGrid>
        <w:gridCol w:w="569"/>
        <w:gridCol w:w="1296"/>
        <w:gridCol w:w="6682"/>
        <w:gridCol w:w="1022"/>
      </w:tblGrid>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序号</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货物名称</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规格</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数量</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教师书法桌</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参考规格：1600*800*800mm。实木结构，整体颜色为仿古色。材质：实木材质，</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学生书法桌</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参考规格：1400×600×750mm；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64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书法凳</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实木材质；明清榫卯结构，矩形凳腿和桌腿匹配，四腿八向札开，                      </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教师书法专用套装</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红木6挂12针笔架1个、大中小号优质品牌毛笔各一支、石质砚台1个、墨盒1个、墨条100g、竹质中号扁木300*260mm四边有布袋笔帘1套、陶瓷笔洗6寸1个、书画专用羊毛毡1块、笔筒1个、加重型黑梓木长度≥250mm1对、墨汁500ml一瓶、笔搁1个。</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写生画箱</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外形尺寸：330*460*80mm材质；木制箱体：</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写生教具(1)</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石膏像包含：参考尺寸 阿古力巴切面1件270*350mm， 腊空半面1件260*300mm， 太阳神头像1件200*170*380mm， 海盗头像1件500mm， 小大卫头像1件430*350*620mm，亚历山大1件330*410mm ，</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写生教具(2)</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圆球、四棱锥、六棱锥、长方体、正方体、圆柱体、六棱柱、圆锥、方带方、方锥、方锥带方、圆锥带圆、多面体、八棱柱、圆切、十二面体，要求色泽洁白，轮廓清晰。</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民间美术欣赏及写生样本</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中国结、京剧脸谱、扎染、蜡染、皮影、年画、木板年画、剪纸、面具、泥塑、玩具、风车、纹样、风筝、唐三彩、彩陶器、瓷器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画架</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1、材质：榉木，2、画架整体参考尺寸：600*650*1420（3000）mm，3、置画高度2000mm,4、平放高度：860mm，</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画板</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参考规格：600×900×18mm。</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写生凳</w:t>
            </w:r>
          </w:p>
        </w:tc>
        <w:tc>
          <w:tcPr>
            <w:tcW w:w="668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榉木参考规格300×（450-650）mm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学生画板</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椴木板，边框松木，参考规格：600mm×450mm×18mm，</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学生画架</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参考尺寸：330*350*480（620)mm，置画高度：580mm，材质：榉木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水彩画工具</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水彩画笔1～12#各一支，12格梅花调色盘，吸水海绵，可折叠水桶</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水粉画工具</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水粉画笔1～12#各一支，椭圆1/3调色盘 参考400mm*290mm*12mm，24格调色盒带盖，可折叠水桶</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素描工具</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素描铅笔一套包括：2H、2支；2B、4支；HB、1支；B、2支；3B、1支；4B、1支；5B、1支；6B、1支；7B、1支；8B、1支）；橡皮1块、可塑橡皮1块、美工刀1把、炭笔、炭条、铅笔延长器、纸笔各1支</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18</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彩铅画笔</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24色彩铅笔一套</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油彩棒</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24色重彩油画棒一套</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20</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水彩笔</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24色水彩笔一套</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颜料套装</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国画颜料24色12ml/支，水粉颜料24色12ml/支，水彩颜料24色12ml/支，墨汁250ml/瓶。</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展示画框</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参考尺寸：600mm×450mm黑色实木画框，边框宽22mm厚31mm，配背板，高透明亚克力面，挂钩</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展示画框</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参考尺寸：600mm×900mm黑色实木画框，边框宽22mm厚31mm，配背板，高透明亚克力面，挂钩</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学生墨汁</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精品墨汁180ml/瓶</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学生笔搁</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花梨木材质 参考尺寸：100*20mm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学生笔挂</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塑钢龙头笔挂，六挂十二针</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学生毛笔</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毛笔8支：大中小白云各一支，大中小提斗各1支，花枝俏、小依纹各1支</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学生镇尺</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加重型黑梓木，长度大于等于180mm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学生墨盒</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分槽式墨盒 参考尺寸：134*76*20mm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学生笔洗</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仿玉塑料笔洗，不易损坏，表面光滑，直径≥110mm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学生书画毡</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优质书画画毡，尺寸≥800*1200mm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半生熟宣纸</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半熟宣 参考尺寸：266*470mm 100张/包</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熟宣纸</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四尺全熟宣纸（1刀100张）</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国画调色盘</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梅花形白瓷，6寸，直径150mm</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篆刻工具</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篆刻刀、 印床、章料、 印泥、砂纸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国画颜料</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国画颜料24色12ml/支</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37</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书法挂图</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书法教学挂图或书法名作欣赏挂图，应为国家正式出版物</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38</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美术教学示范系统</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1.支持接入多目书画教学示范仪进行直播示范教学；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2.支持直播画面自由组合切换成画中画、双画面、单镜头等格式；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3.支持直播画面接入大屏进行示范教学；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4.支持录制高清示范视频，录制视频可作为教学微课资源；</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5.录制视频时支持同步录制教学音频；</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6.支持截取直播示范视频画面为图片； </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39</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数字写生与作品临摹系统</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提供风景的写生功能，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2.提供静物的写生功能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3.提供人物的写生功能，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4.支持自由缩放素材，支持旋转素材角度，支持素材调整饱和度、对比度和亮度；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5.支持添加线体、图形、立方体等不同辅助线帮助分析写生素材；</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6.支持九宫格、S型、十字形、三角形、三分法等多种构图辅助工具；</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7.提供多种类型的临摹作品，</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8.支持老师选定写生或临摹素材推送给学生进行创作或临摹；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9.支持对素材进行艺术化辅助处理，     </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40</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软笔书法辅助授课系统</w:t>
            </w:r>
          </w:p>
        </w:tc>
        <w:tc>
          <w:tcPr>
            <w:tcW w:w="6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提供软笔书法基础知识教学内容，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软笔书法教学内容提供欧、颜、柳和赵四种字体楷书教学内容，支持老师一键切换教学字体；</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3.提供软笔书法笔画教学内容，每种笔画提供教学讲义，讲解笔画的起笔行笔和收笔的书写方式，帮助教师讲毛笔笔画；</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4.提供软笔偏旁部首教学内容，每种偏旁部首提供教学讲义，讲解偏旁部首的书写方式和特点，辅助教师讲授毛笔偏旁部首；</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5.提供软笔间架结构的教学内容，每种结构提供简要书写讲义，讲解此类结构的特点和写法，辅助教师讲授毛笔间架结构教学内容；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6.提供楷书的结字规律，每种结字规律提供简要的讲义内容，讲解此类字的规律特点，辅助教师讲授楷体字的结字规律；</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7.每个教学例字提供原碑原帖形式、字帖形式、双钩形式和单钩形式，支持老师一键切换例字教学形式；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8.教学例字的教学面板支持修改书写格形式，包括方格、九宫格、米字格、田字格和回米格五种形式，支持修改格子线条颜色，支持更换例字颜色和例字背景颜色；</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9.教学例字采用矢量化图形字帖，可以自由拖拽调整例字大小，不失真；</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10.教学例字支持调取书写笔顺序列图，查看例字的书写笔顺；</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11.教学例字提供说文解字、康熙字典以及详细释义功能；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12.教学例字支持一键调取名师书写示范视频，视频包括俯拍画面视频和侧拍画面视频；</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13.教学例字示范视频支持播放时切换成双镜头、画中画和单镜头等不同画面形式，方便师生查看书写细节；</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14.教学例字提供边看边练功能，学生可以一边观看示范视频，一边进行临摹练习；</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15.单个例字支持一键书体对比，提供欧、颜、柳和赵字帖中的同字对比；</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16.单个例字支持一键字体对比，提供篆隶草行楷五种不同字体的同字对比；</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17.教学例字支持一键推送给学生临摹屏进行临摹练习；</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18.支持学生原帖原图临摹、矢量字帖临摹、双钩和单钩临摹，临摹字格；</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19.支持临摹方格、九宫格、田字格、米字格和回米格五种不同形式的字格临摹形式；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20.提供书法幅式、落款和印章的教学内容，教授学生学习幅式的种类及其特定，落款的形式和印章知识；</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21.提供历代书法名家生平介绍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22.提供书法小故事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23.支持接入书法教学云平台对外提供网络化教学服务功能；                                                                                                                  </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CellMar>
            <w:top w:w="0" w:type="dxa"/>
            <w:left w:w="0" w:type="dxa"/>
            <w:bottom w:w="0" w:type="dxa"/>
            <w:right w:w="0" w:type="dxa"/>
          </w:tblCellMar>
        </w:tblPrEx>
        <w:trPr>
          <w:trHeight w:val="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智慧黑板</w:t>
            </w:r>
          </w:p>
        </w:tc>
        <w:tc>
          <w:tcPr>
            <w:tcW w:w="66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1、尺寸：86英寸；</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2、背光类型：LED；</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3、分辨率：≥3840 * 2160；</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4、亮度：≥350 cd/㎡；</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5、对比度：≥3500：1；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6、响应时间：≤8ms；</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7、可视角度：≥178°；</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8、刷新率：60Hz；</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9、贴合方式：全贴；</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10、触摸面板：3mm AG钢化玻璃（全贴）；</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11、触摸技术：电容触控；</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12、触摸点数：安卓10点/Windows20点；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13、触控偏差：≤2mm；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14、Android版本：Android 9.0；</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16、CPU/GPU：Quad-Core Cortex-A55/ Multi-Core Mali-G52；</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17、处理器核数：四核；</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18、机身内存：16G ROM；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19、运行内存：2G RAM；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20、前置实体按键：包括但不限于电源，护眼，设置，音量+，音量-，图像比例，录屏；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21、前置接口：HDMI*1，Touch USB*1，USB3.0*3（双通道），Type-C*1（充电、USB数据传输）；</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22、后置接口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输入端口：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下置：Coax*1，AV Out*1，AV in*1，TV*1，PC Audio*1，VGA*1，RS232*1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侧置：RJ45*1，HDMI*2，Android USB*2，TF Card*1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输出端口：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Touch USB*1（侧置),Earphone*1（下置）Touch USB*1（侧置），Earphone*1（下置）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23、扬声器：15W x 2（朝前）i5十代/8G/256G固态，1*80pin 标准OPS接口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 x 千兆网卡（RJ45），1x M.2 WiFI（BT4.X）</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I/O接口：6× USB3.0 ， 1 × LINE-OUT &amp; MIC-IN</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支持硬件一键还原</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供电：支持19V/4.74A 供电</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bl>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2.4 舞蹈教室配置清单</w:t>
      </w:r>
    </w:p>
    <w:tbl>
      <w:tblPr>
        <w:tblStyle w:val="43"/>
        <w:tblW w:w="9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974"/>
        <w:gridCol w:w="6920"/>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名称</w:t>
            </w:r>
          </w:p>
        </w:tc>
        <w:tc>
          <w:tcPr>
            <w:tcW w:w="6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规格型号</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智慧黑板</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1、尺寸：86英寸；</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2、背光类型：LED；</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3、分辨率：≥3840 * 2160；</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4、亮度：≥350 cd/㎡；</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5、对比度：≥3500：1；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6、响应时间：≤8ms；</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7、可视角度：≥178°；</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8、刷新率：60Hz；</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9、贴合方式：全贴；</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10、触摸面板：3mm AG钢化玻璃（全贴）；</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11、触摸技术：电容触控；</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12、触摸点数：安卓10点/Windows20点；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13、差值分辨率：32767 * 32767；</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14、触控偏差：≤2mm；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15、Android版本：Android 9.0；</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16、CPU/GPU：Quad-Core Cortex-A55/ Multi-Core Mali-G52；</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17、处理器核数：四核；</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18、机身内存：16G ROM；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19、运行内存：2G RAM；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20、前置实体按键：包括但不限于电源，护眼，设置，音量+，音量-，图像比例，录屏；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21、前置接口：HDMI*1，Touch USB*1，USB3.0*3（双通道），Type-C*1（充电、USB数据传输）；</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22、后置接口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输入端口：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下置：Coax*1，AV Out*1，AV in*1，TV*1，PC Audio*1，VGA*1，RS232*1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侧置：RJ45*1，HDMI*2，Android USB*2，TF Card*1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输出端口：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Touch USB*1（侧置),Earphone*1（下置）Touch USB*1（侧置），Earphone*1（下置）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23、扬声器：15W x 2（朝前）</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智慧云音乐教室教学系统</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系统具有账号登录功能，支持本地验证（证书文件验证）和网络验证（通过账号密码或手机号验证码）两种登录形式供选择。系统首页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包括但不限于歌唱教学、音乐创编、乐理教学、器乐教学、音乐欣赏等至少五个模块。</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创作编曲</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1、包括但不限于简谱创编、五线谱创编、节奏谱创编、合唱谱创编、钢琴谱创编等至少五种模式。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2、具有钢琴大谱表和复合谱表等常用谱表。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3、支持总谱打谱，无限添加谱表，可设定每个谱表为不同的音色，可设置钢琴谱表、器乐合奏谱、合唱谱。</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4、支持对音符的音高、时值、符干方向、连音线、减时线、音阶、倚音、和弦、多音符、异部曲、歌词时值、歌词连线、符号记号、曲谱标注、乐器图库、乐器图标等设置。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5、支持通过区域选择总谱、单个谱表、单个或多个小节或音符等，并进行复制、删除、播放等操作。</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6、支持歌曲名称、标题、副标题、作者信息、版权、演奏形式、演奏速度等基本信息的录入和修改；</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7、支持单个或多个小节的复制、粘贴、删除。任意位置插入新小节，另支持不完全小节和多声部小节；</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8、创编过程中支持根据拍号和音符时值，对小节的时值自动进行计算和休止符自动填充；</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9、支持单个或多个音符的选择、连音的单选，倚音的单选，歌词的单字选择以及替换和删除；</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在打谱时可以通过一体机（触控屏）、电脑键盘、电子键盘、虚拟MIDI键盘进行音符的快捷录入。可以点击按钮来改变音符音高属性，乐谱录入后可自动转换为对应的五线谱或简谱，无需手动操作。且转换后的谱表可以继续进行乐谱的编辑和播放。</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11、五线谱创编和简谱创编均支持快捷键录入的方式；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12、五线谱创编、简谱创编状态下快捷键数量不低于40个。</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13、支持多段歌词编辑，用于多段落歌词填写方便快捷，可添加段落数量大于10个；</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14、简谱创作至少包含十六分音符、三十二分音符、六十四分音符、一百二十八分音符、连音线、延音线、高音、低音、单附点音符、双附点音符、常用记号等；</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15、曲谱拍速默认120，可根据曲谱进行左右量的调节。</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16、通过虚拟MIDI键盘可自动识别音高、和弦音并录入。</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17、具有不少于播放、循环播放、撤销、重做按钮。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18、可将曲谱以任意小节处进行换行操作。</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19、可对音符间距进行加宽或减宽处理。</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20、支持谱号、调号、拍号、小节线、倚音、线条记号、琶音与滑音、呼吸与停顿、连谱号、装饰音与演奏记号、力度记号、指法、临时升降记号、震音、重复与跳转等符号和记号的快速搜素查找、插入和删除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三、白板教学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1、支持乐谱（包含大谱表、曲谱）的直接引入便于教学。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2、支持在白板中嵌入网页超链接。</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3、可以支持在五线谱与简谱混合编辑页面内直接插入表格，插入时可选择行数和列数。表格编辑支持行/列的增加和删除。</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4、支持包含大谱表、音符图标、文字输入框、表格、基本图形、常用图形、乐器图库、记号图标、课本资源、乐器百科、中外音乐历史资料等资源。</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5、支持对未编辑完成白板内容以草稿形式保存和打开。用户可直接打开草稿文件，对白板进行再次编辑。</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6、支持在白板中添加系统资源中的曲谱文件，并支持位置调整、删除、编辑、播放、另存等操作。</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7、支持在白板中添加系统资源中的图片文件</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8、支持在白板中添加系统资源中的视频文件</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支持在白板中导入系统资源中的文档文件</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10、支持以文档和图片等格式文件的方式对白板内容进行导出。</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11、白板支持左侧、右侧两个方向引出（支持定制），工作区无限高度和宽度的白板，并可通过拖拽操作控制白板显示区域的高度和宽度，更加便于实际教学工作的使用。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12、单面白板对高度和宽度均无限制，数量无限制级别。</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13、标注功能按钮：铅笔，半透明的荧光笔、自动消失的激光笔，笔记粗细可支持至少六度调节，颜色可调至少7色，手势黑板擦、橡皮擦，擦除全部。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14、支持多种图元的任意组合和拆分。</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15、支持对电子白板的按比例放大和缩小，标注的笔迹等内容同步缩放。</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16、支持使用手势对白板进行平移、放大/缩小、擦除等操作。</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17、支持指定区域按键截图。</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18、局部快照导入包含：以图片形式插入到乐谱教学系统内，以背景形式插入到乐谱教学系统内，插入到视频展台的参照窗口；</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19、音乐知识包含了乐器知识、音乐理论知识，中国戏曲、中外音乐史、东西方音乐家介绍等。可插入图片、文件，进行文字、图片混合教学应用。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20、背景更换：支持包括但不限于纹理、纯色、渐变、透明等多种背景切换。</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21､支持一键授课功能，点击授课按钮将进入白板的授课状态，此时可通过标注功能按钮进行授课时必要的标记、备注等操作。</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四、乐理教学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1、具有至少一组大谱表，88键/61键可选的虚拟键盘，虚拟键盘可一键显隐；</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2、选中大谱表中的音符，触动虚拟键盘或实体键盘，音符可自动匹配音高。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3、五线谱音符与对应的音名、唱名、简谱同步垂直。</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4、虚拟键盘、五线谱谱表、实体电钢琴键盘互相映射操作同步。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5、能根据调试在虚拟键盘上显示唱名、在谱表上记录并显示弹奏音符与和弦位置，该功能支持启停。虚拟键盘支持弹奏记录，支持记录前五个键位；</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6、节拍器具有速度直选功能，可直选的数量不低于35种；拍型可自定义，自定义范围不低于12种。</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7、系统配备可显隐的调式选择器工具，通过调式选择器选择待修改的调号后，五线谱谱表上的调号随之改变；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8、选择音符，下拉选择待录入的和弦名称，支持三和弦（三个音的和弦）、七和弦（四个音的和弦）。点击录入和弦按钮即可完成和弦的录入；</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9、支持当键盘被按下或选择某个音符后，显示其它所有键位与其对应的音程关系；</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10、具有截图及录屏功能按钮；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11、支持引入课件资源中任意乐谱进行讲解教学。包括但不限于五线谱、简谱、钢琴谱；</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12、具有音量调节及返回首页，退出系统等功能；</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四、器乐教学</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1、与音乐教学指法采集终端硬件无缝挂接，电子键盘琴键影像与虚拟键盘琴键一一对应。</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2、触动实体键盘，虚拟键盘将与之对应的键位呈高亮显示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3、可根据需要设置61/88键盘。</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4、系统将教师电钢琴映射成虚拟音乐键盘，虚拟音乐键盘与教师示范画面上下排列，教师示范时，所弹奏琴键即在虚拟音乐键盘上实时高亮显示；</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5、可直观呈现目前系统所连接的设备名称。</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六、音乐欣赏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1、点击后进入课件资源管理页，选择待播放的音视频文件，双击进行播放。</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2、具有切换全屏或缩放播放模式。</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3、支持通过进度条选择播放位置。</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4、显示当前播放时间/全部视频时长。</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5、支持选择播放倍速。</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七、硬件音乐指法采集器</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音乐教学指法采集器为便携式视频设备，视频幅面完全覆盖音乐琴键，完整展示教师演奏示范。非球型或枪型摄像机。</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2、能实现61键/88键全键盘且无曲面展示教师手型及弹奏过程。</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3、拍摄画面分辨率≥1920*1080，动态速度在 25帧/秒以上，无拖影，无延时。</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4、虚拟键盘与实体键盘一一对应，触动实体键盘琴键时，虚拟键盘会同步高亮显示所弹琴键。</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音乐与舞蹈（必修）多媒体课件</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国家正规出版物，U盘为载体。适用于普通初中及高中。</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把杆</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要求，水曲柳木外涂环保清漆，无表面光滑，长度3米一根。高度低于120mm，内穿15mm软钢。升降式、可移动底座。</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舞蹈垫</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参考尺寸：180×80cm，高密度NBR材质，厚度：不少于1cm。</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舞蹈练功球</w:t>
            </w:r>
          </w:p>
        </w:tc>
        <w:tc>
          <w:tcPr>
            <w:tcW w:w="6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直径：约55cm，加厚防爆，</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7</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镜子</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6640" behindDoc="0" locked="0" layoutInCell="1" allowOverlap="1">
                  <wp:simplePos x="0" y="0"/>
                  <wp:positionH relativeFrom="column">
                    <wp:posOffset>0</wp:posOffset>
                  </wp:positionH>
                  <wp:positionV relativeFrom="paragraph">
                    <wp:posOffset>190500</wp:posOffset>
                  </wp:positionV>
                  <wp:extent cx="304800" cy="4577715"/>
                  <wp:effectExtent l="0" t="0" r="0" b="0"/>
                  <wp:wrapNone/>
                  <wp:docPr id="349" name="AutoShape_168_SpCnt_69"/>
                  <wp:cNvGraphicFramePr/>
                  <a:graphic xmlns:a="http://schemas.openxmlformats.org/drawingml/2006/main">
                    <a:graphicData uri="http://schemas.openxmlformats.org/drawingml/2006/picture">
                      <pic:pic xmlns:pic="http://schemas.openxmlformats.org/drawingml/2006/picture">
                        <pic:nvPicPr>
                          <pic:cNvPr id="349" name="AutoShape_168_SpCnt_6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t>定制</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8</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功率放大器</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 name="AutoShape_168"/>
                  <wp:cNvGraphicFramePr/>
                  <a:graphic xmlns:a="http://schemas.openxmlformats.org/drawingml/2006/main">
                    <a:graphicData uri="http://schemas.openxmlformats.org/drawingml/2006/picture">
                      <pic:pic xmlns:pic="http://schemas.openxmlformats.org/drawingml/2006/picture">
                        <pic:nvPicPr>
                          <pic:cNvPr id="2" name="AutoShape_16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 name="AutoShape_171"/>
                  <wp:cNvGraphicFramePr/>
                  <a:graphic xmlns:a="http://schemas.openxmlformats.org/drawingml/2006/main">
                    <a:graphicData uri="http://schemas.openxmlformats.org/drawingml/2006/picture">
                      <pic:pic xmlns:pic="http://schemas.openxmlformats.org/drawingml/2006/picture">
                        <pic:nvPicPr>
                          <pic:cNvPr id="4" name="AutoShape_17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 name="AutoShape_168_SpCnt_1"/>
                  <wp:cNvGraphicFramePr/>
                  <a:graphic xmlns:a="http://schemas.openxmlformats.org/drawingml/2006/main">
                    <a:graphicData uri="http://schemas.openxmlformats.org/drawingml/2006/picture">
                      <pic:pic xmlns:pic="http://schemas.openxmlformats.org/drawingml/2006/picture">
                        <pic:nvPicPr>
                          <pic:cNvPr id="5" name="AutoShape_168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 name="AutoShape_171_SpCnt_1"/>
                  <wp:cNvGraphicFramePr/>
                  <a:graphic xmlns:a="http://schemas.openxmlformats.org/drawingml/2006/main">
                    <a:graphicData uri="http://schemas.openxmlformats.org/drawingml/2006/picture">
                      <pic:pic xmlns:pic="http://schemas.openxmlformats.org/drawingml/2006/picture">
                        <pic:nvPicPr>
                          <pic:cNvPr id="6" name="AutoShape_171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 name="AutoShape_168_SpCnt_2"/>
                  <wp:cNvGraphicFramePr/>
                  <a:graphic xmlns:a="http://schemas.openxmlformats.org/drawingml/2006/main">
                    <a:graphicData uri="http://schemas.openxmlformats.org/drawingml/2006/picture">
                      <pic:pic xmlns:pic="http://schemas.openxmlformats.org/drawingml/2006/picture">
                        <pic:nvPicPr>
                          <pic:cNvPr id="7" name="AutoShape_168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 name="AutoShape_171_SpCnt_2"/>
                  <wp:cNvGraphicFramePr/>
                  <a:graphic xmlns:a="http://schemas.openxmlformats.org/drawingml/2006/main">
                    <a:graphicData uri="http://schemas.openxmlformats.org/drawingml/2006/picture">
                      <pic:pic xmlns:pic="http://schemas.openxmlformats.org/drawingml/2006/picture">
                        <pic:nvPicPr>
                          <pic:cNvPr id="8" name="AutoShape_171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 name="Rectangle_4298"/>
                  <wp:cNvGraphicFramePr/>
                  <a:graphic xmlns:a="http://schemas.openxmlformats.org/drawingml/2006/main">
                    <a:graphicData uri="http://schemas.openxmlformats.org/drawingml/2006/picture">
                      <pic:pic xmlns:pic="http://schemas.openxmlformats.org/drawingml/2006/picture">
                        <pic:nvPicPr>
                          <pic:cNvPr id="9" name="Rectangle_429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 name="AutoShape_170"/>
                  <wp:cNvGraphicFramePr/>
                  <a:graphic xmlns:a="http://schemas.openxmlformats.org/drawingml/2006/main">
                    <a:graphicData uri="http://schemas.openxmlformats.org/drawingml/2006/picture">
                      <pic:pic xmlns:pic="http://schemas.openxmlformats.org/drawingml/2006/picture">
                        <pic:nvPicPr>
                          <pic:cNvPr id="10" name="AutoShape_17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 name="AutoShape_170_SpCnt_1"/>
                  <wp:cNvGraphicFramePr/>
                  <a:graphic xmlns:a="http://schemas.openxmlformats.org/drawingml/2006/main">
                    <a:graphicData uri="http://schemas.openxmlformats.org/drawingml/2006/picture">
                      <pic:pic xmlns:pic="http://schemas.openxmlformats.org/drawingml/2006/picture">
                        <pic:nvPicPr>
                          <pic:cNvPr id="11" name="AutoShape_170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 name="AutoShape_168_SpCnt_3"/>
                  <wp:cNvGraphicFramePr/>
                  <a:graphic xmlns:a="http://schemas.openxmlformats.org/drawingml/2006/main">
                    <a:graphicData uri="http://schemas.openxmlformats.org/drawingml/2006/picture">
                      <pic:pic xmlns:pic="http://schemas.openxmlformats.org/drawingml/2006/picture">
                        <pic:nvPicPr>
                          <pic:cNvPr id="12" name="AutoShape_168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 name="AutoShape_171_SpCnt_3"/>
                  <wp:cNvGraphicFramePr/>
                  <a:graphic xmlns:a="http://schemas.openxmlformats.org/drawingml/2006/main">
                    <a:graphicData uri="http://schemas.openxmlformats.org/drawingml/2006/picture">
                      <pic:pic xmlns:pic="http://schemas.openxmlformats.org/drawingml/2006/picture">
                        <pic:nvPicPr>
                          <pic:cNvPr id="13" name="AutoShape_171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 name="AutoShape_170_SpCnt_2"/>
                  <wp:cNvGraphicFramePr/>
                  <a:graphic xmlns:a="http://schemas.openxmlformats.org/drawingml/2006/main">
                    <a:graphicData uri="http://schemas.openxmlformats.org/drawingml/2006/picture">
                      <pic:pic xmlns:pic="http://schemas.openxmlformats.org/drawingml/2006/picture">
                        <pic:nvPicPr>
                          <pic:cNvPr id="14" name="AutoShape_170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 name="AutoShape_168_SpCnt_4"/>
                  <wp:cNvGraphicFramePr/>
                  <a:graphic xmlns:a="http://schemas.openxmlformats.org/drawingml/2006/main">
                    <a:graphicData uri="http://schemas.openxmlformats.org/drawingml/2006/picture">
                      <pic:pic xmlns:pic="http://schemas.openxmlformats.org/drawingml/2006/picture">
                        <pic:nvPicPr>
                          <pic:cNvPr id="15" name="AutoShape_168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 name="AutoShape_171_SpCnt_4"/>
                  <wp:cNvGraphicFramePr/>
                  <a:graphic xmlns:a="http://schemas.openxmlformats.org/drawingml/2006/main">
                    <a:graphicData uri="http://schemas.openxmlformats.org/drawingml/2006/picture">
                      <pic:pic xmlns:pic="http://schemas.openxmlformats.org/drawingml/2006/picture">
                        <pic:nvPicPr>
                          <pic:cNvPr id="16" name="AutoShape_171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 name="AutoShape_170_SpCnt_3"/>
                  <wp:cNvGraphicFramePr/>
                  <a:graphic xmlns:a="http://schemas.openxmlformats.org/drawingml/2006/main">
                    <a:graphicData uri="http://schemas.openxmlformats.org/drawingml/2006/picture">
                      <pic:pic xmlns:pic="http://schemas.openxmlformats.org/drawingml/2006/picture">
                        <pic:nvPicPr>
                          <pic:cNvPr id="17" name="AutoShape_170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 name="AutoShape_168_SpCnt_5"/>
                  <wp:cNvGraphicFramePr/>
                  <a:graphic xmlns:a="http://schemas.openxmlformats.org/drawingml/2006/main">
                    <a:graphicData uri="http://schemas.openxmlformats.org/drawingml/2006/picture">
                      <pic:pic xmlns:pic="http://schemas.openxmlformats.org/drawingml/2006/picture">
                        <pic:nvPicPr>
                          <pic:cNvPr id="18" name="AutoShape_168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 name="AutoShape_171_SpCnt_5"/>
                  <wp:cNvGraphicFramePr/>
                  <a:graphic xmlns:a="http://schemas.openxmlformats.org/drawingml/2006/main">
                    <a:graphicData uri="http://schemas.openxmlformats.org/drawingml/2006/picture">
                      <pic:pic xmlns:pic="http://schemas.openxmlformats.org/drawingml/2006/picture">
                        <pic:nvPicPr>
                          <pic:cNvPr id="19" name="AutoShape_171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 name="AutoShape_170_SpCnt_4"/>
                  <wp:cNvGraphicFramePr/>
                  <a:graphic xmlns:a="http://schemas.openxmlformats.org/drawingml/2006/main">
                    <a:graphicData uri="http://schemas.openxmlformats.org/drawingml/2006/picture">
                      <pic:pic xmlns:pic="http://schemas.openxmlformats.org/drawingml/2006/picture">
                        <pic:nvPicPr>
                          <pic:cNvPr id="20" name="AutoShape_170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 name="AutoShape_168_SpCnt_6"/>
                  <wp:cNvGraphicFramePr/>
                  <a:graphic xmlns:a="http://schemas.openxmlformats.org/drawingml/2006/main">
                    <a:graphicData uri="http://schemas.openxmlformats.org/drawingml/2006/picture">
                      <pic:pic xmlns:pic="http://schemas.openxmlformats.org/drawingml/2006/picture">
                        <pic:nvPicPr>
                          <pic:cNvPr id="21" name="AutoShape_168_SpCnt_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 name="AutoShape_171_SpCnt_6"/>
                  <wp:cNvGraphicFramePr/>
                  <a:graphic xmlns:a="http://schemas.openxmlformats.org/drawingml/2006/main">
                    <a:graphicData uri="http://schemas.openxmlformats.org/drawingml/2006/picture">
                      <pic:pic xmlns:pic="http://schemas.openxmlformats.org/drawingml/2006/picture">
                        <pic:nvPicPr>
                          <pic:cNvPr id="22" name="AutoShape_171_SpCnt_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 name="AutoShape_170_SpCnt_5"/>
                  <wp:cNvGraphicFramePr/>
                  <a:graphic xmlns:a="http://schemas.openxmlformats.org/drawingml/2006/main">
                    <a:graphicData uri="http://schemas.openxmlformats.org/drawingml/2006/picture">
                      <pic:pic xmlns:pic="http://schemas.openxmlformats.org/drawingml/2006/picture">
                        <pic:nvPicPr>
                          <pic:cNvPr id="24" name="AutoShape_170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 name="AutoShape_168_SpCnt_7"/>
                  <wp:cNvGraphicFramePr/>
                  <a:graphic xmlns:a="http://schemas.openxmlformats.org/drawingml/2006/main">
                    <a:graphicData uri="http://schemas.openxmlformats.org/drawingml/2006/picture">
                      <pic:pic xmlns:pic="http://schemas.openxmlformats.org/drawingml/2006/picture">
                        <pic:nvPicPr>
                          <pic:cNvPr id="25" name="AutoShape_168_SpCnt_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 name="AutoShape_171_SpCnt_7"/>
                  <wp:cNvGraphicFramePr/>
                  <a:graphic xmlns:a="http://schemas.openxmlformats.org/drawingml/2006/main">
                    <a:graphicData uri="http://schemas.openxmlformats.org/drawingml/2006/picture">
                      <pic:pic xmlns:pic="http://schemas.openxmlformats.org/drawingml/2006/picture">
                        <pic:nvPicPr>
                          <pic:cNvPr id="26" name="AutoShape_171_SpCnt_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 name="AutoShape_168_SpCnt_8"/>
                  <wp:cNvGraphicFramePr/>
                  <a:graphic xmlns:a="http://schemas.openxmlformats.org/drawingml/2006/main">
                    <a:graphicData uri="http://schemas.openxmlformats.org/drawingml/2006/picture">
                      <pic:pic xmlns:pic="http://schemas.openxmlformats.org/drawingml/2006/picture">
                        <pic:nvPicPr>
                          <pic:cNvPr id="31" name="AutoShape_168_SpCnt_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 name="AutoShape_168_SpCnt_9"/>
                  <wp:cNvGraphicFramePr/>
                  <a:graphic xmlns:a="http://schemas.openxmlformats.org/drawingml/2006/main">
                    <a:graphicData uri="http://schemas.openxmlformats.org/drawingml/2006/picture">
                      <pic:pic xmlns:pic="http://schemas.openxmlformats.org/drawingml/2006/picture">
                        <pic:nvPicPr>
                          <pic:cNvPr id="32" name="AutoShape_168_SpCnt_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 name="Rectangle_3429"/>
                  <wp:cNvGraphicFramePr/>
                  <a:graphic xmlns:a="http://schemas.openxmlformats.org/drawingml/2006/main">
                    <a:graphicData uri="http://schemas.openxmlformats.org/drawingml/2006/picture">
                      <pic:pic xmlns:pic="http://schemas.openxmlformats.org/drawingml/2006/picture">
                        <pic:nvPicPr>
                          <pic:cNvPr id="33" name="Rectangle_342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 name="Rectangle_3428"/>
                  <wp:cNvGraphicFramePr/>
                  <a:graphic xmlns:a="http://schemas.openxmlformats.org/drawingml/2006/main">
                    <a:graphicData uri="http://schemas.openxmlformats.org/drawingml/2006/picture">
                      <pic:pic xmlns:pic="http://schemas.openxmlformats.org/drawingml/2006/picture">
                        <pic:nvPicPr>
                          <pic:cNvPr id="34" name="Rectangle_342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 name="Rectangle_3427"/>
                  <wp:cNvGraphicFramePr/>
                  <a:graphic xmlns:a="http://schemas.openxmlformats.org/drawingml/2006/main">
                    <a:graphicData uri="http://schemas.openxmlformats.org/drawingml/2006/picture">
                      <pic:pic xmlns:pic="http://schemas.openxmlformats.org/drawingml/2006/picture">
                        <pic:nvPicPr>
                          <pic:cNvPr id="35" name="Rectangle_342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6" name="Rectangle_3426"/>
                  <wp:cNvGraphicFramePr/>
                  <a:graphic xmlns:a="http://schemas.openxmlformats.org/drawingml/2006/main">
                    <a:graphicData uri="http://schemas.openxmlformats.org/drawingml/2006/picture">
                      <pic:pic xmlns:pic="http://schemas.openxmlformats.org/drawingml/2006/picture">
                        <pic:nvPicPr>
                          <pic:cNvPr id="36" name="Rectangle_342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7" name="Rectangle_3425"/>
                  <wp:cNvGraphicFramePr/>
                  <a:graphic xmlns:a="http://schemas.openxmlformats.org/drawingml/2006/main">
                    <a:graphicData uri="http://schemas.openxmlformats.org/drawingml/2006/picture">
                      <pic:pic xmlns:pic="http://schemas.openxmlformats.org/drawingml/2006/picture">
                        <pic:nvPicPr>
                          <pic:cNvPr id="37" name="Rectangle_342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8" name="Rectangle_3424"/>
                  <wp:cNvGraphicFramePr/>
                  <a:graphic xmlns:a="http://schemas.openxmlformats.org/drawingml/2006/main">
                    <a:graphicData uri="http://schemas.openxmlformats.org/drawingml/2006/picture">
                      <pic:pic xmlns:pic="http://schemas.openxmlformats.org/drawingml/2006/picture">
                        <pic:nvPicPr>
                          <pic:cNvPr id="38" name="Rectangle_342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9" name="Rectangle_3423"/>
                  <wp:cNvGraphicFramePr/>
                  <a:graphic xmlns:a="http://schemas.openxmlformats.org/drawingml/2006/main">
                    <a:graphicData uri="http://schemas.openxmlformats.org/drawingml/2006/picture">
                      <pic:pic xmlns:pic="http://schemas.openxmlformats.org/drawingml/2006/picture">
                        <pic:nvPicPr>
                          <pic:cNvPr id="39" name="Rectangle_342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0" name="Rectangle_3422"/>
                  <wp:cNvGraphicFramePr/>
                  <a:graphic xmlns:a="http://schemas.openxmlformats.org/drawingml/2006/main">
                    <a:graphicData uri="http://schemas.openxmlformats.org/drawingml/2006/picture">
                      <pic:pic xmlns:pic="http://schemas.openxmlformats.org/drawingml/2006/picture">
                        <pic:nvPicPr>
                          <pic:cNvPr id="40" name="Rectangle_342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1" name="Rectangle_3421"/>
                  <wp:cNvGraphicFramePr/>
                  <a:graphic xmlns:a="http://schemas.openxmlformats.org/drawingml/2006/main">
                    <a:graphicData uri="http://schemas.openxmlformats.org/drawingml/2006/picture">
                      <pic:pic xmlns:pic="http://schemas.openxmlformats.org/drawingml/2006/picture">
                        <pic:nvPicPr>
                          <pic:cNvPr id="41" name="Rectangle_342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2" name="Rectangle_3420"/>
                  <wp:cNvGraphicFramePr/>
                  <a:graphic xmlns:a="http://schemas.openxmlformats.org/drawingml/2006/main">
                    <a:graphicData uri="http://schemas.openxmlformats.org/drawingml/2006/picture">
                      <pic:pic xmlns:pic="http://schemas.openxmlformats.org/drawingml/2006/picture">
                        <pic:nvPicPr>
                          <pic:cNvPr id="42" name="Rectangle_342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3" name="Rectangle_3416"/>
                  <wp:cNvGraphicFramePr/>
                  <a:graphic xmlns:a="http://schemas.openxmlformats.org/drawingml/2006/main">
                    <a:graphicData uri="http://schemas.openxmlformats.org/drawingml/2006/picture">
                      <pic:pic xmlns:pic="http://schemas.openxmlformats.org/drawingml/2006/picture">
                        <pic:nvPicPr>
                          <pic:cNvPr id="43" name="Rectangle_341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4" name="Rectangle_3413"/>
                  <wp:cNvGraphicFramePr/>
                  <a:graphic xmlns:a="http://schemas.openxmlformats.org/drawingml/2006/main">
                    <a:graphicData uri="http://schemas.openxmlformats.org/drawingml/2006/picture">
                      <pic:pic xmlns:pic="http://schemas.openxmlformats.org/drawingml/2006/picture">
                        <pic:nvPicPr>
                          <pic:cNvPr id="44" name="Rectangle_341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5" name="Rectangle_3410"/>
                  <wp:cNvGraphicFramePr/>
                  <a:graphic xmlns:a="http://schemas.openxmlformats.org/drawingml/2006/main">
                    <a:graphicData uri="http://schemas.openxmlformats.org/drawingml/2006/picture">
                      <pic:pic xmlns:pic="http://schemas.openxmlformats.org/drawingml/2006/picture">
                        <pic:nvPicPr>
                          <pic:cNvPr id="45" name="Rectangle_341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6" name="Rectangle_3407"/>
                  <wp:cNvGraphicFramePr/>
                  <a:graphic xmlns:a="http://schemas.openxmlformats.org/drawingml/2006/main">
                    <a:graphicData uri="http://schemas.openxmlformats.org/drawingml/2006/picture">
                      <pic:pic xmlns:pic="http://schemas.openxmlformats.org/drawingml/2006/picture">
                        <pic:nvPicPr>
                          <pic:cNvPr id="46" name="Rectangle_340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7" name="AutoShape_170_SpCnt_6"/>
                  <wp:cNvGraphicFramePr/>
                  <a:graphic xmlns:a="http://schemas.openxmlformats.org/drawingml/2006/main">
                    <a:graphicData uri="http://schemas.openxmlformats.org/drawingml/2006/picture">
                      <pic:pic xmlns:pic="http://schemas.openxmlformats.org/drawingml/2006/picture">
                        <pic:nvPicPr>
                          <pic:cNvPr id="47" name="AutoShape_170_SpCnt_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8" name="AutoShape_168_SpCnt_10"/>
                  <wp:cNvGraphicFramePr/>
                  <a:graphic xmlns:a="http://schemas.openxmlformats.org/drawingml/2006/main">
                    <a:graphicData uri="http://schemas.openxmlformats.org/drawingml/2006/picture">
                      <pic:pic xmlns:pic="http://schemas.openxmlformats.org/drawingml/2006/picture">
                        <pic:nvPicPr>
                          <pic:cNvPr id="48" name="AutoShape_168_SpCnt_1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49" name="Rectangle_3429_SpCnt_1"/>
                  <wp:cNvGraphicFramePr/>
                  <a:graphic xmlns:a="http://schemas.openxmlformats.org/drawingml/2006/main">
                    <a:graphicData uri="http://schemas.openxmlformats.org/drawingml/2006/picture">
                      <pic:pic xmlns:pic="http://schemas.openxmlformats.org/drawingml/2006/picture">
                        <pic:nvPicPr>
                          <pic:cNvPr id="49" name="Rectangle_3429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0" name="Rectangle_3428_SpCnt_1"/>
                  <wp:cNvGraphicFramePr/>
                  <a:graphic xmlns:a="http://schemas.openxmlformats.org/drawingml/2006/main">
                    <a:graphicData uri="http://schemas.openxmlformats.org/drawingml/2006/picture">
                      <pic:pic xmlns:pic="http://schemas.openxmlformats.org/drawingml/2006/picture">
                        <pic:nvPicPr>
                          <pic:cNvPr id="50" name="Rectangle_3428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1" name="Rectangle_3427_SpCnt_1"/>
                  <wp:cNvGraphicFramePr/>
                  <a:graphic xmlns:a="http://schemas.openxmlformats.org/drawingml/2006/main">
                    <a:graphicData uri="http://schemas.openxmlformats.org/drawingml/2006/picture">
                      <pic:pic xmlns:pic="http://schemas.openxmlformats.org/drawingml/2006/picture">
                        <pic:nvPicPr>
                          <pic:cNvPr id="51" name="Rectangle_3427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2" name="Rectangle_3426_SpCnt_1"/>
                  <wp:cNvGraphicFramePr/>
                  <a:graphic xmlns:a="http://schemas.openxmlformats.org/drawingml/2006/main">
                    <a:graphicData uri="http://schemas.openxmlformats.org/drawingml/2006/picture">
                      <pic:pic xmlns:pic="http://schemas.openxmlformats.org/drawingml/2006/picture">
                        <pic:nvPicPr>
                          <pic:cNvPr id="52" name="Rectangle_3426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3" name="Rectangle_3425_SpCnt_1"/>
                  <wp:cNvGraphicFramePr/>
                  <a:graphic xmlns:a="http://schemas.openxmlformats.org/drawingml/2006/main">
                    <a:graphicData uri="http://schemas.openxmlformats.org/drawingml/2006/picture">
                      <pic:pic xmlns:pic="http://schemas.openxmlformats.org/drawingml/2006/picture">
                        <pic:nvPicPr>
                          <pic:cNvPr id="53" name="Rectangle_3425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4" name="Rectangle_4297"/>
                  <wp:cNvGraphicFramePr/>
                  <a:graphic xmlns:a="http://schemas.openxmlformats.org/drawingml/2006/main">
                    <a:graphicData uri="http://schemas.openxmlformats.org/drawingml/2006/picture">
                      <pic:pic xmlns:pic="http://schemas.openxmlformats.org/drawingml/2006/picture">
                        <pic:nvPicPr>
                          <pic:cNvPr id="54" name="Rectangle_429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5" name="AutoShape_171_SpCnt_8"/>
                  <wp:cNvGraphicFramePr/>
                  <a:graphic xmlns:a="http://schemas.openxmlformats.org/drawingml/2006/main">
                    <a:graphicData uri="http://schemas.openxmlformats.org/drawingml/2006/picture">
                      <pic:pic xmlns:pic="http://schemas.openxmlformats.org/drawingml/2006/picture">
                        <pic:nvPicPr>
                          <pic:cNvPr id="55" name="AutoShape_171_SpCnt_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6" name="Rectangle_3423_SpCnt_1"/>
                  <wp:cNvGraphicFramePr/>
                  <a:graphic xmlns:a="http://schemas.openxmlformats.org/drawingml/2006/main">
                    <a:graphicData uri="http://schemas.openxmlformats.org/drawingml/2006/picture">
                      <pic:pic xmlns:pic="http://schemas.openxmlformats.org/drawingml/2006/picture">
                        <pic:nvPicPr>
                          <pic:cNvPr id="56" name="Rectangle_3423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7" name="Rectangle_3422_SpCnt_1"/>
                  <wp:cNvGraphicFramePr/>
                  <a:graphic xmlns:a="http://schemas.openxmlformats.org/drawingml/2006/main">
                    <a:graphicData uri="http://schemas.openxmlformats.org/drawingml/2006/picture">
                      <pic:pic xmlns:pic="http://schemas.openxmlformats.org/drawingml/2006/picture">
                        <pic:nvPicPr>
                          <pic:cNvPr id="57" name="Rectangle_3422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8" name="Rectangle_3421_SpCnt_1"/>
                  <wp:cNvGraphicFramePr/>
                  <a:graphic xmlns:a="http://schemas.openxmlformats.org/drawingml/2006/main">
                    <a:graphicData uri="http://schemas.openxmlformats.org/drawingml/2006/picture">
                      <pic:pic xmlns:pic="http://schemas.openxmlformats.org/drawingml/2006/picture">
                        <pic:nvPicPr>
                          <pic:cNvPr id="58" name="Rectangle_3421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59" name="Rectangle_3420_SpCnt_1"/>
                  <wp:cNvGraphicFramePr/>
                  <a:graphic xmlns:a="http://schemas.openxmlformats.org/drawingml/2006/main">
                    <a:graphicData uri="http://schemas.openxmlformats.org/drawingml/2006/picture">
                      <pic:pic xmlns:pic="http://schemas.openxmlformats.org/drawingml/2006/picture">
                        <pic:nvPicPr>
                          <pic:cNvPr id="59" name="Rectangle_3420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0" name="Rectangle_3416_SpCnt_1"/>
                  <wp:cNvGraphicFramePr/>
                  <a:graphic xmlns:a="http://schemas.openxmlformats.org/drawingml/2006/main">
                    <a:graphicData uri="http://schemas.openxmlformats.org/drawingml/2006/picture">
                      <pic:pic xmlns:pic="http://schemas.openxmlformats.org/drawingml/2006/picture">
                        <pic:nvPicPr>
                          <pic:cNvPr id="60" name="Rectangle_3416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1" name="Rectangle_3413_SpCnt_1"/>
                  <wp:cNvGraphicFramePr/>
                  <a:graphic xmlns:a="http://schemas.openxmlformats.org/drawingml/2006/main">
                    <a:graphicData uri="http://schemas.openxmlformats.org/drawingml/2006/picture">
                      <pic:pic xmlns:pic="http://schemas.openxmlformats.org/drawingml/2006/picture">
                        <pic:nvPicPr>
                          <pic:cNvPr id="61" name="Rectangle_3413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2" name="Rectangle_3410_SpCnt_1"/>
                  <wp:cNvGraphicFramePr/>
                  <a:graphic xmlns:a="http://schemas.openxmlformats.org/drawingml/2006/main">
                    <a:graphicData uri="http://schemas.openxmlformats.org/drawingml/2006/picture">
                      <pic:pic xmlns:pic="http://schemas.openxmlformats.org/drawingml/2006/picture">
                        <pic:nvPicPr>
                          <pic:cNvPr id="62" name="Rectangle_3410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3" name="AutoShape_170_SpCnt_7"/>
                  <wp:cNvGraphicFramePr/>
                  <a:graphic xmlns:a="http://schemas.openxmlformats.org/drawingml/2006/main">
                    <a:graphicData uri="http://schemas.openxmlformats.org/drawingml/2006/picture">
                      <pic:pic xmlns:pic="http://schemas.openxmlformats.org/drawingml/2006/picture">
                        <pic:nvPicPr>
                          <pic:cNvPr id="63" name="AutoShape_170_SpCnt_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4" name="AutoShape_171_SpCnt_9"/>
                  <wp:cNvGraphicFramePr/>
                  <a:graphic xmlns:a="http://schemas.openxmlformats.org/drawingml/2006/main">
                    <a:graphicData uri="http://schemas.openxmlformats.org/drawingml/2006/picture">
                      <pic:pic xmlns:pic="http://schemas.openxmlformats.org/drawingml/2006/picture">
                        <pic:nvPicPr>
                          <pic:cNvPr id="64" name="AutoShape_171_SpCnt_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5" name="AutoShape_170_SpCnt_8"/>
                  <wp:cNvGraphicFramePr/>
                  <a:graphic xmlns:a="http://schemas.openxmlformats.org/drawingml/2006/main">
                    <a:graphicData uri="http://schemas.openxmlformats.org/drawingml/2006/picture">
                      <pic:pic xmlns:pic="http://schemas.openxmlformats.org/drawingml/2006/picture">
                        <pic:nvPicPr>
                          <pic:cNvPr id="65" name="AutoShape_170_SpCnt_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6" name="AutoShape_168_SpCnt_11"/>
                  <wp:cNvGraphicFramePr/>
                  <a:graphic xmlns:a="http://schemas.openxmlformats.org/drawingml/2006/main">
                    <a:graphicData uri="http://schemas.openxmlformats.org/drawingml/2006/picture">
                      <pic:pic xmlns:pic="http://schemas.openxmlformats.org/drawingml/2006/picture">
                        <pic:nvPicPr>
                          <pic:cNvPr id="66" name="AutoShape_168_SpCnt_1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7" name="Rectangle_4309"/>
                  <wp:cNvGraphicFramePr/>
                  <a:graphic xmlns:a="http://schemas.openxmlformats.org/drawingml/2006/main">
                    <a:graphicData uri="http://schemas.openxmlformats.org/drawingml/2006/picture">
                      <pic:pic xmlns:pic="http://schemas.openxmlformats.org/drawingml/2006/picture">
                        <pic:nvPicPr>
                          <pic:cNvPr id="67" name="Rectangle_430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8" name="Rectangle_4308"/>
                  <wp:cNvGraphicFramePr/>
                  <a:graphic xmlns:a="http://schemas.openxmlformats.org/drawingml/2006/main">
                    <a:graphicData uri="http://schemas.openxmlformats.org/drawingml/2006/picture">
                      <pic:pic xmlns:pic="http://schemas.openxmlformats.org/drawingml/2006/picture">
                        <pic:nvPicPr>
                          <pic:cNvPr id="68" name="Rectangle_430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69" name="Rectangle_4307"/>
                  <wp:cNvGraphicFramePr/>
                  <a:graphic xmlns:a="http://schemas.openxmlformats.org/drawingml/2006/main">
                    <a:graphicData uri="http://schemas.openxmlformats.org/drawingml/2006/picture">
                      <pic:pic xmlns:pic="http://schemas.openxmlformats.org/drawingml/2006/picture">
                        <pic:nvPicPr>
                          <pic:cNvPr id="69" name="Rectangle_430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0" name="Rectangle_4306"/>
                  <wp:cNvGraphicFramePr/>
                  <a:graphic xmlns:a="http://schemas.openxmlformats.org/drawingml/2006/main">
                    <a:graphicData uri="http://schemas.openxmlformats.org/drawingml/2006/picture">
                      <pic:pic xmlns:pic="http://schemas.openxmlformats.org/drawingml/2006/picture">
                        <pic:nvPicPr>
                          <pic:cNvPr id="70" name="Rectangle_430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1" name="Rectangle_4305"/>
                  <wp:cNvGraphicFramePr/>
                  <a:graphic xmlns:a="http://schemas.openxmlformats.org/drawingml/2006/main">
                    <a:graphicData uri="http://schemas.openxmlformats.org/drawingml/2006/picture">
                      <pic:pic xmlns:pic="http://schemas.openxmlformats.org/drawingml/2006/picture">
                        <pic:nvPicPr>
                          <pic:cNvPr id="71" name="Rectangle_430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2" name="Rectangle_4304"/>
                  <wp:cNvGraphicFramePr/>
                  <a:graphic xmlns:a="http://schemas.openxmlformats.org/drawingml/2006/main">
                    <a:graphicData uri="http://schemas.openxmlformats.org/drawingml/2006/picture">
                      <pic:pic xmlns:pic="http://schemas.openxmlformats.org/drawingml/2006/picture">
                        <pic:nvPicPr>
                          <pic:cNvPr id="72" name="Rectangle_430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3" name="Rectangle_4303"/>
                  <wp:cNvGraphicFramePr/>
                  <a:graphic xmlns:a="http://schemas.openxmlformats.org/drawingml/2006/main">
                    <a:graphicData uri="http://schemas.openxmlformats.org/drawingml/2006/picture">
                      <pic:pic xmlns:pic="http://schemas.openxmlformats.org/drawingml/2006/picture">
                        <pic:nvPicPr>
                          <pic:cNvPr id="73" name="Rectangle_430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4" name="Rectangle_4302"/>
                  <wp:cNvGraphicFramePr/>
                  <a:graphic xmlns:a="http://schemas.openxmlformats.org/drawingml/2006/main">
                    <a:graphicData uri="http://schemas.openxmlformats.org/drawingml/2006/picture">
                      <pic:pic xmlns:pic="http://schemas.openxmlformats.org/drawingml/2006/picture">
                        <pic:nvPicPr>
                          <pic:cNvPr id="74" name="Rectangle_430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5" name="Rectangle_4301"/>
                  <wp:cNvGraphicFramePr/>
                  <a:graphic xmlns:a="http://schemas.openxmlformats.org/drawingml/2006/main">
                    <a:graphicData uri="http://schemas.openxmlformats.org/drawingml/2006/picture">
                      <pic:pic xmlns:pic="http://schemas.openxmlformats.org/drawingml/2006/picture">
                        <pic:nvPicPr>
                          <pic:cNvPr id="75" name="Rectangle_430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6" name="Rectangle_4300"/>
                  <wp:cNvGraphicFramePr/>
                  <a:graphic xmlns:a="http://schemas.openxmlformats.org/drawingml/2006/main">
                    <a:graphicData uri="http://schemas.openxmlformats.org/drawingml/2006/picture">
                      <pic:pic xmlns:pic="http://schemas.openxmlformats.org/drawingml/2006/picture">
                        <pic:nvPicPr>
                          <pic:cNvPr id="76" name="Rectangle_430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7" name="Rectangle_4299"/>
                  <wp:cNvGraphicFramePr/>
                  <a:graphic xmlns:a="http://schemas.openxmlformats.org/drawingml/2006/main">
                    <a:graphicData uri="http://schemas.openxmlformats.org/drawingml/2006/picture">
                      <pic:pic xmlns:pic="http://schemas.openxmlformats.org/drawingml/2006/picture">
                        <pic:nvPicPr>
                          <pic:cNvPr id="77" name="Rectangle_429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8" name="Rectangle_4298_SpCnt_1"/>
                  <wp:cNvGraphicFramePr/>
                  <a:graphic xmlns:a="http://schemas.openxmlformats.org/drawingml/2006/main">
                    <a:graphicData uri="http://schemas.openxmlformats.org/drawingml/2006/picture">
                      <pic:pic xmlns:pic="http://schemas.openxmlformats.org/drawingml/2006/picture">
                        <pic:nvPicPr>
                          <pic:cNvPr id="78" name="Rectangle_4298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79" name="Rectangle_4296"/>
                  <wp:cNvGraphicFramePr/>
                  <a:graphic xmlns:a="http://schemas.openxmlformats.org/drawingml/2006/main">
                    <a:graphicData uri="http://schemas.openxmlformats.org/drawingml/2006/picture">
                      <pic:pic xmlns:pic="http://schemas.openxmlformats.org/drawingml/2006/picture">
                        <pic:nvPicPr>
                          <pic:cNvPr id="79" name="Rectangle_429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0" name="AutoShape_171_SpCnt_10"/>
                  <wp:cNvGraphicFramePr/>
                  <a:graphic xmlns:a="http://schemas.openxmlformats.org/drawingml/2006/main">
                    <a:graphicData uri="http://schemas.openxmlformats.org/drawingml/2006/picture">
                      <pic:pic xmlns:pic="http://schemas.openxmlformats.org/drawingml/2006/picture">
                        <pic:nvPicPr>
                          <pic:cNvPr id="80" name="AutoShape_171_SpCnt_1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1" name="AutoShape_170_SpCnt_9"/>
                  <wp:cNvGraphicFramePr/>
                  <a:graphic xmlns:a="http://schemas.openxmlformats.org/drawingml/2006/main">
                    <a:graphicData uri="http://schemas.openxmlformats.org/drawingml/2006/picture">
                      <pic:pic xmlns:pic="http://schemas.openxmlformats.org/drawingml/2006/picture">
                        <pic:nvPicPr>
                          <pic:cNvPr id="81" name="AutoShape_170_SpCnt_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2" name="AutoShape_168_SpCnt_12"/>
                  <wp:cNvGraphicFramePr/>
                  <a:graphic xmlns:a="http://schemas.openxmlformats.org/drawingml/2006/main">
                    <a:graphicData uri="http://schemas.openxmlformats.org/drawingml/2006/picture">
                      <pic:pic xmlns:pic="http://schemas.openxmlformats.org/drawingml/2006/picture">
                        <pic:nvPicPr>
                          <pic:cNvPr id="82" name="AutoShape_168_SpCnt_1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3" name="Rectangle_4309_SpCnt_1"/>
                  <wp:cNvGraphicFramePr/>
                  <a:graphic xmlns:a="http://schemas.openxmlformats.org/drawingml/2006/main">
                    <a:graphicData uri="http://schemas.openxmlformats.org/drawingml/2006/picture">
                      <pic:pic xmlns:pic="http://schemas.openxmlformats.org/drawingml/2006/picture">
                        <pic:nvPicPr>
                          <pic:cNvPr id="83" name="Rectangle_4309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4" name="Rectangle_4308_SpCnt_1"/>
                  <wp:cNvGraphicFramePr/>
                  <a:graphic xmlns:a="http://schemas.openxmlformats.org/drawingml/2006/main">
                    <a:graphicData uri="http://schemas.openxmlformats.org/drawingml/2006/picture">
                      <pic:pic xmlns:pic="http://schemas.openxmlformats.org/drawingml/2006/picture">
                        <pic:nvPicPr>
                          <pic:cNvPr id="84" name="Rectangle_4308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5" name="Rectangle_4307_SpCnt_1"/>
                  <wp:cNvGraphicFramePr/>
                  <a:graphic xmlns:a="http://schemas.openxmlformats.org/drawingml/2006/main">
                    <a:graphicData uri="http://schemas.openxmlformats.org/drawingml/2006/picture">
                      <pic:pic xmlns:pic="http://schemas.openxmlformats.org/drawingml/2006/picture">
                        <pic:nvPicPr>
                          <pic:cNvPr id="85" name="Rectangle_4307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6" name="Rectangle_4305_SpCnt_1"/>
                  <wp:cNvGraphicFramePr/>
                  <a:graphic xmlns:a="http://schemas.openxmlformats.org/drawingml/2006/main">
                    <a:graphicData uri="http://schemas.openxmlformats.org/drawingml/2006/picture">
                      <pic:pic xmlns:pic="http://schemas.openxmlformats.org/drawingml/2006/picture">
                        <pic:nvPicPr>
                          <pic:cNvPr id="86" name="Rectangle_4305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7" name="Rectangle_4304_SpCnt_1"/>
                  <wp:cNvGraphicFramePr/>
                  <a:graphic xmlns:a="http://schemas.openxmlformats.org/drawingml/2006/main">
                    <a:graphicData uri="http://schemas.openxmlformats.org/drawingml/2006/picture">
                      <pic:pic xmlns:pic="http://schemas.openxmlformats.org/drawingml/2006/picture">
                        <pic:nvPicPr>
                          <pic:cNvPr id="87" name="Rectangle_4304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8" name="Rectangle_4303_SpCnt_1"/>
                  <wp:cNvGraphicFramePr/>
                  <a:graphic xmlns:a="http://schemas.openxmlformats.org/drawingml/2006/main">
                    <a:graphicData uri="http://schemas.openxmlformats.org/drawingml/2006/picture">
                      <pic:pic xmlns:pic="http://schemas.openxmlformats.org/drawingml/2006/picture">
                        <pic:nvPicPr>
                          <pic:cNvPr id="88" name="Rectangle_4303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89" name="Rectangle_4302_SpCnt_1"/>
                  <wp:cNvGraphicFramePr/>
                  <a:graphic xmlns:a="http://schemas.openxmlformats.org/drawingml/2006/main">
                    <a:graphicData uri="http://schemas.openxmlformats.org/drawingml/2006/picture">
                      <pic:pic xmlns:pic="http://schemas.openxmlformats.org/drawingml/2006/picture">
                        <pic:nvPicPr>
                          <pic:cNvPr id="89" name="Rectangle_4302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0" name="Rectangle_4301_SpCnt_1"/>
                  <wp:cNvGraphicFramePr/>
                  <a:graphic xmlns:a="http://schemas.openxmlformats.org/drawingml/2006/main">
                    <a:graphicData uri="http://schemas.openxmlformats.org/drawingml/2006/picture">
                      <pic:pic xmlns:pic="http://schemas.openxmlformats.org/drawingml/2006/picture">
                        <pic:nvPicPr>
                          <pic:cNvPr id="90" name="Rectangle_4301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1" name="Rectangle_4300_SpCnt_1"/>
                  <wp:cNvGraphicFramePr/>
                  <a:graphic xmlns:a="http://schemas.openxmlformats.org/drawingml/2006/main">
                    <a:graphicData uri="http://schemas.openxmlformats.org/drawingml/2006/picture">
                      <pic:pic xmlns:pic="http://schemas.openxmlformats.org/drawingml/2006/picture">
                        <pic:nvPicPr>
                          <pic:cNvPr id="91" name="Rectangle_4300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2" name="Rectangle_4299_SpCnt_1"/>
                  <wp:cNvGraphicFramePr/>
                  <a:graphic xmlns:a="http://schemas.openxmlformats.org/drawingml/2006/main">
                    <a:graphicData uri="http://schemas.openxmlformats.org/drawingml/2006/picture">
                      <pic:pic xmlns:pic="http://schemas.openxmlformats.org/drawingml/2006/picture">
                        <pic:nvPicPr>
                          <pic:cNvPr id="92" name="Rectangle_4299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3" name="AutoShape_170_SpCnt_10"/>
                  <wp:cNvGraphicFramePr/>
                  <a:graphic xmlns:a="http://schemas.openxmlformats.org/drawingml/2006/main">
                    <a:graphicData uri="http://schemas.openxmlformats.org/drawingml/2006/picture">
                      <pic:pic xmlns:pic="http://schemas.openxmlformats.org/drawingml/2006/picture">
                        <pic:nvPicPr>
                          <pic:cNvPr id="93" name="AutoShape_170_SpCnt_1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4" name="Rectangle_4296_SpCnt_1"/>
                  <wp:cNvGraphicFramePr/>
                  <a:graphic xmlns:a="http://schemas.openxmlformats.org/drawingml/2006/main">
                    <a:graphicData uri="http://schemas.openxmlformats.org/drawingml/2006/picture">
                      <pic:pic xmlns:pic="http://schemas.openxmlformats.org/drawingml/2006/picture">
                        <pic:nvPicPr>
                          <pic:cNvPr id="94" name="Rectangle_4296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5" name="AutoShape_168_SpCnt_13"/>
                  <wp:cNvGraphicFramePr/>
                  <a:graphic xmlns:a="http://schemas.openxmlformats.org/drawingml/2006/main">
                    <a:graphicData uri="http://schemas.openxmlformats.org/drawingml/2006/picture">
                      <pic:pic xmlns:pic="http://schemas.openxmlformats.org/drawingml/2006/picture">
                        <pic:nvPicPr>
                          <pic:cNvPr id="95" name="AutoShape_168_SpCnt_1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6" name="Rectangle_4297_SpCnt_1"/>
                  <wp:cNvGraphicFramePr/>
                  <a:graphic xmlns:a="http://schemas.openxmlformats.org/drawingml/2006/main">
                    <a:graphicData uri="http://schemas.openxmlformats.org/drawingml/2006/picture">
                      <pic:pic xmlns:pic="http://schemas.openxmlformats.org/drawingml/2006/picture">
                        <pic:nvPicPr>
                          <pic:cNvPr id="96" name="Rectangle_4297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7" name="Rectangle_4296_SpCnt_2"/>
                  <wp:cNvGraphicFramePr/>
                  <a:graphic xmlns:a="http://schemas.openxmlformats.org/drawingml/2006/main">
                    <a:graphicData uri="http://schemas.openxmlformats.org/drawingml/2006/picture">
                      <pic:pic xmlns:pic="http://schemas.openxmlformats.org/drawingml/2006/picture">
                        <pic:nvPicPr>
                          <pic:cNvPr id="97" name="Rectangle_4296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8" name="AutoShape_171_SpCnt_11"/>
                  <wp:cNvGraphicFramePr/>
                  <a:graphic xmlns:a="http://schemas.openxmlformats.org/drawingml/2006/main">
                    <a:graphicData uri="http://schemas.openxmlformats.org/drawingml/2006/picture">
                      <pic:pic xmlns:pic="http://schemas.openxmlformats.org/drawingml/2006/picture">
                        <pic:nvPicPr>
                          <pic:cNvPr id="98" name="AutoShape_171_SpCnt_1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99" name="AutoShape_170_SpCnt_11"/>
                  <wp:cNvGraphicFramePr/>
                  <a:graphic xmlns:a="http://schemas.openxmlformats.org/drawingml/2006/main">
                    <a:graphicData uri="http://schemas.openxmlformats.org/drawingml/2006/picture">
                      <pic:pic xmlns:pic="http://schemas.openxmlformats.org/drawingml/2006/picture">
                        <pic:nvPicPr>
                          <pic:cNvPr id="99" name="AutoShape_170_SpCnt_1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0" name="AutoShape_168_SpCnt_14"/>
                  <wp:cNvGraphicFramePr/>
                  <a:graphic xmlns:a="http://schemas.openxmlformats.org/drawingml/2006/main">
                    <a:graphicData uri="http://schemas.openxmlformats.org/drawingml/2006/picture">
                      <pic:pic xmlns:pic="http://schemas.openxmlformats.org/drawingml/2006/picture">
                        <pic:nvPicPr>
                          <pic:cNvPr id="100" name="AutoShape_168_SpCnt_1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1" name="Rectangle_4309_SpCnt_2"/>
                  <wp:cNvGraphicFramePr/>
                  <a:graphic xmlns:a="http://schemas.openxmlformats.org/drawingml/2006/main">
                    <a:graphicData uri="http://schemas.openxmlformats.org/drawingml/2006/picture">
                      <pic:pic xmlns:pic="http://schemas.openxmlformats.org/drawingml/2006/picture">
                        <pic:nvPicPr>
                          <pic:cNvPr id="101" name="Rectangle_4309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2" name="Rectangle_4308_SpCnt_2"/>
                  <wp:cNvGraphicFramePr/>
                  <a:graphic xmlns:a="http://schemas.openxmlformats.org/drawingml/2006/main">
                    <a:graphicData uri="http://schemas.openxmlformats.org/drawingml/2006/picture">
                      <pic:pic xmlns:pic="http://schemas.openxmlformats.org/drawingml/2006/picture">
                        <pic:nvPicPr>
                          <pic:cNvPr id="102" name="Rectangle_4308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3" name="Rectangle_4307_SpCnt_2"/>
                  <wp:cNvGraphicFramePr/>
                  <a:graphic xmlns:a="http://schemas.openxmlformats.org/drawingml/2006/main">
                    <a:graphicData uri="http://schemas.openxmlformats.org/drawingml/2006/picture">
                      <pic:pic xmlns:pic="http://schemas.openxmlformats.org/drawingml/2006/picture">
                        <pic:nvPicPr>
                          <pic:cNvPr id="103" name="Rectangle_4307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4" name="Rectangle_4306_SpCnt_1"/>
                  <wp:cNvGraphicFramePr/>
                  <a:graphic xmlns:a="http://schemas.openxmlformats.org/drawingml/2006/main">
                    <a:graphicData uri="http://schemas.openxmlformats.org/drawingml/2006/picture">
                      <pic:pic xmlns:pic="http://schemas.openxmlformats.org/drawingml/2006/picture">
                        <pic:nvPicPr>
                          <pic:cNvPr id="104" name="Rectangle_4306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5" name="Rectangle_4305_SpCnt_2"/>
                  <wp:cNvGraphicFramePr/>
                  <a:graphic xmlns:a="http://schemas.openxmlformats.org/drawingml/2006/main">
                    <a:graphicData uri="http://schemas.openxmlformats.org/drawingml/2006/picture">
                      <pic:pic xmlns:pic="http://schemas.openxmlformats.org/drawingml/2006/picture">
                        <pic:nvPicPr>
                          <pic:cNvPr id="105" name="Rectangle_4305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6" name="Rectangle_4304_SpCnt_2"/>
                  <wp:cNvGraphicFramePr/>
                  <a:graphic xmlns:a="http://schemas.openxmlformats.org/drawingml/2006/main">
                    <a:graphicData uri="http://schemas.openxmlformats.org/drawingml/2006/picture">
                      <pic:pic xmlns:pic="http://schemas.openxmlformats.org/drawingml/2006/picture">
                        <pic:nvPicPr>
                          <pic:cNvPr id="106" name="Rectangle_4304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7" name="Rectangle_4303_SpCnt_2"/>
                  <wp:cNvGraphicFramePr/>
                  <a:graphic xmlns:a="http://schemas.openxmlformats.org/drawingml/2006/main">
                    <a:graphicData uri="http://schemas.openxmlformats.org/drawingml/2006/picture">
                      <pic:pic xmlns:pic="http://schemas.openxmlformats.org/drawingml/2006/picture">
                        <pic:nvPicPr>
                          <pic:cNvPr id="107" name="Rectangle_4303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8" name="Rectangle_4302_SpCnt_2"/>
                  <wp:cNvGraphicFramePr/>
                  <a:graphic xmlns:a="http://schemas.openxmlformats.org/drawingml/2006/main">
                    <a:graphicData uri="http://schemas.openxmlformats.org/drawingml/2006/picture">
                      <pic:pic xmlns:pic="http://schemas.openxmlformats.org/drawingml/2006/picture">
                        <pic:nvPicPr>
                          <pic:cNvPr id="108" name="Rectangle_4302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09" name="Rectangle_4301_SpCnt_2"/>
                  <wp:cNvGraphicFramePr/>
                  <a:graphic xmlns:a="http://schemas.openxmlformats.org/drawingml/2006/main">
                    <a:graphicData uri="http://schemas.openxmlformats.org/drawingml/2006/picture">
                      <pic:pic xmlns:pic="http://schemas.openxmlformats.org/drawingml/2006/picture">
                        <pic:nvPicPr>
                          <pic:cNvPr id="109" name="Rectangle_4301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0" name="Rectangle_4300_SpCnt_2"/>
                  <wp:cNvGraphicFramePr/>
                  <a:graphic xmlns:a="http://schemas.openxmlformats.org/drawingml/2006/main">
                    <a:graphicData uri="http://schemas.openxmlformats.org/drawingml/2006/picture">
                      <pic:pic xmlns:pic="http://schemas.openxmlformats.org/drawingml/2006/picture">
                        <pic:nvPicPr>
                          <pic:cNvPr id="110" name="Rectangle_4300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1" name="AutoShape_171_SpCnt_12"/>
                  <wp:cNvGraphicFramePr/>
                  <a:graphic xmlns:a="http://schemas.openxmlformats.org/drawingml/2006/main">
                    <a:graphicData uri="http://schemas.openxmlformats.org/drawingml/2006/picture">
                      <pic:pic xmlns:pic="http://schemas.openxmlformats.org/drawingml/2006/picture">
                        <pic:nvPicPr>
                          <pic:cNvPr id="111" name="AutoShape_171_SpCnt_1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2" name="Rectangle_4298_SpCnt_2"/>
                  <wp:cNvGraphicFramePr/>
                  <a:graphic xmlns:a="http://schemas.openxmlformats.org/drawingml/2006/main">
                    <a:graphicData uri="http://schemas.openxmlformats.org/drawingml/2006/picture">
                      <pic:pic xmlns:pic="http://schemas.openxmlformats.org/drawingml/2006/picture">
                        <pic:nvPicPr>
                          <pic:cNvPr id="112" name="Rectangle_4298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3" name="Rectangle_4297_SpCnt_2"/>
                  <wp:cNvGraphicFramePr/>
                  <a:graphic xmlns:a="http://schemas.openxmlformats.org/drawingml/2006/main">
                    <a:graphicData uri="http://schemas.openxmlformats.org/drawingml/2006/picture">
                      <pic:pic xmlns:pic="http://schemas.openxmlformats.org/drawingml/2006/picture">
                        <pic:nvPicPr>
                          <pic:cNvPr id="113" name="Rectangle_4297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4" name="Rectangle_4296_SpCnt_3"/>
                  <wp:cNvGraphicFramePr/>
                  <a:graphic xmlns:a="http://schemas.openxmlformats.org/drawingml/2006/main">
                    <a:graphicData uri="http://schemas.openxmlformats.org/drawingml/2006/picture">
                      <pic:pic xmlns:pic="http://schemas.openxmlformats.org/drawingml/2006/picture">
                        <pic:nvPicPr>
                          <pic:cNvPr id="114" name="Rectangle_4296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5" name="AutoShape_171_SpCnt_13"/>
                  <wp:cNvGraphicFramePr/>
                  <a:graphic xmlns:a="http://schemas.openxmlformats.org/drawingml/2006/main">
                    <a:graphicData uri="http://schemas.openxmlformats.org/drawingml/2006/picture">
                      <pic:pic xmlns:pic="http://schemas.openxmlformats.org/drawingml/2006/picture">
                        <pic:nvPicPr>
                          <pic:cNvPr id="115" name="AutoShape_171_SpCnt_1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6" name="AutoShape_170_SpCnt_12"/>
                  <wp:cNvGraphicFramePr/>
                  <a:graphic xmlns:a="http://schemas.openxmlformats.org/drawingml/2006/main">
                    <a:graphicData uri="http://schemas.openxmlformats.org/drawingml/2006/picture">
                      <pic:pic xmlns:pic="http://schemas.openxmlformats.org/drawingml/2006/picture">
                        <pic:nvPicPr>
                          <pic:cNvPr id="116" name="AutoShape_170_SpCnt_1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7" name="AutoShape_168_SpCnt_15"/>
                  <wp:cNvGraphicFramePr/>
                  <a:graphic xmlns:a="http://schemas.openxmlformats.org/drawingml/2006/main">
                    <a:graphicData uri="http://schemas.openxmlformats.org/drawingml/2006/picture">
                      <pic:pic xmlns:pic="http://schemas.openxmlformats.org/drawingml/2006/picture">
                        <pic:nvPicPr>
                          <pic:cNvPr id="117" name="AutoShape_168_SpCnt_1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8" name="AutoShape_171_SpCnt_14"/>
                  <wp:cNvGraphicFramePr/>
                  <a:graphic xmlns:a="http://schemas.openxmlformats.org/drawingml/2006/main">
                    <a:graphicData uri="http://schemas.openxmlformats.org/drawingml/2006/picture">
                      <pic:pic xmlns:pic="http://schemas.openxmlformats.org/drawingml/2006/picture">
                        <pic:nvPicPr>
                          <pic:cNvPr id="118" name="AutoShape_171_SpCnt_1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19" name="AutoShape_168_SpCnt_16"/>
                  <wp:cNvGraphicFramePr/>
                  <a:graphic xmlns:a="http://schemas.openxmlformats.org/drawingml/2006/main">
                    <a:graphicData uri="http://schemas.openxmlformats.org/drawingml/2006/picture">
                      <pic:pic xmlns:pic="http://schemas.openxmlformats.org/drawingml/2006/picture">
                        <pic:nvPicPr>
                          <pic:cNvPr id="119" name="AutoShape_168_SpCnt_1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0" name="AutoShape_171_SpCnt_15"/>
                  <wp:cNvGraphicFramePr/>
                  <a:graphic xmlns:a="http://schemas.openxmlformats.org/drawingml/2006/main">
                    <a:graphicData uri="http://schemas.openxmlformats.org/drawingml/2006/picture">
                      <pic:pic xmlns:pic="http://schemas.openxmlformats.org/drawingml/2006/picture">
                        <pic:nvPicPr>
                          <pic:cNvPr id="120" name="AutoShape_171_SpCnt_1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1" name="AutoShape_170_SpCnt_13"/>
                  <wp:cNvGraphicFramePr/>
                  <a:graphic xmlns:a="http://schemas.openxmlformats.org/drawingml/2006/main">
                    <a:graphicData uri="http://schemas.openxmlformats.org/drawingml/2006/picture">
                      <pic:pic xmlns:pic="http://schemas.openxmlformats.org/drawingml/2006/picture">
                        <pic:nvPicPr>
                          <pic:cNvPr id="121" name="AutoShape_170_SpCnt_1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2" name="AutoShape_171_SpCnt_16"/>
                  <wp:cNvGraphicFramePr/>
                  <a:graphic xmlns:a="http://schemas.openxmlformats.org/drawingml/2006/main">
                    <a:graphicData uri="http://schemas.openxmlformats.org/drawingml/2006/picture">
                      <pic:pic xmlns:pic="http://schemas.openxmlformats.org/drawingml/2006/picture">
                        <pic:nvPicPr>
                          <pic:cNvPr id="122" name="AutoShape_171_SpCnt_1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3" name="AutoShape_170_SpCnt_14"/>
                  <wp:cNvGraphicFramePr/>
                  <a:graphic xmlns:a="http://schemas.openxmlformats.org/drawingml/2006/main">
                    <a:graphicData uri="http://schemas.openxmlformats.org/drawingml/2006/picture">
                      <pic:pic xmlns:pic="http://schemas.openxmlformats.org/drawingml/2006/picture">
                        <pic:nvPicPr>
                          <pic:cNvPr id="123" name="AutoShape_170_SpCnt_1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4" name="AutoShape_171_SpCnt_17"/>
                  <wp:cNvGraphicFramePr/>
                  <a:graphic xmlns:a="http://schemas.openxmlformats.org/drawingml/2006/main">
                    <a:graphicData uri="http://schemas.openxmlformats.org/drawingml/2006/picture">
                      <pic:pic xmlns:pic="http://schemas.openxmlformats.org/drawingml/2006/picture">
                        <pic:nvPicPr>
                          <pic:cNvPr id="124" name="AutoShape_171_SpCnt_1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5" name="AutoShape_170_SpCnt_15"/>
                  <wp:cNvGraphicFramePr/>
                  <a:graphic xmlns:a="http://schemas.openxmlformats.org/drawingml/2006/main">
                    <a:graphicData uri="http://schemas.openxmlformats.org/drawingml/2006/picture">
                      <pic:pic xmlns:pic="http://schemas.openxmlformats.org/drawingml/2006/picture">
                        <pic:nvPicPr>
                          <pic:cNvPr id="125" name="AutoShape_170_SpCnt_1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6" name="AutoShape_168_SpCnt_17"/>
                  <wp:cNvGraphicFramePr/>
                  <a:graphic xmlns:a="http://schemas.openxmlformats.org/drawingml/2006/main">
                    <a:graphicData uri="http://schemas.openxmlformats.org/drawingml/2006/picture">
                      <pic:pic xmlns:pic="http://schemas.openxmlformats.org/drawingml/2006/picture">
                        <pic:nvPicPr>
                          <pic:cNvPr id="126" name="AutoShape_168_SpCnt_1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7" name="AutoShape_168_SpCnt_18"/>
                  <wp:cNvGraphicFramePr/>
                  <a:graphic xmlns:a="http://schemas.openxmlformats.org/drawingml/2006/main">
                    <a:graphicData uri="http://schemas.openxmlformats.org/drawingml/2006/picture">
                      <pic:pic xmlns:pic="http://schemas.openxmlformats.org/drawingml/2006/picture">
                        <pic:nvPicPr>
                          <pic:cNvPr id="127" name="AutoShape_168_SpCnt_1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8" name="AutoShape_171_SpCnt_18"/>
                  <wp:cNvGraphicFramePr/>
                  <a:graphic xmlns:a="http://schemas.openxmlformats.org/drawingml/2006/main">
                    <a:graphicData uri="http://schemas.openxmlformats.org/drawingml/2006/picture">
                      <pic:pic xmlns:pic="http://schemas.openxmlformats.org/drawingml/2006/picture">
                        <pic:nvPicPr>
                          <pic:cNvPr id="128" name="AutoShape_171_SpCnt_1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29" name="AutoShape_168_SpCnt_19"/>
                  <wp:cNvGraphicFramePr/>
                  <a:graphic xmlns:a="http://schemas.openxmlformats.org/drawingml/2006/main">
                    <a:graphicData uri="http://schemas.openxmlformats.org/drawingml/2006/picture">
                      <pic:pic xmlns:pic="http://schemas.openxmlformats.org/drawingml/2006/picture">
                        <pic:nvPicPr>
                          <pic:cNvPr id="129" name="AutoShape_168_SpCnt_1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0" name="AutoShape_170_SpCnt_16"/>
                  <wp:cNvGraphicFramePr/>
                  <a:graphic xmlns:a="http://schemas.openxmlformats.org/drawingml/2006/main">
                    <a:graphicData uri="http://schemas.openxmlformats.org/drawingml/2006/picture">
                      <pic:pic xmlns:pic="http://schemas.openxmlformats.org/drawingml/2006/picture">
                        <pic:nvPicPr>
                          <pic:cNvPr id="130" name="AutoShape_170_SpCnt_1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1" name="AutoShape_171_SpCnt_19"/>
                  <wp:cNvGraphicFramePr/>
                  <a:graphic xmlns:a="http://schemas.openxmlformats.org/drawingml/2006/main">
                    <a:graphicData uri="http://schemas.openxmlformats.org/drawingml/2006/picture">
                      <pic:pic xmlns:pic="http://schemas.openxmlformats.org/drawingml/2006/picture">
                        <pic:nvPicPr>
                          <pic:cNvPr id="131" name="AutoShape_171_SpCnt_1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2" name="AutoShape_170_SpCnt_17"/>
                  <wp:cNvGraphicFramePr/>
                  <a:graphic xmlns:a="http://schemas.openxmlformats.org/drawingml/2006/main">
                    <a:graphicData uri="http://schemas.openxmlformats.org/drawingml/2006/picture">
                      <pic:pic xmlns:pic="http://schemas.openxmlformats.org/drawingml/2006/picture">
                        <pic:nvPicPr>
                          <pic:cNvPr id="132" name="AutoShape_170_SpCnt_1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3" name="AutoShape_168_SpCnt_20"/>
                  <wp:cNvGraphicFramePr/>
                  <a:graphic xmlns:a="http://schemas.openxmlformats.org/drawingml/2006/main">
                    <a:graphicData uri="http://schemas.openxmlformats.org/drawingml/2006/picture">
                      <pic:pic xmlns:pic="http://schemas.openxmlformats.org/drawingml/2006/picture">
                        <pic:nvPicPr>
                          <pic:cNvPr id="133" name="AutoShape_168_SpCnt_2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4" name="AutoShape_168_SpCnt_21"/>
                  <wp:cNvGraphicFramePr/>
                  <a:graphic xmlns:a="http://schemas.openxmlformats.org/drawingml/2006/main">
                    <a:graphicData uri="http://schemas.openxmlformats.org/drawingml/2006/picture">
                      <pic:pic xmlns:pic="http://schemas.openxmlformats.org/drawingml/2006/picture">
                        <pic:nvPicPr>
                          <pic:cNvPr id="134" name="AutoShape_168_SpCnt_2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5" name="AutoShape_171_SpCnt_20"/>
                  <wp:cNvGraphicFramePr/>
                  <a:graphic xmlns:a="http://schemas.openxmlformats.org/drawingml/2006/main">
                    <a:graphicData uri="http://schemas.openxmlformats.org/drawingml/2006/picture">
                      <pic:pic xmlns:pic="http://schemas.openxmlformats.org/drawingml/2006/picture">
                        <pic:nvPicPr>
                          <pic:cNvPr id="135" name="AutoShape_171_SpCnt_2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6" name="Rectangle_4308_SpCnt_3"/>
                  <wp:cNvGraphicFramePr/>
                  <a:graphic xmlns:a="http://schemas.openxmlformats.org/drawingml/2006/main">
                    <a:graphicData uri="http://schemas.openxmlformats.org/drawingml/2006/picture">
                      <pic:pic xmlns:pic="http://schemas.openxmlformats.org/drawingml/2006/picture">
                        <pic:nvPicPr>
                          <pic:cNvPr id="136" name="Rectangle_4308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7" name="Rectangle_4309_SpCnt_3"/>
                  <wp:cNvGraphicFramePr/>
                  <a:graphic xmlns:a="http://schemas.openxmlformats.org/drawingml/2006/main">
                    <a:graphicData uri="http://schemas.openxmlformats.org/drawingml/2006/picture">
                      <pic:pic xmlns:pic="http://schemas.openxmlformats.org/drawingml/2006/picture">
                        <pic:nvPicPr>
                          <pic:cNvPr id="137" name="Rectangle_4309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8" name="AutoShape_170_SpCnt_18"/>
                  <wp:cNvGraphicFramePr/>
                  <a:graphic xmlns:a="http://schemas.openxmlformats.org/drawingml/2006/main">
                    <a:graphicData uri="http://schemas.openxmlformats.org/drawingml/2006/picture">
                      <pic:pic xmlns:pic="http://schemas.openxmlformats.org/drawingml/2006/picture">
                        <pic:nvPicPr>
                          <pic:cNvPr id="138" name="AutoShape_170_SpCnt_1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39" name="AutoShape_168_SpCnt_22"/>
                  <wp:cNvGraphicFramePr/>
                  <a:graphic xmlns:a="http://schemas.openxmlformats.org/drawingml/2006/main">
                    <a:graphicData uri="http://schemas.openxmlformats.org/drawingml/2006/picture">
                      <pic:pic xmlns:pic="http://schemas.openxmlformats.org/drawingml/2006/picture">
                        <pic:nvPicPr>
                          <pic:cNvPr id="139" name="AutoShape_168_SpCnt_2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0" name="AutoShape_170_SpCnt_19"/>
                  <wp:cNvGraphicFramePr/>
                  <a:graphic xmlns:a="http://schemas.openxmlformats.org/drawingml/2006/main">
                    <a:graphicData uri="http://schemas.openxmlformats.org/drawingml/2006/picture">
                      <pic:pic xmlns:pic="http://schemas.openxmlformats.org/drawingml/2006/picture">
                        <pic:nvPicPr>
                          <pic:cNvPr id="140" name="AutoShape_170_SpCnt_1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1" name="AutoShape_171_SpCnt_21"/>
                  <wp:cNvGraphicFramePr/>
                  <a:graphic xmlns:a="http://schemas.openxmlformats.org/drawingml/2006/main">
                    <a:graphicData uri="http://schemas.openxmlformats.org/drawingml/2006/picture">
                      <pic:pic xmlns:pic="http://schemas.openxmlformats.org/drawingml/2006/picture">
                        <pic:nvPicPr>
                          <pic:cNvPr id="141" name="AutoShape_171_SpCnt_2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2" name="AutoShape_168_SpCnt_23"/>
                  <wp:cNvGraphicFramePr/>
                  <a:graphic xmlns:a="http://schemas.openxmlformats.org/drawingml/2006/main">
                    <a:graphicData uri="http://schemas.openxmlformats.org/drawingml/2006/picture">
                      <pic:pic xmlns:pic="http://schemas.openxmlformats.org/drawingml/2006/picture">
                        <pic:nvPicPr>
                          <pic:cNvPr id="142" name="AutoShape_168_SpCnt_2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3" name="AutoShape_171_SpCnt_22"/>
                  <wp:cNvGraphicFramePr/>
                  <a:graphic xmlns:a="http://schemas.openxmlformats.org/drawingml/2006/main">
                    <a:graphicData uri="http://schemas.openxmlformats.org/drawingml/2006/picture">
                      <pic:pic xmlns:pic="http://schemas.openxmlformats.org/drawingml/2006/picture">
                        <pic:nvPicPr>
                          <pic:cNvPr id="143" name="AutoShape_171_SpCnt_2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4" name="AutoShape_170_SpCnt_20"/>
                  <wp:cNvGraphicFramePr/>
                  <a:graphic xmlns:a="http://schemas.openxmlformats.org/drawingml/2006/main">
                    <a:graphicData uri="http://schemas.openxmlformats.org/drawingml/2006/picture">
                      <pic:pic xmlns:pic="http://schemas.openxmlformats.org/drawingml/2006/picture">
                        <pic:nvPicPr>
                          <pic:cNvPr id="144" name="AutoShape_170_SpCnt_2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5" name="AutoShape_168_SpCnt_24"/>
                  <wp:cNvGraphicFramePr/>
                  <a:graphic xmlns:a="http://schemas.openxmlformats.org/drawingml/2006/main">
                    <a:graphicData uri="http://schemas.openxmlformats.org/drawingml/2006/picture">
                      <pic:pic xmlns:pic="http://schemas.openxmlformats.org/drawingml/2006/picture">
                        <pic:nvPicPr>
                          <pic:cNvPr id="145" name="AutoShape_168_SpCnt_2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6" name="AutoShape_171_SpCnt_23"/>
                  <wp:cNvGraphicFramePr/>
                  <a:graphic xmlns:a="http://schemas.openxmlformats.org/drawingml/2006/main">
                    <a:graphicData uri="http://schemas.openxmlformats.org/drawingml/2006/picture">
                      <pic:pic xmlns:pic="http://schemas.openxmlformats.org/drawingml/2006/picture">
                        <pic:nvPicPr>
                          <pic:cNvPr id="146" name="AutoShape_171_SpCnt_2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7" name="AutoShape_170_SpCnt_21"/>
                  <wp:cNvGraphicFramePr/>
                  <a:graphic xmlns:a="http://schemas.openxmlformats.org/drawingml/2006/main">
                    <a:graphicData uri="http://schemas.openxmlformats.org/drawingml/2006/picture">
                      <pic:pic xmlns:pic="http://schemas.openxmlformats.org/drawingml/2006/picture">
                        <pic:nvPicPr>
                          <pic:cNvPr id="147" name="AutoShape_170_SpCnt_2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8" name="AutoShape_168_SpCnt_25"/>
                  <wp:cNvGraphicFramePr/>
                  <a:graphic xmlns:a="http://schemas.openxmlformats.org/drawingml/2006/main">
                    <a:graphicData uri="http://schemas.openxmlformats.org/drawingml/2006/picture">
                      <pic:pic xmlns:pic="http://schemas.openxmlformats.org/drawingml/2006/picture">
                        <pic:nvPicPr>
                          <pic:cNvPr id="148" name="AutoShape_168_SpCnt_2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49" name="AutoShape_170_SpCnt_22"/>
                  <wp:cNvGraphicFramePr/>
                  <a:graphic xmlns:a="http://schemas.openxmlformats.org/drawingml/2006/main">
                    <a:graphicData uri="http://schemas.openxmlformats.org/drawingml/2006/picture">
                      <pic:pic xmlns:pic="http://schemas.openxmlformats.org/drawingml/2006/picture">
                        <pic:nvPicPr>
                          <pic:cNvPr id="149" name="AutoShape_170_SpCnt_2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0" name="AutoShape_168_SpCnt_26"/>
                  <wp:cNvGraphicFramePr/>
                  <a:graphic xmlns:a="http://schemas.openxmlformats.org/drawingml/2006/main">
                    <a:graphicData uri="http://schemas.openxmlformats.org/drawingml/2006/picture">
                      <pic:pic xmlns:pic="http://schemas.openxmlformats.org/drawingml/2006/picture">
                        <pic:nvPicPr>
                          <pic:cNvPr id="150" name="AutoShape_168_SpCnt_2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1" name="AutoShape_171_SpCnt_24"/>
                  <wp:cNvGraphicFramePr/>
                  <a:graphic xmlns:a="http://schemas.openxmlformats.org/drawingml/2006/main">
                    <a:graphicData uri="http://schemas.openxmlformats.org/drawingml/2006/picture">
                      <pic:pic xmlns:pic="http://schemas.openxmlformats.org/drawingml/2006/picture">
                        <pic:nvPicPr>
                          <pic:cNvPr id="151" name="AutoShape_171_SpCnt_2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2" name="AutoShape_170_SpCnt_23"/>
                  <wp:cNvGraphicFramePr/>
                  <a:graphic xmlns:a="http://schemas.openxmlformats.org/drawingml/2006/main">
                    <a:graphicData uri="http://schemas.openxmlformats.org/drawingml/2006/picture">
                      <pic:pic xmlns:pic="http://schemas.openxmlformats.org/drawingml/2006/picture">
                        <pic:nvPicPr>
                          <pic:cNvPr id="152" name="AutoShape_170_SpCnt_2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3" name="AutoShape_168_SpCnt_27"/>
                  <wp:cNvGraphicFramePr/>
                  <a:graphic xmlns:a="http://schemas.openxmlformats.org/drawingml/2006/main">
                    <a:graphicData uri="http://schemas.openxmlformats.org/drawingml/2006/picture">
                      <pic:pic xmlns:pic="http://schemas.openxmlformats.org/drawingml/2006/picture">
                        <pic:nvPicPr>
                          <pic:cNvPr id="153" name="AutoShape_168_SpCnt_2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4" name="AutoShape_171_SpCnt_25"/>
                  <wp:cNvGraphicFramePr/>
                  <a:graphic xmlns:a="http://schemas.openxmlformats.org/drawingml/2006/main">
                    <a:graphicData uri="http://schemas.openxmlformats.org/drawingml/2006/picture">
                      <pic:pic xmlns:pic="http://schemas.openxmlformats.org/drawingml/2006/picture">
                        <pic:nvPicPr>
                          <pic:cNvPr id="154" name="AutoShape_171_SpCnt_2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5" name="AutoShape_170_SpCnt_24"/>
                  <wp:cNvGraphicFramePr/>
                  <a:graphic xmlns:a="http://schemas.openxmlformats.org/drawingml/2006/main">
                    <a:graphicData uri="http://schemas.openxmlformats.org/drawingml/2006/picture">
                      <pic:pic xmlns:pic="http://schemas.openxmlformats.org/drawingml/2006/picture">
                        <pic:nvPicPr>
                          <pic:cNvPr id="155" name="AutoShape_170_SpCnt_2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6" name="AutoShape_171_SpCnt_26"/>
                  <wp:cNvGraphicFramePr/>
                  <a:graphic xmlns:a="http://schemas.openxmlformats.org/drawingml/2006/main">
                    <a:graphicData uri="http://schemas.openxmlformats.org/drawingml/2006/picture">
                      <pic:pic xmlns:pic="http://schemas.openxmlformats.org/drawingml/2006/picture">
                        <pic:nvPicPr>
                          <pic:cNvPr id="156" name="AutoShape_171_SpCnt_2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7" name="AutoShape_170_SpCnt_25"/>
                  <wp:cNvGraphicFramePr/>
                  <a:graphic xmlns:a="http://schemas.openxmlformats.org/drawingml/2006/main">
                    <a:graphicData uri="http://schemas.openxmlformats.org/drawingml/2006/picture">
                      <pic:pic xmlns:pic="http://schemas.openxmlformats.org/drawingml/2006/picture">
                        <pic:nvPicPr>
                          <pic:cNvPr id="157" name="AutoShape_170_SpCnt_2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8" name="AutoShape_168_SpCnt_28"/>
                  <wp:cNvGraphicFramePr/>
                  <a:graphic xmlns:a="http://schemas.openxmlformats.org/drawingml/2006/main">
                    <a:graphicData uri="http://schemas.openxmlformats.org/drawingml/2006/picture">
                      <pic:pic xmlns:pic="http://schemas.openxmlformats.org/drawingml/2006/picture">
                        <pic:nvPicPr>
                          <pic:cNvPr id="158" name="AutoShape_168_SpCnt_2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59" name="AutoShape_171_SpCnt_27"/>
                  <wp:cNvGraphicFramePr/>
                  <a:graphic xmlns:a="http://schemas.openxmlformats.org/drawingml/2006/main">
                    <a:graphicData uri="http://schemas.openxmlformats.org/drawingml/2006/picture">
                      <pic:pic xmlns:pic="http://schemas.openxmlformats.org/drawingml/2006/picture">
                        <pic:nvPicPr>
                          <pic:cNvPr id="159" name="AutoShape_171_SpCnt_2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0" name="AutoShape_170_SpCnt_26"/>
                  <wp:cNvGraphicFramePr/>
                  <a:graphic xmlns:a="http://schemas.openxmlformats.org/drawingml/2006/main">
                    <a:graphicData uri="http://schemas.openxmlformats.org/drawingml/2006/picture">
                      <pic:pic xmlns:pic="http://schemas.openxmlformats.org/drawingml/2006/picture">
                        <pic:nvPicPr>
                          <pic:cNvPr id="160" name="AutoShape_170_SpCnt_2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1" name="AutoShape_168_SpCnt_29"/>
                  <wp:cNvGraphicFramePr/>
                  <a:graphic xmlns:a="http://schemas.openxmlformats.org/drawingml/2006/main">
                    <a:graphicData uri="http://schemas.openxmlformats.org/drawingml/2006/picture">
                      <pic:pic xmlns:pic="http://schemas.openxmlformats.org/drawingml/2006/picture">
                        <pic:nvPicPr>
                          <pic:cNvPr id="161" name="AutoShape_168_SpCnt_2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2" name="AutoShape_171_SpCnt_28"/>
                  <wp:cNvGraphicFramePr/>
                  <a:graphic xmlns:a="http://schemas.openxmlformats.org/drawingml/2006/main">
                    <a:graphicData uri="http://schemas.openxmlformats.org/drawingml/2006/picture">
                      <pic:pic xmlns:pic="http://schemas.openxmlformats.org/drawingml/2006/picture">
                        <pic:nvPicPr>
                          <pic:cNvPr id="162" name="AutoShape_171_SpCnt_2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3" name="AutoShape_170_SpCnt_27"/>
                  <wp:cNvGraphicFramePr/>
                  <a:graphic xmlns:a="http://schemas.openxmlformats.org/drawingml/2006/main">
                    <a:graphicData uri="http://schemas.openxmlformats.org/drawingml/2006/picture">
                      <pic:pic xmlns:pic="http://schemas.openxmlformats.org/drawingml/2006/picture">
                        <pic:nvPicPr>
                          <pic:cNvPr id="163" name="AutoShape_170_SpCnt_2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4" name="AutoShape_168_SpCnt_30"/>
                  <wp:cNvGraphicFramePr/>
                  <a:graphic xmlns:a="http://schemas.openxmlformats.org/drawingml/2006/main">
                    <a:graphicData uri="http://schemas.openxmlformats.org/drawingml/2006/picture">
                      <pic:pic xmlns:pic="http://schemas.openxmlformats.org/drawingml/2006/picture">
                        <pic:nvPicPr>
                          <pic:cNvPr id="164" name="AutoShape_168_SpCnt_3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5" name="AutoShape_171_SpCnt_29"/>
                  <wp:cNvGraphicFramePr/>
                  <a:graphic xmlns:a="http://schemas.openxmlformats.org/drawingml/2006/main">
                    <a:graphicData uri="http://schemas.openxmlformats.org/drawingml/2006/picture">
                      <pic:pic xmlns:pic="http://schemas.openxmlformats.org/drawingml/2006/picture">
                        <pic:nvPicPr>
                          <pic:cNvPr id="165" name="AutoShape_171_SpCnt_2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6" name="AutoShape_170_SpCnt_28"/>
                  <wp:cNvGraphicFramePr/>
                  <a:graphic xmlns:a="http://schemas.openxmlformats.org/drawingml/2006/main">
                    <a:graphicData uri="http://schemas.openxmlformats.org/drawingml/2006/picture">
                      <pic:pic xmlns:pic="http://schemas.openxmlformats.org/drawingml/2006/picture">
                        <pic:nvPicPr>
                          <pic:cNvPr id="166" name="AutoShape_170_SpCnt_2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7" name="AutoShape_168_SpCnt_31"/>
                  <wp:cNvGraphicFramePr/>
                  <a:graphic xmlns:a="http://schemas.openxmlformats.org/drawingml/2006/main">
                    <a:graphicData uri="http://schemas.openxmlformats.org/drawingml/2006/picture">
                      <pic:pic xmlns:pic="http://schemas.openxmlformats.org/drawingml/2006/picture">
                        <pic:nvPicPr>
                          <pic:cNvPr id="167" name="AutoShape_168_SpCnt_3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8" name="AutoShape_171_SpCnt_30"/>
                  <wp:cNvGraphicFramePr/>
                  <a:graphic xmlns:a="http://schemas.openxmlformats.org/drawingml/2006/main">
                    <a:graphicData uri="http://schemas.openxmlformats.org/drawingml/2006/picture">
                      <pic:pic xmlns:pic="http://schemas.openxmlformats.org/drawingml/2006/picture">
                        <pic:nvPicPr>
                          <pic:cNvPr id="168" name="AutoShape_171_SpCnt_3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69" name="AutoShape_170_SpCnt_29"/>
                  <wp:cNvGraphicFramePr/>
                  <a:graphic xmlns:a="http://schemas.openxmlformats.org/drawingml/2006/main">
                    <a:graphicData uri="http://schemas.openxmlformats.org/drawingml/2006/picture">
                      <pic:pic xmlns:pic="http://schemas.openxmlformats.org/drawingml/2006/picture">
                        <pic:nvPicPr>
                          <pic:cNvPr id="169" name="AutoShape_170_SpCnt_2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0" name="AutoShape_168_SpCnt_32"/>
                  <wp:cNvGraphicFramePr/>
                  <a:graphic xmlns:a="http://schemas.openxmlformats.org/drawingml/2006/main">
                    <a:graphicData uri="http://schemas.openxmlformats.org/drawingml/2006/picture">
                      <pic:pic xmlns:pic="http://schemas.openxmlformats.org/drawingml/2006/picture">
                        <pic:nvPicPr>
                          <pic:cNvPr id="170" name="AutoShape_168_SpCnt_3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1" name="AutoShape_170_SpCnt_30"/>
                  <wp:cNvGraphicFramePr/>
                  <a:graphic xmlns:a="http://schemas.openxmlformats.org/drawingml/2006/main">
                    <a:graphicData uri="http://schemas.openxmlformats.org/drawingml/2006/picture">
                      <pic:pic xmlns:pic="http://schemas.openxmlformats.org/drawingml/2006/picture">
                        <pic:nvPicPr>
                          <pic:cNvPr id="171" name="AutoShape_170_SpCnt_3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2" name="AutoShape_168_SpCnt_33"/>
                  <wp:cNvGraphicFramePr/>
                  <a:graphic xmlns:a="http://schemas.openxmlformats.org/drawingml/2006/main">
                    <a:graphicData uri="http://schemas.openxmlformats.org/drawingml/2006/picture">
                      <pic:pic xmlns:pic="http://schemas.openxmlformats.org/drawingml/2006/picture">
                        <pic:nvPicPr>
                          <pic:cNvPr id="172" name="AutoShape_168_SpCnt_3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3" name="AutoShape_170_SpCnt_31"/>
                  <wp:cNvGraphicFramePr/>
                  <a:graphic xmlns:a="http://schemas.openxmlformats.org/drawingml/2006/main">
                    <a:graphicData uri="http://schemas.openxmlformats.org/drawingml/2006/picture">
                      <pic:pic xmlns:pic="http://schemas.openxmlformats.org/drawingml/2006/picture">
                        <pic:nvPicPr>
                          <pic:cNvPr id="173" name="AutoShape_170_SpCnt_3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4" name="Rectangle_4307_SpCnt_3"/>
                  <wp:cNvGraphicFramePr/>
                  <a:graphic xmlns:a="http://schemas.openxmlformats.org/drawingml/2006/main">
                    <a:graphicData uri="http://schemas.openxmlformats.org/drawingml/2006/picture">
                      <pic:pic xmlns:pic="http://schemas.openxmlformats.org/drawingml/2006/picture">
                        <pic:nvPicPr>
                          <pic:cNvPr id="174" name="Rectangle_4307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5" name="AutoShape_170_SpCnt_32"/>
                  <wp:cNvGraphicFramePr/>
                  <a:graphic xmlns:a="http://schemas.openxmlformats.org/drawingml/2006/main">
                    <a:graphicData uri="http://schemas.openxmlformats.org/drawingml/2006/picture">
                      <pic:pic xmlns:pic="http://schemas.openxmlformats.org/drawingml/2006/picture">
                        <pic:nvPicPr>
                          <pic:cNvPr id="175" name="AutoShape_170_SpCnt_3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6" name="AutoShape_168_SpCnt_34"/>
                  <wp:cNvGraphicFramePr/>
                  <a:graphic xmlns:a="http://schemas.openxmlformats.org/drawingml/2006/main">
                    <a:graphicData uri="http://schemas.openxmlformats.org/drawingml/2006/picture">
                      <pic:pic xmlns:pic="http://schemas.openxmlformats.org/drawingml/2006/picture">
                        <pic:nvPicPr>
                          <pic:cNvPr id="176" name="AutoShape_168_SpCnt_3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7" name="AutoShape_171_SpCnt_31"/>
                  <wp:cNvGraphicFramePr/>
                  <a:graphic xmlns:a="http://schemas.openxmlformats.org/drawingml/2006/main">
                    <a:graphicData uri="http://schemas.openxmlformats.org/drawingml/2006/picture">
                      <pic:pic xmlns:pic="http://schemas.openxmlformats.org/drawingml/2006/picture">
                        <pic:nvPicPr>
                          <pic:cNvPr id="177" name="AutoShape_171_SpCnt_3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8" name="AutoShape_170_SpCnt_33"/>
                  <wp:cNvGraphicFramePr/>
                  <a:graphic xmlns:a="http://schemas.openxmlformats.org/drawingml/2006/main">
                    <a:graphicData uri="http://schemas.openxmlformats.org/drawingml/2006/picture">
                      <pic:pic xmlns:pic="http://schemas.openxmlformats.org/drawingml/2006/picture">
                        <pic:nvPicPr>
                          <pic:cNvPr id="178" name="AutoShape_170_SpCnt_3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79" name="AutoShape_168_SpCnt_35"/>
                  <wp:cNvGraphicFramePr/>
                  <a:graphic xmlns:a="http://schemas.openxmlformats.org/drawingml/2006/main">
                    <a:graphicData uri="http://schemas.openxmlformats.org/drawingml/2006/picture">
                      <pic:pic xmlns:pic="http://schemas.openxmlformats.org/drawingml/2006/picture">
                        <pic:nvPicPr>
                          <pic:cNvPr id="179" name="AutoShape_168_SpCnt_3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0" name="AutoShape_171_SpCnt_32"/>
                  <wp:cNvGraphicFramePr/>
                  <a:graphic xmlns:a="http://schemas.openxmlformats.org/drawingml/2006/main">
                    <a:graphicData uri="http://schemas.openxmlformats.org/drawingml/2006/picture">
                      <pic:pic xmlns:pic="http://schemas.openxmlformats.org/drawingml/2006/picture">
                        <pic:nvPicPr>
                          <pic:cNvPr id="180" name="AutoShape_171_SpCnt_3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1" name="AutoShape_170_SpCnt_34"/>
                  <wp:cNvGraphicFramePr/>
                  <a:graphic xmlns:a="http://schemas.openxmlformats.org/drawingml/2006/main">
                    <a:graphicData uri="http://schemas.openxmlformats.org/drawingml/2006/picture">
                      <pic:pic xmlns:pic="http://schemas.openxmlformats.org/drawingml/2006/picture">
                        <pic:nvPicPr>
                          <pic:cNvPr id="181" name="AutoShape_170_SpCnt_3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2" name="Rectangle_4306_SpCnt_2"/>
                  <wp:cNvGraphicFramePr/>
                  <a:graphic xmlns:a="http://schemas.openxmlformats.org/drawingml/2006/main">
                    <a:graphicData uri="http://schemas.openxmlformats.org/drawingml/2006/picture">
                      <pic:pic xmlns:pic="http://schemas.openxmlformats.org/drawingml/2006/picture">
                        <pic:nvPicPr>
                          <pic:cNvPr id="182" name="Rectangle_4306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3" name="AutoShape_171_SpCnt_33"/>
                  <wp:cNvGraphicFramePr/>
                  <a:graphic xmlns:a="http://schemas.openxmlformats.org/drawingml/2006/main">
                    <a:graphicData uri="http://schemas.openxmlformats.org/drawingml/2006/picture">
                      <pic:pic xmlns:pic="http://schemas.openxmlformats.org/drawingml/2006/picture">
                        <pic:nvPicPr>
                          <pic:cNvPr id="183" name="AutoShape_171_SpCnt_3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4" name="AutoShape_170_SpCnt_35"/>
                  <wp:cNvGraphicFramePr/>
                  <a:graphic xmlns:a="http://schemas.openxmlformats.org/drawingml/2006/main">
                    <a:graphicData uri="http://schemas.openxmlformats.org/drawingml/2006/picture">
                      <pic:pic xmlns:pic="http://schemas.openxmlformats.org/drawingml/2006/picture">
                        <pic:nvPicPr>
                          <pic:cNvPr id="184" name="AutoShape_170_SpCnt_3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5" name="AutoShape_168_SpCnt_36"/>
                  <wp:cNvGraphicFramePr/>
                  <a:graphic xmlns:a="http://schemas.openxmlformats.org/drawingml/2006/main">
                    <a:graphicData uri="http://schemas.openxmlformats.org/drawingml/2006/picture">
                      <pic:pic xmlns:pic="http://schemas.openxmlformats.org/drawingml/2006/picture">
                        <pic:nvPicPr>
                          <pic:cNvPr id="185" name="AutoShape_168_SpCnt_3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6" name="AutoShape_170_SpCnt_36"/>
                  <wp:cNvGraphicFramePr/>
                  <a:graphic xmlns:a="http://schemas.openxmlformats.org/drawingml/2006/main">
                    <a:graphicData uri="http://schemas.openxmlformats.org/drawingml/2006/picture">
                      <pic:pic xmlns:pic="http://schemas.openxmlformats.org/drawingml/2006/picture">
                        <pic:nvPicPr>
                          <pic:cNvPr id="186" name="AutoShape_170_SpCnt_3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7" name="AutoShape_168_SpCnt_37"/>
                  <wp:cNvGraphicFramePr/>
                  <a:graphic xmlns:a="http://schemas.openxmlformats.org/drawingml/2006/main">
                    <a:graphicData uri="http://schemas.openxmlformats.org/drawingml/2006/picture">
                      <pic:pic xmlns:pic="http://schemas.openxmlformats.org/drawingml/2006/picture">
                        <pic:nvPicPr>
                          <pic:cNvPr id="187" name="AutoShape_168_SpCnt_3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8" name="AutoShape_171_SpCnt_34"/>
                  <wp:cNvGraphicFramePr/>
                  <a:graphic xmlns:a="http://schemas.openxmlformats.org/drawingml/2006/main">
                    <a:graphicData uri="http://schemas.openxmlformats.org/drawingml/2006/picture">
                      <pic:pic xmlns:pic="http://schemas.openxmlformats.org/drawingml/2006/picture">
                        <pic:nvPicPr>
                          <pic:cNvPr id="188" name="AutoShape_171_SpCnt_3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89" name="Rectangle_4304_SpCnt_3"/>
                  <wp:cNvGraphicFramePr/>
                  <a:graphic xmlns:a="http://schemas.openxmlformats.org/drawingml/2006/main">
                    <a:graphicData uri="http://schemas.openxmlformats.org/drawingml/2006/picture">
                      <pic:pic xmlns:pic="http://schemas.openxmlformats.org/drawingml/2006/picture">
                        <pic:nvPicPr>
                          <pic:cNvPr id="189" name="Rectangle_4304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0" name="Rectangle_4305_SpCnt_3"/>
                  <wp:cNvGraphicFramePr/>
                  <a:graphic xmlns:a="http://schemas.openxmlformats.org/drawingml/2006/main">
                    <a:graphicData uri="http://schemas.openxmlformats.org/drawingml/2006/picture">
                      <pic:pic xmlns:pic="http://schemas.openxmlformats.org/drawingml/2006/picture">
                        <pic:nvPicPr>
                          <pic:cNvPr id="190" name="Rectangle_4305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1" name="AutoShape_168_SpCnt_38"/>
                  <wp:cNvGraphicFramePr/>
                  <a:graphic xmlns:a="http://schemas.openxmlformats.org/drawingml/2006/main">
                    <a:graphicData uri="http://schemas.openxmlformats.org/drawingml/2006/picture">
                      <pic:pic xmlns:pic="http://schemas.openxmlformats.org/drawingml/2006/picture">
                        <pic:nvPicPr>
                          <pic:cNvPr id="191" name="AutoShape_168_SpCnt_3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2" name="AutoShape_171_SpCnt_35"/>
                  <wp:cNvGraphicFramePr/>
                  <a:graphic xmlns:a="http://schemas.openxmlformats.org/drawingml/2006/main">
                    <a:graphicData uri="http://schemas.openxmlformats.org/drawingml/2006/picture">
                      <pic:pic xmlns:pic="http://schemas.openxmlformats.org/drawingml/2006/picture">
                        <pic:nvPicPr>
                          <pic:cNvPr id="192" name="AutoShape_171_SpCnt_3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3" name="AutoShape_170_SpCnt_37"/>
                  <wp:cNvGraphicFramePr/>
                  <a:graphic xmlns:a="http://schemas.openxmlformats.org/drawingml/2006/main">
                    <a:graphicData uri="http://schemas.openxmlformats.org/drawingml/2006/picture">
                      <pic:pic xmlns:pic="http://schemas.openxmlformats.org/drawingml/2006/picture">
                        <pic:nvPicPr>
                          <pic:cNvPr id="193" name="AutoShape_170_SpCnt_3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4" name="AutoShape_168_SpCnt_39"/>
                  <wp:cNvGraphicFramePr/>
                  <a:graphic xmlns:a="http://schemas.openxmlformats.org/drawingml/2006/main">
                    <a:graphicData uri="http://schemas.openxmlformats.org/drawingml/2006/picture">
                      <pic:pic xmlns:pic="http://schemas.openxmlformats.org/drawingml/2006/picture">
                        <pic:nvPicPr>
                          <pic:cNvPr id="194" name="AutoShape_168_SpCnt_3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5" name="AutoShape_171_SpCnt_36"/>
                  <wp:cNvGraphicFramePr/>
                  <a:graphic xmlns:a="http://schemas.openxmlformats.org/drawingml/2006/main">
                    <a:graphicData uri="http://schemas.openxmlformats.org/drawingml/2006/picture">
                      <pic:pic xmlns:pic="http://schemas.openxmlformats.org/drawingml/2006/picture">
                        <pic:nvPicPr>
                          <pic:cNvPr id="195" name="AutoShape_171_SpCnt_3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6" name="AutoShape_170_SpCnt_38"/>
                  <wp:cNvGraphicFramePr/>
                  <a:graphic xmlns:a="http://schemas.openxmlformats.org/drawingml/2006/main">
                    <a:graphicData uri="http://schemas.openxmlformats.org/drawingml/2006/picture">
                      <pic:pic xmlns:pic="http://schemas.openxmlformats.org/drawingml/2006/picture">
                        <pic:nvPicPr>
                          <pic:cNvPr id="196" name="AutoShape_170_SpCnt_3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7" name="AutoShape_168_SpCnt_40"/>
                  <wp:cNvGraphicFramePr/>
                  <a:graphic xmlns:a="http://schemas.openxmlformats.org/drawingml/2006/main">
                    <a:graphicData uri="http://schemas.openxmlformats.org/drawingml/2006/picture">
                      <pic:pic xmlns:pic="http://schemas.openxmlformats.org/drawingml/2006/picture">
                        <pic:nvPicPr>
                          <pic:cNvPr id="197" name="AutoShape_168_SpCnt_4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8" name="AutoShape_171_SpCnt_37"/>
                  <wp:cNvGraphicFramePr/>
                  <a:graphic xmlns:a="http://schemas.openxmlformats.org/drawingml/2006/main">
                    <a:graphicData uri="http://schemas.openxmlformats.org/drawingml/2006/picture">
                      <pic:pic xmlns:pic="http://schemas.openxmlformats.org/drawingml/2006/picture">
                        <pic:nvPicPr>
                          <pic:cNvPr id="198" name="AutoShape_171_SpCnt_3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199" name="AutoShape_170_SpCnt_39"/>
                  <wp:cNvGraphicFramePr/>
                  <a:graphic xmlns:a="http://schemas.openxmlformats.org/drawingml/2006/main">
                    <a:graphicData uri="http://schemas.openxmlformats.org/drawingml/2006/picture">
                      <pic:pic xmlns:pic="http://schemas.openxmlformats.org/drawingml/2006/picture">
                        <pic:nvPicPr>
                          <pic:cNvPr id="199" name="AutoShape_170_SpCnt_3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0" name="AutoShape_168_SpCnt_41"/>
                  <wp:cNvGraphicFramePr/>
                  <a:graphic xmlns:a="http://schemas.openxmlformats.org/drawingml/2006/main">
                    <a:graphicData uri="http://schemas.openxmlformats.org/drawingml/2006/picture">
                      <pic:pic xmlns:pic="http://schemas.openxmlformats.org/drawingml/2006/picture">
                        <pic:nvPicPr>
                          <pic:cNvPr id="200" name="AutoShape_168_SpCnt_4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1" name="AutoShape_171_SpCnt_38"/>
                  <wp:cNvGraphicFramePr/>
                  <a:graphic xmlns:a="http://schemas.openxmlformats.org/drawingml/2006/main">
                    <a:graphicData uri="http://schemas.openxmlformats.org/drawingml/2006/picture">
                      <pic:pic xmlns:pic="http://schemas.openxmlformats.org/drawingml/2006/picture">
                        <pic:nvPicPr>
                          <pic:cNvPr id="201" name="AutoShape_171_SpCnt_3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2" name="AutoShape_170_SpCnt_40"/>
                  <wp:cNvGraphicFramePr/>
                  <a:graphic xmlns:a="http://schemas.openxmlformats.org/drawingml/2006/main">
                    <a:graphicData uri="http://schemas.openxmlformats.org/drawingml/2006/picture">
                      <pic:pic xmlns:pic="http://schemas.openxmlformats.org/drawingml/2006/picture">
                        <pic:nvPicPr>
                          <pic:cNvPr id="202" name="AutoShape_170_SpCnt_4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3" name="AutoShape_168_SpCnt_42"/>
                  <wp:cNvGraphicFramePr/>
                  <a:graphic xmlns:a="http://schemas.openxmlformats.org/drawingml/2006/main">
                    <a:graphicData uri="http://schemas.openxmlformats.org/drawingml/2006/picture">
                      <pic:pic xmlns:pic="http://schemas.openxmlformats.org/drawingml/2006/picture">
                        <pic:nvPicPr>
                          <pic:cNvPr id="203" name="AutoShape_168_SpCnt_4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4" name="AutoShape_171_SpCnt_39"/>
                  <wp:cNvGraphicFramePr/>
                  <a:graphic xmlns:a="http://schemas.openxmlformats.org/drawingml/2006/main">
                    <a:graphicData uri="http://schemas.openxmlformats.org/drawingml/2006/picture">
                      <pic:pic xmlns:pic="http://schemas.openxmlformats.org/drawingml/2006/picture">
                        <pic:nvPicPr>
                          <pic:cNvPr id="204" name="AutoShape_171_SpCnt_3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5" name="AutoShape_170_SpCnt_41"/>
                  <wp:cNvGraphicFramePr/>
                  <a:graphic xmlns:a="http://schemas.openxmlformats.org/drawingml/2006/main">
                    <a:graphicData uri="http://schemas.openxmlformats.org/drawingml/2006/picture">
                      <pic:pic xmlns:pic="http://schemas.openxmlformats.org/drawingml/2006/picture">
                        <pic:nvPicPr>
                          <pic:cNvPr id="205" name="AutoShape_170_SpCnt_4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6" name="AutoShape_170_SpCnt_42"/>
                  <wp:cNvGraphicFramePr/>
                  <a:graphic xmlns:a="http://schemas.openxmlformats.org/drawingml/2006/main">
                    <a:graphicData uri="http://schemas.openxmlformats.org/drawingml/2006/picture">
                      <pic:pic xmlns:pic="http://schemas.openxmlformats.org/drawingml/2006/picture">
                        <pic:nvPicPr>
                          <pic:cNvPr id="206" name="AutoShape_170_SpCnt_4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7" name="AutoShape_171_SpCnt_40"/>
                  <wp:cNvGraphicFramePr/>
                  <a:graphic xmlns:a="http://schemas.openxmlformats.org/drawingml/2006/main">
                    <a:graphicData uri="http://schemas.openxmlformats.org/drawingml/2006/picture">
                      <pic:pic xmlns:pic="http://schemas.openxmlformats.org/drawingml/2006/picture">
                        <pic:nvPicPr>
                          <pic:cNvPr id="207" name="AutoShape_171_SpCnt_4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8" name="AutoShape_170_SpCnt_43"/>
                  <wp:cNvGraphicFramePr/>
                  <a:graphic xmlns:a="http://schemas.openxmlformats.org/drawingml/2006/main">
                    <a:graphicData uri="http://schemas.openxmlformats.org/drawingml/2006/picture">
                      <pic:pic xmlns:pic="http://schemas.openxmlformats.org/drawingml/2006/picture">
                        <pic:nvPicPr>
                          <pic:cNvPr id="208" name="AutoShape_170_SpCnt_4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09" name="AutoShape_168_SpCnt_43"/>
                  <wp:cNvGraphicFramePr/>
                  <a:graphic xmlns:a="http://schemas.openxmlformats.org/drawingml/2006/main">
                    <a:graphicData uri="http://schemas.openxmlformats.org/drawingml/2006/picture">
                      <pic:pic xmlns:pic="http://schemas.openxmlformats.org/drawingml/2006/picture">
                        <pic:nvPicPr>
                          <pic:cNvPr id="209" name="AutoShape_168_SpCnt_4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0" name="Rectangle_3429_SpCnt_2"/>
                  <wp:cNvGraphicFramePr/>
                  <a:graphic xmlns:a="http://schemas.openxmlformats.org/drawingml/2006/main">
                    <a:graphicData uri="http://schemas.openxmlformats.org/drawingml/2006/picture">
                      <pic:pic xmlns:pic="http://schemas.openxmlformats.org/drawingml/2006/picture">
                        <pic:nvPicPr>
                          <pic:cNvPr id="210" name="Rectangle_3429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1" name="Rectangle_3428_SpCnt_2"/>
                  <wp:cNvGraphicFramePr/>
                  <a:graphic xmlns:a="http://schemas.openxmlformats.org/drawingml/2006/main">
                    <a:graphicData uri="http://schemas.openxmlformats.org/drawingml/2006/picture">
                      <pic:pic xmlns:pic="http://schemas.openxmlformats.org/drawingml/2006/picture">
                        <pic:nvPicPr>
                          <pic:cNvPr id="211" name="Rectangle_3428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2" name="Rectangle_3427_SpCnt_2"/>
                  <wp:cNvGraphicFramePr/>
                  <a:graphic xmlns:a="http://schemas.openxmlformats.org/drawingml/2006/main">
                    <a:graphicData uri="http://schemas.openxmlformats.org/drawingml/2006/picture">
                      <pic:pic xmlns:pic="http://schemas.openxmlformats.org/drawingml/2006/picture">
                        <pic:nvPicPr>
                          <pic:cNvPr id="212" name="Rectangle_3427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3" name="Rectangle_3426_SpCnt_2"/>
                  <wp:cNvGraphicFramePr/>
                  <a:graphic xmlns:a="http://schemas.openxmlformats.org/drawingml/2006/main">
                    <a:graphicData uri="http://schemas.openxmlformats.org/drawingml/2006/picture">
                      <pic:pic xmlns:pic="http://schemas.openxmlformats.org/drawingml/2006/picture">
                        <pic:nvPicPr>
                          <pic:cNvPr id="213" name="Rectangle_3426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4" name="AutoShape_171_SpCnt_41"/>
                  <wp:cNvGraphicFramePr/>
                  <a:graphic xmlns:a="http://schemas.openxmlformats.org/drawingml/2006/main">
                    <a:graphicData uri="http://schemas.openxmlformats.org/drawingml/2006/picture">
                      <pic:pic xmlns:pic="http://schemas.openxmlformats.org/drawingml/2006/picture">
                        <pic:nvPicPr>
                          <pic:cNvPr id="214" name="AutoShape_171_SpCnt_4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5" name="Rectangle_3424_SpCnt_1"/>
                  <wp:cNvGraphicFramePr/>
                  <a:graphic xmlns:a="http://schemas.openxmlformats.org/drawingml/2006/main">
                    <a:graphicData uri="http://schemas.openxmlformats.org/drawingml/2006/picture">
                      <pic:pic xmlns:pic="http://schemas.openxmlformats.org/drawingml/2006/picture">
                        <pic:nvPicPr>
                          <pic:cNvPr id="215" name="Rectangle_3424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6" name="Rectangle_3423_SpCnt_2"/>
                  <wp:cNvGraphicFramePr/>
                  <a:graphic xmlns:a="http://schemas.openxmlformats.org/drawingml/2006/main">
                    <a:graphicData uri="http://schemas.openxmlformats.org/drawingml/2006/picture">
                      <pic:pic xmlns:pic="http://schemas.openxmlformats.org/drawingml/2006/picture">
                        <pic:nvPicPr>
                          <pic:cNvPr id="216" name="Rectangle_3423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7" name="Rectangle_3422_SpCnt_2"/>
                  <wp:cNvGraphicFramePr/>
                  <a:graphic xmlns:a="http://schemas.openxmlformats.org/drawingml/2006/main">
                    <a:graphicData uri="http://schemas.openxmlformats.org/drawingml/2006/picture">
                      <pic:pic xmlns:pic="http://schemas.openxmlformats.org/drawingml/2006/picture">
                        <pic:nvPicPr>
                          <pic:cNvPr id="217" name="Rectangle_3422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8" name="Rectangle_3424_SpCnt_2"/>
                  <wp:cNvGraphicFramePr/>
                  <a:graphic xmlns:a="http://schemas.openxmlformats.org/drawingml/2006/main">
                    <a:graphicData uri="http://schemas.openxmlformats.org/drawingml/2006/picture">
                      <pic:pic xmlns:pic="http://schemas.openxmlformats.org/drawingml/2006/picture">
                        <pic:nvPicPr>
                          <pic:cNvPr id="218" name="Rectangle_3424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19" name="Rectangle_3420_SpCnt_2"/>
                  <wp:cNvGraphicFramePr/>
                  <a:graphic xmlns:a="http://schemas.openxmlformats.org/drawingml/2006/main">
                    <a:graphicData uri="http://schemas.openxmlformats.org/drawingml/2006/picture">
                      <pic:pic xmlns:pic="http://schemas.openxmlformats.org/drawingml/2006/picture">
                        <pic:nvPicPr>
                          <pic:cNvPr id="219" name="Rectangle_3420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0" name="Rectangle_3416_SpCnt_2"/>
                  <wp:cNvGraphicFramePr/>
                  <a:graphic xmlns:a="http://schemas.openxmlformats.org/drawingml/2006/main">
                    <a:graphicData uri="http://schemas.openxmlformats.org/drawingml/2006/picture">
                      <pic:pic xmlns:pic="http://schemas.openxmlformats.org/drawingml/2006/picture">
                        <pic:nvPicPr>
                          <pic:cNvPr id="220" name="Rectangle_3416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1" name="Rectangle_3413_SpCnt_2"/>
                  <wp:cNvGraphicFramePr/>
                  <a:graphic xmlns:a="http://schemas.openxmlformats.org/drawingml/2006/main">
                    <a:graphicData uri="http://schemas.openxmlformats.org/drawingml/2006/picture">
                      <pic:pic xmlns:pic="http://schemas.openxmlformats.org/drawingml/2006/picture">
                        <pic:nvPicPr>
                          <pic:cNvPr id="221" name="Rectangle_3413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2" name="Rectangle_3407_SpCnt_1"/>
                  <wp:cNvGraphicFramePr/>
                  <a:graphic xmlns:a="http://schemas.openxmlformats.org/drawingml/2006/main">
                    <a:graphicData uri="http://schemas.openxmlformats.org/drawingml/2006/picture">
                      <pic:pic xmlns:pic="http://schemas.openxmlformats.org/drawingml/2006/picture">
                        <pic:nvPicPr>
                          <pic:cNvPr id="222" name="Rectangle_3407_SpCnt_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3" name="Rectangle_3407_SpCnt_2"/>
                  <wp:cNvGraphicFramePr/>
                  <a:graphic xmlns:a="http://schemas.openxmlformats.org/drawingml/2006/main">
                    <a:graphicData uri="http://schemas.openxmlformats.org/drawingml/2006/picture">
                      <pic:pic xmlns:pic="http://schemas.openxmlformats.org/drawingml/2006/picture">
                        <pic:nvPicPr>
                          <pic:cNvPr id="223" name="Rectangle_3407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4" name="AutoShape_171_SpCnt_42"/>
                  <wp:cNvGraphicFramePr/>
                  <a:graphic xmlns:a="http://schemas.openxmlformats.org/drawingml/2006/main">
                    <a:graphicData uri="http://schemas.openxmlformats.org/drawingml/2006/picture">
                      <pic:pic xmlns:pic="http://schemas.openxmlformats.org/drawingml/2006/picture">
                        <pic:nvPicPr>
                          <pic:cNvPr id="224" name="AutoShape_171_SpCnt_4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5" name="AutoShape_170_SpCnt_44"/>
                  <wp:cNvGraphicFramePr/>
                  <a:graphic xmlns:a="http://schemas.openxmlformats.org/drawingml/2006/main">
                    <a:graphicData uri="http://schemas.openxmlformats.org/drawingml/2006/picture">
                      <pic:pic xmlns:pic="http://schemas.openxmlformats.org/drawingml/2006/picture">
                        <pic:nvPicPr>
                          <pic:cNvPr id="225" name="AutoShape_170_SpCnt_4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6" name="AutoShape_168_SpCnt_44"/>
                  <wp:cNvGraphicFramePr/>
                  <a:graphic xmlns:a="http://schemas.openxmlformats.org/drawingml/2006/main">
                    <a:graphicData uri="http://schemas.openxmlformats.org/drawingml/2006/picture">
                      <pic:pic xmlns:pic="http://schemas.openxmlformats.org/drawingml/2006/picture">
                        <pic:nvPicPr>
                          <pic:cNvPr id="226" name="AutoShape_168_SpCnt_4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7" name="Rectangle_3429_SpCnt_3"/>
                  <wp:cNvGraphicFramePr/>
                  <a:graphic xmlns:a="http://schemas.openxmlformats.org/drawingml/2006/main">
                    <a:graphicData uri="http://schemas.openxmlformats.org/drawingml/2006/picture">
                      <pic:pic xmlns:pic="http://schemas.openxmlformats.org/drawingml/2006/picture">
                        <pic:nvPicPr>
                          <pic:cNvPr id="227" name="Rectangle_3429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8" name="Rectangle_3428_SpCnt_3"/>
                  <wp:cNvGraphicFramePr/>
                  <a:graphic xmlns:a="http://schemas.openxmlformats.org/drawingml/2006/main">
                    <a:graphicData uri="http://schemas.openxmlformats.org/drawingml/2006/picture">
                      <pic:pic xmlns:pic="http://schemas.openxmlformats.org/drawingml/2006/picture">
                        <pic:nvPicPr>
                          <pic:cNvPr id="228" name="Rectangle_3428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29" name="Rectangle_3427_SpCnt_3"/>
                  <wp:cNvGraphicFramePr/>
                  <a:graphic xmlns:a="http://schemas.openxmlformats.org/drawingml/2006/main">
                    <a:graphicData uri="http://schemas.openxmlformats.org/drawingml/2006/picture">
                      <pic:pic xmlns:pic="http://schemas.openxmlformats.org/drawingml/2006/picture">
                        <pic:nvPicPr>
                          <pic:cNvPr id="229" name="Rectangle_3427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0" name="Rectangle_4297_SpCnt_3"/>
                  <wp:cNvGraphicFramePr/>
                  <a:graphic xmlns:a="http://schemas.openxmlformats.org/drawingml/2006/main">
                    <a:graphicData uri="http://schemas.openxmlformats.org/drawingml/2006/picture">
                      <pic:pic xmlns:pic="http://schemas.openxmlformats.org/drawingml/2006/picture">
                        <pic:nvPicPr>
                          <pic:cNvPr id="230" name="Rectangle_4297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1" name="Rectangle_3425_SpCnt_2"/>
                  <wp:cNvGraphicFramePr/>
                  <a:graphic xmlns:a="http://schemas.openxmlformats.org/drawingml/2006/main">
                    <a:graphicData uri="http://schemas.openxmlformats.org/drawingml/2006/picture">
                      <pic:pic xmlns:pic="http://schemas.openxmlformats.org/drawingml/2006/picture">
                        <pic:nvPicPr>
                          <pic:cNvPr id="231" name="Rectangle_3425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2" name="Rectangle_3424_SpCnt_3"/>
                  <wp:cNvGraphicFramePr/>
                  <a:graphic xmlns:a="http://schemas.openxmlformats.org/drawingml/2006/main">
                    <a:graphicData uri="http://schemas.openxmlformats.org/drawingml/2006/picture">
                      <pic:pic xmlns:pic="http://schemas.openxmlformats.org/drawingml/2006/picture">
                        <pic:nvPicPr>
                          <pic:cNvPr id="232" name="Rectangle_3424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3" name="Rectangle_3423_SpCnt_3"/>
                  <wp:cNvGraphicFramePr/>
                  <a:graphic xmlns:a="http://schemas.openxmlformats.org/drawingml/2006/main">
                    <a:graphicData uri="http://schemas.openxmlformats.org/drawingml/2006/picture">
                      <pic:pic xmlns:pic="http://schemas.openxmlformats.org/drawingml/2006/picture">
                        <pic:nvPicPr>
                          <pic:cNvPr id="233" name="Rectangle_3423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4" name="Rectangle_4306_SpCnt_3"/>
                  <wp:cNvGraphicFramePr/>
                  <a:graphic xmlns:a="http://schemas.openxmlformats.org/drawingml/2006/main">
                    <a:graphicData uri="http://schemas.openxmlformats.org/drawingml/2006/picture">
                      <pic:pic xmlns:pic="http://schemas.openxmlformats.org/drawingml/2006/picture">
                        <pic:nvPicPr>
                          <pic:cNvPr id="234" name="Rectangle_4306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5" name="Rectangle_3421_SpCnt_2"/>
                  <wp:cNvGraphicFramePr/>
                  <a:graphic xmlns:a="http://schemas.openxmlformats.org/drawingml/2006/main">
                    <a:graphicData uri="http://schemas.openxmlformats.org/drawingml/2006/picture">
                      <pic:pic xmlns:pic="http://schemas.openxmlformats.org/drawingml/2006/picture">
                        <pic:nvPicPr>
                          <pic:cNvPr id="235" name="Rectangle_3421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6" name="Rectangle_3420_SpCnt_3"/>
                  <wp:cNvGraphicFramePr/>
                  <a:graphic xmlns:a="http://schemas.openxmlformats.org/drawingml/2006/main">
                    <a:graphicData uri="http://schemas.openxmlformats.org/drawingml/2006/picture">
                      <pic:pic xmlns:pic="http://schemas.openxmlformats.org/drawingml/2006/picture">
                        <pic:nvPicPr>
                          <pic:cNvPr id="236" name="Rectangle_3420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7" name="Rectangle_3416_SpCnt_3"/>
                  <wp:cNvGraphicFramePr/>
                  <a:graphic xmlns:a="http://schemas.openxmlformats.org/drawingml/2006/main">
                    <a:graphicData uri="http://schemas.openxmlformats.org/drawingml/2006/picture">
                      <pic:pic xmlns:pic="http://schemas.openxmlformats.org/drawingml/2006/picture">
                        <pic:nvPicPr>
                          <pic:cNvPr id="237" name="Rectangle_3416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8" name="Rectangle_4298_SpCnt_3"/>
                  <wp:cNvGraphicFramePr/>
                  <a:graphic xmlns:a="http://schemas.openxmlformats.org/drawingml/2006/main">
                    <a:graphicData uri="http://schemas.openxmlformats.org/drawingml/2006/picture">
                      <pic:pic xmlns:pic="http://schemas.openxmlformats.org/drawingml/2006/picture">
                        <pic:nvPicPr>
                          <pic:cNvPr id="238" name="Rectangle_4298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39" name="Rectangle_3410_SpCnt_2"/>
                  <wp:cNvGraphicFramePr/>
                  <a:graphic xmlns:a="http://schemas.openxmlformats.org/drawingml/2006/main">
                    <a:graphicData uri="http://schemas.openxmlformats.org/drawingml/2006/picture">
                      <pic:pic xmlns:pic="http://schemas.openxmlformats.org/drawingml/2006/picture">
                        <pic:nvPicPr>
                          <pic:cNvPr id="239" name="Rectangle_3410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0" name="Rectangle_3407_SpCnt_3"/>
                  <wp:cNvGraphicFramePr/>
                  <a:graphic xmlns:a="http://schemas.openxmlformats.org/drawingml/2006/main">
                    <a:graphicData uri="http://schemas.openxmlformats.org/drawingml/2006/picture">
                      <pic:pic xmlns:pic="http://schemas.openxmlformats.org/drawingml/2006/picture">
                        <pic:nvPicPr>
                          <pic:cNvPr id="240" name="Rectangle_3407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1" name="AutoShape_171_SpCnt_43"/>
                  <wp:cNvGraphicFramePr/>
                  <a:graphic xmlns:a="http://schemas.openxmlformats.org/drawingml/2006/main">
                    <a:graphicData uri="http://schemas.openxmlformats.org/drawingml/2006/picture">
                      <pic:pic xmlns:pic="http://schemas.openxmlformats.org/drawingml/2006/picture">
                        <pic:nvPicPr>
                          <pic:cNvPr id="241" name="AutoShape_171_SpCnt_4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2" name="AutoShape_170_SpCnt_45"/>
                  <wp:cNvGraphicFramePr/>
                  <a:graphic xmlns:a="http://schemas.openxmlformats.org/drawingml/2006/main">
                    <a:graphicData uri="http://schemas.openxmlformats.org/drawingml/2006/picture">
                      <pic:pic xmlns:pic="http://schemas.openxmlformats.org/drawingml/2006/picture">
                        <pic:nvPicPr>
                          <pic:cNvPr id="242" name="AutoShape_170_SpCnt_4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3" name="AutoShape_168_SpCnt_45"/>
                  <wp:cNvGraphicFramePr/>
                  <a:graphic xmlns:a="http://schemas.openxmlformats.org/drawingml/2006/main">
                    <a:graphicData uri="http://schemas.openxmlformats.org/drawingml/2006/picture">
                      <pic:pic xmlns:pic="http://schemas.openxmlformats.org/drawingml/2006/picture">
                        <pic:nvPicPr>
                          <pic:cNvPr id="243" name="AutoShape_168_SpCnt_4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4" name="Rectangle_4309_SpCnt_4"/>
                  <wp:cNvGraphicFramePr/>
                  <a:graphic xmlns:a="http://schemas.openxmlformats.org/drawingml/2006/main">
                    <a:graphicData uri="http://schemas.openxmlformats.org/drawingml/2006/picture">
                      <pic:pic xmlns:pic="http://schemas.openxmlformats.org/drawingml/2006/picture">
                        <pic:nvPicPr>
                          <pic:cNvPr id="244" name="Rectangle_4309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5" name="Rectangle_4308_SpCnt_4"/>
                  <wp:cNvGraphicFramePr/>
                  <a:graphic xmlns:a="http://schemas.openxmlformats.org/drawingml/2006/main">
                    <a:graphicData uri="http://schemas.openxmlformats.org/drawingml/2006/picture">
                      <pic:pic xmlns:pic="http://schemas.openxmlformats.org/drawingml/2006/picture">
                        <pic:nvPicPr>
                          <pic:cNvPr id="245" name="Rectangle_4308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6" name="Rectangle_4299_SpCnt_2"/>
                  <wp:cNvGraphicFramePr/>
                  <a:graphic xmlns:a="http://schemas.openxmlformats.org/drawingml/2006/main">
                    <a:graphicData uri="http://schemas.openxmlformats.org/drawingml/2006/picture">
                      <pic:pic xmlns:pic="http://schemas.openxmlformats.org/drawingml/2006/picture">
                        <pic:nvPicPr>
                          <pic:cNvPr id="246" name="Rectangle_4299_SpCnt_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7" name="Rectangle_4306_SpCnt_4"/>
                  <wp:cNvGraphicFramePr/>
                  <a:graphic xmlns:a="http://schemas.openxmlformats.org/drawingml/2006/main">
                    <a:graphicData uri="http://schemas.openxmlformats.org/drawingml/2006/picture">
                      <pic:pic xmlns:pic="http://schemas.openxmlformats.org/drawingml/2006/picture">
                        <pic:nvPicPr>
                          <pic:cNvPr id="247" name="Rectangle_4306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8" name="Rectangle_4305_SpCnt_4"/>
                  <wp:cNvGraphicFramePr/>
                  <a:graphic xmlns:a="http://schemas.openxmlformats.org/drawingml/2006/main">
                    <a:graphicData uri="http://schemas.openxmlformats.org/drawingml/2006/picture">
                      <pic:pic xmlns:pic="http://schemas.openxmlformats.org/drawingml/2006/picture">
                        <pic:nvPicPr>
                          <pic:cNvPr id="248" name="Rectangle_4305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49" name="Rectangle_4304_SpCnt_4"/>
                  <wp:cNvGraphicFramePr/>
                  <a:graphic xmlns:a="http://schemas.openxmlformats.org/drawingml/2006/main">
                    <a:graphicData uri="http://schemas.openxmlformats.org/drawingml/2006/picture">
                      <pic:pic xmlns:pic="http://schemas.openxmlformats.org/drawingml/2006/picture">
                        <pic:nvPicPr>
                          <pic:cNvPr id="249" name="Rectangle_4304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0" name="AutoShape_170_SpCnt_46"/>
                  <wp:cNvGraphicFramePr/>
                  <a:graphic xmlns:a="http://schemas.openxmlformats.org/drawingml/2006/main">
                    <a:graphicData uri="http://schemas.openxmlformats.org/drawingml/2006/picture">
                      <pic:pic xmlns:pic="http://schemas.openxmlformats.org/drawingml/2006/picture">
                        <pic:nvPicPr>
                          <pic:cNvPr id="250" name="AutoShape_170_SpCnt_4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1" name="Rectangle_4302_SpCnt_3"/>
                  <wp:cNvGraphicFramePr/>
                  <a:graphic xmlns:a="http://schemas.openxmlformats.org/drawingml/2006/main">
                    <a:graphicData uri="http://schemas.openxmlformats.org/drawingml/2006/picture">
                      <pic:pic xmlns:pic="http://schemas.openxmlformats.org/drawingml/2006/picture">
                        <pic:nvPicPr>
                          <pic:cNvPr id="251" name="Rectangle_4302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2" name="AutoShape_168_SpCnt_46"/>
                  <wp:cNvGraphicFramePr/>
                  <a:graphic xmlns:a="http://schemas.openxmlformats.org/drawingml/2006/main">
                    <a:graphicData uri="http://schemas.openxmlformats.org/drawingml/2006/picture">
                      <pic:pic xmlns:pic="http://schemas.openxmlformats.org/drawingml/2006/picture">
                        <pic:nvPicPr>
                          <pic:cNvPr id="252" name="AutoShape_168_SpCnt_4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3" name="Rectangle_4300_SpCnt_3"/>
                  <wp:cNvGraphicFramePr/>
                  <a:graphic xmlns:a="http://schemas.openxmlformats.org/drawingml/2006/main">
                    <a:graphicData uri="http://schemas.openxmlformats.org/drawingml/2006/picture">
                      <pic:pic xmlns:pic="http://schemas.openxmlformats.org/drawingml/2006/picture">
                        <pic:nvPicPr>
                          <pic:cNvPr id="253" name="Rectangle_4300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4" name="AutoShape_171_SpCnt_44"/>
                  <wp:cNvGraphicFramePr/>
                  <a:graphic xmlns:a="http://schemas.openxmlformats.org/drawingml/2006/main">
                    <a:graphicData uri="http://schemas.openxmlformats.org/drawingml/2006/picture">
                      <pic:pic xmlns:pic="http://schemas.openxmlformats.org/drawingml/2006/picture">
                        <pic:nvPicPr>
                          <pic:cNvPr id="254" name="AutoShape_171_SpCnt_4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5" name="AutoShape_171_SpCnt_45"/>
                  <wp:cNvGraphicFramePr/>
                  <a:graphic xmlns:a="http://schemas.openxmlformats.org/drawingml/2006/main">
                    <a:graphicData uri="http://schemas.openxmlformats.org/drawingml/2006/picture">
                      <pic:pic xmlns:pic="http://schemas.openxmlformats.org/drawingml/2006/picture">
                        <pic:nvPicPr>
                          <pic:cNvPr id="255" name="AutoShape_171_SpCnt_4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6" name="AutoShape_170_SpCnt_47"/>
                  <wp:cNvGraphicFramePr/>
                  <a:graphic xmlns:a="http://schemas.openxmlformats.org/drawingml/2006/main">
                    <a:graphicData uri="http://schemas.openxmlformats.org/drawingml/2006/picture">
                      <pic:pic xmlns:pic="http://schemas.openxmlformats.org/drawingml/2006/picture">
                        <pic:nvPicPr>
                          <pic:cNvPr id="256" name="AutoShape_170_SpCnt_4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7" name="AutoShape_171_SpCnt_46"/>
                  <wp:cNvGraphicFramePr/>
                  <a:graphic xmlns:a="http://schemas.openxmlformats.org/drawingml/2006/main">
                    <a:graphicData uri="http://schemas.openxmlformats.org/drawingml/2006/picture">
                      <pic:pic xmlns:pic="http://schemas.openxmlformats.org/drawingml/2006/picture">
                        <pic:nvPicPr>
                          <pic:cNvPr id="257" name="AutoShape_171_SpCnt_4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8" name="Rectangle_4303_SpCnt_3"/>
                  <wp:cNvGraphicFramePr/>
                  <a:graphic xmlns:a="http://schemas.openxmlformats.org/drawingml/2006/main">
                    <a:graphicData uri="http://schemas.openxmlformats.org/drawingml/2006/picture">
                      <pic:pic xmlns:pic="http://schemas.openxmlformats.org/drawingml/2006/picture">
                        <pic:nvPicPr>
                          <pic:cNvPr id="258" name="Rectangle_4303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59" name="Rectangle_4302_SpCnt_4"/>
                  <wp:cNvGraphicFramePr/>
                  <a:graphic xmlns:a="http://schemas.openxmlformats.org/drawingml/2006/main">
                    <a:graphicData uri="http://schemas.openxmlformats.org/drawingml/2006/picture">
                      <pic:pic xmlns:pic="http://schemas.openxmlformats.org/drawingml/2006/picture">
                        <pic:nvPicPr>
                          <pic:cNvPr id="259" name="Rectangle_4302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0" name="Rectangle_4300_SpCnt_4"/>
                  <wp:cNvGraphicFramePr/>
                  <a:graphic xmlns:a="http://schemas.openxmlformats.org/drawingml/2006/main">
                    <a:graphicData uri="http://schemas.openxmlformats.org/drawingml/2006/picture">
                      <pic:pic xmlns:pic="http://schemas.openxmlformats.org/drawingml/2006/picture">
                        <pic:nvPicPr>
                          <pic:cNvPr id="260" name="Rectangle_4300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1" name="Rectangle_4301_SpCnt_3"/>
                  <wp:cNvGraphicFramePr/>
                  <a:graphic xmlns:a="http://schemas.openxmlformats.org/drawingml/2006/main">
                    <a:graphicData uri="http://schemas.openxmlformats.org/drawingml/2006/picture">
                      <pic:pic xmlns:pic="http://schemas.openxmlformats.org/drawingml/2006/picture">
                        <pic:nvPicPr>
                          <pic:cNvPr id="261" name="Rectangle_4301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2" name="AutoShape_168_SpCnt_47"/>
                  <wp:cNvGraphicFramePr/>
                  <a:graphic xmlns:a="http://schemas.openxmlformats.org/drawingml/2006/main">
                    <a:graphicData uri="http://schemas.openxmlformats.org/drawingml/2006/picture">
                      <pic:pic xmlns:pic="http://schemas.openxmlformats.org/drawingml/2006/picture">
                        <pic:nvPicPr>
                          <pic:cNvPr id="262" name="AutoShape_168_SpCnt_4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3" name="AutoShape_168_SpCnt_48"/>
                  <wp:cNvGraphicFramePr/>
                  <a:graphic xmlns:a="http://schemas.openxmlformats.org/drawingml/2006/main">
                    <a:graphicData uri="http://schemas.openxmlformats.org/drawingml/2006/picture">
                      <pic:pic xmlns:pic="http://schemas.openxmlformats.org/drawingml/2006/picture">
                        <pic:nvPicPr>
                          <pic:cNvPr id="263" name="AutoShape_168_SpCnt_4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4" name="AutoShape_170_SpCnt_48"/>
                  <wp:cNvGraphicFramePr/>
                  <a:graphic xmlns:a="http://schemas.openxmlformats.org/drawingml/2006/main">
                    <a:graphicData uri="http://schemas.openxmlformats.org/drawingml/2006/picture">
                      <pic:pic xmlns:pic="http://schemas.openxmlformats.org/drawingml/2006/picture">
                        <pic:nvPicPr>
                          <pic:cNvPr id="264" name="AutoShape_170_SpCnt_4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5" name="AutoShape_171_SpCnt_47"/>
                  <wp:cNvGraphicFramePr/>
                  <a:graphic xmlns:a="http://schemas.openxmlformats.org/drawingml/2006/main">
                    <a:graphicData uri="http://schemas.openxmlformats.org/drawingml/2006/picture">
                      <pic:pic xmlns:pic="http://schemas.openxmlformats.org/drawingml/2006/picture">
                        <pic:nvPicPr>
                          <pic:cNvPr id="265" name="AutoShape_171_SpCnt_4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6" name="AutoShape_168_SpCnt_49"/>
                  <wp:cNvGraphicFramePr/>
                  <a:graphic xmlns:a="http://schemas.openxmlformats.org/drawingml/2006/main">
                    <a:graphicData uri="http://schemas.openxmlformats.org/drawingml/2006/picture">
                      <pic:pic xmlns:pic="http://schemas.openxmlformats.org/drawingml/2006/picture">
                        <pic:nvPicPr>
                          <pic:cNvPr id="266" name="AutoShape_168_SpCnt_4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7" name="Rectangle_4299_SpCnt_3"/>
                  <wp:cNvGraphicFramePr/>
                  <a:graphic xmlns:a="http://schemas.openxmlformats.org/drawingml/2006/main">
                    <a:graphicData uri="http://schemas.openxmlformats.org/drawingml/2006/picture">
                      <pic:pic xmlns:pic="http://schemas.openxmlformats.org/drawingml/2006/picture">
                        <pic:nvPicPr>
                          <pic:cNvPr id="267" name="Rectangle_4299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8" name="Rectangle_4298_SpCnt_4"/>
                  <wp:cNvGraphicFramePr/>
                  <a:graphic xmlns:a="http://schemas.openxmlformats.org/drawingml/2006/main">
                    <a:graphicData uri="http://schemas.openxmlformats.org/drawingml/2006/picture">
                      <pic:pic xmlns:pic="http://schemas.openxmlformats.org/drawingml/2006/picture">
                        <pic:nvPicPr>
                          <pic:cNvPr id="268" name="Rectangle_4298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69" name="AutoShape_171_SpCnt_48"/>
                  <wp:cNvGraphicFramePr/>
                  <a:graphic xmlns:a="http://schemas.openxmlformats.org/drawingml/2006/main">
                    <a:graphicData uri="http://schemas.openxmlformats.org/drawingml/2006/picture">
                      <pic:pic xmlns:pic="http://schemas.openxmlformats.org/drawingml/2006/picture">
                        <pic:nvPicPr>
                          <pic:cNvPr id="269" name="AutoShape_171_SpCnt_4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0" name="Rectangle_4297_SpCnt_4"/>
                  <wp:cNvGraphicFramePr/>
                  <a:graphic xmlns:a="http://schemas.openxmlformats.org/drawingml/2006/main">
                    <a:graphicData uri="http://schemas.openxmlformats.org/drawingml/2006/picture">
                      <pic:pic xmlns:pic="http://schemas.openxmlformats.org/drawingml/2006/picture">
                        <pic:nvPicPr>
                          <pic:cNvPr id="270" name="Rectangle_4297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1" name="Rectangle_4296_SpCnt_4"/>
                  <wp:cNvGraphicFramePr/>
                  <a:graphic xmlns:a="http://schemas.openxmlformats.org/drawingml/2006/main">
                    <a:graphicData uri="http://schemas.openxmlformats.org/drawingml/2006/picture">
                      <pic:pic xmlns:pic="http://schemas.openxmlformats.org/drawingml/2006/picture">
                        <pic:nvPicPr>
                          <pic:cNvPr id="271" name="Rectangle_4296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2" name="AutoShape_168_SpCnt_50"/>
                  <wp:cNvGraphicFramePr/>
                  <a:graphic xmlns:a="http://schemas.openxmlformats.org/drawingml/2006/main">
                    <a:graphicData uri="http://schemas.openxmlformats.org/drawingml/2006/picture">
                      <pic:pic xmlns:pic="http://schemas.openxmlformats.org/drawingml/2006/picture">
                        <pic:nvPicPr>
                          <pic:cNvPr id="272" name="AutoShape_168_SpCnt_5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3" name="AutoShape_170_SpCnt_49"/>
                  <wp:cNvGraphicFramePr/>
                  <a:graphic xmlns:a="http://schemas.openxmlformats.org/drawingml/2006/main">
                    <a:graphicData uri="http://schemas.openxmlformats.org/drawingml/2006/picture">
                      <pic:pic xmlns:pic="http://schemas.openxmlformats.org/drawingml/2006/picture">
                        <pic:nvPicPr>
                          <pic:cNvPr id="273" name="AutoShape_170_SpCnt_4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4" name="AutoShape_170_SpCnt_50"/>
                  <wp:cNvGraphicFramePr/>
                  <a:graphic xmlns:a="http://schemas.openxmlformats.org/drawingml/2006/main">
                    <a:graphicData uri="http://schemas.openxmlformats.org/drawingml/2006/picture">
                      <pic:pic xmlns:pic="http://schemas.openxmlformats.org/drawingml/2006/picture">
                        <pic:nvPicPr>
                          <pic:cNvPr id="274" name="AutoShape_170_SpCnt_5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5" name="AutoShape_171_SpCnt_49"/>
                  <wp:cNvGraphicFramePr/>
                  <a:graphic xmlns:a="http://schemas.openxmlformats.org/drawingml/2006/main">
                    <a:graphicData uri="http://schemas.openxmlformats.org/drawingml/2006/picture">
                      <pic:pic xmlns:pic="http://schemas.openxmlformats.org/drawingml/2006/picture">
                        <pic:nvPicPr>
                          <pic:cNvPr id="275" name="AutoShape_171_SpCnt_4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6" name="AutoShape_168_SpCnt_51"/>
                  <wp:cNvGraphicFramePr/>
                  <a:graphic xmlns:a="http://schemas.openxmlformats.org/drawingml/2006/main">
                    <a:graphicData uri="http://schemas.openxmlformats.org/drawingml/2006/picture">
                      <pic:pic xmlns:pic="http://schemas.openxmlformats.org/drawingml/2006/picture">
                        <pic:nvPicPr>
                          <pic:cNvPr id="276" name="AutoShape_168_SpCnt_5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7" name="AutoShape_171_SpCnt_50"/>
                  <wp:cNvGraphicFramePr/>
                  <a:graphic xmlns:a="http://schemas.openxmlformats.org/drawingml/2006/main">
                    <a:graphicData uri="http://schemas.openxmlformats.org/drawingml/2006/picture">
                      <pic:pic xmlns:pic="http://schemas.openxmlformats.org/drawingml/2006/picture">
                        <pic:nvPicPr>
                          <pic:cNvPr id="277" name="AutoShape_171_SpCnt_5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8" name="Rectangle_4308_SpCnt_5"/>
                  <wp:cNvGraphicFramePr/>
                  <a:graphic xmlns:a="http://schemas.openxmlformats.org/drawingml/2006/main">
                    <a:graphicData uri="http://schemas.openxmlformats.org/drawingml/2006/picture">
                      <pic:pic xmlns:pic="http://schemas.openxmlformats.org/drawingml/2006/picture">
                        <pic:nvPicPr>
                          <pic:cNvPr id="278" name="Rectangle_4308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79" name="Rectangle_4307_SpCnt_4"/>
                  <wp:cNvGraphicFramePr/>
                  <a:graphic xmlns:a="http://schemas.openxmlformats.org/drawingml/2006/main">
                    <a:graphicData uri="http://schemas.openxmlformats.org/drawingml/2006/picture">
                      <pic:pic xmlns:pic="http://schemas.openxmlformats.org/drawingml/2006/picture">
                        <pic:nvPicPr>
                          <pic:cNvPr id="279" name="Rectangle_4307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0" name="Rectangle_4306_SpCnt_5"/>
                  <wp:cNvGraphicFramePr/>
                  <a:graphic xmlns:a="http://schemas.openxmlformats.org/drawingml/2006/main">
                    <a:graphicData uri="http://schemas.openxmlformats.org/drawingml/2006/picture">
                      <pic:pic xmlns:pic="http://schemas.openxmlformats.org/drawingml/2006/picture">
                        <pic:nvPicPr>
                          <pic:cNvPr id="280" name="Rectangle_4306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1" name="AutoShape_168_SpCnt_52"/>
                  <wp:cNvGraphicFramePr/>
                  <a:graphic xmlns:a="http://schemas.openxmlformats.org/drawingml/2006/main">
                    <a:graphicData uri="http://schemas.openxmlformats.org/drawingml/2006/picture">
                      <pic:pic xmlns:pic="http://schemas.openxmlformats.org/drawingml/2006/picture">
                        <pic:nvPicPr>
                          <pic:cNvPr id="281" name="AutoShape_168_SpCnt_5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2" name="Rectangle_4304_SpCnt_5"/>
                  <wp:cNvGraphicFramePr/>
                  <a:graphic xmlns:a="http://schemas.openxmlformats.org/drawingml/2006/main">
                    <a:graphicData uri="http://schemas.openxmlformats.org/drawingml/2006/picture">
                      <pic:pic xmlns:pic="http://schemas.openxmlformats.org/drawingml/2006/picture">
                        <pic:nvPicPr>
                          <pic:cNvPr id="282" name="Rectangle_4304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3" name="AutoShape_171_SpCnt_51"/>
                  <wp:cNvGraphicFramePr/>
                  <a:graphic xmlns:a="http://schemas.openxmlformats.org/drawingml/2006/main">
                    <a:graphicData uri="http://schemas.openxmlformats.org/drawingml/2006/picture">
                      <pic:pic xmlns:pic="http://schemas.openxmlformats.org/drawingml/2006/picture">
                        <pic:nvPicPr>
                          <pic:cNvPr id="283" name="AutoShape_171_SpCnt_5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4" name="Rectangle_4302_SpCnt_5"/>
                  <wp:cNvGraphicFramePr/>
                  <a:graphic xmlns:a="http://schemas.openxmlformats.org/drawingml/2006/main">
                    <a:graphicData uri="http://schemas.openxmlformats.org/drawingml/2006/picture">
                      <pic:pic xmlns:pic="http://schemas.openxmlformats.org/drawingml/2006/picture">
                        <pic:nvPicPr>
                          <pic:cNvPr id="284" name="Rectangle_4302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5" name="AutoShape_170_SpCnt_51"/>
                  <wp:cNvGraphicFramePr/>
                  <a:graphic xmlns:a="http://schemas.openxmlformats.org/drawingml/2006/main">
                    <a:graphicData uri="http://schemas.openxmlformats.org/drawingml/2006/picture">
                      <pic:pic xmlns:pic="http://schemas.openxmlformats.org/drawingml/2006/picture">
                        <pic:nvPicPr>
                          <pic:cNvPr id="285" name="AutoShape_170_SpCnt_5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6" name="Rectangle_4300_SpCnt_5"/>
                  <wp:cNvGraphicFramePr/>
                  <a:graphic xmlns:a="http://schemas.openxmlformats.org/drawingml/2006/main">
                    <a:graphicData uri="http://schemas.openxmlformats.org/drawingml/2006/picture">
                      <pic:pic xmlns:pic="http://schemas.openxmlformats.org/drawingml/2006/picture">
                        <pic:nvPicPr>
                          <pic:cNvPr id="286" name="Rectangle_4300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7" name="Rectangle_4299_SpCnt_4"/>
                  <wp:cNvGraphicFramePr/>
                  <a:graphic xmlns:a="http://schemas.openxmlformats.org/drawingml/2006/main">
                    <a:graphicData uri="http://schemas.openxmlformats.org/drawingml/2006/picture">
                      <pic:pic xmlns:pic="http://schemas.openxmlformats.org/drawingml/2006/picture">
                        <pic:nvPicPr>
                          <pic:cNvPr id="287" name="Rectangle_4299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8" name="Rectangle_4298_SpCnt_5"/>
                  <wp:cNvGraphicFramePr/>
                  <a:graphic xmlns:a="http://schemas.openxmlformats.org/drawingml/2006/main">
                    <a:graphicData uri="http://schemas.openxmlformats.org/drawingml/2006/picture">
                      <pic:pic xmlns:pic="http://schemas.openxmlformats.org/drawingml/2006/picture">
                        <pic:nvPicPr>
                          <pic:cNvPr id="288" name="Rectangle_4298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89" name="Rectangle_4297_SpCnt_5"/>
                  <wp:cNvGraphicFramePr/>
                  <a:graphic xmlns:a="http://schemas.openxmlformats.org/drawingml/2006/main">
                    <a:graphicData uri="http://schemas.openxmlformats.org/drawingml/2006/picture">
                      <pic:pic xmlns:pic="http://schemas.openxmlformats.org/drawingml/2006/picture">
                        <pic:nvPicPr>
                          <pic:cNvPr id="289" name="Rectangle_4297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0" name="Rectangle_4296_SpCnt_5"/>
                  <wp:cNvGraphicFramePr/>
                  <a:graphic xmlns:a="http://schemas.openxmlformats.org/drawingml/2006/main">
                    <a:graphicData uri="http://schemas.openxmlformats.org/drawingml/2006/picture">
                      <pic:pic xmlns:pic="http://schemas.openxmlformats.org/drawingml/2006/picture">
                        <pic:nvPicPr>
                          <pic:cNvPr id="290" name="Rectangle_4296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1" name="AutoShape_171_SpCnt_52"/>
                  <wp:cNvGraphicFramePr/>
                  <a:graphic xmlns:a="http://schemas.openxmlformats.org/drawingml/2006/main">
                    <a:graphicData uri="http://schemas.openxmlformats.org/drawingml/2006/picture">
                      <pic:pic xmlns:pic="http://schemas.openxmlformats.org/drawingml/2006/picture">
                        <pic:nvPicPr>
                          <pic:cNvPr id="291" name="AutoShape_171_SpCnt_5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2" name="AutoShape_170_SpCnt_52"/>
                  <wp:cNvGraphicFramePr/>
                  <a:graphic xmlns:a="http://schemas.openxmlformats.org/drawingml/2006/main">
                    <a:graphicData uri="http://schemas.openxmlformats.org/drawingml/2006/picture">
                      <pic:pic xmlns:pic="http://schemas.openxmlformats.org/drawingml/2006/picture">
                        <pic:nvPicPr>
                          <pic:cNvPr id="292" name="AutoShape_170_SpCnt_5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3" name="AutoShape_168_SpCnt_53"/>
                  <wp:cNvGraphicFramePr/>
                  <a:graphic xmlns:a="http://schemas.openxmlformats.org/drawingml/2006/main">
                    <a:graphicData uri="http://schemas.openxmlformats.org/drawingml/2006/picture">
                      <pic:pic xmlns:pic="http://schemas.openxmlformats.org/drawingml/2006/picture">
                        <pic:nvPicPr>
                          <pic:cNvPr id="293" name="AutoShape_168_SpCnt_5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4" name="AutoShape_171_SpCnt_53"/>
                  <wp:cNvGraphicFramePr/>
                  <a:graphic xmlns:a="http://schemas.openxmlformats.org/drawingml/2006/main">
                    <a:graphicData uri="http://schemas.openxmlformats.org/drawingml/2006/picture">
                      <pic:pic xmlns:pic="http://schemas.openxmlformats.org/drawingml/2006/picture">
                        <pic:nvPicPr>
                          <pic:cNvPr id="294" name="AutoShape_171_SpCnt_5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5" name="AutoShape_170_SpCnt_53"/>
                  <wp:cNvGraphicFramePr/>
                  <a:graphic xmlns:a="http://schemas.openxmlformats.org/drawingml/2006/main">
                    <a:graphicData uri="http://schemas.openxmlformats.org/drawingml/2006/picture">
                      <pic:pic xmlns:pic="http://schemas.openxmlformats.org/drawingml/2006/picture">
                        <pic:nvPicPr>
                          <pic:cNvPr id="295" name="AutoShape_170_SpCnt_5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6" name="AutoShape_168_SpCnt_54"/>
                  <wp:cNvGraphicFramePr/>
                  <a:graphic xmlns:a="http://schemas.openxmlformats.org/drawingml/2006/main">
                    <a:graphicData uri="http://schemas.openxmlformats.org/drawingml/2006/picture">
                      <pic:pic xmlns:pic="http://schemas.openxmlformats.org/drawingml/2006/picture">
                        <pic:nvPicPr>
                          <pic:cNvPr id="296" name="AutoShape_168_SpCnt_5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7" name="Rectangle_3425_SpCnt_3"/>
                  <wp:cNvGraphicFramePr/>
                  <a:graphic xmlns:a="http://schemas.openxmlformats.org/drawingml/2006/main">
                    <a:graphicData uri="http://schemas.openxmlformats.org/drawingml/2006/picture">
                      <pic:pic xmlns:pic="http://schemas.openxmlformats.org/drawingml/2006/picture">
                        <pic:nvPicPr>
                          <pic:cNvPr id="297" name="Rectangle_3425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8" name="AutoShape_170_SpCnt_54"/>
                  <wp:cNvGraphicFramePr/>
                  <a:graphic xmlns:a="http://schemas.openxmlformats.org/drawingml/2006/main">
                    <a:graphicData uri="http://schemas.openxmlformats.org/drawingml/2006/picture">
                      <pic:pic xmlns:pic="http://schemas.openxmlformats.org/drawingml/2006/picture">
                        <pic:nvPicPr>
                          <pic:cNvPr id="298" name="AutoShape_170_SpCnt_5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299" name="Rectangle_3421_SpCnt_3"/>
                  <wp:cNvGraphicFramePr/>
                  <a:graphic xmlns:a="http://schemas.openxmlformats.org/drawingml/2006/main">
                    <a:graphicData uri="http://schemas.openxmlformats.org/drawingml/2006/picture">
                      <pic:pic xmlns:pic="http://schemas.openxmlformats.org/drawingml/2006/picture">
                        <pic:nvPicPr>
                          <pic:cNvPr id="299" name="Rectangle_3421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0" name="AutoShape_171_SpCnt_54"/>
                  <wp:cNvGraphicFramePr/>
                  <a:graphic xmlns:a="http://schemas.openxmlformats.org/drawingml/2006/main">
                    <a:graphicData uri="http://schemas.openxmlformats.org/drawingml/2006/picture">
                      <pic:pic xmlns:pic="http://schemas.openxmlformats.org/drawingml/2006/picture">
                        <pic:nvPicPr>
                          <pic:cNvPr id="300" name="AutoShape_171_SpCnt_5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1" name="Rectangle_3410_SpCnt_3"/>
                  <wp:cNvGraphicFramePr/>
                  <a:graphic xmlns:a="http://schemas.openxmlformats.org/drawingml/2006/main">
                    <a:graphicData uri="http://schemas.openxmlformats.org/drawingml/2006/picture">
                      <pic:pic xmlns:pic="http://schemas.openxmlformats.org/drawingml/2006/picture">
                        <pic:nvPicPr>
                          <pic:cNvPr id="301" name="Rectangle_3410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2" name="AutoShape_168_SpCnt_55"/>
                  <wp:cNvGraphicFramePr/>
                  <a:graphic xmlns:a="http://schemas.openxmlformats.org/drawingml/2006/main">
                    <a:graphicData uri="http://schemas.openxmlformats.org/drawingml/2006/picture">
                      <pic:pic xmlns:pic="http://schemas.openxmlformats.org/drawingml/2006/picture">
                        <pic:nvPicPr>
                          <pic:cNvPr id="302" name="AutoShape_168_SpCnt_5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3" name="AutoShape_171_SpCnt_55"/>
                  <wp:cNvGraphicFramePr/>
                  <a:graphic xmlns:a="http://schemas.openxmlformats.org/drawingml/2006/main">
                    <a:graphicData uri="http://schemas.openxmlformats.org/drawingml/2006/picture">
                      <pic:pic xmlns:pic="http://schemas.openxmlformats.org/drawingml/2006/picture">
                        <pic:nvPicPr>
                          <pic:cNvPr id="303" name="AutoShape_171_SpCnt_5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4" name="AutoShape_170_SpCnt_55"/>
                  <wp:cNvGraphicFramePr/>
                  <a:graphic xmlns:a="http://schemas.openxmlformats.org/drawingml/2006/main">
                    <a:graphicData uri="http://schemas.openxmlformats.org/drawingml/2006/picture">
                      <pic:pic xmlns:pic="http://schemas.openxmlformats.org/drawingml/2006/picture">
                        <pic:nvPicPr>
                          <pic:cNvPr id="304" name="AutoShape_170_SpCnt_5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5" name="Rectangle_3426_SpCnt_3"/>
                  <wp:cNvGraphicFramePr/>
                  <a:graphic xmlns:a="http://schemas.openxmlformats.org/drawingml/2006/main">
                    <a:graphicData uri="http://schemas.openxmlformats.org/drawingml/2006/picture">
                      <pic:pic xmlns:pic="http://schemas.openxmlformats.org/drawingml/2006/picture">
                        <pic:nvPicPr>
                          <pic:cNvPr id="305" name="Rectangle_3426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6" name="AutoShape_171_SpCnt_56"/>
                  <wp:cNvGraphicFramePr/>
                  <a:graphic xmlns:a="http://schemas.openxmlformats.org/drawingml/2006/main">
                    <a:graphicData uri="http://schemas.openxmlformats.org/drawingml/2006/picture">
                      <pic:pic xmlns:pic="http://schemas.openxmlformats.org/drawingml/2006/picture">
                        <pic:nvPicPr>
                          <pic:cNvPr id="306" name="AutoShape_171_SpCnt_5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7" name="Rectangle_3422_SpCnt_3"/>
                  <wp:cNvGraphicFramePr/>
                  <a:graphic xmlns:a="http://schemas.openxmlformats.org/drawingml/2006/main">
                    <a:graphicData uri="http://schemas.openxmlformats.org/drawingml/2006/picture">
                      <pic:pic xmlns:pic="http://schemas.openxmlformats.org/drawingml/2006/picture">
                        <pic:nvPicPr>
                          <pic:cNvPr id="307" name="Rectangle_3422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8" name="AutoShape_168_SpCnt_56"/>
                  <wp:cNvGraphicFramePr/>
                  <a:graphic xmlns:a="http://schemas.openxmlformats.org/drawingml/2006/main">
                    <a:graphicData uri="http://schemas.openxmlformats.org/drawingml/2006/picture">
                      <pic:pic xmlns:pic="http://schemas.openxmlformats.org/drawingml/2006/picture">
                        <pic:nvPicPr>
                          <pic:cNvPr id="308" name="AutoShape_168_SpCnt_5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09" name="Rectangle_3413_SpCnt_3"/>
                  <wp:cNvGraphicFramePr/>
                  <a:graphic xmlns:a="http://schemas.openxmlformats.org/drawingml/2006/main">
                    <a:graphicData uri="http://schemas.openxmlformats.org/drawingml/2006/picture">
                      <pic:pic xmlns:pic="http://schemas.openxmlformats.org/drawingml/2006/picture">
                        <pic:nvPicPr>
                          <pic:cNvPr id="309" name="Rectangle_3413_SpCnt_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0" name="AutoShape_170_SpCnt_56"/>
                  <wp:cNvGraphicFramePr/>
                  <a:graphic xmlns:a="http://schemas.openxmlformats.org/drawingml/2006/main">
                    <a:graphicData uri="http://schemas.openxmlformats.org/drawingml/2006/picture">
                      <pic:pic xmlns:pic="http://schemas.openxmlformats.org/drawingml/2006/picture">
                        <pic:nvPicPr>
                          <pic:cNvPr id="310" name="AutoShape_170_SpCnt_5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1" name="AutoShape_168_SpCnt_57"/>
                  <wp:cNvGraphicFramePr/>
                  <a:graphic xmlns:a="http://schemas.openxmlformats.org/drawingml/2006/main">
                    <a:graphicData uri="http://schemas.openxmlformats.org/drawingml/2006/picture">
                      <pic:pic xmlns:pic="http://schemas.openxmlformats.org/drawingml/2006/picture">
                        <pic:nvPicPr>
                          <pic:cNvPr id="311" name="AutoShape_168_SpCnt_5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2" name="AutoShape_171_SpCnt_57"/>
                  <wp:cNvGraphicFramePr/>
                  <a:graphic xmlns:a="http://schemas.openxmlformats.org/drawingml/2006/main">
                    <a:graphicData uri="http://schemas.openxmlformats.org/drawingml/2006/picture">
                      <pic:pic xmlns:pic="http://schemas.openxmlformats.org/drawingml/2006/picture">
                        <pic:nvPicPr>
                          <pic:cNvPr id="312" name="AutoShape_171_SpCnt_5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3" name="Rectangle_4307_SpCnt_5"/>
                  <wp:cNvGraphicFramePr/>
                  <a:graphic xmlns:a="http://schemas.openxmlformats.org/drawingml/2006/main">
                    <a:graphicData uri="http://schemas.openxmlformats.org/drawingml/2006/picture">
                      <pic:pic xmlns:pic="http://schemas.openxmlformats.org/drawingml/2006/picture">
                        <pic:nvPicPr>
                          <pic:cNvPr id="313" name="Rectangle_4307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4" name="AutoShape_168_SpCnt_58"/>
                  <wp:cNvGraphicFramePr/>
                  <a:graphic xmlns:a="http://schemas.openxmlformats.org/drawingml/2006/main">
                    <a:graphicData uri="http://schemas.openxmlformats.org/drawingml/2006/picture">
                      <pic:pic xmlns:pic="http://schemas.openxmlformats.org/drawingml/2006/picture">
                        <pic:nvPicPr>
                          <pic:cNvPr id="314" name="AutoShape_168_SpCnt_5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5" name="Rectangle_4303_SpCnt_4"/>
                  <wp:cNvGraphicFramePr/>
                  <a:graphic xmlns:a="http://schemas.openxmlformats.org/drawingml/2006/main">
                    <a:graphicData uri="http://schemas.openxmlformats.org/drawingml/2006/picture">
                      <pic:pic xmlns:pic="http://schemas.openxmlformats.org/drawingml/2006/picture">
                        <pic:nvPicPr>
                          <pic:cNvPr id="315" name="Rectangle_4303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6" name="Rectangle_4301_SpCnt_4"/>
                  <wp:cNvGraphicFramePr/>
                  <a:graphic xmlns:a="http://schemas.openxmlformats.org/drawingml/2006/main">
                    <a:graphicData uri="http://schemas.openxmlformats.org/drawingml/2006/picture">
                      <pic:pic xmlns:pic="http://schemas.openxmlformats.org/drawingml/2006/picture">
                        <pic:nvPicPr>
                          <pic:cNvPr id="316" name="Rectangle_4301_SpCnt_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7" name="Rectangle_4299_SpCnt_5"/>
                  <wp:cNvGraphicFramePr/>
                  <a:graphic xmlns:a="http://schemas.openxmlformats.org/drawingml/2006/main">
                    <a:graphicData uri="http://schemas.openxmlformats.org/drawingml/2006/picture">
                      <pic:pic xmlns:pic="http://schemas.openxmlformats.org/drawingml/2006/picture">
                        <pic:nvPicPr>
                          <pic:cNvPr id="317" name="Rectangle_4299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8" name="Rectangle_4309_SpCnt_5"/>
                  <wp:cNvGraphicFramePr/>
                  <a:graphic xmlns:a="http://schemas.openxmlformats.org/drawingml/2006/main">
                    <a:graphicData uri="http://schemas.openxmlformats.org/drawingml/2006/picture">
                      <pic:pic xmlns:pic="http://schemas.openxmlformats.org/drawingml/2006/picture">
                        <pic:nvPicPr>
                          <pic:cNvPr id="318" name="Rectangle_4309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19" name="AutoShape_171_SpCnt_58"/>
                  <wp:cNvGraphicFramePr/>
                  <a:graphic xmlns:a="http://schemas.openxmlformats.org/drawingml/2006/main">
                    <a:graphicData uri="http://schemas.openxmlformats.org/drawingml/2006/picture">
                      <pic:pic xmlns:pic="http://schemas.openxmlformats.org/drawingml/2006/picture">
                        <pic:nvPicPr>
                          <pic:cNvPr id="319" name="AutoShape_171_SpCnt_5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0" name="AutoShape_170_SpCnt_57"/>
                  <wp:cNvGraphicFramePr/>
                  <a:graphic xmlns:a="http://schemas.openxmlformats.org/drawingml/2006/main">
                    <a:graphicData uri="http://schemas.openxmlformats.org/drawingml/2006/picture">
                      <pic:pic xmlns:pic="http://schemas.openxmlformats.org/drawingml/2006/picture">
                        <pic:nvPicPr>
                          <pic:cNvPr id="320" name="AutoShape_170_SpCnt_5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1" name="AutoShape_171_SpCnt_59"/>
                  <wp:cNvGraphicFramePr/>
                  <a:graphic xmlns:a="http://schemas.openxmlformats.org/drawingml/2006/main">
                    <a:graphicData uri="http://schemas.openxmlformats.org/drawingml/2006/picture">
                      <pic:pic xmlns:pic="http://schemas.openxmlformats.org/drawingml/2006/picture">
                        <pic:nvPicPr>
                          <pic:cNvPr id="321" name="AutoShape_171_SpCnt_5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2" name="Rectangle_4305_SpCnt_5"/>
                  <wp:cNvGraphicFramePr/>
                  <a:graphic xmlns:a="http://schemas.openxmlformats.org/drawingml/2006/main">
                    <a:graphicData uri="http://schemas.openxmlformats.org/drawingml/2006/picture">
                      <pic:pic xmlns:pic="http://schemas.openxmlformats.org/drawingml/2006/picture">
                        <pic:nvPicPr>
                          <pic:cNvPr id="322" name="Rectangle_4305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3" name="AutoShape_168_SpCnt_59"/>
                  <wp:cNvGraphicFramePr/>
                  <a:graphic xmlns:a="http://schemas.openxmlformats.org/drawingml/2006/main">
                    <a:graphicData uri="http://schemas.openxmlformats.org/drawingml/2006/picture">
                      <pic:pic xmlns:pic="http://schemas.openxmlformats.org/drawingml/2006/picture">
                        <pic:nvPicPr>
                          <pic:cNvPr id="323" name="AutoShape_168_SpCnt_5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4" name="Rectangle_4303_SpCnt_5"/>
                  <wp:cNvGraphicFramePr/>
                  <a:graphic xmlns:a="http://schemas.openxmlformats.org/drawingml/2006/main">
                    <a:graphicData uri="http://schemas.openxmlformats.org/drawingml/2006/picture">
                      <pic:pic xmlns:pic="http://schemas.openxmlformats.org/drawingml/2006/picture">
                        <pic:nvPicPr>
                          <pic:cNvPr id="324" name="Rectangle_4303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5" name="Rectangle_4301_SpCnt_5"/>
                  <wp:cNvGraphicFramePr/>
                  <a:graphic xmlns:a="http://schemas.openxmlformats.org/drawingml/2006/main">
                    <a:graphicData uri="http://schemas.openxmlformats.org/drawingml/2006/picture">
                      <pic:pic xmlns:pic="http://schemas.openxmlformats.org/drawingml/2006/picture">
                        <pic:nvPicPr>
                          <pic:cNvPr id="325" name="Rectangle_4301_SpCnt_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6" name="AutoShape_170_SpCnt_58"/>
                  <wp:cNvGraphicFramePr/>
                  <a:graphic xmlns:a="http://schemas.openxmlformats.org/drawingml/2006/main">
                    <a:graphicData uri="http://schemas.openxmlformats.org/drawingml/2006/picture">
                      <pic:pic xmlns:pic="http://schemas.openxmlformats.org/drawingml/2006/picture">
                        <pic:nvPicPr>
                          <pic:cNvPr id="326" name="AutoShape_170_SpCnt_5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7" name="AutoShape_171_SpCnt_60"/>
                  <wp:cNvGraphicFramePr/>
                  <a:graphic xmlns:a="http://schemas.openxmlformats.org/drawingml/2006/main">
                    <a:graphicData uri="http://schemas.openxmlformats.org/drawingml/2006/picture">
                      <pic:pic xmlns:pic="http://schemas.openxmlformats.org/drawingml/2006/picture">
                        <pic:nvPicPr>
                          <pic:cNvPr id="327" name="AutoShape_171_SpCnt_6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8" name="AutoShape_168_SpCnt_60"/>
                  <wp:cNvGraphicFramePr/>
                  <a:graphic xmlns:a="http://schemas.openxmlformats.org/drawingml/2006/main">
                    <a:graphicData uri="http://schemas.openxmlformats.org/drawingml/2006/picture">
                      <pic:pic xmlns:pic="http://schemas.openxmlformats.org/drawingml/2006/picture">
                        <pic:nvPicPr>
                          <pic:cNvPr id="328" name="AutoShape_168_SpCnt_6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29" name="AutoShape_170_SpCnt_59"/>
                  <wp:cNvGraphicFramePr/>
                  <a:graphic xmlns:a="http://schemas.openxmlformats.org/drawingml/2006/main">
                    <a:graphicData uri="http://schemas.openxmlformats.org/drawingml/2006/picture">
                      <pic:pic xmlns:pic="http://schemas.openxmlformats.org/drawingml/2006/picture">
                        <pic:nvPicPr>
                          <pic:cNvPr id="329" name="AutoShape_170_SpCnt_5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0" name="AutoShape_170_SpCnt_60"/>
                  <wp:cNvGraphicFramePr/>
                  <a:graphic xmlns:a="http://schemas.openxmlformats.org/drawingml/2006/main">
                    <a:graphicData uri="http://schemas.openxmlformats.org/drawingml/2006/picture">
                      <pic:pic xmlns:pic="http://schemas.openxmlformats.org/drawingml/2006/picture">
                        <pic:nvPicPr>
                          <pic:cNvPr id="330" name="AutoShape_170_SpCnt_60"/>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1" name="AutoShape_168_SpCnt_61"/>
                  <wp:cNvGraphicFramePr/>
                  <a:graphic xmlns:a="http://schemas.openxmlformats.org/drawingml/2006/main">
                    <a:graphicData uri="http://schemas.openxmlformats.org/drawingml/2006/picture">
                      <pic:pic xmlns:pic="http://schemas.openxmlformats.org/drawingml/2006/picture">
                        <pic:nvPicPr>
                          <pic:cNvPr id="331" name="AutoShape_168_SpCnt_6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2" name="AutoShape_170_SpCnt_61"/>
                  <wp:cNvGraphicFramePr/>
                  <a:graphic xmlns:a="http://schemas.openxmlformats.org/drawingml/2006/main">
                    <a:graphicData uri="http://schemas.openxmlformats.org/drawingml/2006/picture">
                      <pic:pic xmlns:pic="http://schemas.openxmlformats.org/drawingml/2006/picture">
                        <pic:nvPicPr>
                          <pic:cNvPr id="332" name="AutoShape_170_SpCnt_6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3" name="AutoShape_171_SpCnt_61"/>
                  <wp:cNvGraphicFramePr/>
                  <a:graphic xmlns:a="http://schemas.openxmlformats.org/drawingml/2006/main">
                    <a:graphicData uri="http://schemas.openxmlformats.org/drawingml/2006/picture">
                      <pic:pic xmlns:pic="http://schemas.openxmlformats.org/drawingml/2006/picture">
                        <pic:nvPicPr>
                          <pic:cNvPr id="333" name="AutoShape_171_SpCnt_61"/>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4" name="AutoShape_168_SpCnt_62"/>
                  <wp:cNvGraphicFramePr/>
                  <a:graphic xmlns:a="http://schemas.openxmlformats.org/drawingml/2006/main">
                    <a:graphicData uri="http://schemas.openxmlformats.org/drawingml/2006/picture">
                      <pic:pic xmlns:pic="http://schemas.openxmlformats.org/drawingml/2006/picture">
                        <pic:nvPicPr>
                          <pic:cNvPr id="334" name="AutoShape_168_SpCnt_6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5" name="AutoShape_168_SpCnt_63"/>
                  <wp:cNvGraphicFramePr/>
                  <a:graphic xmlns:a="http://schemas.openxmlformats.org/drawingml/2006/main">
                    <a:graphicData uri="http://schemas.openxmlformats.org/drawingml/2006/picture">
                      <pic:pic xmlns:pic="http://schemas.openxmlformats.org/drawingml/2006/picture">
                        <pic:nvPicPr>
                          <pic:cNvPr id="335" name="AutoShape_168_SpCnt_6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6" name="AutoShape_171_SpCnt_62"/>
                  <wp:cNvGraphicFramePr/>
                  <a:graphic xmlns:a="http://schemas.openxmlformats.org/drawingml/2006/main">
                    <a:graphicData uri="http://schemas.openxmlformats.org/drawingml/2006/picture">
                      <pic:pic xmlns:pic="http://schemas.openxmlformats.org/drawingml/2006/picture">
                        <pic:nvPicPr>
                          <pic:cNvPr id="336" name="AutoShape_171_SpCnt_6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7" name="AutoShape_171_SpCnt_63"/>
                  <wp:cNvGraphicFramePr/>
                  <a:graphic xmlns:a="http://schemas.openxmlformats.org/drawingml/2006/main">
                    <a:graphicData uri="http://schemas.openxmlformats.org/drawingml/2006/picture">
                      <pic:pic xmlns:pic="http://schemas.openxmlformats.org/drawingml/2006/picture">
                        <pic:nvPicPr>
                          <pic:cNvPr id="337" name="AutoShape_171_SpCnt_6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8" name="AutoShape_168_SpCnt_64"/>
                  <wp:cNvGraphicFramePr/>
                  <a:graphic xmlns:a="http://schemas.openxmlformats.org/drawingml/2006/main">
                    <a:graphicData uri="http://schemas.openxmlformats.org/drawingml/2006/picture">
                      <pic:pic xmlns:pic="http://schemas.openxmlformats.org/drawingml/2006/picture">
                        <pic:nvPicPr>
                          <pic:cNvPr id="338" name="AutoShape_168_SpCnt_6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39" name="AutoShape_168_SpCnt_65"/>
                  <wp:cNvGraphicFramePr/>
                  <a:graphic xmlns:a="http://schemas.openxmlformats.org/drawingml/2006/main">
                    <a:graphicData uri="http://schemas.openxmlformats.org/drawingml/2006/picture">
                      <pic:pic xmlns:pic="http://schemas.openxmlformats.org/drawingml/2006/picture">
                        <pic:nvPicPr>
                          <pic:cNvPr id="339" name="AutoShape_168_SpCnt_6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0" name="AutoShape_170_SpCnt_62"/>
                  <wp:cNvGraphicFramePr/>
                  <a:graphic xmlns:a="http://schemas.openxmlformats.org/drawingml/2006/main">
                    <a:graphicData uri="http://schemas.openxmlformats.org/drawingml/2006/picture">
                      <pic:pic xmlns:pic="http://schemas.openxmlformats.org/drawingml/2006/picture">
                        <pic:nvPicPr>
                          <pic:cNvPr id="340" name="AutoShape_170_SpCnt_62"/>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1" name="AutoShape_171_SpCnt_64"/>
                  <wp:cNvGraphicFramePr/>
                  <a:graphic xmlns:a="http://schemas.openxmlformats.org/drawingml/2006/main">
                    <a:graphicData uri="http://schemas.openxmlformats.org/drawingml/2006/picture">
                      <pic:pic xmlns:pic="http://schemas.openxmlformats.org/drawingml/2006/picture">
                        <pic:nvPicPr>
                          <pic:cNvPr id="341" name="AutoShape_171_SpCnt_6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2" name="AutoShape_168_SpCnt_66"/>
                  <wp:cNvGraphicFramePr/>
                  <a:graphic xmlns:a="http://schemas.openxmlformats.org/drawingml/2006/main">
                    <a:graphicData uri="http://schemas.openxmlformats.org/drawingml/2006/picture">
                      <pic:pic xmlns:pic="http://schemas.openxmlformats.org/drawingml/2006/picture">
                        <pic:nvPicPr>
                          <pic:cNvPr id="342" name="AutoShape_168_SpCnt_6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3" name="AutoShape_170_SpCnt_63"/>
                  <wp:cNvGraphicFramePr/>
                  <a:graphic xmlns:a="http://schemas.openxmlformats.org/drawingml/2006/main">
                    <a:graphicData uri="http://schemas.openxmlformats.org/drawingml/2006/picture">
                      <pic:pic xmlns:pic="http://schemas.openxmlformats.org/drawingml/2006/picture">
                        <pic:nvPicPr>
                          <pic:cNvPr id="343" name="AutoShape_170_SpCnt_63"/>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4" name="AutoShape_171_SpCnt_65"/>
                  <wp:cNvGraphicFramePr/>
                  <a:graphic xmlns:a="http://schemas.openxmlformats.org/drawingml/2006/main">
                    <a:graphicData uri="http://schemas.openxmlformats.org/drawingml/2006/picture">
                      <pic:pic xmlns:pic="http://schemas.openxmlformats.org/drawingml/2006/picture">
                        <pic:nvPicPr>
                          <pic:cNvPr id="344" name="AutoShape_171_SpCnt_6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5" name="AutoShape_170_SpCnt_64"/>
                  <wp:cNvGraphicFramePr/>
                  <a:graphic xmlns:a="http://schemas.openxmlformats.org/drawingml/2006/main">
                    <a:graphicData uri="http://schemas.openxmlformats.org/drawingml/2006/picture">
                      <pic:pic xmlns:pic="http://schemas.openxmlformats.org/drawingml/2006/picture">
                        <pic:nvPicPr>
                          <pic:cNvPr id="345" name="AutoShape_170_SpCnt_64"/>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6" name="AutoShape_170_SpCnt_65"/>
                  <wp:cNvGraphicFramePr/>
                  <a:graphic xmlns:a="http://schemas.openxmlformats.org/drawingml/2006/main">
                    <a:graphicData uri="http://schemas.openxmlformats.org/drawingml/2006/picture">
                      <pic:pic xmlns:pic="http://schemas.openxmlformats.org/drawingml/2006/picture">
                        <pic:nvPicPr>
                          <pic:cNvPr id="346" name="AutoShape_170_SpCnt_65"/>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7" name="AutoShape_171_SpCnt_66"/>
                  <wp:cNvGraphicFramePr/>
                  <a:graphic xmlns:a="http://schemas.openxmlformats.org/drawingml/2006/main">
                    <a:graphicData uri="http://schemas.openxmlformats.org/drawingml/2006/picture">
                      <pic:pic xmlns:pic="http://schemas.openxmlformats.org/drawingml/2006/picture">
                        <pic:nvPicPr>
                          <pic:cNvPr id="347" name="AutoShape_171_SpCnt_6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48" name="AutoShape_170_SpCnt_66"/>
                  <wp:cNvGraphicFramePr/>
                  <a:graphic xmlns:a="http://schemas.openxmlformats.org/drawingml/2006/main">
                    <a:graphicData uri="http://schemas.openxmlformats.org/drawingml/2006/picture">
                      <pic:pic xmlns:pic="http://schemas.openxmlformats.org/drawingml/2006/picture">
                        <pic:nvPicPr>
                          <pic:cNvPr id="348" name="AutoShape_170_SpCnt_66"/>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0" name="AutoShape_170_SpCnt_67"/>
                  <wp:cNvGraphicFramePr/>
                  <a:graphic xmlns:a="http://schemas.openxmlformats.org/drawingml/2006/main">
                    <a:graphicData uri="http://schemas.openxmlformats.org/drawingml/2006/picture">
                      <pic:pic xmlns:pic="http://schemas.openxmlformats.org/drawingml/2006/picture">
                        <pic:nvPicPr>
                          <pic:cNvPr id="350" name="AutoShape_170_SpCnt_6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1" name="AutoShape_170_SpCnt_68"/>
                  <wp:cNvGraphicFramePr/>
                  <a:graphic xmlns:a="http://schemas.openxmlformats.org/drawingml/2006/main">
                    <a:graphicData uri="http://schemas.openxmlformats.org/drawingml/2006/picture">
                      <pic:pic xmlns:pic="http://schemas.openxmlformats.org/drawingml/2006/picture">
                        <pic:nvPicPr>
                          <pic:cNvPr id="351" name="AutoShape_170_SpCnt_6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2" name="AutoShape_171_SpCnt_67"/>
                  <wp:cNvGraphicFramePr/>
                  <a:graphic xmlns:a="http://schemas.openxmlformats.org/drawingml/2006/main">
                    <a:graphicData uri="http://schemas.openxmlformats.org/drawingml/2006/picture">
                      <pic:pic xmlns:pic="http://schemas.openxmlformats.org/drawingml/2006/picture">
                        <pic:nvPicPr>
                          <pic:cNvPr id="352" name="AutoShape_171_SpCnt_6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3" name="AutoShape_170_SpCnt_69"/>
                  <wp:cNvGraphicFramePr/>
                  <a:graphic xmlns:a="http://schemas.openxmlformats.org/drawingml/2006/main">
                    <a:graphicData uri="http://schemas.openxmlformats.org/drawingml/2006/picture">
                      <pic:pic xmlns:pic="http://schemas.openxmlformats.org/drawingml/2006/picture">
                        <pic:nvPicPr>
                          <pic:cNvPr id="353" name="AutoShape_170_SpCnt_69"/>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4" name="AutoShape_168_SpCnt_67"/>
                  <wp:cNvGraphicFramePr/>
                  <a:graphic xmlns:a="http://schemas.openxmlformats.org/drawingml/2006/main">
                    <a:graphicData uri="http://schemas.openxmlformats.org/drawingml/2006/picture">
                      <pic:pic xmlns:pic="http://schemas.openxmlformats.org/drawingml/2006/picture">
                        <pic:nvPicPr>
                          <pic:cNvPr id="354" name="AutoShape_168_SpCnt_67"/>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5" name="AutoShape_171_SpCnt_68"/>
                  <wp:cNvGraphicFramePr/>
                  <a:graphic xmlns:a="http://schemas.openxmlformats.org/drawingml/2006/main">
                    <a:graphicData uri="http://schemas.openxmlformats.org/drawingml/2006/picture">
                      <pic:pic xmlns:pic="http://schemas.openxmlformats.org/drawingml/2006/picture">
                        <pic:nvPicPr>
                          <pic:cNvPr id="355" name="AutoShape_171_SpCnt_6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04800" cy="4577715"/>
                  <wp:effectExtent l="0" t="0" r="0" b="0"/>
                  <wp:wrapNone/>
                  <wp:docPr id="356" name="AutoShape_168_SpCnt_68"/>
                  <wp:cNvGraphicFramePr/>
                  <a:graphic xmlns:a="http://schemas.openxmlformats.org/drawingml/2006/main">
                    <a:graphicData uri="http://schemas.openxmlformats.org/drawingml/2006/picture">
                      <pic:pic xmlns:pic="http://schemas.openxmlformats.org/drawingml/2006/picture">
                        <pic:nvPicPr>
                          <pic:cNvPr id="356" name="AutoShape_168_SpCnt_68"/>
                          <pic:cNvPicPr/>
                        </pic:nvPicPr>
                        <pic:blipFill>
                          <a:blip r:embed="rId17"/>
                          <a:stretch>
                            <a:fillRect/>
                          </a:stretch>
                        </pic:blipFill>
                        <pic:spPr>
                          <a:xfrm>
                            <a:off x="0" y="0"/>
                            <a:ext cx="304800" cy="457771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t>功能特性</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1.两通道专业级功放 左右声道独立操控，高中低音独立调节，混响延时独立调节；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2.专业铝合金面板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3.音乐输入：USB/SD/AUX/DVD/蓝牙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4.话筒输入：3路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5.后板连接：可外接均衡，录音输出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6.完善的保护电路，防冲击，过温短路及直流保护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技术参数</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1.额定功率(8Ω)：350W*2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2.额定功率(4Ω)：450W*2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3.频率响应：20HZ-20KHZ             </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9</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音箱</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57" name="AutoShape_170_SpCnt_70"/>
                  <wp:cNvGraphicFramePr/>
                  <a:graphic xmlns:a="http://schemas.openxmlformats.org/drawingml/2006/main">
                    <a:graphicData uri="http://schemas.openxmlformats.org/drawingml/2006/picture">
                      <pic:pic xmlns:pic="http://schemas.openxmlformats.org/drawingml/2006/picture">
                        <pic:nvPicPr>
                          <pic:cNvPr id="357" name="AutoShape_170_SpCnt_70"/>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58" name="AutoShape_168_SpCnt_70"/>
                  <wp:cNvGraphicFramePr/>
                  <a:graphic xmlns:a="http://schemas.openxmlformats.org/drawingml/2006/main">
                    <a:graphicData uri="http://schemas.openxmlformats.org/drawingml/2006/picture">
                      <pic:pic xmlns:pic="http://schemas.openxmlformats.org/drawingml/2006/picture">
                        <pic:nvPicPr>
                          <pic:cNvPr id="358" name="AutoShape_168_SpCnt_70"/>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59" name="AutoShape_171_SpCnt_69"/>
                  <wp:cNvGraphicFramePr/>
                  <a:graphic xmlns:a="http://schemas.openxmlformats.org/drawingml/2006/main">
                    <a:graphicData uri="http://schemas.openxmlformats.org/drawingml/2006/picture">
                      <pic:pic xmlns:pic="http://schemas.openxmlformats.org/drawingml/2006/picture">
                        <pic:nvPicPr>
                          <pic:cNvPr id="359" name="AutoShape_171_SpCnt_69"/>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0" name="AutoShape_171_SpCnt_70"/>
                  <wp:cNvGraphicFramePr/>
                  <a:graphic xmlns:a="http://schemas.openxmlformats.org/drawingml/2006/main">
                    <a:graphicData uri="http://schemas.openxmlformats.org/drawingml/2006/picture">
                      <pic:pic xmlns:pic="http://schemas.openxmlformats.org/drawingml/2006/picture">
                        <pic:nvPicPr>
                          <pic:cNvPr id="360" name="AutoShape_171_SpCnt_70"/>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1" name="AutoShape_170_SpCnt_71"/>
                  <wp:cNvGraphicFramePr/>
                  <a:graphic xmlns:a="http://schemas.openxmlformats.org/drawingml/2006/main">
                    <a:graphicData uri="http://schemas.openxmlformats.org/drawingml/2006/picture">
                      <pic:pic xmlns:pic="http://schemas.openxmlformats.org/drawingml/2006/picture">
                        <pic:nvPicPr>
                          <pic:cNvPr id="361" name="AutoShape_170_SpCnt_71"/>
                          <pic:cNvPicPr/>
                        </pic:nvPicPr>
                        <pic:blipFill>
                          <a:blip r:embed="rId19"/>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2" name="AutoShape_171_SpCnt_71"/>
                  <wp:cNvGraphicFramePr/>
                  <a:graphic xmlns:a="http://schemas.openxmlformats.org/drawingml/2006/main">
                    <a:graphicData uri="http://schemas.openxmlformats.org/drawingml/2006/picture">
                      <pic:pic xmlns:pic="http://schemas.openxmlformats.org/drawingml/2006/picture">
                        <pic:nvPicPr>
                          <pic:cNvPr id="362" name="AutoShape_171_SpCnt_71"/>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3" name="AutoShape_171_SpCnt_72"/>
                  <wp:cNvGraphicFramePr/>
                  <a:graphic xmlns:a="http://schemas.openxmlformats.org/drawingml/2006/main">
                    <a:graphicData uri="http://schemas.openxmlformats.org/drawingml/2006/picture">
                      <pic:pic xmlns:pic="http://schemas.openxmlformats.org/drawingml/2006/picture">
                        <pic:nvPicPr>
                          <pic:cNvPr id="363" name="AutoShape_171_SpCnt_72"/>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4" name="AutoShape_170_SpCnt_72"/>
                  <wp:cNvGraphicFramePr/>
                  <a:graphic xmlns:a="http://schemas.openxmlformats.org/drawingml/2006/main">
                    <a:graphicData uri="http://schemas.openxmlformats.org/drawingml/2006/picture">
                      <pic:pic xmlns:pic="http://schemas.openxmlformats.org/drawingml/2006/picture">
                        <pic:nvPicPr>
                          <pic:cNvPr id="364" name="AutoShape_170_SpCnt_72"/>
                          <pic:cNvPicPr/>
                        </pic:nvPicPr>
                        <pic:blipFill>
                          <a:blip r:embed="rId20"/>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5" name="AutoShape_168_SpCnt_71"/>
                  <wp:cNvGraphicFramePr/>
                  <a:graphic xmlns:a="http://schemas.openxmlformats.org/drawingml/2006/main">
                    <a:graphicData uri="http://schemas.openxmlformats.org/drawingml/2006/picture">
                      <pic:pic xmlns:pic="http://schemas.openxmlformats.org/drawingml/2006/picture">
                        <pic:nvPicPr>
                          <pic:cNvPr id="365" name="AutoShape_168_SpCnt_71"/>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6" name="AutoShape_168_SpCnt_72"/>
                  <wp:cNvGraphicFramePr/>
                  <a:graphic xmlns:a="http://schemas.openxmlformats.org/drawingml/2006/main">
                    <a:graphicData uri="http://schemas.openxmlformats.org/drawingml/2006/picture">
                      <pic:pic xmlns:pic="http://schemas.openxmlformats.org/drawingml/2006/picture">
                        <pic:nvPicPr>
                          <pic:cNvPr id="366" name="AutoShape_168_SpCnt_72"/>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7" name="AutoShape_168_SpCnt_73"/>
                  <wp:cNvGraphicFramePr/>
                  <a:graphic xmlns:a="http://schemas.openxmlformats.org/drawingml/2006/main">
                    <a:graphicData uri="http://schemas.openxmlformats.org/drawingml/2006/picture">
                      <pic:pic xmlns:pic="http://schemas.openxmlformats.org/drawingml/2006/picture">
                        <pic:nvPicPr>
                          <pic:cNvPr id="367" name="AutoShape_168_SpCnt_73"/>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8" name="AutoShape_170_SpCnt_73"/>
                  <wp:cNvGraphicFramePr/>
                  <a:graphic xmlns:a="http://schemas.openxmlformats.org/drawingml/2006/main">
                    <a:graphicData uri="http://schemas.openxmlformats.org/drawingml/2006/picture">
                      <pic:pic xmlns:pic="http://schemas.openxmlformats.org/drawingml/2006/picture">
                        <pic:nvPicPr>
                          <pic:cNvPr id="368" name="AutoShape_170_SpCnt_73"/>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69" name="AutoShape_168_SpCnt_74"/>
                  <wp:cNvGraphicFramePr/>
                  <a:graphic xmlns:a="http://schemas.openxmlformats.org/drawingml/2006/main">
                    <a:graphicData uri="http://schemas.openxmlformats.org/drawingml/2006/picture">
                      <pic:pic xmlns:pic="http://schemas.openxmlformats.org/drawingml/2006/picture">
                        <pic:nvPicPr>
                          <pic:cNvPr id="369" name="AutoShape_168_SpCnt_74"/>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70" name="AutoShape_171_SpCnt_73"/>
                  <wp:cNvGraphicFramePr/>
                  <a:graphic xmlns:a="http://schemas.openxmlformats.org/drawingml/2006/main">
                    <a:graphicData uri="http://schemas.openxmlformats.org/drawingml/2006/picture">
                      <pic:pic xmlns:pic="http://schemas.openxmlformats.org/drawingml/2006/picture">
                        <pic:nvPicPr>
                          <pic:cNvPr id="370" name="AutoShape_171_SpCnt_73"/>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04800" cy="3645535"/>
                  <wp:effectExtent l="0" t="0" r="0" b="0"/>
                  <wp:wrapNone/>
                  <wp:docPr id="371" name="AutoShape_171_SpCnt_74"/>
                  <wp:cNvGraphicFramePr/>
                  <a:graphic xmlns:a="http://schemas.openxmlformats.org/drawingml/2006/main">
                    <a:graphicData uri="http://schemas.openxmlformats.org/drawingml/2006/picture">
                      <pic:pic xmlns:pic="http://schemas.openxmlformats.org/drawingml/2006/picture">
                        <pic:nvPicPr>
                          <pic:cNvPr id="371" name="AutoShape_171_SpCnt_74"/>
                          <pic:cNvPicPr/>
                        </pic:nvPicPr>
                        <pic:blipFill>
                          <a:blip r:embed="rId18"/>
                          <a:stretch>
                            <a:fillRect/>
                          </a:stretch>
                        </pic:blipFill>
                        <pic:spPr>
                          <a:xfrm>
                            <a:off x="0" y="0"/>
                            <a:ext cx="304800" cy="3645535"/>
                          </a:xfrm>
                          <a:prstGeom prst="rect">
                            <a:avLst/>
                          </a:prstGeom>
                          <a:noFill/>
                          <a:ln>
                            <a:noFill/>
                          </a:ln>
                        </pic:spPr>
                      </pic:pic>
                    </a:graphicData>
                  </a:graphic>
                </wp:anchor>
              </w:drawing>
            </w:r>
            <w:r>
              <w:rPr>
                <w:rFonts w:hint="eastAsia" w:ascii="楷体" w:hAnsi="楷体" w:eastAsia="楷体" w:cstheme="minorBidi"/>
                <w:color w:val="auto"/>
                <w:kern w:val="2"/>
                <w:sz w:val="24"/>
                <w:szCs w:val="24"/>
                <w:highlight w:val="none"/>
                <w:lang w:val="en-US" w:eastAsia="zh-CN" w:bidi="ar-SA"/>
              </w:rPr>
              <w:t>频率响应:48Hz~18KHz(±3dB)</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单元数量:LF:1x10"(2"voicecoil),HF: 1.35"(voice coin 34mm) x 1;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标称阻抗:8ohms</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承受功率:250W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推荐功放:400W into 8ohms</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灵敏度:95dB</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指向性:90°Hx60°V</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最大声压级:115dB</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箱体喷漆工艺:耐磨环保水性漆喷涂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 xml:space="preserve">保护网工艺:内六角孔钢网 </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连接插座:2xNeutrik NL4</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口风琴</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37键，配包、教材。</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棒铃</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21铃  尺寸：长约210mm。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材质：榉木手柄，NC底漆+NC面漆。</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特质：铃声音色饱满。手柄操作性强，确保动态控制</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六面体凳</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六面体结构,颜色分红色、黄色、蓝色、绿色等，材料：外型采用PVC吹塑而成，内部泡沫填充，三面有防滑橡胶垫，承受压力不低于100公斤，装有隐藏式提手、重量轻适合学生自行搬动，没有锐角，清洗方便。</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13</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陶笛</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单管十二孔中音C调（AC）等</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14</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竖笛</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八孔，高级品，塑料，布袋包装。</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沙锤</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木沙锤：木制把手松木，头为桦木。总长度为约230mm。彩色刻花。两个一对，内装铁砂。</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16</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无线话筒</w:t>
            </w:r>
          </w:p>
        </w:tc>
        <w:tc>
          <w:tcPr>
            <w:tcW w:w="6920"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接收机规格：</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频率范围 600-940MHz</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可调信道数100+100</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解调方式 DQPSK</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接收灵敏度 -95dBm</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音频频响        40~18000Hz</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失真度 ≤1%</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信噪比≥100dB</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音频输出(XLR)卡侬座独立平衡输出和Φ6.35插座混合不平衡输出</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电源规格        DC6V/500mA</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消耗规格≤8W</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麦克风规格：</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频率范围600-940MHz</w:t>
            </w:r>
          </w:p>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textAlignment w:val="auto"/>
              <w:rPr>
                <w:rFonts w:hint="eastAsia" w:ascii="楷体" w:hAnsi="楷体" w:eastAsia="楷体" w:cstheme="minorBidi"/>
                <w:color w:val="auto"/>
                <w:kern w:val="2"/>
                <w:sz w:val="24"/>
                <w:szCs w:val="24"/>
                <w:highlight w:val="none"/>
                <w:lang w:val="en-US" w:eastAsia="zh-CN" w:bidi="ar-SA"/>
              </w:rPr>
            </w:pPr>
            <w:r>
              <w:rPr>
                <w:rFonts w:hint="eastAsia" w:ascii="楷体" w:hAnsi="楷体" w:eastAsia="楷体" w:cstheme="minorBidi"/>
                <w:color w:val="auto"/>
                <w:kern w:val="2"/>
                <w:sz w:val="24"/>
                <w:szCs w:val="24"/>
                <w:highlight w:val="none"/>
                <w:lang w:val="en-US" w:eastAsia="zh-CN" w:bidi="ar-SA"/>
              </w:rPr>
              <w:t>1</w:t>
            </w:r>
          </w:p>
        </w:tc>
      </w:tr>
    </w:tbl>
    <w:p>
      <w:pPr>
        <w:pStyle w:val="113"/>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theme="minorBidi"/>
          <w:color w:val="auto"/>
          <w:kern w:val="2"/>
          <w:sz w:val="24"/>
          <w:szCs w:val="24"/>
          <w:highlight w:val="none"/>
          <w:lang w:val="en-US" w:eastAsia="zh-CN" w:bidi="ar-SA"/>
        </w:rPr>
      </w:pPr>
    </w:p>
    <w:p>
      <w:pPr>
        <w:rPr>
          <w:rFonts w:ascii="楷体" w:hAnsi="楷体" w:cs="楷体"/>
          <w:highlight w:val="none"/>
        </w:rPr>
      </w:pPr>
      <w:bookmarkStart w:id="24" w:name="_Toc14275"/>
      <w:bookmarkStart w:id="25" w:name="_Toc5907_WPSOffice_Level1"/>
      <w:r>
        <w:rPr>
          <w:rFonts w:hint="eastAsia" w:ascii="楷体" w:hAnsi="楷体" w:cs="楷体"/>
          <w:highlight w:val="none"/>
        </w:rPr>
        <w:br w:type="page"/>
      </w:r>
    </w:p>
    <w:p>
      <w:pPr>
        <w:pStyle w:val="3"/>
        <w:ind w:left="0" w:leftChars="0" w:firstLine="0" w:firstLineChars="0"/>
        <w:rPr>
          <w:rFonts w:ascii="楷体" w:hAnsi="楷体" w:cs="楷体"/>
          <w:highlight w:val="none"/>
        </w:rPr>
      </w:pPr>
      <w:r>
        <w:rPr>
          <w:rFonts w:hint="eastAsia" w:ascii="楷体" w:hAnsi="楷体" w:cs="楷体"/>
          <w:highlight w:val="none"/>
        </w:rPr>
        <w:t>拟签订的合同文本</w:t>
      </w:r>
      <w:bookmarkEnd w:id="24"/>
      <w:bookmarkEnd w:id="25"/>
    </w:p>
    <w:p>
      <w:pPr>
        <w:ind w:left="0" w:leftChars="0" w:firstLine="0" w:firstLineChars="0"/>
        <w:rPr>
          <w:rFonts w:hint="eastAsia" w:eastAsia="楷体"/>
          <w:b/>
          <w:bCs/>
          <w:highlight w:val="none"/>
          <w:lang w:eastAsia="zh-CN"/>
        </w:rPr>
      </w:pPr>
      <w:r>
        <w:rPr>
          <w:rFonts w:hint="eastAsia" w:ascii="楷体" w:hAnsi="楷体" w:cs="楷体"/>
          <w:b/>
          <w:bCs/>
          <w:highlight w:val="none"/>
          <w:lang w:val="en-US" w:eastAsia="zh-CN"/>
        </w:rPr>
        <w:t>（本格式条款供双方签订合同参考，采购人可根据项目的实际情况增减条款和内容）</w:t>
      </w:r>
    </w:p>
    <w:p>
      <w:pPr>
        <w:rPr>
          <w:highlight w:val="none"/>
        </w:rPr>
      </w:pPr>
    </w:p>
    <w:p>
      <w:pPr>
        <w:rPr>
          <w:rFonts w:ascii="楷体" w:hAnsi="楷体" w:cs="楷体"/>
          <w:highlight w:val="none"/>
        </w:rPr>
      </w:pPr>
      <w:r>
        <w:rPr>
          <w:rFonts w:hint="eastAsia" w:ascii="楷体" w:hAnsi="楷体" w:cs="楷体"/>
          <w:highlight w:val="none"/>
        </w:rPr>
        <w:br w:type="page"/>
      </w:r>
    </w:p>
    <w:p>
      <w:pPr>
        <w:spacing w:line="360" w:lineRule="auto"/>
        <w:jc w:val="right"/>
        <w:rPr>
          <w:rFonts w:hint="eastAsia" w:ascii="楷体" w:hAnsi="楷体" w:eastAsia="楷体" w:cs="楷体"/>
          <w:b/>
          <w:sz w:val="24"/>
          <w:szCs w:val="24"/>
          <w:highlight w:val="none"/>
        </w:rPr>
      </w:pPr>
    </w:p>
    <w:p>
      <w:pPr>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甲方：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乙方：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依据《中华人民共和国</w:t>
      </w:r>
      <w:r>
        <w:rPr>
          <w:rFonts w:hint="eastAsia" w:ascii="楷体" w:hAnsi="楷体" w:cs="楷体"/>
          <w:sz w:val="24"/>
          <w:szCs w:val="24"/>
          <w:highlight w:val="none"/>
          <w:lang w:val="en-US" w:eastAsia="zh-CN"/>
        </w:rPr>
        <w:t>民法典</w:t>
      </w:r>
      <w:r>
        <w:rPr>
          <w:rFonts w:hint="eastAsia" w:ascii="楷体" w:hAnsi="楷体" w:eastAsia="楷体" w:cs="楷体"/>
          <w:sz w:val="24"/>
          <w:szCs w:val="24"/>
          <w:highlight w:val="none"/>
        </w:rPr>
        <w:t>》及其他有关法律法规，遵循平等、自愿、公平和诚实信用的原则，甲、乙双方就</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相关事项达成一致意见，订立本合同。</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一、合同内容：</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二、合同价款：</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1、合同总价：</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2、合同总价包括：设备的供应价、运杂</w:t>
      </w:r>
      <w:r>
        <w:rPr>
          <w:rFonts w:hint="eastAsia" w:ascii="楷体" w:hAnsi="楷体" w:eastAsia="楷体" w:cs="楷体"/>
          <w:sz w:val="24"/>
          <w:szCs w:val="24"/>
          <w:highlight w:val="none"/>
          <w:lang w:val="en-US" w:eastAsia="zh-CN"/>
        </w:rPr>
        <w:t>费</w:t>
      </w:r>
      <w:r>
        <w:rPr>
          <w:rFonts w:hint="eastAsia" w:ascii="楷体" w:hAnsi="楷体" w:eastAsia="楷体" w:cs="楷体"/>
          <w:sz w:val="24"/>
          <w:szCs w:val="24"/>
          <w:highlight w:val="none"/>
        </w:rPr>
        <w:t>（含保险、包装费）安装调试费、检测验收费、服务费、各类税费、专利费、技术服务、培训、售后服务、装饰装修费</w:t>
      </w:r>
      <w:r>
        <w:rPr>
          <w:rFonts w:hint="eastAsia" w:ascii="楷体" w:hAnsi="楷体" w:cs="楷体"/>
          <w:sz w:val="24"/>
          <w:szCs w:val="24"/>
          <w:highlight w:val="none"/>
          <w:lang w:val="en-US" w:eastAsia="zh-CN"/>
        </w:rPr>
        <w:t>及采购文件中包含</w:t>
      </w:r>
      <w:r>
        <w:rPr>
          <w:rFonts w:hint="eastAsia" w:ascii="楷体" w:hAnsi="楷体" w:eastAsia="楷体" w:cs="楷体"/>
          <w:sz w:val="24"/>
          <w:szCs w:val="24"/>
          <w:highlight w:val="none"/>
        </w:rPr>
        <w:t>的其它一切的费用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3、合同总价一次包死，不受市场价变化的影响。</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三、款项结算</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1、付款比例：</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w:t>
      </w:r>
      <w:r>
        <w:rPr>
          <w:rFonts w:hint="eastAsia"/>
          <w:color w:val="auto"/>
          <w:highlight w:val="none"/>
          <w:lang w:val="en-US" w:eastAsia="zh-CN"/>
        </w:rPr>
        <w:t xml:space="preserve"> </w:t>
      </w:r>
      <w:r>
        <w:rPr>
          <w:rFonts w:hint="eastAsia" w:ascii="楷体" w:hAnsi="楷体" w:cstheme="minorBidi"/>
          <w:color w:val="auto"/>
          <w:kern w:val="2"/>
          <w:sz w:val="24"/>
          <w:szCs w:val="24"/>
          <w:highlight w:val="none"/>
          <w:lang w:val="en-US" w:eastAsia="zh-CN" w:bidi="ar-SA"/>
        </w:rPr>
        <w:t>交货、安装调试</w:t>
      </w:r>
      <w:r>
        <w:rPr>
          <w:rFonts w:hint="eastAsia" w:ascii="楷体" w:hAnsi="楷体" w:eastAsia="楷体" w:cstheme="minorBidi"/>
          <w:color w:val="auto"/>
          <w:kern w:val="2"/>
          <w:sz w:val="24"/>
          <w:szCs w:val="24"/>
          <w:highlight w:val="none"/>
          <w:lang w:val="en-US" w:eastAsia="zh-CN" w:bidi="ar-SA"/>
        </w:rPr>
        <w:t>完成并经验收合格后，</w:t>
      </w:r>
      <w:r>
        <w:rPr>
          <w:rFonts w:hint="eastAsia" w:ascii="楷体" w:hAnsi="楷体" w:cstheme="minorBidi"/>
          <w:color w:val="auto"/>
          <w:kern w:val="2"/>
          <w:sz w:val="24"/>
          <w:szCs w:val="24"/>
          <w:highlight w:val="none"/>
          <w:lang w:val="en-US" w:eastAsia="zh-CN" w:bidi="ar-SA"/>
        </w:rPr>
        <w:t>7个工作日内</w:t>
      </w:r>
      <w:r>
        <w:rPr>
          <w:rFonts w:hint="eastAsia" w:ascii="楷体" w:hAnsi="楷体" w:eastAsia="楷体" w:cstheme="minorBidi"/>
          <w:color w:val="auto"/>
          <w:kern w:val="2"/>
          <w:sz w:val="24"/>
          <w:szCs w:val="24"/>
          <w:highlight w:val="none"/>
          <w:lang w:val="en-US" w:eastAsia="zh-CN" w:bidi="ar-SA"/>
        </w:rPr>
        <w:t>甲方向乙方支付至合同价款的</w:t>
      </w:r>
      <w:r>
        <w:rPr>
          <w:rFonts w:hint="eastAsia" w:ascii="楷体" w:hAnsi="楷体" w:cstheme="minorBidi"/>
          <w:color w:val="auto"/>
          <w:kern w:val="2"/>
          <w:sz w:val="24"/>
          <w:szCs w:val="24"/>
          <w:highlight w:val="none"/>
          <w:lang w:val="en-US" w:eastAsia="zh-CN" w:bidi="ar-SA"/>
        </w:rPr>
        <w:t>100</w:t>
      </w:r>
      <w:r>
        <w:rPr>
          <w:rFonts w:hint="eastAsia" w:ascii="楷体" w:hAnsi="楷体" w:eastAsia="楷体" w:cstheme="minorBidi"/>
          <w:color w:val="auto"/>
          <w:kern w:val="2"/>
          <w:sz w:val="24"/>
          <w:szCs w:val="24"/>
          <w:highlight w:val="none"/>
          <w:lang w:val="en-US" w:eastAsia="zh-CN" w:bidi="ar-SA"/>
        </w:rPr>
        <w:t>%；</w:t>
      </w: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cs="楷体"/>
          <w:color w:val="auto"/>
          <w:sz w:val="24"/>
          <w:szCs w:val="24"/>
          <w:highlight w:val="none"/>
          <w:lang w:val="en-US" w:eastAsia="zh-CN"/>
        </w:rPr>
        <w:t>2</w:t>
      </w:r>
      <w:r>
        <w:rPr>
          <w:rFonts w:hint="eastAsia" w:ascii="楷体" w:hAnsi="楷体" w:eastAsia="楷体" w:cs="楷体"/>
          <w:color w:val="auto"/>
          <w:sz w:val="24"/>
          <w:szCs w:val="24"/>
          <w:highlight w:val="none"/>
        </w:rPr>
        <w:t>甲方付款前乙方需要提供等额符合税法要求的发票及财务需要的相关资料。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2、结算方式：银行转账。</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四、交货条件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1、交货地点：</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2、交货</w:t>
      </w:r>
      <w:r>
        <w:rPr>
          <w:rFonts w:hint="eastAsia" w:ascii="楷体" w:hAnsi="楷体" w:cs="楷体"/>
          <w:sz w:val="24"/>
          <w:szCs w:val="24"/>
          <w:highlight w:val="none"/>
          <w:lang w:val="en-US" w:eastAsia="zh-CN"/>
        </w:rPr>
        <w:t>安装</w:t>
      </w:r>
      <w:r>
        <w:rPr>
          <w:rFonts w:hint="eastAsia" w:ascii="楷体" w:hAnsi="楷体" w:eastAsia="楷体" w:cs="楷体"/>
          <w:sz w:val="24"/>
          <w:szCs w:val="24"/>
          <w:highlight w:val="none"/>
        </w:rPr>
        <w:t>期：</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五、运输</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1、乙方负责所有货物的运输。确保货物安全、完整到达使用地点，运杂费用包含在总价内，包括货物从供货地点到使用地点的运输费、保险费、搬运费等。</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2、所有货物在运输、搬运、安装的过程中，造成甲方损失的，由乙方为甲方修复或更新。</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六、质量保证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1、乙方提供货物必须是原品牌制造厂制造的最新工艺、生产的最新产品。</w:t>
      </w:r>
      <w:r>
        <w:rPr>
          <w:rFonts w:hint="eastAsia" w:ascii="楷体" w:hAnsi="楷体" w:cs="楷体"/>
          <w:sz w:val="24"/>
          <w:szCs w:val="24"/>
          <w:highlight w:val="none"/>
          <w:lang w:val="en-US" w:eastAsia="zh-CN"/>
        </w:rPr>
        <w:t>响应</w:t>
      </w:r>
      <w:r>
        <w:rPr>
          <w:rFonts w:hint="eastAsia" w:ascii="楷体" w:hAnsi="楷体" w:eastAsia="楷体" w:cs="楷体"/>
          <w:sz w:val="24"/>
          <w:szCs w:val="24"/>
          <w:highlight w:val="none"/>
        </w:rPr>
        <w:t>产品的规格、型号、配置、质量标准必须符合国家相关规范，满足</w:t>
      </w:r>
      <w:r>
        <w:rPr>
          <w:rFonts w:hint="eastAsia" w:ascii="楷体" w:hAnsi="楷体" w:cs="楷体"/>
          <w:sz w:val="24"/>
          <w:szCs w:val="24"/>
          <w:highlight w:val="none"/>
          <w:lang w:val="en-US" w:eastAsia="zh-CN"/>
        </w:rPr>
        <w:t>谈判文件</w:t>
      </w:r>
      <w:r>
        <w:rPr>
          <w:rFonts w:hint="eastAsia" w:ascii="楷体" w:hAnsi="楷体" w:eastAsia="楷体" w:cs="楷体"/>
          <w:sz w:val="24"/>
          <w:szCs w:val="24"/>
          <w:highlight w:val="none"/>
        </w:rPr>
        <w:t>要求。</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2、所供货物必须是经过办理正常手续的全新产品。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3、所供货物是经过国家法定检验、注册、准许市场销售的合法产品。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4、货物性能稳定、具有较好的使用效果，质量保证措施完善，符合国家相关标准。</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5、质保期为验收合格后</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个月，质保期内免费上门维修、更换，终身维护保养，质保期后，只收取成本费用。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6、包装要求</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6-1、除合同另有规定外，乙方提供的全部货物，均应按标准保护措施进行包装，并确保货物安全无损运抵甲方指定地点。</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6-2、每一个包装箱内应附一份详细装箱单和质量合格证。</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7、乙方应保证甲方在使用该货物或其任何一部分时免受第三方提出侵犯其专利权</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商标权或工业设计权的起诉。</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七、技术服务</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1、对技术服务的要求：</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2、技术资料：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2-1、产品合格证及检验报告；</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2-2、产品使用说明书（中文）；</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2-3、中国商品检验局出具的商检合格证明（进口产品</w:t>
      </w:r>
      <w:r>
        <w:rPr>
          <w:rFonts w:hint="eastAsia" w:ascii="楷体" w:hAnsi="楷体" w:cs="楷体"/>
          <w:sz w:val="24"/>
          <w:szCs w:val="24"/>
          <w:highlight w:val="none"/>
          <w:lang w:val="en-US" w:eastAsia="zh-CN"/>
        </w:rPr>
        <w:t>提供</w:t>
      </w:r>
      <w:r>
        <w:rPr>
          <w:rFonts w:hint="eastAsia" w:ascii="楷体" w:hAnsi="楷体" w:eastAsia="楷体" w:cs="楷体"/>
          <w:sz w:val="24"/>
          <w:szCs w:val="24"/>
          <w:highlight w:val="none"/>
        </w:rPr>
        <w:t>）；</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2-4、其它资料。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3、技术培训：</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3-1、培训内容：</w:t>
      </w:r>
      <w:r>
        <w:rPr>
          <w:rFonts w:hint="eastAsia" w:ascii="楷体" w:hAnsi="楷体" w:cs="楷体"/>
          <w:sz w:val="24"/>
          <w:szCs w:val="24"/>
          <w:highlight w:val="none"/>
          <w:u w:val="single"/>
          <w:lang w:val="en-US" w:eastAsia="zh-CN"/>
        </w:rPr>
        <w:t xml:space="preserve">                                        </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3-2、培训地点：</w:t>
      </w:r>
      <w:r>
        <w:rPr>
          <w:rFonts w:hint="eastAsia" w:ascii="楷体" w:hAnsi="楷体" w:cs="楷体"/>
          <w:sz w:val="24"/>
          <w:szCs w:val="24"/>
          <w:highlight w:val="none"/>
          <w:u w:val="single"/>
          <w:lang w:val="en-US" w:eastAsia="zh-CN"/>
        </w:rPr>
        <w:t xml:space="preserve">                                        </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3-3、培训时间：</w:t>
      </w:r>
      <w:r>
        <w:rPr>
          <w:rFonts w:hint="eastAsia" w:ascii="楷体" w:hAnsi="楷体" w:cs="楷体"/>
          <w:sz w:val="24"/>
          <w:szCs w:val="24"/>
          <w:highlight w:val="none"/>
          <w:u w:val="single"/>
          <w:lang w:val="en-US" w:eastAsia="zh-CN"/>
        </w:rPr>
        <w:t xml:space="preserve">                                        </w:t>
      </w:r>
    </w:p>
    <w:p>
      <w:pPr>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3-4、培训人数：</w:t>
      </w:r>
      <w:r>
        <w:rPr>
          <w:rFonts w:hint="eastAsia" w:ascii="楷体" w:hAnsi="楷体" w:cs="楷体"/>
          <w:sz w:val="24"/>
          <w:szCs w:val="24"/>
          <w:highlight w:val="none"/>
          <w:u w:val="single"/>
          <w:lang w:val="en-US" w:eastAsia="zh-CN"/>
        </w:rPr>
        <w:t xml:space="preserve">                                        </w:t>
      </w:r>
    </w:p>
    <w:p>
      <w:pPr>
        <w:rPr>
          <w:rFonts w:hint="eastAsia" w:ascii="楷体" w:hAnsi="楷体" w:cs="楷体"/>
          <w:sz w:val="24"/>
          <w:szCs w:val="24"/>
          <w:highlight w:val="none"/>
          <w:u w:val="single"/>
          <w:lang w:val="en-US" w:eastAsia="zh-CN"/>
        </w:rPr>
      </w:pPr>
      <w:r>
        <w:rPr>
          <w:rFonts w:hint="eastAsia" w:ascii="楷体" w:hAnsi="楷体" w:eastAsia="楷体" w:cs="楷体"/>
          <w:sz w:val="24"/>
          <w:szCs w:val="24"/>
          <w:highlight w:val="none"/>
        </w:rPr>
        <w:t>3-5、培训费用：</w:t>
      </w:r>
      <w:r>
        <w:rPr>
          <w:rFonts w:hint="eastAsia" w:ascii="楷体" w:hAnsi="楷体" w:cs="楷体"/>
          <w:sz w:val="24"/>
          <w:szCs w:val="24"/>
          <w:highlight w:val="none"/>
          <w:u w:val="single"/>
          <w:lang w:val="en-US" w:eastAsia="zh-CN"/>
        </w:rPr>
        <w:t xml:space="preserve">                                        </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4、售后服务</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4-1、乙方在接到甲方保修电话故障通知后在24小时内派出合格的维修人员到达现场进行维修服务，承担相应费用，若需将产品送回生产厂，乙方应提供备用品</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承担维修设备所需的往返费用。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4-2、如果乙方在收到通知后2天内没有弥补缺陷，甲方可采取必要的补救措施，但其风险和费用将由乙方承担，甲方根据合同规定对乙方行使的其它权力不受影响。</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5、伴随服务</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5-1、乙方应随同每套货物提供相应的中文的技术文件。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5-1-1、完整的操作使用手册和维护、修理技术文件，图纸、保修卡等。</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5-1-2、制造厂的检验、测试报告、设备检验合格证书，计量合格等级证书，质量保证书等文件须随设备装箱提供。</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5-1-3、必须的其它技术资料。</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5-2、伴随服务的费用已含在合同价中，不单独进行支付。</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八、验收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1、到货验收：货物到货后，由甲方与乙方共同进行外观验收，验收内容包括，外包装的完好性，货物品牌、规格、数量及产地与合同要求的一致性。</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2、货物运行验收：乙方安装调试合格后，向甲方提出验收申请，甲方接到乙方验收申请后组织验收（必要时可聘请相应专家或委托相应部门验收），验收合格后，出具使用验收合格证明。</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3、最终验收：最终验收结果作为付款依据，乙方填写验收单，并向甲方提交实施过程中的所有资料，以便甲方日后管理和维护。</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4、质保期满后：由乙方出具质保期运行质量报告，若存在质量问题，应按相应规定协商处理。</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5、验收依据：</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5-1、合同文本、合同附件、竞争性</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文件、</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响应文件。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5-2、国内相应的标准、规范。</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九、违约责任</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1、按《中华人民共和国</w:t>
      </w:r>
      <w:r>
        <w:rPr>
          <w:rFonts w:hint="eastAsia" w:ascii="楷体" w:hAnsi="楷体" w:cs="楷体"/>
          <w:sz w:val="24"/>
          <w:szCs w:val="24"/>
          <w:highlight w:val="none"/>
          <w:lang w:val="en-US" w:eastAsia="zh-CN"/>
        </w:rPr>
        <w:t>民法典</w:t>
      </w:r>
      <w:r>
        <w:rPr>
          <w:rFonts w:hint="eastAsia" w:ascii="楷体" w:hAnsi="楷体" w:eastAsia="楷体" w:cs="楷体"/>
          <w:sz w:val="24"/>
          <w:szCs w:val="24"/>
          <w:highlight w:val="none"/>
        </w:rPr>
        <w:t>》中的相关条款执行。</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2、乙方履约延误</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2-1、如乙方事先未征得甲方同意并得到甲方的谅解而单方面延迟交货，将按违约终止合同。</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3、违约终止合同：未按合同要求提供货物或质量不能满足技术要求，甲方会同监督机构有权终止合同，对乙方违约行为进行追究，同时按政府采购法的有关规定进行相应的处罚。</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十、合同组成</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cs="楷体"/>
          <w:sz w:val="24"/>
          <w:szCs w:val="24"/>
          <w:highlight w:val="none"/>
          <w:lang w:val="en-US" w:eastAsia="zh-CN"/>
        </w:rPr>
        <w:t>成交</w:t>
      </w:r>
      <w:r>
        <w:rPr>
          <w:rFonts w:hint="eastAsia" w:ascii="楷体" w:hAnsi="楷体" w:eastAsia="楷体" w:cs="楷体"/>
          <w:sz w:val="24"/>
          <w:szCs w:val="24"/>
          <w:highlight w:val="none"/>
        </w:rPr>
        <w:t>通知书</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2、合同文件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3、国家相关规范及标准</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4、供货设备技术规格及参数表</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5、竞争性</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6、</w:t>
      </w:r>
      <w:r>
        <w:rPr>
          <w:rFonts w:hint="eastAsia" w:ascii="楷体" w:hAnsi="楷体" w:cs="楷体"/>
          <w:sz w:val="24"/>
          <w:szCs w:val="24"/>
          <w:highlight w:val="none"/>
          <w:lang w:val="en-US" w:eastAsia="zh-CN"/>
        </w:rPr>
        <w:t>谈判</w:t>
      </w:r>
      <w:r>
        <w:rPr>
          <w:rFonts w:hint="eastAsia" w:ascii="楷体" w:hAnsi="楷体" w:eastAsia="楷体" w:cs="楷体"/>
          <w:sz w:val="24"/>
          <w:szCs w:val="24"/>
          <w:highlight w:val="none"/>
        </w:rPr>
        <w:t>响应文件</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十一、合同生效及其它</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1、合同未尽事宜、由甲、乙双方协商，作为合同补充，与原合同具有同等法律效力。</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2、 本合同一式</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份，甲方、乙方双方分别执</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份，</w:t>
      </w:r>
      <w:r>
        <w:rPr>
          <w:rFonts w:hint="eastAsia" w:ascii="楷体" w:hAnsi="楷体" w:cs="楷体"/>
          <w:sz w:val="24"/>
          <w:szCs w:val="24"/>
          <w:highlight w:val="none"/>
          <w:lang w:val="en-US" w:eastAsia="zh-CN"/>
        </w:rPr>
        <w:t>采购代理机构留存壹</w:t>
      </w:r>
      <w:r>
        <w:rPr>
          <w:rFonts w:hint="eastAsia" w:ascii="楷体" w:hAnsi="楷体" w:eastAsia="楷体" w:cs="楷体"/>
          <w:sz w:val="24"/>
          <w:szCs w:val="24"/>
          <w:highlight w:val="none"/>
        </w:rPr>
        <w:t>份。</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3、合同经甲乙双方盖章、签字后生效，合同签订地点为</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w:t>
      </w:r>
    </w:p>
    <w:p>
      <w:pPr>
        <w:rPr>
          <w:rFonts w:hint="eastAsia" w:ascii="楷体" w:hAnsi="楷体" w:eastAsia="楷体" w:cs="楷体"/>
          <w:sz w:val="24"/>
          <w:szCs w:val="24"/>
          <w:highlight w:val="none"/>
        </w:rPr>
      </w:pPr>
      <w:r>
        <w:rPr>
          <w:rFonts w:hint="eastAsia" w:ascii="楷体" w:hAnsi="楷体" w:eastAsia="楷体" w:cs="楷体"/>
          <w:sz w:val="24"/>
          <w:szCs w:val="24"/>
          <w:highlight w:val="none"/>
        </w:rPr>
        <w:t>4、生效时间：   年  月  日</w:t>
      </w:r>
    </w:p>
    <w:p>
      <w:pPr>
        <w:pStyle w:val="5"/>
        <w:rPr>
          <w:rFonts w:hint="eastAsia"/>
          <w:highlight w:val="none"/>
        </w:rPr>
      </w:pPr>
    </w:p>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pPr>
        <w:spacing w:line="360" w:lineRule="auto"/>
        <w:rPr>
          <w:rFonts w:hint="default" w:ascii="楷体" w:hAnsi="楷体" w:eastAsia="楷体" w:cs="楷体"/>
          <w:sz w:val="24"/>
          <w:szCs w:val="24"/>
          <w:highlight w:val="none"/>
          <w:lang w:val="en-US" w:eastAsia="zh-CN"/>
        </w:rPr>
      </w:pPr>
      <w:r>
        <w:rPr>
          <w:rFonts w:hint="eastAsia" w:ascii="楷体" w:hAnsi="楷体" w:eastAsia="楷体" w:cs="楷体"/>
          <w:color w:val="auto"/>
          <w:sz w:val="24"/>
          <w:szCs w:val="24"/>
          <w:highlight w:val="none"/>
        </w:rPr>
        <w:t>（以下无正文）</w:t>
      </w:r>
      <w:r>
        <w:rPr>
          <w:rFonts w:hint="eastAsia" w:ascii="楷体" w:hAnsi="楷体" w:cs="楷体"/>
          <w:color w:val="auto"/>
          <w:sz w:val="24"/>
          <w:szCs w:val="24"/>
          <w:highlight w:val="none"/>
          <w:lang w:val="en-US" w:eastAsia="zh-CN"/>
        </w:rPr>
        <w:t xml:space="preserve">                                        </w:t>
      </w:r>
    </w:p>
    <w:tbl>
      <w:tblPr>
        <w:tblStyle w:val="43"/>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甲  方</w:t>
            </w:r>
          </w:p>
        </w:tc>
        <w:tc>
          <w:tcPr>
            <w:tcW w:w="2841" w:type="dxa"/>
            <w:noWrap w:val="0"/>
            <w:vAlign w:val="top"/>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乙  方</w:t>
            </w:r>
          </w:p>
        </w:tc>
        <w:tc>
          <w:tcPr>
            <w:tcW w:w="2842" w:type="dxa"/>
            <w:noWrap w:val="0"/>
            <w:vAlign w:val="top"/>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见 证</w:t>
            </w:r>
            <w:r>
              <w:rPr>
                <w:rFonts w:hint="eastAsia" w:ascii="楷体" w:hAnsi="楷体" w:eastAsia="楷体" w:cs="楷体"/>
                <w:color w:val="000000"/>
                <w:sz w:val="24"/>
                <w:szCs w:val="24"/>
                <w:highlight w:val="none"/>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center"/>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采购人全称</w:t>
            </w:r>
          </w:p>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（公章）</w:t>
            </w:r>
          </w:p>
        </w:tc>
        <w:tc>
          <w:tcPr>
            <w:tcW w:w="2841" w:type="dxa"/>
            <w:noWrap w:val="0"/>
            <w:vAlign w:val="center"/>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cs="楷体"/>
                <w:color w:val="000000"/>
                <w:sz w:val="24"/>
                <w:szCs w:val="24"/>
                <w:highlight w:val="none"/>
                <w:lang w:val="en-US" w:eastAsia="zh-CN"/>
              </w:rPr>
              <w:t>成交供应商</w:t>
            </w:r>
            <w:r>
              <w:rPr>
                <w:rFonts w:hint="eastAsia" w:ascii="楷体" w:hAnsi="楷体" w:eastAsia="楷体" w:cs="楷体"/>
                <w:color w:val="000000"/>
                <w:sz w:val="24"/>
                <w:szCs w:val="24"/>
                <w:highlight w:val="none"/>
              </w:rPr>
              <w:t>全称</w:t>
            </w:r>
          </w:p>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（公章）</w:t>
            </w:r>
          </w:p>
        </w:tc>
        <w:tc>
          <w:tcPr>
            <w:tcW w:w="2842" w:type="dxa"/>
            <w:noWrap w:val="0"/>
            <w:vAlign w:val="center"/>
          </w:tcPr>
          <w:p>
            <w:pPr>
              <w:overflowPunct w:val="0"/>
              <w:topLinePunct/>
              <w:autoSpaceDE/>
              <w:autoSpaceDN/>
              <w:spacing w:line="460" w:lineRule="exact"/>
              <w:ind w:left="0" w:leftChars="0" w:firstLine="0" w:firstLineChars="0"/>
              <w:jc w:val="center"/>
              <w:rPr>
                <w:rFonts w:hint="eastAsia" w:ascii="楷体" w:hAnsi="楷体" w:eastAsia="楷体" w:cs="楷体"/>
                <w:color w:val="000000"/>
                <w:sz w:val="24"/>
                <w:szCs w:val="24"/>
                <w:highlight w:val="none"/>
              </w:rPr>
            </w:pPr>
            <w:r>
              <w:rPr>
                <w:rFonts w:hint="eastAsia" w:ascii="楷体" w:hAnsi="楷体" w:cs="楷体"/>
                <w:color w:val="000000"/>
                <w:sz w:val="24"/>
                <w:szCs w:val="24"/>
                <w:highlight w:val="none"/>
                <w:lang w:val="en-US" w:eastAsia="zh-CN"/>
              </w:rPr>
              <w:t>陕西四方衡裕项目管理有限公司</w:t>
            </w:r>
            <w:r>
              <w:rPr>
                <w:rFonts w:hint="eastAsia" w:ascii="楷体" w:hAnsi="楷体" w:eastAsia="楷体" w:cs="楷体"/>
                <w:color w:val="000000"/>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地址： </w:t>
            </w:r>
          </w:p>
        </w:tc>
        <w:tc>
          <w:tcPr>
            <w:tcW w:w="2841" w:type="dxa"/>
            <w:noWrap w:val="0"/>
            <w:vAlign w:val="top"/>
          </w:tcPr>
          <w:p>
            <w:pPr>
              <w:overflowPunct w:val="0"/>
              <w:topLinePunct/>
              <w:autoSpaceDE/>
              <w:autoSpaceDN/>
              <w:spacing w:line="460" w:lineRule="exact"/>
              <w:ind w:left="0" w:leftChars="0" w:firstLine="480" w:firstLineChars="20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地址：</w:t>
            </w:r>
          </w:p>
        </w:tc>
        <w:tc>
          <w:tcPr>
            <w:tcW w:w="2842"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rPr>
              <w:t>地址：西安市</w:t>
            </w:r>
            <w:r>
              <w:rPr>
                <w:rFonts w:hint="eastAsia" w:ascii="楷体" w:hAnsi="楷体" w:cs="楷体"/>
                <w:color w:val="000000"/>
                <w:sz w:val="24"/>
                <w:szCs w:val="24"/>
                <w:highlight w:val="none"/>
                <w:lang w:val="en-US" w:eastAsia="zh-CN"/>
              </w:rPr>
              <w:t>高新区</w:t>
            </w:r>
            <w:r>
              <w:rPr>
                <w:rFonts w:hint="eastAsia" w:ascii="楷体" w:hAnsi="楷体" w:eastAsia="楷体" w:cs="楷体"/>
                <w:color w:val="000000"/>
                <w:sz w:val="24"/>
                <w:szCs w:val="24"/>
                <w:highlight w:val="none"/>
              </w:rPr>
              <w:t>沣惠路16号泰华金贸国际8号楼2</w:t>
            </w:r>
            <w:r>
              <w:rPr>
                <w:rFonts w:hint="eastAsia" w:ascii="楷体" w:hAnsi="楷体" w:cs="楷体"/>
                <w:color w:val="000000"/>
                <w:sz w:val="24"/>
                <w:szCs w:val="24"/>
                <w:highlight w:val="none"/>
                <w:lang w:val="en-US" w:eastAsia="zh-CN"/>
              </w:rPr>
              <w:t>8</w:t>
            </w:r>
            <w:r>
              <w:rPr>
                <w:rFonts w:hint="eastAsia" w:ascii="楷体" w:hAnsi="楷体" w:eastAsia="楷体" w:cs="楷体"/>
                <w:color w:val="000000"/>
                <w:sz w:val="24"/>
                <w:szCs w:val="24"/>
                <w:highlight w:val="none"/>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邮编：</w:t>
            </w: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邮编：</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839"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法定代表人</w:t>
            </w:r>
            <w:r>
              <w:rPr>
                <w:rFonts w:hint="eastAsia" w:ascii="楷体" w:hAnsi="楷体" w:eastAsia="楷体" w:cs="楷体"/>
                <w:color w:val="000000"/>
                <w:sz w:val="24"/>
                <w:szCs w:val="24"/>
                <w:highlight w:val="none"/>
                <w:lang w:val="en-US" w:eastAsia="zh-CN"/>
              </w:rPr>
              <w:t>或</w:t>
            </w:r>
            <w:r>
              <w:rPr>
                <w:rFonts w:hint="eastAsia" w:ascii="楷体" w:hAnsi="楷体" w:eastAsia="楷体" w:cs="楷体"/>
                <w:color w:val="000000"/>
                <w:sz w:val="24"/>
                <w:szCs w:val="24"/>
                <w:highlight w:val="none"/>
              </w:rPr>
              <w:t>负责人</w:t>
            </w:r>
          </w:p>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（签字）： </w:t>
            </w:r>
          </w:p>
        </w:tc>
        <w:tc>
          <w:tcPr>
            <w:tcW w:w="2841"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法定代表人</w:t>
            </w:r>
            <w:r>
              <w:rPr>
                <w:rFonts w:hint="eastAsia" w:ascii="楷体" w:hAnsi="楷体" w:eastAsia="楷体" w:cs="楷体"/>
                <w:color w:val="000000"/>
                <w:sz w:val="24"/>
                <w:szCs w:val="24"/>
                <w:highlight w:val="none"/>
                <w:lang w:val="en-US" w:eastAsia="zh-CN"/>
              </w:rPr>
              <w:t>或</w:t>
            </w:r>
            <w:r>
              <w:rPr>
                <w:rFonts w:hint="eastAsia" w:ascii="楷体" w:hAnsi="楷体" w:cs="楷体"/>
                <w:color w:val="000000"/>
                <w:sz w:val="24"/>
                <w:szCs w:val="24"/>
                <w:highlight w:val="none"/>
                <w:lang w:eastAsia="zh-CN"/>
              </w:rPr>
              <w:t>授权代表</w:t>
            </w:r>
            <w:r>
              <w:rPr>
                <w:rFonts w:hint="eastAsia" w:ascii="楷体" w:hAnsi="楷体" w:eastAsia="楷体" w:cs="楷体"/>
                <w:color w:val="000000"/>
                <w:sz w:val="24"/>
                <w:szCs w:val="24"/>
                <w:highlight w:val="none"/>
              </w:rPr>
              <w:t>（签字）：</w:t>
            </w:r>
          </w:p>
        </w:tc>
        <w:tc>
          <w:tcPr>
            <w:tcW w:w="2842" w:type="dxa"/>
            <w:noWrap w:val="0"/>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法定代表人</w:t>
            </w:r>
            <w:r>
              <w:rPr>
                <w:rFonts w:hint="eastAsia" w:ascii="楷体" w:hAnsi="楷体" w:eastAsia="楷体" w:cs="楷体"/>
                <w:color w:val="000000"/>
                <w:sz w:val="24"/>
                <w:szCs w:val="24"/>
                <w:highlight w:val="none"/>
                <w:lang w:val="en-US" w:eastAsia="zh-CN"/>
              </w:rPr>
              <w:t>或</w:t>
            </w:r>
            <w:r>
              <w:rPr>
                <w:rFonts w:hint="eastAsia" w:ascii="楷体" w:hAnsi="楷体" w:eastAsia="楷体" w:cs="楷体"/>
                <w:color w:val="000000"/>
                <w:sz w:val="24"/>
                <w:szCs w:val="24"/>
                <w:highlight w:val="none"/>
              </w:rPr>
              <w:t>承办人</w:t>
            </w:r>
          </w:p>
          <w:p>
            <w:pPr>
              <w:overflowPunct w:val="0"/>
              <w:topLinePunct/>
              <w:autoSpaceDE/>
              <w:autoSpaceDN/>
              <w:spacing w:line="460" w:lineRule="exact"/>
              <w:ind w:left="0" w:leftChars="0" w:firstLine="0" w:firstLineChars="0"/>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电话：</w:t>
            </w: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电话：</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传真：</w:t>
            </w: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传真：</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开户银行：</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c>
          <w:tcPr>
            <w:tcW w:w="2841"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帐号：</w:t>
            </w:r>
          </w:p>
        </w:tc>
        <w:tc>
          <w:tcPr>
            <w:tcW w:w="2842" w:type="dxa"/>
            <w:noWrap w:val="0"/>
            <w:vAlign w:val="top"/>
          </w:tcPr>
          <w:p>
            <w:pPr>
              <w:overflowPunct w:val="0"/>
              <w:topLinePunct/>
              <w:autoSpaceDE/>
              <w:autoSpaceDN/>
              <w:spacing w:line="460" w:lineRule="exact"/>
              <w:jc w:val="both"/>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80" w:type="dxa"/>
            <w:gridSpan w:val="2"/>
            <w:noWrap w:val="0"/>
            <w:vAlign w:val="top"/>
          </w:tcPr>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        年  月  日</w:t>
            </w:r>
          </w:p>
        </w:tc>
        <w:tc>
          <w:tcPr>
            <w:tcW w:w="2842" w:type="dxa"/>
            <w:noWrap w:val="0"/>
            <w:vAlign w:val="top"/>
          </w:tcPr>
          <w:p>
            <w:pPr>
              <w:overflowPunct w:val="0"/>
              <w:topLinePunct/>
              <w:autoSpaceDE/>
              <w:autoSpaceDN/>
              <w:spacing w:line="460" w:lineRule="exact"/>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 xml:space="preserve">     年  月  日</w:t>
            </w:r>
          </w:p>
        </w:tc>
      </w:tr>
    </w:tbl>
    <w:p>
      <w:pPr>
        <w:pStyle w:val="2"/>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pStyle w:val="2"/>
        <w:rPr>
          <w:rFonts w:hint="eastAsia"/>
          <w:highlight w:val="none"/>
        </w:rPr>
      </w:pPr>
    </w:p>
    <w:p>
      <w:pPr>
        <w:rPr>
          <w:rFonts w:ascii="楷体" w:hAnsi="楷体" w:cs="楷体"/>
          <w:highlight w:val="none"/>
        </w:rPr>
      </w:pPr>
      <w:r>
        <w:rPr>
          <w:rFonts w:hint="eastAsia" w:ascii="楷体" w:hAnsi="楷体" w:cs="楷体"/>
          <w:highlight w:val="none"/>
        </w:rPr>
        <w:br w:type="page"/>
      </w:r>
    </w:p>
    <w:p>
      <w:pPr>
        <w:pStyle w:val="3"/>
        <w:rPr>
          <w:rFonts w:ascii="楷体" w:hAnsi="楷体" w:cs="楷体"/>
          <w:highlight w:val="none"/>
        </w:rPr>
      </w:pPr>
      <w:bookmarkStart w:id="26" w:name="_Toc12330_WPSOffice_Level1"/>
      <w:bookmarkStart w:id="27" w:name="_Toc29997"/>
      <w:r>
        <w:rPr>
          <w:rFonts w:hint="eastAsia" w:ascii="楷体" w:hAnsi="楷体" w:cs="楷体"/>
          <w:highlight w:val="none"/>
        </w:rPr>
        <w:t>响应文件格式</w:t>
      </w:r>
      <w:bookmarkEnd w:id="26"/>
      <w:bookmarkEnd w:id="27"/>
    </w:p>
    <w:p>
      <w:pPr>
        <w:widowControl/>
        <w:ind w:firstLine="562"/>
        <w:rPr>
          <w:rFonts w:ascii="楷体" w:hAnsi="楷体" w:cs="楷体"/>
          <w:b/>
          <w:bCs/>
          <w:kern w:val="0"/>
          <w:sz w:val="28"/>
          <w:szCs w:val="28"/>
          <w:highlight w:val="none"/>
          <w:lang w:val="zh-CN"/>
        </w:rPr>
        <w:sectPr>
          <w:headerReference r:id="rId12" w:type="default"/>
          <w:footerReference r:id="rId13" w:type="default"/>
          <w:pgSz w:w="11906" w:h="16838"/>
          <w:pgMar w:top="1418" w:right="1128" w:bottom="1418" w:left="1178" w:header="851" w:footer="992" w:gutter="0"/>
          <w:cols w:space="720" w:num="1"/>
          <w:docGrid w:linePitch="312" w:charSpace="0"/>
        </w:sectPr>
      </w:pPr>
    </w:p>
    <w:p>
      <w:pPr>
        <w:widowControl/>
        <w:ind w:firstLine="562"/>
        <w:outlineLvl w:val="0"/>
        <w:rPr>
          <w:rFonts w:ascii="楷体" w:hAnsi="楷体" w:cs="楷体"/>
          <w:b/>
          <w:bCs/>
          <w:kern w:val="0"/>
          <w:sz w:val="28"/>
          <w:szCs w:val="28"/>
          <w:highlight w:val="none"/>
          <w:lang w:val="zh-CN"/>
        </w:rPr>
      </w:pPr>
      <w:bookmarkStart w:id="28" w:name="_Toc1349"/>
      <w:bookmarkStart w:id="29" w:name="_Toc21095_WPSOffice_Level1"/>
      <w:bookmarkStart w:id="30" w:name="_Toc21872_WPSOffice_Level1"/>
      <w:bookmarkStart w:id="31" w:name="_Toc19016_WPSOffice_Level1"/>
      <w:bookmarkStart w:id="32" w:name="_Toc16405_WPSOffice_Level1"/>
      <w:bookmarkStart w:id="33" w:name="_Toc25505"/>
      <w:bookmarkStart w:id="34" w:name="_Toc6858_WPSOffice_Level1"/>
      <w:bookmarkStart w:id="35" w:name="_Toc6176"/>
      <w:bookmarkStart w:id="36" w:name="_Toc15681_WPSOffice_Level1"/>
      <w:r>
        <w:rPr>
          <w:rFonts w:hint="eastAsia" w:ascii="楷体" w:hAnsi="楷体" w:cs="楷体"/>
          <w:b/>
          <w:bCs/>
          <w:kern w:val="0"/>
          <w:sz w:val="28"/>
          <w:szCs w:val="28"/>
          <w:highlight w:val="none"/>
          <w:lang w:val="zh-CN"/>
        </w:rPr>
        <w:t>正本/副本</w:t>
      </w:r>
      <w:bookmarkEnd w:id="28"/>
      <w:bookmarkEnd w:id="29"/>
      <w:bookmarkEnd w:id="30"/>
      <w:bookmarkEnd w:id="31"/>
      <w:bookmarkEnd w:id="32"/>
      <w:bookmarkEnd w:id="33"/>
      <w:bookmarkEnd w:id="34"/>
      <w:bookmarkEnd w:id="35"/>
      <w:bookmarkEnd w:id="36"/>
    </w:p>
    <w:p>
      <w:pPr>
        <w:widowControl/>
        <w:ind w:firstLine="562"/>
        <w:jc w:val="right"/>
        <w:outlineLvl w:val="0"/>
        <w:rPr>
          <w:rFonts w:ascii="楷体" w:hAnsi="楷体" w:cs="楷体"/>
          <w:b/>
          <w:bCs/>
          <w:kern w:val="0"/>
          <w:sz w:val="28"/>
          <w:szCs w:val="28"/>
          <w:highlight w:val="none"/>
          <w:lang w:val="zh-CN"/>
        </w:rPr>
      </w:pPr>
      <w:bookmarkStart w:id="37" w:name="_Toc25400_WPSOffice_Level1"/>
      <w:bookmarkStart w:id="38" w:name="_Toc2274"/>
      <w:bookmarkStart w:id="39" w:name="_Toc10332"/>
      <w:bookmarkStart w:id="40" w:name="_Toc8685_WPSOffice_Level1"/>
      <w:bookmarkStart w:id="41" w:name="_Toc1686_WPSOffice_Level1"/>
      <w:bookmarkStart w:id="42" w:name="_Toc13152_WPSOffice_Level1"/>
      <w:bookmarkStart w:id="43" w:name="_Toc18828_WPSOffice_Level1"/>
      <w:bookmarkStart w:id="44" w:name="_Toc21720_WPSOffice_Level1"/>
      <w:bookmarkStart w:id="45" w:name="_Toc7837"/>
      <w:r>
        <w:rPr>
          <w:rFonts w:hint="eastAsia" w:ascii="楷体" w:hAnsi="楷体" w:cs="楷体"/>
          <w:b/>
          <w:bCs/>
          <w:kern w:val="0"/>
          <w:sz w:val="28"/>
          <w:szCs w:val="28"/>
          <w:highlight w:val="none"/>
          <w:lang w:val="zh-CN"/>
        </w:rPr>
        <w:t>政府采购项目</w:t>
      </w:r>
      <w:bookmarkEnd w:id="37"/>
      <w:bookmarkEnd w:id="38"/>
      <w:bookmarkEnd w:id="39"/>
      <w:bookmarkEnd w:id="40"/>
      <w:bookmarkEnd w:id="41"/>
      <w:bookmarkEnd w:id="42"/>
      <w:bookmarkEnd w:id="43"/>
      <w:bookmarkEnd w:id="44"/>
      <w:bookmarkEnd w:id="45"/>
    </w:p>
    <w:p>
      <w:pPr>
        <w:pStyle w:val="42"/>
        <w:ind w:left="481" w:leftChars="0" w:hanging="481" w:hangingChars="109"/>
        <w:jc w:val="center"/>
        <w:rPr>
          <w:rFonts w:ascii="楷体" w:hAnsi="楷体" w:cs="楷体"/>
          <w:b/>
          <w:bCs/>
          <w:kern w:val="0"/>
          <w:sz w:val="44"/>
          <w:szCs w:val="44"/>
          <w:highlight w:val="none"/>
        </w:rPr>
      </w:pPr>
      <w:bookmarkStart w:id="46" w:name="_Toc29276_WPSOffice_Level2"/>
      <w:bookmarkStart w:id="47" w:name="_Toc27024_WPSOffice_Level2"/>
    </w:p>
    <w:p>
      <w:pPr>
        <w:widowControl/>
        <w:ind w:firstLine="0" w:firstLineChars="0"/>
        <w:jc w:val="center"/>
        <w:rPr>
          <w:rFonts w:hint="eastAsia" w:ascii="楷体" w:hAnsi="楷体" w:cs="楷体"/>
          <w:b/>
          <w:bCs/>
          <w:kern w:val="0"/>
          <w:sz w:val="48"/>
          <w:szCs w:val="48"/>
          <w:highlight w:val="none"/>
          <w:lang w:val="en-US" w:eastAsia="zh-CN"/>
        </w:rPr>
      </w:pPr>
      <w:r>
        <w:rPr>
          <w:rFonts w:hint="eastAsia" w:ascii="楷体" w:hAnsi="楷体" w:cs="楷体"/>
          <w:b/>
          <w:bCs/>
          <w:kern w:val="0"/>
          <w:sz w:val="48"/>
          <w:szCs w:val="48"/>
          <w:highlight w:val="none"/>
          <w:lang w:val="en-US" w:eastAsia="zh-CN"/>
        </w:rPr>
        <w:t>西安市第二十六中学太乙分校心理辅导室、</w:t>
      </w:r>
    </w:p>
    <w:p>
      <w:pPr>
        <w:widowControl/>
        <w:ind w:firstLine="0" w:firstLineChars="0"/>
        <w:jc w:val="center"/>
        <w:rPr>
          <w:rFonts w:hint="eastAsia" w:ascii="楷体" w:hAnsi="楷体" w:eastAsia="楷体" w:cs="楷体"/>
          <w:b/>
          <w:bCs/>
          <w:kern w:val="0"/>
          <w:sz w:val="48"/>
          <w:szCs w:val="48"/>
          <w:highlight w:val="none"/>
          <w:lang w:eastAsia="zh-CN"/>
        </w:rPr>
      </w:pPr>
      <w:r>
        <w:rPr>
          <w:rFonts w:hint="eastAsia" w:ascii="楷体" w:hAnsi="楷体" w:cs="楷体"/>
          <w:b/>
          <w:bCs/>
          <w:kern w:val="0"/>
          <w:sz w:val="48"/>
          <w:szCs w:val="48"/>
          <w:highlight w:val="none"/>
          <w:lang w:val="en-US" w:eastAsia="zh-CN"/>
        </w:rPr>
        <w:t>音乐形体室、书画室建设项目</w:t>
      </w:r>
    </w:p>
    <w:p>
      <w:pPr>
        <w:pStyle w:val="2"/>
        <w:rPr>
          <w:rFonts w:hint="eastAsia" w:ascii="楷体" w:hAnsi="楷体" w:cs="楷体"/>
          <w:b/>
          <w:bCs/>
          <w:kern w:val="0"/>
          <w:sz w:val="44"/>
          <w:szCs w:val="44"/>
          <w:highlight w:val="none"/>
        </w:rPr>
      </w:pPr>
    </w:p>
    <w:p>
      <w:pPr>
        <w:rPr>
          <w:rFonts w:hint="eastAsia"/>
          <w:highlight w:val="none"/>
        </w:rPr>
      </w:pPr>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52"/>
          <w:szCs w:val="52"/>
          <w:highlight w:val="none"/>
        </w:rPr>
        <w:t>竞争性</w:t>
      </w:r>
      <w:r>
        <w:rPr>
          <w:rFonts w:hint="eastAsia" w:ascii="楷体" w:hAnsi="楷体" w:cs="楷体"/>
          <w:b/>
          <w:bCs/>
          <w:kern w:val="0"/>
          <w:sz w:val="52"/>
          <w:szCs w:val="52"/>
          <w:highlight w:val="none"/>
          <w:lang w:eastAsia="zh-CN"/>
        </w:rPr>
        <w:t>谈判</w:t>
      </w:r>
      <w:r>
        <w:rPr>
          <w:rFonts w:hint="eastAsia" w:ascii="楷体" w:hAnsi="楷体" w:cs="楷体"/>
          <w:b/>
          <w:bCs/>
          <w:kern w:val="0"/>
          <w:sz w:val="52"/>
          <w:szCs w:val="52"/>
          <w:highlight w:val="none"/>
        </w:rPr>
        <w:t>响应</w:t>
      </w:r>
      <w:r>
        <w:rPr>
          <w:rFonts w:hint="eastAsia" w:ascii="楷体" w:hAnsi="楷体" w:cs="楷体"/>
          <w:b/>
          <w:bCs/>
          <w:kern w:val="0"/>
          <w:sz w:val="52"/>
          <w:szCs w:val="52"/>
          <w:highlight w:val="none"/>
          <w:lang w:val="zh-CN"/>
        </w:rPr>
        <w:t>文件</w:t>
      </w:r>
      <w:bookmarkEnd w:id="46"/>
      <w:bookmarkEnd w:id="47"/>
    </w:p>
    <w:p>
      <w:pPr>
        <w:widowControl/>
        <w:ind w:firstLine="562"/>
        <w:jc w:val="center"/>
        <w:rPr>
          <w:rFonts w:ascii="楷体" w:hAnsi="楷体" w:cs="楷体"/>
          <w:b/>
          <w:bCs/>
          <w:kern w:val="0"/>
          <w:sz w:val="28"/>
          <w:szCs w:val="28"/>
          <w:highlight w:val="none"/>
        </w:rPr>
      </w:pPr>
    </w:p>
    <w:p>
      <w:pPr>
        <w:widowControl/>
        <w:ind w:firstLine="0" w:firstLineChars="0"/>
        <w:jc w:val="center"/>
        <w:rPr>
          <w:rFonts w:hint="default" w:ascii="楷体" w:hAnsi="楷体" w:eastAsia="楷体" w:cs="楷体"/>
          <w:b/>
          <w:bCs/>
          <w:kern w:val="0"/>
          <w:sz w:val="28"/>
          <w:szCs w:val="28"/>
          <w:highlight w:val="none"/>
          <w:lang w:val="en-US" w:eastAsia="zh-CN"/>
        </w:rPr>
      </w:pPr>
      <w:r>
        <w:rPr>
          <w:rFonts w:hint="eastAsia" w:ascii="楷体" w:hAnsi="楷体" w:cs="楷体"/>
          <w:b/>
          <w:bCs/>
          <w:kern w:val="0"/>
          <w:sz w:val="28"/>
          <w:szCs w:val="28"/>
          <w:highlight w:val="none"/>
          <w:lang w:val="zh-CN"/>
        </w:rPr>
        <w:t>采购项目编号：HYTH-202205029</w:t>
      </w: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pStyle w:val="42"/>
        <w:ind w:left="480" w:firstLine="482"/>
        <w:rPr>
          <w:rFonts w:ascii="楷体" w:hAnsi="楷体" w:cs="楷体"/>
          <w:b/>
          <w:bCs/>
          <w:kern w:val="0"/>
          <w:highlight w:val="none"/>
        </w:rPr>
      </w:pPr>
    </w:p>
    <w:p>
      <w:pPr>
        <w:pStyle w:val="42"/>
        <w:ind w:left="480" w:firstLine="482"/>
        <w:rPr>
          <w:rFonts w:ascii="楷体" w:hAnsi="楷体" w:cs="楷体"/>
          <w:b/>
          <w:bCs/>
          <w:kern w:val="0"/>
          <w:highlight w:val="none"/>
        </w:rPr>
      </w:pPr>
    </w:p>
    <w:p>
      <w:pPr>
        <w:widowControl/>
        <w:ind w:firstLine="482"/>
        <w:rPr>
          <w:rFonts w:ascii="楷体" w:hAnsi="楷体" w:cs="楷体"/>
          <w:b/>
          <w:bCs/>
          <w:kern w:val="0"/>
          <w:highlight w:val="none"/>
        </w:rPr>
      </w:pPr>
      <w:r>
        <w:rPr>
          <w:rFonts w:hint="eastAsia" w:ascii="楷体" w:hAnsi="楷体" w:cs="楷体"/>
          <w:b/>
          <w:bCs/>
          <w:kern w:val="0"/>
          <w:highlight w:val="none"/>
        </w:rPr>
        <w:t xml:space="preserve">              </w:t>
      </w:r>
    </w:p>
    <w:p>
      <w:pPr>
        <w:widowControl/>
        <w:ind w:firstLine="2530" w:firstLineChars="900"/>
        <w:outlineLvl w:val="0"/>
        <w:rPr>
          <w:rFonts w:ascii="楷体" w:hAnsi="楷体" w:cs="楷体"/>
          <w:b/>
          <w:bCs/>
          <w:kern w:val="0"/>
          <w:sz w:val="28"/>
          <w:szCs w:val="28"/>
          <w:highlight w:val="none"/>
        </w:rPr>
      </w:pPr>
      <w:bookmarkStart w:id="48" w:name="_Toc23023_WPSOffice_Level1"/>
      <w:bookmarkStart w:id="49" w:name="_Toc9130"/>
      <w:bookmarkStart w:id="50" w:name="_Toc31078_WPSOffice_Level1"/>
      <w:bookmarkStart w:id="51" w:name="_Toc24244_WPSOffice_Level1"/>
      <w:bookmarkStart w:id="52" w:name="_Toc11535_WPSOffice_Level1"/>
      <w:bookmarkStart w:id="53" w:name="_Toc7607_WPSOffice_Level1"/>
      <w:bookmarkStart w:id="54" w:name="_Toc32411_WPSOffice_Level1"/>
      <w:bookmarkStart w:id="55" w:name="_Toc10902"/>
      <w:bookmarkStart w:id="56" w:name="_Toc23895"/>
      <w:r>
        <w:rPr>
          <w:rFonts w:hint="eastAsia" w:ascii="楷体" w:hAnsi="楷体" w:cs="楷体"/>
          <w:b/>
          <w:bCs/>
          <w:kern w:val="0"/>
          <w:sz w:val="28"/>
          <w:szCs w:val="28"/>
          <w:highlight w:val="none"/>
        </w:rPr>
        <w:t xml:space="preserve">供 应 商 </w:t>
      </w:r>
      <w:r>
        <w:rPr>
          <w:rFonts w:hint="eastAsia" w:ascii="楷体" w:hAnsi="楷体" w:cs="楷体"/>
          <w:b/>
          <w:bCs/>
          <w:kern w:val="0"/>
          <w:sz w:val="28"/>
          <w:szCs w:val="28"/>
          <w:highlight w:val="none"/>
          <w:lang w:val="zh-CN"/>
        </w:rPr>
        <w:t>：</w:t>
      </w:r>
      <w:bookmarkEnd w:id="48"/>
      <w:bookmarkEnd w:id="49"/>
      <w:bookmarkEnd w:id="50"/>
      <w:bookmarkEnd w:id="51"/>
      <w:bookmarkEnd w:id="52"/>
      <w:bookmarkEnd w:id="53"/>
      <w:bookmarkEnd w:id="54"/>
      <w:bookmarkEnd w:id="55"/>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u w:val="single"/>
          <w:lang w:val="en-US" w:eastAsia="zh-CN"/>
        </w:rPr>
        <w:t>(公章）</w:t>
      </w:r>
      <w:bookmarkEnd w:id="56"/>
      <w:r>
        <w:rPr>
          <w:rFonts w:hint="eastAsia" w:ascii="楷体" w:hAnsi="楷体" w:cs="楷体"/>
          <w:b/>
          <w:bCs/>
          <w:kern w:val="0"/>
          <w:sz w:val="28"/>
          <w:szCs w:val="28"/>
          <w:highlight w:val="none"/>
          <w:u w:val="single"/>
        </w:rPr>
        <w:t xml:space="preserve">          </w:t>
      </w:r>
    </w:p>
    <w:p>
      <w:pPr>
        <w:widowControl/>
        <w:ind w:firstLine="2530" w:firstLineChars="900"/>
        <w:rPr>
          <w:rFonts w:ascii="楷体" w:hAnsi="楷体" w:cs="楷体"/>
          <w:b/>
          <w:bCs/>
          <w:kern w:val="0"/>
          <w:sz w:val="28"/>
          <w:szCs w:val="28"/>
          <w:highlight w:val="none"/>
          <w:lang w:val="zh-CN"/>
        </w:rPr>
      </w:pPr>
      <w:bookmarkStart w:id="57" w:name="_Toc5864_WPSOffice_Level1"/>
      <w:bookmarkStart w:id="58" w:name="_Toc11689_WPSOffice_Level1"/>
      <w:bookmarkStart w:id="59" w:name="_Toc1030_WPSOffice_Level1"/>
    </w:p>
    <w:p>
      <w:pPr>
        <w:widowControl/>
        <w:ind w:firstLine="2530" w:firstLineChars="900"/>
        <w:outlineLvl w:val="0"/>
        <w:rPr>
          <w:rFonts w:ascii="楷体" w:hAnsi="楷体" w:cs="楷体"/>
          <w:b/>
          <w:bCs/>
          <w:kern w:val="0"/>
          <w:highlight w:val="none"/>
        </w:rPr>
      </w:pPr>
      <w:bookmarkStart w:id="60" w:name="_Toc23182"/>
      <w:bookmarkStart w:id="61" w:name="_Toc23670"/>
      <w:bookmarkStart w:id="62" w:name="_Toc23123_WPSOffice_Level1"/>
      <w:bookmarkStart w:id="63" w:name="_Toc27578"/>
      <w:bookmarkStart w:id="64" w:name="_Toc19130_WPSOffice_Level1"/>
      <w:bookmarkStart w:id="65" w:name="_Toc28776_WPSOffice_Level1"/>
      <w:r>
        <w:rPr>
          <w:rFonts w:hint="eastAsia" w:ascii="楷体" w:hAnsi="楷体" w:cs="楷体"/>
          <w:b/>
          <w:bCs/>
          <w:kern w:val="0"/>
          <w:sz w:val="28"/>
          <w:szCs w:val="28"/>
          <w:highlight w:val="none"/>
          <w:lang w:val="zh-CN"/>
        </w:rPr>
        <w:t>日</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zh-CN"/>
        </w:rPr>
        <w:t>期：</w:t>
      </w:r>
      <w:bookmarkEnd w:id="57"/>
      <w:bookmarkEnd w:id="58"/>
      <w:bookmarkEnd w:id="59"/>
      <w:bookmarkEnd w:id="60"/>
      <w:bookmarkEnd w:id="61"/>
      <w:bookmarkEnd w:id="62"/>
      <w:bookmarkEnd w:id="63"/>
      <w:bookmarkEnd w:id="64"/>
      <w:bookmarkEnd w:id="65"/>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u w:val="single"/>
          <w:lang w:val="en-US" w:eastAsia="zh-CN"/>
        </w:rPr>
        <w:t xml:space="preserve"> </w:t>
      </w:r>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rPr>
        <w:t xml:space="preserve">         </w:t>
      </w:r>
      <w:r>
        <w:rPr>
          <w:rFonts w:hint="eastAsia" w:ascii="楷体" w:hAnsi="楷体" w:cs="楷体"/>
          <w:b/>
          <w:bCs/>
          <w:kern w:val="0"/>
          <w:highlight w:val="none"/>
        </w:rPr>
        <w:t xml:space="preserve">          </w:t>
      </w:r>
    </w:p>
    <w:p>
      <w:pPr>
        <w:widowControl/>
        <w:ind w:firstLine="482"/>
        <w:rPr>
          <w:rFonts w:ascii="楷体" w:hAnsi="楷体" w:cs="楷体"/>
          <w:b/>
          <w:bCs/>
          <w:kern w:val="0"/>
          <w:highlight w:val="none"/>
        </w:rPr>
      </w:pPr>
    </w:p>
    <w:p>
      <w:pPr>
        <w:ind w:firstLine="482"/>
        <w:rPr>
          <w:rFonts w:ascii="楷体" w:hAnsi="楷体" w:cs="楷体"/>
          <w:b/>
          <w:bCs/>
          <w:kern w:val="0"/>
          <w:highlight w:val="none"/>
          <w:lang w:val="zh-CN"/>
        </w:rPr>
      </w:pPr>
      <w:bookmarkStart w:id="66" w:name="_Toc533610811"/>
      <w:r>
        <w:rPr>
          <w:rFonts w:hint="eastAsia" w:ascii="楷体" w:hAnsi="楷体" w:cs="楷体"/>
          <w:b/>
          <w:bCs/>
          <w:kern w:val="0"/>
          <w:highlight w:val="none"/>
          <w:lang w:val="zh-CN"/>
        </w:rPr>
        <w:br w:type="page"/>
      </w:r>
    </w:p>
    <w:bookmarkEnd w:id="66"/>
    <w:p>
      <w:pPr>
        <w:pStyle w:val="4"/>
        <w:numPr>
          <w:ilvl w:val="1"/>
          <w:numId w:val="0"/>
        </w:numPr>
        <w:jc w:val="center"/>
        <w:rPr>
          <w:highlight w:val="none"/>
          <w:lang w:val="zh-CN"/>
        </w:rPr>
      </w:pPr>
      <w:bookmarkStart w:id="67" w:name="_Toc2998_WPSOffice_Level1"/>
      <w:bookmarkStart w:id="68" w:name="_Toc3007_WPSOffice_Level1"/>
      <w:bookmarkStart w:id="69" w:name="_Toc16275_WPSOffice_Level1"/>
      <w:bookmarkStart w:id="70" w:name="_Toc4724_WPSOffice_Level1"/>
      <w:bookmarkStart w:id="71" w:name="_Toc21178_WPSOffice_Level1"/>
      <w:bookmarkStart w:id="72" w:name="_Toc26798"/>
      <w:bookmarkStart w:id="73" w:name="_Toc533610812"/>
      <w:bookmarkStart w:id="74" w:name="_Toc15010_WPSOffice_Level1"/>
      <w:r>
        <w:rPr>
          <w:rFonts w:hint="eastAsia"/>
          <w:highlight w:val="none"/>
          <w:lang w:val="zh-CN"/>
        </w:rPr>
        <w:t xml:space="preserve">第一部分  </w:t>
      </w:r>
      <w:r>
        <w:rPr>
          <w:rFonts w:hint="eastAsia"/>
          <w:highlight w:val="none"/>
          <w:lang w:val="en-US" w:eastAsia="zh-CN"/>
        </w:rPr>
        <w:t>谈判</w:t>
      </w:r>
      <w:r>
        <w:rPr>
          <w:rFonts w:hint="eastAsia"/>
          <w:highlight w:val="none"/>
          <w:lang w:val="zh-CN"/>
        </w:rPr>
        <w:t>响应函</w:t>
      </w:r>
      <w:bookmarkEnd w:id="67"/>
      <w:bookmarkEnd w:id="68"/>
      <w:bookmarkEnd w:id="69"/>
      <w:bookmarkEnd w:id="70"/>
      <w:bookmarkEnd w:id="71"/>
      <w:bookmarkEnd w:id="72"/>
      <w:bookmarkEnd w:id="73"/>
      <w:bookmarkEnd w:id="74"/>
    </w:p>
    <w:p>
      <w:pPr>
        <w:widowControl/>
        <w:ind w:firstLine="0" w:firstLineChars="0"/>
        <w:rPr>
          <w:rFonts w:ascii="楷体" w:hAnsi="楷体" w:cs="楷体"/>
          <w:b/>
          <w:bCs/>
          <w:kern w:val="0"/>
          <w:highlight w:val="none"/>
        </w:rPr>
      </w:pPr>
      <w:r>
        <w:rPr>
          <w:rFonts w:hint="eastAsia" w:ascii="楷体" w:hAnsi="楷体" w:cs="楷体"/>
          <w:b/>
          <w:bCs/>
          <w:kern w:val="0"/>
          <w:highlight w:val="none"/>
          <w:lang w:eastAsia="zh-CN"/>
        </w:rPr>
        <w:t>陕西四方衡裕项目管理有限公司</w:t>
      </w:r>
      <w:r>
        <w:rPr>
          <w:rFonts w:hint="eastAsia" w:ascii="楷体" w:hAnsi="楷体" w:cs="楷体"/>
          <w:b/>
          <w:bCs/>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我单位收到贵公司</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谈判文件，经详细研究，我们决定参加本次谈判活动。为此，我方郑重声明以下诸点，并负法律责任。</w:t>
      </w:r>
    </w:p>
    <w:p>
      <w:pPr>
        <w:widowControl/>
        <w:ind w:firstLine="480"/>
        <w:rPr>
          <w:rFonts w:ascii="楷体" w:hAnsi="楷体" w:cs="楷体"/>
          <w:kern w:val="0"/>
          <w:highlight w:val="none"/>
        </w:rPr>
      </w:pPr>
      <w:r>
        <w:rPr>
          <w:rFonts w:hint="eastAsia" w:ascii="楷体" w:hAnsi="楷体" w:cs="楷体"/>
          <w:kern w:val="0"/>
          <w:highlight w:val="none"/>
        </w:rPr>
        <w:t>1</w:t>
      </w:r>
      <w:r>
        <w:rPr>
          <w:rFonts w:hint="eastAsia" w:ascii="楷体" w:hAnsi="楷体" w:cs="楷体"/>
          <w:kern w:val="0"/>
          <w:highlight w:val="none"/>
          <w:lang w:val="zh-CN"/>
        </w:rPr>
        <w:t>、愿意按照谈判文件中的一切要求，提供本项目</w:t>
      </w:r>
      <w:r>
        <w:rPr>
          <w:rFonts w:hint="eastAsia" w:ascii="楷体" w:hAnsi="楷体" w:cs="楷体"/>
          <w:kern w:val="0"/>
          <w:highlight w:val="none"/>
          <w:lang w:val="en-US" w:eastAsia="zh-CN"/>
        </w:rPr>
        <w:t>供货服务</w:t>
      </w:r>
      <w:r>
        <w:rPr>
          <w:rFonts w:hint="eastAsia" w:ascii="楷体" w:hAnsi="楷体" w:cs="楷体"/>
          <w:kern w:val="0"/>
          <w:highlight w:val="none"/>
          <w:lang w:val="zh-CN"/>
        </w:rPr>
        <w:t>，完成合同的责任和义务。</w:t>
      </w:r>
    </w:p>
    <w:p>
      <w:pPr>
        <w:widowControl/>
        <w:ind w:firstLine="480"/>
        <w:rPr>
          <w:rFonts w:ascii="楷体" w:hAnsi="楷体" w:cs="楷体"/>
          <w:kern w:val="0"/>
          <w:highlight w:val="none"/>
        </w:rPr>
      </w:pPr>
      <w:r>
        <w:rPr>
          <w:rFonts w:hint="eastAsia" w:ascii="楷体" w:hAnsi="楷体" w:cs="楷体"/>
          <w:kern w:val="0"/>
          <w:highlight w:val="none"/>
        </w:rPr>
        <w:t>2</w:t>
      </w:r>
      <w:r>
        <w:rPr>
          <w:rFonts w:hint="eastAsia" w:ascii="楷体" w:hAnsi="楷体" w:cs="楷体"/>
          <w:kern w:val="0"/>
          <w:highlight w:val="none"/>
          <w:lang w:val="zh-CN"/>
        </w:rPr>
        <w:t>、按谈判文件的规定，我公司的</w:t>
      </w:r>
      <w:r>
        <w:rPr>
          <w:rFonts w:hint="eastAsia" w:ascii="楷体" w:hAnsi="楷体" w:cs="楷体"/>
          <w:kern w:val="0"/>
          <w:highlight w:val="none"/>
          <w:lang w:eastAsia="zh-CN"/>
        </w:rPr>
        <w:t>谈判</w:t>
      </w:r>
      <w:r>
        <w:rPr>
          <w:rFonts w:hint="eastAsia" w:ascii="楷体" w:hAnsi="楷体" w:cs="楷体"/>
          <w:kern w:val="0"/>
          <w:highlight w:val="none"/>
          <w:lang w:val="zh-CN"/>
        </w:rPr>
        <w:t>总报价为：人民币（大写）：</w:t>
      </w:r>
      <w:r>
        <w:rPr>
          <w:rFonts w:hint="eastAsia" w:ascii="楷体" w:hAnsi="楷体" w:cs="楷体"/>
          <w:kern w:val="0"/>
          <w:highlight w:val="none"/>
          <w:u w:val="single"/>
        </w:rPr>
        <w:t xml:space="preserve">           </w:t>
      </w:r>
      <w:r>
        <w:rPr>
          <w:rFonts w:hint="eastAsia" w:ascii="楷体" w:hAnsi="楷体" w:cs="楷体"/>
          <w:kern w:val="0"/>
          <w:highlight w:val="none"/>
          <w:lang w:val="zh-CN"/>
        </w:rPr>
        <w:t>（</w:t>
      </w:r>
      <w:r>
        <w:rPr>
          <w:rFonts w:hint="eastAsia" w:ascii="楷体" w:hAnsi="楷体" w:cs="楷体"/>
          <w:kern w:val="0"/>
          <w:highlight w:val="none"/>
        </w:rPr>
        <w:t>小写</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元）</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lang w:val="zh-CN"/>
        </w:rPr>
        <w:t>、我方提交的响应文件正本</w:t>
      </w:r>
      <w:r>
        <w:rPr>
          <w:rFonts w:hint="eastAsia" w:ascii="楷体" w:hAnsi="楷体" w:cs="楷体"/>
          <w:kern w:val="0"/>
          <w:highlight w:val="none"/>
        </w:rPr>
        <w:t>壹</w:t>
      </w:r>
      <w:r>
        <w:rPr>
          <w:rFonts w:hint="eastAsia" w:ascii="楷体" w:hAnsi="楷体" w:cs="楷体"/>
          <w:kern w:val="0"/>
          <w:highlight w:val="none"/>
          <w:lang w:val="zh-CN"/>
        </w:rPr>
        <w:t>份、副本</w:t>
      </w:r>
      <w:r>
        <w:rPr>
          <w:rFonts w:hint="eastAsia" w:ascii="楷体" w:hAnsi="楷体" w:cs="楷体"/>
          <w:kern w:val="0"/>
          <w:highlight w:val="none"/>
          <w:lang w:val="en-US" w:eastAsia="zh-CN"/>
        </w:rPr>
        <w:t>贰</w:t>
      </w:r>
      <w:r>
        <w:rPr>
          <w:rFonts w:hint="eastAsia" w:ascii="楷体" w:hAnsi="楷体" w:cs="楷体"/>
          <w:kern w:val="0"/>
          <w:highlight w:val="none"/>
          <w:lang w:val="zh-CN"/>
        </w:rPr>
        <w:t>份。</w:t>
      </w:r>
    </w:p>
    <w:p>
      <w:pPr>
        <w:widowControl/>
        <w:ind w:firstLine="480"/>
        <w:rPr>
          <w:rFonts w:ascii="楷体" w:hAnsi="楷体" w:cs="楷体"/>
          <w:kern w:val="0"/>
          <w:highlight w:val="none"/>
        </w:rPr>
      </w:pPr>
      <w:r>
        <w:rPr>
          <w:rFonts w:hint="eastAsia" w:ascii="楷体" w:hAnsi="楷体" w:cs="楷体"/>
          <w:kern w:val="0"/>
          <w:highlight w:val="none"/>
        </w:rPr>
        <w:t>4</w:t>
      </w:r>
      <w:r>
        <w:rPr>
          <w:rFonts w:hint="eastAsia" w:ascii="楷体" w:hAnsi="楷体" w:cs="楷体"/>
          <w:kern w:val="0"/>
          <w:highlight w:val="none"/>
          <w:lang w:val="zh-CN"/>
        </w:rPr>
        <w:t>、已详细阅读了谈判文件，完全理解并放弃提出含糊不清或易形成歧义的表述和资料。</w:t>
      </w:r>
    </w:p>
    <w:p>
      <w:pPr>
        <w:widowControl/>
        <w:ind w:firstLine="480"/>
        <w:rPr>
          <w:rFonts w:ascii="楷体" w:hAnsi="楷体" w:cs="楷体"/>
          <w:kern w:val="0"/>
          <w:highlight w:val="none"/>
        </w:rPr>
      </w:pPr>
      <w:r>
        <w:rPr>
          <w:rFonts w:hint="eastAsia" w:ascii="楷体" w:hAnsi="楷体" w:cs="楷体"/>
          <w:kern w:val="0"/>
          <w:highlight w:val="none"/>
        </w:rPr>
        <w:t>5</w:t>
      </w:r>
      <w:r>
        <w:rPr>
          <w:rFonts w:hint="eastAsia" w:ascii="楷体" w:hAnsi="楷体" w:cs="楷体"/>
          <w:kern w:val="0"/>
          <w:highlight w:val="none"/>
          <w:lang w:val="zh-CN"/>
        </w:rPr>
        <w:t>、谈判后在规定的有效期内撤回响应</w:t>
      </w:r>
      <w:r>
        <w:rPr>
          <w:rFonts w:hint="eastAsia" w:ascii="楷体" w:hAnsi="楷体" w:cs="楷体"/>
          <w:kern w:val="0"/>
          <w:highlight w:val="none"/>
        </w:rPr>
        <w:t>文件</w:t>
      </w:r>
      <w:r>
        <w:rPr>
          <w:rFonts w:hint="eastAsia" w:ascii="楷体" w:hAnsi="楷体" w:cs="楷体"/>
          <w:kern w:val="0"/>
          <w:highlight w:val="none"/>
          <w:lang w:val="zh-CN"/>
        </w:rPr>
        <w:t>，我们愿接受政府采购的有关处罚决定。</w:t>
      </w:r>
    </w:p>
    <w:p>
      <w:pPr>
        <w:widowControl/>
        <w:ind w:firstLine="480"/>
        <w:rPr>
          <w:rFonts w:ascii="楷体" w:hAnsi="楷体" w:cs="楷体"/>
          <w:kern w:val="0"/>
          <w:highlight w:val="none"/>
        </w:rPr>
      </w:pPr>
      <w:r>
        <w:rPr>
          <w:rFonts w:hint="eastAsia" w:ascii="楷体" w:hAnsi="楷体" w:cs="楷体"/>
          <w:kern w:val="0"/>
          <w:highlight w:val="none"/>
        </w:rPr>
        <w:t>6</w:t>
      </w:r>
      <w:r>
        <w:rPr>
          <w:rFonts w:hint="eastAsia" w:ascii="楷体" w:hAnsi="楷体" w:cs="楷体"/>
          <w:kern w:val="0"/>
          <w:highlight w:val="none"/>
          <w:lang w:val="zh-CN"/>
        </w:rPr>
        <w:t>、同意向贵方提供可能要求的，与本次响应有关的任何证据或资料。</w:t>
      </w:r>
    </w:p>
    <w:p>
      <w:pPr>
        <w:widowControl/>
        <w:ind w:firstLine="480"/>
        <w:rPr>
          <w:rFonts w:ascii="楷体" w:hAnsi="楷体" w:cs="楷体"/>
          <w:kern w:val="0"/>
          <w:highlight w:val="none"/>
        </w:rPr>
      </w:pPr>
      <w:r>
        <w:rPr>
          <w:rFonts w:hint="eastAsia" w:ascii="楷体" w:hAnsi="楷体" w:cs="楷体"/>
          <w:kern w:val="0"/>
          <w:highlight w:val="none"/>
        </w:rPr>
        <w:t>7</w:t>
      </w:r>
      <w:r>
        <w:rPr>
          <w:rFonts w:hint="eastAsia" w:ascii="楷体" w:hAnsi="楷体" w:cs="楷体"/>
          <w:kern w:val="0"/>
          <w:highlight w:val="none"/>
          <w:lang w:val="zh-CN"/>
        </w:rPr>
        <w:t>、我方的响应文件</w:t>
      </w:r>
      <w:r>
        <w:rPr>
          <w:rFonts w:hint="eastAsia" w:ascii="楷体" w:hAnsi="楷体" w:cs="楷体"/>
          <w:kern w:val="0"/>
          <w:highlight w:val="none"/>
        </w:rPr>
        <w:t>有效期自</w:t>
      </w:r>
      <w:r>
        <w:rPr>
          <w:rFonts w:hint="eastAsia" w:ascii="楷体" w:hAnsi="楷体" w:cs="楷体"/>
          <w:kern w:val="0"/>
          <w:highlight w:val="none"/>
          <w:lang w:eastAsia="zh-CN"/>
        </w:rPr>
        <w:t>谈判</w:t>
      </w:r>
      <w:r>
        <w:rPr>
          <w:rFonts w:hint="eastAsia" w:ascii="楷体" w:hAnsi="楷体" w:cs="楷体"/>
          <w:kern w:val="0"/>
          <w:highlight w:val="none"/>
        </w:rPr>
        <w:t>之日起</w:t>
      </w:r>
      <w:r>
        <w:rPr>
          <w:rFonts w:hint="eastAsia" w:ascii="楷体" w:hAnsi="楷体" w:cs="楷体"/>
          <w:kern w:val="0"/>
          <w:highlight w:val="none"/>
          <w:lang w:val="en-US" w:eastAsia="zh-CN"/>
        </w:rPr>
        <w:t>九十</w:t>
      </w:r>
      <w:r>
        <w:rPr>
          <w:rFonts w:hint="eastAsia" w:ascii="楷体" w:hAnsi="楷体" w:cs="楷体"/>
          <w:kern w:val="0"/>
          <w:highlight w:val="none"/>
          <w:lang w:val="zh-CN"/>
        </w:rPr>
        <w:t>个日历天，若我方成交，响应文件有效期延长至合同执行完毕。</w:t>
      </w:r>
    </w:p>
    <w:p>
      <w:pPr>
        <w:widowControl/>
        <w:ind w:firstLine="480"/>
        <w:rPr>
          <w:rFonts w:ascii="楷体" w:hAnsi="楷体" w:cs="楷体"/>
          <w:kern w:val="0"/>
          <w:highlight w:val="none"/>
        </w:rPr>
      </w:pPr>
      <w:r>
        <w:rPr>
          <w:rFonts w:hint="eastAsia" w:ascii="楷体" w:hAnsi="楷体" w:cs="楷体"/>
          <w:kern w:val="0"/>
          <w:highlight w:val="none"/>
        </w:rPr>
        <w:t>8</w:t>
      </w:r>
      <w:r>
        <w:rPr>
          <w:rFonts w:hint="eastAsia" w:ascii="楷体" w:hAnsi="楷体" w:cs="楷体"/>
          <w:kern w:val="0"/>
          <w:highlight w:val="none"/>
          <w:lang w:val="zh-CN"/>
        </w:rPr>
        <w:t>、有关于本项目的函电，请按下列地址联系。</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u w:val="single"/>
        </w:rPr>
      </w:pPr>
      <w:r>
        <w:rPr>
          <w:rFonts w:hint="eastAsia" w:ascii="楷体" w:hAnsi="楷体" w:cs="楷体"/>
          <w:kern w:val="0"/>
          <w:highlight w:val="none"/>
          <w:lang w:val="zh-CN"/>
        </w:rPr>
        <w:t>供应商全称（</w:t>
      </w:r>
      <w:r>
        <w:rPr>
          <w:rFonts w:hint="eastAsia" w:ascii="楷体" w:hAnsi="楷体" w:cs="楷体"/>
          <w:kern w:val="0"/>
          <w:highlight w:val="none"/>
        </w:rPr>
        <w:t>印</w:t>
      </w:r>
      <w:r>
        <w:rPr>
          <w:rFonts w:hint="eastAsia" w:ascii="楷体" w:hAnsi="楷体" w:cs="楷体"/>
          <w:kern w:val="0"/>
          <w:highlight w:val="none"/>
          <w:lang w:val="zh-CN"/>
        </w:rPr>
        <w:t>章）：</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地</w:t>
      </w:r>
      <w:r>
        <w:rPr>
          <w:rFonts w:hint="eastAsia" w:ascii="楷体" w:hAnsi="楷体" w:cs="楷体"/>
          <w:kern w:val="0"/>
          <w:highlight w:val="none"/>
        </w:rPr>
        <w:t xml:space="preserve">    </w:t>
      </w:r>
      <w:r>
        <w:rPr>
          <w:rFonts w:hint="eastAsia" w:ascii="楷体" w:hAnsi="楷体" w:cs="楷体"/>
          <w:kern w:val="0"/>
          <w:highlight w:val="none"/>
          <w:lang w:val="zh-CN"/>
        </w:rPr>
        <w:t>址</w:t>
      </w:r>
      <w:r>
        <w:rPr>
          <w:rFonts w:hint="eastAsia" w:ascii="楷体" w:hAnsi="楷体" w:cs="楷体"/>
          <w:kern w:val="0"/>
          <w:highlight w:val="none"/>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开户银行：</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帐</w:t>
      </w:r>
      <w:r>
        <w:rPr>
          <w:rFonts w:hint="eastAsia" w:ascii="楷体" w:hAnsi="楷体" w:cs="楷体"/>
          <w:kern w:val="0"/>
          <w:highlight w:val="none"/>
        </w:rPr>
        <w:t xml:space="preserve">    </w:t>
      </w:r>
      <w:r>
        <w:rPr>
          <w:rFonts w:hint="eastAsia" w:ascii="楷体" w:hAnsi="楷体" w:cs="楷体"/>
          <w:kern w:val="0"/>
          <w:highlight w:val="none"/>
          <w:lang w:val="zh-CN"/>
        </w:rPr>
        <w:t>号：</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电</w:t>
      </w:r>
      <w:r>
        <w:rPr>
          <w:rFonts w:hint="eastAsia" w:ascii="楷体" w:hAnsi="楷体" w:cs="楷体"/>
          <w:kern w:val="0"/>
          <w:highlight w:val="none"/>
        </w:rPr>
        <w:t xml:space="preserve">    </w:t>
      </w:r>
      <w:r>
        <w:rPr>
          <w:rFonts w:hint="eastAsia" w:ascii="楷体" w:hAnsi="楷体" w:cs="楷体"/>
          <w:kern w:val="0"/>
          <w:highlight w:val="none"/>
          <w:lang w:val="zh-CN"/>
        </w:rPr>
        <w:t>话：</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传</w:t>
      </w:r>
      <w:r>
        <w:rPr>
          <w:rFonts w:hint="eastAsia" w:ascii="楷体" w:hAnsi="楷体" w:cs="楷体"/>
          <w:kern w:val="0"/>
          <w:highlight w:val="none"/>
        </w:rPr>
        <w:t xml:space="preserve">    </w:t>
      </w:r>
      <w:r>
        <w:rPr>
          <w:rFonts w:hint="eastAsia" w:ascii="楷体" w:hAnsi="楷体" w:cs="楷体"/>
          <w:kern w:val="0"/>
          <w:highlight w:val="none"/>
          <w:lang w:val="zh-CN"/>
        </w:rPr>
        <w:t>真：</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rPr>
        <w:t>签字</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sectPr>
          <w:pgSz w:w="11906" w:h="16838"/>
          <w:pgMar w:top="1418" w:right="1213" w:bottom="1418" w:left="1134" w:header="851" w:footer="992" w:gutter="0"/>
          <w:cols w:space="720" w:num="1"/>
          <w:docGrid w:linePitch="312" w:charSpace="0"/>
        </w:sectPr>
      </w:pPr>
      <w:r>
        <w:rPr>
          <w:rFonts w:hint="eastAsia" w:ascii="楷体" w:hAnsi="楷体" w:cs="楷体"/>
          <w:kern w:val="0"/>
          <w:highlight w:val="none"/>
        </w:rPr>
        <w:t xml:space="preserve"> _____</w:t>
      </w:r>
      <w:r>
        <w:rPr>
          <w:rFonts w:hint="eastAsia" w:ascii="楷体" w:hAnsi="楷体" w:cs="楷体"/>
          <w:kern w:val="0"/>
          <w:highlight w:val="none"/>
          <w:lang w:val="zh-CN"/>
        </w:rPr>
        <w:t>年</w:t>
      </w:r>
      <w:r>
        <w:rPr>
          <w:rFonts w:hint="eastAsia" w:ascii="楷体" w:hAnsi="楷体" w:cs="楷体"/>
          <w:kern w:val="0"/>
          <w:highlight w:val="none"/>
        </w:rPr>
        <w:t>_____</w:t>
      </w:r>
      <w:r>
        <w:rPr>
          <w:rFonts w:hint="eastAsia" w:ascii="楷体" w:hAnsi="楷体" w:cs="楷体"/>
          <w:kern w:val="0"/>
          <w:highlight w:val="none"/>
          <w:lang w:val="zh-CN"/>
        </w:rPr>
        <w:t>月</w:t>
      </w:r>
      <w:r>
        <w:rPr>
          <w:rFonts w:hint="eastAsia" w:ascii="楷体" w:hAnsi="楷体" w:cs="楷体"/>
          <w:kern w:val="0"/>
          <w:highlight w:val="none"/>
        </w:rPr>
        <w:t>_____</w:t>
      </w:r>
      <w:r>
        <w:rPr>
          <w:rFonts w:hint="eastAsia" w:ascii="楷体" w:hAnsi="楷体" w:cs="楷体"/>
          <w:kern w:val="0"/>
          <w:highlight w:val="none"/>
          <w:lang w:val="zh-CN"/>
        </w:rPr>
        <w:t>日</w:t>
      </w:r>
    </w:p>
    <w:p>
      <w:pPr>
        <w:pStyle w:val="4"/>
        <w:numPr>
          <w:ilvl w:val="1"/>
          <w:numId w:val="0"/>
        </w:numPr>
        <w:ind w:left="480" w:leftChars="200"/>
        <w:jc w:val="center"/>
        <w:rPr>
          <w:highlight w:val="none"/>
          <w:lang w:val="zh-CN"/>
        </w:rPr>
      </w:pPr>
      <w:bookmarkStart w:id="75" w:name="_Toc24066_WPSOffice_Level1"/>
      <w:bookmarkStart w:id="76" w:name="_Toc30984_WPSOffice_Level1"/>
      <w:bookmarkStart w:id="77" w:name="_Toc21214_WPSOffice_Level1"/>
      <w:bookmarkStart w:id="78" w:name="_Toc21246_WPSOffice_Level1"/>
      <w:bookmarkStart w:id="79" w:name="_Toc11669_WPSOffice_Level1"/>
      <w:bookmarkStart w:id="80" w:name="_Toc533610813"/>
      <w:bookmarkStart w:id="81" w:name="_Toc24126_WPSOffice_Level1"/>
      <w:bookmarkStart w:id="82" w:name="_Toc13533"/>
      <w:r>
        <w:rPr>
          <w:rFonts w:hint="eastAsia"/>
          <w:highlight w:val="none"/>
          <w:lang w:val="zh-CN"/>
        </w:rPr>
        <w:t>第二部分   谈判报价一览表</w:t>
      </w:r>
      <w:bookmarkEnd w:id="75"/>
      <w:bookmarkEnd w:id="76"/>
      <w:bookmarkEnd w:id="77"/>
      <w:bookmarkEnd w:id="78"/>
      <w:bookmarkEnd w:id="79"/>
      <w:bookmarkEnd w:id="80"/>
      <w:bookmarkEnd w:id="81"/>
      <w:bookmarkEnd w:id="82"/>
    </w:p>
    <w:p>
      <w:pPr>
        <w:widowControl/>
        <w:ind w:firstLine="480"/>
        <w:rPr>
          <w:rFonts w:ascii="楷体" w:hAnsi="楷体" w:cs="楷体"/>
          <w:kern w:val="0"/>
          <w:highlight w:val="none"/>
        </w:rPr>
      </w:pPr>
      <w:r>
        <w:rPr>
          <w:rFonts w:hint="eastAsia" w:ascii="楷体" w:hAnsi="楷体" w:cs="楷体"/>
          <w:kern w:val="0"/>
          <w:highlight w:val="none"/>
        </w:rPr>
        <w:t xml:space="preserve">                                                          </w:t>
      </w:r>
      <w:r>
        <w:rPr>
          <w:rFonts w:hint="eastAsia" w:ascii="楷体" w:hAnsi="楷体" w:cs="楷体"/>
          <w:kern w:val="0"/>
          <w:highlight w:val="none"/>
          <w:lang w:val="zh-CN"/>
        </w:rPr>
        <w:t>单位</w:t>
      </w:r>
      <w:r>
        <w:rPr>
          <w:rFonts w:hint="eastAsia" w:ascii="楷体" w:hAnsi="楷体" w:cs="楷体"/>
          <w:kern w:val="0"/>
          <w:highlight w:val="none"/>
        </w:rPr>
        <w:t xml:space="preserve"> </w:t>
      </w:r>
      <w:r>
        <w:rPr>
          <w:rFonts w:hint="eastAsia" w:ascii="楷体" w:hAnsi="楷体" w:cs="楷体"/>
          <w:kern w:val="0"/>
          <w:highlight w:val="none"/>
          <w:lang w:val="zh-CN"/>
        </w:rPr>
        <w:t>：元</w:t>
      </w:r>
      <w:r>
        <w:rPr>
          <w:rFonts w:hint="eastAsia" w:ascii="楷体" w:hAnsi="楷体" w:cs="楷体"/>
          <w:kern w:val="0"/>
          <w:highlight w:val="none"/>
        </w:rPr>
        <w:t xml:space="preserve"> </w:t>
      </w:r>
    </w:p>
    <w:tbl>
      <w:tblPr>
        <w:tblStyle w:val="43"/>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77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lang w:val="zh-CN"/>
              </w:rPr>
            </w:pPr>
            <w:r>
              <w:rPr>
                <w:rFonts w:hint="eastAsia" w:ascii="楷体" w:hAnsi="楷体" w:cs="楷体"/>
                <w:kern w:val="0"/>
                <w:highlight w:val="none"/>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62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rPr>
            </w:pPr>
            <w:r>
              <w:rPr>
                <w:rFonts w:hint="eastAsia" w:ascii="楷体" w:hAnsi="楷体" w:cs="楷体"/>
                <w:kern w:val="0"/>
                <w:highlight w:val="none"/>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691"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kern w:val="0"/>
                <w:highlight w:val="none"/>
                <w:lang w:val="en-US" w:eastAsia="zh-CN"/>
              </w:rPr>
            </w:pPr>
            <w:r>
              <w:rPr>
                <w:rFonts w:hint="eastAsia" w:ascii="楷体" w:hAnsi="楷体" w:cs="楷体"/>
                <w:kern w:val="0"/>
                <w:highlight w:val="none"/>
                <w:lang w:val="zh-CN"/>
              </w:rPr>
              <w:t>供应商</w:t>
            </w:r>
            <w:r>
              <w:rPr>
                <w:rFonts w:hint="eastAsia" w:ascii="楷体" w:hAnsi="楷体" w:cs="楷体"/>
                <w:kern w:val="0"/>
                <w:highlight w:val="none"/>
                <w:lang w:val="en-US" w:eastAsia="zh-CN"/>
              </w:rPr>
              <w:t>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lang w:val="zh-CN"/>
              </w:rPr>
            </w:pPr>
            <w:r>
              <w:rPr>
                <w:rFonts w:hint="eastAsia" w:ascii="楷体" w:hAnsi="楷体" w:cs="楷体"/>
                <w:kern w:val="0"/>
                <w:highlight w:val="none"/>
                <w:lang w:eastAsia="zh-CN"/>
              </w:rPr>
              <w:t>谈判</w:t>
            </w:r>
            <w:r>
              <w:rPr>
                <w:rFonts w:hint="eastAsia" w:ascii="楷体" w:hAnsi="楷体" w:cs="楷体"/>
                <w:kern w:val="0"/>
                <w:highlight w:val="none"/>
              </w:rPr>
              <w:t>报价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highlight w:val="none"/>
              </w:rPr>
            </w:pPr>
          </w:p>
          <w:p>
            <w:pPr>
              <w:widowControl/>
              <w:ind w:firstLine="0" w:firstLineChars="0"/>
              <w:jc w:val="left"/>
              <w:rPr>
                <w:highlight w:val="none"/>
                <w:u w:val="single"/>
              </w:rPr>
            </w:pPr>
            <w:r>
              <w:rPr>
                <w:rFonts w:hint="eastAsia"/>
                <w:highlight w:val="none"/>
              </w:rPr>
              <w:t>大写：</w:t>
            </w:r>
            <w:r>
              <w:rPr>
                <w:rFonts w:hint="eastAsia"/>
                <w:highlight w:val="none"/>
                <w:u w:val="single"/>
              </w:rPr>
              <w:t xml:space="preserve">                              </w:t>
            </w:r>
          </w:p>
          <w:p>
            <w:pPr>
              <w:pStyle w:val="36"/>
              <w:ind w:firstLine="0" w:firstLineChars="0"/>
              <w:jc w:val="left"/>
              <w:rPr>
                <w:rFonts w:ascii="楷体" w:hAnsi="楷体" w:cs="楷体"/>
                <w:kern w:val="0"/>
                <w:sz w:val="24"/>
                <w:highlight w:val="none"/>
              </w:rPr>
            </w:pPr>
          </w:p>
          <w:p>
            <w:pPr>
              <w:pStyle w:val="36"/>
              <w:ind w:firstLine="0" w:firstLineChars="0"/>
              <w:jc w:val="left"/>
              <w:rPr>
                <w:highlight w:val="none"/>
                <w:u w:val="single"/>
              </w:rPr>
            </w:pPr>
            <w:r>
              <w:rPr>
                <w:rFonts w:hint="eastAsia" w:ascii="楷体" w:hAnsi="楷体" w:cs="楷体"/>
                <w:kern w:val="0"/>
                <w:sz w:val="24"/>
                <w:highlight w:val="none"/>
              </w:rPr>
              <w:t>小写：</w:t>
            </w:r>
            <w:r>
              <w:rPr>
                <w:rFonts w:hint="eastAsia" w:ascii="楷体" w:hAnsi="楷体" w:cs="楷体"/>
                <w:kern w:val="0"/>
                <w:sz w:val="24"/>
                <w:highlight w:val="none"/>
                <w:u w:val="single"/>
              </w:rPr>
              <w:t xml:space="preserve">                              </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default" w:ascii="楷体" w:hAnsi="楷体" w:eastAsia="楷体" w:cs="楷体"/>
                <w:kern w:val="0"/>
                <w:highlight w:val="none"/>
                <w:lang w:val="en-US" w:eastAsia="zh-CN"/>
              </w:rPr>
            </w:pPr>
            <w:r>
              <w:rPr>
                <w:rFonts w:hint="eastAsia" w:ascii="楷体" w:hAnsi="楷体" w:cs="楷体"/>
                <w:kern w:val="0"/>
                <w:highlight w:val="none"/>
                <w:lang w:val="en-US" w:eastAsia="zh-CN"/>
              </w:rPr>
              <w:t>交货安装期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cs="楷体"/>
                <w:kern w:val="0"/>
                <w:highlight w:val="none"/>
                <w:lang w:val="en-US" w:eastAsia="zh-CN"/>
              </w:rPr>
            </w:pPr>
            <w:r>
              <w:rPr>
                <w:rFonts w:hint="eastAsia" w:ascii="楷体" w:hAnsi="楷体" w:cs="楷体"/>
                <w:highlight w:val="none"/>
                <w:lang w:val="en-US" w:eastAsia="zh-CN"/>
              </w:rPr>
              <w:t>质保期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highlight w:val="none"/>
              </w:rPr>
            </w:pPr>
            <w:r>
              <w:rPr>
                <w:rFonts w:hint="eastAsia" w:ascii="楷体" w:hAnsi="楷体" w:cs="楷体"/>
                <w:b/>
                <w:bCs/>
                <w:kern w:val="0"/>
                <w:highlight w:val="none"/>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pStyle w:val="36"/>
              <w:ind w:firstLine="0" w:firstLineChars="0"/>
              <w:rPr>
                <w:rFonts w:eastAsia="楷体" w:asciiTheme="minorHAnsi" w:hAnsiTheme="minorHAnsi"/>
                <w:b/>
                <w:bCs/>
                <w:sz w:val="24"/>
                <w:highlight w:val="none"/>
              </w:rPr>
            </w:pPr>
            <w:r>
              <w:rPr>
                <w:rFonts w:hint="eastAsia" w:eastAsia="楷体" w:asciiTheme="minorHAnsi" w:hAnsiTheme="minorHAnsi"/>
                <w:b/>
                <w:bCs/>
                <w:sz w:val="24"/>
                <w:highlight w:val="none"/>
              </w:rPr>
              <w:t>表内报价以元为单位，精确到小数点后两位。</w:t>
            </w:r>
          </w:p>
        </w:tc>
      </w:tr>
    </w:tbl>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lang w:val="zh-CN"/>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年       月      日</w:t>
      </w:r>
    </w:p>
    <w:p>
      <w:pPr>
        <w:widowControl/>
        <w:ind w:firstLine="482"/>
        <w:rPr>
          <w:rFonts w:ascii="楷体" w:hAnsi="楷体" w:cs="楷体"/>
          <w:b/>
          <w:bCs/>
          <w:kern w:val="0"/>
          <w:highlight w:val="none"/>
        </w:rPr>
        <w:sectPr>
          <w:pgSz w:w="11906" w:h="16838"/>
          <w:pgMar w:top="1440" w:right="896" w:bottom="1440" w:left="1236" w:header="851" w:footer="992" w:gutter="0"/>
          <w:cols w:space="720" w:num="1"/>
          <w:docGrid w:linePitch="312" w:charSpace="0"/>
        </w:sectPr>
      </w:pPr>
    </w:p>
    <w:p>
      <w:pPr>
        <w:widowControl/>
        <w:ind w:firstLine="482"/>
        <w:jc w:val="center"/>
        <w:rPr>
          <w:rFonts w:hint="eastAsia" w:ascii="Arial" w:hAnsi="Arial" w:eastAsia="楷体" w:cstheme="minorBidi"/>
          <w:b/>
          <w:kern w:val="2"/>
          <w:sz w:val="28"/>
          <w:szCs w:val="24"/>
          <w:highlight w:val="none"/>
          <w:lang w:val="zh-CN" w:eastAsia="zh-CN" w:bidi="ar-SA"/>
        </w:rPr>
      </w:pPr>
      <w:bookmarkStart w:id="83" w:name="_Toc1762_WPSOffice_Level2"/>
      <w:bookmarkStart w:id="84" w:name="_Toc1774_WPSOffice_Level2"/>
      <w:r>
        <w:rPr>
          <w:rFonts w:hint="eastAsia" w:ascii="Arial" w:hAnsi="Arial" w:cstheme="minorBidi"/>
          <w:b/>
          <w:kern w:val="2"/>
          <w:sz w:val="28"/>
          <w:szCs w:val="24"/>
          <w:highlight w:val="none"/>
          <w:lang w:val="en-US" w:eastAsia="zh-CN" w:bidi="ar-SA"/>
        </w:rPr>
        <w:t>分项报价</w:t>
      </w:r>
      <w:r>
        <w:rPr>
          <w:rFonts w:hint="eastAsia" w:ascii="Arial" w:hAnsi="Arial" w:eastAsia="楷体" w:cstheme="minorBidi"/>
          <w:b/>
          <w:kern w:val="2"/>
          <w:sz w:val="28"/>
          <w:szCs w:val="24"/>
          <w:highlight w:val="none"/>
          <w:lang w:val="zh-CN" w:eastAsia="zh-CN" w:bidi="ar-SA"/>
        </w:rPr>
        <w:t>表</w:t>
      </w:r>
      <w:bookmarkEnd w:id="83"/>
      <w:bookmarkEnd w:id="84"/>
    </w:p>
    <w:p>
      <w:pPr>
        <w:pStyle w:val="2"/>
        <w:ind w:firstLine="560"/>
        <w:rPr>
          <w:highlight w:val="none"/>
        </w:rPr>
      </w:pPr>
    </w:p>
    <w:p>
      <w:pPr>
        <w:pStyle w:val="2"/>
        <w:ind w:firstLine="240" w:firstLineChars="100"/>
        <w:rPr>
          <w:rFonts w:ascii="楷体" w:hAnsi="楷体" w:cs="楷体"/>
          <w:kern w:val="0"/>
          <w:sz w:val="24"/>
          <w:highlight w:val="none"/>
        </w:rPr>
      </w:pPr>
      <w:r>
        <w:rPr>
          <w:rFonts w:hint="eastAsia" w:ascii="楷体" w:hAnsi="楷体" w:cs="楷体"/>
          <w:kern w:val="0"/>
          <w:sz w:val="24"/>
          <w:highlight w:val="none"/>
        </w:rPr>
        <w:t>采购项目编号：</w:t>
      </w:r>
      <w:r>
        <w:rPr>
          <w:rFonts w:hint="eastAsia" w:ascii="楷体" w:hAnsi="楷体" w:cs="楷体"/>
          <w:kern w:val="0"/>
          <w:sz w:val="24"/>
          <w:highlight w:val="none"/>
          <w:u w:val="single"/>
        </w:rPr>
        <w:t xml:space="preserve">               </w:t>
      </w:r>
      <w:r>
        <w:rPr>
          <w:rFonts w:hint="eastAsia" w:ascii="楷体" w:hAnsi="楷体" w:cs="楷体"/>
          <w:kern w:val="0"/>
          <w:sz w:val="24"/>
          <w:highlight w:val="none"/>
        </w:rPr>
        <w:t xml:space="preserve">                        第  </w:t>
      </w:r>
      <w:r>
        <w:rPr>
          <w:rFonts w:hint="eastAsia" w:ascii="楷体" w:hAnsi="楷体" w:cs="楷体"/>
          <w:kern w:val="0"/>
          <w:sz w:val="24"/>
          <w:highlight w:val="none"/>
          <w:lang w:val="zh-CN"/>
        </w:rPr>
        <w:t>页</w:t>
      </w:r>
      <w:r>
        <w:rPr>
          <w:rFonts w:hint="eastAsia" w:ascii="楷体" w:hAnsi="楷体" w:cs="楷体"/>
          <w:kern w:val="0"/>
          <w:sz w:val="24"/>
          <w:highlight w:val="none"/>
        </w:rPr>
        <w:t>，共  页</w:t>
      </w:r>
    </w:p>
    <w:tbl>
      <w:tblPr>
        <w:tblStyle w:val="43"/>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38"/>
        <w:gridCol w:w="1177"/>
        <w:gridCol w:w="1186"/>
        <w:gridCol w:w="1131"/>
        <w:gridCol w:w="1360"/>
        <w:gridCol w:w="946"/>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sz w:val="24"/>
                <w:highlight w:val="none"/>
              </w:rPr>
              <w:t>序号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sz w:val="24"/>
                <w:highlight w:val="none"/>
              </w:rPr>
              <w:t>产品名称</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sz w:val="24"/>
                <w:highlight w:val="none"/>
              </w:rPr>
              <w:t>品牌</w:t>
            </w: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sz w:val="24"/>
                <w:highlight w:val="none"/>
              </w:rPr>
              <w:t>规格型号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sz w:val="24"/>
                <w:highlight w:val="none"/>
              </w:rPr>
              <w:t>产地</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rPr>
            </w:pPr>
            <w:r>
              <w:rPr>
                <w:rFonts w:hint="eastAsia"/>
                <w:sz w:val="24"/>
                <w:highlight w:val="none"/>
              </w:rPr>
              <w:t>单位</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rPr>
            </w:pPr>
            <w:r>
              <w:rPr>
                <w:rFonts w:hint="eastAsia"/>
                <w:sz w:val="24"/>
                <w:highlight w:val="none"/>
              </w:rPr>
              <w:t>数量</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rPr>
            </w:pPr>
            <w:r>
              <w:rPr>
                <w:rFonts w:hint="eastAsia"/>
                <w:sz w:val="24"/>
                <w:highlight w:val="none"/>
              </w:rPr>
              <w:t>单价</w:t>
            </w:r>
            <w:r>
              <w:rPr>
                <w:rFonts w:hAnsi="宋体"/>
                <w:sz w:val="24"/>
                <w:highlight w:val="none"/>
              </w:rPr>
              <w:t>(</w:t>
            </w:r>
            <w:r>
              <w:rPr>
                <w:rFonts w:hint="eastAsia" w:hAnsi="宋体"/>
                <w:sz w:val="24"/>
                <w:highlight w:val="none"/>
              </w:rPr>
              <w:t>元</w:t>
            </w:r>
            <w:r>
              <w:rPr>
                <w:rFonts w:hAnsi="宋体"/>
                <w:sz w:val="24"/>
                <w:highlight w:val="none"/>
              </w:rPr>
              <w:t>)</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highlight w:val="none"/>
              </w:rPr>
            </w:pPr>
            <w:r>
              <w:rPr>
                <w:rFonts w:hint="eastAsia"/>
                <w:sz w:val="24"/>
                <w:highlight w:val="none"/>
              </w:rPr>
              <w:t>合计</w:t>
            </w:r>
            <w:r>
              <w:rPr>
                <w:rFonts w:hAnsi="宋体"/>
                <w:sz w:val="24"/>
                <w:highlight w:val="none"/>
              </w:rPr>
              <w:t>(</w:t>
            </w:r>
            <w:r>
              <w:rPr>
                <w:rFonts w:hint="eastAsia" w:hAnsi="宋体"/>
                <w:sz w:val="24"/>
                <w:highlight w:val="none"/>
              </w:rPr>
              <w:t>元</w:t>
            </w:r>
            <w:r>
              <w:rPr>
                <w:rFonts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楷体" w:hAnsi="楷体" w:eastAsia="楷体" w:cs="楷体"/>
                <w:color w:val="auto"/>
              </w:rPr>
              <w:t>1</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cs="Times New Roman"/>
              </w:rPr>
            </w:pPr>
            <w:r>
              <w:rPr>
                <w:rFonts w:hint="eastAsia" w:ascii="楷体" w:hAnsi="楷体" w:eastAsia="楷体" w:cs="楷体"/>
                <w:color w:val="auto"/>
                <w:lang w:val="en-US" w:eastAsia="zh-CN"/>
              </w:rPr>
              <w:t>2</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楷体" w:hAnsi="楷体" w:eastAsia="楷体" w:cs="楷体"/>
                <w:color w:val="auto"/>
              </w:rPr>
              <w:t>…</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楷体" w:hAnsi="楷体" w:eastAsia="楷体" w:cs="楷体"/>
                <w:color w:val="auto"/>
              </w:rPr>
              <w:t>N</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057" w:type="dxa"/>
            <w:gridSpan w:val="8"/>
            <w:noWrap w:val="0"/>
            <w:vAlign w:val="center"/>
          </w:tcPr>
          <w:p>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kern w:val="0"/>
                <w:sz w:val="24"/>
              </w:rPr>
            </w:pPr>
            <w:r>
              <w:rPr>
                <w:rFonts w:hint="eastAsia" w:ascii="楷体" w:hAnsi="楷体" w:eastAsia="楷体" w:cs="楷体"/>
                <w:kern w:val="0"/>
                <w:sz w:val="24"/>
              </w:rPr>
              <w:t>总价合计：大写</w:t>
            </w:r>
            <w:r>
              <w:rPr>
                <w:rFonts w:hint="eastAsia" w:ascii="楷体" w:hAnsi="楷体" w:eastAsia="楷体" w:cs="楷体"/>
                <w:kern w:val="0"/>
                <w:sz w:val="24"/>
                <w:lang w:eastAsia="zh-CN"/>
              </w:rPr>
              <w:t>：</w:t>
            </w:r>
            <w:r>
              <w:rPr>
                <w:rFonts w:hint="eastAsia" w:ascii="楷体" w:hAnsi="楷体" w:eastAsia="楷体" w:cs="楷体"/>
                <w:kern w:val="0"/>
                <w:sz w:val="24"/>
              </w:rPr>
              <w:t xml:space="preserve">               （￥         元）</w:t>
            </w:r>
          </w:p>
        </w:tc>
        <w:tc>
          <w:tcPr>
            <w:tcW w:w="1096" w:type="dxa"/>
            <w:noWrap w:val="0"/>
            <w:vAlign w:val="center"/>
          </w:tcPr>
          <w:p>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kern w:val="0"/>
                <w:sz w:val="24"/>
              </w:rPr>
            </w:pPr>
          </w:p>
        </w:tc>
      </w:tr>
    </w:tbl>
    <w:p>
      <w:pPr>
        <w:pStyle w:val="36"/>
        <w:ind w:firstLine="480"/>
        <w:rPr>
          <w:rFonts w:ascii="楷体" w:hAnsi="楷体" w:eastAsia="楷体" w:cs="楷体"/>
          <w:kern w:val="0"/>
          <w:sz w:val="24"/>
          <w:highlight w:val="none"/>
        </w:rPr>
      </w:pPr>
    </w:p>
    <w:p>
      <w:pPr>
        <w:kinsoku w:val="0"/>
        <w:ind w:left="479" w:leftChars="100" w:hanging="239" w:hangingChars="99"/>
        <w:jc w:val="left"/>
        <w:rPr>
          <w:rFonts w:ascii="楷体" w:hAnsi="楷体" w:cs="楷体"/>
          <w:highlight w:val="none"/>
        </w:rPr>
      </w:pPr>
      <w:r>
        <w:rPr>
          <w:rFonts w:hint="eastAsia" w:ascii="楷体" w:hAnsi="楷体" w:cs="楷体"/>
          <w:b/>
          <w:highlight w:val="none"/>
        </w:rPr>
        <w:t>注：</w:t>
      </w:r>
      <w:r>
        <w:rPr>
          <w:rFonts w:hint="eastAsia" w:ascii="楷体" w:hAnsi="楷体" w:cs="楷体"/>
          <w:highlight w:val="none"/>
        </w:rPr>
        <w:t>1</w:t>
      </w:r>
      <w:r>
        <w:rPr>
          <w:rFonts w:hint="eastAsia" w:ascii="楷体" w:hAnsi="楷体" w:cs="楷体"/>
          <w:highlight w:val="none"/>
          <w:lang w:eastAsia="zh-CN"/>
        </w:rPr>
        <w:t>、</w:t>
      </w:r>
      <w:r>
        <w:rPr>
          <w:rFonts w:hint="eastAsia" w:ascii="楷体" w:hAnsi="楷体" w:cs="楷体"/>
          <w:highlight w:val="none"/>
        </w:rPr>
        <w:t>如果不提供详细分项报价将视为没有实质性响应竞争性</w:t>
      </w:r>
      <w:r>
        <w:rPr>
          <w:rFonts w:hint="eastAsia" w:ascii="楷体" w:hAnsi="楷体" w:cs="楷体"/>
          <w:highlight w:val="none"/>
          <w:lang w:eastAsia="zh-CN"/>
        </w:rPr>
        <w:t>谈判</w:t>
      </w:r>
      <w:r>
        <w:rPr>
          <w:rFonts w:hint="eastAsia" w:ascii="楷体" w:hAnsi="楷体" w:cs="楷体"/>
          <w:highlight w:val="none"/>
        </w:rPr>
        <w:t>文件；</w:t>
      </w:r>
    </w:p>
    <w:p>
      <w:pPr>
        <w:kinsoku w:val="0"/>
        <w:ind w:firstLine="720" w:firstLineChars="300"/>
        <w:jc w:val="left"/>
        <w:rPr>
          <w:rFonts w:ascii="楷体" w:hAnsi="楷体" w:cs="楷体"/>
          <w:highlight w:val="none"/>
        </w:rPr>
      </w:pPr>
      <w:r>
        <w:rPr>
          <w:rFonts w:hint="eastAsia" w:ascii="楷体" w:hAnsi="楷体" w:cs="楷体"/>
          <w:highlight w:val="none"/>
        </w:rPr>
        <w:t>2</w:t>
      </w:r>
      <w:r>
        <w:rPr>
          <w:rFonts w:hint="eastAsia" w:ascii="楷体" w:hAnsi="楷体" w:cs="楷体"/>
          <w:highlight w:val="none"/>
          <w:lang w:eastAsia="zh-CN"/>
        </w:rPr>
        <w:t>、</w:t>
      </w:r>
      <w:r>
        <w:rPr>
          <w:rFonts w:hint="eastAsia" w:ascii="楷体" w:hAnsi="楷体" w:cs="楷体"/>
          <w:highlight w:val="none"/>
        </w:rPr>
        <w:t>分项报价表列出</w:t>
      </w:r>
      <w:r>
        <w:rPr>
          <w:rFonts w:hint="eastAsia" w:ascii="楷体" w:hAnsi="楷体" w:cs="楷体"/>
          <w:highlight w:val="none"/>
          <w:lang w:eastAsia="zh-CN"/>
        </w:rPr>
        <w:t>谈判</w:t>
      </w:r>
      <w:r>
        <w:rPr>
          <w:rFonts w:hint="eastAsia" w:ascii="楷体" w:hAnsi="楷体" w:cs="楷体"/>
          <w:highlight w:val="none"/>
        </w:rPr>
        <w:t>报价的</w:t>
      </w:r>
      <w:r>
        <w:rPr>
          <w:rFonts w:hint="eastAsia" w:ascii="楷体" w:hAnsi="楷体" w:cs="楷体"/>
          <w:highlight w:val="none"/>
          <w:lang w:val="en-US" w:eastAsia="zh-CN"/>
        </w:rPr>
        <w:t>分项</w:t>
      </w:r>
      <w:r>
        <w:rPr>
          <w:rFonts w:hint="eastAsia" w:ascii="楷体" w:hAnsi="楷体" w:cs="楷体"/>
          <w:highlight w:val="none"/>
        </w:rPr>
        <w:t>明细，明细合计应与</w:t>
      </w:r>
      <w:r>
        <w:rPr>
          <w:rFonts w:hint="eastAsia" w:ascii="楷体" w:hAnsi="楷体" w:cs="楷体"/>
          <w:highlight w:val="none"/>
          <w:lang w:eastAsia="zh-CN"/>
        </w:rPr>
        <w:t>谈判</w:t>
      </w:r>
      <w:r>
        <w:rPr>
          <w:rFonts w:hint="eastAsia" w:ascii="楷体" w:hAnsi="楷体" w:cs="楷体"/>
          <w:highlight w:val="none"/>
        </w:rPr>
        <w:t>报价一览表一致。</w:t>
      </w:r>
    </w:p>
    <w:p>
      <w:pPr>
        <w:kinsoku w:val="0"/>
        <w:ind w:left="720" w:leftChars="300" w:firstLine="0" w:firstLineChars="0"/>
        <w:jc w:val="left"/>
        <w:rPr>
          <w:rFonts w:ascii="楷体" w:hAnsi="楷体" w:cs="楷体"/>
          <w:highlight w:val="none"/>
        </w:rPr>
      </w:pPr>
      <w:r>
        <w:rPr>
          <w:rFonts w:hint="eastAsia" w:ascii="楷体" w:hAnsi="楷体" w:cs="楷体"/>
          <w:highlight w:val="none"/>
        </w:rPr>
        <w:t>3</w:t>
      </w:r>
      <w:r>
        <w:rPr>
          <w:rFonts w:hint="eastAsia" w:ascii="楷体" w:hAnsi="楷体" w:cs="楷体"/>
          <w:highlight w:val="none"/>
          <w:lang w:eastAsia="zh-CN"/>
        </w:rPr>
        <w:t>、</w:t>
      </w:r>
      <w:r>
        <w:rPr>
          <w:rFonts w:hint="eastAsia" w:ascii="楷体" w:hAnsi="楷体" w:cs="楷体"/>
          <w:highlight w:val="none"/>
        </w:rPr>
        <w:t>所有根据合同或其它原因应由供应商支付的税款和其它应交纳的费用都要包括在供应商提交的响应价格中；</w:t>
      </w:r>
    </w:p>
    <w:p>
      <w:pPr>
        <w:pStyle w:val="42"/>
        <w:ind w:left="240" w:leftChars="100" w:firstLine="480" w:firstLineChars="200"/>
        <w:rPr>
          <w:rFonts w:ascii="楷体" w:hAnsi="楷体" w:cs="楷体"/>
          <w:highlight w:val="none"/>
        </w:rPr>
      </w:pPr>
      <w:r>
        <w:rPr>
          <w:rFonts w:hint="eastAsia" w:ascii="楷体" w:hAnsi="楷体" w:cs="楷体"/>
          <w:highlight w:val="none"/>
        </w:rPr>
        <w:t>4</w:t>
      </w:r>
      <w:r>
        <w:rPr>
          <w:rFonts w:hint="eastAsia" w:ascii="楷体" w:hAnsi="楷体" w:cs="楷体"/>
          <w:highlight w:val="none"/>
          <w:lang w:eastAsia="zh-CN"/>
        </w:rPr>
        <w:t>、</w:t>
      </w:r>
      <w:r>
        <w:rPr>
          <w:rFonts w:hint="eastAsia" w:ascii="楷体" w:hAnsi="楷体" w:cs="楷体"/>
          <w:highlight w:val="none"/>
        </w:rPr>
        <w:t>应包含货物运至最终目的地的运输、保险</w:t>
      </w:r>
      <w:r>
        <w:rPr>
          <w:rFonts w:hint="eastAsia" w:ascii="楷体" w:hAnsi="楷体" w:cs="楷体"/>
          <w:highlight w:val="none"/>
          <w:lang w:eastAsia="zh-CN"/>
        </w:rPr>
        <w:t>、</w:t>
      </w:r>
      <w:r>
        <w:rPr>
          <w:rFonts w:hint="eastAsia" w:ascii="楷体" w:hAnsi="楷体" w:cs="楷体"/>
          <w:highlight w:val="none"/>
          <w:lang w:val="en-US" w:eastAsia="zh-CN"/>
        </w:rPr>
        <w:t>安装调试</w:t>
      </w:r>
      <w:r>
        <w:rPr>
          <w:rFonts w:hint="eastAsia" w:ascii="楷体" w:hAnsi="楷体" w:cs="楷体"/>
          <w:highlight w:val="none"/>
        </w:rPr>
        <w:t>和伴随服务的其他所有费用。</w:t>
      </w:r>
    </w:p>
    <w:p>
      <w:pPr>
        <w:widowControl/>
        <w:ind w:firstLine="720" w:firstLineChars="30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720" w:firstLineChars="30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sectPr>
          <w:footerReference r:id="rId14" w:type="even"/>
          <w:pgSz w:w="11906" w:h="16838"/>
          <w:pgMar w:top="1418" w:right="1049" w:bottom="1418" w:left="1049" w:header="851" w:footer="992" w:gutter="0"/>
          <w:cols w:space="720" w:num="1"/>
          <w:docGrid w:linePitch="312" w:charSpace="0"/>
        </w:sectPr>
      </w:pPr>
      <w:r>
        <w:rPr>
          <w:rFonts w:hint="eastAsia" w:ascii="楷体" w:hAnsi="楷体" w:cs="楷体"/>
          <w:kern w:val="0"/>
          <w:highlight w:val="none"/>
          <w:lang w:val="zh-CN"/>
        </w:rPr>
        <w:t xml:space="preserve"> 年       月      日</w:t>
      </w:r>
    </w:p>
    <w:p>
      <w:pPr>
        <w:widowControl/>
        <w:ind w:firstLine="562"/>
        <w:jc w:val="center"/>
        <w:rPr>
          <w:rFonts w:hint="eastAsia" w:ascii="楷体" w:hAnsi="楷体" w:cs="楷体"/>
          <w:b/>
          <w:bCs/>
          <w:color w:val="000000" w:themeColor="text1"/>
          <w:kern w:val="0"/>
          <w:sz w:val="28"/>
          <w:szCs w:val="28"/>
          <w:highlight w:val="none"/>
          <w14:textFill>
            <w14:solidFill>
              <w14:schemeClr w14:val="tx1"/>
            </w14:solidFill>
          </w14:textFill>
        </w:rPr>
      </w:pPr>
      <w:bookmarkStart w:id="85" w:name="_Toc7087_WPSOffice_Level2"/>
      <w:bookmarkStart w:id="86" w:name="_Toc28774_WPSOffice_Level2"/>
      <w:r>
        <w:rPr>
          <w:rFonts w:hint="eastAsia" w:ascii="楷体" w:hAnsi="楷体" w:cs="楷体"/>
          <w:b/>
          <w:bCs/>
          <w:color w:val="000000" w:themeColor="text1"/>
          <w:kern w:val="0"/>
          <w:sz w:val="28"/>
          <w:szCs w:val="28"/>
          <w:highlight w:val="none"/>
          <w14:textFill>
            <w14:solidFill>
              <w14:schemeClr w14:val="tx1"/>
            </w14:solidFill>
          </w14:textFill>
        </w:rPr>
        <w:t>节能环保、环境标志产品明细表</w:t>
      </w:r>
      <w:bookmarkEnd w:id="85"/>
    </w:p>
    <w:p>
      <w:pPr>
        <w:rPr>
          <w:highlight w:val="none"/>
          <w:lang w:val="zh-CN"/>
        </w:rPr>
      </w:pPr>
    </w:p>
    <w:p>
      <w:pPr>
        <w:widowControl/>
        <w:ind w:firstLine="482"/>
        <w:rPr>
          <w:rFonts w:ascii="楷体" w:hAnsi="楷体" w:cs="楷体"/>
          <w:color w:val="000000" w:themeColor="text1"/>
          <w:kern w:val="0"/>
          <w:highlight w:val="none"/>
          <w14:textFill>
            <w14:solidFill>
              <w14:schemeClr w14:val="tx1"/>
            </w14:solidFill>
          </w14:textFill>
        </w:rPr>
      </w:pPr>
      <w:r>
        <w:rPr>
          <w:rFonts w:hint="eastAsia" w:ascii="楷体" w:hAnsi="楷体" w:cs="楷体"/>
          <w:b w:val="0"/>
          <w:bCs w:val="0"/>
          <w:color w:val="000000" w:themeColor="text1"/>
          <w:kern w:val="0"/>
          <w:highlight w:val="none"/>
          <w:u w:val="none"/>
          <w:lang w:val="en-US" w:eastAsia="zh-CN"/>
          <w14:textFill>
            <w14:solidFill>
              <w14:schemeClr w14:val="tx1"/>
            </w14:solidFill>
          </w14:textFill>
        </w:rPr>
        <w:t>采购项目编号：</w:t>
      </w:r>
      <w:r>
        <w:rPr>
          <w:rFonts w:hint="eastAsia" w:ascii="楷体" w:hAnsi="楷体" w:cs="楷体"/>
          <w:b w:val="0"/>
          <w:bCs w:val="0"/>
          <w:color w:val="000000" w:themeColor="text1"/>
          <w:kern w:val="0"/>
          <w:highlight w:val="none"/>
          <w:u w:val="single"/>
          <w:lang w:val="en-US" w:eastAsia="zh-CN"/>
          <w14:textFill>
            <w14:solidFill>
              <w14:schemeClr w14:val="tx1"/>
            </w14:solidFill>
          </w14:textFill>
        </w:rPr>
        <w:t xml:space="preserve">               </w:t>
      </w:r>
      <w:r>
        <w:rPr>
          <w:rFonts w:hint="eastAsia" w:ascii="楷体" w:hAnsi="楷体" w:cs="楷体"/>
          <w:b w:val="0"/>
          <w:bCs w:val="0"/>
          <w:color w:val="000000" w:themeColor="text1"/>
          <w:kern w:val="0"/>
          <w:highlight w:val="none"/>
          <w:u w:val="none"/>
          <w:lang w:val="en-US" w:eastAsia="zh-CN"/>
          <w14:textFill>
            <w14:solidFill>
              <w14:schemeClr w14:val="tx1"/>
            </w14:solidFill>
          </w14:textFill>
        </w:rPr>
        <w:t xml:space="preserve">           </w:t>
      </w:r>
      <w:r>
        <w:rPr>
          <w:rFonts w:hint="eastAsia" w:ascii="楷体" w:hAnsi="楷体" w:cs="楷体"/>
          <w:b/>
          <w:bCs/>
          <w:color w:val="000000" w:themeColor="text1"/>
          <w:kern w:val="0"/>
          <w:highlight w:val="none"/>
          <w14:textFill>
            <w14:solidFill>
              <w14:schemeClr w14:val="tx1"/>
            </w14:solidFill>
          </w14:textFill>
        </w:rPr>
        <w:t xml:space="preserve">          </w:t>
      </w:r>
      <w:r>
        <w:rPr>
          <w:rFonts w:hint="eastAsia" w:ascii="楷体" w:hAnsi="楷体" w:cs="楷体"/>
          <w:b/>
          <w:bCs/>
          <w:color w:val="000000" w:themeColor="text1"/>
          <w:kern w:val="0"/>
          <w:highlight w:val="none"/>
          <w:lang w:val="en-US" w:eastAsia="zh-CN"/>
          <w14:textFill>
            <w14:solidFill>
              <w14:schemeClr w14:val="tx1"/>
            </w14:solidFill>
          </w14:textFill>
        </w:rPr>
        <w:t xml:space="preserve"> </w:t>
      </w:r>
      <w:r>
        <w:rPr>
          <w:rFonts w:hint="eastAsia" w:ascii="楷体" w:hAnsi="楷体" w:cs="楷体"/>
          <w:b/>
          <w:bCs/>
          <w:color w:val="000000" w:themeColor="text1"/>
          <w:kern w:val="0"/>
          <w:highlight w:val="none"/>
          <w14:textFill>
            <w14:solidFill>
              <w14:schemeClr w14:val="tx1"/>
            </w14:solidFill>
          </w14:textFill>
        </w:rPr>
        <w:t xml:space="preserve"> </w:t>
      </w:r>
      <w:r>
        <w:rPr>
          <w:rFonts w:hint="eastAsia" w:ascii="楷体" w:hAnsi="楷体" w:cs="楷体"/>
          <w:color w:val="000000" w:themeColor="text1"/>
          <w:kern w:val="0"/>
          <w:highlight w:val="none"/>
          <w14:textFill>
            <w14:solidFill>
              <w14:schemeClr w14:val="tx1"/>
            </w14:solidFill>
          </w14:textFill>
        </w:rPr>
        <w:t xml:space="preserve">第  </w:t>
      </w:r>
      <w:r>
        <w:rPr>
          <w:rFonts w:hint="eastAsia" w:ascii="楷体" w:hAnsi="楷体" w:cs="楷体"/>
          <w:color w:val="000000" w:themeColor="text1"/>
          <w:kern w:val="0"/>
          <w:highlight w:val="none"/>
          <w:lang w:val="zh-CN"/>
          <w14:textFill>
            <w14:solidFill>
              <w14:schemeClr w14:val="tx1"/>
            </w14:solidFill>
          </w14:textFill>
        </w:rPr>
        <w:t>页</w:t>
      </w:r>
      <w:r>
        <w:rPr>
          <w:rFonts w:hint="eastAsia" w:ascii="楷体" w:hAnsi="楷体" w:cs="楷体"/>
          <w:color w:val="000000" w:themeColor="text1"/>
          <w:kern w:val="0"/>
          <w:highlight w:val="none"/>
          <w14:textFill>
            <w14:solidFill>
              <w14:schemeClr w14:val="tx1"/>
            </w14:solidFill>
          </w14:textFill>
        </w:rPr>
        <w:t>，共  页</w:t>
      </w:r>
    </w:p>
    <w:tbl>
      <w:tblPr>
        <w:tblStyle w:val="43"/>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号</w:t>
            </w:r>
          </w:p>
        </w:tc>
        <w:tc>
          <w:tcPr>
            <w:tcW w:w="155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规格</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型号</w:t>
            </w: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别</w:t>
            </w:r>
          </w:p>
        </w:tc>
        <w:tc>
          <w:tcPr>
            <w:tcW w:w="167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认证证书</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编号</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量</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w:t>
            </w:r>
          </w:p>
        </w:tc>
        <w:tc>
          <w:tcPr>
            <w:tcW w:w="71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w:t>
            </w:r>
          </w:p>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4" w:space="0"/>
            </w:tcBorders>
          </w:tcPr>
          <w:p>
            <w:pPr>
              <w:ind w:firstLine="0" w:firstLineChars="0"/>
              <w:jc w:val="center"/>
              <w:rPr>
                <w:color w:val="000000" w:themeColor="text1"/>
                <w:highlight w:val="none"/>
                <w14:textFill>
                  <w14:solidFill>
                    <w14:schemeClr w14:val="tx1"/>
                  </w14:solidFill>
                </w14:textFill>
              </w:rPr>
            </w:pPr>
          </w:p>
        </w:tc>
        <w:tc>
          <w:tcPr>
            <w:tcW w:w="1036" w:type="dxa"/>
            <w:tcBorders>
              <w:top w:val="single" w:color="auto" w:sz="6" w:space="0"/>
              <w:left w:val="single" w:color="auto" w:sz="4"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167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c>
          <w:tcPr>
            <w:tcW w:w="716" w:type="dxa"/>
            <w:tcBorders>
              <w:top w:val="single" w:color="auto" w:sz="6" w:space="0"/>
              <w:left w:val="single" w:color="auto" w:sz="6" w:space="0"/>
              <w:bottom w:val="single" w:color="auto" w:sz="6" w:space="0"/>
              <w:right w:val="single" w:color="auto" w:sz="6" w:space="0"/>
            </w:tcBorders>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占</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ind w:firstLine="0" w:firstLineChars="0"/>
              <w:jc w:val="center"/>
              <w:rPr>
                <w:color w:val="000000" w:themeColor="text1"/>
                <w:highlight w:val="none"/>
                <w14:textFill>
                  <w14:solidFill>
                    <w14:schemeClr w14:val="tx1"/>
                  </w14:solidFill>
                </w14:textFill>
              </w:rPr>
            </w:pPr>
          </w:p>
        </w:tc>
      </w:tr>
    </w:tbl>
    <w:p>
      <w:pPr>
        <w:ind w:left="1320" w:leftChars="200" w:hanging="840" w:hangingChars="350"/>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注：1、如</w:t>
      </w:r>
      <w:r>
        <w:rPr>
          <w:rFonts w:hint="eastAsia" w:ascii="楷体" w:hAnsi="楷体" w:eastAsia="楷体" w:cs="楷体"/>
          <w:color w:val="000000" w:themeColor="text1"/>
          <w:highlight w:val="none"/>
          <w:lang w:val="en-US" w:eastAsia="zh-CN"/>
          <w14:textFill>
            <w14:solidFill>
              <w14:schemeClr w14:val="tx1"/>
            </w14:solidFill>
          </w14:textFill>
        </w:rPr>
        <w:t>响应</w:t>
      </w:r>
      <w:r>
        <w:rPr>
          <w:rFonts w:hint="eastAsia" w:ascii="楷体" w:hAnsi="楷体" w:eastAsia="楷体" w:cs="楷体"/>
          <w:color w:val="000000" w:themeColor="text1"/>
          <w:highlight w:val="none"/>
          <w14:textFill>
            <w14:solidFill>
              <w14:schemeClr w14:val="tx1"/>
            </w14:solidFill>
          </w14:textFill>
        </w:rPr>
        <w:t>产品为节能环保、环境标志产品，须按格式逐项填写，并附相关证明。</w:t>
      </w:r>
    </w:p>
    <w:p>
      <w:pPr>
        <w:ind w:firstLine="960" w:firstLineChars="400"/>
        <w:jc w:val="left"/>
        <w:rPr>
          <w:rFonts w:hint="eastAsia" w:ascii="楷体" w:hAnsi="楷体" w:eastAsia="楷体" w:cs="楷体"/>
          <w:color w:val="000000" w:themeColor="text1"/>
          <w:highlight w:val="none"/>
          <w14:textFill>
            <w14:solidFill>
              <w14:schemeClr w14:val="tx1"/>
            </w14:solidFill>
          </w14:textFill>
        </w:rPr>
      </w:pPr>
      <w:bookmarkStart w:id="87" w:name="_Toc25494_WPSOffice_Level2"/>
      <w:r>
        <w:rPr>
          <w:rFonts w:hint="eastAsia" w:ascii="楷体" w:hAnsi="楷体" w:eastAsia="楷体" w:cs="楷体"/>
          <w:color w:val="000000" w:themeColor="text1"/>
          <w:highlight w:val="none"/>
          <w14:textFill>
            <w14:solidFill>
              <w14:schemeClr w14:val="tx1"/>
            </w14:solidFill>
          </w14:textFill>
        </w:rPr>
        <w:t>2、类别填写：节能环保产品或环境标志产品。</w:t>
      </w:r>
      <w:bookmarkEnd w:id="87"/>
    </w:p>
    <w:p>
      <w:pPr>
        <w:widowControl/>
        <w:ind w:firstLine="480"/>
        <w:rPr>
          <w:rFonts w:hint="eastAsia" w:ascii="楷体" w:hAnsi="楷体" w:cs="楷体"/>
          <w:color w:val="000000" w:themeColor="text1"/>
          <w:kern w:val="0"/>
          <w:highlight w:val="none"/>
          <w:lang w:val="zh-CN"/>
          <w14:textFill>
            <w14:solidFill>
              <w14:schemeClr w14:val="tx1"/>
            </w14:solidFill>
          </w14:textFill>
        </w:rPr>
      </w:pPr>
    </w:p>
    <w:p>
      <w:pPr>
        <w:widowControl/>
        <w:ind w:firstLine="480"/>
        <w:rPr>
          <w:rFonts w:hint="eastAsia" w:ascii="楷体" w:hAnsi="楷体" w:cs="楷体"/>
          <w:color w:val="000000" w:themeColor="text1"/>
          <w:kern w:val="0"/>
          <w:highlight w:val="none"/>
          <w:lang w:val="zh-CN"/>
          <w14:textFill>
            <w14:solidFill>
              <w14:schemeClr w14:val="tx1"/>
            </w14:solidFill>
          </w14:textFill>
        </w:rPr>
      </w:pPr>
    </w:p>
    <w:p>
      <w:pPr>
        <w:widowControl/>
        <w:ind w:firstLine="480"/>
        <w:rPr>
          <w:rFonts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供应商</w:t>
      </w:r>
      <w:r>
        <w:rPr>
          <w:rFonts w:hint="eastAsia" w:ascii="楷体" w:hAnsi="楷体" w:cs="楷体"/>
          <w:color w:val="000000" w:themeColor="text1"/>
          <w:kern w:val="0"/>
          <w:highlight w:val="none"/>
          <w14:textFill>
            <w14:solidFill>
              <w14:schemeClr w14:val="tx1"/>
            </w14:solidFill>
          </w14:textFill>
        </w:rPr>
        <w:t>全称</w:t>
      </w:r>
      <w:r>
        <w:rPr>
          <w:rFonts w:hint="eastAsia" w:ascii="楷体" w:hAnsi="楷体" w:cs="楷体"/>
          <w:color w:val="000000" w:themeColor="text1"/>
          <w:kern w:val="0"/>
          <w:highlight w:val="none"/>
          <w:lang w:val="zh-CN"/>
          <w14:textFill>
            <w14:solidFill>
              <w14:schemeClr w14:val="tx1"/>
            </w14:solidFill>
          </w14:textFill>
        </w:rPr>
        <w:t>：</w:t>
      </w:r>
      <w:r>
        <w:rPr>
          <w:rFonts w:hint="eastAsia" w:ascii="楷体" w:hAnsi="楷体" w:cs="楷体"/>
          <w:color w:val="000000" w:themeColor="text1"/>
          <w:kern w:val="0"/>
          <w:highlight w:val="none"/>
          <w:u w:val="single"/>
          <w14:textFill>
            <w14:solidFill>
              <w14:schemeClr w14:val="tx1"/>
            </w14:solidFill>
          </w14:textFill>
        </w:rPr>
        <w:t xml:space="preserve">                          </w:t>
      </w:r>
      <w:r>
        <w:rPr>
          <w:rFonts w:hint="eastAsia" w:ascii="楷体" w:hAnsi="楷体" w:cs="楷体"/>
          <w:color w:val="000000" w:themeColor="text1"/>
          <w:kern w:val="0"/>
          <w:highlight w:val="none"/>
          <w14:textFill>
            <w14:solidFill>
              <w14:schemeClr w14:val="tx1"/>
            </w14:solidFill>
          </w14:textFill>
        </w:rPr>
        <w:t xml:space="preserve">  </w:t>
      </w:r>
      <w:r>
        <w:rPr>
          <w:rFonts w:hint="eastAsia" w:ascii="楷体" w:hAnsi="楷体" w:cs="楷体"/>
          <w:color w:val="000000" w:themeColor="text1"/>
          <w:kern w:val="0"/>
          <w:highlight w:val="none"/>
          <w:lang w:val="zh-CN"/>
          <w14:textFill>
            <w14:solidFill>
              <w14:schemeClr w14:val="tx1"/>
            </w14:solidFill>
          </w14:textFill>
        </w:rPr>
        <w:t>（公章）</w:t>
      </w:r>
    </w:p>
    <w:p>
      <w:pPr>
        <w:widowControl/>
        <w:ind w:firstLine="480"/>
        <w:rPr>
          <w:rFonts w:ascii="楷体" w:hAnsi="楷体" w:cs="楷体"/>
          <w:color w:val="000000" w:themeColor="text1"/>
          <w:kern w:val="0"/>
          <w:highlight w:val="none"/>
          <w14:textFill>
            <w14:solidFill>
              <w14:schemeClr w14:val="tx1"/>
            </w14:solidFill>
          </w14:textFill>
        </w:rPr>
      </w:pPr>
    </w:p>
    <w:p>
      <w:pPr>
        <w:widowControl/>
        <w:ind w:firstLine="480"/>
        <w:rPr>
          <w:rFonts w:ascii="楷体" w:hAnsi="楷体" w:cs="楷体"/>
          <w:color w:val="000000" w:themeColor="text1"/>
          <w:kern w:val="0"/>
          <w:highlight w:val="none"/>
          <w:lang w:val="zh-CN"/>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法定代表人</w:t>
      </w:r>
      <w:r>
        <w:rPr>
          <w:rFonts w:hint="eastAsia" w:ascii="楷体" w:hAnsi="楷体" w:cs="楷体"/>
          <w:color w:val="000000" w:themeColor="text1"/>
          <w:kern w:val="0"/>
          <w:highlight w:val="none"/>
          <w14:textFill>
            <w14:solidFill>
              <w14:schemeClr w14:val="tx1"/>
            </w14:solidFill>
          </w14:textFill>
        </w:rPr>
        <w:t>或</w:t>
      </w:r>
      <w:r>
        <w:rPr>
          <w:rFonts w:hint="eastAsia" w:ascii="楷体" w:hAnsi="楷体" w:cs="楷体"/>
          <w:color w:val="000000" w:themeColor="text1"/>
          <w:kern w:val="0"/>
          <w:highlight w:val="none"/>
          <w:lang w:val="zh-CN"/>
          <w14:textFill>
            <w14:solidFill>
              <w14:schemeClr w14:val="tx1"/>
            </w14:solidFill>
          </w14:textFill>
        </w:rPr>
        <w:t>授权代表：</w:t>
      </w:r>
      <w:r>
        <w:rPr>
          <w:rFonts w:hint="eastAsia" w:ascii="楷体" w:hAnsi="楷体" w:cs="楷体"/>
          <w:color w:val="000000" w:themeColor="text1"/>
          <w:kern w:val="0"/>
          <w:highlight w:val="none"/>
          <w:u w:val="single"/>
          <w14:textFill>
            <w14:solidFill>
              <w14:schemeClr w14:val="tx1"/>
            </w14:solidFill>
          </w14:textFill>
        </w:rPr>
        <w:t xml:space="preserve">                </w:t>
      </w:r>
      <w:r>
        <w:rPr>
          <w:rFonts w:hint="eastAsia" w:ascii="楷体" w:hAnsi="楷体" w:cs="楷体"/>
          <w:color w:val="000000" w:themeColor="text1"/>
          <w:kern w:val="0"/>
          <w:highlight w:val="none"/>
          <w:lang w:val="zh-CN"/>
          <w14:textFill>
            <w14:solidFill>
              <w14:schemeClr w14:val="tx1"/>
            </w14:solidFill>
          </w14:textFill>
        </w:rPr>
        <w:t xml:space="preserve"> </w:t>
      </w:r>
      <w:r>
        <w:rPr>
          <w:rFonts w:hint="eastAsia" w:ascii="楷体" w:hAnsi="楷体" w:cs="楷体"/>
          <w:color w:val="000000" w:themeColor="text1"/>
          <w:kern w:val="0"/>
          <w:highlight w:val="none"/>
          <w14:textFill>
            <w14:solidFill>
              <w14:schemeClr w14:val="tx1"/>
            </w14:solidFill>
          </w14:textFill>
        </w:rPr>
        <w:t xml:space="preserve"> </w:t>
      </w:r>
      <w:r>
        <w:rPr>
          <w:rFonts w:hint="eastAsia" w:ascii="楷体" w:hAnsi="楷体" w:cs="楷体"/>
          <w:color w:val="000000" w:themeColor="text1"/>
          <w:kern w:val="0"/>
          <w:highlight w:val="none"/>
          <w:lang w:val="zh-CN"/>
          <w14:textFill>
            <w14:solidFill>
              <w14:schemeClr w14:val="tx1"/>
            </w14:solidFill>
          </w14:textFill>
        </w:rPr>
        <w:t>（签字）</w:t>
      </w:r>
    </w:p>
    <w:p>
      <w:pPr>
        <w:widowControl/>
        <w:ind w:firstLine="480"/>
        <w:rPr>
          <w:rFonts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 xml:space="preserve">  </w:t>
      </w:r>
    </w:p>
    <w:p>
      <w:pPr>
        <w:widowControl/>
        <w:ind w:firstLine="6000" w:firstLineChars="2500"/>
        <w:rPr>
          <w:rFonts w:hint="eastAsia" w:ascii="楷体" w:hAnsi="楷体" w:cs="楷体"/>
          <w:color w:val="000000" w:themeColor="text1"/>
          <w:kern w:val="0"/>
          <w:highlight w:val="none"/>
          <w:lang w:val="zh-CN"/>
          <w14:textFill>
            <w14:solidFill>
              <w14:schemeClr w14:val="tx1"/>
            </w14:solidFill>
          </w14:textFill>
        </w:rPr>
      </w:pPr>
      <w:r>
        <w:rPr>
          <w:rFonts w:hint="eastAsia" w:ascii="楷体" w:hAnsi="楷体" w:cs="楷体"/>
          <w:color w:val="000000" w:themeColor="text1"/>
          <w:kern w:val="0"/>
          <w:highlight w:val="none"/>
          <w:lang w:val="zh-CN"/>
          <w14:textFill>
            <w14:solidFill>
              <w14:schemeClr w14:val="tx1"/>
            </w14:solidFill>
          </w14:textFill>
        </w:rPr>
        <w:t xml:space="preserve"> 年       月      日</w:t>
      </w:r>
    </w:p>
    <w:p>
      <w:pPr>
        <w:rPr>
          <w:rFonts w:hint="eastAsia" w:ascii="Arial" w:hAnsi="Arial" w:eastAsia="楷体" w:cstheme="minorBidi"/>
          <w:b/>
          <w:kern w:val="2"/>
          <w:sz w:val="28"/>
          <w:szCs w:val="24"/>
          <w:highlight w:val="none"/>
          <w:lang w:val="en-US" w:eastAsia="zh-CN" w:bidi="ar-SA"/>
        </w:rPr>
      </w:pPr>
      <w:r>
        <w:rPr>
          <w:rFonts w:hint="eastAsia" w:ascii="Arial" w:hAnsi="Arial" w:eastAsia="楷体" w:cstheme="minorBidi"/>
          <w:b/>
          <w:kern w:val="2"/>
          <w:sz w:val="28"/>
          <w:szCs w:val="24"/>
          <w:highlight w:val="none"/>
          <w:lang w:val="en-US" w:eastAsia="zh-CN" w:bidi="ar-SA"/>
        </w:rPr>
        <w:br w:type="page"/>
      </w:r>
    </w:p>
    <w:p>
      <w:pPr>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货物说明一览表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b w:val="0"/>
          <w:bCs w:val="0"/>
          <w:color w:val="000000"/>
          <w:kern w:val="0"/>
          <w:highlight w:val="none"/>
          <w:u w:val="none"/>
          <w:lang w:val="en-US" w:eastAsia="zh-CN"/>
        </w:rPr>
        <w:t>采购项目编号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3"/>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序号</w:t>
            </w:r>
          </w:p>
        </w:tc>
        <w:tc>
          <w:tcPr>
            <w:tcW w:w="1218"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名称</w:t>
            </w:r>
          </w:p>
        </w:tc>
        <w:tc>
          <w:tcPr>
            <w:tcW w:w="1374"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品牌</w:t>
            </w:r>
            <w:r>
              <w:rPr>
                <w:color w:val="auto"/>
                <w:highlight w:val="none"/>
              </w:rPr>
              <w:t>/</w:t>
            </w:r>
            <w:r>
              <w:rPr>
                <w:rFonts w:hint="eastAsia"/>
                <w:color w:val="auto"/>
                <w:highlight w:val="none"/>
              </w:rPr>
              <w:t>型号</w:t>
            </w:r>
          </w:p>
        </w:tc>
        <w:tc>
          <w:tcPr>
            <w:tcW w:w="3050"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color w:val="auto"/>
                <w:highlight w:val="none"/>
              </w:rPr>
            </w:pPr>
            <w:r>
              <w:rPr>
                <w:rFonts w:hint="eastAsia"/>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color w:val="auto"/>
                <w:highlight w:val="none"/>
              </w:rPr>
            </w:pPr>
          </w:p>
        </w:tc>
        <w:tc>
          <w:tcPr>
            <w:tcW w:w="1218" w:type="dxa"/>
            <w:tcBorders>
              <w:bottom w:val="double" w:color="auto" w:sz="4" w:space="0"/>
            </w:tcBorders>
            <w:noWrap w:val="0"/>
            <w:vAlign w:val="center"/>
          </w:tcPr>
          <w:p>
            <w:pPr>
              <w:rPr>
                <w:color w:val="auto"/>
                <w:highlight w:val="none"/>
              </w:rPr>
            </w:pPr>
          </w:p>
        </w:tc>
        <w:tc>
          <w:tcPr>
            <w:tcW w:w="1374" w:type="dxa"/>
            <w:tcBorders>
              <w:bottom w:val="double" w:color="auto" w:sz="4" w:space="0"/>
            </w:tcBorders>
            <w:noWrap w:val="0"/>
            <w:vAlign w:val="top"/>
          </w:tcPr>
          <w:p>
            <w:pPr>
              <w:rPr>
                <w:color w:val="auto"/>
                <w:highlight w:val="none"/>
              </w:rPr>
            </w:pPr>
          </w:p>
        </w:tc>
        <w:tc>
          <w:tcPr>
            <w:tcW w:w="3050" w:type="dxa"/>
            <w:tcBorders>
              <w:bottom w:val="double" w:color="auto" w:sz="4" w:space="0"/>
            </w:tcBorders>
            <w:noWrap w:val="0"/>
            <w:vAlign w:val="top"/>
          </w:tcPr>
          <w:p>
            <w:pPr>
              <w:rPr>
                <w:color w:val="auto"/>
                <w:highlight w:val="none"/>
              </w:rPr>
            </w:pPr>
          </w:p>
        </w:tc>
        <w:tc>
          <w:tcPr>
            <w:tcW w:w="1642" w:type="dxa"/>
            <w:tcBorders>
              <w:bottom w:val="double" w:color="auto" w:sz="4" w:space="0"/>
            </w:tcBorders>
            <w:noWrap w:val="0"/>
            <w:vAlign w:val="top"/>
          </w:tcPr>
          <w:p>
            <w:pPr>
              <w:rPr>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color w:val="auto"/>
          <w:highlight w:val="none"/>
        </w:rPr>
      </w:pPr>
      <w:r>
        <w:rPr>
          <w:rFonts w:hint="eastAsia"/>
          <w:color w:val="auto"/>
          <w:highlight w:val="none"/>
        </w:rPr>
        <w:t>注：</w:t>
      </w:r>
      <w:r>
        <w:rPr>
          <w:color w:val="auto"/>
          <w:highlight w:val="none"/>
        </w:rPr>
        <w:t>1</w:t>
      </w:r>
      <w:r>
        <w:rPr>
          <w:rFonts w:hint="eastAsia"/>
          <w:color w:val="auto"/>
          <w:highlight w:val="none"/>
          <w:lang w:eastAsia="zh-CN"/>
        </w:rPr>
        <w:t>、</w:t>
      </w:r>
      <w:r>
        <w:rPr>
          <w:rFonts w:hint="eastAsia"/>
          <w:color w:val="auto"/>
          <w:highlight w:val="none"/>
        </w:rPr>
        <w:t>本表须如实逐项填写，不得空缺。空缺将视为没有实质性响应</w:t>
      </w:r>
      <w:r>
        <w:rPr>
          <w:rFonts w:hint="eastAsia"/>
          <w:color w:val="auto"/>
          <w:highlight w:val="none"/>
          <w:lang w:val="en-US" w:eastAsia="zh-CN"/>
        </w:rPr>
        <w:t>谈判</w:t>
      </w:r>
      <w:r>
        <w:rPr>
          <w:rFonts w:hint="eastAsia"/>
          <w:color w:val="auto"/>
          <w:highlight w:val="none"/>
        </w:rPr>
        <w:t>文件。</w:t>
      </w:r>
    </w:p>
    <w:p>
      <w:pPr>
        <w:rPr>
          <w:color w:val="auto"/>
          <w:highlight w:val="none"/>
        </w:rPr>
      </w:pPr>
      <w:r>
        <w:rPr>
          <w:color w:val="auto"/>
          <w:highlight w:val="none"/>
        </w:rPr>
        <w:t>2</w:t>
      </w:r>
      <w:r>
        <w:rPr>
          <w:rFonts w:hint="eastAsia"/>
          <w:color w:val="auto"/>
          <w:highlight w:val="none"/>
          <w:lang w:eastAsia="zh-CN"/>
        </w:rPr>
        <w:t>、</w:t>
      </w:r>
      <w:r>
        <w:rPr>
          <w:rFonts w:hint="eastAsia"/>
          <w:color w:val="auto"/>
          <w:highlight w:val="none"/>
        </w:rPr>
        <w:t>若货物没有具体型号和注册商标的须注明。各项货物详细技术性能可另页描述。</w:t>
      </w:r>
    </w:p>
    <w:p>
      <w:pPr>
        <w:rPr>
          <w:rFonts w:hint="eastAsia" w:ascii="Arial" w:hAnsi="Arial"/>
          <w:b/>
          <w:color w:val="auto"/>
          <w:sz w:val="28"/>
          <w:highlight w:val="none"/>
        </w:rPr>
      </w:pPr>
    </w:p>
    <w:p>
      <w:pPr>
        <w:pStyle w:val="2"/>
        <w:rPr>
          <w:rFonts w:hint="eastAsia" w:ascii="Arial" w:hAnsi="Arial"/>
          <w:b/>
          <w:color w:val="auto"/>
          <w:sz w:val="28"/>
          <w:highlight w:val="none"/>
        </w:rPr>
      </w:pPr>
    </w:p>
    <w:p>
      <w:pPr>
        <w:rPr>
          <w:rFonts w:hint="eastAsia"/>
          <w:highlight w:val="none"/>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楷体" w:hAnsi="楷体" w:cs="楷体"/>
          <w:color w:val="auto"/>
          <w:kern w:val="0"/>
          <w:highlight w:val="none"/>
          <w:lang w:val="zh-CN"/>
        </w:rPr>
        <w:t xml:space="preserve"> </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lang w:val="zh-CN"/>
        </w:rPr>
        <w:t>年       月      日</w:t>
      </w:r>
    </w:p>
    <w:p>
      <w:pPr>
        <w:rPr>
          <w:rFonts w:hint="eastAsia" w:ascii="Arial" w:hAnsi="Arial"/>
          <w:b/>
          <w:color w:val="auto"/>
          <w:sz w:val="28"/>
          <w:highlight w:val="none"/>
        </w:rPr>
      </w:pPr>
      <w:r>
        <w:rPr>
          <w:rFonts w:hint="eastAsia" w:ascii="Arial" w:hAnsi="Arial"/>
          <w:b/>
          <w:color w:val="auto"/>
          <w:sz w:val="28"/>
          <w:highlight w:val="none"/>
        </w:rPr>
        <w:br w:type="page"/>
      </w:r>
    </w:p>
    <w:p>
      <w:pPr>
        <w:widowControl/>
        <w:ind w:firstLine="480"/>
        <w:jc w:val="center"/>
        <w:rPr>
          <w:rFonts w:hint="eastAsia" w:ascii="Arial" w:hAnsi="Arial"/>
          <w:b/>
          <w:color w:val="auto"/>
          <w:sz w:val="28"/>
          <w:highlight w:val="none"/>
          <w:lang w:val="zh-CN"/>
        </w:rPr>
      </w:pPr>
      <w:r>
        <w:rPr>
          <w:rFonts w:hint="eastAsia" w:ascii="Arial" w:hAnsi="Arial"/>
          <w:b/>
          <w:color w:val="auto"/>
          <w:sz w:val="28"/>
          <w:highlight w:val="none"/>
        </w:rPr>
        <w:t>商务</w:t>
      </w:r>
      <w:r>
        <w:rPr>
          <w:rFonts w:hint="eastAsia" w:ascii="Arial" w:hAnsi="Arial"/>
          <w:b/>
          <w:color w:val="auto"/>
          <w:sz w:val="28"/>
          <w:highlight w:val="none"/>
          <w:lang w:val="zh-CN"/>
        </w:rPr>
        <w:t>偏差表</w:t>
      </w:r>
    </w:p>
    <w:p>
      <w:pPr>
        <w:widowControl/>
        <w:ind w:left="278" w:leftChars="116" w:firstLine="240" w:firstLineChars="100"/>
        <w:rPr>
          <w:rFonts w:hint="eastAsia" w:ascii="楷体" w:hAnsi="楷体" w:cs="楷体"/>
          <w:color w:val="000000"/>
          <w:kern w:val="0"/>
          <w:highlight w:val="none"/>
          <w:lang w:val="en-US" w:eastAsia="zh-CN"/>
        </w:rPr>
      </w:pPr>
    </w:p>
    <w:p>
      <w:pPr>
        <w:widowControl/>
        <w:ind w:left="278" w:leftChars="116" w:firstLine="240" w:firstLineChars="100"/>
        <w:rPr>
          <w:rFonts w:ascii="楷体" w:hAnsi="楷体" w:cs="楷体"/>
          <w:color w:val="000000"/>
          <w:kern w:val="0"/>
          <w:highlight w:val="none"/>
        </w:rPr>
      </w:pPr>
      <w:r>
        <w:rPr>
          <w:rFonts w:hint="eastAsia" w:ascii="楷体" w:hAnsi="楷体" w:cs="楷体"/>
          <w:color w:val="000000"/>
          <w:kern w:val="0"/>
          <w:highlight w:val="none"/>
          <w:lang w:val="en-US" w:eastAsia="zh-CN"/>
        </w:rPr>
        <w:t>采购项目编号</w:t>
      </w:r>
      <w:r>
        <w:rPr>
          <w:rFonts w:hint="eastAsia" w:ascii="楷体" w:hAnsi="楷体" w:cs="楷体"/>
          <w:color w:val="000000"/>
          <w:kern w:val="0"/>
          <w:highlight w:val="none"/>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en-US" w:eastAsia="zh-CN"/>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en-US" w:eastAsia="zh-CN"/>
        </w:rPr>
        <w:t xml:space="preserve">               </w:t>
      </w:r>
      <w:r>
        <w:rPr>
          <w:rFonts w:hint="eastAsia" w:ascii="楷体" w:hAnsi="楷体" w:cs="楷体"/>
          <w:color w:val="000000"/>
          <w:kern w:val="0"/>
          <w:highlight w:val="none"/>
        </w:rPr>
        <w:t xml:space="preserve"> 第  </w:t>
      </w:r>
      <w:r>
        <w:rPr>
          <w:rFonts w:hint="eastAsia" w:ascii="楷体" w:hAnsi="楷体" w:cs="楷体"/>
          <w:color w:val="000000"/>
          <w:kern w:val="0"/>
          <w:highlight w:val="none"/>
          <w:lang w:val="zh-CN"/>
        </w:rPr>
        <w:t>页</w:t>
      </w:r>
      <w:r>
        <w:rPr>
          <w:rFonts w:hint="eastAsia" w:ascii="楷体" w:hAnsi="楷体" w:cs="楷体"/>
          <w:color w:val="000000"/>
          <w:kern w:val="0"/>
          <w:highlight w:val="none"/>
        </w:rPr>
        <w:t>，共  页</w:t>
      </w:r>
    </w:p>
    <w:tbl>
      <w:tblPr>
        <w:tblStyle w:val="4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序号</w:t>
            </w:r>
          </w:p>
        </w:tc>
        <w:tc>
          <w:tcPr>
            <w:tcW w:w="223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lang w:val="en-US" w:eastAsia="zh-CN"/>
              </w:rPr>
              <w:t>竞争性谈判</w:t>
            </w:r>
            <w:r>
              <w:rPr>
                <w:rFonts w:hint="eastAsia" w:ascii="楷体" w:hAnsi="楷体" w:cs="楷体"/>
                <w:kern w:val="0"/>
                <w:highlight w:val="none"/>
              </w:rPr>
              <w:t>文件</w:t>
            </w:r>
          </w:p>
          <w:p>
            <w:pPr>
              <w:widowControl/>
              <w:ind w:firstLine="0" w:firstLineChars="0"/>
              <w:jc w:val="center"/>
              <w:rPr>
                <w:rFonts w:ascii="楷体" w:hAnsi="楷体" w:cs="楷体"/>
                <w:color w:val="000000"/>
                <w:kern w:val="0"/>
                <w:highlight w:val="none"/>
              </w:rPr>
            </w:pPr>
            <w:r>
              <w:rPr>
                <w:rFonts w:hint="eastAsia" w:ascii="楷体" w:hAnsi="楷体" w:cs="楷体"/>
                <w:color w:val="auto"/>
                <w:kern w:val="0"/>
                <w:highlight w:val="none"/>
              </w:rPr>
              <w:t>要求数据</w:t>
            </w:r>
          </w:p>
        </w:tc>
        <w:tc>
          <w:tcPr>
            <w:tcW w:w="219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color w:val="000000"/>
                <w:kern w:val="0"/>
                <w:highlight w:val="none"/>
              </w:rPr>
            </w:pPr>
            <w:r>
              <w:rPr>
                <w:rFonts w:hint="eastAsia" w:ascii="楷体" w:hAnsi="楷体" w:cs="楷体"/>
                <w:color w:val="auto"/>
                <w:kern w:val="0"/>
                <w:highlight w:val="none"/>
              </w:rPr>
              <w:t>实际数据</w:t>
            </w:r>
          </w:p>
        </w:tc>
        <w:tc>
          <w:tcPr>
            <w:tcW w:w="1592"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偏离</w:t>
            </w:r>
          </w:p>
        </w:tc>
        <w:tc>
          <w:tcPr>
            <w:tcW w:w="1372"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r>
              <w:rPr>
                <w:rFonts w:hint="eastAsia" w:ascii="楷体" w:hAnsi="楷体" w:cs="楷体"/>
                <w:color w:val="000000"/>
                <w:kern w:val="0"/>
                <w:highlight w:val="none"/>
              </w:rPr>
              <w:t>...</w:t>
            </w: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bl>
    <w:p>
      <w:pPr>
        <w:widowControl/>
        <w:ind w:firstLine="480"/>
        <w:rPr>
          <w:rFonts w:ascii="楷体" w:hAnsi="楷体" w:cs="楷体"/>
          <w:color w:val="000000"/>
          <w:kern w:val="0"/>
          <w:sz w:val="24"/>
          <w:szCs w:val="24"/>
          <w:highlight w:val="none"/>
        </w:rPr>
      </w:pPr>
      <w:r>
        <w:rPr>
          <w:rFonts w:hint="eastAsia" w:ascii="楷体" w:hAnsi="楷体" w:cs="楷体"/>
          <w:color w:val="000000"/>
          <w:kern w:val="0"/>
          <w:sz w:val="24"/>
          <w:szCs w:val="24"/>
          <w:highlight w:val="none"/>
        </w:rPr>
        <w:t>说明：</w:t>
      </w:r>
    </w:p>
    <w:p>
      <w:pPr>
        <w:widowControl/>
        <w:ind w:firstLine="480"/>
        <w:rPr>
          <w:rFonts w:hint="eastAsia" w:ascii="楷体" w:hAnsi="楷体" w:cs="楷体"/>
          <w:color w:val="000000"/>
          <w:kern w:val="0"/>
          <w:sz w:val="24"/>
          <w:szCs w:val="24"/>
          <w:highlight w:val="none"/>
        </w:rPr>
      </w:pPr>
      <w:r>
        <w:rPr>
          <w:rFonts w:hint="eastAsia" w:ascii="楷体" w:hAnsi="楷体" w:cs="楷体"/>
          <w:color w:val="000000"/>
          <w:kern w:val="0"/>
          <w:sz w:val="24"/>
          <w:szCs w:val="24"/>
          <w:highlight w:val="none"/>
        </w:rPr>
        <w:t>1、本表需填写</w:t>
      </w:r>
      <w:r>
        <w:rPr>
          <w:rFonts w:hint="eastAsia" w:ascii="楷体" w:hAnsi="楷体" w:cs="楷体"/>
          <w:kern w:val="0"/>
          <w:highlight w:val="none"/>
        </w:rPr>
        <w:t>响应文件</w:t>
      </w:r>
      <w:r>
        <w:rPr>
          <w:rFonts w:hint="eastAsia" w:ascii="楷体" w:hAnsi="楷体" w:cs="楷体"/>
          <w:color w:val="000000"/>
          <w:kern w:val="0"/>
          <w:sz w:val="24"/>
          <w:szCs w:val="24"/>
          <w:highlight w:val="none"/>
        </w:rPr>
        <w:t>中与</w:t>
      </w:r>
      <w:r>
        <w:rPr>
          <w:rFonts w:hint="eastAsia" w:ascii="楷体" w:hAnsi="楷体" w:cs="楷体"/>
          <w:kern w:val="0"/>
          <w:highlight w:val="none"/>
          <w:lang w:val="en-US" w:eastAsia="zh-CN"/>
        </w:rPr>
        <w:t>竞争性谈判</w:t>
      </w:r>
      <w:r>
        <w:rPr>
          <w:rFonts w:hint="eastAsia" w:ascii="楷体" w:hAnsi="楷体" w:cs="楷体"/>
          <w:kern w:val="0"/>
          <w:highlight w:val="none"/>
        </w:rPr>
        <w:t>文件</w:t>
      </w:r>
      <w:r>
        <w:rPr>
          <w:rFonts w:hint="eastAsia" w:ascii="楷体" w:hAnsi="楷体" w:cs="楷体"/>
          <w:color w:val="000000"/>
          <w:kern w:val="0"/>
          <w:sz w:val="24"/>
          <w:szCs w:val="24"/>
          <w:highlight w:val="none"/>
        </w:rPr>
        <w:t>要求中商务条款的偏离内容，商务部分不允许有负偏离。</w:t>
      </w:r>
      <w:r>
        <w:rPr>
          <w:rFonts w:hint="eastAsia" w:ascii="楷体" w:hAnsi="楷体" w:cs="楷体"/>
          <w:kern w:val="0"/>
          <w:highlight w:val="none"/>
        </w:rPr>
        <w:t>响应文件</w:t>
      </w:r>
      <w:r>
        <w:rPr>
          <w:rFonts w:hint="eastAsia" w:ascii="楷体" w:hAnsi="楷体" w:cs="楷体"/>
          <w:color w:val="000000"/>
          <w:kern w:val="0"/>
          <w:sz w:val="24"/>
          <w:szCs w:val="24"/>
          <w:highlight w:val="none"/>
        </w:rPr>
        <w:t>中商务响应与</w:t>
      </w:r>
      <w:r>
        <w:rPr>
          <w:rFonts w:hint="eastAsia" w:ascii="楷体" w:hAnsi="楷体" w:cs="楷体"/>
          <w:kern w:val="0"/>
          <w:highlight w:val="none"/>
          <w:lang w:val="en-US" w:eastAsia="zh-CN"/>
        </w:rPr>
        <w:t>竞争性谈判</w:t>
      </w:r>
      <w:r>
        <w:rPr>
          <w:rFonts w:hint="eastAsia" w:ascii="楷体" w:hAnsi="楷体" w:cs="楷体"/>
          <w:kern w:val="0"/>
          <w:highlight w:val="none"/>
        </w:rPr>
        <w:t>文件</w:t>
      </w:r>
      <w:r>
        <w:rPr>
          <w:rFonts w:hint="eastAsia" w:ascii="楷体" w:hAnsi="楷体" w:cs="楷体"/>
          <w:color w:val="000000"/>
          <w:kern w:val="0"/>
          <w:sz w:val="24"/>
          <w:szCs w:val="24"/>
          <w:highlight w:val="none"/>
        </w:rPr>
        <w:t>要求完全一致的，不用在此表中逐一列出，此表空白视为完全响应，无偏离。</w:t>
      </w:r>
    </w:p>
    <w:p>
      <w:pPr>
        <w:pStyle w:val="2"/>
        <w:ind w:firstLine="560"/>
        <w:rPr>
          <w:rFonts w:hint="eastAsia" w:ascii="楷体" w:hAnsi="楷体" w:cs="楷体"/>
          <w:color w:val="000000"/>
          <w:kern w:val="0"/>
          <w:sz w:val="24"/>
          <w:szCs w:val="24"/>
          <w:highlight w:val="none"/>
        </w:rPr>
      </w:pPr>
      <w:r>
        <w:rPr>
          <w:rFonts w:hint="eastAsia" w:ascii="楷体" w:hAnsi="楷体" w:cs="楷体"/>
          <w:color w:val="000000"/>
          <w:kern w:val="0"/>
          <w:sz w:val="24"/>
          <w:szCs w:val="24"/>
          <w:highlight w:val="none"/>
        </w:rPr>
        <w:t>2、供应商必须据实填写，不得虚假响应，否则将取消其响应或成交资格，并按有关规定进处罚。</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楷体" w:hAnsi="楷体" w:cs="楷体"/>
          <w:color w:val="auto"/>
          <w:kern w:val="0"/>
          <w:highlight w:val="none"/>
          <w:lang w:val="zh-CN"/>
        </w:rPr>
        <w:t xml:space="preserve"> </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lang w:val="zh-CN"/>
        </w:rPr>
        <w:t>年       月      日</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Arial" w:hAnsi="Arial" w:eastAsia="楷体" w:cs="Times New Roman"/>
          <w:b/>
          <w:color w:val="auto"/>
          <w:kern w:val="2"/>
          <w:sz w:val="28"/>
          <w:szCs w:val="24"/>
          <w:highlight w:val="none"/>
          <w:lang w:val="zh-CN" w:eastAsia="zh-CN" w:bidi="ar-SA"/>
        </w:rPr>
        <w:br w:type="page"/>
      </w:r>
      <w:r>
        <w:rPr>
          <w:rFonts w:hint="eastAsia" w:ascii="Arial" w:hAnsi="Arial"/>
          <w:b/>
          <w:color w:val="000000"/>
          <w:sz w:val="28"/>
          <w:highlight w:val="none"/>
        </w:rPr>
        <w:t>技术</w:t>
      </w:r>
      <w:r>
        <w:rPr>
          <w:rFonts w:hint="eastAsia" w:ascii="Arial" w:hAnsi="Arial"/>
          <w:b/>
          <w:color w:val="000000"/>
          <w:sz w:val="28"/>
          <w:highlight w:val="none"/>
          <w:lang w:val="zh-CN"/>
        </w:rPr>
        <w:t>偏差表</w:t>
      </w:r>
    </w:p>
    <w:p>
      <w:pPr>
        <w:widowControl/>
        <w:ind w:firstLine="480"/>
        <w:rPr>
          <w:rFonts w:ascii="楷体" w:hAnsi="楷体" w:cs="楷体"/>
          <w:color w:val="auto"/>
          <w:kern w:val="0"/>
          <w:highlight w:val="none"/>
        </w:rPr>
      </w:pPr>
      <w:r>
        <w:rPr>
          <w:rFonts w:hint="eastAsia" w:ascii="楷体" w:hAnsi="楷体" w:cs="楷体"/>
          <w:b w:val="0"/>
          <w:bCs w:val="0"/>
          <w:color w:val="auto"/>
          <w:kern w:val="0"/>
          <w:sz w:val="24"/>
          <w:highlight w:val="none"/>
          <w:lang w:val="en-US" w:eastAsia="zh-CN"/>
        </w:rPr>
        <w:t>采购项目编号</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  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color w:val="auto"/>
                <w:kern w:val="0"/>
                <w:highlight w:val="none"/>
              </w:rPr>
              <w:t>序号</w:t>
            </w:r>
          </w:p>
        </w:tc>
        <w:tc>
          <w:tcPr>
            <w:tcW w:w="223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lang w:val="en-US" w:eastAsia="zh-CN"/>
              </w:rPr>
              <w:t>竞争性谈判</w:t>
            </w:r>
            <w:r>
              <w:rPr>
                <w:rFonts w:hint="eastAsia" w:ascii="楷体" w:hAnsi="楷体" w:cs="楷体"/>
                <w:kern w:val="0"/>
                <w:highlight w:val="none"/>
              </w:rPr>
              <w:t>文件</w:t>
            </w:r>
          </w:p>
          <w:p>
            <w:pPr>
              <w:widowControl/>
              <w:ind w:firstLine="0" w:firstLineChars="0"/>
              <w:jc w:val="center"/>
              <w:rPr>
                <w:rFonts w:ascii="楷体" w:hAnsi="楷体" w:cs="楷体"/>
                <w:color w:val="auto"/>
                <w:kern w:val="0"/>
                <w:highlight w:val="none"/>
              </w:rPr>
            </w:pPr>
            <w:r>
              <w:rPr>
                <w:rFonts w:hint="eastAsia" w:ascii="楷体" w:hAnsi="楷体" w:cs="楷体"/>
                <w:color w:val="auto"/>
                <w:kern w:val="0"/>
                <w:highlight w:val="none"/>
              </w:rPr>
              <w:t>要求数据</w:t>
            </w:r>
          </w:p>
        </w:tc>
        <w:tc>
          <w:tcPr>
            <w:tcW w:w="2191" w:type="dxa"/>
            <w:noWrap w:val="0"/>
            <w:vAlign w:val="center"/>
          </w:tcPr>
          <w:p>
            <w:pPr>
              <w:widowControl/>
              <w:ind w:firstLine="0" w:firstLineChars="0"/>
              <w:jc w:val="center"/>
              <w:rPr>
                <w:rFonts w:ascii="楷体" w:hAnsi="楷体" w:cs="楷体"/>
                <w:color w:val="auto"/>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color w:val="auto"/>
                <w:kern w:val="0"/>
                <w:highlight w:val="none"/>
              </w:rPr>
            </w:pPr>
            <w:r>
              <w:rPr>
                <w:rFonts w:hint="eastAsia" w:ascii="楷体" w:hAnsi="楷体" w:cs="楷体"/>
                <w:color w:val="auto"/>
                <w:kern w:val="0"/>
                <w:highlight w:val="none"/>
              </w:rPr>
              <w:t>实际数据</w:t>
            </w:r>
          </w:p>
        </w:tc>
        <w:tc>
          <w:tcPr>
            <w:tcW w:w="1592" w:type="dxa"/>
            <w:noWrap w:val="0"/>
            <w:vAlign w:val="center"/>
          </w:tcPr>
          <w:p>
            <w:pPr>
              <w:widowControl/>
              <w:ind w:firstLine="0" w:firstLineChars="0"/>
              <w:jc w:val="center"/>
              <w:rPr>
                <w:rFonts w:hint="eastAsia" w:ascii="楷体" w:hAnsi="楷体" w:eastAsia="楷体" w:cs="楷体"/>
                <w:color w:val="auto"/>
                <w:kern w:val="0"/>
                <w:highlight w:val="none"/>
                <w:lang w:eastAsia="zh-CN"/>
              </w:rPr>
            </w:pPr>
            <w:r>
              <w:rPr>
                <w:rFonts w:hint="eastAsia" w:ascii="楷体" w:hAnsi="楷体" w:cs="楷体"/>
                <w:color w:val="auto"/>
                <w:kern w:val="0"/>
                <w:highlight w:val="none"/>
                <w:lang w:val="en-US" w:eastAsia="zh-CN"/>
              </w:rPr>
              <w:t>偏离</w:t>
            </w:r>
          </w:p>
        </w:tc>
        <w:tc>
          <w:tcPr>
            <w:tcW w:w="1372" w:type="dxa"/>
            <w:noWrap w:val="0"/>
            <w:vAlign w:val="center"/>
          </w:tcPr>
          <w:p>
            <w:pPr>
              <w:widowControl/>
              <w:ind w:firstLine="0" w:firstLineChars="0"/>
              <w:jc w:val="center"/>
              <w:rPr>
                <w:rFonts w:hint="eastAsia" w:ascii="楷体" w:hAnsi="楷体" w:eastAsia="楷体" w:cs="楷体"/>
                <w:color w:val="auto"/>
                <w:kern w:val="0"/>
                <w:highlight w:val="none"/>
                <w:lang w:val="en-US" w:eastAsia="zh-CN"/>
              </w:rPr>
            </w:pPr>
            <w:r>
              <w:rPr>
                <w:rFonts w:hint="eastAsia" w:ascii="楷体" w:hAnsi="楷体" w:cs="楷体"/>
                <w:color w:val="auto"/>
                <w:kern w:val="0"/>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auto"/>
                <w:kern w:val="0"/>
                <w:highlight w:val="none"/>
              </w:rPr>
            </w:pP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default" w:ascii="楷体" w:hAnsi="楷体" w:eastAsia="楷体" w:cs="楷体"/>
                <w:color w:val="auto"/>
                <w:kern w:val="0"/>
                <w:highlight w:val="none"/>
                <w:lang w:val="en-US" w:eastAsia="zh-CN"/>
              </w:rPr>
            </w:pPr>
            <w:r>
              <w:rPr>
                <w:rFonts w:hint="eastAsia" w:ascii="楷体" w:hAnsi="楷体" w:cs="楷体"/>
                <w:color w:val="auto"/>
                <w:kern w:val="0"/>
                <w:highlight w:val="none"/>
                <w:lang w:val="en-US" w:eastAsia="zh-CN"/>
              </w:rPr>
              <w:t>...</w:t>
            </w:r>
          </w:p>
        </w:tc>
        <w:tc>
          <w:tcPr>
            <w:tcW w:w="2231" w:type="dxa"/>
            <w:noWrap w:val="0"/>
            <w:vAlign w:val="top"/>
          </w:tcPr>
          <w:p>
            <w:pPr>
              <w:widowControl/>
              <w:ind w:firstLine="480"/>
              <w:rPr>
                <w:rFonts w:ascii="楷体" w:hAnsi="楷体" w:cs="楷体"/>
                <w:color w:val="auto"/>
                <w:kern w:val="0"/>
                <w:highlight w:val="none"/>
              </w:rPr>
            </w:pPr>
          </w:p>
        </w:tc>
        <w:tc>
          <w:tcPr>
            <w:tcW w:w="2191" w:type="dxa"/>
            <w:noWrap w:val="0"/>
            <w:vAlign w:val="top"/>
          </w:tcPr>
          <w:p>
            <w:pPr>
              <w:widowControl/>
              <w:ind w:firstLine="480"/>
              <w:rPr>
                <w:rFonts w:ascii="楷体" w:hAnsi="楷体" w:cs="楷体"/>
                <w:color w:val="auto"/>
                <w:kern w:val="0"/>
                <w:highlight w:val="none"/>
              </w:rPr>
            </w:pPr>
          </w:p>
        </w:tc>
        <w:tc>
          <w:tcPr>
            <w:tcW w:w="1592" w:type="dxa"/>
            <w:noWrap w:val="0"/>
            <w:vAlign w:val="top"/>
          </w:tcPr>
          <w:p>
            <w:pPr>
              <w:widowControl/>
              <w:ind w:firstLine="480"/>
              <w:rPr>
                <w:rFonts w:ascii="楷体" w:hAnsi="楷体" w:cs="楷体"/>
                <w:color w:val="auto"/>
                <w:kern w:val="0"/>
                <w:highlight w:val="none"/>
              </w:rPr>
            </w:pPr>
          </w:p>
        </w:tc>
        <w:tc>
          <w:tcPr>
            <w:tcW w:w="1372" w:type="dxa"/>
            <w:noWrap w:val="0"/>
            <w:vAlign w:val="top"/>
          </w:tcPr>
          <w:p>
            <w:pPr>
              <w:widowControl/>
              <w:ind w:firstLine="480"/>
              <w:rPr>
                <w:rFonts w:ascii="楷体" w:hAnsi="楷体" w:cs="楷体"/>
                <w:color w:val="auto"/>
                <w:kern w:val="0"/>
                <w:highlight w:val="none"/>
              </w:rPr>
            </w:pPr>
          </w:p>
        </w:tc>
      </w:tr>
    </w:tbl>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说明：</w:t>
      </w:r>
    </w:p>
    <w:p>
      <w:pPr>
        <w:widowControl/>
        <w:ind w:firstLine="480"/>
        <w:rPr>
          <w:rFonts w:hint="eastAsia" w:ascii="楷体" w:hAnsi="楷体" w:cs="楷体"/>
          <w:color w:val="000000"/>
          <w:kern w:val="0"/>
          <w:highlight w:val="none"/>
        </w:rPr>
      </w:pPr>
      <w:r>
        <w:rPr>
          <w:rFonts w:hint="eastAsia" w:ascii="楷体" w:hAnsi="楷体" w:cs="楷体"/>
          <w:color w:val="auto"/>
          <w:kern w:val="0"/>
          <w:highlight w:val="none"/>
        </w:rPr>
        <w:t>1</w:t>
      </w:r>
      <w:r>
        <w:rPr>
          <w:rFonts w:hint="eastAsia" w:ascii="楷体" w:hAnsi="楷体" w:cs="楷体"/>
          <w:color w:val="auto"/>
          <w:kern w:val="0"/>
          <w:highlight w:val="none"/>
          <w:lang w:eastAsia="zh-CN"/>
        </w:rPr>
        <w:t>、</w:t>
      </w:r>
      <w:r>
        <w:rPr>
          <w:rFonts w:hint="eastAsia" w:ascii="楷体" w:hAnsi="楷体" w:cs="楷体"/>
          <w:color w:val="000000"/>
          <w:kern w:val="0"/>
          <w:highlight w:val="none"/>
          <w:lang w:val="zh-CN"/>
        </w:rPr>
        <w:t>请按项目的实际技术参数，逐条对应</w:t>
      </w:r>
      <w:r>
        <w:rPr>
          <w:rFonts w:hint="eastAsia" w:ascii="楷体" w:hAnsi="楷体" w:cs="楷体"/>
          <w:color w:val="000000"/>
          <w:kern w:val="0"/>
          <w:highlight w:val="none"/>
          <w:lang w:val="zh-CN" w:eastAsia="zh-CN"/>
        </w:rPr>
        <w:t>竞争性谈判</w:t>
      </w:r>
      <w:r>
        <w:rPr>
          <w:rFonts w:hint="eastAsia" w:ascii="楷体" w:hAnsi="楷体" w:cs="楷体"/>
          <w:color w:val="000000"/>
          <w:kern w:val="0"/>
          <w:highlight w:val="none"/>
          <w:lang w:val="zh-CN"/>
        </w:rPr>
        <w:t>文件第三部分“</w:t>
      </w:r>
      <w:r>
        <w:rPr>
          <w:rFonts w:hint="eastAsia" w:ascii="楷体" w:hAnsi="楷体" w:cs="楷体"/>
          <w:color w:val="000000"/>
          <w:kern w:val="0"/>
          <w:highlight w:val="none"/>
          <w:lang w:val="zh-CN" w:eastAsia="zh-CN"/>
        </w:rPr>
        <w:t>采购清单</w:t>
      </w:r>
      <w:r>
        <w:rPr>
          <w:rFonts w:hint="eastAsia" w:ascii="楷体" w:hAnsi="楷体" w:cs="楷体"/>
          <w:color w:val="000000"/>
          <w:kern w:val="0"/>
          <w:highlight w:val="none"/>
          <w:lang w:val="zh-CN"/>
        </w:rPr>
        <w:t>”</w:t>
      </w:r>
      <w:r>
        <w:rPr>
          <w:rFonts w:hint="eastAsia" w:ascii="楷体" w:hAnsi="楷体" w:cs="楷体"/>
          <w:color w:val="000000"/>
          <w:kern w:val="0"/>
          <w:highlight w:val="none"/>
          <w:lang w:val="zh-CN" w:eastAsia="zh-CN"/>
        </w:rPr>
        <w:t>部分</w:t>
      </w:r>
      <w:r>
        <w:rPr>
          <w:rFonts w:hint="eastAsia" w:ascii="楷体" w:hAnsi="楷体" w:cs="楷体"/>
          <w:color w:val="000000"/>
          <w:kern w:val="0"/>
          <w:highlight w:val="none"/>
          <w:lang w:val="zh-CN"/>
        </w:rPr>
        <w:t>，认真填写本表。偏离情况填写：优于、等于或低于，偏离说明对偏离情况做出详细</w:t>
      </w:r>
      <w:r>
        <w:rPr>
          <w:rFonts w:hint="eastAsia" w:ascii="楷体" w:hAnsi="楷体" w:cs="楷体"/>
          <w:color w:val="000000"/>
          <w:kern w:val="0"/>
          <w:highlight w:val="none"/>
          <w:lang w:val="zh-CN" w:eastAsia="zh-CN"/>
        </w:rPr>
        <w:t>说明</w:t>
      </w:r>
      <w:r>
        <w:rPr>
          <w:rFonts w:hint="eastAsia" w:ascii="楷体" w:hAnsi="楷体" w:cs="楷体"/>
          <w:color w:val="000000"/>
          <w:kern w:val="0"/>
          <w:highlight w:val="none"/>
        </w:rPr>
        <w:t>。</w:t>
      </w:r>
    </w:p>
    <w:p>
      <w:pPr>
        <w:widowControl/>
        <w:ind w:firstLine="480"/>
        <w:rPr>
          <w:rFonts w:hint="eastAsia" w:ascii="楷体" w:hAnsi="楷体" w:cs="楷体"/>
          <w:color w:val="000000"/>
          <w:kern w:val="0"/>
          <w:highlight w:val="none"/>
          <w:lang w:val="zh-CN" w:eastAsia="zh-CN"/>
        </w:rPr>
      </w:pPr>
      <w:r>
        <w:rPr>
          <w:rFonts w:hint="eastAsia" w:ascii="楷体" w:hAnsi="楷体" w:cs="楷体"/>
          <w:color w:val="000000"/>
          <w:kern w:val="0"/>
          <w:highlight w:val="none"/>
        </w:rPr>
        <w:t>2、本表中技术指标有偏离部分，须在“说明”列标注其在</w:t>
      </w:r>
      <w:r>
        <w:rPr>
          <w:rFonts w:hint="eastAsia" w:ascii="楷体" w:hAnsi="楷体" w:cs="楷体"/>
          <w:kern w:val="0"/>
          <w:highlight w:val="none"/>
        </w:rPr>
        <w:t>响应文件</w:t>
      </w:r>
      <w:r>
        <w:rPr>
          <w:rFonts w:hint="eastAsia" w:ascii="楷体" w:hAnsi="楷体" w:cs="楷体"/>
          <w:color w:val="000000"/>
          <w:kern w:val="0"/>
          <w:highlight w:val="none"/>
        </w:rPr>
        <w:t>的具体页码，并在</w:t>
      </w:r>
      <w:r>
        <w:rPr>
          <w:rFonts w:hint="eastAsia" w:ascii="楷体" w:hAnsi="楷体" w:cs="楷体"/>
          <w:kern w:val="0"/>
          <w:highlight w:val="none"/>
          <w:lang w:val="en-US" w:eastAsia="zh-CN"/>
        </w:rPr>
        <w:t>响应</w:t>
      </w:r>
      <w:r>
        <w:rPr>
          <w:rFonts w:hint="eastAsia" w:ascii="楷体" w:hAnsi="楷体" w:cs="楷体"/>
          <w:kern w:val="0"/>
          <w:highlight w:val="none"/>
        </w:rPr>
        <w:t>文件</w:t>
      </w:r>
      <w:r>
        <w:rPr>
          <w:rFonts w:hint="eastAsia" w:ascii="楷体" w:hAnsi="楷体" w:cs="楷体"/>
          <w:color w:val="000000"/>
          <w:kern w:val="0"/>
          <w:highlight w:val="none"/>
        </w:rPr>
        <w:t>证明资料中做显著标注</w:t>
      </w:r>
      <w:r>
        <w:rPr>
          <w:rFonts w:hint="eastAsia" w:ascii="楷体" w:hAnsi="楷体" w:cs="楷体"/>
          <w:color w:val="000000"/>
          <w:kern w:val="0"/>
          <w:highlight w:val="none"/>
          <w:lang w:eastAsia="zh-CN"/>
        </w:rPr>
        <w:t>，</w:t>
      </w:r>
      <w:r>
        <w:rPr>
          <w:rFonts w:hint="eastAsia" w:ascii="楷体" w:hAnsi="楷体" w:cs="楷体"/>
          <w:color w:val="000000"/>
          <w:kern w:val="0"/>
          <w:highlight w:val="none"/>
          <w:lang w:val="en-US" w:eastAsia="zh-CN"/>
        </w:rPr>
        <w:t>本表</w:t>
      </w:r>
      <w:r>
        <w:rPr>
          <w:rFonts w:hint="eastAsia" w:ascii="楷体" w:hAnsi="楷体" w:cs="楷体"/>
          <w:color w:val="000000"/>
          <w:kern w:val="0"/>
          <w:highlight w:val="none"/>
          <w:lang w:val="zh-CN" w:eastAsia="zh-CN"/>
        </w:rPr>
        <w:t>应按实</w:t>
      </w:r>
      <w:bookmarkStart w:id="155" w:name="_GoBack"/>
      <w:bookmarkEnd w:id="155"/>
      <w:r>
        <w:rPr>
          <w:rFonts w:hint="eastAsia" w:ascii="楷体" w:hAnsi="楷体" w:cs="楷体"/>
          <w:color w:val="000000"/>
          <w:kern w:val="0"/>
          <w:highlight w:val="none"/>
          <w:lang w:val="zh-CN" w:eastAsia="zh-CN"/>
        </w:rPr>
        <w:t>际情况填写，不得照抄、复制竞争性谈判文件技术参数要求，否则视为未实质性响应竞争性谈判文件。</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en-US" w:eastAsia="zh-CN"/>
        </w:rPr>
        <w:t>3、</w:t>
      </w:r>
      <w:r>
        <w:rPr>
          <w:rFonts w:hint="eastAsia" w:ascii="楷体" w:hAnsi="楷体" w:cs="楷体"/>
          <w:kern w:val="0"/>
          <w:highlight w:val="none"/>
        </w:rPr>
        <w:t>供应商必须据实填写，不得虚假响应，否则将取消其响应或成交资格，并按有关规定进处罚。</w:t>
      </w: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widowControl/>
        <w:ind w:left="0" w:leftChars="0" w:firstLine="0" w:firstLineChars="0"/>
        <w:jc w:val="center"/>
        <w:rPr>
          <w:rFonts w:hint="eastAsia" w:ascii="Arial" w:hAnsi="Arial" w:eastAsia="楷体" w:cstheme="minorBidi"/>
          <w:b/>
          <w:kern w:val="2"/>
          <w:sz w:val="28"/>
          <w:szCs w:val="24"/>
          <w:highlight w:val="none"/>
          <w:lang w:val="en-US" w:eastAsia="zh-CN" w:bidi="ar-SA"/>
        </w:rPr>
      </w:pPr>
    </w:p>
    <w:bookmarkEnd w:id="86"/>
    <w:p>
      <w:pPr>
        <w:pStyle w:val="4"/>
        <w:numPr>
          <w:ilvl w:val="1"/>
          <w:numId w:val="0"/>
        </w:numPr>
        <w:ind w:left="480" w:leftChars="200"/>
        <w:jc w:val="center"/>
        <w:rPr>
          <w:highlight w:val="none"/>
          <w:lang w:val="zh-CN"/>
        </w:rPr>
      </w:pPr>
      <w:bookmarkStart w:id="88" w:name="_Toc32699"/>
      <w:bookmarkStart w:id="89" w:name="_Toc8771_WPSOffice_Level1"/>
      <w:bookmarkStart w:id="90" w:name="_Toc18697_WPSOffice_Level1"/>
      <w:bookmarkStart w:id="91" w:name="_Toc1697_WPSOffice_Level1"/>
      <w:bookmarkStart w:id="92" w:name="_Toc257_WPSOffice_Level1"/>
      <w:bookmarkStart w:id="93" w:name="_Toc533610816"/>
      <w:bookmarkStart w:id="94" w:name="_Toc17496_WPSOffice_Level1"/>
      <w:bookmarkStart w:id="95" w:name="_Toc11241_WPSOffice_Level1"/>
      <w:bookmarkStart w:id="96" w:name="_Toc533610814"/>
      <w:r>
        <w:rPr>
          <w:rFonts w:hint="eastAsia"/>
          <w:highlight w:val="none"/>
          <w:lang w:val="zh-CN"/>
        </w:rPr>
        <w:t>第</w:t>
      </w:r>
      <w:r>
        <w:rPr>
          <w:rFonts w:hint="eastAsia"/>
          <w:highlight w:val="none"/>
        </w:rPr>
        <w:t>三</w:t>
      </w:r>
      <w:r>
        <w:rPr>
          <w:rFonts w:hint="eastAsia"/>
          <w:highlight w:val="none"/>
          <w:lang w:val="zh-CN"/>
        </w:rPr>
        <w:t>部分  供应商承诺书</w:t>
      </w:r>
      <w:bookmarkEnd w:id="88"/>
      <w:bookmarkEnd w:id="89"/>
      <w:bookmarkEnd w:id="90"/>
      <w:bookmarkEnd w:id="91"/>
      <w:bookmarkEnd w:id="92"/>
      <w:bookmarkEnd w:id="93"/>
      <w:bookmarkEnd w:id="94"/>
      <w:bookmarkEnd w:id="95"/>
    </w:p>
    <w:p>
      <w:pPr>
        <w:widowControl/>
        <w:ind w:firstLine="0" w:firstLineChars="0"/>
        <w:outlineLvl w:val="0"/>
        <w:rPr>
          <w:rFonts w:ascii="楷体" w:hAnsi="楷体" w:cs="楷体"/>
          <w:b/>
          <w:bCs/>
          <w:kern w:val="0"/>
          <w:sz w:val="28"/>
          <w:szCs w:val="28"/>
          <w:highlight w:val="none"/>
        </w:rPr>
      </w:pPr>
      <w:bookmarkStart w:id="97" w:name="_Toc10289_WPSOffice_Level1"/>
      <w:bookmarkStart w:id="98" w:name="_Toc19222"/>
      <w:bookmarkStart w:id="99" w:name="_Toc26074_WPSOffice_Level1"/>
      <w:bookmarkStart w:id="100" w:name="_Toc26135_WPSOffice_Level1"/>
      <w:bookmarkStart w:id="101" w:name="_Toc23907"/>
      <w:bookmarkStart w:id="102" w:name="_Toc8155_WPSOffice_Level1"/>
      <w:bookmarkStart w:id="103" w:name="_Toc25285_WPSOffice_Level1"/>
      <w:bookmarkStart w:id="104" w:name="_Toc15915_WPSOffice_Level1"/>
      <w:r>
        <w:rPr>
          <w:rFonts w:hint="eastAsia" w:ascii="楷体" w:hAnsi="楷体" w:cs="楷体"/>
          <w:b/>
          <w:bCs/>
          <w:kern w:val="0"/>
          <w:sz w:val="28"/>
          <w:szCs w:val="28"/>
          <w:highlight w:val="none"/>
          <w:lang w:eastAsia="zh-CN"/>
        </w:rPr>
        <w:t>陕西四方衡裕项目管理有限公司</w:t>
      </w:r>
      <w:r>
        <w:rPr>
          <w:rFonts w:hint="eastAsia" w:ascii="楷体" w:hAnsi="楷体" w:cs="楷体"/>
          <w:b/>
          <w:bCs/>
          <w:kern w:val="0"/>
          <w:sz w:val="28"/>
          <w:szCs w:val="28"/>
          <w:highlight w:val="none"/>
        </w:rPr>
        <w:t>：</w:t>
      </w:r>
      <w:bookmarkEnd w:id="97"/>
      <w:bookmarkEnd w:id="98"/>
      <w:bookmarkEnd w:id="99"/>
      <w:bookmarkEnd w:id="100"/>
      <w:bookmarkEnd w:id="101"/>
      <w:bookmarkEnd w:id="102"/>
      <w:bookmarkEnd w:id="103"/>
      <w:bookmarkEnd w:id="104"/>
    </w:p>
    <w:p>
      <w:pPr>
        <w:widowControl/>
        <w:ind w:firstLine="480"/>
        <w:rPr>
          <w:rFonts w:ascii="楷体" w:hAnsi="楷体" w:cs="楷体"/>
          <w:kern w:val="0"/>
          <w:highlight w:val="none"/>
        </w:rPr>
      </w:pPr>
      <w:r>
        <w:rPr>
          <w:rFonts w:hint="eastAsia" w:ascii="楷体" w:hAnsi="楷体" w:cs="楷体"/>
          <w:kern w:val="0"/>
          <w:highlight w:val="none"/>
        </w:rPr>
        <w:t>作为参加贵单位组织的</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rPr>
        <w:t>的供应商，本公司郑重承诺：</w:t>
      </w:r>
    </w:p>
    <w:p>
      <w:pPr>
        <w:widowControl/>
        <w:ind w:firstLine="480"/>
        <w:rPr>
          <w:rFonts w:ascii="楷体" w:hAnsi="楷体" w:cs="楷体"/>
          <w:kern w:val="0"/>
          <w:highlight w:val="none"/>
        </w:rPr>
      </w:pPr>
      <w:r>
        <w:rPr>
          <w:rFonts w:hint="eastAsia" w:ascii="楷体" w:hAnsi="楷体" w:cs="楷体"/>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2、近三年受到有关行政主管部门的行政处理、不良行为记录为</w:t>
      </w:r>
      <w:r>
        <w:rPr>
          <w:rFonts w:hint="eastAsia" w:ascii="楷体" w:hAnsi="楷体" w:cs="楷体"/>
          <w:kern w:val="0"/>
          <w:highlight w:val="none"/>
          <w:u w:val="single"/>
        </w:rPr>
        <w:t xml:space="preserve">    </w:t>
      </w:r>
      <w:r>
        <w:rPr>
          <w:rFonts w:hint="eastAsia" w:ascii="楷体" w:hAnsi="楷体" w:cs="楷体"/>
          <w:kern w:val="0"/>
          <w:highlight w:val="none"/>
        </w:rPr>
        <w:t>次（没有填零），如有隐瞒实情，愿承担一切责任及后果。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jc w:val="center"/>
        <w:rPr>
          <w:rStyle w:val="57"/>
          <w:szCs w:val="22"/>
          <w:highlight w:val="none"/>
          <w:lang w:val="zh-CN"/>
        </w:rPr>
      </w:pPr>
    </w:p>
    <w:p>
      <w:pPr>
        <w:widowControl/>
        <w:jc w:val="center"/>
        <w:rPr>
          <w:rStyle w:val="57"/>
          <w:szCs w:val="22"/>
          <w:highlight w:val="none"/>
          <w:lang w:val="zh-CN"/>
        </w:rPr>
        <w:sectPr>
          <w:pgSz w:w="11906" w:h="16838"/>
          <w:pgMar w:top="1418" w:right="1049" w:bottom="1418" w:left="1049" w:header="851" w:footer="992" w:gutter="0"/>
          <w:cols w:space="720" w:num="1"/>
          <w:docGrid w:linePitch="312" w:charSpace="0"/>
        </w:sectPr>
      </w:pPr>
      <w:bookmarkStart w:id="105" w:name="_Toc533610817"/>
    </w:p>
    <w:p>
      <w:pPr>
        <w:pStyle w:val="4"/>
        <w:numPr>
          <w:ilvl w:val="1"/>
          <w:numId w:val="0"/>
        </w:numPr>
        <w:ind w:left="480" w:leftChars="200"/>
        <w:jc w:val="center"/>
        <w:rPr>
          <w:highlight w:val="none"/>
          <w:lang w:val="zh-CN"/>
        </w:rPr>
      </w:pPr>
      <w:bookmarkStart w:id="106" w:name="_Toc25525_WPSOffice_Level1"/>
      <w:bookmarkStart w:id="107" w:name="_Toc19936_WPSOffice_Level1"/>
      <w:bookmarkStart w:id="108" w:name="_Toc12125_WPSOffice_Level1"/>
      <w:bookmarkStart w:id="109" w:name="_Toc30354"/>
      <w:bookmarkStart w:id="110" w:name="_Toc26795_WPSOffice_Level1"/>
      <w:bookmarkStart w:id="111" w:name="_Toc6155_WPSOffice_Level1"/>
      <w:bookmarkStart w:id="112" w:name="_Toc1667_WPSOffice_Level1"/>
      <w:r>
        <w:rPr>
          <w:rFonts w:hint="eastAsia"/>
          <w:highlight w:val="none"/>
          <w:lang w:val="zh-CN"/>
        </w:rPr>
        <w:t>第</w:t>
      </w:r>
      <w:r>
        <w:rPr>
          <w:rFonts w:hint="eastAsia"/>
          <w:highlight w:val="none"/>
        </w:rPr>
        <w:t>四</w:t>
      </w:r>
      <w:r>
        <w:rPr>
          <w:rFonts w:hint="eastAsia"/>
          <w:highlight w:val="none"/>
          <w:lang w:val="zh-CN"/>
        </w:rPr>
        <w:t>部分  供应商企业关系关联承诺书</w:t>
      </w:r>
      <w:bookmarkEnd w:id="105"/>
      <w:bookmarkEnd w:id="106"/>
      <w:bookmarkEnd w:id="107"/>
      <w:bookmarkEnd w:id="108"/>
      <w:bookmarkEnd w:id="109"/>
      <w:bookmarkEnd w:id="110"/>
      <w:bookmarkEnd w:id="111"/>
      <w:bookmarkEnd w:id="112"/>
    </w:p>
    <w:p>
      <w:pPr>
        <w:widowControl/>
        <w:ind w:firstLine="480"/>
        <w:rPr>
          <w:rFonts w:ascii="楷体" w:hAnsi="楷体" w:cs="楷体"/>
          <w:kern w:val="0"/>
          <w:highlight w:val="none"/>
        </w:rPr>
      </w:pPr>
      <w:r>
        <w:rPr>
          <w:rFonts w:hint="eastAsia" w:ascii="楷体" w:hAnsi="楷体" w:cs="楷体"/>
          <w:kern w:val="0"/>
          <w:highlight w:val="none"/>
        </w:rPr>
        <w:t>1、供应商股东及股权证明。</w:t>
      </w:r>
    </w:p>
    <w:p>
      <w:pPr>
        <w:widowControl/>
        <w:ind w:firstLine="480"/>
        <w:rPr>
          <w:rFonts w:ascii="楷体" w:hAnsi="楷体" w:cs="楷体"/>
          <w:kern w:val="0"/>
          <w:highlight w:val="none"/>
        </w:rPr>
      </w:pPr>
      <w:r>
        <w:rPr>
          <w:rFonts w:hint="eastAsia" w:ascii="楷体" w:hAnsi="楷体" w:cs="楷体"/>
          <w:kern w:val="0"/>
          <w:highlight w:val="none"/>
        </w:rPr>
        <w:t>2、供应商在本项目响应中，不存在与其它供应商负责人为同一人，有控股、管理等关联关系承诺。</w:t>
      </w:r>
    </w:p>
    <w:p>
      <w:pPr>
        <w:widowControl/>
        <w:ind w:firstLine="480"/>
        <w:rPr>
          <w:rFonts w:ascii="楷体" w:hAnsi="楷体" w:cs="楷体"/>
          <w:kern w:val="0"/>
          <w:highlight w:val="none"/>
        </w:rPr>
      </w:pPr>
      <w:bookmarkStart w:id="113" w:name="_Toc16551_WPSOffice_Level2"/>
      <w:bookmarkStart w:id="114" w:name="_Toc5492_WPSOffice_Level2"/>
      <w:r>
        <w:rPr>
          <w:rFonts w:hint="eastAsia" w:ascii="楷体" w:hAnsi="楷体" w:cs="楷体"/>
          <w:kern w:val="0"/>
          <w:highlight w:val="none"/>
        </w:rPr>
        <w:t>2-1、管理关系说明：</w:t>
      </w:r>
      <w:bookmarkEnd w:id="113"/>
      <w:bookmarkEnd w:id="114"/>
    </w:p>
    <w:p>
      <w:pPr>
        <w:widowControl/>
        <w:ind w:firstLine="480"/>
        <w:rPr>
          <w:rFonts w:ascii="楷体" w:hAnsi="楷体" w:cs="楷体"/>
          <w:kern w:val="0"/>
          <w:highlight w:val="none"/>
        </w:rPr>
      </w:pPr>
      <w:r>
        <w:rPr>
          <w:rFonts w:hint="eastAsia" w:ascii="楷体" w:hAnsi="楷体" w:cs="楷体"/>
          <w:kern w:val="0"/>
          <w:highlight w:val="none"/>
        </w:rPr>
        <w:t>我单位管理的具有独立法人的下属单位有：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我单位的上级管理单位有</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bookmarkStart w:id="115" w:name="_Toc20314_WPSOffice_Level2"/>
      <w:bookmarkStart w:id="116" w:name="_Toc29718_WPSOffice_Level2"/>
      <w:r>
        <w:rPr>
          <w:rFonts w:hint="eastAsia" w:ascii="楷体" w:hAnsi="楷体" w:cs="楷体"/>
          <w:kern w:val="0"/>
          <w:highlight w:val="none"/>
        </w:rPr>
        <w:t>2-2、股权关系说明：</w:t>
      </w:r>
      <w:bookmarkEnd w:id="115"/>
      <w:bookmarkEnd w:id="116"/>
    </w:p>
    <w:p>
      <w:pPr>
        <w:widowControl/>
        <w:ind w:firstLine="480"/>
        <w:rPr>
          <w:rFonts w:ascii="楷体" w:hAnsi="楷体" w:cs="楷体"/>
          <w:kern w:val="0"/>
          <w:highlight w:val="none"/>
        </w:rPr>
      </w:pPr>
      <w:r>
        <w:rPr>
          <w:rFonts w:hint="eastAsia" w:ascii="楷体" w:hAnsi="楷体" w:cs="楷体"/>
          <w:kern w:val="0"/>
          <w:highlight w:val="none"/>
        </w:rPr>
        <w:t>我单位控股的单位有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我单位被</w:t>
      </w:r>
      <w:r>
        <w:rPr>
          <w:rFonts w:hint="eastAsia" w:ascii="楷体" w:hAnsi="楷体" w:cs="楷体"/>
          <w:kern w:val="0"/>
          <w:highlight w:val="none"/>
          <w:u w:val="single"/>
        </w:rPr>
        <w:t xml:space="preserve">              </w:t>
      </w:r>
      <w:r>
        <w:rPr>
          <w:rFonts w:hint="eastAsia" w:ascii="楷体" w:hAnsi="楷体" w:cs="楷体"/>
          <w:kern w:val="0"/>
          <w:highlight w:val="none"/>
        </w:rPr>
        <w:t>单位控股。</w:t>
      </w:r>
    </w:p>
    <w:p>
      <w:pPr>
        <w:widowControl/>
        <w:ind w:firstLine="480"/>
        <w:rPr>
          <w:rFonts w:ascii="楷体" w:hAnsi="楷体" w:cs="楷体"/>
          <w:kern w:val="0"/>
          <w:highlight w:val="none"/>
          <w:u w:val="single"/>
        </w:rPr>
      </w:pPr>
      <w:bookmarkStart w:id="117" w:name="_Toc32291_WPSOffice_Level2"/>
      <w:bookmarkStart w:id="118" w:name="_Toc32538_WPSOffice_Level2"/>
      <w:r>
        <w:rPr>
          <w:rFonts w:hint="eastAsia" w:ascii="楷体" w:hAnsi="楷体" w:cs="楷体"/>
          <w:kern w:val="0"/>
          <w:highlight w:val="none"/>
        </w:rPr>
        <w:t>2-3、单位负责人：</w:t>
      </w:r>
      <w:bookmarkEnd w:id="117"/>
      <w:bookmarkEnd w:id="118"/>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u w:val="single"/>
        </w:rPr>
        <w:t xml:space="preserve">        （是或否） </w:t>
      </w:r>
      <w:r>
        <w:rPr>
          <w:rFonts w:hint="eastAsia" w:ascii="楷体" w:hAnsi="楷体" w:cs="楷体"/>
          <w:kern w:val="0"/>
          <w:highlight w:val="none"/>
        </w:rPr>
        <w:t>为采购项目提供整体设计、规范编制或者项目管理、监理、检测等服务的供应商。</w:t>
      </w:r>
    </w:p>
    <w:p>
      <w:pPr>
        <w:widowControl/>
        <w:ind w:firstLine="480"/>
        <w:rPr>
          <w:rFonts w:ascii="楷体" w:hAnsi="楷体" w:cs="楷体"/>
          <w:kern w:val="0"/>
          <w:highlight w:val="none"/>
        </w:rPr>
      </w:pPr>
      <w:r>
        <w:rPr>
          <w:rFonts w:hint="eastAsia" w:ascii="楷体" w:hAnsi="楷体" w:cs="楷体"/>
          <w:kern w:val="0"/>
          <w:highlight w:val="none"/>
        </w:rPr>
        <w:t>4、其他与本项目有关的利害关系说明：</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rPr>
        <w:t>我单位承诺以上说明真实有效，无虚假内容或隐瞒。</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bookmarkStart w:id="119" w:name="_Toc533610818"/>
      <w:bookmarkStart w:id="120" w:name="_Toc7353_WPSOffice_Level1"/>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pStyle w:val="4"/>
        <w:numPr>
          <w:ilvl w:val="1"/>
          <w:numId w:val="0"/>
        </w:numPr>
        <w:jc w:val="center"/>
        <w:rPr>
          <w:highlight w:val="none"/>
          <w:lang w:val="zh-CN"/>
        </w:rPr>
        <w:sectPr>
          <w:pgSz w:w="11906" w:h="16838"/>
          <w:pgMar w:top="1418" w:right="1134" w:bottom="1418" w:left="1134" w:header="851" w:footer="992" w:gutter="0"/>
          <w:cols w:space="720" w:num="1"/>
          <w:docGrid w:linePitch="312" w:charSpace="0"/>
        </w:sectPr>
      </w:pPr>
    </w:p>
    <w:p>
      <w:pPr>
        <w:pStyle w:val="4"/>
        <w:numPr>
          <w:ilvl w:val="1"/>
          <w:numId w:val="0"/>
        </w:numPr>
        <w:jc w:val="center"/>
        <w:rPr>
          <w:highlight w:val="none"/>
          <w:lang w:val="zh-CN"/>
        </w:rPr>
      </w:pPr>
      <w:bookmarkStart w:id="121" w:name="_Toc279_WPSOffice_Level1"/>
      <w:bookmarkStart w:id="122" w:name="_Toc27206_WPSOffice_Level1"/>
      <w:bookmarkStart w:id="123" w:name="_Toc22306"/>
      <w:bookmarkStart w:id="124" w:name="_Toc17271_WPSOffice_Level1"/>
      <w:bookmarkStart w:id="125" w:name="_Toc18774_WPSOffice_Level1"/>
      <w:bookmarkStart w:id="126" w:name="_Toc23676_WPSOffice_Level1"/>
      <w:r>
        <w:rPr>
          <w:rFonts w:hint="eastAsia"/>
          <w:highlight w:val="none"/>
          <w:lang w:val="zh-CN"/>
        </w:rPr>
        <w:t>第</w:t>
      </w:r>
      <w:r>
        <w:rPr>
          <w:rFonts w:hint="eastAsia"/>
          <w:highlight w:val="none"/>
        </w:rPr>
        <w:t>五</w:t>
      </w:r>
      <w:r>
        <w:rPr>
          <w:rFonts w:hint="eastAsia"/>
          <w:highlight w:val="none"/>
          <w:lang w:val="zh-CN"/>
        </w:rPr>
        <w:t>部分  资格证明文件</w:t>
      </w:r>
      <w:bookmarkEnd w:id="119"/>
      <w:bookmarkEnd w:id="120"/>
      <w:bookmarkEnd w:id="121"/>
      <w:bookmarkEnd w:id="122"/>
      <w:bookmarkEnd w:id="123"/>
      <w:bookmarkEnd w:id="124"/>
      <w:bookmarkEnd w:id="125"/>
      <w:bookmarkEnd w:id="126"/>
    </w:p>
    <w:p>
      <w:pPr>
        <w:widowControl/>
        <w:ind w:firstLine="482"/>
        <w:rPr>
          <w:rFonts w:ascii="楷体" w:hAnsi="楷体" w:cs="楷体"/>
          <w:b/>
          <w:bCs/>
          <w:kern w:val="0"/>
          <w:highlight w:val="none"/>
        </w:rPr>
      </w:pPr>
      <w:r>
        <w:rPr>
          <w:rFonts w:hint="eastAsia" w:ascii="楷体" w:hAnsi="楷体" w:cs="楷体"/>
          <w:b/>
          <w:bCs/>
          <w:kern w:val="0"/>
          <w:highlight w:val="none"/>
        </w:rPr>
        <w:t>备注：响应文件中资格证明文件须加盖供应商公章，且内容与原件一致，否则按无效响应处理。</w:t>
      </w:r>
    </w:p>
    <w:p>
      <w:pPr>
        <w:widowControl/>
        <w:ind w:firstLine="480"/>
        <w:rPr>
          <w:rFonts w:ascii="楷体" w:hAnsi="楷体" w:cs="楷体"/>
          <w:highlight w:val="none"/>
        </w:rPr>
      </w:pPr>
      <w:r>
        <w:rPr>
          <w:rFonts w:hint="eastAsia" w:ascii="楷体" w:hAnsi="楷体" w:cs="楷体"/>
          <w:highlight w:val="none"/>
        </w:rPr>
        <w:t xml:space="preserve"> </w:t>
      </w:r>
    </w:p>
    <w:p>
      <w:pPr>
        <w:ind w:firstLine="562"/>
        <w:jc w:val="center"/>
        <w:rPr>
          <w:b/>
          <w:bCs/>
          <w:sz w:val="28"/>
          <w:szCs w:val="28"/>
          <w:highlight w:val="none"/>
          <w:lang w:val="zh-CN"/>
        </w:rPr>
      </w:pPr>
      <w:bookmarkStart w:id="127" w:name="_Toc5451_WPSOffice_Level2"/>
    </w:p>
    <w:p>
      <w:pPr>
        <w:ind w:firstLine="562"/>
        <w:rPr>
          <w:b/>
          <w:bCs/>
          <w:sz w:val="28"/>
          <w:szCs w:val="28"/>
          <w:highlight w:val="none"/>
          <w:lang w:val="zh-CN"/>
        </w:rPr>
      </w:pPr>
      <w:bookmarkStart w:id="128" w:name="_Toc7817_WPSOffice_Level2"/>
      <w:r>
        <w:rPr>
          <w:rFonts w:hint="eastAsia"/>
          <w:b/>
          <w:bCs/>
          <w:sz w:val="28"/>
          <w:szCs w:val="28"/>
          <w:highlight w:val="none"/>
          <w:lang w:val="zh-CN"/>
        </w:rPr>
        <w:br w:type="page"/>
      </w:r>
    </w:p>
    <w:p>
      <w:pPr>
        <w:ind w:firstLine="562"/>
        <w:jc w:val="center"/>
        <w:rPr>
          <w:rFonts w:ascii="宋体" w:hAnsi="宋体"/>
          <w:b/>
          <w:sz w:val="32"/>
          <w:szCs w:val="32"/>
        </w:rPr>
      </w:pPr>
      <w:bookmarkStart w:id="129" w:name="_Toc19075"/>
      <w:bookmarkStart w:id="130" w:name="_Toc30210"/>
      <w:bookmarkStart w:id="131" w:name="_Toc363474028"/>
      <w:bookmarkStart w:id="132" w:name="_Toc4867"/>
      <w:bookmarkStart w:id="133" w:name="_Toc426457701"/>
      <w:bookmarkStart w:id="134" w:name="_Toc25348"/>
      <w:bookmarkStart w:id="135" w:name="_Toc16097"/>
      <w:bookmarkStart w:id="136" w:name="_Toc403077649"/>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w:t>
      </w:r>
      <w:r>
        <w:rPr>
          <w:rFonts w:hint="eastAsia" w:ascii="宋体" w:hAnsi="宋体"/>
          <w:szCs w:val="21"/>
          <w:lang w:val="en-US" w:eastAsia="zh-CN"/>
        </w:rPr>
        <w:t>谈判</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bookmarkEnd w:id="129"/>
    <w:bookmarkEnd w:id="130"/>
    <w:bookmarkEnd w:id="131"/>
    <w:bookmarkEnd w:id="132"/>
    <w:bookmarkEnd w:id="133"/>
    <w:bookmarkEnd w:id="134"/>
    <w:bookmarkEnd w:id="135"/>
    <w:bookmarkEnd w:id="136"/>
    <w:p>
      <w:pPr>
        <w:ind w:firstLine="0" w:firstLineChars="0"/>
        <w:jc w:val="center"/>
        <w:rPr>
          <w:b/>
          <w:bCs/>
          <w:sz w:val="28"/>
          <w:szCs w:val="28"/>
          <w:highlight w:val="none"/>
        </w:rPr>
      </w:pPr>
      <w:r>
        <w:rPr>
          <w:rFonts w:hint="eastAsia"/>
          <w:b/>
          <w:bCs/>
          <w:sz w:val="28"/>
          <w:szCs w:val="28"/>
          <w:highlight w:val="none"/>
          <w:lang w:val="zh-CN"/>
        </w:rPr>
        <w:t>法定代表人授权书</w:t>
      </w:r>
      <w:bookmarkEnd w:id="127"/>
      <w:bookmarkEnd w:id="128"/>
    </w:p>
    <w:p>
      <w:pPr>
        <w:widowControl/>
        <w:ind w:firstLine="482"/>
        <w:rPr>
          <w:rFonts w:ascii="楷体" w:hAnsi="楷体" w:cs="楷体"/>
          <w:b/>
          <w:bCs/>
          <w:kern w:val="0"/>
          <w:highlight w:val="none"/>
        </w:rPr>
      </w:pPr>
    </w:p>
    <w:p>
      <w:pPr>
        <w:widowControl/>
        <w:ind w:left="0" w:leftChars="0" w:firstLine="0" w:firstLineChars="0"/>
        <w:jc w:val="left"/>
        <w:rPr>
          <w:rFonts w:ascii="楷体" w:hAnsi="楷体" w:cs="楷体"/>
          <w:kern w:val="0"/>
          <w:highlight w:val="none"/>
        </w:rPr>
      </w:pPr>
      <w:r>
        <w:rPr>
          <w:rFonts w:hint="eastAsia" w:ascii="楷体" w:hAnsi="楷体" w:cs="楷体"/>
          <w:kern w:val="0"/>
          <w:highlight w:val="none"/>
          <w:lang w:eastAsia="zh-CN"/>
        </w:rPr>
        <w:t>陕西四方衡裕项目管理有限公司</w:t>
      </w:r>
      <w:r>
        <w:rPr>
          <w:rFonts w:hint="eastAsia" w:ascii="楷体" w:hAnsi="楷体" w:cs="楷体"/>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注册于</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市场监督管理</w:t>
      </w:r>
      <w:r>
        <w:rPr>
          <w:rFonts w:hint="eastAsia" w:ascii="楷体" w:hAnsi="楷体" w:cs="楷体"/>
          <w:kern w:val="0"/>
          <w:highlight w:val="none"/>
          <w:u w:val="single"/>
          <w:lang w:val="zh-CN"/>
        </w:rPr>
        <w:t>局名称）</w:t>
      </w:r>
      <w:r>
        <w:rPr>
          <w:rFonts w:hint="eastAsia" w:ascii="楷体" w:hAnsi="楷体" w:cs="楷体"/>
          <w:kern w:val="0"/>
          <w:highlight w:val="none"/>
          <w:lang w:val="zh-CN"/>
        </w:rPr>
        <w:t>之</w:t>
      </w:r>
      <w:r>
        <w:rPr>
          <w:rFonts w:hint="eastAsia" w:ascii="楷体" w:hAnsi="楷体" w:cs="楷体"/>
          <w:kern w:val="0"/>
          <w:highlight w:val="none"/>
          <w:u w:val="single"/>
          <w:lang w:val="zh-CN"/>
        </w:rPr>
        <w:t>（供应商全称）</w:t>
      </w:r>
      <w:r>
        <w:rPr>
          <w:rFonts w:hint="eastAsia" w:ascii="楷体" w:hAnsi="楷体" w:cs="楷体"/>
          <w:kern w:val="0"/>
          <w:highlight w:val="none"/>
          <w:lang w:val="zh-CN"/>
        </w:rPr>
        <w:t>法人代表</w:t>
      </w:r>
      <w:r>
        <w:rPr>
          <w:rFonts w:hint="eastAsia" w:ascii="楷体" w:hAnsi="楷体" w:cs="楷体"/>
          <w:kern w:val="0"/>
          <w:highlight w:val="none"/>
          <w:u w:val="single"/>
          <w:lang w:val="zh-CN"/>
        </w:rPr>
        <w:t>（姓名、职务）</w:t>
      </w:r>
      <w:r>
        <w:rPr>
          <w:rFonts w:hint="eastAsia" w:ascii="楷体" w:hAnsi="楷体" w:cs="楷体"/>
          <w:kern w:val="0"/>
          <w:highlight w:val="none"/>
          <w:lang w:val="zh-CN"/>
        </w:rPr>
        <w:t>授权</w:t>
      </w:r>
      <w:r>
        <w:rPr>
          <w:rFonts w:hint="eastAsia" w:ascii="楷体" w:hAnsi="楷体" w:cs="楷体"/>
          <w:kern w:val="0"/>
          <w:highlight w:val="none"/>
          <w:u w:val="single"/>
          <w:lang w:val="zh-CN"/>
        </w:rPr>
        <w:t>（授权代表姓名、职务）</w:t>
      </w:r>
      <w:r>
        <w:rPr>
          <w:rFonts w:hint="eastAsia" w:ascii="楷体" w:hAnsi="楷体" w:cs="楷体"/>
          <w:kern w:val="0"/>
          <w:highlight w:val="none"/>
          <w:lang w:val="zh-CN"/>
        </w:rPr>
        <w:t>为本公司的合法代理人，就</w:t>
      </w:r>
      <w:r>
        <w:rPr>
          <w:rFonts w:hint="eastAsia" w:ascii="楷体" w:hAnsi="楷体" w:cs="楷体"/>
          <w:kern w:val="0"/>
          <w:highlight w:val="none"/>
          <w:u w:val="single"/>
          <w:lang w:val="zh-CN"/>
        </w:rPr>
        <w:t>（</w:t>
      </w:r>
      <w:r>
        <w:rPr>
          <w:rFonts w:hint="eastAsia" w:ascii="楷体" w:hAnsi="楷体" w:cs="楷体"/>
          <w:kern w:val="0"/>
          <w:highlight w:val="none"/>
          <w:u w:val="single"/>
          <w:lang w:val="en-US" w:eastAsia="zh-CN"/>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采购项目编号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的谈判及合同的执行和完成，以本公司的名义处理一切与之有关的事宜。</w:t>
      </w:r>
    </w:p>
    <w:p>
      <w:pPr>
        <w:widowControl/>
        <w:ind w:firstLine="480"/>
        <w:rPr>
          <w:rFonts w:ascii="楷体" w:hAnsi="楷体" w:cs="楷体"/>
          <w:kern w:val="0"/>
          <w:highlight w:val="none"/>
          <w:lang w:val="zh-CN"/>
        </w:rPr>
      </w:pPr>
      <w:r>
        <w:rPr>
          <w:rFonts w:hint="eastAsia" w:ascii="楷体" w:hAnsi="楷体" w:cs="楷体"/>
          <w:kern w:val="0"/>
          <w:highlight w:val="none"/>
          <w:lang w:val="zh-CN"/>
        </w:rPr>
        <w:t>附：</w:t>
      </w:r>
    </w:p>
    <w:p>
      <w:pPr>
        <w:widowControl/>
        <w:ind w:firstLine="480"/>
        <w:rPr>
          <w:rFonts w:ascii="楷体" w:hAnsi="楷体" w:cs="楷体"/>
          <w:kern w:val="0"/>
          <w:highlight w:val="none"/>
        </w:rPr>
      </w:pP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rPr>
        <w:t>（签字）</w:t>
      </w:r>
    </w:p>
    <w:p>
      <w:pPr>
        <w:widowControl/>
        <w:ind w:firstLine="480"/>
        <w:rPr>
          <w:rFonts w:ascii="楷体" w:hAnsi="楷体" w:cs="楷体"/>
          <w:kern w:val="0"/>
          <w:highlight w:val="none"/>
          <w:u w:val="single"/>
        </w:rPr>
      </w:pPr>
      <w:r>
        <w:rPr>
          <w:rFonts w:hint="eastAsia" w:ascii="楷体" w:hAnsi="楷体" w:cs="楷体"/>
          <w:kern w:val="0"/>
          <w:highlight w:val="none"/>
          <w:lang w:val="zh-CN"/>
        </w:rPr>
        <w:t>职</w:t>
      </w:r>
      <w:r>
        <w:rPr>
          <w:rFonts w:hint="eastAsia" w:ascii="楷体" w:hAnsi="楷体" w:cs="楷体"/>
          <w:kern w:val="0"/>
          <w:highlight w:val="none"/>
        </w:rPr>
        <w:t xml:space="preserve">    </w:t>
      </w:r>
      <w:r>
        <w:rPr>
          <w:rFonts w:hint="eastAsia" w:ascii="楷体" w:hAnsi="楷体" w:cs="楷体"/>
          <w:kern w:val="0"/>
          <w:highlight w:val="none"/>
          <w:lang w:val="zh-CN"/>
        </w:rPr>
        <w:t>务：</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身份证号码：</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通讯地址：</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邮政编码：</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电</w:t>
      </w:r>
      <w:r>
        <w:rPr>
          <w:rFonts w:hint="eastAsia" w:ascii="楷体" w:hAnsi="楷体" w:cs="楷体"/>
          <w:kern w:val="0"/>
          <w:highlight w:val="none"/>
        </w:rPr>
        <w:t xml:space="preserve">    </w:t>
      </w:r>
      <w:r>
        <w:rPr>
          <w:rFonts w:hint="eastAsia" w:ascii="楷体" w:hAnsi="楷体" w:cs="楷体"/>
          <w:kern w:val="0"/>
          <w:highlight w:val="none"/>
          <w:lang w:val="zh-CN"/>
        </w:rPr>
        <w:t>话：</w:t>
      </w:r>
      <w:r>
        <w:rPr>
          <w:rFonts w:hint="eastAsia" w:ascii="楷体" w:hAnsi="楷体" w:cs="楷体"/>
          <w:kern w:val="0"/>
          <w:highlight w:val="none"/>
          <w:u w:val="single"/>
        </w:rPr>
        <w:t xml:space="preserve">                </w:t>
      </w:r>
      <w:r>
        <w:rPr>
          <w:rFonts w:hint="eastAsia" w:ascii="楷体" w:hAnsi="楷体" w:cs="楷体"/>
          <w:kern w:val="0"/>
          <w:highlight w:val="none"/>
        </w:rPr>
        <w:t xml:space="preserve">           传真</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p>
    <w:tbl>
      <w:tblPr>
        <w:tblStyle w:val="43"/>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hint="eastAsia" w:ascii="楷体" w:hAnsi="楷体" w:cs="楷体"/>
                <w:highlight w:val="none"/>
                <w:lang w:val="zh-CN"/>
              </w:rPr>
            </w:pPr>
            <w:r>
              <w:rPr>
                <w:rFonts w:hint="eastAsia" w:ascii="楷体" w:hAnsi="楷体" w:cs="楷体"/>
                <w:highlight w:val="none"/>
                <w:lang w:val="zh-CN"/>
              </w:rPr>
              <w:t>法定代表人身份证复印件</w:t>
            </w:r>
          </w:p>
          <w:p>
            <w:pPr>
              <w:widowControl/>
              <w:ind w:firstLine="0" w:firstLineChars="0"/>
              <w:jc w:val="center"/>
              <w:rPr>
                <w:highlight w:val="none"/>
                <w:lang w:val="zh-CN"/>
              </w:rPr>
            </w:pPr>
            <w:r>
              <w:rPr>
                <w:rFonts w:hint="eastAsia" w:ascii="楷体" w:hAnsi="楷体" w:cs="楷体"/>
                <w:kern w:val="0"/>
                <w:highlight w:val="none"/>
                <w:lang w:eastAsia="zh-CN"/>
              </w:rPr>
              <w:t>（</w:t>
            </w:r>
            <w:r>
              <w:rPr>
                <w:rFonts w:hint="eastAsia" w:ascii="楷体" w:hAnsi="楷体" w:cs="楷体"/>
                <w:kern w:val="0"/>
                <w:highlight w:val="none"/>
              </w:rPr>
              <w:t>正面及反面</w:t>
            </w:r>
            <w:r>
              <w:rPr>
                <w:rFonts w:hint="eastAsia" w:ascii="楷体" w:hAnsi="楷体" w:cs="楷体"/>
                <w:kern w:val="0"/>
                <w:highlight w:val="none"/>
                <w:lang w:eastAsia="zh-CN"/>
              </w:rPr>
              <w:t>）</w:t>
            </w:r>
          </w:p>
          <w:p>
            <w:pPr>
              <w:widowControl/>
              <w:ind w:firstLine="480"/>
              <w:jc w:val="center"/>
              <w:rPr>
                <w:highlight w:val="none"/>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hint="eastAsia" w:ascii="楷体" w:hAnsi="楷体" w:cs="楷体"/>
                <w:highlight w:val="none"/>
                <w:lang w:val="zh-CN"/>
              </w:rPr>
            </w:pPr>
            <w:r>
              <w:rPr>
                <w:rFonts w:hint="eastAsia" w:ascii="楷体" w:hAnsi="楷体" w:cs="楷体"/>
                <w:highlight w:val="none"/>
                <w:lang w:val="zh-CN"/>
              </w:rPr>
              <w:t>授权代表身份证复印件</w:t>
            </w:r>
          </w:p>
          <w:p>
            <w:pPr>
              <w:widowControl/>
              <w:ind w:firstLine="0" w:firstLineChars="0"/>
              <w:jc w:val="center"/>
              <w:rPr>
                <w:highlight w:val="none"/>
                <w:lang w:val="zh-CN"/>
              </w:rPr>
            </w:pPr>
            <w:r>
              <w:rPr>
                <w:rFonts w:hint="eastAsia" w:ascii="楷体" w:hAnsi="楷体" w:cs="楷体"/>
                <w:kern w:val="0"/>
                <w:sz w:val="24"/>
                <w:szCs w:val="24"/>
                <w:highlight w:val="none"/>
                <w:lang w:eastAsia="zh-CN"/>
              </w:rPr>
              <w:t>（</w:t>
            </w:r>
            <w:r>
              <w:rPr>
                <w:rFonts w:hint="eastAsia" w:ascii="楷体" w:hAnsi="楷体" w:cs="楷体"/>
                <w:kern w:val="0"/>
                <w:sz w:val="24"/>
                <w:szCs w:val="24"/>
                <w:highlight w:val="none"/>
              </w:rPr>
              <w:t>正面及反面</w:t>
            </w:r>
            <w:r>
              <w:rPr>
                <w:rFonts w:hint="eastAsia" w:ascii="楷体" w:hAnsi="楷体" w:cs="楷体"/>
                <w:kern w:val="0"/>
                <w:sz w:val="24"/>
                <w:szCs w:val="24"/>
                <w:highlight w:val="none"/>
                <w:lang w:eastAsia="zh-CN"/>
              </w:rPr>
              <w:t>）</w:t>
            </w:r>
          </w:p>
          <w:p>
            <w:pPr>
              <w:pStyle w:val="36"/>
              <w:ind w:firstLine="0" w:firstLineChars="0"/>
              <w:jc w:val="center"/>
              <w:rPr>
                <w:highlight w:val="none"/>
              </w:rPr>
            </w:pPr>
          </w:p>
        </w:tc>
      </w:tr>
    </w:tbl>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keepNext/>
        <w:keepLines/>
        <w:widowControl w:val="0"/>
        <w:numPr>
          <w:ilvl w:val="3"/>
          <w:numId w:val="0"/>
        </w:numPr>
        <w:spacing w:before="280" w:after="290" w:line="372" w:lineRule="auto"/>
        <w:ind w:firstLine="0" w:firstLineChars="0"/>
        <w:jc w:val="both"/>
        <w:outlineLvl w:val="3"/>
        <w:rPr>
          <w:rFonts w:ascii="楷体" w:hAnsi="楷体" w:eastAsia="楷体" w:cs="楷体"/>
          <w:b w:val="0"/>
          <w:kern w:val="0"/>
          <w:sz w:val="24"/>
          <w:szCs w:val="24"/>
          <w:lang w:val="en-US" w:eastAsia="zh-CN" w:bidi="ar-SA"/>
        </w:rPr>
      </w:pPr>
      <w:r>
        <w:rPr>
          <w:rFonts w:hint="eastAsia" w:ascii="楷体" w:hAnsi="楷体" w:eastAsia="楷体" w:cs="楷体"/>
          <w:b w:val="0"/>
          <w:kern w:val="0"/>
          <w:sz w:val="24"/>
          <w:szCs w:val="24"/>
          <w:lang w:val="en-US" w:eastAsia="zh-CN" w:bidi="ar-SA"/>
        </w:rPr>
        <w:t xml:space="preserve">    日      期：</w:t>
      </w:r>
      <w:r>
        <w:rPr>
          <w:rFonts w:hint="eastAsia" w:ascii="楷体" w:hAnsi="楷体" w:eastAsia="黑体" w:cs="楷体"/>
          <w:b/>
          <w:kern w:val="0"/>
          <w:sz w:val="28"/>
          <w:szCs w:val="24"/>
          <w:u w:val="single"/>
          <w:lang w:val="en-US" w:eastAsia="zh-CN" w:bidi="ar-SA"/>
        </w:rPr>
        <w:t xml:space="preserve">                      </w:t>
      </w:r>
    </w:p>
    <w:p>
      <w:pPr>
        <w:widowControl/>
        <w:ind w:firstLine="480"/>
        <w:rPr>
          <w:rFonts w:ascii="楷体" w:hAnsi="楷体" w:cs="楷体"/>
          <w:kern w:val="0"/>
          <w:highlight w:val="none"/>
          <w:lang w:val="zh-CN"/>
        </w:rPr>
      </w:pPr>
      <w:r>
        <w:rPr>
          <w:rFonts w:hint="eastAsia" w:ascii="楷体" w:hAnsi="楷体" w:cs="楷体"/>
          <w:kern w:val="0"/>
          <w:highlight w:val="none"/>
          <w:lang w:val="zh-CN"/>
        </w:rPr>
        <w:t>本授权书有效期自</w:t>
      </w:r>
      <w:r>
        <w:rPr>
          <w:rFonts w:hint="eastAsia" w:ascii="楷体" w:hAnsi="楷体" w:cs="楷体"/>
          <w:kern w:val="0"/>
          <w:highlight w:val="none"/>
          <w:lang w:eastAsia="zh-CN"/>
        </w:rPr>
        <w:t>谈判</w:t>
      </w:r>
      <w:r>
        <w:rPr>
          <w:rFonts w:hint="eastAsia" w:ascii="楷体" w:hAnsi="楷体" w:cs="楷体"/>
          <w:kern w:val="0"/>
          <w:highlight w:val="none"/>
          <w:lang w:val="zh-CN"/>
        </w:rPr>
        <w:t>之日起</w:t>
      </w:r>
      <w:r>
        <w:rPr>
          <w:rFonts w:hint="eastAsia" w:ascii="楷体" w:hAnsi="楷体" w:cs="楷体"/>
          <w:kern w:val="0"/>
          <w:highlight w:val="none"/>
          <w:u w:val="single"/>
        </w:rPr>
        <w:t xml:space="preserve">       </w:t>
      </w:r>
      <w:r>
        <w:rPr>
          <w:rFonts w:hint="eastAsia" w:ascii="楷体" w:hAnsi="楷体" w:cs="楷体"/>
          <w:kern w:val="0"/>
          <w:highlight w:val="none"/>
          <w:lang w:val="zh-CN"/>
        </w:rPr>
        <w:t>天；特此声明。</w:t>
      </w:r>
    </w:p>
    <w:p>
      <w:pPr>
        <w:widowControl/>
        <w:ind w:firstLine="480"/>
        <w:rPr>
          <w:rFonts w:ascii="楷体" w:hAnsi="楷体" w:cs="楷体"/>
          <w:b/>
          <w:bCs/>
          <w:kern w:val="0"/>
          <w:highlight w:val="none"/>
          <w:lang w:val="zh-CN"/>
        </w:rPr>
      </w:pPr>
      <w:r>
        <w:rPr>
          <w:rFonts w:hint="eastAsia" w:ascii="楷体" w:hAnsi="楷体" w:cs="楷体"/>
          <w:kern w:val="0"/>
          <w:highlight w:val="none"/>
          <w:lang w:val="zh-CN"/>
        </w:rPr>
        <w:t>（须与响应</w:t>
      </w:r>
      <w:r>
        <w:rPr>
          <w:rFonts w:hint="eastAsia" w:ascii="楷体" w:hAnsi="楷体" w:cs="楷体"/>
          <w:kern w:val="0"/>
          <w:highlight w:val="none"/>
        </w:rPr>
        <w:t>文件</w:t>
      </w:r>
      <w:r>
        <w:rPr>
          <w:rFonts w:hint="eastAsia" w:ascii="楷体" w:hAnsi="楷体" w:cs="楷体"/>
          <w:kern w:val="0"/>
          <w:highlight w:val="none"/>
          <w:lang w:val="zh-CN"/>
        </w:rPr>
        <w:t>有效期一致，不少于</w:t>
      </w:r>
      <w:r>
        <w:rPr>
          <w:rFonts w:hint="eastAsia" w:ascii="楷体" w:hAnsi="楷体" w:cs="楷体"/>
          <w:kern w:val="0"/>
          <w:highlight w:val="none"/>
          <w:lang w:val="en-US" w:eastAsia="zh-CN"/>
        </w:rPr>
        <w:t>九十</w:t>
      </w:r>
      <w:r>
        <w:rPr>
          <w:rFonts w:hint="eastAsia" w:ascii="楷体" w:hAnsi="楷体" w:cs="楷体"/>
          <w:kern w:val="0"/>
          <w:highlight w:val="none"/>
          <w:lang w:val="zh-CN"/>
        </w:rPr>
        <w:t>天）</w:t>
      </w:r>
      <w:r>
        <w:rPr>
          <w:rFonts w:hint="eastAsia" w:ascii="楷体" w:hAnsi="楷体" w:cs="楷体"/>
          <w:b/>
          <w:bCs/>
          <w:kern w:val="0"/>
          <w:highlight w:val="none"/>
          <w:lang w:val="zh-CN"/>
        </w:rPr>
        <w:br w:type="page"/>
      </w:r>
      <w:bookmarkStart w:id="137" w:name="_Toc31352_WPSOffice_Level2"/>
    </w:p>
    <w:p>
      <w:pPr>
        <w:widowControl/>
        <w:ind w:firstLine="0" w:firstLineChars="0"/>
        <w:jc w:val="center"/>
        <w:rPr>
          <w:rFonts w:ascii="楷体" w:hAnsi="楷体" w:cs="楷体"/>
          <w:b/>
          <w:bCs/>
          <w:kern w:val="0"/>
          <w:highlight w:val="none"/>
          <w:lang w:val="zh-CN"/>
        </w:rPr>
      </w:pPr>
      <w:bookmarkStart w:id="138" w:name="_Toc11640_WPSOffice_Level2"/>
      <w:r>
        <w:rPr>
          <w:rFonts w:hint="eastAsia" w:ascii="楷体" w:hAnsi="楷体" w:cs="楷体"/>
          <w:b/>
          <w:bCs/>
          <w:kern w:val="0"/>
          <w:sz w:val="28"/>
          <w:szCs w:val="28"/>
          <w:highlight w:val="none"/>
          <w:lang w:val="zh-CN"/>
        </w:rPr>
        <w:t>授权代表本单位证明</w:t>
      </w:r>
      <w:bookmarkEnd w:id="137"/>
      <w:bookmarkEnd w:id="138"/>
    </w:p>
    <w:p>
      <w:pPr>
        <w:widowControl/>
        <w:ind w:firstLine="480"/>
        <w:rPr>
          <w:rFonts w:ascii="楷体" w:hAnsi="楷体" w:cs="楷体"/>
          <w:kern w:val="0"/>
          <w:highlight w:val="none"/>
          <w:lang w:val="zh-CN"/>
        </w:rPr>
      </w:pPr>
    </w:p>
    <w:p>
      <w:pPr>
        <w:widowControl/>
        <w:ind w:left="0" w:leftChars="0" w:firstLine="0" w:firstLineChars="0"/>
        <w:jc w:val="center"/>
        <w:rPr>
          <w:rFonts w:ascii="楷体" w:hAnsi="楷体" w:cs="楷体"/>
          <w:kern w:val="0"/>
          <w:highlight w:val="none"/>
          <w:lang w:val="zh-CN"/>
        </w:rPr>
      </w:pPr>
      <w:r>
        <w:rPr>
          <w:rFonts w:hint="eastAsia" w:ascii="楷体" w:hAnsi="楷体" w:cs="楷体"/>
          <w:kern w:val="0"/>
          <w:highlight w:val="none"/>
          <w:lang w:val="zh-CN"/>
        </w:rPr>
        <w:t>（</w:t>
      </w:r>
      <w:r>
        <w:rPr>
          <w:rFonts w:hint="eastAsia" w:ascii="楷体" w:hAnsi="楷体" w:cs="楷体"/>
          <w:kern w:val="0"/>
          <w:highlight w:val="none"/>
        </w:rPr>
        <w:t>养老保险缴纳证明或劳动合同</w:t>
      </w:r>
      <w:r>
        <w:rPr>
          <w:rFonts w:hint="eastAsia" w:ascii="楷体" w:hAnsi="楷体" w:cs="楷体"/>
          <w:kern w:val="0"/>
          <w:highlight w:val="none"/>
          <w:lang w:val="zh-CN"/>
        </w:rPr>
        <w:t>）</w:t>
      </w:r>
    </w:p>
    <w:p>
      <w:pPr>
        <w:widowControl/>
        <w:ind w:firstLine="482"/>
        <w:rPr>
          <w:rFonts w:ascii="楷体" w:hAnsi="楷体" w:cs="楷体"/>
          <w:b/>
          <w:bCs/>
          <w:kern w:val="0"/>
          <w:highlight w:val="none"/>
        </w:rPr>
      </w:pPr>
      <w:r>
        <w:rPr>
          <w:rFonts w:hint="eastAsia" w:ascii="楷体" w:hAnsi="楷体" w:cs="楷体"/>
          <w:b/>
          <w:bCs/>
          <w:kern w:val="0"/>
          <w:highlight w:val="none"/>
        </w:rPr>
        <w:t xml:space="preserve"> </w:t>
      </w:r>
    </w:p>
    <w:p>
      <w:pPr>
        <w:widowControl/>
        <w:jc w:val="center"/>
        <w:rPr>
          <w:rStyle w:val="57"/>
          <w:szCs w:val="22"/>
          <w:highlight w:val="none"/>
          <w:lang w:val="zh-CN"/>
        </w:rPr>
        <w:sectPr>
          <w:pgSz w:w="11906" w:h="16838"/>
          <w:pgMar w:top="1418" w:right="1191" w:bottom="1418" w:left="1191" w:header="851" w:footer="992" w:gutter="0"/>
          <w:cols w:space="720" w:num="1"/>
          <w:docGrid w:linePitch="312" w:charSpace="0"/>
        </w:sectPr>
      </w:pPr>
    </w:p>
    <w:p>
      <w:pPr>
        <w:spacing w:line="360" w:lineRule="atLeast"/>
        <w:jc w:val="center"/>
        <w:rPr>
          <w:rFonts w:ascii="宋体" w:hAnsi="宋体"/>
          <w:b/>
          <w:color w:val="auto"/>
          <w:sz w:val="32"/>
          <w:szCs w:val="32"/>
          <w:highlight w:val="none"/>
        </w:rPr>
      </w:pPr>
      <w:bookmarkStart w:id="139" w:name="_Toc30319_WPSOffice_Level1"/>
      <w:bookmarkStart w:id="140" w:name="_Toc12499_WPSOffice_Level1"/>
      <w:bookmarkStart w:id="141" w:name="_Toc10587"/>
      <w:bookmarkStart w:id="142" w:name="_Toc11146_WPSOffice_Level1"/>
      <w:bookmarkStart w:id="143" w:name="_Toc23917_WPSOffice_Level1"/>
      <w:bookmarkStart w:id="144" w:name="_Toc10521_WPSOffice_Level1"/>
      <w:bookmarkStart w:id="145" w:name="_Toc16017_WPSOffice_Level1"/>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eastAsia="zh-CN"/>
        </w:rPr>
      </w:pPr>
      <w:r>
        <w:rPr>
          <w:rFonts w:hint="eastAsia" w:ascii="宋体" w:hAnsi="宋体" w:cs="Arial"/>
          <w:b/>
          <w:bCs/>
          <w:color w:val="auto"/>
          <w:kern w:val="0"/>
          <w:sz w:val="24"/>
          <w:szCs w:val="24"/>
          <w:highlight w:val="none"/>
        </w:rPr>
        <w:t>致：</w:t>
      </w:r>
      <w:r>
        <w:rPr>
          <w:rFonts w:hint="eastAsia" w:ascii="楷体" w:hAnsi="楷体" w:cs="楷体"/>
          <w:b/>
          <w:bCs/>
          <w:kern w:val="0"/>
          <w:highlight w:val="none"/>
          <w:lang w:eastAsia="zh-CN"/>
        </w:rPr>
        <w:t>陕西四方衡裕项目管理有限公司</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w:t>
      </w:r>
      <w:r>
        <w:rPr>
          <w:rFonts w:hint="eastAsia" w:ascii="宋体" w:hAnsi="宋体"/>
          <w:color w:val="auto"/>
          <w:sz w:val="24"/>
          <w:szCs w:val="24"/>
          <w:highlight w:val="none"/>
          <w:lang w:val="en-US" w:eastAsia="zh-CN"/>
        </w:rPr>
        <w:t>重大税收违法失信主体</w:t>
      </w:r>
      <w:r>
        <w:rPr>
          <w:rFonts w:hint="eastAsia" w:ascii="宋体" w:hAnsi="宋体"/>
          <w:color w:val="auto"/>
          <w:sz w:val="24"/>
          <w:szCs w:val="24"/>
          <w:highlight w:val="none"/>
        </w:rPr>
        <w:t>、未</w:t>
      </w:r>
      <w:r>
        <w:rPr>
          <w:rFonts w:ascii="宋体" w:hAnsi="宋体"/>
          <w:color w:val="auto"/>
          <w:sz w:val="24"/>
          <w:szCs w:val="24"/>
          <w:highlight w:val="none"/>
        </w:rPr>
        <w:t>在</w:t>
      </w:r>
      <w:r>
        <w:rPr>
          <w:rFonts w:hint="eastAsia" w:ascii="宋体" w:hAnsi="宋体"/>
          <w:color w:val="auto"/>
          <w:sz w:val="24"/>
          <w:szCs w:val="24"/>
          <w:highlight w:val="none"/>
        </w:rPr>
        <w:t>重大税收违法案件当事人名单及政府采购严重违法失信行为记录名单中。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法定代表人或</w:t>
      </w:r>
      <w:r>
        <w:rPr>
          <w:rFonts w:hint="eastAsia" w:ascii="宋体" w:hAnsi="宋体"/>
          <w:color w:val="auto"/>
          <w:sz w:val="24"/>
          <w:szCs w:val="24"/>
          <w:highlight w:val="none"/>
          <w:lang w:eastAsia="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2"/>
        <w:rPr>
          <w:rFonts w:ascii="宋体" w:hAnsi="宋体"/>
          <w:color w:val="auto"/>
          <w:sz w:val="24"/>
          <w:szCs w:val="24"/>
          <w:highlight w:val="none"/>
        </w:rPr>
      </w:pPr>
    </w:p>
    <w:p>
      <w:pPr>
        <w:rPr>
          <w:highlight w:val="none"/>
        </w:rPr>
      </w:pPr>
      <w:r>
        <w:rPr>
          <w:highlight w:val="none"/>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lang w:eastAsia="zh-CN"/>
        </w:rPr>
      </w:pPr>
      <w:r>
        <w:rPr>
          <w:rFonts w:hint="eastAsia" w:ascii="楷体" w:hAnsi="楷体" w:eastAsia="楷体" w:cs="楷体"/>
          <w:b/>
          <w:bCs/>
          <w:color w:val="auto"/>
          <w:kern w:val="0"/>
          <w:sz w:val="24"/>
          <w:szCs w:val="24"/>
          <w:highlight w:val="none"/>
        </w:rPr>
        <w:t>致：</w:t>
      </w:r>
      <w:r>
        <w:rPr>
          <w:rFonts w:hint="eastAsia" w:ascii="楷体" w:hAnsi="楷体" w:cs="楷体"/>
          <w:b/>
          <w:bCs/>
          <w:kern w:val="0"/>
          <w:highlight w:val="none"/>
          <w:lang w:eastAsia="zh-CN"/>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sz w:val="24"/>
          <w:szCs w:val="24"/>
          <w:highlight w:val="none"/>
          <w:lang w:val="en-US" w:eastAsia="zh-CN"/>
        </w:rPr>
        <w:t>谈判</w:t>
      </w:r>
      <w:r>
        <w:rPr>
          <w:rFonts w:hint="eastAsia" w:ascii="楷体" w:hAnsi="楷体" w:cs="楷体"/>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kern w:val="0"/>
          <w:highlight w:val="none"/>
          <w:lang w:val="en-US" w:eastAsia="zh-CN"/>
        </w:rPr>
        <w:t>谈判</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货物服务</w:t>
      </w:r>
      <w:r>
        <w:rPr>
          <w:rFonts w:hint="eastAsia" w:ascii="楷体" w:hAnsi="楷体" w:eastAsia="楷体" w:cs="楷体"/>
          <w:color w:val="auto"/>
          <w:kern w:val="0"/>
          <w:sz w:val="24"/>
          <w:szCs w:val="24"/>
          <w:highlight w:val="none"/>
          <w:lang w:val="en-US" w:eastAsia="zh-CN"/>
        </w:rPr>
        <w:t>，履行合同内容、保证</w:t>
      </w:r>
      <w:r>
        <w:rPr>
          <w:rFonts w:hint="eastAsia" w:ascii="楷体" w:hAnsi="楷体" w:cs="楷体"/>
          <w:color w:val="auto"/>
          <w:kern w:val="0"/>
          <w:sz w:val="24"/>
          <w:szCs w:val="24"/>
          <w:highlight w:val="none"/>
          <w:lang w:val="en-US" w:eastAsia="zh-CN"/>
        </w:rPr>
        <w:t>产品</w:t>
      </w:r>
      <w:r>
        <w:rPr>
          <w:rFonts w:hint="eastAsia" w:ascii="楷体" w:hAnsi="楷体" w:eastAsia="楷体" w:cs="楷体"/>
          <w:color w:val="auto"/>
          <w:kern w:val="0"/>
          <w:sz w:val="24"/>
          <w:szCs w:val="24"/>
          <w:highlight w:val="none"/>
          <w:lang w:val="en-US" w:eastAsia="zh-CN"/>
        </w:rPr>
        <w:t>质量，并按期</w:t>
      </w:r>
      <w:r>
        <w:rPr>
          <w:rFonts w:hint="eastAsia" w:ascii="楷体" w:hAnsi="楷体" w:cs="楷体"/>
          <w:color w:val="auto"/>
          <w:kern w:val="0"/>
          <w:sz w:val="24"/>
          <w:szCs w:val="24"/>
          <w:highlight w:val="none"/>
          <w:lang w:val="en-US" w:eastAsia="zh-CN"/>
        </w:rPr>
        <w:t>交货安装</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2"/>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cs="楷体"/>
          <w:color w:val="auto"/>
          <w:sz w:val="24"/>
          <w:szCs w:val="24"/>
          <w:highlight w:val="none"/>
          <w:lang w:eastAsia="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2"/>
        <w:spacing w:line="500" w:lineRule="exact"/>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 </w:t>
      </w:r>
    </w:p>
    <w:p>
      <w:pPr>
        <w:spacing w:line="360" w:lineRule="atLeast"/>
        <w:jc w:val="center"/>
        <w:rPr>
          <w:rFonts w:hint="eastAsia" w:ascii="楷体" w:hAnsi="楷体" w:eastAsia="楷体" w:cs="楷体"/>
          <w:b/>
          <w:color w:val="auto"/>
          <w:sz w:val="24"/>
          <w:szCs w:val="24"/>
          <w:highlight w:val="none"/>
        </w:rPr>
      </w:pPr>
    </w:p>
    <w:p>
      <w:pPr>
        <w:rPr>
          <w:rFonts w:hint="eastAsia"/>
          <w:highlight w:val="none"/>
          <w:lang w:val="zh-CN"/>
        </w:rPr>
      </w:pPr>
    </w:p>
    <w:p>
      <w:pPr>
        <w:jc w:val="center"/>
        <w:rPr>
          <w:rFonts w:hint="eastAsia" w:ascii="宋体" w:hAnsi="宋体" w:cs="Times New Roman"/>
          <w:b/>
          <w:color w:val="auto"/>
          <w:sz w:val="32"/>
          <w:szCs w:val="32"/>
          <w:highlight w:val="none"/>
          <w:lang w:eastAsia="zh-CN"/>
        </w:rPr>
      </w:pPr>
      <w:r>
        <w:rPr>
          <w:rFonts w:hint="eastAsia"/>
          <w:highlight w:val="none"/>
          <w:lang w:val="zh-CN"/>
        </w:rPr>
        <w:br w:type="page"/>
      </w: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s="Times New Roman"/>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jc w:val="left"/>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的响应过程中，保证提供的产品及服务符合谈判文件规定，符合法律、行政法规规定的其他条件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r>
        <w:rPr>
          <w:rFonts w:hint="eastAsia" w:ascii="楷体" w:hAnsi="楷体" w:cs="楷体"/>
          <w:b w:val="0"/>
          <w:bCs w:val="0"/>
          <w:color w:val="auto"/>
          <w:kern w:val="0"/>
          <w:sz w:val="24"/>
          <w:szCs w:val="24"/>
          <w:highlight w:val="none"/>
          <w:lang w:val="en-US" w:eastAsia="zh-CN"/>
        </w:rPr>
        <w:t xml:space="preserve"> </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宋体" w:hAnsi="宋体" w:cs="Times New Roman"/>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cs="楷体"/>
          <w:color w:val="auto"/>
          <w:sz w:val="24"/>
          <w:szCs w:val="24"/>
          <w:highlight w:val="none"/>
          <w:lang w:eastAsia="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42"/>
        <w:rPr>
          <w:rFonts w:hint="eastAsia"/>
          <w:lang w:val="zh-CN"/>
        </w:rPr>
      </w:pPr>
      <w:r>
        <w:rPr>
          <w:rFonts w:hint="eastAsia" w:ascii="楷体" w:hAnsi="楷体" w:eastAsia="楷体" w:cs="楷体"/>
          <w:b/>
          <w:color w:val="auto"/>
          <w:kern w:val="0"/>
          <w:sz w:val="24"/>
          <w:szCs w:val="24"/>
          <w:highlight w:val="none"/>
          <w:lang w:val="en-US" w:eastAsia="zh-CN" w:bidi="ar-SA"/>
        </w:rPr>
        <w:t xml:space="preserve">                              </w:t>
      </w:r>
      <w:r>
        <w:rPr>
          <w:rFonts w:hint="eastAsia" w:ascii="楷体" w:hAnsi="楷体" w:eastAsia="楷体" w:cs="楷体"/>
          <w:b w:val="0"/>
          <w:bCs/>
          <w:color w:val="auto"/>
          <w:kern w:val="0"/>
          <w:sz w:val="24"/>
          <w:szCs w:val="24"/>
          <w:highlight w:val="none"/>
          <w:lang w:val="en-US" w:eastAsia="zh-CN" w:bidi="ar-SA"/>
        </w:rPr>
        <w:t xml:space="preserve">日   期：      年    月    日 </w:t>
      </w:r>
      <w:r>
        <w:rPr>
          <w:rFonts w:hint="eastAsia" w:ascii="楷体" w:hAnsi="楷体" w:eastAsia="楷体" w:cs="楷体"/>
          <w:b w:val="0"/>
          <w:bCs/>
          <w:color w:val="auto"/>
          <w:kern w:val="0"/>
          <w:sz w:val="24"/>
          <w:szCs w:val="24"/>
          <w:highlight w:val="none"/>
          <w:lang w:val="zh-CN" w:eastAsia="zh-CN" w:bidi="ar-SA"/>
        </w:rPr>
        <w:br w:type="page"/>
      </w:r>
    </w:p>
    <w:p>
      <w:pPr>
        <w:pStyle w:val="4"/>
        <w:numPr>
          <w:ilvl w:val="1"/>
          <w:numId w:val="0"/>
        </w:numPr>
        <w:jc w:val="center"/>
        <w:rPr>
          <w:rFonts w:hint="default"/>
          <w:highlight w:val="none"/>
          <w:lang w:val="en-US"/>
        </w:rPr>
      </w:pPr>
      <w:r>
        <w:rPr>
          <w:rFonts w:hint="eastAsia"/>
          <w:highlight w:val="none"/>
          <w:lang w:val="zh-CN"/>
        </w:rPr>
        <w:t>第</w:t>
      </w:r>
      <w:r>
        <w:rPr>
          <w:rFonts w:hint="eastAsia"/>
          <w:highlight w:val="none"/>
        </w:rPr>
        <w:t>六</w:t>
      </w:r>
      <w:r>
        <w:rPr>
          <w:rFonts w:hint="eastAsia"/>
          <w:highlight w:val="none"/>
          <w:lang w:val="zh-CN"/>
        </w:rPr>
        <w:t xml:space="preserve">部分  </w:t>
      </w:r>
      <w:bookmarkEnd w:id="96"/>
      <w:bookmarkEnd w:id="139"/>
      <w:bookmarkEnd w:id="140"/>
      <w:bookmarkEnd w:id="141"/>
      <w:bookmarkEnd w:id="142"/>
      <w:bookmarkEnd w:id="143"/>
      <w:bookmarkEnd w:id="144"/>
      <w:bookmarkEnd w:id="145"/>
      <w:r>
        <w:rPr>
          <w:rFonts w:hint="eastAsia" w:ascii="楷体" w:hAnsi="楷体" w:eastAsia="楷体" w:cs="楷体"/>
          <w:b/>
          <w:color w:val="auto"/>
          <w:kern w:val="0"/>
          <w:sz w:val="28"/>
          <w:szCs w:val="20"/>
          <w:highlight w:val="none"/>
          <w:lang w:val="en-US" w:eastAsia="zh-CN" w:bidi="ar-SA"/>
        </w:rPr>
        <w:t>供货服务方案</w:t>
      </w:r>
      <w:r>
        <w:rPr>
          <w:rFonts w:hint="eastAsia" w:ascii="楷体" w:hAnsi="楷体" w:cs="楷体"/>
          <w:b/>
          <w:color w:val="auto"/>
          <w:kern w:val="0"/>
          <w:sz w:val="28"/>
          <w:szCs w:val="20"/>
          <w:highlight w:val="none"/>
          <w:lang w:val="en-US" w:eastAsia="zh-CN" w:bidi="ar-SA"/>
        </w:rPr>
        <w:t xml:space="preserve"> </w:t>
      </w:r>
    </w:p>
    <w:p>
      <w:pPr>
        <w:widowControl/>
        <w:ind w:firstLine="480"/>
        <w:rPr>
          <w:rFonts w:ascii="楷体" w:hAnsi="楷体" w:cs="楷体"/>
          <w:kern w:val="0"/>
          <w:highlight w:val="none"/>
          <w:lang w:val="zh-CN"/>
        </w:rPr>
      </w:pPr>
      <w:r>
        <w:rPr>
          <w:rFonts w:hint="eastAsia" w:ascii="楷体" w:hAnsi="楷体" w:cs="楷体"/>
          <w:kern w:val="0"/>
          <w:highlight w:val="none"/>
        </w:rPr>
        <w:t>供应商</w:t>
      </w:r>
      <w:r>
        <w:rPr>
          <w:rFonts w:hint="eastAsia" w:ascii="楷体" w:hAnsi="楷体" w:cs="楷体"/>
          <w:kern w:val="0"/>
          <w:highlight w:val="none"/>
          <w:lang w:val="zh-CN"/>
        </w:rPr>
        <w:t>根据谈判文件要求及评审内容自行编制。</w:t>
      </w:r>
    </w:p>
    <w:p>
      <w:pPr>
        <w:widowControl/>
        <w:ind w:firstLine="482"/>
        <w:rPr>
          <w:rFonts w:hint="eastAsia" w:ascii="楷体" w:hAnsi="楷体" w:cs="楷体"/>
          <w:b w:val="0"/>
          <w:bCs w:val="0"/>
          <w:kern w:val="0"/>
          <w:highlight w:val="none"/>
          <w:lang w:val="en-US" w:eastAsia="zh-CN"/>
        </w:rPr>
      </w:pPr>
      <w:r>
        <w:rPr>
          <w:rFonts w:hint="eastAsia" w:ascii="楷体" w:hAnsi="楷体" w:cs="楷体"/>
          <w:b w:val="0"/>
          <w:bCs w:val="0"/>
          <w:kern w:val="0"/>
          <w:highlight w:val="none"/>
          <w:lang w:val="en-US" w:eastAsia="zh-CN"/>
        </w:rPr>
        <w:t>包括但不限于以下内容：</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.1技术</w:t>
      </w:r>
      <w:r>
        <w:rPr>
          <w:rFonts w:hint="eastAsia" w:ascii="楷体" w:hAnsi="楷体" w:cs="楷体"/>
          <w:b w:val="0"/>
          <w:bCs w:val="0"/>
          <w:kern w:val="0"/>
          <w:highlight w:val="none"/>
          <w:lang w:val="en-US" w:eastAsia="zh-CN"/>
        </w:rPr>
        <w:t>响应</w:t>
      </w:r>
      <w:r>
        <w:rPr>
          <w:rFonts w:hint="eastAsia" w:ascii="楷体" w:hAnsi="楷体" w:cs="楷体"/>
          <w:b w:val="0"/>
          <w:bCs w:val="0"/>
          <w:kern w:val="0"/>
          <w:highlight w:val="none"/>
        </w:rPr>
        <w:t>方案的主要内容</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.1.1技术</w:t>
      </w:r>
      <w:r>
        <w:rPr>
          <w:rFonts w:hint="eastAsia" w:ascii="楷体" w:hAnsi="楷体" w:cs="楷体"/>
          <w:b w:val="0"/>
          <w:bCs w:val="0"/>
          <w:kern w:val="0"/>
          <w:highlight w:val="none"/>
          <w:lang w:val="en-US" w:eastAsia="zh-CN"/>
        </w:rPr>
        <w:t>响应</w:t>
      </w:r>
      <w:r>
        <w:rPr>
          <w:rFonts w:hint="eastAsia" w:ascii="楷体" w:hAnsi="楷体" w:cs="楷体"/>
          <w:b w:val="0"/>
          <w:bCs w:val="0"/>
          <w:kern w:val="0"/>
          <w:highlight w:val="none"/>
        </w:rPr>
        <w:t>与指标说明：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a.标的物选配型（选配、提供）说明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b.技术指标说明（数量、配置、功能、规格、知识产权、质量保证、使用说明、产品彩页等）</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c.质量标准、检测标准、符合国家规范及相关认证等</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d.质量保证措施</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rPr>
        <w:t>e.项目实施计划和人员组织安排、售后服务承诺等</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.1.</w:t>
      </w:r>
      <w:r>
        <w:rPr>
          <w:rFonts w:hint="eastAsia" w:ascii="楷体" w:hAnsi="楷体" w:cs="楷体"/>
          <w:b w:val="0"/>
          <w:bCs w:val="0"/>
          <w:kern w:val="0"/>
          <w:highlight w:val="none"/>
          <w:lang w:val="en-US" w:eastAsia="zh-CN"/>
        </w:rPr>
        <w:t>2</w:t>
      </w:r>
      <w:r>
        <w:rPr>
          <w:rFonts w:hint="eastAsia" w:ascii="楷体" w:hAnsi="楷体" w:cs="楷体"/>
          <w:b w:val="0"/>
          <w:bCs w:val="0"/>
          <w:kern w:val="0"/>
          <w:highlight w:val="none"/>
        </w:rPr>
        <w:t>有必要说明的技术问题</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w:t>
      </w:r>
      <w:r>
        <w:rPr>
          <w:rFonts w:hint="eastAsia" w:ascii="楷体" w:hAnsi="楷体" w:cs="楷体"/>
          <w:b w:val="0"/>
          <w:bCs w:val="0"/>
          <w:kern w:val="0"/>
          <w:highlight w:val="none"/>
          <w:lang w:val="en-US" w:eastAsia="zh-CN"/>
        </w:rPr>
        <w:t>供应商</w:t>
      </w:r>
      <w:r>
        <w:rPr>
          <w:rFonts w:hint="eastAsia" w:ascii="楷体" w:hAnsi="楷体" w:cs="楷体"/>
          <w:b w:val="0"/>
          <w:bCs w:val="0"/>
          <w:kern w:val="0"/>
          <w:highlight w:val="none"/>
        </w:rPr>
        <w:t>承担能力说明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.2.1技术系统支持能力说明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.2.2</w:t>
      </w:r>
      <w:r>
        <w:rPr>
          <w:rFonts w:hint="eastAsia" w:ascii="楷体" w:hAnsi="楷体" w:cs="楷体"/>
          <w:b w:val="0"/>
          <w:bCs w:val="0"/>
          <w:kern w:val="0"/>
          <w:highlight w:val="none"/>
          <w:lang w:val="en-US" w:eastAsia="zh-CN"/>
        </w:rPr>
        <w:t>软件</w:t>
      </w:r>
      <w:r>
        <w:rPr>
          <w:rFonts w:hint="eastAsia" w:ascii="楷体" w:hAnsi="楷体" w:cs="楷体"/>
          <w:b w:val="0"/>
          <w:bCs w:val="0"/>
          <w:kern w:val="0"/>
          <w:highlight w:val="none"/>
        </w:rPr>
        <w:t>系统支持能力说明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.2.3</w:t>
      </w:r>
      <w:r>
        <w:rPr>
          <w:rFonts w:hint="eastAsia" w:ascii="楷体" w:hAnsi="楷体" w:cs="楷体"/>
          <w:b w:val="0"/>
          <w:bCs w:val="0"/>
          <w:kern w:val="0"/>
          <w:highlight w:val="none"/>
          <w:lang w:val="en-US" w:eastAsia="zh-CN"/>
        </w:rPr>
        <w:t>供应商</w:t>
      </w:r>
      <w:r>
        <w:rPr>
          <w:rFonts w:hint="eastAsia" w:ascii="楷体" w:hAnsi="楷体" w:cs="楷体"/>
          <w:b w:val="0"/>
          <w:bCs w:val="0"/>
          <w:kern w:val="0"/>
          <w:highlight w:val="none"/>
        </w:rPr>
        <w:t>完成供货保障能力说明</w:t>
      </w:r>
    </w:p>
    <w:p>
      <w:pPr>
        <w:widowControl/>
        <w:ind w:firstLine="482"/>
        <w:rPr>
          <w:rFonts w:hint="eastAsia" w:ascii="楷体" w:hAnsi="楷体" w:cs="楷体"/>
          <w:b w:val="0"/>
          <w:bCs w:val="0"/>
          <w:kern w:val="0"/>
          <w:highlight w:val="none"/>
        </w:rPr>
      </w:pPr>
      <w:r>
        <w:rPr>
          <w:rFonts w:hint="eastAsia" w:ascii="楷体" w:hAnsi="楷体" w:cs="楷体"/>
          <w:b w:val="0"/>
          <w:bCs w:val="0"/>
          <w:kern w:val="0"/>
          <w:highlight w:val="none"/>
          <w:lang w:val="en-US" w:eastAsia="zh-CN"/>
        </w:rPr>
        <w:t>1</w:t>
      </w:r>
      <w:r>
        <w:rPr>
          <w:rFonts w:hint="eastAsia" w:ascii="楷体" w:hAnsi="楷体" w:cs="楷体"/>
          <w:b w:val="0"/>
          <w:bCs w:val="0"/>
          <w:kern w:val="0"/>
          <w:highlight w:val="none"/>
        </w:rPr>
        <w:t>.2.4其他有必要说明的问题</w:t>
      </w:r>
    </w:p>
    <w:p>
      <w:pPr>
        <w:widowControl/>
        <w:ind w:firstLine="482"/>
        <w:rPr>
          <w:rFonts w:ascii="楷体" w:hAnsi="楷体" w:cs="楷体"/>
          <w:b/>
          <w:bCs/>
          <w:kern w:val="0"/>
          <w:highlight w:val="none"/>
        </w:rPr>
      </w:pPr>
    </w:p>
    <w:p>
      <w:pPr>
        <w:ind w:right="-161" w:firstLine="2640" w:firstLineChars="1100"/>
        <w:rPr>
          <w:rFonts w:ascii="楷体" w:hAnsi="楷体" w:cs="楷体"/>
          <w:highlight w:val="none"/>
        </w:rPr>
      </w:pPr>
    </w:p>
    <w:p>
      <w:pPr>
        <w:ind w:firstLine="480"/>
        <w:rPr>
          <w:rFonts w:ascii="楷体" w:hAnsi="楷体" w:cs="楷体"/>
          <w:highlight w:val="none"/>
        </w:rPr>
        <w:sectPr>
          <w:pgSz w:w="11906" w:h="16838"/>
          <w:pgMar w:top="1440" w:right="1191" w:bottom="1440" w:left="1191" w:header="851" w:footer="992" w:gutter="0"/>
          <w:cols w:space="425" w:num="1"/>
          <w:docGrid w:type="lines" w:linePitch="312" w:charSpace="0"/>
        </w:sectPr>
      </w:pPr>
    </w:p>
    <w:p>
      <w:pPr>
        <w:pStyle w:val="4"/>
        <w:numPr>
          <w:ilvl w:val="1"/>
          <w:numId w:val="0"/>
        </w:numPr>
        <w:jc w:val="center"/>
        <w:rPr>
          <w:highlight w:val="none"/>
        </w:rPr>
      </w:pPr>
      <w:bookmarkStart w:id="146" w:name="_Toc16423"/>
      <w:bookmarkStart w:id="147" w:name="_Toc13445_WPSOffice_Level1"/>
      <w:bookmarkStart w:id="148" w:name="_Toc31050_WPSOffice_Level1"/>
      <w:bookmarkStart w:id="149" w:name="_Toc20889_WPSOffice_Level1"/>
      <w:bookmarkStart w:id="150" w:name="_Toc21763_WPSOffice_Level1"/>
      <w:bookmarkStart w:id="151" w:name="_Toc31795_WPSOffice_Level1"/>
      <w:r>
        <w:rPr>
          <w:rFonts w:hint="eastAsia"/>
          <w:highlight w:val="none"/>
          <w:lang w:val="zh-CN"/>
        </w:rPr>
        <w:t>第</w:t>
      </w:r>
      <w:r>
        <w:rPr>
          <w:rFonts w:hint="eastAsia"/>
          <w:highlight w:val="none"/>
        </w:rPr>
        <w:t>七</w:t>
      </w:r>
      <w:r>
        <w:rPr>
          <w:rFonts w:hint="eastAsia"/>
          <w:highlight w:val="none"/>
          <w:lang w:val="zh-CN"/>
        </w:rPr>
        <w:t xml:space="preserve">部分  </w:t>
      </w:r>
      <w:r>
        <w:rPr>
          <w:rFonts w:hint="eastAsia"/>
          <w:highlight w:val="none"/>
        </w:rPr>
        <w:t>供应商认为有必要说明的其他资料</w:t>
      </w:r>
      <w:bookmarkEnd w:id="146"/>
      <w:bookmarkEnd w:id="147"/>
      <w:bookmarkEnd w:id="148"/>
      <w:bookmarkEnd w:id="149"/>
      <w:bookmarkEnd w:id="150"/>
      <w:bookmarkEnd w:id="151"/>
    </w:p>
    <w:p>
      <w:pPr>
        <w:tabs>
          <w:tab w:val="left" w:pos="309"/>
        </w:tabs>
        <w:ind w:firstLine="480"/>
        <w:jc w:val="left"/>
        <w:rPr>
          <w:rFonts w:ascii="楷体" w:hAnsi="楷体" w:cs="楷体"/>
          <w:highlight w:val="none"/>
        </w:rPr>
      </w:pPr>
    </w:p>
    <w:p>
      <w:pPr>
        <w:rPr>
          <w:highlight w:val="none"/>
        </w:rPr>
      </w:pPr>
      <w:r>
        <w:rPr>
          <w:highlight w:val="none"/>
        </w:rPr>
        <w:br w:type="page"/>
      </w:r>
    </w:p>
    <w:p>
      <w:pPr>
        <w:pStyle w:val="4"/>
        <w:numPr>
          <w:ilvl w:val="1"/>
          <w:numId w:val="0"/>
        </w:numPr>
        <w:jc w:val="both"/>
        <w:rPr>
          <w:rFonts w:hint="eastAsia" w:ascii="楷体" w:hAnsi="楷体" w:eastAsia="楷体" w:cs="楷体"/>
          <w:b w:val="0"/>
          <w:bCs/>
          <w:sz w:val="24"/>
          <w:szCs w:val="24"/>
          <w:highlight w:val="none"/>
          <w:lang w:val="en-US" w:eastAsia="zh-CN"/>
        </w:rPr>
      </w:pPr>
      <w:r>
        <w:rPr>
          <w:rFonts w:hint="eastAsia" w:ascii="楷体" w:hAnsi="楷体" w:eastAsia="楷体" w:cs="楷体"/>
          <w:b w:val="0"/>
          <w:bCs/>
          <w:sz w:val="24"/>
          <w:szCs w:val="24"/>
          <w:highlight w:val="none"/>
          <w:lang w:val="en-US" w:eastAsia="zh-CN"/>
        </w:rPr>
        <w:t>附件1：</w:t>
      </w:r>
    </w:p>
    <w:p>
      <w:pPr>
        <w:pStyle w:val="3"/>
        <w:numPr>
          <w:ilvl w:val="0"/>
          <w:numId w:val="0"/>
        </w:numPr>
        <w:spacing w:before="162"/>
        <w:jc w:val="center"/>
        <w:rPr>
          <w:rFonts w:hint="eastAsia" w:ascii="楷体" w:hAnsi="楷体" w:eastAsia="楷体" w:cs="楷体"/>
          <w:sz w:val="28"/>
          <w:szCs w:val="28"/>
          <w:highlight w:val="none"/>
        </w:rPr>
      </w:pPr>
      <w:bookmarkStart w:id="152" w:name="_Toc24222"/>
      <w:r>
        <w:rPr>
          <w:rFonts w:hint="eastAsia" w:ascii="楷体" w:hAnsi="楷体" w:eastAsia="楷体" w:cs="楷体"/>
          <w:sz w:val="28"/>
          <w:szCs w:val="28"/>
          <w:highlight w:val="none"/>
        </w:rPr>
        <w:t>中小企业声明函（货物）</w:t>
      </w:r>
      <w:bookmarkEnd w:id="152"/>
    </w:p>
    <w:p>
      <w:pPr>
        <w:pStyle w:val="2"/>
        <w:spacing w:before="55" w:line="360" w:lineRule="auto"/>
        <w:ind w:right="0" w:rightChars="0" w:firstLine="640"/>
        <w:rPr>
          <w:rFonts w:hint="eastAsia" w:ascii="楷体" w:hAnsi="楷体" w:eastAsia="楷体" w:cs="楷体"/>
          <w:i w:val="0"/>
          <w:iCs w:val="0"/>
          <w:spacing w:val="0"/>
          <w:w w:val="95"/>
          <w:sz w:val="24"/>
          <w:szCs w:val="24"/>
          <w:highlight w:val="none"/>
        </w:rPr>
      </w:pPr>
      <w:r>
        <w:rPr>
          <w:rFonts w:hint="eastAsia" w:ascii="楷体" w:hAnsi="楷体" w:eastAsia="楷体" w:cs="楷体"/>
          <w:i w:val="0"/>
          <w:iCs w:val="0"/>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spacing w:val="0"/>
          <w:sz w:val="24"/>
          <w:szCs w:val="24"/>
          <w:highlight w:val="none"/>
          <w:u w:val="single"/>
        </w:rPr>
        <w:t>（单位名称）</w:t>
      </w:r>
      <w:r>
        <w:rPr>
          <w:rFonts w:hint="eastAsia" w:ascii="楷体" w:hAnsi="楷体" w:eastAsia="楷体" w:cs="楷体"/>
          <w:i w:val="0"/>
          <w:iCs w:val="0"/>
          <w:spacing w:val="0"/>
          <w:sz w:val="24"/>
          <w:szCs w:val="24"/>
          <w:highlight w:val="none"/>
        </w:rPr>
        <w:t>的</w:t>
      </w:r>
      <w:r>
        <w:rPr>
          <w:rFonts w:hint="eastAsia" w:ascii="楷体" w:hAnsi="楷体" w:eastAsia="楷体" w:cs="楷体"/>
          <w:i w:val="0"/>
          <w:iCs w:val="0"/>
          <w:spacing w:val="0"/>
          <w:sz w:val="24"/>
          <w:szCs w:val="24"/>
          <w:highlight w:val="none"/>
          <w:u w:val="single"/>
        </w:rPr>
        <w:t>（项目名称）</w:t>
      </w:r>
      <w:r>
        <w:rPr>
          <w:rFonts w:hint="eastAsia" w:ascii="楷体" w:hAnsi="楷体" w:eastAsia="楷体" w:cs="楷体"/>
          <w:i w:val="0"/>
          <w:iCs w:val="0"/>
          <w:spacing w:val="0"/>
          <w:sz w:val="24"/>
          <w:szCs w:val="24"/>
          <w:highlight w:val="none"/>
        </w:rPr>
        <w:t>采购活动，提</w:t>
      </w:r>
      <w:r>
        <w:rPr>
          <w:rFonts w:hint="eastAsia" w:ascii="楷体" w:hAnsi="楷体" w:eastAsia="楷体" w:cs="楷体"/>
          <w:i w:val="0"/>
          <w:iCs w:val="0"/>
          <w:spacing w:val="0"/>
          <w:w w:val="95"/>
          <w:sz w:val="24"/>
          <w:szCs w:val="24"/>
          <w:highlight w:val="none"/>
        </w:rPr>
        <w:t>供的货物全部由符合政策要求的中小企业制造。相关企业（含联合体中的中小企业、签订分包意向协议的中小企业）的具体情况如下：</w:t>
      </w:r>
    </w:p>
    <w:p>
      <w:pPr>
        <w:pStyle w:val="73"/>
        <w:numPr>
          <w:ilvl w:val="0"/>
          <w:numId w:val="0"/>
        </w:numPr>
        <w:tabs>
          <w:tab w:val="left" w:pos="1183"/>
          <w:tab w:val="left" w:pos="1484"/>
          <w:tab w:val="left" w:pos="4662"/>
          <w:tab w:val="left" w:pos="6903"/>
        </w:tabs>
        <w:spacing w:before="0" w:after="0" w:line="360" w:lineRule="auto"/>
        <w:ind w:left="0" w:leftChars="0" w:right="169" w:rightChars="0" w:firstLine="460" w:firstLineChars="200"/>
        <w:jc w:val="left"/>
        <w:rPr>
          <w:rFonts w:hint="eastAsia" w:ascii="楷体" w:hAnsi="楷体" w:eastAsia="楷体" w:cs="楷体"/>
          <w:i w:val="0"/>
          <w:iCs w:val="0"/>
          <w:spacing w:val="0"/>
          <w:sz w:val="24"/>
          <w:szCs w:val="24"/>
          <w:highlight w:val="none"/>
          <w:u w:val="none"/>
        </w:rPr>
      </w:pPr>
      <w:r>
        <w:rPr>
          <w:rFonts w:hint="eastAsia" w:ascii="楷体" w:hAnsi="楷体" w:eastAsia="楷体" w:cs="楷体"/>
          <w:i w:val="0"/>
          <w:iCs w:val="0"/>
          <w:spacing w:val="0"/>
          <w:w w:val="96"/>
          <w:sz w:val="24"/>
          <w:szCs w:val="24"/>
          <w:highlight w:val="none"/>
          <w:u w:val="none"/>
          <w:lang w:val="en-US" w:eastAsia="zh-CN"/>
        </w:rPr>
        <w:t>1.</w:t>
      </w:r>
      <w:r>
        <w:rPr>
          <w:rFonts w:hint="eastAsia" w:ascii="楷体" w:hAnsi="楷体" w:eastAsia="楷体" w:cs="楷体"/>
          <w:i w:val="0"/>
          <w:iCs w:val="0"/>
          <w:spacing w:val="0"/>
          <w:w w:val="96"/>
          <w:sz w:val="24"/>
          <w:szCs w:val="24"/>
          <w:highlight w:val="none"/>
          <w:u w:val="single"/>
        </w:rPr>
        <w:t xml:space="preserve"> </w:t>
      </w:r>
      <w:r>
        <w:rPr>
          <w:rFonts w:hint="eastAsia" w:ascii="楷体" w:hAnsi="楷体" w:eastAsia="楷体" w:cs="楷体"/>
          <w:i w:val="0"/>
          <w:iCs w:val="0"/>
          <w:spacing w:val="0"/>
          <w:sz w:val="24"/>
          <w:szCs w:val="24"/>
          <w:highlight w:val="none"/>
          <w:u w:val="single"/>
        </w:rPr>
        <w:t>（标的名称）</w:t>
      </w:r>
      <w:r>
        <w:rPr>
          <w:rFonts w:hint="eastAsia" w:ascii="楷体" w:hAnsi="楷体" w:eastAsia="楷体" w:cs="楷体"/>
          <w:i w:val="0"/>
          <w:iCs w:val="0"/>
          <w:spacing w:val="0"/>
          <w:sz w:val="24"/>
          <w:szCs w:val="24"/>
          <w:highlight w:val="none"/>
          <w:u w:val="none"/>
        </w:rPr>
        <w:t xml:space="preserve"> ，属于（</w:t>
      </w:r>
      <w:r>
        <w:rPr>
          <w:rFonts w:hint="eastAsia" w:ascii="楷体" w:hAnsi="楷体" w:eastAsia="楷体" w:cs="楷体"/>
          <w:i w:val="0"/>
          <w:iCs w:val="0"/>
          <w:spacing w:val="0"/>
          <w:sz w:val="24"/>
          <w:szCs w:val="24"/>
          <w:highlight w:val="none"/>
          <w:u w:val="single"/>
        </w:rPr>
        <w:t>采购文件中明确的所属行业）</w:t>
      </w:r>
      <w:r>
        <w:rPr>
          <w:rFonts w:hint="eastAsia" w:ascii="楷体" w:hAnsi="楷体" w:eastAsia="楷体" w:cs="楷体"/>
          <w:i w:val="0"/>
          <w:iCs w:val="0"/>
          <w:spacing w:val="0"/>
          <w:w w:val="96"/>
          <w:sz w:val="24"/>
          <w:szCs w:val="24"/>
          <w:highlight w:val="none"/>
          <w:u w:val="single"/>
        </w:rPr>
        <w:t>行业</w:t>
      </w:r>
      <w:r>
        <w:rPr>
          <w:rFonts w:hint="eastAsia" w:ascii="楷体" w:hAnsi="楷体" w:eastAsia="楷体" w:cs="楷体"/>
          <w:i w:val="0"/>
          <w:iCs w:val="0"/>
          <w:spacing w:val="0"/>
          <w:w w:val="99"/>
          <w:sz w:val="24"/>
          <w:szCs w:val="24"/>
          <w:highlight w:val="none"/>
          <w:u w:val="none"/>
        </w:rPr>
        <w:t>；制造商为</w:t>
      </w:r>
      <w:r>
        <w:rPr>
          <w:rFonts w:hint="eastAsia" w:ascii="楷体" w:hAnsi="楷体" w:eastAsia="楷体" w:cs="楷体"/>
          <w:i w:val="0"/>
          <w:iCs w:val="0"/>
          <w:spacing w:val="0"/>
          <w:w w:val="96"/>
          <w:sz w:val="24"/>
          <w:szCs w:val="24"/>
          <w:highlight w:val="none"/>
          <w:u w:val="single"/>
        </w:rPr>
        <w:t>（企业名称）</w:t>
      </w:r>
      <w:r>
        <w:rPr>
          <w:rFonts w:hint="eastAsia" w:ascii="楷体" w:hAnsi="楷体" w:eastAsia="楷体" w:cs="楷体"/>
          <w:i w:val="0"/>
          <w:iCs w:val="0"/>
          <w:spacing w:val="0"/>
          <w:w w:val="99"/>
          <w:sz w:val="24"/>
          <w:szCs w:val="24"/>
          <w:highlight w:val="none"/>
          <w:u w:val="none"/>
        </w:rPr>
        <w:t>，从业人员</w:t>
      </w:r>
      <w:r>
        <w:rPr>
          <w:rFonts w:hint="eastAsia" w:ascii="楷体" w:hAnsi="楷体" w:eastAsia="楷体" w:cs="楷体"/>
          <w:i w:val="0"/>
          <w:iCs w:val="0"/>
          <w:spacing w:val="0"/>
          <w:w w:val="99"/>
          <w:sz w:val="24"/>
          <w:szCs w:val="24"/>
          <w:highlight w:val="none"/>
          <w:u w:val="single"/>
        </w:rPr>
        <w:t xml:space="preserve"> </w:t>
      </w:r>
      <w:r>
        <w:rPr>
          <w:rFonts w:hint="eastAsia" w:ascii="楷体" w:hAnsi="楷体" w:eastAsia="楷体" w:cs="楷体"/>
          <w:i w:val="0"/>
          <w:iCs w:val="0"/>
          <w:spacing w:val="0"/>
          <w:w w:val="99"/>
          <w:sz w:val="24"/>
          <w:szCs w:val="24"/>
          <w:highlight w:val="none"/>
          <w:u w:val="single"/>
          <w:lang w:val="en-US" w:eastAsia="zh-CN"/>
        </w:rPr>
        <w:t xml:space="preserve">     </w:t>
      </w:r>
      <w:r>
        <w:rPr>
          <w:rFonts w:hint="eastAsia" w:ascii="楷体" w:hAnsi="楷体" w:eastAsia="楷体" w:cs="楷体"/>
          <w:i w:val="0"/>
          <w:iCs w:val="0"/>
          <w:spacing w:val="0"/>
          <w:w w:val="99"/>
          <w:sz w:val="24"/>
          <w:szCs w:val="24"/>
          <w:highlight w:val="none"/>
          <w:u w:val="none"/>
        </w:rPr>
        <w:t>人，营业收入</w:t>
      </w:r>
      <w:r>
        <w:rPr>
          <w:rFonts w:hint="eastAsia" w:ascii="楷体" w:hAnsi="楷体" w:eastAsia="楷体" w:cs="楷体"/>
          <w:i w:val="0"/>
          <w:iCs w:val="0"/>
          <w:spacing w:val="0"/>
          <w:sz w:val="24"/>
          <w:szCs w:val="24"/>
          <w:highlight w:val="none"/>
          <w:u w:val="none"/>
        </w:rPr>
        <w:t>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sz w:val="24"/>
          <w:szCs w:val="24"/>
          <w:highlight w:val="none"/>
          <w:u w:val="none"/>
        </w:rPr>
        <w:t>万元，资产总额为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w w:val="95"/>
          <w:sz w:val="24"/>
          <w:szCs w:val="24"/>
          <w:highlight w:val="none"/>
          <w:u w:val="none"/>
        </w:rPr>
        <w:t>万元，属于</w:t>
      </w:r>
      <w:r>
        <w:rPr>
          <w:rFonts w:hint="eastAsia" w:ascii="楷体" w:hAnsi="楷体" w:eastAsia="楷体" w:cs="楷体"/>
          <w:i w:val="0"/>
          <w:iCs w:val="0"/>
          <w:spacing w:val="0"/>
          <w:w w:val="95"/>
          <w:sz w:val="24"/>
          <w:szCs w:val="24"/>
          <w:highlight w:val="none"/>
          <w:u w:val="single"/>
        </w:rPr>
        <w:t>（中型企业、小型企业、</w:t>
      </w:r>
      <w:r>
        <w:rPr>
          <w:rFonts w:hint="eastAsia" w:ascii="楷体" w:hAnsi="楷体" w:eastAsia="楷体" w:cs="楷体"/>
          <w:i w:val="0"/>
          <w:iCs w:val="0"/>
          <w:spacing w:val="0"/>
          <w:w w:val="96"/>
          <w:sz w:val="24"/>
          <w:szCs w:val="24"/>
          <w:highlight w:val="none"/>
          <w:u w:val="single"/>
        </w:rPr>
        <w:t>微型企业）</w:t>
      </w:r>
      <w:r>
        <w:rPr>
          <w:rFonts w:hint="eastAsia" w:ascii="楷体" w:hAnsi="楷体" w:eastAsia="楷体" w:cs="楷体"/>
          <w:i w:val="0"/>
          <w:iCs w:val="0"/>
          <w:spacing w:val="0"/>
          <w:w w:val="99"/>
          <w:sz w:val="24"/>
          <w:szCs w:val="24"/>
          <w:highlight w:val="none"/>
          <w:u w:val="none"/>
        </w:rPr>
        <w:t>；</w:t>
      </w:r>
    </w:p>
    <w:p>
      <w:pPr>
        <w:pStyle w:val="73"/>
        <w:numPr>
          <w:ilvl w:val="0"/>
          <w:numId w:val="0"/>
        </w:numPr>
        <w:tabs>
          <w:tab w:val="left" w:pos="1165"/>
          <w:tab w:val="left" w:pos="1183"/>
          <w:tab w:val="left" w:pos="4362"/>
          <w:tab w:val="left" w:pos="6577"/>
        </w:tabs>
        <w:spacing w:before="0" w:after="0" w:line="360" w:lineRule="auto"/>
        <w:ind w:left="0" w:leftChars="0" w:right="0" w:rightChars="0" w:firstLine="478" w:firstLineChars="208"/>
        <w:jc w:val="left"/>
        <w:rPr>
          <w:rFonts w:hint="eastAsia" w:ascii="楷体" w:hAnsi="楷体" w:eastAsia="楷体" w:cs="楷体"/>
          <w:i w:val="0"/>
          <w:iCs w:val="0"/>
          <w:spacing w:val="0"/>
          <w:sz w:val="24"/>
          <w:szCs w:val="24"/>
          <w:highlight w:val="none"/>
          <w:u w:val="none"/>
        </w:rPr>
      </w:pPr>
      <w:r>
        <w:rPr>
          <w:rFonts w:hint="eastAsia" w:ascii="楷体" w:hAnsi="楷体" w:eastAsia="楷体" w:cs="楷体"/>
          <w:i w:val="0"/>
          <w:iCs w:val="0"/>
          <w:spacing w:val="0"/>
          <w:w w:val="96"/>
          <w:sz w:val="24"/>
          <w:szCs w:val="24"/>
          <w:highlight w:val="none"/>
          <w:u w:val="none"/>
          <w:lang w:val="en-US" w:eastAsia="zh-CN"/>
        </w:rPr>
        <w:t>2.</w:t>
      </w:r>
      <w:r>
        <w:rPr>
          <w:rFonts w:hint="eastAsia" w:ascii="楷体" w:hAnsi="楷体" w:eastAsia="楷体" w:cs="楷体"/>
          <w:i w:val="0"/>
          <w:iCs w:val="0"/>
          <w:spacing w:val="0"/>
          <w:w w:val="96"/>
          <w:sz w:val="24"/>
          <w:szCs w:val="24"/>
          <w:highlight w:val="none"/>
          <w:u w:val="single"/>
        </w:rPr>
        <w:t xml:space="preserve"> </w:t>
      </w:r>
      <w:r>
        <w:rPr>
          <w:rFonts w:hint="eastAsia" w:ascii="楷体" w:hAnsi="楷体" w:eastAsia="楷体" w:cs="楷体"/>
          <w:i w:val="0"/>
          <w:iCs w:val="0"/>
          <w:spacing w:val="0"/>
          <w:sz w:val="24"/>
          <w:szCs w:val="24"/>
          <w:highlight w:val="none"/>
          <w:u w:val="single"/>
        </w:rPr>
        <w:t>（标的名称）</w:t>
      </w:r>
      <w:r>
        <w:rPr>
          <w:rFonts w:hint="eastAsia" w:ascii="楷体" w:hAnsi="楷体" w:eastAsia="楷体" w:cs="楷体"/>
          <w:i w:val="0"/>
          <w:iCs w:val="0"/>
          <w:spacing w:val="0"/>
          <w:sz w:val="24"/>
          <w:szCs w:val="24"/>
          <w:highlight w:val="none"/>
          <w:u w:val="none"/>
        </w:rPr>
        <w:t xml:space="preserve"> ，属于（</w:t>
      </w:r>
      <w:r>
        <w:rPr>
          <w:rFonts w:hint="eastAsia" w:ascii="楷体" w:hAnsi="楷体" w:eastAsia="楷体" w:cs="楷体"/>
          <w:i w:val="0"/>
          <w:iCs w:val="0"/>
          <w:spacing w:val="0"/>
          <w:sz w:val="24"/>
          <w:szCs w:val="24"/>
          <w:highlight w:val="none"/>
          <w:u w:val="single"/>
        </w:rPr>
        <w:t>采购文件中明确的所属行业）</w:t>
      </w:r>
      <w:r>
        <w:rPr>
          <w:rFonts w:hint="eastAsia" w:ascii="楷体" w:hAnsi="楷体" w:eastAsia="楷体" w:cs="楷体"/>
          <w:i w:val="0"/>
          <w:iCs w:val="0"/>
          <w:spacing w:val="0"/>
          <w:w w:val="96"/>
          <w:sz w:val="24"/>
          <w:szCs w:val="24"/>
          <w:highlight w:val="none"/>
          <w:u w:val="single"/>
        </w:rPr>
        <w:t>行业</w:t>
      </w:r>
      <w:r>
        <w:rPr>
          <w:rFonts w:hint="eastAsia" w:ascii="楷体" w:hAnsi="楷体" w:eastAsia="楷体" w:cs="楷体"/>
          <w:i w:val="0"/>
          <w:iCs w:val="0"/>
          <w:spacing w:val="0"/>
          <w:w w:val="99"/>
          <w:sz w:val="24"/>
          <w:szCs w:val="24"/>
          <w:highlight w:val="none"/>
          <w:u w:val="none"/>
        </w:rPr>
        <w:t>；制造商为</w:t>
      </w:r>
      <w:r>
        <w:rPr>
          <w:rFonts w:hint="eastAsia" w:ascii="楷体" w:hAnsi="楷体" w:eastAsia="楷体" w:cs="楷体"/>
          <w:i w:val="0"/>
          <w:iCs w:val="0"/>
          <w:spacing w:val="0"/>
          <w:w w:val="96"/>
          <w:sz w:val="24"/>
          <w:szCs w:val="24"/>
          <w:highlight w:val="none"/>
          <w:u w:val="single"/>
        </w:rPr>
        <w:t>（企业名称）</w:t>
      </w:r>
      <w:r>
        <w:rPr>
          <w:rFonts w:hint="eastAsia" w:ascii="楷体" w:hAnsi="楷体" w:eastAsia="楷体" w:cs="楷体"/>
          <w:i w:val="0"/>
          <w:iCs w:val="0"/>
          <w:spacing w:val="0"/>
          <w:w w:val="99"/>
          <w:sz w:val="24"/>
          <w:szCs w:val="24"/>
          <w:highlight w:val="none"/>
          <w:u w:val="none"/>
        </w:rPr>
        <w:t>，从业人员</w:t>
      </w:r>
      <w:r>
        <w:rPr>
          <w:rFonts w:hint="eastAsia" w:ascii="楷体" w:hAnsi="楷体" w:eastAsia="楷体" w:cs="楷体"/>
          <w:i w:val="0"/>
          <w:iCs w:val="0"/>
          <w:spacing w:val="0"/>
          <w:w w:val="99"/>
          <w:sz w:val="24"/>
          <w:szCs w:val="24"/>
          <w:highlight w:val="none"/>
          <w:u w:val="single"/>
        </w:rPr>
        <w:t xml:space="preserve"> </w:t>
      </w:r>
      <w:r>
        <w:rPr>
          <w:rFonts w:hint="eastAsia" w:ascii="楷体" w:hAnsi="楷体" w:eastAsia="楷体" w:cs="楷体"/>
          <w:i w:val="0"/>
          <w:iCs w:val="0"/>
          <w:spacing w:val="0"/>
          <w:w w:val="99"/>
          <w:sz w:val="24"/>
          <w:szCs w:val="24"/>
          <w:highlight w:val="none"/>
          <w:u w:val="single"/>
          <w:lang w:val="en-US" w:eastAsia="zh-CN"/>
        </w:rPr>
        <w:t xml:space="preserve">     </w:t>
      </w:r>
      <w:r>
        <w:rPr>
          <w:rFonts w:hint="eastAsia" w:ascii="楷体" w:hAnsi="楷体" w:eastAsia="楷体" w:cs="楷体"/>
          <w:i w:val="0"/>
          <w:iCs w:val="0"/>
          <w:spacing w:val="0"/>
          <w:w w:val="99"/>
          <w:sz w:val="24"/>
          <w:szCs w:val="24"/>
          <w:highlight w:val="none"/>
          <w:u w:val="none"/>
        </w:rPr>
        <w:t>人，营业收入</w:t>
      </w:r>
      <w:r>
        <w:rPr>
          <w:rFonts w:hint="eastAsia" w:ascii="楷体" w:hAnsi="楷体" w:eastAsia="楷体" w:cs="楷体"/>
          <w:i w:val="0"/>
          <w:iCs w:val="0"/>
          <w:spacing w:val="0"/>
          <w:sz w:val="24"/>
          <w:szCs w:val="24"/>
          <w:highlight w:val="none"/>
          <w:u w:val="none"/>
        </w:rPr>
        <w:t>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sz w:val="24"/>
          <w:szCs w:val="24"/>
          <w:highlight w:val="none"/>
          <w:u w:val="none"/>
        </w:rPr>
        <w:t>万元，资产总额为</w:t>
      </w:r>
      <w:r>
        <w:rPr>
          <w:rFonts w:hint="eastAsia" w:ascii="楷体" w:hAnsi="楷体" w:eastAsia="楷体" w:cs="楷体"/>
          <w:i w:val="0"/>
          <w:iCs w:val="0"/>
          <w:spacing w:val="0"/>
          <w:sz w:val="24"/>
          <w:szCs w:val="24"/>
          <w:highlight w:val="none"/>
          <w:u w:val="single"/>
        </w:rPr>
        <w:t xml:space="preserve"> </w:t>
      </w:r>
      <w:r>
        <w:rPr>
          <w:rFonts w:hint="eastAsia" w:ascii="楷体" w:hAnsi="楷体" w:eastAsia="楷体" w:cs="楷体"/>
          <w:i w:val="0"/>
          <w:iCs w:val="0"/>
          <w:spacing w:val="0"/>
          <w:sz w:val="24"/>
          <w:szCs w:val="24"/>
          <w:highlight w:val="none"/>
          <w:u w:val="single"/>
          <w:lang w:val="en-US" w:eastAsia="zh-CN"/>
        </w:rPr>
        <w:t xml:space="preserve">     </w:t>
      </w:r>
      <w:r>
        <w:rPr>
          <w:rFonts w:hint="eastAsia" w:ascii="楷体" w:hAnsi="楷体" w:eastAsia="楷体" w:cs="楷体"/>
          <w:i w:val="0"/>
          <w:iCs w:val="0"/>
          <w:spacing w:val="0"/>
          <w:w w:val="95"/>
          <w:sz w:val="24"/>
          <w:szCs w:val="24"/>
          <w:highlight w:val="none"/>
          <w:u w:val="none"/>
        </w:rPr>
        <w:t>万元，属于</w:t>
      </w:r>
      <w:r>
        <w:rPr>
          <w:rFonts w:hint="eastAsia" w:ascii="楷体" w:hAnsi="楷体" w:eastAsia="楷体" w:cs="楷体"/>
          <w:i w:val="0"/>
          <w:iCs w:val="0"/>
          <w:spacing w:val="0"/>
          <w:w w:val="95"/>
          <w:sz w:val="24"/>
          <w:szCs w:val="24"/>
          <w:highlight w:val="none"/>
          <w:u w:val="single"/>
        </w:rPr>
        <w:t>（中型企业、小型企业、微</w:t>
      </w:r>
      <w:r>
        <w:rPr>
          <w:rFonts w:hint="eastAsia" w:ascii="楷体" w:hAnsi="楷体" w:eastAsia="楷体" w:cs="楷体"/>
          <w:i w:val="0"/>
          <w:iCs w:val="0"/>
          <w:spacing w:val="0"/>
          <w:w w:val="96"/>
          <w:sz w:val="24"/>
          <w:szCs w:val="24"/>
          <w:highlight w:val="none"/>
          <w:u w:val="single"/>
        </w:rPr>
        <w:t>型企业）</w:t>
      </w:r>
      <w:r>
        <w:rPr>
          <w:rFonts w:hint="eastAsia" w:ascii="楷体" w:hAnsi="楷体" w:eastAsia="楷体" w:cs="楷体"/>
          <w:i w:val="0"/>
          <w:iCs w:val="0"/>
          <w:spacing w:val="0"/>
          <w:w w:val="99"/>
          <w:sz w:val="24"/>
          <w:szCs w:val="24"/>
          <w:highlight w:val="none"/>
          <w:u w:val="none"/>
        </w:rPr>
        <w:t>；</w:t>
      </w:r>
    </w:p>
    <w:p>
      <w:pPr>
        <w:pStyle w:val="2"/>
        <w:spacing w:line="360" w:lineRule="auto"/>
        <w:ind w:left="860"/>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w:t>
      </w:r>
    </w:p>
    <w:p>
      <w:pPr>
        <w:pStyle w:val="2"/>
        <w:spacing w:before="105" w:line="360" w:lineRule="auto"/>
        <w:ind w:right="0" w:rightChars="0" w:firstLine="645"/>
        <w:jc w:val="both"/>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以上企业，不属于大企业的分支机构，不存在控股股东为大企业的情形，也不存在与大企业的负责人为同一人的情形。</w:t>
      </w:r>
    </w:p>
    <w:p>
      <w:pPr>
        <w:pStyle w:val="2"/>
        <w:spacing w:line="360" w:lineRule="auto"/>
        <w:ind w:right="372" w:firstLine="645"/>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本企业对上述声明内容的真实性负责。如有虚假，将依法承担相应责任。</w:t>
      </w:r>
    </w:p>
    <w:p>
      <w:pPr>
        <w:pStyle w:val="5"/>
        <w:spacing w:line="360" w:lineRule="auto"/>
        <w:rPr>
          <w:rFonts w:hint="eastAsia" w:ascii="楷体" w:hAnsi="楷体" w:eastAsia="楷体" w:cs="楷体"/>
          <w:i w:val="0"/>
          <w:iCs w:val="0"/>
          <w:spacing w:val="0"/>
          <w:w w:val="99"/>
          <w:sz w:val="24"/>
          <w:szCs w:val="24"/>
          <w:highlight w:val="none"/>
        </w:rPr>
      </w:pPr>
    </w:p>
    <w:p>
      <w:pPr>
        <w:spacing w:before="5" w:line="360" w:lineRule="auto"/>
        <w:ind w:left="20" w:right="0" w:firstLine="0"/>
        <w:jc w:val="left"/>
        <w:rPr>
          <w:rFonts w:hint="eastAsia" w:ascii="楷体" w:hAnsi="楷体" w:eastAsia="楷体" w:cs="楷体"/>
          <w:i w:val="0"/>
          <w:iCs w:val="0"/>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sz w:val="24"/>
          <w:szCs w:val="24"/>
          <w:highlight w:val="none"/>
        </w:rPr>
      </w:pPr>
      <w:r>
        <w:rPr>
          <w:rFonts w:hint="eastAsia" w:ascii="楷体" w:hAnsi="楷体" w:eastAsia="楷体" w:cs="楷体"/>
          <w:i w:val="0"/>
          <w:iCs w:val="0"/>
          <w:spacing w:val="0"/>
          <w:w w:val="99"/>
          <w:sz w:val="24"/>
          <w:szCs w:val="24"/>
          <w:highlight w:val="none"/>
          <w:lang w:val="en-US" w:eastAsia="zh-CN"/>
        </w:rPr>
        <w:t>备注：从业人员、营业收入、资产总额填报上一年度数据，无上一年度数据的新成立企业可不填报。</w:t>
      </w:r>
    </w:p>
    <w:p>
      <w:pPr>
        <w:pStyle w:val="5"/>
        <w:spacing w:line="360" w:lineRule="auto"/>
        <w:rPr>
          <w:rFonts w:hint="eastAsia" w:ascii="楷体" w:hAnsi="楷体" w:eastAsia="楷体" w:cs="楷体"/>
          <w:i w:val="0"/>
          <w:iCs w:val="0"/>
          <w:spacing w:val="0"/>
          <w:w w:val="99"/>
          <w:sz w:val="24"/>
          <w:szCs w:val="24"/>
          <w:highlight w:val="none"/>
          <w:lang w:val="en-US" w:eastAsia="zh-CN"/>
        </w:rPr>
      </w:pPr>
    </w:p>
    <w:p>
      <w:pPr>
        <w:pStyle w:val="5"/>
        <w:spacing w:line="360" w:lineRule="auto"/>
        <w:rPr>
          <w:rFonts w:hint="eastAsia" w:ascii="楷体" w:hAnsi="楷体" w:eastAsia="楷体" w:cs="楷体"/>
          <w:i w:val="0"/>
          <w:iCs w:val="0"/>
          <w:spacing w:val="0"/>
          <w:w w:val="99"/>
          <w:sz w:val="24"/>
          <w:szCs w:val="24"/>
          <w:highlight w:val="none"/>
        </w:rPr>
      </w:pPr>
    </w:p>
    <w:p>
      <w:pPr>
        <w:pStyle w:val="5"/>
        <w:spacing w:line="360" w:lineRule="auto"/>
        <w:ind w:firstLine="3792" w:firstLineChars="1600"/>
        <w:rPr>
          <w:rFonts w:hint="eastAsia" w:ascii="楷体" w:hAnsi="楷体" w:eastAsia="楷体" w:cs="楷体"/>
          <w:i w:val="0"/>
          <w:iCs w:val="0"/>
          <w:spacing w:val="0"/>
          <w:w w:val="99"/>
          <w:sz w:val="24"/>
          <w:szCs w:val="24"/>
          <w:highlight w:val="none"/>
        </w:rPr>
      </w:pPr>
      <w:r>
        <w:rPr>
          <w:rFonts w:hint="eastAsia" w:ascii="楷体" w:hAnsi="楷体" w:cs="楷体"/>
          <w:i w:val="0"/>
          <w:iCs w:val="0"/>
          <w:spacing w:val="0"/>
          <w:w w:val="99"/>
          <w:sz w:val="24"/>
          <w:szCs w:val="24"/>
          <w:highlight w:val="none"/>
          <w:lang w:val="en-US" w:eastAsia="zh-CN"/>
        </w:rPr>
        <w:t>供应商</w:t>
      </w:r>
      <w:r>
        <w:rPr>
          <w:rFonts w:hint="eastAsia" w:ascii="楷体" w:hAnsi="楷体" w:eastAsia="楷体" w:cs="楷体"/>
          <w:i w:val="0"/>
          <w:iCs w:val="0"/>
          <w:spacing w:val="0"/>
          <w:w w:val="99"/>
          <w:sz w:val="24"/>
          <w:szCs w:val="24"/>
          <w:highlight w:val="none"/>
        </w:rPr>
        <w:t>名称（盖章）：</w:t>
      </w:r>
    </w:p>
    <w:p>
      <w:pPr>
        <w:pStyle w:val="5"/>
        <w:spacing w:line="360" w:lineRule="auto"/>
        <w:ind w:firstLine="3840" w:firstLineChars="1600"/>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t>日</w:t>
      </w:r>
      <w:r>
        <w:rPr>
          <w:rFonts w:hint="eastAsia" w:ascii="楷体" w:hAnsi="楷体" w:eastAsia="楷体" w:cs="楷体"/>
          <w:i w:val="0"/>
          <w:iCs w:val="0"/>
          <w:spacing w:val="0"/>
          <w:sz w:val="24"/>
          <w:szCs w:val="24"/>
          <w:highlight w:val="none"/>
          <w:lang w:val="en-US" w:eastAsia="zh-CN"/>
        </w:rPr>
        <w:t xml:space="preserve">  </w:t>
      </w:r>
      <w:r>
        <w:rPr>
          <w:rFonts w:hint="eastAsia" w:ascii="楷体" w:hAnsi="楷体" w:eastAsia="楷体" w:cs="楷体"/>
          <w:i w:val="0"/>
          <w:iCs w:val="0"/>
          <w:spacing w:val="0"/>
          <w:sz w:val="24"/>
          <w:szCs w:val="24"/>
          <w:highlight w:val="none"/>
        </w:rPr>
        <w:t>期：</w:t>
      </w:r>
    </w:p>
    <w:p>
      <w:pPr>
        <w:pStyle w:val="5"/>
        <w:spacing w:line="360" w:lineRule="auto"/>
        <w:ind w:left="0" w:leftChars="0" w:firstLine="0" w:firstLineChars="0"/>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br w:type="page"/>
      </w:r>
    </w:p>
    <w:p>
      <w:pPr>
        <w:pStyle w:val="3"/>
        <w:numPr>
          <w:ilvl w:val="0"/>
          <w:numId w:val="0"/>
        </w:numPr>
        <w:ind w:left="562" w:hanging="562" w:hangingChars="200"/>
        <w:rPr>
          <w:rFonts w:ascii="楷体" w:hAnsi="楷体" w:cs="楷体"/>
        </w:rPr>
      </w:pPr>
      <w:r>
        <w:rPr>
          <w:rFonts w:hint="eastAsia" w:ascii="楷体" w:hAnsi="楷体" w:cs="楷体"/>
          <w:sz w:val="28"/>
          <w:szCs w:val="28"/>
        </w:rPr>
        <w:t>中小企业声明函（工程、服务）</w:t>
      </w:r>
    </w:p>
    <w:p>
      <w:pPr>
        <w:pStyle w:val="2"/>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73"/>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73"/>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
        <w:spacing w:before="11"/>
        <w:ind w:left="860" w:firstLine="480"/>
        <w:rPr>
          <w:rFonts w:ascii="楷体" w:hAnsi="楷体" w:cs="楷体"/>
          <w:sz w:val="24"/>
        </w:rPr>
      </w:pPr>
      <w:r>
        <w:rPr>
          <w:rFonts w:hint="eastAsia" w:ascii="楷体" w:hAnsi="楷体" w:cs="楷体"/>
          <w:sz w:val="24"/>
        </w:rPr>
        <w:t>……</w:t>
      </w:r>
    </w:p>
    <w:p>
      <w:pPr>
        <w:pStyle w:val="2"/>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5"/>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5"/>
        <w:ind w:firstLine="3792" w:firstLineChars="1600"/>
        <w:rPr>
          <w:rFonts w:ascii="楷体" w:hAnsi="楷体" w:cs="楷体"/>
          <w:w w:val="99"/>
        </w:rPr>
      </w:pPr>
      <w:r>
        <w:rPr>
          <w:rFonts w:hint="eastAsia" w:ascii="楷体" w:hAnsi="楷体" w:cs="楷体"/>
          <w:w w:val="99"/>
        </w:rPr>
        <w:t>供应商名称（盖章）：</w:t>
      </w:r>
    </w:p>
    <w:p>
      <w:pPr>
        <w:pStyle w:val="5"/>
        <w:ind w:firstLine="3840" w:firstLineChars="1600"/>
        <w:rPr>
          <w:rFonts w:ascii="楷体" w:hAnsi="楷体" w:cs="楷体"/>
        </w:rPr>
      </w:pPr>
      <w:r>
        <w:rPr>
          <w:rFonts w:hint="eastAsia" w:ascii="楷体" w:hAnsi="楷体" w:cs="楷体"/>
        </w:rPr>
        <w:t>日  期：</w:t>
      </w:r>
    </w:p>
    <w:p>
      <w:pPr>
        <w:pStyle w:val="5"/>
        <w:spacing w:line="360" w:lineRule="auto"/>
        <w:ind w:left="0" w:leftChars="0" w:firstLine="0" w:firstLineChars="0"/>
        <w:rPr>
          <w:rFonts w:hint="eastAsia" w:ascii="楷体" w:hAnsi="楷体" w:eastAsia="楷体" w:cs="楷体"/>
          <w:i w:val="0"/>
          <w:iCs w:val="0"/>
          <w:spacing w:val="0"/>
          <w:sz w:val="24"/>
          <w:szCs w:val="24"/>
          <w:highlight w:val="none"/>
        </w:rPr>
      </w:pPr>
      <w:r>
        <w:rPr>
          <w:rFonts w:hint="eastAsia" w:ascii="楷体" w:hAnsi="楷体" w:cs="楷体"/>
        </w:rPr>
        <w:br w:type="page"/>
      </w:r>
    </w:p>
    <w:p>
      <w:pPr>
        <w:pStyle w:val="5"/>
        <w:spacing w:line="360" w:lineRule="auto"/>
        <w:ind w:left="0" w:leftChars="0" w:firstLine="0" w:firstLineChars="0"/>
        <w:rPr>
          <w:rFonts w:hint="eastAsia" w:ascii="楷体" w:hAnsi="楷体" w:eastAsia="楷体" w:cs="楷体"/>
          <w:b w:val="0"/>
          <w:bCs/>
          <w:sz w:val="24"/>
          <w:szCs w:val="24"/>
          <w:highlight w:val="none"/>
          <w:lang w:val="en-US" w:eastAsia="zh-CN"/>
        </w:rPr>
      </w:pPr>
      <w:r>
        <w:rPr>
          <w:rFonts w:hint="eastAsia" w:ascii="楷体" w:hAnsi="楷体" w:eastAsia="楷体" w:cs="楷体"/>
          <w:b w:val="0"/>
          <w:bCs/>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spacing w:val="6"/>
          <w:sz w:val="32"/>
          <w:szCs w:val="32"/>
          <w:highlight w:val="none"/>
        </w:rPr>
      </w:pPr>
      <w:bookmarkStart w:id="153" w:name="OLE_LINK14"/>
      <w:bookmarkStart w:id="154" w:name="OLE_LINK13"/>
      <w:r>
        <w:rPr>
          <w:rFonts w:hint="eastAsia" w:ascii="楷体" w:hAnsi="楷体" w:eastAsia="楷体" w:cs="楷体"/>
          <w:b/>
          <w:kern w:val="44"/>
          <w:sz w:val="28"/>
          <w:szCs w:val="28"/>
          <w:highlight w:val="none"/>
          <w:lang w:val="en-US" w:eastAsia="zh-CN" w:bidi="ar-SA"/>
        </w:rPr>
        <w:t>残疾人福利性单位声明函</w:t>
      </w:r>
    </w:p>
    <w:bookmarkEnd w:id="153"/>
    <w:bookmarkEnd w:id="154"/>
    <w:p>
      <w:pPr>
        <w:spacing w:line="588" w:lineRule="exact"/>
        <w:rPr>
          <w:rFonts w:hint="eastAsia" w:ascii="楷体" w:hAnsi="楷体" w:eastAsia="楷体" w:cs="楷体"/>
          <w:b/>
          <w:spacing w:val="6"/>
          <w:sz w:val="30"/>
          <w:szCs w:val="30"/>
          <w:highlight w:val="none"/>
        </w:rPr>
      </w:pPr>
    </w:p>
    <w:p>
      <w:pPr>
        <w:spacing w:line="588" w:lineRule="exact"/>
        <w:ind w:firstLine="504" w:firstLineChars="20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sz w:val="24"/>
          <w:szCs w:val="24"/>
          <w:highlight w:val="none"/>
        </w:rPr>
        <w:t>〔2017〕 141</w:t>
      </w:r>
      <w:r>
        <w:rPr>
          <w:rFonts w:hint="eastAsia" w:ascii="楷体" w:hAnsi="楷体" w:eastAsia="楷体" w:cs="楷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spacing w:val="6"/>
          <w:sz w:val="24"/>
          <w:szCs w:val="24"/>
          <w:highlight w:val="none"/>
        </w:rPr>
      </w:pPr>
    </w:p>
    <w:p>
      <w:pPr>
        <w:spacing w:line="588" w:lineRule="exact"/>
        <w:ind w:firstLine="504" w:firstLineChars="200"/>
        <w:rPr>
          <w:rFonts w:hint="eastAsia" w:ascii="楷体" w:hAnsi="楷体" w:eastAsia="楷体" w:cs="楷体"/>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 xml:space="preserve">               </w:t>
      </w:r>
      <w:r>
        <w:rPr>
          <w:rFonts w:hint="eastAsia" w:ascii="楷体" w:hAnsi="楷体" w:eastAsia="楷体" w:cs="楷体"/>
          <w:spacing w:val="6"/>
          <w:sz w:val="24"/>
          <w:szCs w:val="24"/>
          <w:highlight w:val="none"/>
          <w:lang w:val="en-US" w:eastAsia="zh-CN"/>
        </w:rPr>
        <w:t xml:space="preserve">   </w:t>
      </w:r>
      <w:r>
        <w:rPr>
          <w:rFonts w:hint="eastAsia" w:ascii="楷体" w:hAnsi="楷体" w:cs="楷体"/>
          <w:i w:val="0"/>
          <w:iCs w:val="0"/>
          <w:spacing w:val="0"/>
          <w:w w:val="99"/>
          <w:sz w:val="24"/>
          <w:szCs w:val="24"/>
          <w:highlight w:val="none"/>
          <w:lang w:val="en-US" w:eastAsia="zh-CN"/>
        </w:rPr>
        <w:t>供应商</w:t>
      </w:r>
      <w:r>
        <w:rPr>
          <w:rFonts w:hint="eastAsia" w:ascii="楷体" w:hAnsi="楷体" w:eastAsia="楷体" w:cs="楷体"/>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 xml:space="preserve">       日  期：</w:t>
      </w:r>
    </w:p>
    <w:p>
      <w:pPr>
        <w:rPr>
          <w:rFonts w:hint="eastAsia" w:ascii="楷体" w:hAnsi="楷体" w:eastAsia="楷体" w:cs="楷体"/>
          <w:sz w:val="24"/>
          <w:szCs w:val="24"/>
          <w:highlight w:val="none"/>
        </w:rPr>
      </w:pPr>
    </w:p>
    <w:p>
      <w:pPr>
        <w:pStyle w:val="5"/>
        <w:rPr>
          <w:highlight w:val="none"/>
        </w:rPr>
      </w:pPr>
    </w:p>
    <w:sectPr>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E8gz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L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FE8gzAgAAZAQAAA4AAAAAAAAAAQAgAAAAHwEAAGRycy9lMm9Eb2MueG1sUEsF&#10;BgAAAAAGAAYAWQEAAMQ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西安市沣惠路16号泰华金贸国际8号楼</w:t>
    </w:r>
  </w:p>
  <w:p>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right" w:pos="8880"/>
        <w:tab w:val="clear" w:pos="4153"/>
        <w:tab w:val="clear" w:pos="8306"/>
      </w:tabs>
      <w:ind w:right="144" w:rightChars="60" w:firstLine="0" w:firstLineChars="0"/>
      <w:rPr>
        <w:i/>
        <w:iCs/>
      </w:rPr>
    </w:pPr>
    <w:r>
      <w:rPr>
        <w:rFonts w:hint="eastAsia"/>
      </w:rPr>
      <w:t>陕西四方衡裕项目管理有限公司</w:t>
    </w:r>
    <w:r>
      <mc:AlternateContent>
        <mc:Choice Requires="wps">
          <w:drawing>
            <wp:anchor distT="0" distB="0" distL="114300" distR="114300" simplePos="0" relativeHeight="252036096"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37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2036096;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1sG3oDQCAABlBAAADgAAAGRycy9lMm9Eb2MueG1srVTNjtMw&#10;EL4j8Q6W7zRtV5SqaroqWxUhVexKBXF2HaeJ5D/ZbpPyAPAGnLhw57n6HHx2mi5aOOyBSzr2jL+Z&#10;75uZzm9bJclROF8bndPRYEiJ0NwUtd7n9NPH9aspJT4wXTBptMjpSXh6u3j5Yt7YmRibyshCOAIQ&#10;7WeNzWkVgp1lmeeVUMwPjBUaztI4xQKObp8VjjVAVzIbD4eTrDGusM5w4T1uV52TXhDdcwBNWdZc&#10;rAw/KKFDh+qEZAGUfFVbTxep2rIUPNyXpReByJyCaUhfJIG9i99sMWezvWO2qvmlBPacEp5wUqzW&#10;SHqFWrHAyMHVf0GpmjvjTRkG3KisI5IUAYvR8Ik224pZkbhAam+vovv/B8s/HB8cqYuc3ryZUKKZ&#10;QsvP37+df/w6//xKRlGgxvoZ4rYWkaF9a1qMTX/vcRl5t6VT8ReMCPyQ93SVV7SB8PhoOp5Oh3Bx&#10;+PoD8LPH59b58E4YRaKRU4f+JVnZceNDF9qHxGzarGspUw+lJk1OJzevh+nB1QNwqWOsSNNwgYmU&#10;utKjFdpde+G5M8UJNJ3pJsVbvq5Ryob58MAcRgPlY3nCPT6lNEhpLhYllXFf/nUf49ExeClpMGo5&#10;1dgsSuR7jU4CMPSG641db+iDujOY3RGW0vJk4oELsjdLZ9RnbNQy5oCLaY5MOQ29eRe6ccdGcrFc&#10;piDMnmVho7eWR+goj7fLQ4CcSeUoSqcEuhMPmL7Up8umxPH+85yiHv8d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0L6idUAAAAIAQAADwAAAAAAAAABACAAAAAiAAAAZHJzL2Rvd25yZXYueG1s&#10;UEsBAhQAFAAAAAgAh07iQNbBt6A0AgAAZQQAAA4AAAAAAAAAAQAgAAAAJAEAAGRycy9lMm9Eb2Mu&#10;eG1sUEsFBgAAAAAGAAYAWQEAAMo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2035072"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2035072;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LsSwqA1AgAAZwQAAA4AAABkcnMvZTJvRG9jLnhtbK1UzY7a&#10;MBC+V+o7WL6XAKvuIkRY0UVUlVB3JVr1bByHRPKfbENCH6B9g5566X2fi+foZ4ew1baHPfQSxp7x&#10;N/N9M8PstlWSHITztdE5HQ2GlAjNTVHrXU4/f1q9mVDiA9MFk0aLnB6Fp7fz169mjZ2KsamMLIQj&#10;ANF+2ticViHYaZZ5XgnF/MBYoeEsjVMs4Oh2WeFYA3Qls/FweJ01xhXWGS68x+2yc9IzonsJoCnL&#10;moul4XsldOhQnZAsgJKvauvpPFVbloKH+7L0IhCZUzAN6YsksLfxm81nbLpzzFY1P5fAXlLCM06K&#10;1RpJL1BLFhjZu/ovKFVzZ7wpw4AblXVEkiJgMRo+02ZTMSsSF0jt7UV0//9g+cfDgyN1kdOrmxtK&#10;NFNo+enH99PPx9OvbyReQqLG+ikiNxaxoX1nWgxOf+9xGZm3pVPxF5wI/BD4eBFYtIHw+GgynkyG&#10;cHH4+gPws6fn1vnwXhhFopFThw4mYdlh7UMX2ofEbNqsailTF6UmTU6vr94O04OLB+BSx1iR5uEM&#10;Eyl1pUcrtNv2zHNriiNoOtPNird8VaOUNfPhgTkMB8rH+oR7fEppkNKcLUoq477+6z7Go2fwUtJg&#10;2HKqsVuUyA8avQRg6A3XG9ve0Ht1ZzC9I6yl5cnEAxdkb5bOqC/YqUXMARfTHJlyGnrzLnQDj53k&#10;YrFIQZg+y8JabyyP0FEebxf7ADmTylGUTgl0Jx4wf6lP512JA/7nOUU9/T/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xm7s1gAAAAkBAAAPAAAAAAAAAAEAIAAAACIAAABkcnMvZG93bnJldi54&#10;bWxQSwECFAAUAAAACACHTuJAuxLCoDUCAABnBAAADgAAAAAAAAABACAAAAAlAQAAZHJzL2Uyb0Rv&#10;Yy54bWxQSwUGAAAAAAYABgBZAQAAzAUAAAAA&#10;">
              <v:fill on="f" focussize="0,0"/>
              <v:stroke on="f" weight="0.5pt"/>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203404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203404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OqLO7jQCAABnBAAADgAAAGRycy9lMm9Eb2MueG1srVTNjtMw&#10;EL4j8Q6W7zRpVyx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r1B4zVT&#10;aPnp+7fTj1+nn19JvIRErfUzRD5YxIburekwOMO9x2Vk3lVOxV9wIvBD4ONFYNEFwuOj6WQ6zeHi&#10;8A0H4GePz63z4Z0wikSjoA4dTMKyw8aHPnQIidm0WTdSpi5KTdqCXl+9ztODiwfgUsdYkebhDBMp&#10;9aVHK3Tb7sxza8ojaDrTz4q3fN2glA3z4Z45DAfKx/qEO3wqaZDSnC1KauO+/Os+xqNn8FLSYtgK&#10;qrFblMj3Gr0EYBgMNxjbwdB7dWswvWOspeXJxAMX5GBWzqjP2KllzAEX0xyZChoG8zb0A4+d5GK5&#10;TEGYPsvCRj9YHqGjPN4u9wFyJpWjKL0S6E48YP5Sn867Egf8z3OKevx/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TNC9UAAAAIAQAADwAAAAAAAAABACAAAAAiAAAAZHJzL2Rvd25yZXYueG1s&#10;UEsBAhQAFAAAAAgAh07iQDqizu40AgAAZwQAAA4AAAAAAAAAAQAgAAAAJAEAAGRycy9lMm9Eb2Mu&#10;eG1sUEsFBgAAAAAGAAYAWQEAAMo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西安市沣惠路16号泰华金贸国际8号楼</w:t>
    </w:r>
  </w:p>
  <w:p>
    <w:pPr>
      <w:pStyle w:val="27"/>
      <w:tabs>
        <w:tab w:val="right" w:pos="8820"/>
        <w:tab w:val="clear" w:pos="8306"/>
      </w:tabs>
      <w:ind w:right="775" w:firstLine="400"/>
    </w:pPr>
    <w:r>
      <w:rPr>
        <w:sz w:val="20"/>
      </w:rPr>
      <mc:AlternateContent>
        <mc:Choice Requires="wps">
          <w:drawing>
            <wp:anchor distT="0" distB="0" distL="114300" distR="114300" simplePos="0" relativeHeight="252033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2033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2RNQ0AgAAZQQAAA4AAABkcnMvZTJvRG9jLnhtbK1UzY7TMBC+I/EO&#10;lu80bVcs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zVtKNFNo+enH&#10;99PPX6eHb2QcBWqsnyJuYxEZ2nemxdj09x6XkXdbOhV/wYjAD3mPF3lFGwiPjybjyWQIF4evPwA/&#10;e3xunQ/vhVEkGjl16F+SlR3WPnShfUjMps2qljL1UGrS5PT66v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tkTUNAIAAGUEAAAOAAAAAAAAAAEAIAAAAB8BAABkcnMvZTJvRG9jLnhtbFBL&#10;BQYAAAAABgAGAFkBAADF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right" w:pos="8880"/>
        <w:tab w:val="clear" w:pos="4153"/>
        <w:tab w:val="clear" w:pos="8306"/>
      </w:tabs>
      <w:ind w:right="144" w:rightChars="60" w:firstLine="0" w:firstLineChars="0"/>
      <w:rPr>
        <w:i/>
        <w:iCs/>
      </w:rPr>
    </w:pPr>
    <w:r>
      <w:rPr>
        <w:rFonts w:hint="eastAsia"/>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4384;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yENrBjICAABk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ytIoplC&#10;x88/vp9//j7/+kYmUZ/G+jnCHiwCQ/vOtJia4d7jMtJuS6fiLwgR+AF1uqgr2kB4fDSbzmZjuDh8&#10;wwH42dNz63x4L4wi0cipQ/uSquy49aELHUJiNm02tZSphVKTJqfXV2/H6cHFA3CpY6xIw9DDREpd&#10;6dEK7a7tee5McQJNZ7pB8ZZvapSyZT7cM4fJQPnYnXCHTykNUpreoqQy7uu/7mM8GgYvJQ0mLaca&#10;i0WJ/KDRSACGwXCDsRsMfVC3BqM7wU5ankw8cEEOZumM+oKFWsUccDHNkSmnYTBvQzftWEguVqsU&#10;hNGzLGz1g+UROsrj7eoQIGdSOYrSKYHuxAOGL/WpX5Q43X+eU9TTn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C+onVAAAACAEAAA8AAAAAAAAAAQAgAAAAIgAAAGRycy9kb3ducmV2LnhtbFBL&#10;AQIUABQAAAAIAIdO4kDIQ2sGMgIAAGQEAAAOAAAAAAAAAAEAIAAAACQBAABkcnMvZTJvRG9jLnht&#10;bFBLBQYAAAAABgAGAFkBAADI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3360"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63360;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ADZPiozAgAAZQQAAA4AAABkcnMvZTJvRG9jLnhtbK1UzY7T&#10;MBC+I/EOlu80aRFLVTVdla2KkCp2pQVxdh2nieQ/2W6T8gDwBpy4cN/n6nPw2Wm6aOGwBy7p2DP+&#10;Zr5vZjq/7pQkB+F8Y3RBx6OcEqG5KRu9K+jnT+tXU0p8YLpk0mhR0KPw9Hrx8sW8tTMxMbWRpXAE&#10;INrPWlvQOgQ7yzLPa6GYHxkrNJyVcYoFHN0uKx1rga5kNsnzq6w1rrTOcOE9ble9k54R3XMATVU1&#10;XKwM3yuhQ4/qhGQBlHzdWE8XqdqqEjzcVpUXgciCgmlIXySBvY3fbDFns51jtm74uQT2nBKecFKs&#10;0Uh6gVqxwMjeNX9BqYY7400VRtyorCeSFAGLcf5Em/uaWZG4QGpvL6L7/wfLPx7uHGnKgk7eUqKZ&#10;QsdPP76ffj6cfn0juINArfUzxN1bRIbunekwNsO9x2Xk3VVOxV8wIvBD3uNFXtEFwuOj6WQ6zeHi&#10;8A0H4GePz63z4b0wikSjoA79S7Kyw8aHPnQIidm0WTdSph5KTdqCXr1+k6cHFw/ApY6xIk3DGSZS&#10;6kuPVui23Znn1pRH0HSmnxRv+bpBKRvmwx1zGA2Uj+UJt/hU0iClOVuU1MZ9/dd9jEfH4KWkxagV&#10;VGOzKJEfNDoJwDAYbjC2g6H36sZgdsdYSsuTiQcuyMGsnFFfsFHLmAMupjkyFTQM5k3oxx0bycVy&#10;mYIwe5aFjb63PEJHebxd7gPkTCpHUXol0J14wPSlPp03JY73n+cU9fjv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MZu7NYAAAAJAQAADwAAAAAAAAABACAAAAAiAAAAZHJzL2Rvd25yZXYueG1s&#10;UEsBAhQAFAAAAAgAh07iQADZPiozAgAAZQQAAA4AAAAAAAAAAQAgAAAAJQEAAGRycy9lMm9Eb2Mu&#10;eG1sUEsFBgAAAAAGAAYAWQEAAMoFAAAAAA==&#10;">
              <v:fill on="f" focussize="0,0"/>
              <v:stroke on="f" weight="0.5pt"/>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JgrlvzI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i7Zgod&#10;v3z/dvnx6/LzK8EdBGqsnyNuZxEZ2remxdgM9x6XkXdbOhV/wYjAD3nPV3lFGwiPj2bT2WwMF4dv&#10;OAA/e3xunQ/vhFEkGjl16F+SlZ22PnShQ0jMps2mljL1UGrS5PTm9ZtxenD1AFzqGCvSNPQwkVJX&#10;erRCu297nntTnEHTmW5SvOWbGqVsmQ8PzGE0UD6WJ9zjU0qDlKa3KKmM+/Kv+xiPjsFLSYNRy6nG&#10;ZlEi32t0EoBhMNxg7AdDH9WdwexOsJSWJxMPXJCDWTqjPmOjVjEHXExzZMppGMy70I07NpKL1SoF&#10;YfYsC1u9szxCR3m8XR0D5EwqR1E6JdCdeMD0pT71mxLH+89zinr8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AmCuW/MgIAAGUEAAAOAAAAAAAAAAEAIAAAACQBAABkcnMvZTJvRG9jLnht&#10;bFBLBQYAAAAABgAGAFkBAADI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西安市沣惠路16号泰华金贸国际8号楼</w:t>
    </w:r>
  </w:p>
  <w:p>
    <w:pPr>
      <w:pStyle w:val="27"/>
      <w:tabs>
        <w:tab w:val="right" w:pos="8820"/>
        <w:tab w:val="clear" w:pos="8306"/>
      </w:tabs>
      <w:ind w:right="775" w:firstLine="4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8xvjgzAgAAZ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k6hPa/0MYfcWgaF7ZzpMzXDvcRlpd5VT8ReECPxQ93hRV3SB8PhoOplOc7g4fMMB+Nnj&#10;c+t8eC+MItEoqEP7kqrssPGhDx1CYjZt1o2UqYVSk7agV6/f5O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8xvjgzAgAAZAQAAA4AAAAAAAAAAQAgAAAAHwEAAGRycy9lMm9Eb2MueG1sUEsF&#10;BgAAAAAGAAYAWQEAAMQ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ind w:firstLine="360"/>
      <w:rPr>
        <w:rStyle w:val="47"/>
      </w:rPr>
    </w:pPr>
    <w:r>
      <w:fldChar w:fldCharType="begin"/>
    </w:r>
    <w:r>
      <w:rPr>
        <w:rStyle w:val="47"/>
      </w:rPr>
      <w:instrText xml:space="preserve">PAGE  </w:instrText>
    </w:r>
    <w:r>
      <w:fldChar w:fldCharType="separate"/>
    </w:r>
    <w:r>
      <w:rPr>
        <w:rStyle w:val="47"/>
      </w:rPr>
      <w:t>1</w:t>
    </w:r>
    <w:r>
      <w:fldChar w:fldCharType="end"/>
    </w:r>
  </w:p>
  <w:p>
    <w:pPr>
      <w:pStyle w:val="2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BA21056"/>
    <w:multiLevelType w:val="singleLevel"/>
    <w:tmpl w:val="CBA21056"/>
    <w:lvl w:ilvl="0" w:tentative="0">
      <w:start w:val="1"/>
      <w:numFmt w:val="chineseCounting"/>
      <w:suff w:val="nothing"/>
      <w:lvlText w:val="（%1）"/>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22E049B"/>
    <w:multiLevelType w:val="singleLevel"/>
    <w:tmpl w:val="522E049B"/>
    <w:lvl w:ilvl="0" w:tentative="0">
      <w:start w:val="1"/>
      <w:numFmt w:val="decimal"/>
      <w:suff w:val="nothing"/>
      <w:lvlText w:val="%1、"/>
      <w:lvlJc w:val="left"/>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6"/>
  </w:num>
  <w:num w:numId="2">
    <w:abstractNumId w:val="0"/>
  </w:num>
  <w:num w:numId="3">
    <w:abstractNumId w:val="8"/>
  </w:num>
  <w:num w:numId="4">
    <w:abstractNumId w:val="4"/>
  </w:num>
  <w:num w:numId="5">
    <w:abstractNumId w:val="7"/>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FEE1AF0"/>
    <w:rsid w:val="000100A6"/>
    <w:rsid w:val="00045205"/>
    <w:rsid w:val="000470A4"/>
    <w:rsid w:val="00050124"/>
    <w:rsid w:val="00055921"/>
    <w:rsid w:val="00066EDF"/>
    <w:rsid w:val="00082421"/>
    <w:rsid w:val="000A3A7D"/>
    <w:rsid w:val="000B1016"/>
    <w:rsid w:val="000C5A52"/>
    <w:rsid w:val="000D027B"/>
    <w:rsid w:val="000D40AC"/>
    <w:rsid w:val="001269D8"/>
    <w:rsid w:val="001303E4"/>
    <w:rsid w:val="00137A1A"/>
    <w:rsid w:val="0016690D"/>
    <w:rsid w:val="001733EE"/>
    <w:rsid w:val="0017621D"/>
    <w:rsid w:val="0018072A"/>
    <w:rsid w:val="001A0A26"/>
    <w:rsid w:val="001B099D"/>
    <w:rsid w:val="001C7104"/>
    <w:rsid w:val="001E47CE"/>
    <w:rsid w:val="001F0B0A"/>
    <w:rsid w:val="001F669B"/>
    <w:rsid w:val="0020675A"/>
    <w:rsid w:val="002119A3"/>
    <w:rsid w:val="00247970"/>
    <w:rsid w:val="002621BF"/>
    <w:rsid w:val="002676CE"/>
    <w:rsid w:val="0029524C"/>
    <w:rsid w:val="002C6F76"/>
    <w:rsid w:val="002D2C3C"/>
    <w:rsid w:val="002D7C97"/>
    <w:rsid w:val="002E1E81"/>
    <w:rsid w:val="00312BFE"/>
    <w:rsid w:val="00340DDB"/>
    <w:rsid w:val="00341566"/>
    <w:rsid w:val="0035199D"/>
    <w:rsid w:val="00352D99"/>
    <w:rsid w:val="00356DEB"/>
    <w:rsid w:val="00390741"/>
    <w:rsid w:val="003A5CF9"/>
    <w:rsid w:val="003C6034"/>
    <w:rsid w:val="0040297C"/>
    <w:rsid w:val="00415206"/>
    <w:rsid w:val="00415BDB"/>
    <w:rsid w:val="004218B5"/>
    <w:rsid w:val="004519BC"/>
    <w:rsid w:val="00451C36"/>
    <w:rsid w:val="004727F1"/>
    <w:rsid w:val="004809B5"/>
    <w:rsid w:val="00481D5D"/>
    <w:rsid w:val="004A0BD9"/>
    <w:rsid w:val="004B4F7F"/>
    <w:rsid w:val="004C4A09"/>
    <w:rsid w:val="004E5A1D"/>
    <w:rsid w:val="00510CCD"/>
    <w:rsid w:val="0053060A"/>
    <w:rsid w:val="0053172B"/>
    <w:rsid w:val="00531E87"/>
    <w:rsid w:val="00533B08"/>
    <w:rsid w:val="00544D82"/>
    <w:rsid w:val="00551791"/>
    <w:rsid w:val="005538A0"/>
    <w:rsid w:val="0055524A"/>
    <w:rsid w:val="005560F2"/>
    <w:rsid w:val="00580C06"/>
    <w:rsid w:val="0058369F"/>
    <w:rsid w:val="005A22FB"/>
    <w:rsid w:val="005A5466"/>
    <w:rsid w:val="005B1BE1"/>
    <w:rsid w:val="005D0536"/>
    <w:rsid w:val="006075F2"/>
    <w:rsid w:val="0063100A"/>
    <w:rsid w:val="00641677"/>
    <w:rsid w:val="006708C6"/>
    <w:rsid w:val="00680253"/>
    <w:rsid w:val="006873F2"/>
    <w:rsid w:val="006C750A"/>
    <w:rsid w:val="006D1CFC"/>
    <w:rsid w:val="0070028C"/>
    <w:rsid w:val="00704871"/>
    <w:rsid w:val="007147C6"/>
    <w:rsid w:val="007158D4"/>
    <w:rsid w:val="007215E8"/>
    <w:rsid w:val="007247B0"/>
    <w:rsid w:val="0072514A"/>
    <w:rsid w:val="00744397"/>
    <w:rsid w:val="00753196"/>
    <w:rsid w:val="0077738E"/>
    <w:rsid w:val="00785804"/>
    <w:rsid w:val="00792630"/>
    <w:rsid w:val="007A5061"/>
    <w:rsid w:val="007B54CE"/>
    <w:rsid w:val="007D52B1"/>
    <w:rsid w:val="007F32C1"/>
    <w:rsid w:val="007F3381"/>
    <w:rsid w:val="00815B84"/>
    <w:rsid w:val="008354C6"/>
    <w:rsid w:val="00854A62"/>
    <w:rsid w:val="00874D3C"/>
    <w:rsid w:val="00896C7B"/>
    <w:rsid w:val="008E7D32"/>
    <w:rsid w:val="008F1F93"/>
    <w:rsid w:val="009002A0"/>
    <w:rsid w:val="00917968"/>
    <w:rsid w:val="00974BB4"/>
    <w:rsid w:val="009A455C"/>
    <w:rsid w:val="009D50A5"/>
    <w:rsid w:val="009D5AB3"/>
    <w:rsid w:val="009E37B4"/>
    <w:rsid w:val="009E6E51"/>
    <w:rsid w:val="00A16807"/>
    <w:rsid w:val="00A2131B"/>
    <w:rsid w:val="00A21676"/>
    <w:rsid w:val="00A26BF1"/>
    <w:rsid w:val="00A31BE6"/>
    <w:rsid w:val="00A330CA"/>
    <w:rsid w:val="00A56578"/>
    <w:rsid w:val="00A63607"/>
    <w:rsid w:val="00AF3D1F"/>
    <w:rsid w:val="00B10FE1"/>
    <w:rsid w:val="00B220E0"/>
    <w:rsid w:val="00B250C9"/>
    <w:rsid w:val="00B30063"/>
    <w:rsid w:val="00B354A6"/>
    <w:rsid w:val="00B43858"/>
    <w:rsid w:val="00B51CF0"/>
    <w:rsid w:val="00B706BB"/>
    <w:rsid w:val="00B8564F"/>
    <w:rsid w:val="00B91E2C"/>
    <w:rsid w:val="00BB0DF0"/>
    <w:rsid w:val="00BC4BD9"/>
    <w:rsid w:val="00BC75C2"/>
    <w:rsid w:val="00BD7419"/>
    <w:rsid w:val="00C00F5E"/>
    <w:rsid w:val="00C03300"/>
    <w:rsid w:val="00C23095"/>
    <w:rsid w:val="00C257ED"/>
    <w:rsid w:val="00C47837"/>
    <w:rsid w:val="00C5267B"/>
    <w:rsid w:val="00C6090D"/>
    <w:rsid w:val="00C65D92"/>
    <w:rsid w:val="00C72958"/>
    <w:rsid w:val="00C76A98"/>
    <w:rsid w:val="00C96C1E"/>
    <w:rsid w:val="00CA30AA"/>
    <w:rsid w:val="00CE68EF"/>
    <w:rsid w:val="00CF13FE"/>
    <w:rsid w:val="00CF2CFD"/>
    <w:rsid w:val="00D1155A"/>
    <w:rsid w:val="00D14C48"/>
    <w:rsid w:val="00D46028"/>
    <w:rsid w:val="00D51323"/>
    <w:rsid w:val="00D55596"/>
    <w:rsid w:val="00D55E91"/>
    <w:rsid w:val="00D6256F"/>
    <w:rsid w:val="00D632D4"/>
    <w:rsid w:val="00D90474"/>
    <w:rsid w:val="00D921A9"/>
    <w:rsid w:val="00D978D5"/>
    <w:rsid w:val="00DB135F"/>
    <w:rsid w:val="00DE63D0"/>
    <w:rsid w:val="00DF44DD"/>
    <w:rsid w:val="00DF7772"/>
    <w:rsid w:val="00E219D6"/>
    <w:rsid w:val="00E37479"/>
    <w:rsid w:val="00E57CBD"/>
    <w:rsid w:val="00E62313"/>
    <w:rsid w:val="00E62631"/>
    <w:rsid w:val="00E87B68"/>
    <w:rsid w:val="00E95861"/>
    <w:rsid w:val="00EA1861"/>
    <w:rsid w:val="00EC0575"/>
    <w:rsid w:val="00EC0A89"/>
    <w:rsid w:val="00ED52C5"/>
    <w:rsid w:val="00EE265E"/>
    <w:rsid w:val="00F01A89"/>
    <w:rsid w:val="00F1385F"/>
    <w:rsid w:val="00F500F5"/>
    <w:rsid w:val="00F66490"/>
    <w:rsid w:val="00F70794"/>
    <w:rsid w:val="00F72EB0"/>
    <w:rsid w:val="00F82397"/>
    <w:rsid w:val="00FA42E4"/>
    <w:rsid w:val="00FB4BF6"/>
    <w:rsid w:val="00FB5122"/>
    <w:rsid w:val="00FB67C4"/>
    <w:rsid w:val="00FC3C8B"/>
    <w:rsid w:val="00FC6A67"/>
    <w:rsid w:val="01003F7B"/>
    <w:rsid w:val="01074222"/>
    <w:rsid w:val="011E60B5"/>
    <w:rsid w:val="01423569"/>
    <w:rsid w:val="01542FD5"/>
    <w:rsid w:val="017111E0"/>
    <w:rsid w:val="01960AB2"/>
    <w:rsid w:val="01B41F70"/>
    <w:rsid w:val="01B670B8"/>
    <w:rsid w:val="01BD716E"/>
    <w:rsid w:val="01C256AD"/>
    <w:rsid w:val="01D60ECE"/>
    <w:rsid w:val="01E44198"/>
    <w:rsid w:val="01F51850"/>
    <w:rsid w:val="02074F0E"/>
    <w:rsid w:val="02100993"/>
    <w:rsid w:val="023F26EE"/>
    <w:rsid w:val="024632C4"/>
    <w:rsid w:val="0263535D"/>
    <w:rsid w:val="02921D80"/>
    <w:rsid w:val="02BF631A"/>
    <w:rsid w:val="02E160DA"/>
    <w:rsid w:val="02F74B87"/>
    <w:rsid w:val="030D2053"/>
    <w:rsid w:val="034C089F"/>
    <w:rsid w:val="03524675"/>
    <w:rsid w:val="035B78B3"/>
    <w:rsid w:val="0368166E"/>
    <w:rsid w:val="0383523A"/>
    <w:rsid w:val="03AE73AD"/>
    <w:rsid w:val="03CA57BD"/>
    <w:rsid w:val="03F442E9"/>
    <w:rsid w:val="03FC454A"/>
    <w:rsid w:val="03FD3050"/>
    <w:rsid w:val="040110CF"/>
    <w:rsid w:val="04087A2D"/>
    <w:rsid w:val="042979F2"/>
    <w:rsid w:val="043329C0"/>
    <w:rsid w:val="04442533"/>
    <w:rsid w:val="04454308"/>
    <w:rsid w:val="045526C4"/>
    <w:rsid w:val="04641D9D"/>
    <w:rsid w:val="048620A7"/>
    <w:rsid w:val="04A27AFF"/>
    <w:rsid w:val="04BC2EFE"/>
    <w:rsid w:val="04BD696B"/>
    <w:rsid w:val="050C05A0"/>
    <w:rsid w:val="052A6FAA"/>
    <w:rsid w:val="053E0F6B"/>
    <w:rsid w:val="054A78EB"/>
    <w:rsid w:val="0565057A"/>
    <w:rsid w:val="05946022"/>
    <w:rsid w:val="05BC1EB1"/>
    <w:rsid w:val="05CC56C2"/>
    <w:rsid w:val="06131532"/>
    <w:rsid w:val="062B418F"/>
    <w:rsid w:val="0687384F"/>
    <w:rsid w:val="06887ED3"/>
    <w:rsid w:val="06950775"/>
    <w:rsid w:val="06AC5CE1"/>
    <w:rsid w:val="06AF621C"/>
    <w:rsid w:val="06DC5BEF"/>
    <w:rsid w:val="0700771A"/>
    <w:rsid w:val="07103C10"/>
    <w:rsid w:val="071A43DF"/>
    <w:rsid w:val="07290199"/>
    <w:rsid w:val="073538E3"/>
    <w:rsid w:val="075B63EE"/>
    <w:rsid w:val="076F17EB"/>
    <w:rsid w:val="078D33A2"/>
    <w:rsid w:val="0792098C"/>
    <w:rsid w:val="07A07239"/>
    <w:rsid w:val="07EB6D92"/>
    <w:rsid w:val="07F41CF0"/>
    <w:rsid w:val="08050580"/>
    <w:rsid w:val="081E6D6C"/>
    <w:rsid w:val="084560A8"/>
    <w:rsid w:val="084C295D"/>
    <w:rsid w:val="085B2B7A"/>
    <w:rsid w:val="08731766"/>
    <w:rsid w:val="088906CF"/>
    <w:rsid w:val="08AF4672"/>
    <w:rsid w:val="08DE633C"/>
    <w:rsid w:val="08FE10F5"/>
    <w:rsid w:val="090E5039"/>
    <w:rsid w:val="093D5BB3"/>
    <w:rsid w:val="095A2C8F"/>
    <w:rsid w:val="09657D9F"/>
    <w:rsid w:val="09722783"/>
    <w:rsid w:val="09A173AA"/>
    <w:rsid w:val="0A4B2570"/>
    <w:rsid w:val="0ACA56EF"/>
    <w:rsid w:val="0AD31666"/>
    <w:rsid w:val="0AD90344"/>
    <w:rsid w:val="0AF14F4D"/>
    <w:rsid w:val="0B2841EE"/>
    <w:rsid w:val="0B736329"/>
    <w:rsid w:val="0BAE0FC8"/>
    <w:rsid w:val="0BCC2240"/>
    <w:rsid w:val="0BE17F48"/>
    <w:rsid w:val="0C103949"/>
    <w:rsid w:val="0C92415C"/>
    <w:rsid w:val="0CAE4E36"/>
    <w:rsid w:val="0CC5653B"/>
    <w:rsid w:val="0CD530CF"/>
    <w:rsid w:val="0CFC7822"/>
    <w:rsid w:val="0D0524EB"/>
    <w:rsid w:val="0D1F5E10"/>
    <w:rsid w:val="0D3C3C56"/>
    <w:rsid w:val="0D4C13ED"/>
    <w:rsid w:val="0D504F49"/>
    <w:rsid w:val="0D554F32"/>
    <w:rsid w:val="0D664F15"/>
    <w:rsid w:val="0D8A1218"/>
    <w:rsid w:val="0DEA355B"/>
    <w:rsid w:val="0E0D35F3"/>
    <w:rsid w:val="0E3E5407"/>
    <w:rsid w:val="0E422B9D"/>
    <w:rsid w:val="0E4E3714"/>
    <w:rsid w:val="0E613CA0"/>
    <w:rsid w:val="0E817C38"/>
    <w:rsid w:val="0E990978"/>
    <w:rsid w:val="0EB12745"/>
    <w:rsid w:val="0EB50007"/>
    <w:rsid w:val="0EFC0328"/>
    <w:rsid w:val="0F05527A"/>
    <w:rsid w:val="0F09285D"/>
    <w:rsid w:val="0F1D444C"/>
    <w:rsid w:val="0F260647"/>
    <w:rsid w:val="0F425433"/>
    <w:rsid w:val="0F4E7E38"/>
    <w:rsid w:val="0F5C160A"/>
    <w:rsid w:val="0F8D7A83"/>
    <w:rsid w:val="0F8E3F18"/>
    <w:rsid w:val="0F9D4517"/>
    <w:rsid w:val="0FA8765E"/>
    <w:rsid w:val="0FC3366C"/>
    <w:rsid w:val="0FC44326"/>
    <w:rsid w:val="0FCB5E77"/>
    <w:rsid w:val="0FD46730"/>
    <w:rsid w:val="0FE67C67"/>
    <w:rsid w:val="10042C1A"/>
    <w:rsid w:val="104E1688"/>
    <w:rsid w:val="104F51AA"/>
    <w:rsid w:val="10513563"/>
    <w:rsid w:val="10612F5E"/>
    <w:rsid w:val="10711641"/>
    <w:rsid w:val="107227D6"/>
    <w:rsid w:val="1080176D"/>
    <w:rsid w:val="1095207A"/>
    <w:rsid w:val="109E4FF0"/>
    <w:rsid w:val="10A35044"/>
    <w:rsid w:val="10A97373"/>
    <w:rsid w:val="10FC3CE8"/>
    <w:rsid w:val="10FD76B3"/>
    <w:rsid w:val="1109197E"/>
    <w:rsid w:val="112B6004"/>
    <w:rsid w:val="11330036"/>
    <w:rsid w:val="113C0692"/>
    <w:rsid w:val="11601B6D"/>
    <w:rsid w:val="118A6B3D"/>
    <w:rsid w:val="119D3A7D"/>
    <w:rsid w:val="11D610FD"/>
    <w:rsid w:val="12166977"/>
    <w:rsid w:val="121B1D88"/>
    <w:rsid w:val="122347D1"/>
    <w:rsid w:val="12265791"/>
    <w:rsid w:val="124259FF"/>
    <w:rsid w:val="124826BC"/>
    <w:rsid w:val="12966C49"/>
    <w:rsid w:val="12CE204B"/>
    <w:rsid w:val="12E408D9"/>
    <w:rsid w:val="12F95181"/>
    <w:rsid w:val="132E0222"/>
    <w:rsid w:val="137D1163"/>
    <w:rsid w:val="137D3C62"/>
    <w:rsid w:val="13835C89"/>
    <w:rsid w:val="138B0617"/>
    <w:rsid w:val="13B34D55"/>
    <w:rsid w:val="13DF623A"/>
    <w:rsid w:val="13FF38E2"/>
    <w:rsid w:val="14013D6A"/>
    <w:rsid w:val="14222C02"/>
    <w:rsid w:val="1496422C"/>
    <w:rsid w:val="14A578CD"/>
    <w:rsid w:val="14BF74CE"/>
    <w:rsid w:val="14DA7F76"/>
    <w:rsid w:val="14DC3F06"/>
    <w:rsid w:val="14F91294"/>
    <w:rsid w:val="151C1272"/>
    <w:rsid w:val="152B35A3"/>
    <w:rsid w:val="15401385"/>
    <w:rsid w:val="15441A61"/>
    <w:rsid w:val="155D7D2C"/>
    <w:rsid w:val="15713391"/>
    <w:rsid w:val="159F717F"/>
    <w:rsid w:val="15A60B65"/>
    <w:rsid w:val="15CE3A42"/>
    <w:rsid w:val="15E55D7B"/>
    <w:rsid w:val="15FA6A12"/>
    <w:rsid w:val="15FC6423"/>
    <w:rsid w:val="1604337D"/>
    <w:rsid w:val="16171B93"/>
    <w:rsid w:val="16444242"/>
    <w:rsid w:val="1651046F"/>
    <w:rsid w:val="165617C6"/>
    <w:rsid w:val="165F12DA"/>
    <w:rsid w:val="16681DB4"/>
    <w:rsid w:val="166B55D4"/>
    <w:rsid w:val="16BB3C05"/>
    <w:rsid w:val="16DC501F"/>
    <w:rsid w:val="16DD75A3"/>
    <w:rsid w:val="16E87A77"/>
    <w:rsid w:val="171A39BA"/>
    <w:rsid w:val="1734124D"/>
    <w:rsid w:val="1740460A"/>
    <w:rsid w:val="175A7499"/>
    <w:rsid w:val="17614264"/>
    <w:rsid w:val="178206E3"/>
    <w:rsid w:val="17AC6254"/>
    <w:rsid w:val="18252292"/>
    <w:rsid w:val="18571F15"/>
    <w:rsid w:val="18613EF4"/>
    <w:rsid w:val="18A4026F"/>
    <w:rsid w:val="18AF29AD"/>
    <w:rsid w:val="18BD0B01"/>
    <w:rsid w:val="18C03EE5"/>
    <w:rsid w:val="18C5473A"/>
    <w:rsid w:val="18E13319"/>
    <w:rsid w:val="19000DB0"/>
    <w:rsid w:val="191E373F"/>
    <w:rsid w:val="193062D5"/>
    <w:rsid w:val="193E32B0"/>
    <w:rsid w:val="1949242B"/>
    <w:rsid w:val="194B7FA1"/>
    <w:rsid w:val="1971595E"/>
    <w:rsid w:val="19C03EBA"/>
    <w:rsid w:val="19E14C79"/>
    <w:rsid w:val="19E9703D"/>
    <w:rsid w:val="19F203EF"/>
    <w:rsid w:val="1A0E3268"/>
    <w:rsid w:val="1A16544C"/>
    <w:rsid w:val="1A2B6755"/>
    <w:rsid w:val="1A555900"/>
    <w:rsid w:val="1A565A22"/>
    <w:rsid w:val="1A5F5F2A"/>
    <w:rsid w:val="1A684319"/>
    <w:rsid w:val="1A7177EC"/>
    <w:rsid w:val="1AAD345B"/>
    <w:rsid w:val="1ACE3E4A"/>
    <w:rsid w:val="1AEC7D00"/>
    <w:rsid w:val="1B2E5BFB"/>
    <w:rsid w:val="1B325287"/>
    <w:rsid w:val="1B957099"/>
    <w:rsid w:val="1BA35DD4"/>
    <w:rsid w:val="1BA94049"/>
    <w:rsid w:val="1BC756B2"/>
    <w:rsid w:val="1BF26A1C"/>
    <w:rsid w:val="1C01455D"/>
    <w:rsid w:val="1C027D37"/>
    <w:rsid w:val="1C094184"/>
    <w:rsid w:val="1C2871E1"/>
    <w:rsid w:val="1C795C1C"/>
    <w:rsid w:val="1C7E5093"/>
    <w:rsid w:val="1CDE1B8C"/>
    <w:rsid w:val="1CFD0C68"/>
    <w:rsid w:val="1D2E0793"/>
    <w:rsid w:val="1D32182C"/>
    <w:rsid w:val="1D400B3A"/>
    <w:rsid w:val="1D4645A6"/>
    <w:rsid w:val="1D545BE0"/>
    <w:rsid w:val="1D607A3D"/>
    <w:rsid w:val="1D696724"/>
    <w:rsid w:val="1D9F6656"/>
    <w:rsid w:val="1DBA5B5C"/>
    <w:rsid w:val="1DDD33DA"/>
    <w:rsid w:val="1DDF1A3C"/>
    <w:rsid w:val="1DE707E4"/>
    <w:rsid w:val="1DEB3A50"/>
    <w:rsid w:val="1DED168F"/>
    <w:rsid w:val="1E0F1D5F"/>
    <w:rsid w:val="1E1D29EF"/>
    <w:rsid w:val="1E5400F5"/>
    <w:rsid w:val="1E8008AC"/>
    <w:rsid w:val="1EA064D4"/>
    <w:rsid w:val="1EB55CED"/>
    <w:rsid w:val="1EC0617D"/>
    <w:rsid w:val="1EC42710"/>
    <w:rsid w:val="1F0249B2"/>
    <w:rsid w:val="1F220743"/>
    <w:rsid w:val="1F654485"/>
    <w:rsid w:val="1F685731"/>
    <w:rsid w:val="1F7814AD"/>
    <w:rsid w:val="1FBC1BE2"/>
    <w:rsid w:val="1FED43A2"/>
    <w:rsid w:val="1FF266BE"/>
    <w:rsid w:val="1FFF2056"/>
    <w:rsid w:val="203A4953"/>
    <w:rsid w:val="204523E1"/>
    <w:rsid w:val="20497650"/>
    <w:rsid w:val="207C633F"/>
    <w:rsid w:val="207F6D41"/>
    <w:rsid w:val="209577A7"/>
    <w:rsid w:val="20A80158"/>
    <w:rsid w:val="20CA7652"/>
    <w:rsid w:val="21031165"/>
    <w:rsid w:val="211764BD"/>
    <w:rsid w:val="215046AD"/>
    <w:rsid w:val="21513A1E"/>
    <w:rsid w:val="21723208"/>
    <w:rsid w:val="217A4C98"/>
    <w:rsid w:val="21802CB1"/>
    <w:rsid w:val="218B5EFC"/>
    <w:rsid w:val="21A45157"/>
    <w:rsid w:val="21A95E56"/>
    <w:rsid w:val="21B4683D"/>
    <w:rsid w:val="21CB024C"/>
    <w:rsid w:val="21DA57AC"/>
    <w:rsid w:val="21DE24BF"/>
    <w:rsid w:val="21EC34AE"/>
    <w:rsid w:val="2209072F"/>
    <w:rsid w:val="22200466"/>
    <w:rsid w:val="223F25F8"/>
    <w:rsid w:val="224E68B2"/>
    <w:rsid w:val="2266701C"/>
    <w:rsid w:val="229A54FC"/>
    <w:rsid w:val="22AA2EE9"/>
    <w:rsid w:val="22C37093"/>
    <w:rsid w:val="22C65734"/>
    <w:rsid w:val="2306161F"/>
    <w:rsid w:val="23391097"/>
    <w:rsid w:val="23411DEF"/>
    <w:rsid w:val="235C1B04"/>
    <w:rsid w:val="237F3926"/>
    <w:rsid w:val="2380756E"/>
    <w:rsid w:val="23A01636"/>
    <w:rsid w:val="23EA5C53"/>
    <w:rsid w:val="23ED1D10"/>
    <w:rsid w:val="23FD7C8B"/>
    <w:rsid w:val="241001A4"/>
    <w:rsid w:val="241C3E47"/>
    <w:rsid w:val="2428349D"/>
    <w:rsid w:val="243A7B5D"/>
    <w:rsid w:val="244018DD"/>
    <w:rsid w:val="24476A9A"/>
    <w:rsid w:val="244F7702"/>
    <w:rsid w:val="24632D9F"/>
    <w:rsid w:val="246E0A04"/>
    <w:rsid w:val="246E4662"/>
    <w:rsid w:val="24840779"/>
    <w:rsid w:val="248F1CEA"/>
    <w:rsid w:val="249C4729"/>
    <w:rsid w:val="24A611CE"/>
    <w:rsid w:val="24C428B0"/>
    <w:rsid w:val="24CB3F41"/>
    <w:rsid w:val="24D02A2E"/>
    <w:rsid w:val="24EB1A97"/>
    <w:rsid w:val="24F42EF7"/>
    <w:rsid w:val="25831FC1"/>
    <w:rsid w:val="259F204B"/>
    <w:rsid w:val="259F766B"/>
    <w:rsid w:val="25C06419"/>
    <w:rsid w:val="25D34A02"/>
    <w:rsid w:val="25E95EEA"/>
    <w:rsid w:val="262C60A8"/>
    <w:rsid w:val="264A7354"/>
    <w:rsid w:val="26726413"/>
    <w:rsid w:val="26862FFB"/>
    <w:rsid w:val="26B6776F"/>
    <w:rsid w:val="26D31EAA"/>
    <w:rsid w:val="26D47413"/>
    <w:rsid w:val="26FF4C0A"/>
    <w:rsid w:val="27050B0E"/>
    <w:rsid w:val="271C642E"/>
    <w:rsid w:val="27315561"/>
    <w:rsid w:val="27665A76"/>
    <w:rsid w:val="27764E75"/>
    <w:rsid w:val="27805598"/>
    <w:rsid w:val="27995528"/>
    <w:rsid w:val="27A81D16"/>
    <w:rsid w:val="27AF198D"/>
    <w:rsid w:val="27DC70E3"/>
    <w:rsid w:val="27E45EEC"/>
    <w:rsid w:val="27E662B9"/>
    <w:rsid w:val="27FF059E"/>
    <w:rsid w:val="28164363"/>
    <w:rsid w:val="282E5558"/>
    <w:rsid w:val="285F2D71"/>
    <w:rsid w:val="286B7B3F"/>
    <w:rsid w:val="28C91405"/>
    <w:rsid w:val="28E625BA"/>
    <w:rsid w:val="28E6715D"/>
    <w:rsid w:val="28E72859"/>
    <w:rsid w:val="28E809E7"/>
    <w:rsid w:val="2905734F"/>
    <w:rsid w:val="290639B3"/>
    <w:rsid w:val="290A6837"/>
    <w:rsid w:val="290F1467"/>
    <w:rsid w:val="29504CB3"/>
    <w:rsid w:val="295A11FE"/>
    <w:rsid w:val="297522D4"/>
    <w:rsid w:val="29865298"/>
    <w:rsid w:val="29A939C5"/>
    <w:rsid w:val="29C33AE1"/>
    <w:rsid w:val="29DB3600"/>
    <w:rsid w:val="29F23F88"/>
    <w:rsid w:val="2A000989"/>
    <w:rsid w:val="2A061323"/>
    <w:rsid w:val="2A0C48B6"/>
    <w:rsid w:val="2A0D4225"/>
    <w:rsid w:val="2A0D66F1"/>
    <w:rsid w:val="2A214783"/>
    <w:rsid w:val="2A755559"/>
    <w:rsid w:val="2AA66C89"/>
    <w:rsid w:val="2AB209CE"/>
    <w:rsid w:val="2AB27C77"/>
    <w:rsid w:val="2AC371AA"/>
    <w:rsid w:val="2ADF76F6"/>
    <w:rsid w:val="2AE17ECE"/>
    <w:rsid w:val="2AFA4534"/>
    <w:rsid w:val="2B0810CB"/>
    <w:rsid w:val="2B22047E"/>
    <w:rsid w:val="2B282A6A"/>
    <w:rsid w:val="2B3606AC"/>
    <w:rsid w:val="2B870238"/>
    <w:rsid w:val="2B9F0C12"/>
    <w:rsid w:val="2BD3602D"/>
    <w:rsid w:val="2BFD7E6B"/>
    <w:rsid w:val="2C10217A"/>
    <w:rsid w:val="2C2A5F65"/>
    <w:rsid w:val="2C4F3440"/>
    <w:rsid w:val="2C596E28"/>
    <w:rsid w:val="2C6072C9"/>
    <w:rsid w:val="2C676BEB"/>
    <w:rsid w:val="2C784CC9"/>
    <w:rsid w:val="2C873BB6"/>
    <w:rsid w:val="2C9237ED"/>
    <w:rsid w:val="2CC00245"/>
    <w:rsid w:val="2CCA2BEB"/>
    <w:rsid w:val="2CE175DF"/>
    <w:rsid w:val="2CE355F1"/>
    <w:rsid w:val="2D3959EB"/>
    <w:rsid w:val="2D595ECD"/>
    <w:rsid w:val="2D7D113D"/>
    <w:rsid w:val="2DF40180"/>
    <w:rsid w:val="2E1C3595"/>
    <w:rsid w:val="2E485858"/>
    <w:rsid w:val="2E8C4CC1"/>
    <w:rsid w:val="2E8F2AC2"/>
    <w:rsid w:val="2ED60C76"/>
    <w:rsid w:val="2EF811FF"/>
    <w:rsid w:val="2F20469E"/>
    <w:rsid w:val="2F226DC0"/>
    <w:rsid w:val="2F2E5BD6"/>
    <w:rsid w:val="2F5577BC"/>
    <w:rsid w:val="2F862B4D"/>
    <w:rsid w:val="2FBC62E2"/>
    <w:rsid w:val="2FD41AB9"/>
    <w:rsid w:val="2FEE649B"/>
    <w:rsid w:val="30201308"/>
    <w:rsid w:val="303412EA"/>
    <w:rsid w:val="30463681"/>
    <w:rsid w:val="306057C3"/>
    <w:rsid w:val="30750C3E"/>
    <w:rsid w:val="30775B99"/>
    <w:rsid w:val="307C7168"/>
    <w:rsid w:val="308E458F"/>
    <w:rsid w:val="30C04A2E"/>
    <w:rsid w:val="30C950CF"/>
    <w:rsid w:val="30D233C3"/>
    <w:rsid w:val="30F55219"/>
    <w:rsid w:val="30FE594E"/>
    <w:rsid w:val="313A4F7D"/>
    <w:rsid w:val="315A0168"/>
    <w:rsid w:val="31734A49"/>
    <w:rsid w:val="317D428D"/>
    <w:rsid w:val="31853836"/>
    <w:rsid w:val="31B56400"/>
    <w:rsid w:val="31BC2920"/>
    <w:rsid w:val="31C03801"/>
    <w:rsid w:val="31DF4F15"/>
    <w:rsid w:val="31F035EA"/>
    <w:rsid w:val="31F0447F"/>
    <w:rsid w:val="320F79F7"/>
    <w:rsid w:val="321A26C3"/>
    <w:rsid w:val="32470EE9"/>
    <w:rsid w:val="32753ABA"/>
    <w:rsid w:val="32A045E4"/>
    <w:rsid w:val="32A72AD4"/>
    <w:rsid w:val="32B42696"/>
    <w:rsid w:val="32B95406"/>
    <w:rsid w:val="32DA5FF7"/>
    <w:rsid w:val="32E25A8E"/>
    <w:rsid w:val="3322017F"/>
    <w:rsid w:val="332955BF"/>
    <w:rsid w:val="334068CC"/>
    <w:rsid w:val="334C6D82"/>
    <w:rsid w:val="33646BA7"/>
    <w:rsid w:val="33692733"/>
    <w:rsid w:val="337C614F"/>
    <w:rsid w:val="3389391D"/>
    <w:rsid w:val="33AA15CB"/>
    <w:rsid w:val="33C75804"/>
    <w:rsid w:val="33FE78CF"/>
    <w:rsid w:val="34246E19"/>
    <w:rsid w:val="346B54F2"/>
    <w:rsid w:val="34736A5C"/>
    <w:rsid w:val="3474056C"/>
    <w:rsid w:val="34B64AA8"/>
    <w:rsid w:val="34BC5C79"/>
    <w:rsid w:val="34C51A18"/>
    <w:rsid w:val="34D76DF0"/>
    <w:rsid w:val="34EE2D8D"/>
    <w:rsid w:val="34F44425"/>
    <w:rsid w:val="350D45FB"/>
    <w:rsid w:val="355230B6"/>
    <w:rsid w:val="35527E07"/>
    <w:rsid w:val="356508B3"/>
    <w:rsid w:val="35995C6C"/>
    <w:rsid w:val="359B4418"/>
    <w:rsid w:val="35A21FFB"/>
    <w:rsid w:val="35A76236"/>
    <w:rsid w:val="35C67405"/>
    <w:rsid w:val="35CC7F77"/>
    <w:rsid w:val="35D02C1B"/>
    <w:rsid w:val="35FA0F21"/>
    <w:rsid w:val="36107168"/>
    <w:rsid w:val="36414640"/>
    <w:rsid w:val="3647070D"/>
    <w:rsid w:val="367A3CF7"/>
    <w:rsid w:val="36870626"/>
    <w:rsid w:val="36AC30B3"/>
    <w:rsid w:val="36BA0134"/>
    <w:rsid w:val="36D0359E"/>
    <w:rsid w:val="36E035B0"/>
    <w:rsid w:val="36E25286"/>
    <w:rsid w:val="36F42C06"/>
    <w:rsid w:val="36F565E3"/>
    <w:rsid w:val="37112AB9"/>
    <w:rsid w:val="3730039B"/>
    <w:rsid w:val="375E7CC2"/>
    <w:rsid w:val="379C45EC"/>
    <w:rsid w:val="379E40DF"/>
    <w:rsid w:val="37E65D9B"/>
    <w:rsid w:val="37EE28CD"/>
    <w:rsid w:val="380B4541"/>
    <w:rsid w:val="381B47A3"/>
    <w:rsid w:val="3820786B"/>
    <w:rsid w:val="38271F34"/>
    <w:rsid w:val="384900E4"/>
    <w:rsid w:val="384A5E01"/>
    <w:rsid w:val="384F73BE"/>
    <w:rsid w:val="387365C9"/>
    <w:rsid w:val="38A1241F"/>
    <w:rsid w:val="38BD364A"/>
    <w:rsid w:val="38C01ED4"/>
    <w:rsid w:val="38C32861"/>
    <w:rsid w:val="38EA047A"/>
    <w:rsid w:val="392D2DFA"/>
    <w:rsid w:val="3975231E"/>
    <w:rsid w:val="397B2011"/>
    <w:rsid w:val="399E7F9B"/>
    <w:rsid w:val="39B14C14"/>
    <w:rsid w:val="39BB1DBE"/>
    <w:rsid w:val="39C25D4B"/>
    <w:rsid w:val="39CB3F82"/>
    <w:rsid w:val="39D24FAF"/>
    <w:rsid w:val="39DD6103"/>
    <w:rsid w:val="39F06245"/>
    <w:rsid w:val="3A036621"/>
    <w:rsid w:val="3A15755D"/>
    <w:rsid w:val="3A3307D1"/>
    <w:rsid w:val="3A37590B"/>
    <w:rsid w:val="3A4A69EC"/>
    <w:rsid w:val="3A755AAC"/>
    <w:rsid w:val="3A840611"/>
    <w:rsid w:val="3A8605F9"/>
    <w:rsid w:val="3AB266A6"/>
    <w:rsid w:val="3AD01CD8"/>
    <w:rsid w:val="3AE90147"/>
    <w:rsid w:val="3B0003ED"/>
    <w:rsid w:val="3B0F5F10"/>
    <w:rsid w:val="3B1E7458"/>
    <w:rsid w:val="3B1F3ECA"/>
    <w:rsid w:val="3B2003A1"/>
    <w:rsid w:val="3B7D7184"/>
    <w:rsid w:val="3BAE6E99"/>
    <w:rsid w:val="3BB27DBE"/>
    <w:rsid w:val="3BC0692E"/>
    <w:rsid w:val="3BE005AE"/>
    <w:rsid w:val="3BF57B4E"/>
    <w:rsid w:val="3C593CB6"/>
    <w:rsid w:val="3C5A1E59"/>
    <w:rsid w:val="3C616142"/>
    <w:rsid w:val="3C71156A"/>
    <w:rsid w:val="3C731C3F"/>
    <w:rsid w:val="3C83693B"/>
    <w:rsid w:val="3C8C360C"/>
    <w:rsid w:val="3CA13613"/>
    <w:rsid w:val="3CA9440F"/>
    <w:rsid w:val="3CB10DF0"/>
    <w:rsid w:val="3CB63D9B"/>
    <w:rsid w:val="3CC0565A"/>
    <w:rsid w:val="3CCF3FB6"/>
    <w:rsid w:val="3CD00108"/>
    <w:rsid w:val="3CD2783E"/>
    <w:rsid w:val="3CE64A58"/>
    <w:rsid w:val="3CFE7CBA"/>
    <w:rsid w:val="3D051E15"/>
    <w:rsid w:val="3D1A4C23"/>
    <w:rsid w:val="3D262431"/>
    <w:rsid w:val="3D390EF4"/>
    <w:rsid w:val="3D8A068A"/>
    <w:rsid w:val="3D93277C"/>
    <w:rsid w:val="3D986E46"/>
    <w:rsid w:val="3DB96F28"/>
    <w:rsid w:val="3DFB591B"/>
    <w:rsid w:val="3E2448D3"/>
    <w:rsid w:val="3E2D65EC"/>
    <w:rsid w:val="3E7362D6"/>
    <w:rsid w:val="3E746047"/>
    <w:rsid w:val="3E851917"/>
    <w:rsid w:val="3E8D214A"/>
    <w:rsid w:val="3ECC09EB"/>
    <w:rsid w:val="3EE8468D"/>
    <w:rsid w:val="3EF15AFC"/>
    <w:rsid w:val="3F0552C5"/>
    <w:rsid w:val="3F474A0F"/>
    <w:rsid w:val="3F4D31D0"/>
    <w:rsid w:val="3F57651A"/>
    <w:rsid w:val="3F826A32"/>
    <w:rsid w:val="3F9E234A"/>
    <w:rsid w:val="3FA6339D"/>
    <w:rsid w:val="3FB85D52"/>
    <w:rsid w:val="3FB91DE2"/>
    <w:rsid w:val="3FC411F2"/>
    <w:rsid w:val="3FD53F2D"/>
    <w:rsid w:val="3FD878CA"/>
    <w:rsid w:val="3FEF3BC5"/>
    <w:rsid w:val="3FF87876"/>
    <w:rsid w:val="403146F2"/>
    <w:rsid w:val="40330A27"/>
    <w:rsid w:val="4059552F"/>
    <w:rsid w:val="407E15B5"/>
    <w:rsid w:val="40AB733B"/>
    <w:rsid w:val="40AD0EDE"/>
    <w:rsid w:val="40CB1663"/>
    <w:rsid w:val="40D47CAF"/>
    <w:rsid w:val="40DF083D"/>
    <w:rsid w:val="40E62552"/>
    <w:rsid w:val="40F96D46"/>
    <w:rsid w:val="410E2997"/>
    <w:rsid w:val="412928FB"/>
    <w:rsid w:val="41292C1C"/>
    <w:rsid w:val="41717599"/>
    <w:rsid w:val="417C5514"/>
    <w:rsid w:val="41807AC5"/>
    <w:rsid w:val="419F6380"/>
    <w:rsid w:val="41C7743F"/>
    <w:rsid w:val="41D92A7A"/>
    <w:rsid w:val="41EB6676"/>
    <w:rsid w:val="42060576"/>
    <w:rsid w:val="42084152"/>
    <w:rsid w:val="423A171C"/>
    <w:rsid w:val="425429EA"/>
    <w:rsid w:val="427E2EEA"/>
    <w:rsid w:val="429116AF"/>
    <w:rsid w:val="42A84942"/>
    <w:rsid w:val="42FC1EB6"/>
    <w:rsid w:val="430E7F14"/>
    <w:rsid w:val="43217E93"/>
    <w:rsid w:val="43775F90"/>
    <w:rsid w:val="43997D14"/>
    <w:rsid w:val="439E79D4"/>
    <w:rsid w:val="43B6628E"/>
    <w:rsid w:val="43C125F9"/>
    <w:rsid w:val="43CD38AD"/>
    <w:rsid w:val="43EA2B7B"/>
    <w:rsid w:val="43FD02A4"/>
    <w:rsid w:val="44234039"/>
    <w:rsid w:val="442F3F94"/>
    <w:rsid w:val="44394FA8"/>
    <w:rsid w:val="44410523"/>
    <w:rsid w:val="448009AF"/>
    <w:rsid w:val="448028C4"/>
    <w:rsid w:val="448E7634"/>
    <w:rsid w:val="44924B44"/>
    <w:rsid w:val="449A42C4"/>
    <w:rsid w:val="44A5472E"/>
    <w:rsid w:val="44AD7264"/>
    <w:rsid w:val="44BA618E"/>
    <w:rsid w:val="44CA1F84"/>
    <w:rsid w:val="44E968C2"/>
    <w:rsid w:val="451257DE"/>
    <w:rsid w:val="45482010"/>
    <w:rsid w:val="456D3F9A"/>
    <w:rsid w:val="458069FE"/>
    <w:rsid w:val="459028EC"/>
    <w:rsid w:val="45BE7630"/>
    <w:rsid w:val="45DB03AB"/>
    <w:rsid w:val="45F72B5A"/>
    <w:rsid w:val="45FD127F"/>
    <w:rsid w:val="460D4EC0"/>
    <w:rsid w:val="461B7694"/>
    <w:rsid w:val="46256A94"/>
    <w:rsid w:val="464B2CD3"/>
    <w:rsid w:val="46507553"/>
    <w:rsid w:val="465C7207"/>
    <w:rsid w:val="46DD5457"/>
    <w:rsid w:val="46E52EB6"/>
    <w:rsid w:val="46F21DFF"/>
    <w:rsid w:val="470001C6"/>
    <w:rsid w:val="470F0F36"/>
    <w:rsid w:val="471179F3"/>
    <w:rsid w:val="473A25FA"/>
    <w:rsid w:val="473E689A"/>
    <w:rsid w:val="474C4109"/>
    <w:rsid w:val="47732DC9"/>
    <w:rsid w:val="477744D2"/>
    <w:rsid w:val="47985E6A"/>
    <w:rsid w:val="47B37D6A"/>
    <w:rsid w:val="47B83813"/>
    <w:rsid w:val="47C626DD"/>
    <w:rsid w:val="47C962F6"/>
    <w:rsid w:val="47D87938"/>
    <w:rsid w:val="4804356D"/>
    <w:rsid w:val="480A4498"/>
    <w:rsid w:val="480C5037"/>
    <w:rsid w:val="4828053B"/>
    <w:rsid w:val="48743963"/>
    <w:rsid w:val="48770B0E"/>
    <w:rsid w:val="488F3D80"/>
    <w:rsid w:val="48FF5FCC"/>
    <w:rsid w:val="49182A11"/>
    <w:rsid w:val="493457F5"/>
    <w:rsid w:val="495F6164"/>
    <w:rsid w:val="496C712A"/>
    <w:rsid w:val="49A1129B"/>
    <w:rsid w:val="49C95673"/>
    <w:rsid w:val="49D71453"/>
    <w:rsid w:val="49E7484D"/>
    <w:rsid w:val="4A281A89"/>
    <w:rsid w:val="4A3C720C"/>
    <w:rsid w:val="4A3E7858"/>
    <w:rsid w:val="4A5825F7"/>
    <w:rsid w:val="4A590B85"/>
    <w:rsid w:val="4A747F49"/>
    <w:rsid w:val="4AA67F9D"/>
    <w:rsid w:val="4B1112FF"/>
    <w:rsid w:val="4B3521B9"/>
    <w:rsid w:val="4B466343"/>
    <w:rsid w:val="4B490AA9"/>
    <w:rsid w:val="4B691CF1"/>
    <w:rsid w:val="4B7B23AB"/>
    <w:rsid w:val="4B9A5A9B"/>
    <w:rsid w:val="4B9F5338"/>
    <w:rsid w:val="4BAF6F0E"/>
    <w:rsid w:val="4BC47D6E"/>
    <w:rsid w:val="4BD55D4D"/>
    <w:rsid w:val="4BDF7405"/>
    <w:rsid w:val="4BE968CD"/>
    <w:rsid w:val="4C154998"/>
    <w:rsid w:val="4C2F5E95"/>
    <w:rsid w:val="4C617F8F"/>
    <w:rsid w:val="4C621307"/>
    <w:rsid w:val="4C8A2384"/>
    <w:rsid w:val="4C8B3928"/>
    <w:rsid w:val="4C977C31"/>
    <w:rsid w:val="4CA3099D"/>
    <w:rsid w:val="4CF904B8"/>
    <w:rsid w:val="4D0515BA"/>
    <w:rsid w:val="4D596FC1"/>
    <w:rsid w:val="4D5B6DA0"/>
    <w:rsid w:val="4D67738B"/>
    <w:rsid w:val="4DB35361"/>
    <w:rsid w:val="4E08055C"/>
    <w:rsid w:val="4E1C0F9A"/>
    <w:rsid w:val="4E1D1085"/>
    <w:rsid w:val="4E2131E3"/>
    <w:rsid w:val="4E2E267E"/>
    <w:rsid w:val="4E4F4932"/>
    <w:rsid w:val="4E695FC7"/>
    <w:rsid w:val="4E9F491C"/>
    <w:rsid w:val="4EBD056C"/>
    <w:rsid w:val="4EC14F8F"/>
    <w:rsid w:val="4EE20553"/>
    <w:rsid w:val="4EE32F66"/>
    <w:rsid w:val="4F073901"/>
    <w:rsid w:val="4F16408C"/>
    <w:rsid w:val="4F4E4647"/>
    <w:rsid w:val="4F560168"/>
    <w:rsid w:val="4F6D3C13"/>
    <w:rsid w:val="4F8D5D1F"/>
    <w:rsid w:val="4FA75F54"/>
    <w:rsid w:val="4FD50C0F"/>
    <w:rsid w:val="50175917"/>
    <w:rsid w:val="50292C55"/>
    <w:rsid w:val="50401E9C"/>
    <w:rsid w:val="50484D17"/>
    <w:rsid w:val="505C7A00"/>
    <w:rsid w:val="506F561E"/>
    <w:rsid w:val="50D9663E"/>
    <w:rsid w:val="512119E5"/>
    <w:rsid w:val="51511D0D"/>
    <w:rsid w:val="518A5394"/>
    <w:rsid w:val="519C6CA7"/>
    <w:rsid w:val="51D91265"/>
    <w:rsid w:val="51F74E7A"/>
    <w:rsid w:val="5207032B"/>
    <w:rsid w:val="520922B1"/>
    <w:rsid w:val="520E4CE3"/>
    <w:rsid w:val="526248E0"/>
    <w:rsid w:val="5267030E"/>
    <w:rsid w:val="52854D33"/>
    <w:rsid w:val="52B32207"/>
    <w:rsid w:val="52BA464A"/>
    <w:rsid w:val="52CA62C5"/>
    <w:rsid w:val="52E26C4F"/>
    <w:rsid w:val="52F10254"/>
    <w:rsid w:val="52F67BBC"/>
    <w:rsid w:val="53690258"/>
    <w:rsid w:val="5369461B"/>
    <w:rsid w:val="539465E3"/>
    <w:rsid w:val="53B00F8F"/>
    <w:rsid w:val="53BF39E1"/>
    <w:rsid w:val="53E95DB1"/>
    <w:rsid w:val="53F853CD"/>
    <w:rsid w:val="541B6DA9"/>
    <w:rsid w:val="542A23AF"/>
    <w:rsid w:val="54322D3A"/>
    <w:rsid w:val="54385F57"/>
    <w:rsid w:val="5452279B"/>
    <w:rsid w:val="54630471"/>
    <w:rsid w:val="547030C2"/>
    <w:rsid w:val="54736B0A"/>
    <w:rsid w:val="547B4175"/>
    <w:rsid w:val="54A47C87"/>
    <w:rsid w:val="54A656ED"/>
    <w:rsid w:val="54B17E75"/>
    <w:rsid w:val="54FA0062"/>
    <w:rsid w:val="55064E2E"/>
    <w:rsid w:val="551C2A2B"/>
    <w:rsid w:val="553E54AB"/>
    <w:rsid w:val="558D4BF8"/>
    <w:rsid w:val="55B64781"/>
    <w:rsid w:val="55E94242"/>
    <w:rsid w:val="55FB73A4"/>
    <w:rsid w:val="55FF6A41"/>
    <w:rsid w:val="560A68F0"/>
    <w:rsid w:val="56183700"/>
    <w:rsid w:val="563D4D66"/>
    <w:rsid w:val="56533498"/>
    <w:rsid w:val="56723A9B"/>
    <w:rsid w:val="56952421"/>
    <w:rsid w:val="569B14DB"/>
    <w:rsid w:val="56A90805"/>
    <w:rsid w:val="56B82AB9"/>
    <w:rsid w:val="56E32228"/>
    <w:rsid w:val="56F544BC"/>
    <w:rsid w:val="57093508"/>
    <w:rsid w:val="571D7BA4"/>
    <w:rsid w:val="57441692"/>
    <w:rsid w:val="575320A7"/>
    <w:rsid w:val="579441E3"/>
    <w:rsid w:val="57A077DA"/>
    <w:rsid w:val="57AE1FAA"/>
    <w:rsid w:val="57BE1051"/>
    <w:rsid w:val="57C82477"/>
    <w:rsid w:val="58065672"/>
    <w:rsid w:val="5814473B"/>
    <w:rsid w:val="581A2B32"/>
    <w:rsid w:val="583A2D37"/>
    <w:rsid w:val="58416541"/>
    <w:rsid w:val="584F5F0B"/>
    <w:rsid w:val="5869538F"/>
    <w:rsid w:val="58767185"/>
    <w:rsid w:val="589A4DA0"/>
    <w:rsid w:val="58EC03E5"/>
    <w:rsid w:val="591556F3"/>
    <w:rsid w:val="59523BBD"/>
    <w:rsid w:val="59924DE9"/>
    <w:rsid w:val="59957B26"/>
    <w:rsid w:val="59DB3806"/>
    <w:rsid w:val="59E952F1"/>
    <w:rsid w:val="59FB0929"/>
    <w:rsid w:val="5A0B6739"/>
    <w:rsid w:val="5A240E3D"/>
    <w:rsid w:val="5A3D1FB2"/>
    <w:rsid w:val="5A8272AA"/>
    <w:rsid w:val="5AD67640"/>
    <w:rsid w:val="5AEC4BD6"/>
    <w:rsid w:val="5AF4709E"/>
    <w:rsid w:val="5B1310D9"/>
    <w:rsid w:val="5B2639E2"/>
    <w:rsid w:val="5B4E700F"/>
    <w:rsid w:val="5B7B245B"/>
    <w:rsid w:val="5B8D4C84"/>
    <w:rsid w:val="5BAB0BE2"/>
    <w:rsid w:val="5BD95DE5"/>
    <w:rsid w:val="5BDE1204"/>
    <w:rsid w:val="5C01571F"/>
    <w:rsid w:val="5C091834"/>
    <w:rsid w:val="5C1B17C5"/>
    <w:rsid w:val="5C1B4635"/>
    <w:rsid w:val="5C227E33"/>
    <w:rsid w:val="5C3B118A"/>
    <w:rsid w:val="5C3E5E81"/>
    <w:rsid w:val="5C4001D5"/>
    <w:rsid w:val="5C5F7B02"/>
    <w:rsid w:val="5C8004BE"/>
    <w:rsid w:val="5CAB379D"/>
    <w:rsid w:val="5CBF43B4"/>
    <w:rsid w:val="5CC226FE"/>
    <w:rsid w:val="5CC60084"/>
    <w:rsid w:val="5CCE6B97"/>
    <w:rsid w:val="5CFC6B1B"/>
    <w:rsid w:val="5D0B253C"/>
    <w:rsid w:val="5D250CD4"/>
    <w:rsid w:val="5D377843"/>
    <w:rsid w:val="5D43603B"/>
    <w:rsid w:val="5D746F0D"/>
    <w:rsid w:val="5DAD084A"/>
    <w:rsid w:val="5DC72AC5"/>
    <w:rsid w:val="5E1C5F95"/>
    <w:rsid w:val="5E1E79FB"/>
    <w:rsid w:val="5E2424F1"/>
    <w:rsid w:val="5E742D65"/>
    <w:rsid w:val="5E7670AA"/>
    <w:rsid w:val="5E8C78A1"/>
    <w:rsid w:val="5E8D7804"/>
    <w:rsid w:val="5E9E7E3D"/>
    <w:rsid w:val="5EAD2244"/>
    <w:rsid w:val="5ECC361A"/>
    <w:rsid w:val="5F1B113F"/>
    <w:rsid w:val="5F40136E"/>
    <w:rsid w:val="5F900C8B"/>
    <w:rsid w:val="5FAB2661"/>
    <w:rsid w:val="5FEE1AF0"/>
    <w:rsid w:val="5FFB1229"/>
    <w:rsid w:val="60054C6C"/>
    <w:rsid w:val="60395519"/>
    <w:rsid w:val="605032F6"/>
    <w:rsid w:val="60604155"/>
    <w:rsid w:val="60614F66"/>
    <w:rsid w:val="6063305B"/>
    <w:rsid w:val="60694C9E"/>
    <w:rsid w:val="60904E92"/>
    <w:rsid w:val="60A61F54"/>
    <w:rsid w:val="60CB64A8"/>
    <w:rsid w:val="60D2036F"/>
    <w:rsid w:val="60F54FDA"/>
    <w:rsid w:val="60F81710"/>
    <w:rsid w:val="61050A63"/>
    <w:rsid w:val="61050B98"/>
    <w:rsid w:val="61204069"/>
    <w:rsid w:val="613E38B5"/>
    <w:rsid w:val="61496562"/>
    <w:rsid w:val="615477F6"/>
    <w:rsid w:val="6166100A"/>
    <w:rsid w:val="61716E0A"/>
    <w:rsid w:val="61B815D6"/>
    <w:rsid w:val="61D545EF"/>
    <w:rsid w:val="61E466DF"/>
    <w:rsid w:val="620E530D"/>
    <w:rsid w:val="624B7AFC"/>
    <w:rsid w:val="625654A9"/>
    <w:rsid w:val="625A151F"/>
    <w:rsid w:val="628368F3"/>
    <w:rsid w:val="62903A8C"/>
    <w:rsid w:val="62955851"/>
    <w:rsid w:val="629C02F9"/>
    <w:rsid w:val="629D3964"/>
    <w:rsid w:val="629D4F72"/>
    <w:rsid w:val="62B00E7B"/>
    <w:rsid w:val="62F23C4B"/>
    <w:rsid w:val="630F50FD"/>
    <w:rsid w:val="63557D9E"/>
    <w:rsid w:val="63654982"/>
    <w:rsid w:val="63735C89"/>
    <w:rsid w:val="638751A9"/>
    <w:rsid w:val="63AE2AA6"/>
    <w:rsid w:val="63BD514C"/>
    <w:rsid w:val="63D6033A"/>
    <w:rsid w:val="63E3689B"/>
    <w:rsid w:val="640D3443"/>
    <w:rsid w:val="6411248A"/>
    <w:rsid w:val="643D7D60"/>
    <w:rsid w:val="64431E1B"/>
    <w:rsid w:val="644C775D"/>
    <w:rsid w:val="645B7690"/>
    <w:rsid w:val="64667C95"/>
    <w:rsid w:val="6470086D"/>
    <w:rsid w:val="64BF784B"/>
    <w:rsid w:val="655717C1"/>
    <w:rsid w:val="659D7751"/>
    <w:rsid w:val="65A45CC1"/>
    <w:rsid w:val="65A56AD6"/>
    <w:rsid w:val="65B72FD0"/>
    <w:rsid w:val="65BA71B0"/>
    <w:rsid w:val="65D44049"/>
    <w:rsid w:val="65F85E8A"/>
    <w:rsid w:val="66090C74"/>
    <w:rsid w:val="66231163"/>
    <w:rsid w:val="663D753A"/>
    <w:rsid w:val="663D7B2C"/>
    <w:rsid w:val="66534B7A"/>
    <w:rsid w:val="666856F9"/>
    <w:rsid w:val="6683216E"/>
    <w:rsid w:val="66865182"/>
    <w:rsid w:val="669C79BD"/>
    <w:rsid w:val="66A8037E"/>
    <w:rsid w:val="66D80A0B"/>
    <w:rsid w:val="66DE2DCE"/>
    <w:rsid w:val="66DE326F"/>
    <w:rsid w:val="66FE4513"/>
    <w:rsid w:val="67347C48"/>
    <w:rsid w:val="673E32F3"/>
    <w:rsid w:val="674F1318"/>
    <w:rsid w:val="676D4A11"/>
    <w:rsid w:val="678002DF"/>
    <w:rsid w:val="678B60C3"/>
    <w:rsid w:val="67A25B10"/>
    <w:rsid w:val="67A6168E"/>
    <w:rsid w:val="67B83627"/>
    <w:rsid w:val="67BE6CAD"/>
    <w:rsid w:val="67DC3D0A"/>
    <w:rsid w:val="67E40345"/>
    <w:rsid w:val="67F97686"/>
    <w:rsid w:val="68323ABD"/>
    <w:rsid w:val="68A13DAA"/>
    <w:rsid w:val="68A44C79"/>
    <w:rsid w:val="68B62188"/>
    <w:rsid w:val="68B84DD7"/>
    <w:rsid w:val="68C60278"/>
    <w:rsid w:val="68F8308A"/>
    <w:rsid w:val="691535BF"/>
    <w:rsid w:val="69242BA7"/>
    <w:rsid w:val="693F6D4A"/>
    <w:rsid w:val="6953779A"/>
    <w:rsid w:val="695B000E"/>
    <w:rsid w:val="6975410E"/>
    <w:rsid w:val="69815861"/>
    <w:rsid w:val="69846A14"/>
    <w:rsid w:val="699A46D0"/>
    <w:rsid w:val="69B3042D"/>
    <w:rsid w:val="69C40340"/>
    <w:rsid w:val="69DE3C76"/>
    <w:rsid w:val="69F02690"/>
    <w:rsid w:val="6A2F607C"/>
    <w:rsid w:val="6A665DC9"/>
    <w:rsid w:val="6A747072"/>
    <w:rsid w:val="6AB0409E"/>
    <w:rsid w:val="6ABC4493"/>
    <w:rsid w:val="6AD61E82"/>
    <w:rsid w:val="6AD94147"/>
    <w:rsid w:val="6AE31F6E"/>
    <w:rsid w:val="6B4D0A75"/>
    <w:rsid w:val="6B956590"/>
    <w:rsid w:val="6BAD222E"/>
    <w:rsid w:val="6BB50C1F"/>
    <w:rsid w:val="6BDF47D9"/>
    <w:rsid w:val="6C032E66"/>
    <w:rsid w:val="6C263272"/>
    <w:rsid w:val="6C4576FD"/>
    <w:rsid w:val="6C9F35C2"/>
    <w:rsid w:val="6CCB5065"/>
    <w:rsid w:val="6CFF74CD"/>
    <w:rsid w:val="6D06568C"/>
    <w:rsid w:val="6D0C5754"/>
    <w:rsid w:val="6D0C6B49"/>
    <w:rsid w:val="6D3A3FBA"/>
    <w:rsid w:val="6D431B0A"/>
    <w:rsid w:val="6D77690C"/>
    <w:rsid w:val="6D827085"/>
    <w:rsid w:val="6D840A3C"/>
    <w:rsid w:val="6D9D5E3B"/>
    <w:rsid w:val="6DBC61FF"/>
    <w:rsid w:val="6DC46481"/>
    <w:rsid w:val="6DD0054B"/>
    <w:rsid w:val="6DDA6AC7"/>
    <w:rsid w:val="6E3E6985"/>
    <w:rsid w:val="6E417AF2"/>
    <w:rsid w:val="6E6F375D"/>
    <w:rsid w:val="6E753D6F"/>
    <w:rsid w:val="6E796114"/>
    <w:rsid w:val="6E7E5DD5"/>
    <w:rsid w:val="6E8338F1"/>
    <w:rsid w:val="6E8D5E58"/>
    <w:rsid w:val="6E8F0529"/>
    <w:rsid w:val="6ED6297A"/>
    <w:rsid w:val="6EF1444D"/>
    <w:rsid w:val="6EFA58FF"/>
    <w:rsid w:val="6F116C0A"/>
    <w:rsid w:val="6F257CB8"/>
    <w:rsid w:val="6F2E106A"/>
    <w:rsid w:val="6F406E66"/>
    <w:rsid w:val="6F5578B1"/>
    <w:rsid w:val="6F571DF4"/>
    <w:rsid w:val="6F654F99"/>
    <w:rsid w:val="6F8E2167"/>
    <w:rsid w:val="6FA40632"/>
    <w:rsid w:val="6FBA6625"/>
    <w:rsid w:val="6FC23551"/>
    <w:rsid w:val="6FCD0EE0"/>
    <w:rsid w:val="6FDC35C0"/>
    <w:rsid w:val="700A1F81"/>
    <w:rsid w:val="701E10FB"/>
    <w:rsid w:val="702F4B85"/>
    <w:rsid w:val="7038481D"/>
    <w:rsid w:val="705B4C88"/>
    <w:rsid w:val="706A25A3"/>
    <w:rsid w:val="706B2204"/>
    <w:rsid w:val="70950A61"/>
    <w:rsid w:val="70D9086D"/>
    <w:rsid w:val="70EB7773"/>
    <w:rsid w:val="70ED2CEF"/>
    <w:rsid w:val="71026C01"/>
    <w:rsid w:val="7110742E"/>
    <w:rsid w:val="711B2292"/>
    <w:rsid w:val="711C2D67"/>
    <w:rsid w:val="71462F4A"/>
    <w:rsid w:val="715036E2"/>
    <w:rsid w:val="717E5EC6"/>
    <w:rsid w:val="718F6301"/>
    <w:rsid w:val="719A2A5E"/>
    <w:rsid w:val="719E4926"/>
    <w:rsid w:val="71A92412"/>
    <w:rsid w:val="71AA6A9C"/>
    <w:rsid w:val="71D22608"/>
    <w:rsid w:val="71DD68CA"/>
    <w:rsid w:val="721770E5"/>
    <w:rsid w:val="72434B7C"/>
    <w:rsid w:val="725B41D0"/>
    <w:rsid w:val="72672A77"/>
    <w:rsid w:val="729B0D29"/>
    <w:rsid w:val="72A05DB0"/>
    <w:rsid w:val="72A15CCB"/>
    <w:rsid w:val="72FA685C"/>
    <w:rsid w:val="731965CD"/>
    <w:rsid w:val="735A18AB"/>
    <w:rsid w:val="736C2262"/>
    <w:rsid w:val="737A236B"/>
    <w:rsid w:val="738C1E32"/>
    <w:rsid w:val="739127D3"/>
    <w:rsid w:val="7394345B"/>
    <w:rsid w:val="73A46324"/>
    <w:rsid w:val="73A83927"/>
    <w:rsid w:val="73C3696D"/>
    <w:rsid w:val="743046BC"/>
    <w:rsid w:val="744D26E7"/>
    <w:rsid w:val="748C68A1"/>
    <w:rsid w:val="751226B5"/>
    <w:rsid w:val="752113B0"/>
    <w:rsid w:val="754C0EED"/>
    <w:rsid w:val="7577348D"/>
    <w:rsid w:val="75817B14"/>
    <w:rsid w:val="75986A2F"/>
    <w:rsid w:val="759E43CA"/>
    <w:rsid w:val="75AA5710"/>
    <w:rsid w:val="75E77B6B"/>
    <w:rsid w:val="75FA458B"/>
    <w:rsid w:val="76582317"/>
    <w:rsid w:val="76757B27"/>
    <w:rsid w:val="767E4144"/>
    <w:rsid w:val="76871919"/>
    <w:rsid w:val="769906B9"/>
    <w:rsid w:val="769C1807"/>
    <w:rsid w:val="769C4840"/>
    <w:rsid w:val="769E1095"/>
    <w:rsid w:val="76AE59B3"/>
    <w:rsid w:val="76C40D5A"/>
    <w:rsid w:val="77052CBA"/>
    <w:rsid w:val="772B0B64"/>
    <w:rsid w:val="773F70C0"/>
    <w:rsid w:val="77451356"/>
    <w:rsid w:val="77EE1099"/>
    <w:rsid w:val="77F10E8A"/>
    <w:rsid w:val="7807680D"/>
    <w:rsid w:val="78307C92"/>
    <w:rsid w:val="78583AA6"/>
    <w:rsid w:val="78672387"/>
    <w:rsid w:val="78B91973"/>
    <w:rsid w:val="78C108F9"/>
    <w:rsid w:val="78EE294D"/>
    <w:rsid w:val="79335EBE"/>
    <w:rsid w:val="793C4485"/>
    <w:rsid w:val="795B60D9"/>
    <w:rsid w:val="795F3DFF"/>
    <w:rsid w:val="796F083C"/>
    <w:rsid w:val="797A0721"/>
    <w:rsid w:val="798722A4"/>
    <w:rsid w:val="79BE715B"/>
    <w:rsid w:val="79FF5A4A"/>
    <w:rsid w:val="7A1B533A"/>
    <w:rsid w:val="7A2A31FE"/>
    <w:rsid w:val="7A4264AC"/>
    <w:rsid w:val="7A49603F"/>
    <w:rsid w:val="7A502CE7"/>
    <w:rsid w:val="7A5D31D2"/>
    <w:rsid w:val="7A6D6350"/>
    <w:rsid w:val="7A8F379A"/>
    <w:rsid w:val="7AAD049B"/>
    <w:rsid w:val="7ABA27A9"/>
    <w:rsid w:val="7AC51486"/>
    <w:rsid w:val="7AE733E7"/>
    <w:rsid w:val="7B137C20"/>
    <w:rsid w:val="7B444EC9"/>
    <w:rsid w:val="7B726518"/>
    <w:rsid w:val="7B8D5082"/>
    <w:rsid w:val="7B99331A"/>
    <w:rsid w:val="7BB911A5"/>
    <w:rsid w:val="7BCF5763"/>
    <w:rsid w:val="7C00374D"/>
    <w:rsid w:val="7C162F0C"/>
    <w:rsid w:val="7C1A422C"/>
    <w:rsid w:val="7C1F7192"/>
    <w:rsid w:val="7C2F1FD0"/>
    <w:rsid w:val="7C3579C8"/>
    <w:rsid w:val="7C5C14C8"/>
    <w:rsid w:val="7C6F4493"/>
    <w:rsid w:val="7C95784B"/>
    <w:rsid w:val="7CA852A4"/>
    <w:rsid w:val="7CB85914"/>
    <w:rsid w:val="7D0B52CB"/>
    <w:rsid w:val="7D1C22D9"/>
    <w:rsid w:val="7D234CDD"/>
    <w:rsid w:val="7D3A3C06"/>
    <w:rsid w:val="7D56664F"/>
    <w:rsid w:val="7D5A4E0C"/>
    <w:rsid w:val="7D6F5ECE"/>
    <w:rsid w:val="7D9C3A6F"/>
    <w:rsid w:val="7DB9749D"/>
    <w:rsid w:val="7DD22286"/>
    <w:rsid w:val="7DFE72FF"/>
    <w:rsid w:val="7E0933DA"/>
    <w:rsid w:val="7E283249"/>
    <w:rsid w:val="7E3145D4"/>
    <w:rsid w:val="7E7B5204"/>
    <w:rsid w:val="7E871901"/>
    <w:rsid w:val="7E9D1E05"/>
    <w:rsid w:val="7EA42017"/>
    <w:rsid w:val="7ECD4F5C"/>
    <w:rsid w:val="7ED104B3"/>
    <w:rsid w:val="7EF64051"/>
    <w:rsid w:val="7F383A96"/>
    <w:rsid w:val="7F38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57"/>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5"/>
    <w:link w:val="59"/>
    <w:unhideWhenUsed/>
    <w:qFormat/>
    <w:uiPriority w:val="0"/>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0"/>
    <w:semiHidden/>
    <w:unhideWhenUsed/>
    <w:qFormat/>
    <w:uiPriority w:val="0"/>
    <w:pPr>
      <w:keepNext/>
      <w:keepLines/>
      <w:numPr>
        <w:ilvl w:val="2"/>
        <w:numId w:val="3"/>
      </w:numPr>
      <w:spacing w:before="260" w:after="260" w:line="413" w:lineRule="auto"/>
      <w:outlineLvl w:val="2"/>
    </w:pPr>
    <w:rPr>
      <w:b/>
      <w:sz w:val="32"/>
    </w:rPr>
  </w:style>
  <w:style w:type="paragraph" w:styleId="7">
    <w:name w:val="heading 4"/>
    <w:basedOn w:val="1"/>
    <w:next w:val="1"/>
    <w:link w:val="61"/>
    <w:semiHidden/>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2"/>
    <w:semiHidden/>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63"/>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64"/>
    <w:semiHidden/>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65"/>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66"/>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5">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99"/>
    <w:pPr>
      <w:jc w:val="left"/>
    </w:pPr>
    <w:rPr>
      <w:rFonts w:ascii="Copperplate Gothic Bold" w:hAnsi="Copperplate Gothic Bold"/>
      <w:sz w:val="28"/>
    </w:rPr>
  </w:style>
  <w:style w:type="paragraph" w:styleId="5">
    <w:name w:val="Normal Indent"/>
    <w:basedOn w:val="1"/>
    <w:next w:val="1"/>
    <w:link w:val="58"/>
    <w:qFormat/>
    <w:uiPriority w:val="0"/>
    <w:pPr>
      <w:ind w:firstLine="420"/>
    </w:pPr>
  </w:style>
  <w:style w:type="paragraph" w:styleId="13">
    <w:name w:val="toc 7"/>
    <w:basedOn w:val="1"/>
    <w:next w:val="1"/>
    <w:unhideWhenUsed/>
    <w:qFormat/>
    <w:uiPriority w:val="0"/>
    <w:pPr>
      <w:spacing w:line="240" w:lineRule="auto"/>
      <w:ind w:left="2520" w:leftChars="1200" w:firstLine="0" w:firstLineChars="0"/>
    </w:pPr>
    <w:rPr>
      <w:rFonts w:ascii="Calibri" w:hAnsi="Calibri" w:eastAsia="宋体" w:cs="Times New Roman"/>
      <w:sz w:val="21"/>
      <w:szCs w:val="22"/>
    </w:rPr>
  </w:style>
  <w:style w:type="paragraph" w:styleId="14">
    <w:name w:val="Document Map"/>
    <w:basedOn w:val="1"/>
    <w:link w:val="89"/>
    <w:unhideWhenUsed/>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5">
    <w:name w:val="annotation text"/>
    <w:basedOn w:val="1"/>
    <w:link w:val="83"/>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6">
    <w:name w:val="Body Text 3"/>
    <w:basedOn w:val="1"/>
    <w:link w:val="87"/>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7">
    <w:name w:val="Body Text Indent"/>
    <w:basedOn w:val="1"/>
    <w:link w:val="67"/>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0">
    <w:name w:val="toc 5"/>
    <w:basedOn w:val="1"/>
    <w:next w:val="1"/>
    <w:unhideWhenUsed/>
    <w:qFormat/>
    <w:uiPriority w:val="0"/>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1">
    <w:name w:val="toc 3"/>
    <w:basedOn w:val="1"/>
    <w:next w:val="1"/>
    <w:unhideWhenUsed/>
    <w:qFormat/>
    <w:uiPriority w:val="0"/>
    <w:pPr>
      <w:spacing w:line="240" w:lineRule="auto"/>
      <w:ind w:left="840" w:leftChars="400" w:firstLine="0" w:firstLineChars="0"/>
    </w:pPr>
    <w:rPr>
      <w:rFonts w:ascii="Times New Roman" w:hAnsi="Times New Roman" w:eastAsia="宋体" w:cs="Times New Roman"/>
      <w:sz w:val="21"/>
    </w:rPr>
  </w:style>
  <w:style w:type="paragraph" w:styleId="22">
    <w:name w:val="Plain Text"/>
    <w:basedOn w:val="1"/>
    <w:link w:val="68"/>
    <w:qFormat/>
    <w:uiPriority w:val="0"/>
    <w:rPr>
      <w:rFonts w:ascii="宋体" w:hAnsi="Courier New"/>
      <w:szCs w:val="21"/>
    </w:rPr>
  </w:style>
  <w:style w:type="paragraph" w:styleId="23">
    <w:name w:val="toc 8"/>
    <w:basedOn w:val="1"/>
    <w:next w:val="1"/>
    <w:unhideWhenUsed/>
    <w:qFormat/>
    <w:uiPriority w:val="0"/>
    <w:pPr>
      <w:spacing w:line="240" w:lineRule="auto"/>
      <w:ind w:left="2940" w:leftChars="1400" w:firstLine="0" w:firstLineChars="0"/>
    </w:pPr>
    <w:rPr>
      <w:rFonts w:ascii="Calibri" w:hAnsi="Calibri" w:eastAsia="宋体" w:cs="Times New Roman"/>
      <w:sz w:val="21"/>
      <w:szCs w:val="22"/>
    </w:rPr>
  </w:style>
  <w:style w:type="paragraph" w:styleId="24">
    <w:name w:val="Date"/>
    <w:basedOn w:val="1"/>
    <w:next w:val="1"/>
    <w:link w:val="86"/>
    <w:unhideWhenUsed/>
    <w:qFormat/>
    <w:uiPriority w:val="0"/>
    <w:pPr>
      <w:spacing w:line="240" w:lineRule="auto"/>
      <w:ind w:left="100" w:leftChars="2500" w:firstLine="0" w:firstLineChars="0"/>
    </w:pPr>
    <w:rPr>
      <w:rFonts w:ascii="Times New Roman" w:hAnsi="Times New Roman" w:eastAsia="宋体" w:cs="Times New Roman"/>
      <w:sz w:val="21"/>
    </w:rPr>
  </w:style>
  <w:style w:type="paragraph" w:styleId="25">
    <w:name w:val="Body Text Indent 2"/>
    <w:basedOn w:val="1"/>
    <w:link w:val="82"/>
    <w:qFormat/>
    <w:uiPriority w:val="0"/>
    <w:pPr>
      <w:spacing w:after="120" w:line="480" w:lineRule="auto"/>
      <w:ind w:left="420" w:leftChars="200"/>
    </w:pPr>
  </w:style>
  <w:style w:type="paragraph" w:styleId="26">
    <w:name w:val="Balloon Text"/>
    <w:basedOn w:val="1"/>
    <w:link w:val="69"/>
    <w:qFormat/>
    <w:uiPriority w:val="0"/>
    <w:pPr>
      <w:spacing w:line="240" w:lineRule="auto"/>
    </w:pPr>
    <w:rPr>
      <w:sz w:val="18"/>
      <w:szCs w:val="18"/>
    </w:rPr>
  </w:style>
  <w:style w:type="paragraph" w:styleId="27">
    <w:name w:val="footer"/>
    <w:basedOn w:val="1"/>
    <w:link w:val="70"/>
    <w:qFormat/>
    <w:uiPriority w:val="0"/>
    <w:pPr>
      <w:tabs>
        <w:tab w:val="center" w:pos="4153"/>
        <w:tab w:val="right" w:pos="8306"/>
      </w:tabs>
      <w:snapToGrid w:val="0"/>
      <w:jc w:val="left"/>
    </w:pPr>
    <w:rPr>
      <w:sz w:val="18"/>
    </w:rPr>
  </w:style>
  <w:style w:type="paragraph" w:styleId="28">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9">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0">
    <w:name w:val="toc 4"/>
    <w:basedOn w:val="1"/>
    <w:next w:val="1"/>
    <w:unhideWhenUsed/>
    <w:qFormat/>
    <w:uiPriority w:val="0"/>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1">
    <w:name w:val="Subtitle"/>
    <w:basedOn w:val="1"/>
    <w:next w:val="1"/>
    <w:link w:val="85"/>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2">
    <w:name w:val="toc 6"/>
    <w:basedOn w:val="1"/>
    <w:next w:val="1"/>
    <w:unhideWhenUsed/>
    <w:qFormat/>
    <w:uiPriority w:val="0"/>
    <w:pPr>
      <w:spacing w:line="240" w:lineRule="auto"/>
      <w:ind w:left="2100" w:leftChars="1000" w:firstLine="0" w:firstLineChars="0"/>
    </w:pPr>
    <w:rPr>
      <w:rFonts w:ascii="Calibri" w:hAnsi="Calibri" w:eastAsia="宋体" w:cs="Times New Roman"/>
      <w:sz w:val="21"/>
      <w:szCs w:val="22"/>
    </w:rPr>
  </w:style>
  <w:style w:type="paragraph" w:styleId="33">
    <w:name w:val="Body Text Indent 3"/>
    <w:basedOn w:val="1"/>
    <w:link w:val="88"/>
    <w:unhideWhenUsed/>
    <w:qFormat/>
    <w:uiPriority w:val="0"/>
    <w:pPr>
      <w:adjustRightInd w:val="0"/>
      <w:snapToGrid w:val="0"/>
      <w:ind w:firstLine="600"/>
    </w:pPr>
    <w:rPr>
      <w:rFonts w:ascii="黑体" w:hAnsi="Times New Roman" w:eastAsia="黑体" w:cs="Times New Roman"/>
      <w:sz w:val="30"/>
      <w:szCs w:val="28"/>
    </w:rPr>
  </w:style>
  <w:style w:type="paragraph" w:styleId="34">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5">
    <w:name w:val="toc 9"/>
    <w:basedOn w:val="1"/>
    <w:next w:val="1"/>
    <w:unhideWhenUsed/>
    <w:qFormat/>
    <w:uiPriority w:val="0"/>
    <w:pPr>
      <w:spacing w:line="240" w:lineRule="auto"/>
      <w:ind w:left="3360" w:leftChars="1600" w:firstLine="0" w:firstLineChars="0"/>
    </w:pPr>
    <w:rPr>
      <w:rFonts w:ascii="Calibri" w:hAnsi="Calibri" w:eastAsia="宋体" w:cs="Times New Roman"/>
      <w:sz w:val="21"/>
      <w:szCs w:val="22"/>
    </w:rPr>
  </w:style>
  <w:style w:type="paragraph" w:styleId="36">
    <w:name w:val="Body Text 2"/>
    <w:basedOn w:val="1"/>
    <w:link w:val="72"/>
    <w:qFormat/>
    <w:uiPriority w:val="0"/>
    <w:rPr>
      <w:rFonts w:ascii="楷体_GB2312" w:hAnsi="Copperplate Gothic Bold" w:eastAsia="楷体_GB2312"/>
      <w:sz w:val="28"/>
    </w:rPr>
  </w:style>
  <w:style w:type="paragraph" w:styleId="3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rPr>
  </w:style>
  <w:style w:type="paragraph" w:styleId="39">
    <w:name w:val="Title"/>
    <w:basedOn w:val="1"/>
    <w:link w:val="84"/>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0">
    <w:name w:val="annotation subject"/>
    <w:basedOn w:val="15"/>
    <w:next w:val="15"/>
    <w:link w:val="90"/>
    <w:unhideWhenUsed/>
    <w:qFormat/>
    <w:uiPriority w:val="0"/>
    <w:pPr>
      <w:adjustRightInd/>
      <w:spacing w:line="240" w:lineRule="auto"/>
    </w:pPr>
    <w:rPr>
      <w:b/>
      <w:bCs/>
      <w:kern w:val="2"/>
      <w:sz w:val="21"/>
      <w:szCs w:val="24"/>
    </w:rPr>
  </w:style>
  <w:style w:type="paragraph" w:styleId="41">
    <w:name w:val="Body Text First Indent"/>
    <w:basedOn w:val="2"/>
    <w:unhideWhenUsed/>
    <w:qFormat/>
    <w:uiPriority w:val="99"/>
    <w:pPr>
      <w:spacing w:after="120" w:afterLines="0" w:line="240" w:lineRule="auto"/>
      <w:ind w:firstLine="420" w:firstLineChars="100"/>
    </w:pPr>
    <w:rPr>
      <w:rFonts w:ascii="Times New Roman" w:hAnsi="Times New Roman"/>
      <w:color w:val="auto"/>
      <w:sz w:val="18"/>
      <w:szCs w:val="18"/>
    </w:rPr>
  </w:style>
  <w:style w:type="paragraph" w:styleId="42">
    <w:name w:val="Body Text First Indent 2"/>
    <w:basedOn w:val="17"/>
    <w:unhideWhenUsed/>
    <w:qFormat/>
    <w:uiPriority w:val="0"/>
    <w:pPr>
      <w:ind w:firstLine="42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basedOn w:val="45"/>
    <w:unhideWhenUsed/>
    <w:qFormat/>
    <w:uiPriority w:val="99"/>
    <w:rPr>
      <w:color w:val="954F72" w:themeColor="followedHyperlink"/>
      <w:u w:val="single"/>
      <w14:textFill>
        <w14:solidFill>
          <w14:schemeClr w14:val="folHlink"/>
        </w14:solidFill>
      </w14:textFill>
    </w:rPr>
  </w:style>
  <w:style w:type="character" w:styleId="49">
    <w:name w:val="Emphasis"/>
    <w:basedOn w:val="45"/>
    <w:qFormat/>
    <w:uiPriority w:val="0"/>
  </w:style>
  <w:style w:type="character" w:styleId="50">
    <w:name w:val="HTML Definition"/>
    <w:basedOn w:val="45"/>
    <w:unhideWhenUsed/>
    <w:qFormat/>
    <w:uiPriority w:val="0"/>
    <w:rPr>
      <w:i/>
    </w:rPr>
  </w:style>
  <w:style w:type="character" w:styleId="51">
    <w:name w:val="Hyperlink"/>
    <w:basedOn w:val="45"/>
    <w:qFormat/>
    <w:uiPriority w:val="99"/>
    <w:rPr>
      <w:color w:val="0563C1" w:themeColor="hyperlink"/>
      <w:u w:val="single"/>
      <w14:textFill>
        <w14:solidFill>
          <w14:schemeClr w14:val="hlink"/>
        </w14:solidFill>
      </w14:textFill>
    </w:rPr>
  </w:style>
  <w:style w:type="character" w:styleId="52">
    <w:name w:val="HTML Code"/>
    <w:unhideWhenUsed/>
    <w:qFormat/>
    <w:uiPriority w:val="0"/>
    <w:rPr>
      <w:rFonts w:hint="default" w:ascii="Consolas" w:hAnsi="Consolas" w:eastAsia="Consolas" w:cs="Consolas"/>
      <w:color w:val="C7254E"/>
      <w:sz w:val="21"/>
      <w:szCs w:val="21"/>
      <w:shd w:val="clear" w:color="auto" w:fill="F9F2F4"/>
    </w:rPr>
  </w:style>
  <w:style w:type="character" w:styleId="53">
    <w:name w:val="annotation reference"/>
    <w:basedOn w:val="45"/>
    <w:unhideWhenUsed/>
    <w:qFormat/>
    <w:uiPriority w:val="0"/>
    <w:rPr>
      <w:sz w:val="21"/>
      <w:szCs w:val="21"/>
    </w:rPr>
  </w:style>
  <w:style w:type="character" w:styleId="54">
    <w:name w:val="HTML Keyboard"/>
    <w:unhideWhenUsed/>
    <w:qFormat/>
    <w:uiPriority w:val="0"/>
    <w:rPr>
      <w:rFonts w:hint="default" w:ascii="Consolas" w:hAnsi="Consolas" w:eastAsia="Consolas" w:cs="Consolas"/>
      <w:color w:val="FFFFFF"/>
      <w:sz w:val="21"/>
      <w:szCs w:val="21"/>
      <w:shd w:val="clear" w:color="auto" w:fill="333333"/>
    </w:rPr>
  </w:style>
  <w:style w:type="character" w:styleId="55">
    <w:name w:val="HTML Sample"/>
    <w:unhideWhenUsed/>
    <w:qFormat/>
    <w:uiPriority w:val="0"/>
    <w:rPr>
      <w:rFonts w:hint="default" w:ascii="Consolas" w:hAnsi="Consolas" w:eastAsia="Consolas" w:cs="Consolas"/>
      <w:sz w:val="21"/>
      <w:szCs w:val="21"/>
    </w:rPr>
  </w:style>
  <w:style w:type="character" w:customStyle="1" w:styleId="56">
    <w:name w:val="正文文本 Char"/>
    <w:basedOn w:val="45"/>
    <w:link w:val="2"/>
    <w:qFormat/>
    <w:uiPriority w:val="99"/>
    <w:rPr>
      <w:rFonts w:ascii="Copperplate Gothic Bold" w:hAnsi="Copperplate Gothic Bold" w:eastAsia="楷体" w:cstheme="minorBidi"/>
      <w:kern w:val="2"/>
      <w:sz w:val="28"/>
      <w:szCs w:val="24"/>
    </w:rPr>
  </w:style>
  <w:style w:type="character" w:customStyle="1" w:styleId="57">
    <w:name w:val="标题 1 Char"/>
    <w:link w:val="3"/>
    <w:qFormat/>
    <w:uiPriority w:val="0"/>
    <w:rPr>
      <w:rFonts w:eastAsia="楷体" w:asciiTheme="minorHAnsi" w:hAnsiTheme="minorHAnsi" w:cstheme="minorBidi"/>
      <w:b/>
      <w:kern w:val="44"/>
      <w:sz w:val="44"/>
      <w:szCs w:val="24"/>
    </w:rPr>
  </w:style>
  <w:style w:type="character" w:customStyle="1" w:styleId="58">
    <w:name w:val="正文缩进 Char"/>
    <w:link w:val="5"/>
    <w:qFormat/>
    <w:locked/>
    <w:uiPriority w:val="0"/>
    <w:rPr>
      <w:rFonts w:eastAsia="楷体" w:asciiTheme="minorHAnsi" w:hAnsiTheme="minorHAnsi" w:cstheme="minorBidi"/>
      <w:kern w:val="2"/>
      <w:sz w:val="24"/>
      <w:szCs w:val="24"/>
    </w:rPr>
  </w:style>
  <w:style w:type="character" w:customStyle="1" w:styleId="59">
    <w:name w:val="标题 2 Char"/>
    <w:link w:val="4"/>
    <w:qFormat/>
    <w:uiPriority w:val="0"/>
    <w:rPr>
      <w:rFonts w:ascii="Arial" w:hAnsi="Arial" w:eastAsia="楷体" w:cstheme="minorBidi"/>
      <w:b/>
      <w:kern w:val="2"/>
      <w:sz w:val="28"/>
      <w:szCs w:val="24"/>
    </w:rPr>
  </w:style>
  <w:style w:type="character" w:customStyle="1" w:styleId="60">
    <w:name w:val="标题 3 Char"/>
    <w:basedOn w:val="45"/>
    <w:link w:val="6"/>
    <w:semiHidden/>
    <w:qFormat/>
    <w:uiPriority w:val="0"/>
    <w:rPr>
      <w:rFonts w:eastAsia="楷体" w:asciiTheme="minorHAnsi" w:hAnsiTheme="minorHAnsi" w:cstheme="minorBidi"/>
      <w:b/>
      <w:kern w:val="2"/>
      <w:sz w:val="32"/>
      <w:szCs w:val="24"/>
    </w:rPr>
  </w:style>
  <w:style w:type="character" w:customStyle="1" w:styleId="61">
    <w:name w:val="标题 4 Char"/>
    <w:basedOn w:val="45"/>
    <w:link w:val="7"/>
    <w:semiHidden/>
    <w:qFormat/>
    <w:uiPriority w:val="0"/>
    <w:rPr>
      <w:rFonts w:ascii="Arial" w:hAnsi="Arial" w:eastAsia="黑体" w:cstheme="minorBidi"/>
      <w:b/>
      <w:kern w:val="2"/>
      <w:sz w:val="28"/>
      <w:szCs w:val="24"/>
    </w:rPr>
  </w:style>
  <w:style w:type="character" w:customStyle="1" w:styleId="62">
    <w:name w:val="标题 5 Char"/>
    <w:basedOn w:val="45"/>
    <w:link w:val="8"/>
    <w:semiHidden/>
    <w:qFormat/>
    <w:uiPriority w:val="0"/>
    <w:rPr>
      <w:rFonts w:eastAsia="楷体" w:asciiTheme="minorHAnsi" w:hAnsiTheme="minorHAnsi" w:cstheme="minorBidi"/>
      <w:b/>
      <w:kern w:val="2"/>
      <w:sz w:val="28"/>
      <w:szCs w:val="24"/>
    </w:rPr>
  </w:style>
  <w:style w:type="character" w:customStyle="1" w:styleId="63">
    <w:name w:val="标题 6 Char"/>
    <w:basedOn w:val="45"/>
    <w:link w:val="9"/>
    <w:semiHidden/>
    <w:qFormat/>
    <w:uiPriority w:val="0"/>
    <w:rPr>
      <w:rFonts w:ascii="Arial" w:hAnsi="Arial" w:eastAsia="黑体" w:cstheme="minorBidi"/>
      <w:b/>
      <w:kern w:val="2"/>
      <w:sz w:val="24"/>
      <w:szCs w:val="24"/>
    </w:rPr>
  </w:style>
  <w:style w:type="character" w:customStyle="1" w:styleId="64">
    <w:name w:val="标题 7 Char"/>
    <w:basedOn w:val="45"/>
    <w:link w:val="10"/>
    <w:semiHidden/>
    <w:qFormat/>
    <w:uiPriority w:val="0"/>
    <w:rPr>
      <w:rFonts w:eastAsia="楷体" w:asciiTheme="minorHAnsi" w:hAnsiTheme="minorHAnsi" w:cstheme="minorBidi"/>
      <w:b/>
      <w:kern w:val="2"/>
      <w:sz w:val="24"/>
      <w:szCs w:val="24"/>
    </w:rPr>
  </w:style>
  <w:style w:type="character" w:customStyle="1" w:styleId="65">
    <w:name w:val="标题 8 Char"/>
    <w:basedOn w:val="45"/>
    <w:link w:val="11"/>
    <w:semiHidden/>
    <w:qFormat/>
    <w:uiPriority w:val="0"/>
    <w:rPr>
      <w:rFonts w:ascii="Arial" w:hAnsi="Arial" w:eastAsia="黑体" w:cstheme="minorBidi"/>
      <w:kern w:val="2"/>
      <w:sz w:val="24"/>
      <w:szCs w:val="24"/>
    </w:rPr>
  </w:style>
  <w:style w:type="character" w:customStyle="1" w:styleId="66">
    <w:name w:val="标题 9 Char"/>
    <w:basedOn w:val="45"/>
    <w:link w:val="12"/>
    <w:semiHidden/>
    <w:qFormat/>
    <w:uiPriority w:val="0"/>
    <w:rPr>
      <w:rFonts w:ascii="Arial" w:hAnsi="Arial" w:eastAsia="黑体" w:cstheme="minorBidi"/>
      <w:kern w:val="2"/>
      <w:sz w:val="21"/>
      <w:szCs w:val="24"/>
    </w:rPr>
  </w:style>
  <w:style w:type="character" w:customStyle="1" w:styleId="67">
    <w:name w:val="正文文本缩进 Char"/>
    <w:basedOn w:val="45"/>
    <w:link w:val="17"/>
    <w:qFormat/>
    <w:uiPriority w:val="0"/>
    <w:rPr>
      <w:rFonts w:eastAsia="楷体" w:asciiTheme="minorHAnsi" w:hAnsiTheme="minorHAnsi" w:cstheme="minorBidi"/>
      <w:kern w:val="2"/>
      <w:sz w:val="24"/>
      <w:szCs w:val="24"/>
    </w:rPr>
  </w:style>
  <w:style w:type="character" w:customStyle="1" w:styleId="68">
    <w:name w:val="纯文本 Char"/>
    <w:basedOn w:val="45"/>
    <w:link w:val="22"/>
    <w:qFormat/>
    <w:uiPriority w:val="0"/>
    <w:rPr>
      <w:rFonts w:ascii="宋体" w:hAnsi="Courier New" w:eastAsia="楷体" w:cstheme="minorBidi"/>
      <w:kern w:val="2"/>
      <w:sz w:val="24"/>
      <w:szCs w:val="21"/>
    </w:rPr>
  </w:style>
  <w:style w:type="character" w:customStyle="1" w:styleId="69">
    <w:name w:val="批注框文本 Char"/>
    <w:basedOn w:val="45"/>
    <w:link w:val="26"/>
    <w:qFormat/>
    <w:uiPriority w:val="0"/>
    <w:rPr>
      <w:rFonts w:eastAsia="楷体"/>
      <w:kern w:val="2"/>
      <w:sz w:val="18"/>
      <w:szCs w:val="18"/>
    </w:rPr>
  </w:style>
  <w:style w:type="character" w:customStyle="1" w:styleId="70">
    <w:name w:val="页脚 Char"/>
    <w:basedOn w:val="45"/>
    <w:link w:val="27"/>
    <w:qFormat/>
    <w:uiPriority w:val="0"/>
    <w:rPr>
      <w:rFonts w:eastAsia="楷体"/>
      <w:kern w:val="2"/>
      <w:sz w:val="18"/>
      <w:szCs w:val="24"/>
    </w:rPr>
  </w:style>
  <w:style w:type="character" w:customStyle="1" w:styleId="71">
    <w:name w:val="页眉 Char"/>
    <w:basedOn w:val="45"/>
    <w:link w:val="28"/>
    <w:qFormat/>
    <w:uiPriority w:val="0"/>
    <w:rPr>
      <w:rFonts w:eastAsia="楷体" w:asciiTheme="minorHAnsi" w:hAnsiTheme="minorHAnsi" w:cstheme="minorBidi"/>
      <w:kern w:val="2"/>
      <w:sz w:val="18"/>
      <w:szCs w:val="24"/>
    </w:rPr>
  </w:style>
  <w:style w:type="character" w:customStyle="1" w:styleId="72">
    <w:name w:val="正文文本 2 Char"/>
    <w:basedOn w:val="45"/>
    <w:link w:val="36"/>
    <w:qFormat/>
    <w:uiPriority w:val="0"/>
    <w:rPr>
      <w:rFonts w:ascii="楷体_GB2312" w:hAnsi="Copperplate Gothic Bold" w:eastAsia="楷体_GB2312" w:cstheme="minorBidi"/>
      <w:kern w:val="2"/>
      <w:sz w:val="28"/>
      <w:szCs w:val="24"/>
    </w:rPr>
  </w:style>
  <w:style w:type="paragraph" w:styleId="73">
    <w:name w:val="List Paragraph"/>
    <w:basedOn w:val="1"/>
    <w:qFormat/>
    <w:uiPriority w:val="34"/>
    <w:pPr>
      <w:ind w:firstLine="420"/>
    </w:p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6">
    <w:name w:val="title1"/>
    <w:basedOn w:val="1"/>
    <w:qFormat/>
    <w:uiPriority w:val="0"/>
    <w:pPr>
      <w:spacing w:before="150"/>
      <w:ind w:firstLine="0"/>
      <w:jc w:val="left"/>
    </w:pPr>
    <w:rPr>
      <w:rFonts w:cs="Times New Roman"/>
      <w:b/>
      <w:kern w:val="0"/>
      <w:sz w:val="22"/>
      <w:szCs w:val="22"/>
    </w:rPr>
  </w:style>
  <w:style w:type="paragraph" w:customStyle="1" w:styleId="77">
    <w:name w:val="_Style 2"/>
    <w:basedOn w:val="1"/>
    <w:qFormat/>
    <w:uiPriority w:val="34"/>
    <w:pPr>
      <w:ind w:firstLine="420"/>
    </w:pPr>
  </w:style>
  <w:style w:type="character" w:customStyle="1" w:styleId="78">
    <w:name w:val="font21"/>
    <w:basedOn w:val="45"/>
    <w:qFormat/>
    <w:uiPriority w:val="0"/>
    <w:rPr>
      <w:rFonts w:hint="eastAsia" w:ascii="宋体" w:hAnsi="宋体" w:eastAsia="宋体" w:cs="宋体"/>
      <w:color w:val="000000"/>
      <w:sz w:val="16"/>
      <w:szCs w:val="16"/>
      <w:u w:val="none"/>
    </w:rPr>
  </w:style>
  <w:style w:type="character" w:customStyle="1" w:styleId="79">
    <w:name w:val="font31"/>
    <w:basedOn w:val="45"/>
    <w:qFormat/>
    <w:uiPriority w:val="0"/>
    <w:rPr>
      <w:rFonts w:hint="eastAsia" w:ascii="宋体" w:hAnsi="宋体" w:eastAsia="宋体" w:cs="宋体"/>
      <w:color w:val="000000"/>
      <w:sz w:val="16"/>
      <w:szCs w:val="16"/>
      <w:u w:val="none"/>
    </w:rPr>
  </w:style>
  <w:style w:type="paragraph" w:customStyle="1" w:styleId="80">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1">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2">
    <w:name w:val="正文文本缩进 2 Char"/>
    <w:basedOn w:val="45"/>
    <w:link w:val="25"/>
    <w:qFormat/>
    <w:uiPriority w:val="0"/>
    <w:rPr>
      <w:rFonts w:eastAsia="楷体" w:asciiTheme="minorHAnsi" w:hAnsiTheme="minorHAnsi" w:cstheme="minorBidi"/>
      <w:kern w:val="2"/>
      <w:sz w:val="24"/>
      <w:szCs w:val="24"/>
    </w:rPr>
  </w:style>
  <w:style w:type="character" w:customStyle="1" w:styleId="83">
    <w:name w:val="批注文字 Char"/>
    <w:basedOn w:val="45"/>
    <w:link w:val="15"/>
    <w:qFormat/>
    <w:uiPriority w:val="0"/>
    <w:rPr>
      <w:sz w:val="24"/>
    </w:rPr>
  </w:style>
  <w:style w:type="character" w:customStyle="1" w:styleId="84">
    <w:name w:val="标题 Char"/>
    <w:basedOn w:val="45"/>
    <w:link w:val="39"/>
    <w:qFormat/>
    <w:uiPriority w:val="0"/>
    <w:rPr>
      <w:rFonts w:ascii="Arial" w:hAnsi="Arial" w:eastAsia="楷体_GB2312" w:cs="Arial"/>
      <w:b/>
      <w:sz w:val="32"/>
      <w:szCs w:val="32"/>
    </w:rPr>
  </w:style>
  <w:style w:type="character" w:customStyle="1" w:styleId="85">
    <w:name w:val="副标题 Char"/>
    <w:basedOn w:val="45"/>
    <w:link w:val="31"/>
    <w:qFormat/>
    <w:uiPriority w:val="0"/>
    <w:rPr>
      <w:rFonts w:ascii="Cambria" w:hAnsi="Cambria"/>
      <w:b/>
      <w:bCs/>
      <w:kern w:val="28"/>
      <w:sz w:val="32"/>
      <w:szCs w:val="32"/>
    </w:rPr>
  </w:style>
  <w:style w:type="character" w:customStyle="1" w:styleId="86">
    <w:name w:val="日期 Char"/>
    <w:basedOn w:val="45"/>
    <w:link w:val="24"/>
    <w:qFormat/>
    <w:uiPriority w:val="0"/>
    <w:rPr>
      <w:kern w:val="2"/>
      <w:sz w:val="21"/>
      <w:szCs w:val="24"/>
    </w:rPr>
  </w:style>
  <w:style w:type="character" w:customStyle="1" w:styleId="87">
    <w:name w:val="正文文本 3 Char"/>
    <w:basedOn w:val="45"/>
    <w:link w:val="16"/>
    <w:qFormat/>
    <w:uiPriority w:val="0"/>
    <w:rPr>
      <w:sz w:val="16"/>
      <w:szCs w:val="16"/>
    </w:rPr>
  </w:style>
  <w:style w:type="character" w:customStyle="1" w:styleId="88">
    <w:name w:val="正文文本缩进 3 Char"/>
    <w:basedOn w:val="45"/>
    <w:link w:val="33"/>
    <w:qFormat/>
    <w:uiPriority w:val="0"/>
    <w:rPr>
      <w:rFonts w:ascii="黑体" w:eastAsia="黑体"/>
      <w:kern w:val="2"/>
      <w:sz w:val="30"/>
      <w:szCs w:val="28"/>
    </w:rPr>
  </w:style>
  <w:style w:type="character" w:customStyle="1" w:styleId="89">
    <w:name w:val="文档结构图 Char"/>
    <w:basedOn w:val="45"/>
    <w:link w:val="14"/>
    <w:qFormat/>
    <w:uiPriority w:val="0"/>
    <w:rPr>
      <w:kern w:val="2"/>
      <w:sz w:val="21"/>
      <w:szCs w:val="24"/>
      <w:shd w:val="clear" w:color="auto" w:fill="000080"/>
    </w:rPr>
  </w:style>
  <w:style w:type="character" w:customStyle="1" w:styleId="90">
    <w:name w:val="批注主题 Char"/>
    <w:basedOn w:val="83"/>
    <w:link w:val="40"/>
    <w:qFormat/>
    <w:uiPriority w:val="0"/>
    <w:rPr>
      <w:b/>
      <w:bCs/>
      <w:kern w:val="2"/>
      <w:sz w:val="21"/>
      <w:szCs w:val="24"/>
    </w:rPr>
  </w:style>
  <w:style w:type="paragraph" w:styleId="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92">
    <w:name w:val="Quote"/>
    <w:basedOn w:val="1"/>
    <w:next w:val="1"/>
    <w:link w:val="93"/>
    <w:qFormat/>
    <w:uiPriority w:val="0"/>
    <w:pPr>
      <w:spacing w:line="240" w:lineRule="auto"/>
      <w:ind w:firstLine="0" w:firstLineChars="0"/>
    </w:pPr>
    <w:rPr>
      <w:rFonts w:ascii="Times New Roman" w:hAnsi="Times New Roman" w:eastAsia="宋体" w:cs="Times New Roman"/>
      <w:i/>
      <w:iCs/>
      <w:color w:val="000000"/>
      <w:sz w:val="21"/>
      <w:szCs w:val="22"/>
    </w:rPr>
  </w:style>
  <w:style w:type="character" w:customStyle="1" w:styleId="93">
    <w:name w:val="引用 Char"/>
    <w:basedOn w:val="45"/>
    <w:link w:val="92"/>
    <w:qFormat/>
    <w:uiPriority w:val="0"/>
    <w:rPr>
      <w:i/>
      <w:iCs/>
      <w:color w:val="000000"/>
      <w:kern w:val="2"/>
      <w:sz w:val="21"/>
      <w:szCs w:val="22"/>
    </w:rPr>
  </w:style>
  <w:style w:type="paragraph" w:styleId="94">
    <w:name w:val="Intense Quote"/>
    <w:basedOn w:val="1"/>
    <w:next w:val="1"/>
    <w:link w:val="95"/>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95">
    <w:name w:val="明显引用 Char"/>
    <w:basedOn w:val="45"/>
    <w:link w:val="94"/>
    <w:qFormat/>
    <w:uiPriority w:val="0"/>
    <w:rPr>
      <w:b/>
      <w:bCs/>
      <w:i/>
      <w:iCs/>
      <w:color w:val="4F81BD"/>
      <w:kern w:val="2"/>
      <w:sz w:val="21"/>
      <w:szCs w:val="22"/>
    </w:rPr>
  </w:style>
  <w:style w:type="character" w:customStyle="1" w:styleId="96">
    <w:name w:val="Blockquote Char"/>
    <w:link w:val="97"/>
    <w:qFormat/>
    <w:locked/>
    <w:uiPriority w:val="0"/>
    <w:rPr>
      <w:sz w:val="24"/>
    </w:rPr>
  </w:style>
  <w:style w:type="paragraph" w:customStyle="1" w:styleId="97">
    <w:name w:val="Blockquote"/>
    <w:basedOn w:val="1"/>
    <w:link w:val="96"/>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98">
    <w:name w:val="标题5 Char Char"/>
    <w:link w:val="99"/>
    <w:qFormat/>
    <w:locked/>
    <w:uiPriority w:val="0"/>
    <w:rPr>
      <w:rFonts w:ascii="Arial" w:hAnsi="Arial" w:cs="Arial"/>
      <w:b/>
      <w:bCs/>
      <w:sz w:val="24"/>
      <w:szCs w:val="32"/>
    </w:rPr>
  </w:style>
  <w:style w:type="paragraph" w:customStyle="1" w:styleId="99">
    <w:name w:val="标题5"/>
    <w:basedOn w:val="6"/>
    <w:link w:val="98"/>
    <w:qFormat/>
    <w:uiPriority w:val="0"/>
    <w:pPr>
      <w:numPr>
        <w:ilvl w:val="0"/>
        <w:numId w:val="0"/>
      </w:numPr>
      <w:spacing w:line="412" w:lineRule="auto"/>
    </w:pPr>
    <w:rPr>
      <w:rFonts w:ascii="Arial" w:hAnsi="Arial" w:eastAsia="宋体" w:cs="Arial"/>
      <w:bCs/>
      <w:kern w:val="0"/>
      <w:sz w:val="24"/>
      <w:szCs w:val="32"/>
    </w:rPr>
  </w:style>
  <w:style w:type="character" w:customStyle="1" w:styleId="100">
    <w:name w:val="p0 Char"/>
    <w:link w:val="101"/>
    <w:qFormat/>
    <w:locked/>
    <w:uiPriority w:val="0"/>
    <w:rPr>
      <w:sz w:val="21"/>
      <w:szCs w:val="21"/>
    </w:rPr>
  </w:style>
  <w:style w:type="paragraph" w:customStyle="1" w:styleId="101">
    <w:name w:val="p0"/>
    <w:basedOn w:val="1"/>
    <w:link w:val="100"/>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2">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0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04">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5">
    <w:name w:val="Char Char Char"/>
    <w:basedOn w:val="1"/>
    <w:qFormat/>
    <w:uiPriority w:val="0"/>
    <w:pPr>
      <w:ind w:firstLine="0" w:firstLineChars="0"/>
      <w:jc w:val="center"/>
    </w:pPr>
    <w:rPr>
      <w:rFonts w:ascii="Tahoma" w:hAnsi="Tahoma" w:eastAsia="宋体" w:cs="Times New Roman"/>
      <w:szCs w:val="20"/>
    </w:rPr>
  </w:style>
  <w:style w:type="paragraph" w:customStyle="1" w:styleId="106">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7">
    <w:name w:val="正文首行缩进两字符"/>
    <w:basedOn w:val="1"/>
    <w:qFormat/>
    <w:uiPriority w:val="0"/>
    <w:pPr>
      <w:ind w:firstLine="200"/>
    </w:pPr>
    <w:rPr>
      <w:rFonts w:ascii="Times New Roman" w:hAnsi="Times New Roman" w:eastAsia="宋体" w:cs="Times New Roman"/>
      <w:sz w:val="21"/>
    </w:rPr>
  </w:style>
  <w:style w:type="paragraph" w:customStyle="1" w:styleId="108">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09">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0">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15">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16">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7">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8">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eastAsia="zh-CN"/>
    </w:rPr>
  </w:style>
  <w:style w:type="paragraph" w:customStyle="1" w:styleId="120">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1">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2">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3">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24">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26">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28">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29">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1">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2">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35">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6">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3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8">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39">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0">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1">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2">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4">
    <w:name w:val="Subtle Emphasis"/>
    <w:qFormat/>
    <w:uiPriority w:val="0"/>
    <w:rPr>
      <w:i/>
      <w:iCs/>
      <w:color w:val="808080"/>
    </w:rPr>
  </w:style>
  <w:style w:type="character" w:customStyle="1" w:styleId="145">
    <w:name w:val="Intense Emphasis"/>
    <w:qFormat/>
    <w:uiPriority w:val="0"/>
    <w:rPr>
      <w:b/>
      <w:bCs/>
      <w:i/>
      <w:iCs/>
      <w:color w:val="4F81BD"/>
    </w:rPr>
  </w:style>
  <w:style w:type="character" w:customStyle="1" w:styleId="146">
    <w:name w:val="Subtle Reference"/>
    <w:qFormat/>
    <w:uiPriority w:val="0"/>
    <w:rPr>
      <w:smallCaps/>
      <w:color w:val="C0504D"/>
      <w:u w:val="single"/>
    </w:rPr>
  </w:style>
  <w:style w:type="character" w:customStyle="1" w:styleId="147">
    <w:name w:val="Intense Reference"/>
    <w:qFormat/>
    <w:uiPriority w:val="0"/>
    <w:rPr>
      <w:b/>
      <w:bCs/>
      <w:smallCaps/>
      <w:color w:val="C0504D"/>
      <w:spacing w:val="5"/>
      <w:u w:val="single"/>
    </w:rPr>
  </w:style>
  <w:style w:type="character" w:customStyle="1" w:styleId="148">
    <w:name w:val="Book Title"/>
    <w:qFormat/>
    <w:uiPriority w:val="0"/>
    <w:rPr>
      <w:b/>
      <w:bCs/>
      <w:smallCaps/>
      <w:spacing w:val="5"/>
    </w:rPr>
  </w:style>
  <w:style w:type="character" w:customStyle="1" w:styleId="149">
    <w:name w:val="hover3"/>
    <w:qFormat/>
    <w:uiPriority w:val="0"/>
    <w:rPr>
      <w:shd w:val="clear" w:color="auto" w:fill="EEEEEE"/>
    </w:rPr>
  </w:style>
  <w:style w:type="character" w:customStyle="1" w:styleId="150">
    <w:name w:val="引用 Char1"/>
    <w:qFormat/>
    <w:uiPriority w:val="99"/>
    <w:rPr>
      <w:i/>
      <w:iCs/>
      <w:color w:val="000000"/>
      <w:kern w:val="2"/>
      <w:sz w:val="21"/>
      <w:szCs w:val="24"/>
    </w:rPr>
  </w:style>
  <w:style w:type="character" w:customStyle="1" w:styleId="151">
    <w:name w:val="副标题 Char1"/>
    <w:qFormat/>
    <w:uiPriority w:val="0"/>
    <w:rPr>
      <w:rFonts w:hint="default" w:ascii="Cambria" w:hAnsi="Cambria" w:cs="Times New Roman"/>
      <w:b/>
      <w:bCs/>
      <w:kern w:val="28"/>
      <w:sz w:val="32"/>
      <w:szCs w:val="32"/>
    </w:rPr>
  </w:style>
  <w:style w:type="character" w:customStyle="1" w:styleId="152">
    <w:name w:val="明显引用 Char1"/>
    <w:basedOn w:val="45"/>
    <w:qFormat/>
    <w:uiPriority w:val="99"/>
    <w:rPr>
      <w:b/>
      <w:bCs/>
      <w:i/>
      <w:iCs/>
      <w:color w:val="5B9BD5" w:themeColor="accent1"/>
      <w:kern w:val="2"/>
      <w:sz w:val="21"/>
      <w:szCs w:val="24"/>
      <w14:textFill>
        <w14:solidFill>
          <w14:schemeClr w14:val="accent1"/>
        </w14:solidFill>
      </w14:textFill>
    </w:rPr>
  </w:style>
  <w:style w:type="character" w:customStyle="1" w:styleId="153">
    <w:name w:val="批注文字 Char1"/>
    <w:basedOn w:val="45"/>
    <w:qFormat/>
    <w:uiPriority w:val="0"/>
    <w:rPr>
      <w:kern w:val="2"/>
      <w:sz w:val="21"/>
      <w:szCs w:val="24"/>
    </w:rPr>
  </w:style>
  <w:style w:type="character" w:customStyle="1" w:styleId="154">
    <w:name w:val="日期 Char1"/>
    <w:basedOn w:val="45"/>
    <w:qFormat/>
    <w:uiPriority w:val="0"/>
    <w:rPr>
      <w:kern w:val="2"/>
      <w:sz w:val="21"/>
      <w:szCs w:val="24"/>
    </w:rPr>
  </w:style>
  <w:style w:type="character" w:customStyle="1" w:styleId="155">
    <w:name w:val="副标题 Char2"/>
    <w:basedOn w:val="45"/>
    <w:qFormat/>
    <w:uiPriority w:val="11"/>
    <w:rPr>
      <w:rFonts w:hint="default" w:asciiTheme="majorHAnsi" w:hAnsiTheme="majorHAnsi" w:cstheme="majorBidi"/>
      <w:b/>
      <w:bCs/>
      <w:kern w:val="28"/>
      <w:sz w:val="32"/>
      <w:szCs w:val="32"/>
    </w:rPr>
  </w:style>
  <w:style w:type="character" w:customStyle="1" w:styleId="156">
    <w:name w:val="文档结构图 Char1"/>
    <w:qFormat/>
    <w:uiPriority w:val="0"/>
    <w:rPr>
      <w:rFonts w:hint="eastAsia" w:ascii="宋体" w:hAnsi="宋体" w:eastAsia="宋体"/>
      <w:kern w:val="2"/>
      <w:sz w:val="18"/>
      <w:szCs w:val="18"/>
    </w:rPr>
  </w:style>
  <w:style w:type="character" w:customStyle="1" w:styleId="157">
    <w:name w:val="批注框文本 Char1"/>
    <w:qFormat/>
    <w:uiPriority w:val="0"/>
    <w:rPr>
      <w:kern w:val="2"/>
      <w:sz w:val="18"/>
      <w:szCs w:val="18"/>
    </w:rPr>
  </w:style>
  <w:style w:type="character" w:customStyle="1" w:styleId="158">
    <w:name w:val="button"/>
    <w:basedOn w:val="45"/>
    <w:qFormat/>
    <w:uiPriority w:val="0"/>
  </w:style>
  <w:style w:type="character" w:customStyle="1" w:styleId="159">
    <w:name w:val="标题4 Char Char"/>
    <w:qFormat/>
    <w:uiPriority w:val="0"/>
    <w:rPr>
      <w:rFonts w:hint="default" w:ascii="Arial" w:hAnsi="Arial" w:cs="Arial"/>
      <w:b/>
      <w:bCs/>
      <w:sz w:val="24"/>
      <w:szCs w:val="32"/>
    </w:rPr>
  </w:style>
  <w:style w:type="character" w:customStyle="1" w:styleId="160">
    <w:name w:val="标题 Char1"/>
    <w:basedOn w:val="45"/>
    <w:qFormat/>
    <w:uiPriority w:val="10"/>
    <w:rPr>
      <w:rFonts w:hint="default" w:asciiTheme="majorHAnsi" w:hAnsiTheme="majorHAnsi" w:cstheme="majorBidi"/>
      <w:b/>
      <w:bCs/>
      <w:kern w:val="2"/>
      <w:sz w:val="32"/>
      <w:szCs w:val="32"/>
    </w:rPr>
  </w:style>
  <w:style w:type="character" w:customStyle="1" w:styleId="161">
    <w:name w:val="bds_nopic2"/>
    <w:qFormat/>
    <w:uiPriority w:val="0"/>
    <w:rPr>
      <w:rFonts w:hint="default" w:ascii="Times New Roman" w:hAnsi="Times New Roman" w:eastAsia="宋体" w:cs="Times New Roman"/>
    </w:rPr>
  </w:style>
  <w:style w:type="character" w:customStyle="1" w:styleId="162">
    <w:name w:val="tmpztreemove_arrow"/>
    <w:qFormat/>
    <w:uiPriority w:val="0"/>
    <w:rPr>
      <w:shd w:val="clear" w:color="auto" w:fill="FFFFFF"/>
    </w:rPr>
  </w:style>
  <w:style w:type="character" w:customStyle="1" w:styleId="163">
    <w:name w:val="批注文字 Char Char"/>
    <w:qFormat/>
    <w:uiPriority w:val="0"/>
    <w:rPr>
      <w:rFonts w:hint="eastAsia" w:ascii="宋体" w:hAnsi="Times New Roman" w:eastAsia="宋体" w:cs="Times New Roman"/>
      <w:sz w:val="28"/>
      <w:szCs w:val="20"/>
    </w:rPr>
  </w:style>
  <w:style w:type="character" w:customStyle="1" w:styleId="164">
    <w:name w:val="正文文本 Char1"/>
    <w:basedOn w:val="45"/>
    <w:qFormat/>
    <w:uiPriority w:val="0"/>
    <w:rPr>
      <w:kern w:val="2"/>
      <w:sz w:val="21"/>
      <w:szCs w:val="24"/>
    </w:rPr>
  </w:style>
  <w:style w:type="character" w:customStyle="1" w:styleId="165">
    <w:name w:val="Char Char Char Char Char Char Char Char Char"/>
    <w:qFormat/>
    <w:uiPriority w:val="0"/>
    <w:rPr>
      <w:sz w:val="18"/>
      <w:szCs w:val="18"/>
    </w:rPr>
  </w:style>
  <w:style w:type="character" w:customStyle="1" w:styleId="166">
    <w:name w:val="glyphicon4"/>
    <w:basedOn w:val="45"/>
    <w:qFormat/>
    <w:uiPriority w:val="0"/>
  </w:style>
  <w:style w:type="character" w:customStyle="1" w:styleId="167">
    <w:name w:val="hour_pm"/>
    <w:basedOn w:val="45"/>
    <w:qFormat/>
    <w:uiPriority w:val="0"/>
  </w:style>
  <w:style w:type="character" w:customStyle="1" w:styleId="168">
    <w:name w:val="rili11"/>
    <w:qFormat/>
    <w:uiPriority w:val="0"/>
    <w:rPr>
      <w:sz w:val="21"/>
      <w:szCs w:val="21"/>
    </w:rPr>
  </w:style>
  <w:style w:type="character" w:customStyle="1" w:styleId="169">
    <w:name w:val="普通文字1 Char"/>
    <w:qFormat/>
    <w:uiPriority w:val="0"/>
    <w:rPr>
      <w:rFonts w:hint="eastAsia" w:ascii="宋体" w:hAnsi="Courier New" w:eastAsia="宋体"/>
      <w:kern w:val="2"/>
      <w:sz w:val="21"/>
      <w:lang w:val="en-US" w:eastAsia="zh-CN" w:bidi="ar-SA"/>
    </w:rPr>
  </w:style>
  <w:style w:type="character" w:customStyle="1" w:styleId="170">
    <w:name w:val="hour_am"/>
    <w:basedOn w:val="45"/>
    <w:qFormat/>
    <w:uiPriority w:val="0"/>
  </w:style>
  <w:style w:type="character" w:customStyle="1" w:styleId="171">
    <w:name w:val="Char Char"/>
    <w:qFormat/>
    <w:uiPriority w:val="0"/>
    <w:rPr>
      <w:sz w:val="18"/>
      <w:szCs w:val="18"/>
    </w:rPr>
  </w:style>
  <w:style w:type="character" w:customStyle="1" w:styleId="172">
    <w:name w:val="old"/>
    <w:qFormat/>
    <w:uiPriority w:val="0"/>
    <w:rPr>
      <w:color w:val="999999"/>
    </w:rPr>
  </w:style>
  <w:style w:type="character" w:customStyle="1" w:styleId="173">
    <w:name w:val="批注主题 Char1"/>
    <w:qFormat/>
    <w:uiPriority w:val="0"/>
    <w:rPr>
      <w:b/>
      <w:bCs/>
      <w:kern w:val="2"/>
      <w:sz w:val="21"/>
      <w:szCs w:val="22"/>
    </w:rPr>
  </w:style>
  <w:style w:type="character" w:customStyle="1" w:styleId="174">
    <w:name w:val="引用 Char2"/>
    <w:basedOn w:val="45"/>
    <w:qFormat/>
    <w:uiPriority w:val="29"/>
    <w:rPr>
      <w:i/>
      <w:iCs/>
      <w:color w:val="000000" w:themeColor="text1"/>
      <w:kern w:val="2"/>
      <w:sz w:val="21"/>
      <w:szCs w:val="24"/>
      <w14:textFill>
        <w14:solidFill>
          <w14:schemeClr w14:val="tx1"/>
        </w14:solidFill>
      </w14:textFill>
    </w:rPr>
  </w:style>
  <w:style w:type="character" w:customStyle="1" w:styleId="175">
    <w:name w:val="Blockquote Char Char"/>
    <w:qFormat/>
    <w:locked/>
    <w:uiPriority w:val="0"/>
    <w:rPr>
      <w:sz w:val="24"/>
    </w:rPr>
  </w:style>
  <w:style w:type="character" w:customStyle="1" w:styleId="176">
    <w:name w:val="textcontents"/>
    <w:qFormat/>
    <w:uiPriority w:val="0"/>
    <w:rPr>
      <w:rFonts w:hint="default" w:ascii="Times New Roman" w:hAnsi="Times New Roman" w:cs="Times New Roman"/>
    </w:rPr>
  </w:style>
  <w:style w:type="character" w:customStyle="1" w:styleId="177">
    <w:name w:val="indent"/>
    <w:basedOn w:val="45"/>
    <w:qFormat/>
    <w:uiPriority w:val="0"/>
  </w:style>
  <w:style w:type="paragraph" w:customStyle="1" w:styleId="178">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179">
    <w:name w:val="span-long"/>
    <w:basedOn w:val="45"/>
    <w:qFormat/>
    <w:uiPriority w:val="0"/>
  </w:style>
  <w:style w:type="character" w:customStyle="1" w:styleId="180">
    <w:name w:val="stclosebtn"/>
    <w:basedOn w:val="45"/>
    <w:qFormat/>
    <w:uiPriority w:val="0"/>
  </w:style>
  <w:style w:type="character" w:customStyle="1" w:styleId="181">
    <w:name w:val="proollist"/>
    <w:basedOn w:val="45"/>
    <w:qFormat/>
    <w:uiPriority w:val="0"/>
  </w:style>
  <w:style w:type="character" w:customStyle="1" w:styleId="182">
    <w:name w:val="input-direction"/>
    <w:basedOn w:val="45"/>
    <w:qFormat/>
    <w:uiPriority w:val="0"/>
    <w:rPr>
      <w:color w:val="FF6600"/>
    </w:rPr>
  </w:style>
  <w:style w:type="character" w:customStyle="1" w:styleId="183">
    <w:name w:val="beforeinfotext"/>
    <w:basedOn w:val="45"/>
    <w:qFormat/>
    <w:uiPriority w:val="0"/>
    <w:rPr>
      <w:color w:val="666666"/>
    </w:rPr>
  </w:style>
  <w:style w:type="character" w:customStyle="1" w:styleId="184">
    <w:name w:val="hilite6"/>
    <w:basedOn w:val="45"/>
    <w:qFormat/>
    <w:uiPriority w:val="0"/>
    <w:rPr>
      <w:color w:val="FFFFFF"/>
      <w:shd w:val="clear" w:fill="666677"/>
    </w:rPr>
  </w:style>
  <w:style w:type="character" w:customStyle="1" w:styleId="185">
    <w:name w:val="phone"/>
    <w:basedOn w:val="45"/>
    <w:qFormat/>
    <w:uiPriority w:val="0"/>
    <w:rPr>
      <w:color w:val="FF8833"/>
      <w:sz w:val="18"/>
      <w:szCs w:val="18"/>
    </w:rPr>
  </w:style>
  <w:style w:type="character" w:customStyle="1" w:styleId="186">
    <w:name w:val="number"/>
    <w:basedOn w:val="45"/>
    <w:qFormat/>
    <w:uiPriority w:val="0"/>
    <w:rPr>
      <w:color w:val="FF8833"/>
      <w:sz w:val="18"/>
      <w:szCs w:val="18"/>
    </w:rPr>
  </w:style>
  <w:style w:type="character" w:customStyle="1" w:styleId="187">
    <w:name w:val="active6"/>
    <w:basedOn w:val="45"/>
    <w:qFormat/>
    <w:uiPriority w:val="0"/>
    <w:rPr>
      <w:color w:val="00FF00"/>
      <w:shd w:val="clear" w:fill="000000"/>
    </w:rPr>
  </w:style>
  <w:style w:type="character" w:customStyle="1" w:styleId="188">
    <w:name w:val="hilite"/>
    <w:basedOn w:val="45"/>
    <w:qFormat/>
    <w:uiPriority w:val="0"/>
    <w:rPr>
      <w:color w:val="FFFFFF"/>
      <w:shd w:val="clear" w:fill="666677"/>
    </w:rPr>
  </w:style>
  <w:style w:type="character" w:customStyle="1" w:styleId="189">
    <w:name w:val="active"/>
    <w:basedOn w:val="45"/>
    <w:qFormat/>
    <w:uiPriority w:val="0"/>
    <w:rPr>
      <w:color w:val="00FF00"/>
      <w:shd w:val="clear" w:fill="000000"/>
    </w:rPr>
  </w:style>
  <w:style w:type="paragraph" w:customStyle="1" w:styleId="190">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191">
    <w:name w:val="NormalCharacter"/>
    <w:link w:val="1"/>
    <w:semiHidden/>
    <w:qFormat/>
    <w:uiPriority w:val="0"/>
    <w:rPr>
      <w:rFonts w:eastAsia="楷体" w:asciiTheme="minorHAnsi" w:hAnsiTheme="minorHAnsi" w:cstheme="minorBidi"/>
      <w:kern w:val="2"/>
      <w:sz w:val="24"/>
      <w:szCs w:val="24"/>
      <w:lang w:val="en-US" w:eastAsia="zh-CN" w:bidi="ar-SA"/>
    </w:rPr>
  </w:style>
  <w:style w:type="character" w:customStyle="1" w:styleId="192">
    <w:name w:val="UserStyle_11"/>
    <w:basedOn w:val="191"/>
    <w:link w:val="1"/>
    <w:qFormat/>
    <w:uiPriority w:val="0"/>
    <w:rPr>
      <w:rFonts w:ascii="宋体" w:hAnsi="宋体" w:eastAsia="宋体"/>
      <w:color w:val="000000"/>
      <w:sz w:val="21"/>
      <w:szCs w:val="21"/>
    </w:rPr>
  </w:style>
  <w:style w:type="character" w:customStyle="1" w:styleId="193">
    <w:name w:val="font01"/>
    <w:basedOn w:val="45"/>
    <w:qFormat/>
    <w:uiPriority w:val="0"/>
    <w:rPr>
      <w:rFonts w:hint="eastAsia" w:ascii="宋体" w:hAnsi="宋体" w:eastAsia="宋体" w:cs="宋体"/>
      <w:b/>
      <w:color w:val="000000"/>
      <w:sz w:val="18"/>
      <w:szCs w:val="18"/>
      <w:u w:val="none"/>
    </w:rPr>
  </w:style>
  <w:style w:type="paragraph" w:customStyle="1" w:styleId="194">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5027E-F85E-430E-91C6-90CB43D71FD8}">
  <ds:schemaRefs/>
</ds:datastoreItem>
</file>

<file path=docProps/app.xml><?xml version="1.0" encoding="utf-8"?>
<Properties xmlns="http://schemas.openxmlformats.org/officeDocument/2006/extended-properties" xmlns:vt="http://schemas.openxmlformats.org/officeDocument/2006/docPropsVTypes">
  <Template>Normal</Template>
  <Pages>72</Pages>
  <Words>29491</Words>
  <Characters>31952</Characters>
  <Lines>410</Lines>
  <Paragraphs>115</Paragraphs>
  <TotalTime>2</TotalTime>
  <ScaleCrop>false</ScaleCrop>
  <LinksUpToDate>false</LinksUpToDate>
  <CharactersWithSpaces>36064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2020-04-18T04:09:00Z</dcterms:created>
  <dc:creator>Administrator</dc:creator>
  <cp:lastModifiedBy>张</cp:lastModifiedBy>
  <cp:lastPrinted>2022-04-22T05:37:00Z</cp:lastPrinted>
  <dcterms:modified xsi:type="dcterms:W3CDTF">2022-07-26T08:27:50Z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8D31A5A18B9743F18E3A72D5878207E6</vt:lpwstr>
  </property>
  <property fmtid="{D5CDD505-2E9C-101B-9397-08002B2CF9AE}" pid="4" name="commondata">
    <vt:lpwstr>eyJoZGlkIjoiYTRhNTRmZWJhMTZhMGI4NTIwNzY3MmY4OGE4OTA2NmYifQ==</vt:lpwstr>
  </property>
</Properties>
</file>