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sz w:val="32"/>
          <w:szCs w:val="32"/>
          <w:highlight w:val="none"/>
          <w:lang w:val="en-US" w:eastAsia="zh-CN"/>
        </w:rPr>
      </w:pPr>
      <w:r>
        <w:rPr>
          <w:rFonts w:hint="eastAsia" w:ascii="宋体" w:hAnsi="宋体" w:eastAsia="宋体" w:cs="宋体"/>
          <w:b/>
          <w:bCs/>
          <w:sz w:val="32"/>
          <w:szCs w:val="32"/>
          <w:highlight w:val="none"/>
        </w:rPr>
        <w:t>项目编号：</w:t>
      </w:r>
      <w:r>
        <w:rPr>
          <w:rFonts w:hint="eastAsia" w:ascii="宋体" w:hAnsi="宋体" w:cs="宋体"/>
          <w:b/>
          <w:bCs/>
          <w:sz w:val="32"/>
          <w:szCs w:val="32"/>
          <w:highlight w:val="none"/>
          <w:lang w:eastAsia="zh-CN"/>
        </w:rPr>
        <w:t>SXJTZB-ZC-JT20220718</w:t>
      </w:r>
    </w:p>
    <w:p>
      <w:pPr>
        <w:pStyle w:val="2"/>
        <w:outlineLvl w:val="9"/>
        <w:rPr>
          <w:rFonts w:hint="eastAsia" w:ascii="宋体" w:hAnsi="宋体" w:eastAsia="宋体" w:cs="宋体"/>
          <w:highlight w:val="none"/>
          <w:lang w:val="en-US" w:eastAsia="zh-CN"/>
        </w:rPr>
      </w:pPr>
    </w:p>
    <w:p>
      <w:pPr>
        <w:jc w:val="center"/>
        <w:rPr>
          <w:rFonts w:hint="eastAsia" w:ascii="宋体" w:hAnsi="宋体" w:eastAsia="宋体" w:cs="宋体"/>
          <w:highlight w:val="none"/>
          <w:lang w:val="en-US" w:eastAsia="zh-CN"/>
        </w:rPr>
      </w:pPr>
    </w:p>
    <w:p>
      <w:pPr>
        <w:pStyle w:val="9"/>
        <w:jc w:val="center"/>
        <w:rPr>
          <w:rFonts w:hint="eastAsia" w:ascii="宋体" w:hAnsi="宋体" w:eastAsia="宋体" w:cs="宋体"/>
          <w:b/>
          <w:bCs/>
          <w:sz w:val="52"/>
          <w:szCs w:val="48"/>
          <w:highlight w:val="none"/>
        </w:rPr>
      </w:pPr>
      <w:r>
        <w:rPr>
          <w:rFonts w:hint="eastAsia" w:ascii="宋体" w:hAnsi="宋体" w:eastAsia="宋体" w:cs="宋体"/>
          <w:b/>
          <w:bCs/>
          <w:sz w:val="52"/>
          <w:szCs w:val="48"/>
          <w:highlight w:val="none"/>
        </w:rPr>
        <w:t>西安市第八十六中学化学吊装</w:t>
      </w:r>
    </w:p>
    <w:p>
      <w:pPr>
        <w:pStyle w:val="9"/>
        <w:jc w:val="center"/>
        <w:rPr>
          <w:rFonts w:hint="eastAsia" w:ascii="宋体" w:hAnsi="宋体" w:eastAsia="宋体" w:cs="宋体"/>
          <w:b/>
          <w:bCs/>
          <w:sz w:val="52"/>
          <w:szCs w:val="48"/>
          <w:highlight w:val="none"/>
        </w:rPr>
      </w:pPr>
      <w:r>
        <w:rPr>
          <w:rFonts w:hint="eastAsia" w:ascii="宋体" w:hAnsi="宋体" w:eastAsia="宋体" w:cs="宋体"/>
          <w:b/>
          <w:bCs/>
          <w:sz w:val="52"/>
          <w:szCs w:val="48"/>
          <w:highlight w:val="none"/>
        </w:rPr>
        <w:t>实验室项目</w:t>
      </w:r>
    </w:p>
    <w:p>
      <w:pPr>
        <w:pStyle w:val="9"/>
        <w:rPr>
          <w:rFonts w:hint="eastAsia" w:ascii="宋体" w:hAnsi="宋体" w:eastAsia="宋体" w:cs="宋体"/>
          <w:highlight w:val="none"/>
        </w:rPr>
      </w:pPr>
    </w:p>
    <w:p>
      <w:pPr>
        <w:pStyle w:val="9"/>
        <w:rPr>
          <w:rFonts w:hint="eastAsia" w:ascii="宋体" w:hAnsi="宋体" w:eastAsia="宋体" w:cs="宋体"/>
          <w:highlight w:val="none"/>
        </w:rPr>
      </w:pPr>
    </w:p>
    <w:p>
      <w:pPr>
        <w:pStyle w:val="9"/>
        <w:rPr>
          <w:rFonts w:hint="eastAsia" w:ascii="宋体" w:hAnsi="宋体" w:eastAsia="宋体" w:cs="宋体"/>
          <w:highlight w:val="none"/>
        </w:rPr>
      </w:pPr>
    </w:p>
    <w:p>
      <w:pPr>
        <w:jc w:val="center"/>
        <w:rPr>
          <w:rFonts w:hint="eastAsia" w:ascii="宋体" w:hAnsi="宋体" w:eastAsia="宋体" w:cs="宋体"/>
          <w:b/>
          <w:sz w:val="72"/>
          <w:szCs w:val="72"/>
          <w:highlight w:val="none"/>
        </w:rPr>
      </w:pPr>
      <w:r>
        <w:rPr>
          <w:rFonts w:hint="eastAsia" w:ascii="宋体" w:hAnsi="宋体" w:eastAsia="宋体" w:cs="宋体"/>
          <w:b/>
          <w:sz w:val="72"/>
          <w:szCs w:val="72"/>
          <w:highlight w:val="none"/>
        </w:rPr>
        <w:t>竞争性谈判文件</w:t>
      </w:r>
    </w:p>
    <w:p>
      <w:pPr>
        <w:spacing w:line="480" w:lineRule="auto"/>
        <w:jc w:val="center"/>
        <w:rPr>
          <w:rFonts w:hint="eastAsia" w:ascii="宋体" w:hAnsi="宋体" w:eastAsia="宋体" w:cs="宋体"/>
          <w:sz w:val="36"/>
          <w:szCs w:val="36"/>
          <w:highlight w:val="none"/>
        </w:rPr>
      </w:pPr>
    </w:p>
    <w:p>
      <w:pPr>
        <w:pStyle w:val="2"/>
        <w:outlineLvl w:val="9"/>
        <w:rPr>
          <w:rFonts w:hint="eastAsia" w:ascii="宋体" w:hAnsi="宋体" w:eastAsia="宋体" w:cs="宋体"/>
          <w:highlight w:val="none"/>
        </w:rPr>
      </w:pPr>
    </w:p>
    <w:p>
      <w:pPr>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sz w:val="36"/>
          <w:szCs w:val="36"/>
          <w:highlight w:val="none"/>
          <w:lang w:eastAsia="zh-CN" w:bidi="ar"/>
        </w:rPr>
      </w:pPr>
    </w:p>
    <w:p>
      <w:pPr>
        <w:pStyle w:val="2"/>
        <w:outlineLvl w:val="9"/>
        <w:rPr>
          <w:rFonts w:hint="eastAsia" w:ascii="宋体" w:hAnsi="宋体" w:eastAsia="宋体" w:cs="宋体"/>
          <w:highlight w:val="none"/>
          <w:lang w:eastAsia="zh-CN"/>
        </w:rPr>
      </w:pPr>
    </w:p>
    <w:p>
      <w:pPr>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000000"/>
          <w:sz w:val="32"/>
          <w:szCs w:val="32"/>
          <w:highlight w:val="none"/>
          <w:lang w:eastAsia="zh-CN" w:bidi="ar"/>
        </w:rPr>
      </w:pPr>
    </w:p>
    <w:p>
      <w:pPr>
        <w:pageBreakBefore w:val="0"/>
        <w:widowControl w:val="0"/>
        <w:kinsoku/>
        <w:wordWrap/>
        <w:overflowPunct/>
        <w:topLinePunct w:val="0"/>
        <w:autoSpaceDE/>
        <w:autoSpaceDN/>
        <w:bidi w:val="0"/>
        <w:adjustRightInd/>
        <w:snapToGrid/>
        <w:spacing w:line="600" w:lineRule="auto"/>
        <w:ind w:firstLine="964" w:firstLineChars="300"/>
        <w:jc w:val="both"/>
        <w:textAlignment w:val="auto"/>
        <w:rPr>
          <w:rFonts w:hint="eastAsia" w:ascii="宋体" w:hAnsi="宋体" w:eastAsia="宋体" w:cs="宋体"/>
          <w:b/>
          <w:bCs/>
          <w:color w:val="000000"/>
          <w:sz w:val="32"/>
          <w:szCs w:val="32"/>
          <w:highlight w:val="none"/>
          <w:lang w:val="en-US" w:eastAsia="zh-CN" w:bidi="ar"/>
        </w:rPr>
      </w:pPr>
      <w:r>
        <w:rPr>
          <w:rFonts w:hint="eastAsia" w:ascii="宋体" w:hAnsi="宋体" w:eastAsia="宋体" w:cs="宋体"/>
          <w:b/>
          <w:bCs/>
          <w:color w:val="000000"/>
          <w:sz w:val="32"/>
          <w:szCs w:val="32"/>
          <w:highlight w:val="none"/>
          <w:lang w:val="en-US" w:eastAsia="zh-CN" w:bidi="ar"/>
        </w:rPr>
        <w:t>采   购   人：</w:t>
      </w:r>
      <w:r>
        <w:rPr>
          <w:rFonts w:hint="eastAsia" w:ascii="宋体" w:hAnsi="宋体" w:cs="宋体"/>
          <w:b/>
          <w:bCs/>
          <w:color w:val="000000"/>
          <w:sz w:val="32"/>
          <w:szCs w:val="32"/>
          <w:highlight w:val="none"/>
          <w:lang w:val="en-US" w:eastAsia="zh-CN" w:bidi="ar"/>
        </w:rPr>
        <w:t>西安市第八十六中学</w:t>
      </w:r>
    </w:p>
    <w:p>
      <w:pPr>
        <w:pageBreakBefore w:val="0"/>
        <w:widowControl w:val="0"/>
        <w:kinsoku/>
        <w:wordWrap/>
        <w:overflowPunct/>
        <w:topLinePunct w:val="0"/>
        <w:autoSpaceDE/>
        <w:autoSpaceDN/>
        <w:bidi w:val="0"/>
        <w:adjustRightInd/>
        <w:snapToGrid/>
        <w:spacing w:line="600" w:lineRule="auto"/>
        <w:ind w:firstLine="964" w:firstLineChars="300"/>
        <w:jc w:val="both"/>
        <w:textAlignment w:val="auto"/>
        <w:rPr>
          <w:rFonts w:hint="eastAsia" w:ascii="宋体" w:hAnsi="宋体" w:eastAsia="宋体" w:cs="宋体"/>
          <w:b/>
          <w:bCs/>
          <w:sz w:val="32"/>
          <w:szCs w:val="32"/>
          <w:highlight w:val="none"/>
          <w:lang w:eastAsia="zh-CN"/>
        </w:rPr>
      </w:pPr>
      <w:r>
        <w:rPr>
          <w:rFonts w:hint="eastAsia" w:ascii="宋体" w:hAnsi="宋体" w:eastAsia="宋体" w:cs="宋体"/>
          <w:b/>
          <w:bCs/>
          <w:color w:val="000000"/>
          <w:sz w:val="32"/>
          <w:szCs w:val="32"/>
          <w:highlight w:val="none"/>
          <w:lang w:val="en-US" w:eastAsia="zh-CN" w:bidi="ar"/>
        </w:rPr>
        <w:t>采购代理机构：</w:t>
      </w:r>
      <w:r>
        <w:rPr>
          <w:rFonts w:hint="eastAsia" w:ascii="宋体" w:hAnsi="宋体" w:eastAsia="宋体" w:cs="宋体"/>
          <w:b/>
          <w:bCs/>
          <w:color w:val="000000"/>
          <w:sz w:val="32"/>
          <w:szCs w:val="32"/>
          <w:highlight w:val="none"/>
          <w:lang w:bidi="ar"/>
        </w:rPr>
        <w:t>陕西嘉唐建设项目管理有限公司</w:t>
      </w:r>
      <w:bookmarkStart w:id="0" w:name="_Toc20666"/>
    </w:p>
    <w:p>
      <w:pPr>
        <w:keepNext w:val="0"/>
        <w:keepLines w:val="0"/>
        <w:pageBreakBefore w:val="0"/>
        <w:widowControl w:val="0"/>
        <w:kinsoku/>
        <w:wordWrap/>
        <w:overflowPunct/>
        <w:topLinePunct w:val="0"/>
        <w:autoSpaceDE/>
        <w:autoSpaceDN/>
        <w:bidi w:val="0"/>
        <w:adjustRightInd/>
        <w:snapToGrid/>
        <w:spacing w:after="165" w:afterLines="50" w:line="600" w:lineRule="auto"/>
        <w:jc w:val="center"/>
        <w:textAlignment w:val="auto"/>
        <w:outlineLvl w:val="9"/>
        <w:rPr>
          <w:rFonts w:hint="eastAsia" w:ascii="宋体" w:hAnsi="宋体" w:eastAsia="宋体" w:cs="宋体"/>
          <w:b/>
          <w:bCs/>
          <w:sz w:val="32"/>
          <w:szCs w:val="32"/>
          <w:highlight w:val="none"/>
        </w:rPr>
        <w:sectPr>
          <w:headerReference r:id="rId4" w:type="first"/>
          <w:footerReference r:id="rId5" w:type="first"/>
          <w:headerReference r:id="rId3" w:type="default"/>
          <w:pgSz w:w="11906" w:h="16838"/>
          <w:pgMar w:top="1418" w:right="1418" w:bottom="1418" w:left="1701"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宋体" w:hAnsi="宋体" w:eastAsia="宋体" w:cs="宋体"/>
          <w:b/>
          <w:bCs/>
          <w:sz w:val="32"/>
          <w:szCs w:val="32"/>
          <w:highlight w:val="none"/>
          <w:lang w:eastAsia="zh-CN"/>
        </w:rPr>
        <w:t>二〇二</w:t>
      </w:r>
      <w:r>
        <w:rPr>
          <w:rFonts w:hint="eastAsia" w:ascii="宋体" w:hAnsi="宋体" w:eastAsia="宋体" w:cs="宋体"/>
          <w:b/>
          <w:bCs/>
          <w:sz w:val="32"/>
          <w:szCs w:val="32"/>
          <w:highlight w:val="none"/>
          <w:lang w:val="en-US" w:eastAsia="zh-CN"/>
        </w:rPr>
        <w:t>二</w:t>
      </w:r>
      <w:r>
        <w:rPr>
          <w:rFonts w:hint="eastAsia" w:ascii="宋体" w:hAnsi="宋体" w:eastAsia="宋体" w:cs="宋体"/>
          <w:b/>
          <w:bCs/>
          <w:sz w:val="32"/>
          <w:szCs w:val="32"/>
          <w:highlight w:val="none"/>
        </w:rPr>
        <w:t>年</w:t>
      </w:r>
      <w:r>
        <w:rPr>
          <w:rFonts w:hint="eastAsia" w:ascii="宋体" w:hAnsi="宋体" w:eastAsia="宋体" w:cs="宋体"/>
          <w:b/>
          <w:bCs/>
          <w:sz w:val="32"/>
          <w:szCs w:val="32"/>
          <w:highlight w:val="none"/>
          <w:lang w:val="en-US" w:eastAsia="zh-CN"/>
        </w:rPr>
        <w:t>七</w:t>
      </w:r>
      <w:r>
        <w:rPr>
          <w:rFonts w:hint="eastAsia" w:ascii="宋体" w:hAnsi="宋体" w:eastAsia="宋体" w:cs="宋体"/>
          <w:b/>
          <w:bCs/>
          <w:sz w:val="32"/>
          <w:szCs w:val="32"/>
          <w:highlight w:val="none"/>
        </w:rPr>
        <w:t>月</w:t>
      </w:r>
    </w:p>
    <w:p>
      <w:pPr>
        <w:keepNext w:val="0"/>
        <w:keepLines w:val="0"/>
        <w:pageBreakBefore w:val="0"/>
        <w:widowControl w:val="0"/>
        <w:kinsoku/>
        <w:wordWrap/>
        <w:overflowPunct/>
        <w:topLinePunct w:val="0"/>
        <w:autoSpaceDE/>
        <w:autoSpaceDN/>
        <w:bidi w:val="0"/>
        <w:adjustRightInd/>
        <w:snapToGrid/>
        <w:spacing w:after="165" w:afterLines="50"/>
        <w:jc w:val="center"/>
        <w:textAlignment w:val="auto"/>
        <w:outlineLvl w:val="0"/>
        <w:rPr>
          <w:rFonts w:hint="eastAsia" w:ascii="宋体" w:hAnsi="宋体" w:eastAsia="宋体" w:cs="宋体"/>
          <w:b/>
          <w:bCs/>
          <w:sz w:val="36"/>
          <w:szCs w:val="36"/>
          <w:highlight w:val="none"/>
        </w:rPr>
      </w:pPr>
      <w:bookmarkStart w:id="1" w:name="_Toc28777"/>
      <w:r>
        <w:rPr>
          <w:rFonts w:hint="eastAsia" w:ascii="宋体" w:hAnsi="宋体" w:eastAsia="宋体" w:cs="宋体"/>
          <w:b/>
          <w:bCs/>
          <w:sz w:val="36"/>
          <w:szCs w:val="36"/>
          <w:highlight w:val="none"/>
        </w:rPr>
        <w:t>特别提示</w:t>
      </w:r>
      <w:bookmarkEnd w:id="1"/>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，在此我们特别提醒您注意以下事项：</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一、</w:t>
      </w:r>
      <w:r>
        <w:rPr>
          <w:rFonts w:hint="eastAsia" w:ascii="宋体" w:hAnsi="宋体" w:eastAsia="宋体" w:cs="宋体"/>
          <w:b/>
          <w:bCs/>
          <w:sz w:val="24"/>
          <w:szCs w:val="24"/>
          <w:highlight w:val="none"/>
        </w:rPr>
        <w:t>有关</w:t>
      </w:r>
      <w:r>
        <w:rPr>
          <w:rFonts w:hint="eastAsia" w:ascii="宋体" w:hAnsi="宋体" w:eastAsia="宋体" w:cs="宋体"/>
          <w:b/>
          <w:bCs/>
          <w:sz w:val="24"/>
          <w:szCs w:val="24"/>
          <w:highlight w:val="none"/>
          <w:lang w:eastAsia="zh-CN"/>
        </w:rPr>
        <w:t>谈判响应</w:t>
      </w:r>
      <w:r>
        <w:rPr>
          <w:rFonts w:hint="eastAsia" w:ascii="宋体" w:hAnsi="宋体" w:eastAsia="宋体" w:cs="宋体"/>
          <w:b/>
          <w:bCs/>
          <w:sz w:val="24"/>
          <w:szCs w:val="24"/>
          <w:highlight w:val="none"/>
        </w:rPr>
        <w:t>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、请</w:t>
      </w:r>
      <w:r>
        <w:rPr>
          <w:rFonts w:hint="eastAsia" w:ascii="宋体" w:hAnsi="宋体" w:eastAsia="宋体" w:cs="宋体"/>
          <w:b w:val="0"/>
          <w:bCs w:val="0"/>
          <w:sz w:val="24"/>
          <w:szCs w:val="24"/>
          <w:highlight w:val="none"/>
        </w:rPr>
        <w:t>您仔细阅读</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文件并正确理解</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文件中各项具体要求。如您对</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文件有疑问，请在</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文件规定的时间内以书面形式提出，逾期将被</w:t>
      </w:r>
      <w:r>
        <w:rPr>
          <w:rFonts w:hint="eastAsia" w:ascii="宋体" w:hAnsi="宋体" w:eastAsia="宋体" w:cs="宋体"/>
          <w:b w:val="0"/>
          <w:bCs w:val="0"/>
          <w:sz w:val="24"/>
          <w:szCs w:val="24"/>
          <w:highlight w:val="none"/>
          <w:lang w:eastAsia="zh-CN"/>
        </w:rPr>
        <w:t>拒绝</w:t>
      </w:r>
      <w:r>
        <w:rPr>
          <w:rFonts w:hint="eastAsia" w:ascii="宋体" w:hAnsi="宋体" w:eastAsia="宋体" w:cs="宋体"/>
          <w:b w:val="0"/>
          <w:bCs w:val="0"/>
          <w:sz w:val="24"/>
          <w:szCs w:val="24"/>
          <w:highlight w:val="none"/>
        </w:rPr>
        <w:t>受理。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2、请您严格按照</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文件载明的</w:t>
      </w:r>
      <w:r>
        <w:rPr>
          <w:rFonts w:hint="eastAsia" w:ascii="宋体" w:hAnsi="宋体" w:eastAsia="宋体" w:cs="宋体"/>
          <w:b w:val="0"/>
          <w:bCs w:val="0"/>
          <w:sz w:val="24"/>
          <w:szCs w:val="24"/>
          <w:highlight w:val="none"/>
          <w:lang w:eastAsia="zh-CN"/>
        </w:rPr>
        <w:t>谈判响应</w:t>
      </w:r>
      <w:r>
        <w:rPr>
          <w:rFonts w:hint="eastAsia" w:ascii="宋体" w:hAnsi="宋体" w:eastAsia="宋体" w:cs="宋体"/>
          <w:b w:val="0"/>
          <w:bCs w:val="0"/>
          <w:sz w:val="24"/>
          <w:szCs w:val="24"/>
          <w:highlight w:val="none"/>
        </w:rPr>
        <w:t>文件的格式要求编制</w:t>
      </w:r>
      <w:r>
        <w:rPr>
          <w:rFonts w:hint="eastAsia" w:ascii="宋体" w:hAnsi="宋体" w:eastAsia="宋体" w:cs="宋体"/>
          <w:b w:val="0"/>
          <w:bCs w:val="0"/>
          <w:sz w:val="24"/>
          <w:szCs w:val="24"/>
          <w:highlight w:val="none"/>
          <w:lang w:eastAsia="zh-CN"/>
        </w:rPr>
        <w:t>谈判响应</w:t>
      </w:r>
      <w:r>
        <w:rPr>
          <w:rFonts w:hint="eastAsia" w:ascii="宋体" w:hAnsi="宋体" w:eastAsia="宋体" w:cs="宋体"/>
          <w:b w:val="0"/>
          <w:bCs w:val="0"/>
          <w:sz w:val="24"/>
          <w:szCs w:val="24"/>
          <w:highlight w:val="none"/>
        </w:rPr>
        <w:t>文件</w:t>
      </w:r>
      <w:r>
        <w:rPr>
          <w:rFonts w:hint="eastAsia" w:ascii="宋体" w:hAnsi="宋体" w:eastAsia="宋体" w:cs="宋体"/>
          <w:b w:val="0"/>
          <w:bCs w:val="0"/>
          <w:sz w:val="24"/>
          <w:szCs w:val="24"/>
          <w:highlight w:val="none"/>
          <w:lang w:eastAsia="zh-CN"/>
        </w:rPr>
        <w:t>，谈判响应</w:t>
      </w:r>
      <w:r>
        <w:rPr>
          <w:rFonts w:hint="eastAsia" w:ascii="宋体" w:hAnsi="宋体" w:eastAsia="宋体" w:cs="宋体"/>
          <w:b w:val="0"/>
          <w:bCs w:val="0"/>
          <w:sz w:val="24"/>
          <w:szCs w:val="24"/>
          <w:highlight w:val="none"/>
        </w:rPr>
        <w:t>文件须胶装成册</w:t>
      </w:r>
      <w:r>
        <w:rPr>
          <w:rFonts w:hint="eastAsia" w:ascii="宋体" w:hAnsi="宋体" w:eastAsia="宋体" w:cs="宋体"/>
          <w:b w:val="0"/>
          <w:bCs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3、请您仔细核对您的</w:t>
      </w:r>
      <w:r>
        <w:rPr>
          <w:rFonts w:hint="eastAsia" w:ascii="宋体" w:hAnsi="宋体" w:eastAsia="宋体" w:cs="宋体"/>
          <w:b w:val="0"/>
          <w:bCs w:val="0"/>
          <w:sz w:val="24"/>
          <w:szCs w:val="24"/>
          <w:highlight w:val="none"/>
          <w:lang w:eastAsia="zh-CN"/>
        </w:rPr>
        <w:t>谈判响应</w:t>
      </w:r>
      <w:r>
        <w:rPr>
          <w:rFonts w:hint="eastAsia" w:ascii="宋体" w:hAnsi="宋体" w:eastAsia="宋体" w:cs="宋体"/>
          <w:b w:val="0"/>
          <w:bCs w:val="0"/>
          <w:sz w:val="24"/>
          <w:szCs w:val="24"/>
          <w:highlight w:val="none"/>
        </w:rPr>
        <w:t>文件是否已按照</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文件的要求签字、签章和加盖单位公章，您的实质性条款是否满足</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文件要求，您的</w:t>
      </w:r>
      <w:r>
        <w:rPr>
          <w:rFonts w:hint="eastAsia" w:ascii="宋体" w:hAnsi="宋体" w:eastAsia="宋体" w:cs="宋体"/>
          <w:b w:val="0"/>
          <w:bCs w:val="0"/>
          <w:sz w:val="24"/>
          <w:szCs w:val="24"/>
          <w:highlight w:val="none"/>
          <w:lang w:eastAsia="zh-CN"/>
        </w:rPr>
        <w:t>谈判响应</w:t>
      </w:r>
      <w:r>
        <w:rPr>
          <w:rFonts w:hint="eastAsia" w:ascii="宋体" w:hAnsi="宋体" w:eastAsia="宋体" w:cs="宋体"/>
          <w:b w:val="0"/>
          <w:bCs w:val="0"/>
          <w:sz w:val="24"/>
          <w:szCs w:val="24"/>
          <w:highlight w:val="none"/>
        </w:rPr>
        <w:t>文件中所附资格证明等资料是否齐全、有效且是否满足</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文件要求。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、请您按照</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文件要求密封</w:t>
      </w:r>
      <w:r>
        <w:rPr>
          <w:rFonts w:hint="eastAsia" w:ascii="宋体" w:hAnsi="宋体" w:eastAsia="宋体" w:cs="宋体"/>
          <w:b w:val="0"/>
          <w:bCs w:val="0"/>
          <w:sz w:val="24"/>
          <w:szCs w:val="24"/>
          <w:highlight w:val="none"/>
          <w:lang w:eastAsia="zh-CN"/>
        </w:rPr>
        <w:t>谈判响应</w:t>
      </w:r>
      <w:r>
        <w:rPr>
          <w:rFonts w:hint="eastAsia" w:ascii="宋体" w:hAnsi="宋体" w:eastAsia="宋体" w:cs="宋体"/>
          <w:b w:val="0"/>
          <w:bCs w:val="0"/>
          <w:sz w:val="24"/>
          <w:szCs w:val="24"/>
          <w:highlight w:val="none"/>
        </w:rPr>
        <w:t>文件，并正确标记</w:t>
      </w:r>
      <w:r>
        <w:rPr>
          <w:rFonts w:hint="eastAsia" w:ascii="宋体" w:hAnsi="宋体" w:eastAsia="宋体" w:cs="宋体"/>
          <w:b w:val="0"/>
          <w:bCs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提示：您的</w:t>
      </w:r>
      <w:r>
        <w:rPr>
          <w:rFonts w:hint="eastAsia" w:ascii="宋体" w:hAnsi="宋体" w:eastAsia="宋体" w:cs="宋体"/>
          <w:b w:val="0"/>
          <w:bCs w:val="0"/>
          <w:sz w:val="24"/>
          <w:szCs w:val="24"/>
          <w:highlight w:val="none"/>
          <w:lang w:eastAsia="zh-CN"/>
        </w:rPr>
        <w:t>谈判响应</w:t>
      </w:r>
      <w:r>
        <w:rPr>
          <w:rFonts w:hint="eastAsia" w:ascii="宋体" w:hAnsi="宋体" w:eastAsia="宋体" w:cs="宋体"/>
          <w:b w:val="0"/>
          <w:bCs w:val="0"/>
          <w:sz w:val="24"/>
          <w:szCs w:val="24"/>
          <w:highlight w:val="none"/>
        </w:rPr>
        <w:t>文件若不满足以上条件将有被否决的风险</w:t>
      </w:r>
      <w:r>
        <w:rPr>
          <w:rFonts w:hint="eastAsia" w:ascii="宋体" w:hAnsi="宋体" w:eastAsia="宋体" w:cs="宋体"/>
          <w:b w:val="0"/>
          <w:bCs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二、有关</w:t>
      </w:r>
      <w:r>
        <w:rPr>
          <w:rFonts w:hint="eastAsia" w:ascii="宋体" w:hAnsi="宋体" w:eastAsia="宋体" w:cs="宋体"/>
          <w:b/>
          <w:bCs/>
          <w:sz w:val="24"/>
          <w:szCs w:val="24"/>
          <w:highlight w:val="none"/>
          <w:lang w:eastAsia="zh-CN"/>
        </w:rPr>
        <w:t>谈判：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w:t>
      </w:r>
      <w:r>
        <w:rPr>
          <w:rFonts w:hint="eastAsia" w:ascii="宋体" w:hAnsi="宋体" w:eastAsia="宋体" w:cs="宋体"/>
          <w:b w:val="0"/>
          <w:bCs w:val="0"/>
          <w:sz w:val="24"/>
          <w:szCs w:val="24"/>
          <w:highlight w:val="none"/>
          <w:lang w:eastAsia="zh-CN"/>
        </w:rPr>
        <w:t>除谈判文件要求递交的文件和资料外，</w:t>
      </w:r>
      <w:r>
        <w:rPr>
          <w:rFonts w:hint="eastAsia" w:ascii="宋体" w:hAnsi="宋体" w:eastAsia="宋体" w:cs="宋体"/>
          <w:b w:val="0"/>
          <w:bCs w:val="0"/>
          <w:sz w:val="24"/>
          <w:szCs w:val="24"/>
          <w:highlight w:val="none"/>
        </w:rPr>
        <w:t>请您随身携带</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文件要求提供的其他备查文件。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2、请您务必考虑天气情况、交通情况以及您对</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地址的路线熟悉等情况于</w:t>
      </w:r>
      <w:r>
        <w:rPr>
          <w:rFonts w:hint="eastAsia" w:ascii="宋体" w:hAnsi="宋体" w:eastAsia="宋体" w:cs="宋体"/>
          <w:color w:val="000000"/>
          <w:sz w:val="24"/>
          <w:szCs w:val="24"/>
          <w:highlight w:val="none"/>
          <w:lang w:eastAsia="zh-CN"/>
        </w:rPr>
        <w:t>202</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年</w:t>
      </w:r>
      <w:r>
        <w:rPr>
          <w:rFonts w:hint="eastAsia" w:ascii="宋体" w:hAnsi="宋体" w:cs="宋体"/>
          <w:color w:val="000000"/>
          <w:sz w:val="24"/>
          <w:szCs w:val="24"/>
          <w:highlight w:val="none"/>
          <w:lang w:val="en-US" w:eastAsia="zh-CN"/>
        </w:rPr>
        <w:t>08</w:t>
      </w:r>
      <w:r>
        <w:rPr>
          <w:rFonts w:hint="eastAsia" w:ascii="宋体" w:hAnsi="宋体" w:eastAsia="宋体" w:cs="宋体"/>
          <w:color w:val="000000"/>
          <w:sz w:val="24"/>
          <w:szCs w:val="24"/>
          <w:highlight w:val="none"/>
        </w:rPr>
        <w:t>月</w:t>
      </w:r>
      <w:r>
        <w:rPr>
          <w:rFonts w:hint="eastAsia" w:ascii="宋体" w:hAnsi="宋体" w:cs="宋体"/>
          <w:color w:val="000000"/>
          <w:sz w:val="24"/>
          <w:szCs w:val="24"/>
          <w:highlight w:val="none"/>
          <w:lang w:val="en-US" w:eastAsia="zh-CN"/>
        </w:rPr>
        <w:t>03</w:t>
      </w:r>
      <w:r>
        <w:rPr>
          <w:rFonts w:hint="eastAsia" w:ascii="宋体" w:hAnsi="宋体" w:eastAsia="宋体" w:cs="宋体"/>
          <w:color w:val="000000"/>
          <w:sz w:val="24"/>
          <w:szCs w:val="24"/>
          <w:highlight w:val="none"/>
        </w:rPr>
        <w:t>日</w:t>
      </w:r>
      <w:r>
        <w:rPr>
          <w:rFonts w:hint="eastAsia" w:ascii="宋体" w:hAnsi="宋体" w:cs="宋体"/>
          <w:b w:val="0"/>
          <w:bCs w:val="0"/>
          <w:sz w:val="24"/>
          <w:szCs w:val="24"/>
          <w:highlight w:val="none"/>
          <w:u w:val="none"/>
          <w:lang w:val="en-US" w:eastAsia="zh-CN"/>
        </w:rPr>
        <w:t>15</w:t>
      </w:r>
      <w:r>
        <w:rPr>
          <w:rFonts w:hint="eastAsia" w:ascii="宋体" w:hAnsi="宋体" w:eastAsia="宋体" w:cs="宋体"/>
          <w:b w:val="0"/>
          <w:bCs w:val="0"/>
          <w:sz w:val="24"/>
          <w:szCs w:val="24"/>
          <w:highlight w:val="none"/>
          <w:u w:val="none"/>
        </w:rPr>
        <w:t>：</w:t>
      </w:r>
      <w:r>
        <w:rPr>
          <w:rFonts w:hint="eastAsia" w:ascii="宋体" w:hAnsi="宋体" w:cs="宋体"/>
          <w:b w:val="0"/>
          <w:bCs w:val="0"/>
          <w:sz w:val="24"/>
          <w:szCs w:val="24"/>
          <w:highlight w:val="none"/>
          <w:u w:val="none"/>
          <w:lang w:val="en-US" w:eastAsia="zh-CN"/>
        </w:rPr>
        <w:t>00</w:t>
      </w:r>
      <w:r>
        <w:rPr>
          <w:rFonts w:hint="eastAsia" w:ascii="宋体" w:hAnsi="宋体" w:eastAsia="宋体" w:cs="宋体"/>
          <w:b w:val="0"/>
          <w:bCs w:val="0"/>
          <w:sz w:val="24"/>
          <w:szCs w:val="24"/>
          <w:highlight w:val="none"/>
        </w:rPr>
        <w:t>前到西安市</w:t>
      </w:r>
      <w:r>
        <w:rPr>
          <w:rFonts w:hint="eastAsia" w:ascii="宋体" w:hAnsi="宋体" w:eastAsia="宋体" w:cs="宋体"/>
          <w:b w:val="0"/>
          <w:bCs w:val="0"/>
          <w:sz w:val="24"/>
          <w:szCs w:val="24"/>
          <w:highlight w:val="none"/>
          <w:lang w:eastAsia="zh-CN"/>
        </w:rPr>
        <w:t>未央区凤城五路与明光路十字天朗经开中心</w:t>
      </w:r>
      <w:r>
        <w:rPr>
          <w:rFonts w:hint="eastAsia" w:ascii="宋体" w:hAnsi="宋体" w:eastAsia="宋体" w:cs="宋体"/>
          <w:b w:val="0"/>
          <w:bCs w:val="0"/>
          <w:sz w:val="24"/>
          <w:szCs w:val="24"/>
          <w:highlight w:val="none"/>
          <w:lang w:val="en-US" w:eastAsia="zh-CN"/>
        </w:rPr>
        <w:t>10楼11002室</w:t>
      </w:r>
      <w:r>
        <w:rPr>
          <w:rFonts w:hint="eastAsia" w:ascii="宋体" w:hAnsi="宋体" w:eastAsia="宋体" w:cs="宋体"/>
          <w:b w:val="0"/>
          <w:bCs w:val="0"/>
          <w:sz w:val="24"/>
          <w:szCs w:val="24"/>
          <w:highlight w:val="none"/>
        </w:rPr>
        <w:t>递交</w:t>
      </w:r>
      <w:r>
        <w:rPr>
          <w:rFonts w:hint="eastAsia" w:ascii="宋体" w:hAnsi="宋体" w:eastAsia="宋体" w:cs="宋体"/>
          <w:b w:val="0"/>
          <w:bCs w:val="0"/>
          <w:sz w:val="24"/>
          <w:szCs w:val="24"/>
          <w:highlight w:val="none"/>
          <w:lang w:eastAsia="zh-CN"/>
        </w:rPr>
        <w:t>谈判响应</w:t>
      </w:r>
      <w:r>
        <w:rPr>
          <w:rFonts w:hint="eastAsia" w:ascii="宋体" w:hAnsi="宋体" w:eastAsia="宋体" w:cs="宋体"/>
          <w:b w:val="0"/>
          <w:bCs w:val="0"/>
          <w:sz w:val="24"/>
          <w:szCs w:val="24"/>
          <w:highlight w:val="none"/>
        </w:rPr>
        <w:t>文件，</w:t>
      </w:r>
      <w:r>
        <w:rPr>
          <w:rFonts w:hint="eastAsia" w:ascii="宋体" w:hAnsi="宋体" w:eastAsia="宋体" w:cs="宋体"/>
          <w:b w:val="0"/>
          <w:bCs w:val="0"/>
          <w:sz w:val="24"/>
          <w:szCs w:val="24"/>
          <w:highlight w:val="none"/>
          <w:lang w:eastAsia="zh-CN"/>
        </w:rPr>
        <w:t>谈判响应</w:t>
      </w:r>
      <w:r>
        <w:rPr>
          <w:rFonts w:hint="eastAsia" w:ascii="宋体" w:hAnsi="宋体" w:eastAsia="宋体" w:cs="宋体"/>
          <w:b w:val="0"/>
          <w:bCs w:val="0"/>
          <w:sz w:val="24"/>
          <w:szCs w:val="24"/>
          <w:highlight w:val="none"/>
        </w:rPr>
        <w:t>文件逾期到达，将被拒绝接收。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3、请您到达文件递交地点后及时到</w:t>
      </w:r>
      <w:r>
        <w:rPr>
          <w:rFonts w:hint="eastAsia" w:ascii="宋体" w:hAnsi="宋体" w:eastAsia="宋体" w:cs="宋体"/>
          <w:b w:val="0"/>
          <w:bCs w:val="0"/>
          <w:sz w:val="24"/>
          <w:szCs w:val="24"/>
          <w:highlight w:val="none"/>
          <w:lang w:eastAsia="zh-CN"/>
        </w:rPr>
        <w:t>谈判响应</w:t>
      </w:r>
      <w:r>
        <w:rPr>
          <w:rFonts w:hint="eastAsia" w:ascii="宋体" w:hAnsi="宋体" w:eastAsia="宋体" w:cs="宋体"/>
          <w:b w:val="0"/>
          <w:bCs w:val="0"/>
          <w:sz w:val="24"/>
          <w:szCs w:val="24"/>
          <w:highlight w:val="none"/>
        </w:rPr>
        <w:t>文件接收处签字登记</w:t>
      </w:r>
      <w:r>
        <w:rPr>
          <w:rFonts w:hint="eastAsia" w:ascii="宋体" w:hAnsi="宋体" w:eastAsia="宋体" w:cs="宋体"/>
          <w:b w:val="0"/>
          <w:bCs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三</w:t>
      </w:r>
      <w:r>
        <w:rPr>
          <w:rFonts w:hint="eastAsia" w:ascii="宋体" w:hAnsi="宋体" w:eastAsia="宋体" w:cs="宋体"/>
          <w:b/>
          <w:bCs/>
          <w:sz w:val="24"/>
          <w:szCs w:val="24"/>
          <w:highlight w:val="none"/>
        </w:rPr>
        <w:t>、关于弃标的说明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若您因为</w:t>
      </w:r>
      <w:r>
        <w:rPr>
          <w:rFonts w:hint="eastAsia" w:ascii="宋体" w:hAnsi="宋体" w:eastAsia="宋体" w:cs="宋体"/>
          <w:b w:val="0"/>
          <w:bCs w:val="0"/>
          <w:sz w:val="24"/>
          <w:szCs w:val="24"/>
          <w:highlight w:val="none"/>
          <w:lang w:eastAsia="zh-CN"/>
        </w:rPr>
        <w:t>一</w:t>
      </w:r>
      <w:r>
        <w:rPr>
          <w:rFonts w:hint="eastAsia" w:ascii="宋体" w:hAnsi="宋体" w:eastAsia="宋体" w:cs="宋体"/>
          <w:b w:val="0"/>
          <w:bCs w:val="0"/>
          <w:sz w:val="24"/>
          <w:szCs w:val="24"/>
          <w:highlight w:val="none"/>
        </w:rPr>
        <w:t>些特殊原因不能参加本次</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活动，请您务必以书面形式告知我们，以便我们正常开展后期工作，同时也避免再次打扰您，感谢您的配合。</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四、关于供应商注册登记提醒：</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p>
      <w:pPr>
        <w:tabs>
          <w:tab w:val="left" w:pos="525"/>
        </w:tabs>
        <w:spacing w:after="100" w:afterAutospacing="1" w:line="360" w:lineRule="auto"/>
        <w:jc w:val="both"/>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请各</w:t>
      </w:r>
      <w:r>
        <w:rPr>
          <w:rFonts w:hint="eastAsia" w:ascii="宋体" w:hAnsi="宋体" w:eastAsia="宋体" w:cs="宋体"/>
          <w:b/>
          <w:bCs/>
          <w:sz w:val="24"/>
          <w:szCs w:val="24"/>
          <w:highlight w:val="none"/>
          <w:lang w:eastAsia="zh-CN"/>
        </w:rPr>
        <w:t>供应商</w:t>
      </w:r>
      <w:r>
        <w:rPr>
          <w:rFonts w:hint="eastAsia" w:ascii="宋体" w:hAnsi="宋体" w:eastAsia="宋体" w:cs="宋体"/>
          <w:b/>
          <w:bCs/>
          <w:sz w:val="24"/>
          <w:szCs w:val="24"/>
          <w:highlight w:val="none"/>
        </w:rPr>
        <w:t>仔细</w:t>
      </w:r>
      <w:r>
        <w:rPr>
          <w:rFonts w:hint="eastAsia" w:ascii="宋体" w:hAnsi="宋体" w:eastAsia="宋体" w:cs="宋体"/>
          <w:b/>
          <w:bCs/>
          <w:sz w:val="24"/>
          <w:szCs w:val="24"/>
          <w:highlight w:val="none"/>
          <w:lang w:eastAsia="zh-CN"/>
        </w:rPr>
        <w:t>阅</w:t>
      </w:r>
      <w:r>
        <w:rPr>
          <w:rFonts w:hint="eastAsia" w:ascii="宋体" w:hAnsi="宋体" w:eastAsia="宋体" w:cs="宋体"/>
          <w:b/>
          <w:bCs/>
          <w:sz w:val="24"/>
          <w:szCs w:val="24"/>
          <w:highlight w:val="none"/>
        </w:rPr>
        <w:t>读上述提示。如需帮助，请您与我们的工作人员联系</w:t>
      </w:r>
      <w:r>
        <w:rPr>
          <w:rFonts w:hint="eastAsia" w:ascii="宋体" w:hAnsi="宋体" w:eastAsia="宋体" w:cs="宋体"/>
          <w:b/>
          <w:bCs/>
          <w:sz w:val="24"/>
          <w:szCs w:val="24"/>
          <w:highlight w:val="none"/>
          <w:lang w:eastAsia="zh-CN"/>
        </w:rPr>
        <w:t>（</w:t>
      </w:r>
      <w:r>
        <w:rPr>
          <w:rFonts w:hint="eastAsia" w:ascii="宋体" w:hAnsi="宋体" w:cs="宋体"/>
          <w:b/>
          <w:bCs/>
          <w:sz w:val="24"/>
          <w:szCs w:val="24"/>
          <w:highlight w:val="none"/>
          <w:lang w:val="en-US" w:eastAsia="zh-CN"/>
        </w:rPr>
        <w:t>李莹</w:t>
      </w:r>
      <w:r>
        <w:rPr>
          <w:rFonts w:hint="eastAsia" w:ascii="宋体" w:hAnsi="宋体" w:eastAsia="宋体" w:cs="宋体"/>
          <w:b/>
          <w:bCs/>
          <w:sz w:val="24"/>
          <w:szCs w:val="24"/>
          <w:highlight w:val="none"/>
          <w:lang w:eastAsia="zh-CN"/>
        </w:rPr>
        <w:t>：029-89351397），我们将非常高兴地为您服务。</w:t>
      </w:r>
    </w:p>
    <w:p>
      <w:pPr>
        <w:spacing w:line="720" w:lineRule="auto"/>
        <w:jc w:val="center"/>
        <w:rPr>
          <w:rFonts w:hint="eastAsia" w:ascii="宋体" w:hAnsi="宋体" w:eastAsia="宋体" w:cs="宋体"/>
          <w:b/>
          <w:bCs/>
          <w:kern w:val="2"/>
          <w:sz w:val="32"/>
          <w:szCs w:val="32"/>
          <w:highlight w:val="none"/>
          <w:lang w:val="en-US" w:eastAsia="zh-CN" w:bidi="ar-SA"/>
        </w:rPr>
        <w:sectPr>
          <w:footerReference r:id="rId7" w:type="first"/>
          <w:footerReference r:id="rId6" w:type="default"/>
          <w:pgSz w:w="11907" w:h="16840"/>
          <w:pgMar w:top="1417" w:right="1418" w:bottom="1417" w:left="1417" w:header="850" w:footer="850" w:gutter="0"/>
          <w:pgBorders>
            <w:top w:val="none" w:sz="0" w:space="0"/>
            <w:left w:val="none" w:sz="0" w:space="0"/>
            <w:bottom w:val="none" w:sz="0" w:space="0"/>
            <w:right w:val="none" w:sz="0" w:space="0"/>
          </w:pgBorders>
          <w:pgNumType w:fmt="decimal" w:start="1"/>
          <w:cols w:space="720" w:num="1"/>
          <w:rtlGutter w:val="0"/>
          <w:docGrid w:linePitch="286" w:charSpace="0"/>
        </w:sectPr>
      </w:pPr>
    </w:p>
    <w:sdt>
      <w:sdtPr>
        <w:rPr>
          <w:rFonts w:hint="eastAsia" w:ascii="宋体" w:hAnsi="宋体" w:eastAsia="宋体" w:cs="宋体"/>
          <w:b/>
          <w:bCs/>
          <w:kern w:val="2"/>
          <w:sz w:val="32"/>
          <w:szCs w:val="32"/>
          <w:highlight w:val="none"/>
          <w:lang w:val="en-US" w:eastAsia="zh-CN" w:bidi="ar-SA"/>
        </w:rPr>
        <w:id w:val="147479937"/>
        <w15:color w:val="DBDBDB"/>
        <w:docPartObj>
          <w:docPartGallery w:val="Table of Contents"/>
          <w:docPartUnique/>
        </w:docPartObj>
      </w:sdtPr>
      <w:sdtEndPr>
        <w:rPr>
          <w:rFonts w:hint="eastAsia" w:ascii="宋体" w:hAnsi="宋体" w:eastAsia="宋体" w:cs="宋体"/>
          <w:b/>
          <w:bCs/>
          <w:kern w:val="2"/>
          <w:sz w:val="21"/>
          <w:szCs w:val="32"/>
          <w:highlight w:val="none"/>
          <w:lang w:val="en-US" w:eastAsia="zh-CN" w:bidi="ar-SA"/>
        </w:rPr>
      </w:sdtEndPr>
      <w:sdtContent>
        <w:p>
          <w:pPr>
            <w:spacing w:line="720" w:lineRule="auto"/>
            <w:jc w:val="center"/>
            <w:rPr>
              <w:rFonts w:hint="eastAsia" w:ascii="宋体" w:hAnsi="宋体" w:eastAsia="宋体" w:cs="宋体"/>
              <w:sz w:val="30"/>
              <w:szCs w:val="30"/>
              <w:highlight w:val="none"/>
            </w:rPr>
          </w:pPr>
          <w:r>
            <w:rPr>
              <w:rFonts w:hint="eastAsia" w:ascii="宋体" w:hAnsi="宋体" w:eastAsia="宋体" w:cs="宋体"/>
              <w:b/>
              <w:bCs/>
              <w:sz w:val="32"/>
              <w:szCs w:val="32"/>
              <w:highlight w:val="none"/>
            </w:rPr>
            <w:t>目录</w:t>
          </w:r>
          <w:r>
            <w:rPr>
              <w:rFonts w:hint="eastAsia" w:ascii="宋体" w:hAnsi="宋体" w:eastAsia="宋体" w:cs="宋体"/>
              <w:sz w:val="30"/>
              <w:szCs w:val="30"/>
              <w:highlight w:val="none"/>
              <w:lang w:eastAsia="zh-CN"/>
            </w:rPr>
            <w:fldChar w:fldCharType="begin"/>
          </w:r>
          <w:r>
            <w:rPr>
              <w:rFonts w:hint="eastAsia" w:ascii="宋体" w:hAnsi="宋体" w:eastAsia="宋体" w:cs="宋体"/>
              <w:sz w:val="30"/>
              <w:szCs w:val="30"/>
              <w:highlight w:val="none"/>
              <w:lang w:eastAsia="zh-CN"/>
            </w:rPr>
            <w:instrText xml:space="preserve">TOC \o "1-1" \h \u </w:instrText>
          </w:r>
          <w:r>
            <w:rPr>
              <w:rFonts w:hint="eastAsia" w:ascii="宋体" w:hAnsi="宋体" w:eastAsia="宋体" w:cs="宋体"/>
              <w:sz w:val="30"/>
              <w:szCs w:val="30"/>
              <w:highlight w:val="none"/>
              <w:lang w:eastAsia="zh-CN"/>
            </w:rPr>
            <w:fldChar w:fldCharType="separate"/>
          </w:r>
        </w:p>
        <w:p>
          <w:pPr>
            <w:pStyle w:val="96"/>
            <w:tabs>
              <w:tab w:val="right" w:leader="dot" w:pos="9072"/>
            </w:tabs>
            <w:spacing w:line="720" w:lineRule="auto"/>
            <w:jc w:val="center"/>
            <w:rPr>
              <w:rFonts w:hint="eastAsia" w:ascii="宋体" w:hAnsi="宋体" w:eastAsia="宋体" w:cs="宋体"/>
              <w:sz w:val="30"/>
              <w:szCs w:val="30"/>
              <w:highlight w:val="none"/>
            </w:rPr>
          </w:pPr>
          <w:r>
            <w:rPr>
              <w:rFonts w:hint="eastAsia" w:ascii="宋体" w:hAnsi="宋体" w:eastAsia="宋体" w:cs="宋体"/>
              <w:sz w:val="30"/>
              <w:szCs w:val="30"/>
              <w:highlight w:val="none"/>
              <w:lang w:eastAsia="zh-CN"/>
            </w:rPr>
            <w:fldChar w:fldCharType="begin"/>
          </w:r>
          <w:r>
            <w:rPr>
              <w:rFonts w:hint="eastAsia" w:ascii="宋体" w:hAnsi="宋体" w:eastAsia="宋体" w:cs="宋体"/>
              <w:sz w:val="30"/>
              <w:szCs w:val="30"/>
              <w:highlight w:val="none"/>
              <w:lang w:eastAsia="zh-CN"/>
            </w:rPr>
            <w:instrText xml:space="preserve"> HYPERLINK \l _Toc25603 </w:instrText>
          </w:r>
          <w:r>
            <w:rPr>
              <w:rFonts w:hint="eastAsia" w:ascii="宋体" w:hAnsi="宋体" w:eastAsia="宋体" w:cs="宋体"/>
              <w:sz w:val="30"/>
              <w:szCs w:val="30"/>
              <w:highlight w:val="none"/>
              <w:lang w:eastAsia="zh-CN"/>
            </w:rPr>
            <w:fldChar w:fldCharType="separate"/>
          </w:r>
          <w:r>
            <w:rPr>
              <w:rFonts w:hint="eastAsia" w:ascii="宋体" w:hAnsi="宋体" w:eastAsia="宋体" w:cs="宋体"/>
              <w:bCs w:val="0"/>
              <w:sz w:val="30"/>
              <w:szCs w:val="30"/>
              <w:highlight w:val="none"/>
            </w:rPr>
            <w:t>第一章 竞争</w:t>
          </w:r>
          <w:r>
            <w:rPr>
              <w:rFonts w:hint="eastAsia" w:ascii="宋体" w:hAnsi="宋体" w:eastAsia="宋体" w:cs="宋体"/>
              <w:bCs/>
              <w:sz w:val="30"/>
              <w:szCs w:val="30"/>
              <w:highlight w:val="none"/>
            </w:rPr>
            <w:t>性</w:t>
          </w:r>
          <w:r>
            <w:rPr>
              <w:rFonts w:hint="eastAsia" w:ascii="宋体" w:hAnsi="宋体" w:cs="宋体"/>
              <w:bCs/>
              <w:sz w:val="30"/>
              <w:szCs w:val="30"/>
              <w:highlight w:val="none"/>
              <w:lang w:eastAsia="zh-CN"/>
            </w:rPr>
            <w:t>谈判</w:t>
          </w:r>
          <w:r>
            <w:rPr>
              <w:rFonts w:hint="eastAsia" w:ascii="宋体" w:hAnsi="宋体" w:eastAsia="宋体" w:cs="宋体"/>
              <w:bCs/>
              <w:sz w:val="30"/>
              <w:szCs w:val="30"/>
              <w:highlight w:val="none"/>
            </w:rPr>
            <w:t>公告</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_Toc25603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1</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lang w:eastAsia="zh-CN"/>
            </w:rPr>
            <w:fldChar w:fldCharType="end"/>
          </w:r>
        </w:p>
        <w:p>
          <w:pPr>
            <w:pStyle w:val="96"/>
            <w:tabs>
              <w:tab w:val="right" w:leader="dot" w:pos="9072"/>
            </w:tabs>
            <w:spacing w:line="720" w:lineRule="auto"/>
            <w:jc w:val="center"/>
            <w:rPr>
              <w:rFonts w:hint="eastAsia" w:ascii="宋体" w:hAnsi="宋体" w:eastAsia="宋体" w:cs="宋体"/>
              <w:sz w:val="30"/>
              <w:szCs w:val="30"/>
              <w:highlight w:val="none"/>
            </w:rPr>
          </w:pPr>
          <w:r>
            <w:rPr>
              <w:rFonts w:hint="eastAsia" w:ascii="宋体" w:hAnsi="宋体" w:eastAsia="宋体" w:cs="宋体"/>
              <w:sz w:val="30"/>
              <w:szCs w:val="30"/>
              <w:highlight w:val="none"/>
              <w:lang w:eastAsia="zh-CN"/>
            </w:rPr>
            <w:fldChar w:fldCharType="begin"/>
          </w:r>
          <w:r>
            <w:rPr>
              <w:rFonts w:hint="eastAsia" w:ascii="宋体" w:hAnsi="宋体" w:eastAsia="宋体" w:cs="宋体"/>
              <w:sz w:val="30"/>
              <w:szCs w:val="30"/>
              <w:highlight w:val="none"/>
              <w:lang w:eastAsia="zh-CN"/>
            </w:rPr>
            <w:instrText xml:space="preserve"> HYPERLINK \l _Toc19171 </w:instrText>
          </w:r>
          <w:r>
            <w:rPr>
              <w:rFonts w:hint="eastAsia" w:ascii="宋体" w:hAnsi="宋体" w:eastAsia="宋体" w:cs="宋体"/>
              <w:sz w:val="30"/>
              <w:szCs w:val="30"/>
              <w:highlight w:val="none"/>
              <w:lang w:eastAsia="zh-CN"/>
            </w:rPr>
            <w:fldChar w:fldCharType="separate"/>
          </w:r>
          <w:r>
            <w:rPr>
              <w:rFonts w:hint="eastAsia" w:ascii="宋体" w:hAnsi="宋体" w:eastAsia="宋体" w:cs="宋体"/>
              <w:bCs/>
              <w:sz w:val="30"/>
              <w:szCs w:val="30"/>
              <w:highlight w:val="none"/>
            </w:rPr>
            <w:t xml:space="preserve">第二章 </w:t>
          </w:r>
          <w:r>
            <w:rPr>
              <w:rFonts w:hint="eastAsia" w:ascii="宋体" w:hAnsi="宋体" w:eastAsia="宋体" w:cs="宋体"/>
              <w:bCs/>
              <w:sz w:val="30"/>
              <w:szCs w:val="30"/>
              <w:highlight w:val="none"/>
              <w:lang w:eastAsia="zh-CN"/>
            </w:rPr>
            <w:t>供应商</w:t>
          </w:r>
          <w:r>
            <w:rPr>
              <w:rFonts w:hint="eastAsia" w:ascii="宋体" w:hAnsi="宋体" w:eastAsia="宋体" w:cs="宋体"/>
              <w:bCs/>
              <w:sz w:val="30"/>
              <w:szCs w:val="30"/>
              <w:highlight w:val="none"/>
            </w:rPr>
            <w:t>须知</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_Toc19171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5</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lang w:eastAsia="zh-CN"/>
            </w:rPr>
            <w:fldChar w:fldCharType="end"/>
          </w:r>
        </w:p>
        <w:p>
          <w:pPr>
            <w:pStyle w:val="96"/>
            <w:tabs>
              <w:tab w:val="right" w:leader="dot" w:pos="9072"/>
            </w:tabs>
            <w:spacing w:line="720" w:lineRule="auto"/>
            <w:jc w:val="center"/>
            <w:rPr>
              <w:rFonts w:hint="eastAsia" w:ascii="宋体" w:hAnsi="宋体" w:eastAsia="宋体" w:cs="宋体"/>
              <w:sz w:val="30"/>
              <w:szCs w:val="30"/>
              <w:highlight w:val="none"/>
            </w:rPr>
          </w:pPr>
          <w:r>
            <w:rPr>
              <w:rFonts w:hint="eastAsia" w:ascii="宋体" w:hAnsi="宋体" w:eastAsia="宋体" w:cs="宋体"/>
              <w:sz w:val="30"/>
              <w:szCs w:val="30"/>
              <w:highlight w:val="none"/>
              <w:lang w:eastAsia="zh-CN"/>
            </w:rPr>
            <w:fldChar w:fldCharType="begin"/>
          </w:r>
          <w:r>
            <w:rPr>
              <w:rFonts w:hint="eastAsia" w:ascii="宋体" w:hAnsi="宋体" w:eastAsia="宋体" w:cs="宋体"/>
              <w:sz w:val="30"/>
              <w:szCs w:val="30"/>
              <w:highlight w:val="none"/>
              <w:lang w:eastAsia="zh-CN"/>
            </w:rPr>
            <w:instrText xml:space="preserve"> HYPERLINK \l _Toc23782 </w:instrText>
          </w:r>
          <w:r>
            <w:rPr>
              <w:rFonts w:hint="eastAsia" w:ascii="宋体" w:hAnsi="宋体" w:eastAsia="宋体" w:cs="宋体"/>
              <w:sz w:val="30"/>
              <w:szCs w:val="30"/>
              <w:highlight w:val="none"/>
              <w:lang w:eastAsia="zh-CN"/>
            </w:rPr>
            <w:fldChar w:fldCharType="separate"/>
          </w:r>
          <w:r>
            <w:rPr>
              <w:rFonts w:hint="eastAsia" w:ascii="宋体" w:hAnsi="宋体" w:eastAsia="宋体" w:cs="宋体"/>
              <w:bCs/>
              <w:sz w:val="30"/>
              <w:szCs w:val="30"/>
              <w:highlight w:val="none"/>
            </w:rPr>
            <w:t>第三章 合同条款及格式</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_Toc23782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25</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lang w:eastAsia="zh-CN"/>
            </w:rPr>
            <w:fldChar w:fldCharType="end"/>
          </w:r>
        </w:p>
        <w:p>
          <w:pPr>
            <w:pStyle w:val="96"/>
            <w:tabs>
              <w:tab w:val="right" w:leader="dot" w:pos="9072"/>
            </w:tabs>
            <w:spacing w:line="720" w:lineRule="auto"/>
            <w:jc w:val="center"/>
            <w:rPr>
              <w:rFonts w:hint="eastAsia" w:ascii="宋体" w:hAnsi="宋体" w:eastAsia="宋体" w:cs="宋体"/>
              <w:sz w:val="30"/>
              <w:szCs w:val="30"/>
              <w:highlight w:val="none"/>
            </w:rPr>
          </w:pPr>
          <w:r>
            <w:rPr>
              <w:rFonts w:hint="eastAsia" w:ascii="宋体" w:hAnsi="宋体" w:eastAsia="宋体" w:cs="宋体"/>
              <w:sz w:val="30"/>
              <w:szCs w:val="30"/>
              <w:highlight w:val="none"/>
              <w:lang w:eastAsia="zh-CN"/>
            </w:rPr>
            <w:fldChar w:fldCharType="begin"/>
          </w:r>
          <w:r>
            <w:rPr>
              <w:rFonts w:hint="eastAsia" w:ascii="宋体" w:hAnsi="宋体" w:eastAsia="宋体" w:cs="宋体"/>
              <w:sz w:val="30"/>
              <w:szCs w:val="30"/>
              <w:highlight w:val="none"/>
              <w:lang w:eastAsia="zh-CN"/>
            </w:rPr>
            <w:instrText xml:space="preserve"> HYPERLINK \l _Toc28646 </w:instrText>
          </w:r>
          <w:r>
            <w:rPr>
              <w:rFonts w:hint="eastAsia" w:ascii="宋体" w:hAnsi="宋体" w:eastAsia="宋体" w:cs="宋体"/>
              <w:sz w:val="30"/>
              <w:szCs w:val="30"/>
              <w:highlight w:val="none"/>
              <w:lang w:eastAsia="zh-CN"/>
            </w:rPr>
            <w:fldChar w:fldCharType="separate"/>
          </w:r>
          <w:r>
            <w:rPr>
              <w:rFonts w:hint="eastAsia" w:ascii="宋体" w:hAnsi="宋体" w:eastAsia="宋体" w:cs="宋体"/>
              <w:bCs/>
              <w:sz w:val="30"/>
              <w:szCs w:val="30"/>
              <w:highlight w:val="none"/>
            </w:rPr>
            <w:t>第四章 竞争性谈判内容及技术要求</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_Toc28646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34</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lang w:eastAsia="zh-CN"/>
            </w:rPr>
            <w:fldChar w:fldCharType="end"/>
          </w:r>
        </w:p>
        <w:p>
          <w:pPr>
            <w:pStyle w:val="96"/>
            <w:tabs>
              <w:tab w:val="right" w:leader="dot" w:pos="9072"/>
            </w:tabs>
            <w:spacing w:line="720" w:lineRule="auto"/>
            <w:jc w:val="center"/>
            <w:rPr>
              <w:rFonts w:hint="eastAsia" w:ascii="宋体" w:hAnsi="宋体" w:eastAsia="宋体" w:cs="宋体"/>
              <w:sz w:val="30"/>
              <w:szCs w:val="30"/>
              <w:highlight w:val="none"/>
            </w:rPr>
          </w:pPr>
          <w:r>
            <w:rPr>
              <w:rFonts w:hint="eastAsia" w:ascii="宋体" w:hAnsi="宋体" w:eastAsia="宋体" w:cs="宋体"/>
              <w:sz w:val="30"/>
              <w:szCs w:val="30"/>
              <w:highlight w:val="none"/>
              <w:lang w:eastAsia="zh-CN"/>
            </w:rPr>
            <w:fldChar w:fldCharType="begin"/>
          </w:r>
          <w:r>
            <w:rPr>
              <w:rFonts w:hint="eastAsia" w:ascii="宋体" w:hAnsi="宋体" w:eastAsia="宋体" w:cs="宋体"/>
              <w:sz w:val="30"/>
              <w:szCs w:val="30"/>
              <w:highlight w:val="none"/>
              <w:lang w:eastAsia="zh-CN"/>
            </w:rPr>
            <w:instrText xml:space="preserve"> HYPERLINK \l _Toc17659 </w:instrText>
          </w:r>
          <w:r>
            <w:rPr>
              <w:rFonts w:hint="eastAsia" w:ascii="宋体" w:hAnsi="宋体" w:eastAsia="宋体" w:cs="宋体"/>
              <w:sz w:val="30"/>
              <w:szCs w:val="30"/>
              <w:highlight w:val="none"/>
              <w:lang w:eastAsia="zh-CN"/>
            </w:rPr>
            <w:fldChar w:fldCharType="separate"/>
          </w:r>
          <w:r>
            <w:rPr>
              <w:rFonts w:hint="eastAsia" w:ascii="宋体" w:hAnsi="宋体" w:eastAsia="宋体" w:cs="宋体"/>
              <w:bCs/>
              <w:sz w:val="30"/>
              <w:szCs w:val="30"/>
              <w:highlight w:val="none"/>
              <w:lang w:eastAsia="zh-CN"/>
            </w:rPr>
            <w:t>第五章 评审方法</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_Toc17659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45</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lang w:eastAsia="zh-CN"/>
            </w:rPr>
            <w:fldChar w:fldCharType="end"/>
          </w:r>
        </w:p>
        <w:p>
          <w:pPr>
            <w:pStyle w:val="96"/>
            <w:tabs>
              <w:tab w:val="right" w:leader="dot" w:pos="9072"/>
            </w:tabs>
            <w:spacing w:line="720" w:lineRule="auto"/>
            <w:jc w:val="center"/>
            <w:rPr>
              <w:rFonts w:hint="eastAsia" w:ascii="宋体" w:hAnsi="宋体" w:eastAsia="宋体" w:cs="宋体"/>
              <w:sz w:val="30"/>
              <w:szCs w:val="30"/>
              <w:highlight w:val="none"/>
            </w:rPr>
          </w:pPr>
          <w:r>
            <w:rPr>
              <w:rFonts w:hint="eastAsia" w:ascii="宋体" w:hAnsi="宋体" w:eastAsia="宋体" w:cs="宋体"/>
              <w:sz w:val="30"/>
              <w:szCs w:val="30"/>
              <w:highlight w:val="none"/>
              <w:lang w:eastAsia="zh-CN"/>
            </w:rPr>
            <w:fldChar w:fldCharType="begin"/>
          </w:r>
          <w:r>
            <w:rPr>
              <w:rFonts w:hint="eastAsia" w:ascii="宋体" w:hAnsi="宋体" w:eastAsia="宋体" w:cs="宋体"/>
              <w:sz w:val="30"/>
              <w:szCs w:val="30"/>
              <w:highlight w:val="none"/>
              <w:lang w:eastAsia="zh-CN"/>
            </w:rPr>
            <w:instrText xml:space="preserve"> HYPERLINK \l _Toc8169 </w:instrText>
          </w:r>
          <w:r>
            <w:rPr>
              <w:rFonts w:hint="eastAsia" w:ascii="宋体" w:hAnsi="宋体" w:eastAsia="宋体" w:cs="宋体"/>
              <w:sz w:val="30"/>
              <w:szCs w:val="30"/>
              <w:highlight w:val="none"/>
              <w:lang w:eastAsia="zh-CN"/>
            </w:rPr>
            <w:fldChar w:fldCharType="separate"/>
          </w:r>
          <w:r>
            <w:rPr>
              <w:rFonts w:hint="eastAsia" w:ascii="宋体" w:hAnsi="宋体" w:eastAsia="宋体" w:cs="宋体"/>
              <w:bCs/>
              <w:sz w:val="30"/>
              <w:szCs w:val="30"/>
              <w:highlight w:val="none"/>
              <w:lang w:eastAsia="zh-CN"/>
            </w:rPr>
            <w:t>第六章 竞争性谈判响应文件格式及构成</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_Toc8169 \h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50</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lang w:eastAsia="zh-CN"/>
            </w:rPr>
            <w:fldChar w:fldCharType="end"/>
          </w:r>
        </w:p>
        <w:p>
          <w:pPr>
            <w:spacing w:line="720" w:lineRule="auto"/>
            <w:jc w:val="center"/>
            <w:rPr>
              <w:rFonts w:hint="eastAsia" w:ascii="宋体" w:hAnsi="宋体" w:eastAsia="宋体" w:cs="宋体"/>
              <w:highlight w:val="none"/>
              <w:lang w:eastAsia="zh-CN"/>
            </w:rPr>
            <w:sectPr>
              <w:footerReference r:id="rId8" w:type="default"/>
              <w:pgSz w:w="11907" w:h="16840"/>
              <w:pgMar w:top="1417" w:right="1418" w:bottom="1417" w:left="1417" w:header="850" w:footer="850" w:gutter="0"/>
              <w:pgBorders>
                <w:top w:val="none" w:sz="0" w:space="0"/>
                <w:left w:val="none" w:sz="0" w:space="0"/>
                <w:bottom w:val="none" w:sz="0" w:space="0"/>
                <w:right w:val="none" w:sz="0" w:space="0"/>
              </w:pgBorders>
              <w:pgNumType w:fmt="decimal" w:start="1"/>
              <w:cols w:space="720" w:num="1"/>
              <w:rtlGutter w:val="0"/>
              <w:docGrid w:linePitch="286" w:charSpace="0"/>
            </w:sectPr>
          </w:pPr>
          <w:r>
            <w:rPr>
              <w:rFonts w:hint="eastAsia" w:ascii="宋体" w:hAnsi="宋体" w:eastAsia="宋体" w:cs="宋体"/>
              <w:sz w:val="30"/>
              <w:szCs w:val="30"/>
              <w:highlight w:val="none"/>
              <w:lang w:eastAsia="zh-CN"/>
            </w:rPr>
            <w:fldChar w:fldCharType="end"/>
          </w:r>
        </w:p>
      </w:sdtContent>
    </w:sdt>
    <w:bookmarkEnd w:id="0"/>
    <w:p>
      <w:pPr>
        <w:pStyle w:val="3"/>
        <w:keepNext w:val="0"/>
        <w:keepLines/>
        <w:pageBreakBefore/>
        <w:spacing w:before="156" w:beforeLines="50" w:after="156" w:afterLines="50" w:line="360" w:lineRule="auto"/>
        <w:jc w:val="center"/>
        <w:rPr>
          <w:rFonts w:hint="eastAsia" w:ascii="宋体" w:hAnsi="宋体" w:eastAsia="宋体" w:cs="宋体"/>
          <w:bCs/>
          <w:sz w:val="36"/>
          <w:szCs w:val="36"/>
          <w:highlight w:val="none"/>
        </w:rPr>
      </w:pPr>
      <w:bookmarkStart w:id="2" w:name="_Toc425781306"/>
      <w:bookmarkStart w:id="3" w:name="_Toc29766"/>
      <w:bookmarkStart w:id="4" w:name="_Toc25603"/>
      <w:bookmarkStart w:id="5" w:name="_Toc409690875"/>
      <w:bookmarkStart w:id="6" w:name="_Toc393284379"/>
      <w:bookmarkStart w:id="7" w:name="_Toc393284672"/>
      <w:bookmarkStart w:id="8" w:name="_Toc389836551"/>
      <w:bookmarkStart w:id="9" w:name="_Toc405358614"/>
      <w:r>
        <w:rPr>
          <w:rFonts w:hint="eastAsia" w:ascii="宋体" w:hAnsi="宋体" w:eastAsia="宋体" w:cs="宋体"/>
          <w:b w:val="0"/>
          <w:bCs w:val="0"/>
          <w:sz w:val="36"/>
          <w:szCs w:val="36"/>
          <w:highlight w:val="none"/>
        </w:rPr>
        <w:t>第一章 竞</w:t>
      </w:r>
      <w:bookmarkEnd w:id="2"/>
      <w:bookmarkEnd w:id="3"/>
      <w:bookmarkStart w:id="10" w:name="_Toc425781307"/>
      <w:r>
        <w:rPr>
          <w:rFonts w:hint="eastAsia" w:ascii="宋体" w:hAnsi="宋体" w:eastAsia="宋体" w:cs="宋体"/>
          <w:b w:val="0"/>
          <w:bCs w:val="0"/>
          <w:sz w:val="36"/>
          <w:szCs w:val="36"/>
          <w:highlight w:val="none"/>
        </w:rPr>
        <w:t>争</w:t>
      </w:r>
      <w:r>
        <w:rPr>
          <w:rFonts w:hint="eastAsia" w:ascii="宋体" w:hAnsi="宋体" w:eastAsia="宋体" w:cs="宋体"/>
          <w:bCs/>
          <w:sz w:val="36"/>
          <w:szCs w:val="36"/>
          <w:highlight w:val="none"/>
        </w:rPr>
        <w:t>性</w:t>
      </w:r>
      <w:r>
        <w:rPr>
          <w:rFonts w:hint="eastAsia" w:ascii="宋体" w:hAnsi="宋体" w:cs="宋体"/>
          <w:bCs/>
          <w:sz w:val="36"/>
          <w:szCs w:val="36"/>
          <w:highlight w:val="none"/>
          <w:lang w:eastAsia="zh-CN"/>
        </w:rPr>
        <w:t>谈判</w:t>
      </w:r>
      <w:r>
        <w:rPr>
          <w:rFonts w:hint="eastAsia" w:ascii="宋体" w:hAnsi="宋体" w:eastAsia="宋体" w:cs="宋体"/>
          <w:bCs/>
          <w:sz w:val="36"/>
          <w:szCs w:val="36"/>
          <w:highlight w:val="none"/>
        </w:rPr>
        <w:t>公告</w:t>
      </w:r>
      <w:bookmarkEnd w:id="4"/>
    </w:p>
    <w:p>
      <w:pPr>
        <w:pBdr>
          <w:top w:val="single" w:color="auto" w:sz="4" w:space="0"/>
          <w:left w:val="single" w:color="auto" w:sz="4" w:space="0"/>
          <w:bottom w:val="single" w:color="auto" w:sz="4" w:space="0"/>
          <w:right w:val="single" w:color="auto" w:sz="4" w:space="0"/>
        </w:pBdr>
        <w:snapToGrid w:val="0"/>
        <w:spacing w:line="480" w:lineRule="auto"/>
        <w:textAlignment w:val="baseline"/>
        <w:rPr>
          <w:rStyle w:val="94"/>
          <w:rFonts w:hint="eastAsia" w:ascii="宋体" w:hAnsi="宋体" w:eastAsia="宋体" w:cs="宋体"/>
          <w:b/>
          <w:bCs w:val="0"/>
          <w:sz w:val="24"/>
          <w:szCs w:val="24"/>
          <w:highlight w:val="none"/>
        </w:rPr>
      </w:pPr>
      <w:r>
        <w:rPr>
          <w:rStyle w:val="94"/>
          <w:rFonts w:hint="eastAsia" w:ascii="宋体" w:hAnsi="宋体" w:eastAsia="宋体" w:cs="宋体"/>
          <w:b/>
          <w:bCs w:val="0"/>
          <w:sz w:val="24"/>
          <w:szCs w:val="24"/>
          <w:highlight w:val="none"/>
        </w:rPr>
        <w:t>项目概况</w:t>
      </w:r>
    </w:p>
    <w:p>
      <w:pPr>
        <w:pBdr>
          <w:top w:val="single" w:color="auto" w:sz="4" w:space="0"/>
          <w:left w:val="single" w:color="auto" w:sz="4" w:space="0"/>
          <w:bottom w:val="single" w:color="auto" w:sz="4" w:space="0"/>
          <w:right w:val="single" w:color="auto" w:sz="4" w:space="0"/>
        </w:pBdr>
        <w:snapToGrid w:val="0"/>
        <w:spacing w:line="480" w:lineRule="auto"/>
        <w:ind w:firstLine="480" w:firstLineChars="200"/>
        <w:textAlignment w:val="baseline"/>
        <w:rPr>
          <w:rStyle w:val="94"/>
          <w:rFonts w:hint="eastAsia" w:ascii="宋体" w:hAnsi="宋体" w:eastAsia="宋体" w:cs="宋体"/>
          <w:sz w:val="24"/>
          <w:szCs w:val="24"/>
          <w:highlight w:val="none"/>
        </w:rPr>
      </w:pPr>
      <w:r>
        <w:rPr>
          <w:rStyle w:val="94"/>
          <w:rFonts w:hint="eastAsia" w:ascii="宋体" w:hAnsi="宋体" w:cs="宋体"/>
          <w:sz w:val="24"/>
          <w:szCs w:val="24"/>
          <w:highlight w:val="none"/>
        </w:rPr>
        <w:t>西安市第八十六中学化学吊装实验室项目</w:t>
      </w:r>
      <w:r>
        <w:rPr>
          <w:rStyle w:val="94"/>
          <w:rFonts w:hint="eastAsia" w:ascii="宋体" w:hAnsi="宋体" w:eastAsia="宋体" w:cs="宋体"/>
          <w:sz w:val="24"/>
          <w:szCs w:val="24"/>
          <w:highlight w:val="none"/>
        </w:rPr>
        <w:t>潜在的供应商</w:t>
      </w:r>
      <w:r>
        <w:rPr>
          <w:rStyle w:val="94"/>
          <w:rFonts w:hint="eastAsia" w:ascii="宋体" w:hAnsi="宋体" w:eastAsia="宋体" w:cs="宋体"/>
          <w:sz w:val="24"/>
          <w:szCs w:val="24"/>
          <w:highlight w:val="none"/>
          <w:lang w:eastAsia="zh-CN"/>
        </w:rPr>
        <w:t>应</w:t>
      </w:r>
      <w:r>
        <w:rPr>
          <w:rStyle w:val="94"/>
          <w:rFonts w:hint="eastAsia" w:ascii="宋体" w:hAnsi="宋体" w:eastAsia="宋体" w:cs="宋体"/>
          <w:sz w:val="24"/>
          <w:szCs w:val="24"/>
          <w:highlight w:val="none"/>
        </w:rPr>
        <w:t>在西安市未央区凤城五路与明光路十字天朗经开中心10楼11002室获取采购文件，并于202</w:t>
      </w:r>
      <w:r>
        <w:rPr>
          <w:rStyle w:val="94"/>
          <w:rFonts w:hint="eastAsia" w:ascii="宋体" w:hAnsi="宋体" w:eastAsia="宋体" w:cs="宋体"/>
          <w:sz w:val="24"/>
          <w:szCs w:val="24"/>
          <w:highlight w:val="none"/>
          <w:lang w:val="en-US"/>
        </w:rPr>
        <w:t>2</w:t>
      </w:r>
      <w:r>
        <w:rPr>
          <w:rStyle w:val="94"/>
          <w:rFonts w:hint="eastAsia" w:ascii="宋体" w:hAnsi="宋体" w:eastAsia="宋体" w:cs="宋体"/>
          <w:sz w:val="24"/>
          <w:szCs w:val="24"/>
          <w:highlight w:val="none"/>
        </w:rPr>
        <w:t>年</w:t>
      </w:r>
      <w:r>
        <w:rPr>
          <w:rStyle w:val="94"/>
          <w:rFonts w:hint="eastAsia" w:ascii="宋体" w:hAnsi="宋体" w:cs="宋体"/>
          <w:sz w:val="24"/>
          <w:szCs w:val="24"/>
          <w:highlight w:val="none"/>
          <w:lang w:val="en-US"/>
        </w:rPr>
        <w:t>08</w:t>
      </w:r>
      <w:r>
        <w:rPr>
          <w:rStyle w:val="94"/>
          <w:rFonts w:hint="eastAsia" w:ascii="宋体" w:hAnsi="宋体" w:eastAsia="宋体" w:cs="宋体"/>
          <w:sz w:val="24"/>
          <w:szCs w:val="24"/>
          <w:highlight w:val="none"/>
        </w:rPr>
        <w:t>月</w:t>
      </w:r>
      <w:r>
        <w:rPr>
          <w:rStyle w:val="94"/>
          <w:rFonts w:hint="eastAsia" w:ascii="宋体" w:hAnsi="宋体" w:cs="宋体"/>
          <w:sz w:val="24"/>
          <w:szCs w:val="24"/>
          <w:highlight w:val="none"/>
          <w:lang w:val="en-US"/>
        </w:rPr>
        <w:t>03</w:t>
      </w:r>
      <w:r>
        <w:rPr>
          <w:rStyle w:val="94"/>
          <w:rFonts w:hint="eastAsia" w:ascii="宋体" w:hAnsi="宋体" w:eastAsia="宋体" w:cs="宋体"/>
          <w:sz w:val="24"/>
          <w:szCs w:val="24"/>
          <w:highlight w:val="none"/>
        </w:rPr>
        <w:t>日</w:t>
      </w:r>
      <w:r>
        <w:rPr>
          <w:rStyle w:val="94"/>
          <w:rFonts w:hint="eastAsia" w:ascii="宋体" w:hAnsi="宋体" w:cs="宋体"/>
          <w:sz w:val="24"/>
          <w:szCs w:val="24"/>
          <w:highlight w:val="none"/>
          <w:lang w:val="en-US"/>
        </w:rPr>
        <w:t>15</w:t>
      </w:r>
      <w:r>
        <w:rPr>
          <w:rStyle w:val="94"/>
          <w:rFonts w:hint="eastAsia" w:ascii="宋体" w:hAnsi="宋体" w:eastAsia="宋体" w:cs="宋体"/>
          <w:sz w:val="24"/>
          <w:szCs w:val="24"/>
          <w:highlight w:val="none"/>
        </w:rPr>
        <w:t>时</w:t>
      </w:r>
      <w:r>
        <w:rPr>
          <w:rStyle w:val="94"/>
          <w:rFonts w:hint="eastAsia" w:ascii="宋体" w:hAnsi="宋体" w:cs="宋体"/>
          <w:sz w:val="24"/>
          <w:szCs w:val="24"/>
          <w:highlight w:val="none"/>
          <w:lang w:val="en-US"/>
        </w:rPr>
        <w:t>00</w:t>
      </w:r>
      <w:r>
        <w:rPr>
          <w:rStyle w:val="94"/>
          <w:rFonts w:hint="eastAsia" w:ascii="宋体" w:hAnsi="宋体" w:eastAsia="宋体" w:cs="宋体"/>
          <w:sz w:val="24"/>
          <w:szCs w:val="24"/>
          <w:highlight w:val="none"/>
        </w:rPr>
        <w:t>分</w:t>
      </w:r>
      <w:r>
        <w:rPr>
          <w:rStyle w:val="94"/>
          <w:rFonts w:hint="eastAsia" w:ascii="宋体" w:hAnsi="宋体" w:eastAsia="宋体" w:cs="宋体"/>
          <w:b w:val="0"/>
          <w:i w:val="0"/>
          <w:caps w:val="0"/>
          <w:spacing w:val="0"/>
          <w:w w:val="100"/>
          <w:kern w:val="2"/>
          <w:sz w:val="24"/>
          <w:szCs w:val="24"/>
          <w:highlight w:val="none"/>
          <w:lang w:val="en-US" w:eastAsia="zh-CN" w:bidi="ar-SA"/>
        </w:rPr>
        <w:t>（北京时间）</w:t>
      </w:r>
      <w:r>
        <w:rPr>
          <w:rStyle w:val="94"/>
          <w:rFonts w:hint="eastAsia" w:ascii="宋体" w:hAnsi="宋体" w:eastAsia="宋体" w:cs="宋体"/>
          <w:sz w:val="24"/>
          <w:szCs w:val="24"/>
          <w:highlight w:val="none"/>
        </w:rPr>
        <w:t>前提交响应文件。</w:t>
      </w:r>
    </w:p>
    <w:p>
      <w:pPr>
        <w:keepNext w:val="0"/>
        <w:keepLines w:val="0"/>
        <w:pageBreakBefore w:val="0"/>
        <w:widowControl w:val="0"/>
        <w:kinsoku/>
        <w:wordWrap/>
        <w:overflowPunct/>
        <w:topLinePunct w:val="0"/>
        <w:autoSpaceDE/>
        <w:autoSpaceDN/>
        <w:bidi w:val="0"/>
        <w:adjustRightInd/>
        <w:snapToGrid w:val="0"/>
        <w:spacing w:before="157" w:beforeLines="50" w:line="480" w:lineRule="auto"/>
        <w:textAlignment w:val="baseline"/>
        <w:rPr>
          <w:rStyle w:val="94"/>
          <w:rFonts w:hint="eastAsia" w:ascii="宋体" w:hAnsi="宋体" w:eastAsia="宋体" w:cs="宋体"/>
          <w:b/>
          <w:bCs/>
          <w:sz w:val="24"/>
          <w:szCs w:val="24"/>
          <w:highlight w:val="none"/>
        </w:rPr>
      </w:pPr>
      <w:r>
        <w:rPr>
          <w:rStyle w:val="94"/>
          <w:rFonts w:hint="eastAsia" w:ascii="宋体" w:hAnsi="宋体" w:eastAsia="宋体" w:cs="宋体"/>
          <w:b/>
          <w:bCs/>
          <w:sz w:val="24"/>
          <w:szCs w:val="24"/>
          <w:highlight w:val="none"/>
        </w:rPr>
        <w:t>一、项目基本情况</w:t>
      </w:r>
    </w:p>
    <w:p>
      <w:pPr>
        <w:snapToGrid w:val="0"/>
        <w:spacing w:line="480" w:lineRule="auto"/>
        <w:ind w:firstLine="480" w:firstLineChars="200"/>
        <w:textAlignment w:val="baseline"/>
        <w:rPr>
          <w:rStyle w:val="94"/>
          <w:rFonts w:hint="default" w:ascii="宋体" w:hAnsi="宋体" w:eastAsia="宋体" w:cs="宋体"/>
          <w:sz w:val="24"/>
          <w:szCs w:val="24"/>
          <w:highlight w:val="none"/>
          <w:lang w:val="en-US"/>
        </w:rPr>
      </w:pPr>
      <w:r>
        <w:rPr>
          <w:rStyle w:val="94"/>
          <w:rFonts w:hint="eastAsia" w:ascii="宋体" w:hAnsi="宋体" w:eastAsia="宋体" w:cs="宋体"/>
          <w:sz w:val="24"/>
          <w:szCs w:val="24"/>
          <w:highlight w:val="none"/>
        </w:rPr>
        <w:t>项目编号：</w:t>
      </w:r>
      <w:r>
        <w:rPr>
          <w:rStyle w:val="94"/>
          <w:rFonts w:hint="eastAsia" w:ascii="宋体" w:hAnsi="宋体" w:cs="宋体"/>
          <w:sz w:val="24"/>
          <w:szCs w:val="24"/>
          <w:highlight w:val="none"/>
        </w:rPr>
        <w:t>SXJTZB-ZC-JT20220718</w:t>
      </w:r>
      <w:r>
        <w:rPr>
          <w:rStyle w:val="94"/>
          <w:rFonts w:hint="eastAsia" w:ascii="宋体" w:hAnsi="宋体" w:cs="宋体"/>
          <w:sz w:val="24"/>
          <w:szCs w:val="24"/>
          <w:highlight w:val="none"/>
          <w:lang w:val="en-US"/>
        </w:rPr>
        <w:t xml:space="preserve">   </w:t>
      </w:r>
    </w:p>
    <w:p>
      <w:pPr>
        <w:snapToGrid w:val="0"/>
        <w:spacing w:line="480" w:lineRule="auto"/>
        <w:ind w:firstLine="480" w:firstLineChars="200"/>
        <w:textAlignment w:val="baseline"/>
        <w:rPr>
          <w:rStyle w:val="94"/>
          <w:rFonts w:hint="eastAsia" w:ascii="宋体" w:hAnsi="宋体" w:eastAsia="宋体" w:cs="宋体"/>
          <w:sz w:val="24"/>
          <w:szCs w:val="24"/>
          <w:highlight w:val="none"/>
        </w:rPr>
      </w:pPr>
      <w:r>
        <w:rPr>
          <w:rStyle w:val="94"/>
          <w:rFonts w:hint="eastAsia" w:ascii="宋体" w:hAnsi="宋体" w:eastAsia="宋体" w:cs="宋体"/>
          <w:sz w:val="24"/>
          <w:szCs w:val="24"/>
          <w:highlight w:val="none"/>
        </w:rPr>
        <w:t>项目名称：</w:t>
      </w:r>
      <w:r>
        <w:rPr>
          <w:rStyle w:val="94"/>
          <w:rFonts w:hint="eastAsia" w:ascii="宋体" w:hAnsi="宋体" w:cs="宋体"/>
          <w:sz w:val="24"/>
          <w:szCs w:val="24"/>
          <w:highlight w:val="none"/>
        </w:rPr>
        <w:t>西安市第八十六中学化学吊装实验室项目</w:t>
      </w:r>
    </w:p>
    <w:p>
      <w:pPr>
        <w:snapToGrid w:val="0"/>
        <w:spacing w:line="480" w:lineRule="auto"/>
        <w:ind w:firstLine="480" w:firstLineChars="200"/>
        <w:textAlignment w:val="baseline"/>
        <w:rPr>
          <w:rFonts w:hint="eastAsia" w:ascii="宋体" w:hAnsi="宋体" w:eastAsia="宋体" w:cs="宋体"/>
          <w:i w:val="0"/>
          <w:caps w:val="0"/>
          <w:color w:val="auto"/>
          <w:spacing w:val="0"/>
          <w:sz w:val="24"/>
          <w:szCs w:val="24"/>
          <w:highlight w:val="none"/>
          <w:shd w:val="clear" w:color="auto" w:fill="FFFFFF"/>
          <w:lang w:eastAsia="zh-CN"/>
        </w:rPr>
      </w:pPr>
      <w:r>
        <w:rPr>
          <w:rFonts w:hint="eastAsia" w:ascii="宋体" w:hAnsi="宋体" w:eastAsia="宋体" w:cs="宋体"/>
          <w:i w:val="0"/>
          <w:caps w:val="0"/>
          <w:color w:val="auto"/>
          <w:spacing w:val="0"/>
          <w:sz w:val="24"/>
          <w:szCs w:val="24"/>
          <w:highlight w:val="none"/>
          <w:shd w:val="clear" w:color="auto" w:fill="FFFFFF"/>
          <w:lang w:eastAsia="zh-CN"/>
        </w:rPr>
        <w:t>采购方式：竞争性</w:t>
      </w:r>
      <w:r>
        <w:rPr>
          <w:rFonts w:hint="eastAsia" w:ascii="宋体" w:hAnsi="宋体" w:eastAsia="宋体" w:cs="宋体"/>
          <w:i w:val="0"/>
          <w:caps w:val="0"/>
          <w:color w:val="auto"/>
          <w:spacing w:val="0"/>
          <w:sz w:val="24"/>
          <w:szCs w:val="24"/>
          <w:highlight w:val="none"/>
          <w:shd w:val="clear" w:color="auto" w:fill="FFFFFF"/>
          <w:lang w:val="en-US" w:eastAsia="zh-CN"/>
        </w:rPr>
        <w:t>谈判</w:t>
      </w:r>
    </w:p>
    <w:p>
      <w:pPr>
        <w:snapToGrid w:val="0"/>
        <w:spacing w:line="480" w:lineRule="auto"/>
        <w:ind w:firstLine="480" w:firstLineChars="200"/>
        <w:textAlignment w:val="baseline"/>
        <w:rPr>
          <w:rStyle w:val="94"/>
          <w:rFonts w:hint="eastAsia" w:ascii="宋体" w:hAnsi="宋体" w:eastAsia="宋体" w:cs="宋体"/>
          <w:sz w:val="24"/>
          <w:szCs w:val="24"/>
          <w:highlight w:val="none"/>
        </w:rPr>
      </w:pPr>
      <w:r>
        <w:rPr>
          <w:rStyle w:val="94"/>
          <w:rFonts w:hint="eastAsia" w:ascii="宋体" w:hAnsi="宋体" w:eastAsia="宋体" w:cs="宋体"/>
          <w:sz w:val="24"/>
          <w:szCs w:val="24"/>
          <w:highlight w:val="none"/>
        </w:rPr>
        <w:t>预算金额：</w:t>
      </w:r>
      <w:r>
        <w:rPr>
          <w:rStyle w:val="94"/>
          <w:rFonts w:hint="eastAsia" w:ascii="宋体" w:hAnsi="宋体" w:cs="宋体"/>
          <w:sz w:val="24"/>
          <w:szCs w:val="24"/>
          <w:highlight w:val="none"/>
          <w:lang w:val="en-US"/>
        </w:rPr>
        <w:t>420000.00</w:t>
      </w:r>
      <w:r>
        <w:rPr>
          <w:rStyle w:val="94"/>
          <w:rFonts w:hint="eastAsia" w:ascii="宋体" w:hAnsi="宋体" w:eastAsia="宋体" w:cs="宋体"/>
          <w:sz w:val="24"/>
          <w:szCs w:val="24"/>
          <w:highlight w:val="none"/>
        </w:rPr>
        <w:t>元</w:t>
      </w:r>
    </w:p>
    <w:p>
      <w:pPr>
        <w:snapToGrid w:val="0"/>
        <w:spacing w:before="0" w:beforeAutospacing="0" w:after="0" w:afterAutospacing="0" w:line="480" w:lineRule="auto"/>
        <w:ind w:firstLine="480" w:firstLineChars="200"/>
        <w:jc w:val="left"/>
        <w:textAlignment w:val="baseline"/>
        <w:rPr>
          <w:rStyle w:val="94"/>
          <w:rFonts w:hint="eastAsia" w:ascii="宋体" w:hAnsi="宋体" w:eastAsia="宋体" w:cs="宋体"/>
          <w:b w:val="0"/>
          <w:i w:val="0"/>
          <w:caps w:val="0"/>
          <w:color w:val="000000"/>
          <w:spacing w:val="0"/>
          <w:w w:val="100"/>
          <w:kern w:val="0"/>
          <w:sz w:val="24"/>
          <w:szCs w:val="24"/>
          <w:highlight w:val="none"/>
          <w:lang w:val="en-US" w:eastAsia="zh-CN" w:bidi="ar-SA"/>
        </w:rPr>
      </w:pPr>
      <w:r>
        <w:rPr>
          <w:rStyle w:val="94"/>
          <w:rFonts w:hint="eastAsia" w:ascii="宋体" w:hAnsi="宋体" w:eastAsia="宋体" w:cs="宋体"/>
          <w:b w:val="0"/>
          <w:i w:val="0"/>
          <w:caps w:val="0"/>
          <w:color w:val="000000"/>
          <w:spacing w:val="0"/>
          <w:w w:val="100"/>
          <w:kern w:val="0"/>
          <w:sz w:val="24"/>
          <w:szCs w:val="24"/>
          <w:highlight w:val="none"/>
          <w:lang w:val="en-US" w:eastAsia="zh-CN" w:bidi="ar-SA"/>
        </w:rPr>
        <w:t>采购需求：</w:t>
      </w:r>
    </w:p>
    <w:p>
      <w:pPr>
        <w:snapToGrid w:val="0"/>
        <w:spacing w:before="0" w:beforeAutospacing="0" w:after="0" w:afterAutospacing="0" w:line="480" w:lineRule="auto"/>
        <w:ind w:firstLine="960" w:firstLineChars="400"/>
        <w:jc w:val="left"/>
        <w:textAlignment w:val="baseline"/>
        <w:rPr>
          <w:rStyle w:val="94"/>
          <w:rFonts w:hint="eastAsia" w:ascii="宋体" w:hAnsi="宋体" w:eastAsia="宋体" w:cs="宋体"/>
          <w:b w:val="0"/>
          <w:i w:val="0"/>
          <w:caps w:val="0"/>
          <w:color w:val="000000"/>
          <w:spacing w:val="0"/>
          <w:w w:val="100"/>
          <w:kern w:val="0"/>
          <w:sz w:val="24"/>
          <w:szCs w:val="24"/>
          <w:highlight w:val="none"/>
          <w:lang w:val="en-US" w:eastAsia="zh-CN" w:bidi="ar-SA"/>
        </w:rPr>
      </w:pPr>
      <w:r>
        <w:rPr>
          <w:rStyle w:val="94"/>
          <w:rFonts w:hint="eastAsia" w:ascii="宋体" w:hAnsi="宋体" w:eastAsia="宋体" w:cs="宋体"/>
          <w:b w:val="0"/>
          <w:i w:val="0"/>
          <w:caps w:val="0"/>
          <w:color w:val="000000"/>
          <w:spacing w:val="0"/>
          <w:w w:val="100"/>
          <w:kern w:val="0"/>
          <w:sz w:val="24"/>
          <w:szCs w:val="24"/>
          <w:highlight w:val="none"/>
          <w:lang w:val="en-US" w:eastAsia="zh-CN" w:bidi="ar-SA"/>
        </w:rPr>
        <w:t>合同包1（</w:t>
      </w:r>
      <w:r>
        <w:rPr>
          <w:rStyle w:val="94"/>
          <w:rFonts w:hint="eastAsia" w:ascii="宋体" w:hAnsi="宋体" w:cs="宋体"/>
          <w:b w:val="0"/>
          <w:i w:val="0"/>
          <w:caps w:val="0"/>
          <w:color w:val="000000"/>
          <w:spacing w:val="0"/>
          <w:w w:val="100"/>
          <w:kern w:val="0"/>
          <w:sz w:val="24"/>
          <w:szCs w:val="24"/>
          <w:highlight w:val="none"/>
          <w:lang w:val="en-US" w:eastAsia="zh-CN" w:bidi="ar-SA"/>
        </w:rPr>
        <w:t>西安市第八十六中学化学吊装实验室项目</w:t>
      </w:r>
      <w:r>
        <w:rPr>
          <w:rStyle w:val="94"/>
          <w:rFonts w:hint="eastAsia" w:ascii="宋体" w:hAnsi="宋体" w:eastAsia="宋体" w:cs="宋体"/>
          <w:b w:val="0"/>
          <w:i w:val="0"/>
          <w:caps w:val="0"/>
          <w:color w:val="000000"/>
          <w:spacing w:val="0"/>
          <w:w w:val="100"/>
          <w:kern w:val="0"/>
          <w:sz w:val="24"/>
          <w:szCs w:val="24"/>
          <w:highlight w:val="none"/>
          <w:lang w:val="en-US" w:eastAsia="zh-CN" w:bidi="ar-SA"/>
        </w:rPr>
        <w:t>）:</w:t>
      </w:r>
    </w:p>
    <w:p>
      <w:pPr>
        <w:snapToGrid w:val="0"/>
        <w:spacing w:before="0" w:beforeAutospacing="0" w:after="0" w:afterAutospacing="0" w:line="480" w:lineRule="auto"/>
        <w:ind w:firstLine="1200" w:firstLineChars="500"/>
        <w:jc w:val="left"/>
        <w:textAlignment w:val="baseline"/>
        <w:rPr>
          <w:rStyle w:val="94"/>
          <w:rFonts w:hint="eastAsia" w:ascii="宋体" w:hAnsi="宋体" w:eastAsia="宋体" w:cs="宋体"/>
          <w:b w:val="0"/>
          <w:i w:val="0"/>
          <w:caps w:val="0"/>
          <w:color w:val="000000"/>
          <w:spacing w:val="0"/>
          <w:w w:val="100"/>
          <w:kern w:val="0"/>
          <w:sz w:val="24"/>
          <w:szCs w:val="24"/>
          <w:highlight w:val="none"/>
          <w:lang w:val="en-US" w:eastAsia="zh-CN" w:bidi="ar-SA"/>
        </w:rPr>
      </w:pPr>
      <w:r>
        <w:rPr>
          <w:rStyle w:val="94"/>
          <w:rFonts w:hint="eastAsia" w:ascii="宋体" w:hAnsi="宋体" w:eastAsia="宋体" w:cs="宋体"/>
          <w:b w:val="0"/>
          <w:i w:val="0"/>
          <w:caps w:val="0"/>
          <w:color w:val="000000"/>
          <w:spacing w:val="0"/>
          <w:w w:val="100"/>
          <w:kern w:val="0"/>
          <w:sz w:val="24"/>
          <w:szCs w:val="24"/>
          <w:highlight w:val="none"/>
          <w:lang w:val="en-US" w:eastAsia="zh-CN" w:bidi="ar-SA"/>
        </w:rPr>
        <w:t>合同包预算金额：</w:t>
      </w:r>
      <w:r>
        <w:rPr>
          <w:rStyle w:val="94"/>
          <w:rFonts w:hint="eastAsia" w:ascii="宋体" w:hAnsi="宋体" w:cs="宋体"/>
          <w:sz w:val="24"/>
          <w:szCs w:val="24"/>
          <w:highlight w:val="none"/>
          <w:lang w:val="en-US"/>
        </w:rPr>
        <w:t>420000.00</w:t>
      </w:r>
      <w:r>
        <w:rPr>
          <w:rStyle w:val="94"/>
          <w:rFonts w:hint="eastAsia" w:ascii="宋体" w:hAnsi="宋体" w:eastAsia="宋体" w:cs="宋体"/>
          <w:b w:val="0"/>
          <w:i w:val="0"/>
          <w:caps w:val="0"/>
          <w:color w:val="000000"/>
          <w:spacing w:val="0"/>
          <w:w w:val="100"/>
          <w:kern w:val="0"/>
          <w:sz w:val="24"/>
          <w:szCs w:val="24"/>
          <w:highlight w:val="none"/>
          <w:lang w:val="en-US" w:eastAsia="zh-CN" w:bidi="ar-SA"/>
        </w:rPr>
        <w:t>元</w:t>
      </w:r>
    </w:p>
    <w:p>
      <w:pPr>
        <w:snapToGrid w:val="0"/>
        <w:spacing w:before="0" w:beforeAutospacing="0" w:after="0" w:afterAutospacing="0" w:line="480" w:lineRule="auto"/>
        <w:ind w:firstLine="1200" w:firstLineChars="500"/>
        <w:jc w:val="left"/>
        <w:textAlignment w:val="baseline"/>
        <w:rPr>
          <w:rStyle w:val="94"/>
          <w:rFonts w:hint="eastAsia" w:ascii="宋体" w:hAnsi="宋体" w:eastAsia="宋体" w:cs="宋体"/>
          <w:b w:val="0"/>
          <w:i w:val="0"/>
          <w:caps w:val="0"/>
          <w:color w:val="000000"/>
          <w:spacing w:val="0"/>
          <w:w w:val="100"/>
          <w:kern w:val="0"/>
          <w:sz w:val="24"/>
          <w:szCs w:val="24"/>
          <w:highlight w:val="none"/>
          <w:lang w:val="en-US" w:eastAsia="zh-CN" w:bidi="ar-SA"/>
        </w:rPr>
      </w:pPr>
      <w:r>
        <w:rPr>
          <w:rStyle w:val="94"/>
          <w:rFonts w:hint="eastAsia" w:ascii="宋体" w:hAnsi="宋体" w:eastAsia="宋体" w:cs="宋体"/>
          <w:b w:val="0"/>
          <w:i w:val="0"/>
          <w:caps w:val="0"/>
          <w:color w:val="000000"/>
          <w:spacing w:val="0"/>
          <w:w w:val="100"/>
          <w:kern w:val="0"/>
          <w:sz w:val="24"/>
          <w:szCs w:val="24"/>
          <w:highlight w:val="none"/>
          <w:lang w:val="en-US" w:eastAsia="zh-CN" w:bidi="ar-SA"/>
        </w:rPr>
        <w:t>合同包最高限价：</w:t>
      </w:r>
      <w:r>
        <w:rPr>
          <w:rStyle w:val="94"/>
          <w:rFonts w:hint="eastAsia" w:ascii="宋体" w:hAnsi="宋体" w:cs="宋体"/>
          <w:sz w:val="24"/>
          <w:szCs w:val="24"/>
          <w:highlight w:val="none"/>
          <w:lang w:val="en-US"/>
        </w:rPr>
        <w:t>420000.00</w:t>
      </w:r>
      <w:r>
        <w:rPr>
          <w:rStyle w:val="94"/>
          <w:rFonts w:hint="eastAsia" w:ascii="宋体" w:hAnsi="宋体" w:eastAsia="宋体" w:cs="宋体"/>
          <w:b w:val="0"/>
          <w:i w:val="0"/>
          <w:caps w:val="0"/>
          <w:color w:val="000000"/>
          <w:spacing w:val="0"/>
          <w:w w:val="100"/>
          <w:kern w:val="0"/>
          <w:sz w:val="24"/>
          <w:szCs w:val="24"/>
          <w:highlight w:val="none"/>
          <w:lang w:val="en-US" w:eastAsia="zh-CN" w:bidi="ar-SA"/>
        </w:rPr>
        <w:t>元</w:t>
      </w:r>
    </w:p>
    <w:tbl>
      <w:tblPr>
        <w:tblStyle w:val="28"/>
        <w:tblW w:w="98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86"/>
        <w:gridCol w:w="1446"/>
        <w:gridCol w:w="1947"/>
        <w:gridCol w:w="1022"/>
        <w:gridCol w:w="1674"/>
        <w:gridCol w:w="1420"/>
        <w:gridCol w:w="14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65" w:hRule="atLeast"/>
          <w:tblHeader/>
        </w:trPr>
        <w:tc>
          <w:tcPr>
            <w:tcW w:w="889"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textAlignment w:val="center"/>
              <w:rPr>
                <w:rFonts w:hint="eastAsia" w:ascii="宋体" w:hAnsi="宋体" w:eastAsia="宋体" w:cs="宋体"/>
                <w:b/>
                <w:bCs/>
                <w:i w:val="0"/>
                <w:iCs w:val="0"/>
                <w:caps w:val="0"/>
                <w:color w:val="333333"/>
                <w:spacing w:val="0"/>
                <w:sz w:val="24"/>
                <w:szCs w:val="24"/>
                <w:highlight w:val="none"/>
              </w:rPr>
            </w:pPr>
            <w:r>
              <w:rPr>
                <w:rFonts w:hint="eastAsia" w:ascii="宋体" w:hAnsi="宋体" w:eastAsia="宋体" w:cs="宋体"/>
                <w:b/>
                <w:bCs/>
                <w:i w:val="0"/>
                <w:iCs w:val="0"/>
                <w:caps w:val="0"/>
                <w:color w:val="333333"/>
                <w:spacing w:val="0"/>
                <w:kern w:val="0"/>
                <w:sz w:val="24"/>
                <w:szCs w:val="24"/>
                <w:highlight w:val="none"/>
                <w:lang w:val="en-US" w:eastAsia="zh-CN" w:bidi="ar"/>
              </w:rPr>
              <w:t>品目号</w:t>
            </w:r>
          </w:p>
        </w:tc>
        <w:tc>
          <w:tcPr>
            <w:tcW w:w="1452"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textAlignment w:val="center"/>
              <w:rPr>
                <w:rFonts w:hint="eastAsia" w:ascii="宋体" w:hAnsi="宋体" w:eastAsia="宋体" w:cs="宋体"/>
                <w:b/>
                <w:bCs/>
                <w:i w:val="0"/>
                <w:iCs w:val="0"/>
                <w:caps w:val="0"/>
                <w:color w:val="333333"/>
                <w:spacing w:val="0"/>
                <w:sz w:val="24"/>
                <w:szCs w:val="24"/>
                <w:highlight w:val="none"/>
              </w:rPr>
            </w:pPr>
            <w:r>
              <w:rPr>
                <w:rFonts w:hint="eastAsia" w:ascii="宋体" w:hAnsi="宋体" w:eastAsia="宋体" w:cs="宋体"/>
                <w:b/>
                <w:bCs/>
                <w:i w:val="0"/>
                <w:iCs w:val="0"/>
                <w:caps w:val="0"/>
                <w:color w:val="333333"/>
                <w:spacing w:val="0"/>
                <w:kern w:val="0"/>
                <w:sz w:val="24"/>
                <w:szCs w:val="24"/>
                <w:highlight w:val="none"/>
                <w:lang w:val="en-US" w:eastAsia="zh-CN" w:bidi="ar"/>
              </w:rPr>
              <w:t>品目名称</w:t>
            </w:r>
          </w:p>
        </w:tc>
        <w:tc>
          <w:tcPr>
            <w:tcW w:w="195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textAlignment w:val="center"/>
              <w:rPr>
                <w:rFonts w:hint="eastAsia" w:ascii="宋体" w:hAnsi="宋体" w:eastAsia="宋体" w:cs="宋体"/>
                <w:b/>
                <w:bCs/>
                <w:i w:val="0"/>
                <w:iCs w:val="0"/>
                <w:caps w:val="0"/>
                <w:color w:val="333333"/>
                <w:spacing w:val="0"/>
                <w:sz w:val="24"/>
                <w:szCs w:val="24"/>
                <w:highlight w:val="none"/>
              </w:rPr>
            </w:pPr>
            <w:r>
              <w:rPr>
                <w:rFonts w:hint="eastAsia" w:ascii="宋体" w:hAnsi="宋体" w:eastAsia="宋体" w:cs="宋体"/>
                <w:b/>
                <w:bCs/>
                <w:i w:val="0"/>
                <w:iCs w:val="0"/>
                <w:caps w:val="0"/>
                <w:color w:val="333333"/>
                <w:spacing w:val="0"/>
                <w:kern w:val="0"/>
                <w:sz w:val="24"/>
                <w:szCs w:val="24"/>
                <w:highlight w:val="none"/>
                <w:lang w:val="en-US" w:eastAsia="zh-CN" w:bidi="ar"/>
              </w:rPr>
              <w:t>采购标的</w:t>
            </w:r>
          </w:p>
        </w:tc>
        <w:tc>
          <w:tcPr>
            <w:tcW w:w="1024"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textAlignment w:val="center"/>
              <w:rPr>
                <w:rFonts w:hint="eastAsia" w:ascii="宋体" w:hAnsi="宋体" w:eastAsia="宋体" w:cs="宋体"/>
                <w:b/>
                <w:bCs/>
                <w:i w:val="0"/>
                <w:iCs w:val="0"/>
                <w:caps w:val="0"/>
                <w:color w:val="333333"/>
                <w:spacing w:val="0"/>
                <w:sz w:val="24"/>
                <w:szCs w:val="24"/>
                <w:highlight w:val="none"/>
              </w:rPr>
            </w:pPr>
            <w:r>
              <w:rPr>
                <w:rFonts w:hint="eastAsia" w:ascii="宋体" w:hAnsi="宋体" w:eastAsia="宋体" w:cs="宋体"/>
                <w:b/>
                <w:bCs/>
                <w:i w:val="0"/>
                <w:iCs w:val="0"/>
                <w:caps w:val="0"/>
                <w:color w:val="333333"/>
                <w:spacing w:val="0"/>
                <w:kern w:val="0"/>
                <w:sz w:val="24"/>
                <w:szCs w:val="24"/>
                <w:highlight w:val="none"/>
                <w:lang w:val="en-US" w:eastAsia="zh-CN" w:bidi="ar"/>
              </w:rPr>
              <w:t>数量（单位）</w:t>
            </w:r>
          </w:p>
        </w:tc>
        <w:tc>
          <w:tcPr>
            <w:tcW w:w="1652"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textAlignment w:val="center"/>
              <w:rPr>
                <w:rFonts w:hint="eastAsia" w:ascii="宋体" w:hAnsi="宋体" w:eastAsia="宋体" w:cs="宋体"/>
                <w:b/>
                <w:bCs/>
                <w:i w:val="0"/>
                <w:iCs w:val="0"/>
                <w:caps w:val="0"/>
                <w:color w:val="333333"/>
                <w:spacing w:val="0"/>
                <w:sz w:val="24"/>
                <w:szCs w:val="24"/>
                <w:highlight w:val="none"/>
              </w:rPr>
            </w:pPr>
            <w:r>
              <w:rPr>
                <w:rFonts w:hint="eastAsia" w:ascii="宋体" w:hAnsi="宋体" w:eastAsia="宋体" w:cs="宋体"/>
                <w:b/>
                <w:bCs/>
                <w:i w:val="0"/>
                <w:iCs w:val="0"/>
                <w:caps w:val="0"/>
                <w:color w:val="333333"/>
                <w:spacing w:val="0"/>
                <w:kern w:val="0"/>
                <w:sz w:val="24"/>
                <w:szCs w:val="24"/>
                <w:highlight w:val="none"/>
                <w:lang w:val="en-US" w:eastAsia="zh-CN" w:bidi="ar"/>
              </w:rPr>
              <w:t>技术规格、参数及要求</w:t>
            </w:r>
          </w:p>
        </w:tc>
        <w:tc>
          <w:tcPr>
            <w:tcW w:w="142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textAlignment w:val="center"/>
              <w:rPr>
                <w:rFonts w:hint="eastAsia" w:ascii="宋体" w:hAnsi="宋体" w:eastAsia="宋体" w:cs="宋体"/>
                <w:b/>
                <w:bCs/>
                <w:i w:val="0"/>
                <w:iCs w:val="0"/>
                <w:caps w:val="0"/>
                <w:color w:val="333333"/>
                <w:spacing w:val="0"/>
                <w:sz w:val="24"/>
                <w:szCs w:val="24"/>
                <w:highlight w:val="none"/>
              </w:rPr>
            </w:pPr>
            <w:r>
              <w:rPr>
                <w:rFonts w:hint="eastAsia" w:ascii="宋体" w:hAnsi="宋体" w:eastAsia="宋体" w:cs="宋体"/>
                <w:b/>
                <w:bCs/>
                <w:i w:val="0"/>
                <w:iCs w:val="0"/>
                <w:caps w:val="0"/>
                <w:color w:val="333333"/>
                <w:spacing w:val="0"/>
                <w:kern w:val="0"/>
                <w:sz w:val="24"/>
                <w:szCs w:val="24"/>
                <w:highlight w:val="none"/>
                <w:lang w:val="en-US" w:eastAsia="zh-CN" w:bidi="ar"/>
              </w:rPr>
              <w:t>品目预算(元)</w:t>
            </w:r>
          </w:p>
        </w:tc>
        <w:tc>
          <w:tcPr>
            <w:tcW w:w="142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textAlignment w:val="center"/>
              <w:rPr>
                <w:rFonts w:hint="eastAsia" w:ascii="宋体" w:hAnsi="宋体" w:eastAsia="宋体" w:cs="宋体"/>
                <w:b/>
                <w:bCs/>
                <w:i w:val="0"/>
                <w:iCs w:val="0"/>
                <w:caps w:val="0"/>
                <w:color w:val="333333"/>
                <w:spacing w:val="0"/>
                <w:sz w:val="24"/>
                <w:szCs w:val="24"/>
                <w:highlight w:val="none"/>
              </w:rPr>
            </w:pPr>
            <w:r>
              <w:rPr>
                <w:rFonts w:hint="eastAsia" w:ascii="宋体" w:hAnsi="宋体" w:eastAsia="宋体" w:cs="宋体"/>
                <w:b/>
                <w:bCs/>
                <w:i w:val="0"/>
                <w:iCs w:val="0"/>
                <w:caps w:val="0"/>
                <w:color w:val="333333"/>
                <w:spacing w:val="0"/>
                <w:kern w:val="0"/>
                <w:sz w:val="24"/>
                <w:szCs w:val="24"/>
                <w:highlight w:val="none"/>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atLeast"/>
        </w:trPr>
        <w:tc>
          <w:tcPr>
            <w:tcW w:w="889"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textAlignment w:val="center"/>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1-1</w:t>
            </w:r>
          </w:p>
        </w:tc>
        <w:tc>
          <w:tcPr>
            <w:tcW w:w="1452"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textAlignment w:val="center"/>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rPr>
              <w:t>教学专用仪器</w:t>
            </w:r>
          </w:p>
        </w:tc>
        <w:tc>
          <w:tcPr>
            <w:tcW w:w="195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textAlignment w:val="center"/>
              <w:rPr>
                <w:rFonts w:hint="eastAsia" w:ascii="宋体" w:hAnsi="宋体" w:eastAsia="宋体" w:cs="宋体"/>
                <w:i w:val="0"/>
                <w:iCs w:val="0"/>
                <w:caps w:val="0"/>
                <w:color w:val="333333"/>
                <w:spacing w:val="0"/>
                <w:sz w:val="24"/>
                <w:szCs w:val="24"/>
                <w:highlight w:val="none"/>
                <w:lang w:eastAsia="zh-CN"/>
              </w:rPr>
            </w:pPr>
            <w:r>
              <w:rPr>
                <w:rFonts w:hint="eastAsia" w:ascii="宋体" w:hAnsi="宋体" w:eastAsia="宋体" w:cs="宋体"/>
                <w:i w:val="0"/>
                <w:iCs w:val="0"/>
                <w:caps w:val="0"/>
                <w:color w:val="333333"/>
                <w:spacing w:val="0"/>
                <w:sz w:val="24"/>
                <w:szCs w:val="24"/>
                <w:highlight w:val="none"/>
                <w:lang w:eastAsia="zh-CN"/>
              </w:rPr>
              <w:t>化学仪器设备</w:t>
            </w:r>
          </w:p>
        </w:tc>
        <w:tc>
          <w:tcPr>
            <w:tcW w:w="1024"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textAlignment w:val="center"/>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1(</w:t>
            </w:r>
            <w:r>
              <w:rPr>
                <w:rFonts w:hint="eastAsia" w:ascii="宋体" w:hAnsi="宋体" w:cs="宋体"/>
                <w:i w:val="0"/>
                <w:iCs w:val="0"/>
                <w:caps w:val="0"/>
                <w:color w:val="333333"/>
                <w:spacing w:val="0"/>
                <w:kern w:val="0"/>
                <w:sz w:val="24"/>
                <w:szCs w:val="24"/>
                <w:highlight w:val="none"/>
                <w:lang w:val="en-US" w:eastAsia="zh-CN" w:bidi="ar"/>
              </w:rPr>
              <w:t>批</w:t>
            </w:r>
            <w:r>
              <w:rPr>
                <w:rFonts w:hint="eastAsia" w:ascii="宋体" w:hAnsi="宋体" w:eastAsia="宋体" w:cs="宋体"/>
                <w:i w:val="0"/>
                <w:iCs w:val="0"/>
                <w:caps w:val="0"/>
                <w:color w:val="333333"/>
                <w:spacing w:val="0"/>
                <w:kern w:val="0"/>
                <w:sz w:val="24"/>
                <w:szCs w:val="24"/>
                <w:highlight w:val="none"/>
                <w:lang w:val="en-US" w:eastAsia="zh-CN" w:bidi="ar"/>
              </w:rPr>
              <w:t>)</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firstLine="0"/>
              <w:jc w:val="center"/>
              <w:textAlignment w:val="center"/>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firstLine="0"/>
              <w:jc w:val="right"/>
              <w:textAlignment w:val="center"/>
              <w:rPr>
                <w:rFonts w:hint="eastAsia" w:ascii="宋体" w:hAnsi="宋体" w:eastAsia="宋体" w:cs="宋体"/>
                <w:i w:val="0"/>
                <w:iCs w:val="0"/>
                <w:caps w:val="0"/>
                <w:color w:val="333333"/>
                <w:spacing w:val="0"/>
                <w:sz w:val="24"/>
                <w:szCs w:val="24"/>
                <w:highlight w:val="none"/>
              </w:rPr>
            </w:pPr>
            <w:r>
              <w:rPr>
                <w:rStyle w:val="94"/>
                <w:rFonts w:hint="eastAsia" w:ascii="宋体" w:hAnsi="宋体" w:cs="宋体"/>
                <w:sz w:val="24"/>
                <w:szCs w:val="24"/>
                <w:highlight w:val="none"/>
                <w:lang w:val="en-US"/>
              </w:rPr>
              <w:t>420000.00</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firstLine="0"/>
              <w:jc w:val="right"/>
              <w:textAlignment w:val="center"/>
              <w:rPr>
                <w:rFonts w:hint="eastAsia" w:ascii="宋体" w:hAnsi="宋体" w:eastAsia="宋体" w:cs="宋体"/>
                <w:i w:val="0"/>
                <w:iCs w:val="0"/>
                <w:caps w:val="0"/>
                <w:color w:val="333333"/>
                <w:spacing w:val="0"/>
                <w:sz w:val="24"/>
                <w:szCs w:val="24"/>
                <w:highlight w:val="none"/>
              </w:rPr>
            </w:pPr>
            <w:r>
              <w:rPr>
                <w:rStyle w:val="94"/>
                <w:rFonts w:hint="eastAsia" w:ascii="宋体" w:hAnsi="宋体" w:cs="宋体"/>
                <w:sz w:val="24"/>
                <w:szCs w:val="24"/>
                <w:highlight w:val="none"/>
                <w:lang w:val="en-US"/>
              </w:rPr>
              <w:t>420000.00</w:t>
            </w:r>
          </w:p>
        </w:tc>
      </w:tr>
    </w:tbl>
    <w:p>
      <w:pPr>
        <w:keepNext w:val="0"/>
        <w:keepLines w:val="0"/>
        <w:pageBreakBefore w:val="0"/>
        <w:widowControl w:val="0"/>
        <w:kinsoku/>
        <w:wordWrap/>
        <w:overflowPunct/>
        <w:topLinePunct w:val="0"/>
        <w:autoSpaceDE/>
        <w:autoSpaceDN/>
        <w:bidi w:val="0"/>
        <w:adjustRightInd/>
        <w:snapToGrid w:val="0"/>
        <w:spacing w:before="157" w:beforeLines="50" w:line="480" w:lineRule="auto"/>
        <w:ind w:firstLine="480" w:firstLineChars="200"/>
        <w:jc w:val="left"/>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本合同包不接受联合体投标</w:t>
      </w:r>
    </w:p>
    <w:p>
      <w:pPr>
        <w:snapToGrid w:val="0"/>
        <w:spacing w:line="480" w:lineRule="auto"/>
        <w:ind w:firstLine="480" w:firstLineChars="200"/>
        <w:jc w:val="left"/>
        <w:textAlignment w:val="baseline"/>
        <w:rPr>
          <w:rStyle w:val="94"/>
          <w:rFonts w:hint="eastAsia" w:ascii="宋体" w:hAnsi="宋体" w:eastAsia="宋体" w:cs="宋体"/>
          <w:color w:val="000000"/>
          <w:kern w:val="0"/>
          <w:sz w:val="24"/>
          <w:szCs w:val="24"/>
          <w:highlight w:val="none"/>
        </w:rPr>
      </w:pPr>
      <w:r>
        <w:rPr>
          <w:rStyle w:val="94"/>
          <w:rFonts w:hint="eastAsia" w:ascii="宋体" w:hAnsi="宋体" w:eastAsia="宋体" w:cs="宋体"/>
          <w:color w:val="000000"/>
          <w:kern w:val="0"/>
          <w:sz w:val="24"/>
          <w:szCs w:val="24"/>
          <w:highlight w:val="none"/>
        </w:rPr>
        <w:t>合同履行期限：</w:t>
      </w:r>
      <w:r>
        <w:rPr>
          <w:rStyle w:val="94"/>
          <w:rFonts w:hint="eastAsia" w:ascii="宋体" w:hAnsi="宋体" w:cs="宋体"/>
          <w:color w:val="000000"/>
          <w:kern w:val="0"/>
          <w:sz w:val="24"/>
          <w:szCs w:val="24"/>
          <w:highlight w:val="none"/>
          <w:lang w:val="en-US"/>
        </w:rPr>
        <w:t>25个日历日</w:t>
      </w:r>
      <w:r>
        <w:rPr>
          <w:rStyle w:val="94"/>
          <w:rFonts w:hint="eastAsia" w:ascii="宋体" w:hAnsi="宋体" w:eastAsia="宋体" w:cs="宋体"/>
          <w:color w:val="000000"/>
          <w:kern w:val="0"/>
          <w:sz w:val="24"/>
          <w:szCs w:val="24"/>
          <w:highlight w:val="none"/>
        </w:rPr>
        <w:t>。</w:t>
      </w:r>
    </w:p>
    <w:p>
      <w:pPr>
        <w:snapToGrid w:val="0"/>
        <w:spacing w:line="480" w:lineRule="auto"/>
        <w:jc w:val="left"/>
        <w:textAlignment w:val="baseline"/>
        <w:rPr>
          <w:rStyle w:val="94"/>
          <w:rFonts w:hint="eastAsia" w:ascii="宋体" w:hAnsi="宋体" w:eastAsia="宋体" w:cs="宋体"/>
          <w:b/>
          <w:bCs/>
          <w:color w:val="000000"/>
          <w:kern w:val="0"/>
          <w:sz w:val="24"/>
          <w:szCs w:val="24"/>
          <w:highlight w:val="none"/>
        </w:rPr>
      </w:pPr>
      <w:r>
        <w:rPr>
          <w:rStyle w:val="94"/>
          <w:rFonts w:hint="eastAsia" w:ascii="宋体" w:hAnsi="宋体" w:eastAsia="宋体" w:cs="宋体"/>
          <w:b/>
          <w:bCs/>
          <w:color w:val="000000"/>
          <w:kern w:val="0"/>
          <w:sz w:val="24"/>
          <w:szCs w:val="24"/>
          <w:highlight w:val="none"/>
        </w:rPr>
        <w:t>二、</w:t>
      </w:r>
      <w:r>
        <w:rPr>
          <w:rStyle w:val="31"/>
          <w:rFonts w:hint="eastAsia" w:ascii="宋体" w:hAnsi="宋体" w:eastAsia="宋体" w:cs="宋体"/>
          <w:b/>
          <w:bCs/>
          <w:i w:val="0"/>
          <w:iCs w:val="0"/>
          <w:caps w:val="0"/>
          <w:color w:val="auto"/>
          <w:spacing w:val="0"/>
          <w:sz w:val="24"/>
          <w:szCs w:val="24"/>
          <w:highlight w:val="none"/>
        </w:rPr>
        <w:t>申请人的资格要求：</w:t>
      </w:r>
    </w:p>
    <w:p>
      <w:pPr>
        <w:snapToGrid w:val="0"/>
        <w:spacing w:line="480" w:lineRule="auto"/>
        <w:ind w:firstLine="480" w:firstLineChars="200"/>
        <w:jc w:val="left"/>
        <w:textAlignment w:val="baseline"/>
        <w:rPr>
          <w:rStyle w:val="94"/>
          <w:rFonts w:hint="eastAsia" w:ascii="宋体" w:hAnsi="宋体" w:eastAsia="宋体" w:cs="宋体"/>
          <w:color w:val="000000"/>
          <w:kern w:val="0"/>
          <w:sz w:val="24"/>
          <w:szCs w:val="24"/>
          <w:highlight w:val="none"/>
        </w:rPr>
      </w:pPr>
      <w:r>
        <w:rPr>
          <w:rStyle w:val="94"/>
          <w:rFonts w:hint="eastAsia" w:ascii="宋体" w:hAnsi="宋体" w:eastAsia="宋体" w:cs="宋体"/>
          <w:color w:val="000000"/>
          <w:kern w:val="0"/>
          <w:sz w:val="24"/>
          <w:szCs w:val="24"/>
          <w:highlight w:val="none"/>
        </w:rPr>
        <w:t>1、满足《中华人民共和国政府采购法》第二十二条规定</w:t>
      </w:r>
    </w:p>
    <w:p>
      <w:pPr>
        <w:snapToGrid w:val="0"/>
        <w:spacing w:line="480" w:lineRule="auto"/>
        <w:ind w:firstLine="480" w:firstLineChars="200"/>
        <w:textAlignment w:val="baseline"/>
        <w:rPr>
          <w:rStyle w:val="94"/>
          <w:rFonts w:hint="eastAsia" w:ascii="宋体" w:hAnsi="宋体" w:eastAsia="宋体" w:cs="宋体"/>
          <w:color w:val="000000"/>
          <w:kern w:val="0"/>
          <w:sz w:val="24"/>
          <w:szCs w:val="24"/>
          <w:highlight w:val="none"/>
        </w:rPr>
      </w:pPr>
      <w:r>
        <w:rPr>
          <w:rStyle w:val="94"/>
          <w:rFonts w:hint="eastAsia" w:ascii="宋体" w:hAnsi="宋体" w:eastAsia="宋体" w:cs="宋体"/>
          <w:color w:val="000000"/>
          <w:kern w:val="0"/>
          <w:sz w:val="24"/>
          <w:szCs w:val="24"/>
          <w:highlight w:val="none"/>
        </w:rPr>
        <w:t>2、落实政府采购政策需满足的资格要求：</w:t>
      </w:r>
    </w:p>
    <w:p>
      <w:pPr>
        <w:snapToGrid w:val="0"/>
        <w:spacing w:line="480" w:lineRule="auto"/>
        <w:ind w:firstLine="480" w:firstLineChars="200"/>
        <w:textAlignment w:val="baseline"/>
        <w:rPr>
          <w:rStyle w:val="94"/>
          <w:rFonts w:hint="eastAsia" w:ascii="宋体" w:hAnsi="宋体" w:eastAsia="宋体" w:cs="宋体"/>
          <w:b w:val="0"/>
          <w:i w:val="0"/>
          <w:caps w:val="0"/>
          <w:color w:val="000000"/>
          <w:spacing w:val="0"/>
          <w:w w:val="100"/>
          <w:kern w:val="0"/>
          <w:sz w:val="24"/>
          <w:szCs w:val="24"/>
          <w:highlight w:val="none"/>
          <w:lang w:val="en-US" w:eastAsia="zh-CN" w:bidi="ar-SA"/>
        </w:rPr>
      </w:pPr>
      <w:r>
        <w:rPr>
          <w:rStyle w:val="94"/>
          <w:rFonts w:hint="eastAsia" w:ascii="宋体" w:hAnsi="宋体" w:eastAsia="宋体" w:cs="宋体"/>
          <w:b w:val="0"/>
          <w:i w:val="0"/>
          <w:caps w:val="0"/>
          <w:color w:val="000000"/>
          <w:spacing w:val="0"/>
          <w:w w:val="100"/>
          <w:kern w:val="0"/>
          <w:sz w:val="24"/>
          <w:szCs w:val="24"/>
          <w:highlight w:val="none"/>
          <w:lang w:val="en-US" w:eastAsia="zh-CN" w:bidi="ar-SA"/>
        </w:rPr>
        <w:t>合同包1（</w:t>
      </w:r>
      <w:r>
        <w:rPr>
          <w:rStyle w:val="94"/>
          <w:rFonts w:hint="eastAsia" w:ascii="宋体" w:hAnsi="宋体" w:cs="宋体"/>
          <w:b w:val="0"/>
          <w:i w:val="0"/>
          <w:caps w:val="0"/>
          <w:color w:val="000000"/>
          <w:spacing w:val="0"/>
          <w:w w:val="100"/>
          <w:kern w:val="0"/>
          <w:sz w:val="24"/>
          <w:szCs w:val="24"/>
          <w:highlight w:val="none"/>
          <w:lang w:val="en-US" w:eastAsia="zh-CN" w:bidi="ar-SA"/>
        </w:rPr>
        <w:t>西安市第八十六中学化学吊装实验室项目</w:t>
      </w:r>
      <w:r>
        <w:rPr>
          <w:rStyle w:val="94"/>
          <w:rFonts w:hint="eastAsia" w:ascii="宋体" w:hAnsi="宋体" w:eastAsia="宋体" w:cs="宋体"/>
          <w:b w:val="0"/>
          <w:i w:val="0"/>
          <w:caps w:val="0"/>
          <w:color w:val="000000"/>
          <w:spacing w:val="0"/>
          <w:w w:val="100"/>
          <w:kern w:val="0"/>
          <w:sz w:val="24"/>
          <w:szCs w:val="24"/>
          <w:highlight w:val="none"/>
          <w:lang w:val="en-US" w:eastAsia="zh-CN" w:bidi="ar-SA"/>
        </w:rPr>
        <w:t>）落实政府采购政策需满足的资格要求如下:</w:t>
      </w:r>
    </w:p>
    <w:p>
      <w:pPr>
        <w:snapToGrid w:val="0"/>
        <w:spacing w:line="480" w:lineRule="auto"/>
        <w:ind w:firstLine="480" w:firstLineChars="200"/>
        <w:textAlignment w:val="baseline"/>
        <w:rPr>
          <w:rStyle w:val="94"/>
          <w:rFonts w:hint="eastAsia" w:ascii="宋体" w:hAnsi="宋体" w:eastAsia="宋体" w:cs="宋体"/>
          <w:color w:val="000000"/>
          <w:kern w:val="0"/>
          <w:sz w:val="24"/>
          <w:szCs w:val="24"/>
          <w:highlight w:val="none"/>
        </w:rPr>
      </w:pPr>
      <w:r>
        <w:rPr>
          <w:rStyle w:val="94"/>
          <w:rFonts w:hint="eastAsia" w:ascii="宋体" w:hAnsi="宋体" w:cs="宋体"/>
          <w:color w:val="000000"/>
          <w:kern w:val="0"/>
          <w:sz w:val="24"/>
          <w:szCs w:val="24"/>
          <w:highlight w:val="none"/>
        </w:rPr>
        <w:t>本项目专门面向中小企业采购（残疾人福利性单位及监狱企业视同小型、微型企业）（提供声明函）。</w:t>
      </w:r>
    </w:p>
    <w:p>
      <w:pPr>
        <w:numPr>
          <w:ilvl w:val="0"/>
          <w:numId w:val="1"/>
        </w:numPr>
        <w:snapToGrid w:val="0"/>
        <w:spacing w:line="480" w:lineRule="auto"/>
        <w:ind w:firstLine="480" w:firstLineChars="200"/>
        <w:textAlignment w:val="baseline"/>
        <w:rPr>
          <w:rStyle w:val="94"/>
          <w:rFonts w:hint="eastAsia" w:ascii="宋体" w:hAnsi="宋体" w:eastAsia="宋体" w:cs="宋体"/>
          <w:color w:val="000000"/>
          <w:kern w:val="0"/>
          <w:sz w:val="24"/>
          <w:szCs w:val="24"/>
          <w:highlight w:val="none"/>
        </w:rPr>
      </w:pPr>
      <w:r>
        <w:rPr>
          <w:rStyle w:val="94"/>
          <w:rFonts w:hint="eastAsia" w:ascii="宋体" w:hAnsi="宋体" w:eastAsia="宋体" w:cs="宋体"/>
          <w:color w:val="000000"/>
          <w:kern w:val="0"/>
          <w:sz w:val="24"/>
          <w:szCs w:val="24"/>
          <w:highlight w:val="none"/>
        </w:rPr>
        <w:t>本项目的特定资格要求：</w:t>
      </w:r>
    </w:p>
    <w:p>
      <w:pPr>
        <w:snapToGrid w:val="0"/>
        <w:spacing w:line="480" w:lineRule="auto"/>
        <w:ind w:firstLine="480" w:firstLineChars="200"/>
        <w:textAlignment w:val="baseline"/>
        <w:rPr>
          <w:rStyle w:val="94"/>
          <w:rFonts w:hint="eastAsia" w:ascii="宋体" w:hAnsi="宋体" w:eastAsia="宋体" w:cs="宋体"/>
          <w:b w:val="0"/>
          <w:i w:val="0"/>
          <w:caps w:val="0"/>
          <w:color w:val="000000"/>
          <w:spacing w:val="0"/>
          <w:w w:val="100"/>
          <w:kern w:val="0"/>
          <w:sz w:val="24"/>
          <w:szCs w:val="24"/>
          <w:highlight w:val="none"/>
          <w:lang w:val="en-US" w:eastAsia="zh-CN" w:bidi="ar-SA"/>
        </w:rPr>
      </w:pPr>
      <w:r>
        <w:rPr>
          <w:rStyle w:val="94"/>
          <w:rFonts w:hint="eastAsia" w:ascii="宋体" w:hAnsi="宋体" w:eastAsia="宋体" w:cs="宋体"/>
          <w:b w:val="0"/>
          <w:i w:val="0"/>
          <w:caps w:val="0"/>
          <w:color w:val="000000"/>
          <w:spacing w:val="0"/>
          <w:w w:val="100"/>
          <w:kern w:val="0"/>
          <w:sz w:val="24"/>
          <w:szCs w:val="24"/>
          <w:highlight w:val="none"/>
          <w:lang w:val="en-US" w:eastAsia="zh-CN" w:bidi="ar-SA"/>
        </w:rPr>
        <w:t>合同包1（</w:t>
      </w:r>
      <w:r>
        <w:rPr>
          <w:rStyle w:val="94"/>
          <w:rFonts w:hint="eastAsia" w:ascii="宋体" w:hAnsi="宋体" w:cs="宋体"/>
          <w:b w:val="0"/>
          <w:i w:val="0"/>
          <w:caps w:val="0"/>
          <w:color w:val="000000"/>
          <w:spacing w:val="0"/>
          <w:w w:val="100"/>
          <w:kern w:val="0"/>
          <w:sz w:val="24"/>
          <w:szCs w:val="24"/>
          <w:highlight w:val="none"/>
          <w:lang w:val="en-US" w:eastAsia="zh-CN" w:bidi="ar-SA"/>
        </w:rPr>
        <w:t>西安市第八十六中学化学吊装实验室项目</w:t>
      </w:r>
      <w:r>
        <w:rPr>
          <w:rStyle w:val="94"/>
          <w:rFonts w:hint="eastAsia" w:ascii="宋体" w:hAnsi="宋体" w:eastAsia="宋体" w:cs="宋体"/>
          <w:b w:val="0"/>
          <w:i w:val="0"/>
          <w:caps w:val="0"/>
          <w:color w:val="000000"/>
          <w:spacing w:val="0"/>
          <w:w w:val="100"/>
          <w:kern w:val="0"/>
          <w:sz w:val="24"/>
          <w:szCs w:val="24"/>
          <w:highlight w:val="none"/>
          <w:lang w:val="en-US" w:eastAsia="zh-CN" w:bidi="ar-SA"/>
        </w:rPr>
        <w:t>）特定资格要求如下:</w:t>
      </w:r>
    </w:p>
    <w:p>
      <w:pPr>
        <w:snapToGrid w:val="0"/>
        <w:spacing w:line="480" w:lineRule="auto"/>
        <w:ind w:firstLine="480" w:firstLineChars="200"/>
        <w:textAlignment w:val="baseline"/>
        <w:rPr>
          <w:rStyle w:val="94"/>
          <w:rFonts w:hint="eastAsia" w:ascii="宋体" w:hAnsi="宋体" w:eastAsia="宋体" w:cs="宋体"/>
          <w:color w:val="000000"/>
          <w:kern w:val="0"/>
          <w:sz w:val="24"/>
          <w:szCs w:val="24"/>
          <w:highlight w:val="none"/>
        </w:rPr>
      </w:pPr>
      <w:r>
        <w:rPr>
          <w:rStyle w:val="94"/>
          <w:rFonts w:hint="eastAsia" w:ascii="宋体" w:hAnsi="宋体" w:eastAsia="宋体" w:cs="宋体"/>
          <w:color w:val="000000"/>
          <w:kern w:val="0"/>
          <w:sz w:val="24"/>
          <w:szCs w:val="24"/>
          <w:highlight w:val="none"/>
        </w:rPr>
        <w:t>①法定代表人授权书（附法定代表人、被授权人身份证复印件）及被授权人身份证（法定代表人直接参加</w:t>
      </w:r>
      <w:r>
        <w:rPr>
          <w:rStyle w:val="94"/>
          <w:rFonts w:hint="eastAsia" w:ascii="宋体" w:hAnsi="宋体" w:eastAsia="宋体" w:cs="宋体"/>
          <w:color w:val="000000"/>
          <w:kern w:val="0"/>
          <w:sz w:val="24"/>
          <w:szCs w:val="24"/>
          <w:highlight w:val="none"/>
          <w:lang w:val="en-US"/>
        </w:rPr>
        <w:t>谈判活动</w:t>
      </w:r>
      <w:r>
        <w:rPr>
          <w:rStyle w:val="94"/>
          <w:rFonts w:hint="eastAsia" w:ascii="宋体" w:hAnsi="宋体" w:eastAsia="宋体" w:cs="宋体"/>
          <w:color w:val="000000"/>
          <w:kern w:val="0"/>
          <w:sz w:val="24"/>
          <w:szCs w:val="24"/>
          <w:highlight w:val="none"/>
        </w:rPr>
        <w:t>，须提供法定代表人身份证明及身份证原件）；②本项目不接受联合体</w:t>
      </w:r>
      <w:r>
        <w:rPr>
          <w:rStyle w:val="94"/>
          <w:rFonts w:hint="eastAsia" w:ascii="宋体" w:hAnsi="宋体" w:eastAsia="宋体" w:cs="宋体"/>
          <w:color w:val="000000"/>
          <w:kern w:val="0"/>
          <w:sz w:val="24"/>
          <w:szCs w:val="24"/>
          <w:highlight w:val="none"/>
          <w:lang w:val="en-US"/>
        </w:rPr>
        <w:t>谈判</w:t>
      </w:r>
      <w:r>
        <w:rPr>
          <w:rStyle w:val="94"/>
          <w:rFonts w:hint="eastAsia" w:ascii="宋体" w:hAnsi="宋体" w:eastAsia="宋体" w:cs="宋体"/>
          <w:color w:val="000000"/>
          <w:kern w:val="0"/>
          <w:sz w:val="24"/>
          <w:szCs w:val="24"/>
          <w:highlight w:val="none"/>
        </w:rPr>
        <w:t>（提供书面声明）。</w:t>
      </w:r>
    </w:p>
    <w:p>
      <w:pPr>
        <w:snapToGrid w:val="0"/>
        <w:spacing w:line="480" w:lineRule="auto"/>
        <w:jc w:val="left"/>
        <w:textAlignment w:val="baseline"/>
        <w:rPr>
          <w:rStyle w:val="94"/>
          <w:rFonts w:hint="eastAsia" w:ascii="宋体" w:hAnsi="宋体" w:eastAsia="宋体" w:cs="宋体"/>
          <w:b/>
          <w:bCs/>
          <w:color w:val="000000"/>
          <w:kern w:val="0"/>
          <w:sz w:val="24"/>
          <w:szCs w:val="24"/>
          <w:highlight w:val="none"/>
        </w:rPr>
      </w:pPr>
      <w:r>
        <w:rPr>
          <w:rStyle w:val="94"/>
          <w:rFonts w:hint="eastAsia" w:ascii="宋体" w:hAnsi="宋体" w:eastAsia="宋体" w:cs="宋体"/>
          <w:b/>
          <w:bCs/>
          <w:color w:val="000000"/>
          <w:kern w:val="0"/>
          <w:sz w:val="24"/>
          <w:szCs w:val="24"/>
          <w:highlight w:val="none"/>
        </w:rPr>
        <w:t>三、</w:t>
      </w:r>
      <w:r>
        <w:rPr>
          <w:rStyle w:val="31"/>
          <w:rFonts w:hint="eastAsia" w:ascii="宋体" w:hAnsi="宋体" w:eastAsia="宋体" w:cs="宋体"/>
          <w:b/>
          <w:bCs/>
          <w:i w:val="0"/>
          <w:iCs w:val="0"/>
          <w:caps w:val="0"/>
          <w:color w:val="auto"/>
          <w:spacing w:val="0"/>
          <w:sz w:val="24"/>
          <w:szCs w:val="24"/>
          <w:highlight w:val="none"/>
        </w:rPr>
        <w:t>获取采购文件</w:t>
      </w:r>
    </w:p>
    <w:p>
      <w:pPr>
        <w:snapToGrid w:val="0"/>
        <w:spacing w:line="480" w:lineRule="auto"/>
        <w:ind w:firstLine="480" w:firstLineChars="200"/>
        <w:jc w:val="left"/>
        <w:textAlignment w:val="baseline"/>
        <w:rPr>
          <w:rStyle w:val="94"/>
          <w:rFonts w:hint="eastAsia" w:ascii="宋体" w:hAnsi="宋体" w:eastAsia="宋体" w:cs="宋体"/>
          <w:color w:val="000000"/>
          <w:kern w:val="0"/>
          <w:sz w:val="24"/>
          <w:szCs w:val="24"/>
          <w:highlight w:val="none"/>
        </w:rPr>
      </w:pPr>
      <w:r>
        <w:rPr>
          <w:rStyle w:val="94"/>
          <w:rFonts w:hint="eastAsia" w:ascii="宋体" w:hAnsi="宋体" w:eastAsia="宋体" w:cs="宋体"/>
          <w:color w:val="000000"/>
          <w:kern w:val="0"/>
          <w:sz w:val="24"/>
          <w:szCs w:val="24"/>
          <w:highlight w:val="none"/>
        </w:rPr>
        <w:t>时间：2022年0</w:t>
      </w:r>
      <w:r>
        <w:rPr>
          <w:rStyle w:val="94"/>
          <w:rFonts w:hint="eastAsia" w:ascii="宋体" w:hAnsi="宋体" w:eastAsia="宋体" w:cs="宋体"/>
          <w:color w:val="000000"/>
          <w:kern w:val="0"/>
          <w:sz w:val="24"/>
          <w:szCs w:val="24"/>
          <w:highlight w:val="none"/>
          <w:lang w:val="en-US"/>
        </w:rPr>
        <w:t>7</w:t>
      </w:r>
      <w:r>
        <w:rPr>
          <w:rStyle w:val="94"/>
          <w:rFonts w:hint="eastAsia" w:ascii="宋体" w:hAnsi="宋体" w:eastAsia="宋体" w:cs="宋体"/>
          <w:color w:val="000000"/>
          <w:kern w:val="0"/>
          <w:sz w:val="24"/>
          <w:szCs w:val="24"/>
          <w:highlight w:val="none"/>
        </w:rPr>
        <w:t>月</w:t>
      </w:r>
      <w:r>
        <w:rPr>
          <w:rStyle w:val="94"/>
          <w:rFonts w:hint="eastAsia" w:ascii="宋体" w:hAnsi="宋体" w:cs="宋体"/>
          <w:color w:val="000000"/>
          <w:kern w:val="0"/>
          <w:sz w:val="24"/>
          <w:szCs w:val="24"/>
          <w:highlight w:val="none"/>
          <w:lang w:val="en-US"/>
        </w:rPr>
        <w:t>27</w:t>
      </w:r>
      <w:r>
        <w:rPr>
          <w:rStyle w:val="94"/>
          <w:rFonts w:hint="eastAsia" w:ascii="宋体" w:hAnsi="宋体" w:eastAsia="宋体" w:cs="宋体"/>
          <w:color w:val="000000"/>
          <w:kern w:val="0"/>
          <w:sz w:val="24"/>
          <w:szCs w:val="24"/>
          <w:highlight w:val="none"/>
        </w:rPr>
        <w:t>日 至 2022年</w:t>
      </w:r>
      <w:r>
        <w:rPr>
          <w:rStyle w:val="94"/>
          <w:rFonts w:hint="eastAsia" w:ascii="宋体" w:hAnsi="宋体" w:eastAsia="宋体" w:cs="宋体"/>
          <w:color w:val="000000"/>
          <w:kern w:val="0"/>
          <w:sz w:val="24"/>
          <w:szCs w:val="24"/>
          <w:highlight w:val="none"/>
          <w:lang w:val="en-US"/>
        </w:rPr>
        <w:t>07</w:t>
      </w:r>
      <w:r>
        <w:rPr>
          <w:rStyle w:val="94"/>
          <w:rFonts w:hint="eastAsia" w:ascii="宋体" w:hAnsi="宋体" w:eastAsia="宋体" w:cs="宋体"/>
          <w:color w:val="000000"/>
          <w:kern w:val="0"/>
          <w:sz w:val="24"/>
          <w:szCs w:val="24"/>
          <w:highlight w:val="none"/>
        </w:rPr>
        <w:t>月</w:t>
      </w:r>
      <w:r>
        <w:rPr>
          <w:rStyle w:val="94"/>
          <w:rFonts w:hint="eastAsia" w:ascii="宋体" w:hAnsi="宋体" w:cs="宋体"/>
          <w:color w:val="000000"/>
          <w:kern w:val="0"/>
          <w:sz w:val="24"/>
          <w:szCs w:val="24"/>
          <w:highlight w:val="none"/>
          <w:lang w:val="en-US"/>
        </w:rPr>
        <w:t>29</w:t>
      </w:r>
      <w:r>
        <w:rPr>
          <w:rStyle w:val="94"/>
          <w:rFonts w:hint="eastAsia" w:ascii="宋体" w:hAnsi="宋体" w:eastAsia="宋体" w:cs="宋体"/>
          <w:color w:val="000000"/>
          <w:kern w:val="0"/>
          <w:sz w:val="24"/>
          <w:szCs w:val="24"/>
          <w:highlight w:val="none"/>
        </w:rPr>
        <w:t>日 ，每天上午 09:00:00 至 12:00:00 ，下午 1</w:t>
      </w:r>
      <w:r>
        <w:rPr>
          <w:rStyle w:val="94"/>
          <w:rFonts w:hint="eastAsia" w:ascii="宋体" w:hAnsi="宋体" w:eastAsia="宋体" w:cs="宋体"/>
          <w:color w:val="000000"/>
          <w:kern w:val="0"/>
          <w:sz w:val="24"/>
          <w:szCs w:val="24"/>
          <w:highlight w:val="none"/>
          <w:lang w:val="en-US"/>
        </w:rPr>
        <w:t>4</w:t>
      </w:r>
      <w:r>
        <w:rPr>
          <w:rStyle w:val="94"/>
          <w:rFonts w:hint="eastAsia" w:ascii="宋体" w:hAnsi="宋体" w:eastAsia="宋体" w:cs="宋体"/>
          <w:color w:val="000000"/>
          <w:kern w:val="0"/>
          <w:sz w:val="24"/>
          <w:szCs w:val="24"/>
          <w:highlight w:val="none"/>
        </w:rPr>
        <w:t>:00:00 至 18:00:00 （北京时间,法定节假日除外）</w:t>
      </w:r>
    </w:p>
    <w:p>
      <w:pPr>
        <w:snapToGrid w:val="0"/>
        <w:spacing w:line="480" w:lineRule="auto"/>
        <w:ind w:firstLine="480" w:firstLineChars="200"/>
        <w:jc w:val="left"/>
        <w:textAlignment w:val="baseline"/>
        <w:rPr>
          <w:rStyle w:val="94"/>
          <w:rFonts w:hint="eastAsia" w:ascii="宋体" w:hAnsi="宋体" w:eastAsia="宋体" w:cs="宋体"/>
          <w:color w:val="000000"/>
          <w:kern w:val="0"/>
          <w:sz w:val="24"/>
          <w:szCs w:val="24"/>
          <w:highlight w:val="none"/>
        </w:rPr>
      </w:pPr>
      <w:r>
        <w:rPr>
          <w:rStyle w:val="94"/>
          <w:rFonts w:hint="eastAsia" w:ascii="宋体" w:hAnsi="宋体" w:eastAsia="宋体" w:cs="宋体"/>
          <w:color w:val="000000"/>
          <w:kern w:val="0"/>
          <w:sz w:val="24"/>
          <w:szCs w:val="24"/>
          <w:highlight w:val="none"/>
        </w:rPr>
        <w:t>地点：西安市未央区凤城五路与明光路十字天朗经开中心10楼11002室</w:t>
      </w:r>
    </w:p>
    <w:p>
      <w:pPr>
        <w:snapToGrid w:val="0"/>
        <w:spacing w:line="480" w:lineRule="auto"/>
        <w:ind w:firstLine="480" w:firstLineChars="200"/>
        <w:jc w:val="left"/>
        <w:textAlignment w:val="baseline"/>
        <w:rPr>
          <w:rStyle w:val="94"/>
          <w:rFonts w:hint="eastAsia" w:ascii="宋体" w:hAnsi="宋体" w:eastAsia="宋体" w:cs="宋体"/>
          <w:b w:val="0"/>
          <w:bCs w:val="0"/>
          <w:color w:val="000000"/>
          <w:kern w:val="0"/>
          <w:sz w:val="24"/>
          <w:szCs w:val="24"/>
          <w:highlight w:val="none"/>
        </w:rPr>
      </w:pPr>
      <w:r>
        <w:rPr>
          <w:rStyle w:val="94"/>
          <w:rFonts w:hint="eastAsia" w:ascii="宋体" w:hAnsi="宋体" w:eastAsia="宋体" w:cs="宋体"/>
          <w:b w:val="0"/>
          <w:bCs w:val="0"/>
          <w:color w:val="000000"/>
          <w:kern w:val="0"/>
          <w:sz w:val="24"/>
          <w:szCs w:val="24"/>
          <w:highlight w:val="none"/>
        </w:rPr>
        <w:t>方式：现场获取</w:t>
      </w:r>
    </w:p>
    <w:p>
      <w:pPr>
        <w:snapToGrid w:val="0"/>
        <w:spacing w:line="480" w:lineRule="auto"/>
        <w:ind w:firstLine="480" w:firstLineChars="200"/>
        <w:jc w:val="left"/>
        <w:textAlignment w:val="baseline"/>
        <w:rPr>
          <w:rStyle w:val="94"/>
          <w:rFonts w:hint="eastAsia" w:ascii="宋体" w:hAnsi="宋体" w:eastAsia="宋体" w:cs="宋体"/>
          <w:b w:val="0"/>
          <w:bCs w:val="0"/>
          <w:color w:val="000000"/>
          <w:kern w:val="0"/>
          <w:sz w:val="24"/>
          <w:szCs w:val="24"/>
          <w:highlight w:val="none"/>
        </w:rPr>
      </w:pPr>
      <w:r>
        <w:rPr>
          <w:rStyle w:val="94"/>
          <w:rFonts w:hint="eastAsia" w:ascii="宋体" w:hAnsi="宋体" w:eastAsia="宋体" w:cs="宋体"/>
          <w:b w:val="0"/>
          <w:bCs w:val="0"/>
          <w:color w:val="000000"/>
          <w:kern w:val="0"/>
          <w:sz w:val="24"/>
          <w:szCs w:val="24"/>
          <w:highlight w:val="none"/>
        </w:rPr>
        <w:t>售价：免费获取</w:t>
      </w:r>
    </w:p>
    <w:p>
      <w:pPr>
        <w:snapToGrid w:val="0"/>
        <w:spacing w:line="480" w:lineRule="auto"/>
        <w:jc w:val="left"/>
        <w:textAlignment w:val="baseline"/>
        <w:rPr>
          <w:rStyle w:val="94"/>
          <w:rFonts w:hint="eastAsia" w:ascii="宋体" w:hAnsi="宋体" w:eastAsia="宋体" w:cs="宋体"/>
          <w:b/>
          <w:bCs/>
          <w:color w:val="000000"/>
          <w:kern w:val="0"/>
          <w:sz w:val="24"/>
          <w:szCs w:val="24"/>
          <w:highlight w:val="none"/>
        </w:rPr>
      </w:pPr>
      <w:r>
        <w:rPr>
          <w:rStyle w:val="94"/>
          <w:rFonts w:hint="eastAsia" w:ascii="宋体" w:hAnsi="宋体" w:eastAsia="宋体" w:cs="宋体"/>
          <w:b/>
          <w:bCs/>
          <w:color w:val="000000"/>
          <w:kern w:val="0"/>
          <w:sz w:val="24"/>
          <w:szCs w:val="24"/>
          <w:highlight w:val="none"/>
        </w:rPr>
        <w:t>四、响应文件提交</w:t>
      </w:r>
    </w:p>
    <w:p>
      <w:pPr>
        <w:snapToGrid w:val="0"/>
        <w:spacing w:line="480" w:lineRule="auto"/>
        <w:ind w:firstLine="480" w:firstLineChars="200"/>
        <w:jc w:val="left"/>
        <w:textAlignment w:val="baseline"/>
        <w:rPr>
          <w:rStyle w:val="94"/>
          <w:rFonts w:hint="eastAsia" w:ascii="宋体" w:hAnsi="宋体" w:eastAsia="宋体" w:cs="宋体"/>
          <w:sz w:val="24"/>
          <w:szCs w:val="24"/>
          <w:highlight w:val="none"/>
        </w:rPr>
      </w:pPr>
      <w:r>
        <w:rPr>
          <w:rStyle w:val="94"/>
          <w:rFonts w:hint="eastAsia" w:ascii="宋体" w:hAnsi="宋体" w:eastAsia="宋体" w:cs="宋体"/>
          <w:color w:val="000000"/>
          <w:kern w:val="0"/>
          <w:sz w:val="24"/>
          <w:szCs w:val="24"/>
          <w:highlight w:val="none"/>
        </w:rPr>
        <w:t>截止时间：2022年</w:t>
      </w:r>
      <w:r>
        <w:rPr>
          <w:rStyle w:val="94"/>
          <w:rFonts w:hint="eastAsia" w:ascii="宋体" w:hAnsi="宋体" w:cs="宋体"/>
          <w:color w:val="000000"/>
          <w:kern w:val="0"/>
          <w:sz w:val="24"/>
          <w:szCs w:val="24"/>
          <w:highlight w:val="none"/>
          <w:lang w:val="en-US"/>
        </w:rPr>
        <w:t>08</w:t>
      </w:r>
      <w:r>
        <w:rPr>
          <w:rStyle w:val="94"/>
          <w:rFonts w:hint="eastAsia" w:ascii="宋体" w:hAnsi="宋体" w:eastAsia="宋体" w:cs="宋体"/>
          <w:color w:val="000000"/>
          <w:kern w:val="0"/>
          <w:sz w:val="24"/>
          <w:szCs w:val="24"/>
          <w:highlight w:val="none"/>
        </w:rPr>
        <w:t>月</w:t>
      </w:r>
      <w:r>
        <w:rPr>
          <w:rStyle w:val="94"/>
          <w:rFonts w:hint="eastAsia" w:ascii="宋体" w:hAnsi="宋体" w:cs="宋体"/>
          <w:color w:val="000000"/>
          <w:kern w:val="0"/>
          <w:sz w:val="24"/>
          <w:szCs w:val="24"/>
          <w:highlight w:val="none"/>
          <w:lang w:val="en-US"/>
        </w:rPr>
        <w:t>03</w:t>
      </w:r>
      <w:r>
        <w:rPr>
          <w:rStyle w:val="94"/>
          <w:rFonts w:hint="eastAsia" w:ascii="宋体" w:hAnsi="宋体" w:eastAsia="宋体" w:cs="宋体"/>
          <w:color w:val="000000"/>
          <w:kern w:val="0"/>
          <w:sz w:val="24"/>
          <w:szCs w:val="24"/>
          <w:highlight w:val="none"/>
        </w:rPr>
        <w:t>日</w:t>
      </w:r>
      <w:r>
        <w:rPr>
          <w:rStyle w:val="94"/>
          <w:rFonts w:hint="eastAsia" w:ascii="宋体" w:hAnsi="宋体" w:cs="宋体"/>
          <w:sz w:val="24"/>
          <w:szCs w:val="24"/>
          <w:highlight w:val="none"/>
          <w:lang w:val="en-US"/>
        </w:rPr>
        <w:t>15</w:t>
      </w:r>
      <w:r>
        <w:rPr>
          <w:rStyle w:val="94"/>
          <w:rFonts w:hint="eastAsia" w:ascii="宋体" w:hAnsi="宋体" w:eastAsia="宋体" w:cs="宋体"/>
          <w:sz w:val="24"/>
          <w:szCs w:val="24"/>
          <w:highlight w:val="none"/>
        </w:rPr>
        <w:t>时</w:t>
      </w:r>
      <w:r>
        <w:rPr>
          <w:rStyle w:val="94"/>
          <w:rFonts w:hint="eastAsia" w:ascii="宋体" w:hAnsi="宋体" w:cs="宋体"/>
          <w:sz w:val="24"/>
          <w:szCs w:val="24"/>
          <w:highlight w:val="none"/>
          <w:lang w:val="en-US"/>
        </w:rPr>
        <w:t>00</w:t>
      </w:r>
      <w:r>
        <w:rPr>
          <w:rStyle w:val="94"/>
          <w:rFonts w:hint="eastAsia" w:ascii="宋体" w:hAnsi="宋体" w:eastAsia="宋体" w:cs="宋体"/>
          <w:sz w:val="24"/>
          <w:szCs w:val="24"/>
          <w:highlight w:val="none"/>
        </w:rPr>
        <w:t>分</w:t>
      </w:r>
      <w:r>
        <w:rPr>
          <w:rStyle w:val="94"/>
          <w:rFonts w:hint="eastAsia" w:ascii="宋体" w:hAnsi="宋体" w:eastAsia="宋体" w:cs="宋体"/>
          <w:sz w:val="24"/>
          <w:szCs w:val="24"/>
          <w:highlight w:val="none"/>
          <w:lang w:val="en-US"/>
        </w:rPr>
        <w:t>00</w:t>
      </w:r>
      <w:r>
        <w:rPr>
          <w:rStyle w:val="94"/>
          <w:rFonts w:hint="eastAsia" w:ascii="宋体" w:hAnsi="宋体" w:eastAsia="宋体" w:cs="宋体"/>
          <w:sz w:val="24"/>
          <w:szCs w:val="24"/>
          <w:highlight w:val="none"/>
        </w:rPr>
        <w:t>秒（北京时间）</w:t>
      </w:r>
    </w:p>
    <w:p>
      <w:pPr>
        <w:snapToGrid w:val="0"/>
        <w:spacing w:line="480" w:lineRule="auto"/>
        <w:ind w:firstLine="480" w:firstLineChars="200"/>
        <w:jc w:val="left"/>
        <w:textAlignment w:val="baseline"/>
        <w:rPr>
          <w:rStyle w:val="94"/>
          <w:rFonts w:hint="eastAsia" w:ascii="宋体" w:hAnsi="宋体" w:eastAsia="宋体" w:cs="宋体"/>
          <w:color w:val="000000"/>
          <w:kern w:val="0"/>
          <w:sz w:val="24"/>
          <w:szCs w:val="24"/>
          <w:highlight w:val="none"/>
        </w:rPr>
      </w:pPr>
      <w:r>
        <w:rPr>
          <w:rStyle w:val="94"/>
          <w:rFonts w:hint="eastAsia" w:ascii="宋体" w:hAnsi="宋体" w:eastAsia="宋体" w:cs="宋体"/>
          <w:color w:val="000000"/>
          <w:kern w:val="0"/>
          <w:sz w:val="24"/>
          <w:szCs w:val="24"/>
          <w:highlight w:val="none"/>
        </w:rPr>
        <w:t>地点：西安市未央区凤城五路与明光路十字天朗经开中心10楼11002室</w:t>
      </w:r>
    </w:p>
    <w:p>
      <w:pPr>
        <w:snapToGrid w:val="0"/>
        <w:spacing w:line="480" w:lineRule="auto"/>
        <w:jc w:val="left"/>
        <w:textAlignment w:val="baseline"/>
        <w:rPr>
          <w:rStyle w:val="94"/>
          <w:rFonts w:hint="eastAsia" w:ascii="宋体" w:hAnsi="宋体" w:eastAsia="宋体" w:cs="宋体"/>
          <w:b/>
          <w:bCs/>
          <w:color w:val="000000"/>
          <w:kern w:val="0"/>
          <w:sz w:val="24"/>
          <w:szCs w:val="24"/>
          <w:highlight w:val="none"/>
        </w:rPr>
      </w:pPr>
      <w:r>
        <w:rPr>
          <w:rStyle w:val="94"/>
          <w:rFonts w:hint="eastAsia" w:ascii="宋体" w:hAnsi="宋体" w:eastAsia="宋体" w:cs="宋体"/>
          <w:b/>
          <w:bCs/>
          <w:color w:val="000000"/>
          <w:kern w:val="0"/>
          <w:sz w:val="24"/>
          <w:szCs w:val="24"/>
          <w:highlight w:val="none"/>
        </w:rPr>
        <w:t>五、开启</w:t>
      </w:r>
    </w:p>
    <w:p>
      <w:pPr>
        <w:snapToGrid w:val="0"/>
        <w:spacing w:line="480" w:lineRule="auto"/>
        <w:ind w:firstLine="480" w:firstLineChars="200"/>
        <w:jc w:val="left"/>
        <w:textAlignment w:val="baseline"/>
        <w:rPr>
          <w:rStyle w:val="94"/>
          <w:rFonts w:hint="eastAsia" w:ascii="宋体" w:hAnsi="宋体" w:eastAsia="宋体" w:cs="宋体"/>
          <w:sz w:val="24"/>
          <w:szCs w:val="24"/>
          <w:highlight w:val="none"/>
        </w:rPr>
      </w:pPr>
      <w:r>
        <w:rPr>
          <w:rStyle w:val="94"/>
          <w:rFonts w:hint="eastAsia" w:ascii="宋体" w:hAnsi="宋体" w:eastAsia="宋体" w:cs="宋体"/>
          <w:color w:val="000000"/>
          <w:kern w:val="0"/>
          <w:sz w:val="24"/>
          <w:szCs w:val="24"/>
          <w:highlight w:val="none"/>
        </w:rPr>
        <w:t>截止时间：2022年</w:t>
      </w:r>
      <w:r>
        <w:rPr>
          <w:rStyle w:val="94"/>
          <w:rFonts w:hint="eastAsia" w:ascii="宋体" w:hAnsi="宋体" w:cs="宋体"/>
          <w:color w:val="000000"/>
          <w:kern w:val="0"/>
          <w:sz w:val="24"/>
          <w:szCs w:val="24"/>
          <w:highlight w:val="none"/>
          <w:lang w:val="en-US"/>
        </w:rPr>
        <w:t>08</w:t>
      </w:r>
      <w:r>
        <w:rPr>
          <w:rStyle w:val="94"/>
          <w:rFonts w:hint="eastAsia" w:ascii="宋体" w:hAnsi="宋体" w:eastAsia="宋体" w:cs="宋体"/>
          <w:color w:val="000000"/>
          <w:kern w:val="0"/>
          <w:sz w:val="24"/>
          <w:szCs w:val="24"/>
          <w:highlight w:val="none"/>
        </w:rPr>
        <w:t>月</w:t>
      </w:r>
      <w:r>
        <w:rPr>
          <w:rStyle w:val="94"/>
          <w:rFonts w:hint="eastAsia" w:ascii="宋体" w:hAnsi="宋体" w:cs="宋体"/>
          <w:color w:val="000000"/>
          <w:kern w:val="0"/>
          <w:sz w:val="24"/>
          <w:szCs w:val="24"/>
          <w:highlight w:val="none"/>
          <w:lang w:val="en-US"/>
        </w:rPr>
        <w:t>03</w:t>
      </w:r>
      <w:r>
        <w:rPr>
          <w:rStyle w:val="94"/>
          <w:rFonts w:hint="eastAsia" w:ascii="宋体" w:hAnsi="宋体" w:eastAsia="宋体" w:cs="宋体"/>
          <w:color w:val="000000"/>
          <w:kern w:val="0"/>
          <w:sz w:val="24"/>
          <w:szCs w:val="24"/>
          <w:highlight w:val="none"/>
        </w:rPr>
        <w:t>日</w:t>
      </w:r>
      <w:r>
        <w:rPr>
          <w:rStyle w:val="94"/>
          <w:rFonts w:hint="eastAsia" w:ascii="宋体" w:hAnsi="宋体" w:cs="宋体"/>
          <w:sz w:val="24"/>
          <w:szCs w:val="24"/>
          <w:highlight w:val="none"/>
          <w:lang w:val="en-US"/>
        </w:rPr>
        <w:t>15</w:t>
      </w:r>
      <w:r>
        <w:rPr>
          <w:rStyle w:val="94"/>
          <w:rFonts w:hint="eastAsia" w:ascii="宋体" w:hAnsi="宋体" w:eastAsia="宋体" w:cs="宋体"/>
          <w:sz w:val="24"/>
          <w:szCs w:val="24"/>
          <w:highlight w:val="none"/>
        </w:rPr>
        <w:t>时</w:t>
      </w:r>
      <w:r>
        <w:rPr>
          <w:rStyle w:val="94"/>
          <w:rFonts w:hint="eastAsia" w:ascii="宋体" w:hAnsi="宋体" w:cs="宋体"/>
          <w:sz w:val="24"/>
          <w:szCs w:val="24"/>
          <w:highlight w:val="none"/>
          <w:lang w:val="en-US"/>
        </w:rPr>
        <w:t>00</w:t>
      </w:r>
      <w:r>
        <w:rPr>
          <w:rStyle w:val="94"/>
          <w:rFonts w:hint="eastAsia" w:ascii="宋体" w:hAnsi="宋体" w:eastAsia="宋体" w:cs="宋体"/>
          <w:sz w:val="24"/>
          <w:szCs w:val="24"/>
          <w:highlight w:val="none"/>
        </w:rPr>
        <w:t>分</w:t>
      </w:r>
      <w:r>
        <w:rPr>
          <w:rStyle w:val="94"/>
          <w:rFonts w:hint="eastAsia" w:ascii="宋体" w:hAnsi="宋体" w:eastAsia="宋体" w:cs="宋体"/>
          <w:sz w:val="24"/>
          <w:szCs w:val="24"/>
          <w:highlight w:val="none"/>
          <w:lang w:val="en-US"/>
        </w:rPr>
        <w:t>00</w:t>
      </w:r>
      <w:r>
        <w:rPr>
          <w:rStyle w:val="94"/>
          <w:rFonts w:hint="eastAsia" w:ascii="宋体" w:hAnsi="宋体" w:eastAsia="宋体" w:cs="宋体"/>
          <w:sz w:val="24"/>
          <w:szCs w:val="24"/>
          <w:highlight w:val="none"/>
        </w:rPr>
        <w:t>秒（北京时间）</w:t>
      </w:r>
    </w:p>
    <w:p>
      <w:pPr>
        <w:snapToGrid w:val="0"/>
        <w:spacing w:line="480" w:lineRule="auto"/>
        <w:ind w:firstLine="480" w:firstLineChars="200"/>
        <w:jc w:val="left"/>
        <w:textAlignment w:val="baseline"/>
        <w:rPr>
          <w:rStyle w:val="94"/>
          <w:rFonts w:hint="eastAsia" w:ascii="宋体" w:hAnsi="宋体" w:eastAsia="宋体" w:cs="宋体"/>
          <w:color w:val="000000"/>
          <w:kern w:val="0"/>
          <w:sz w:val="24"/>
          <w:szCs w:val="24"/>
          <w:highlight w:val="none"/>
        </w:rPr>
      </w:pPr>
      <w:r>
        <w:rPr>
          <w:rStyle w:val="94"/>
          <w:rFonts w:hint="eastAsia" w:ascii="宋体" w:hAnsi="宋体" w:eastAsia="宋体" w:cs="宋体"/>
          <w:color w:val="000000"/>
          <w:kern w:val="0"/>
          <w:sz w:val="24"/>
          <w:szCs w:val="24"/>
          <w:highlight w:val="none"/>
        </w:rPr>
        <w:t>地点：西安市未央区凤城五路与明光路十字天朗经开中心10楼11002室</w:t>
      </w:r>
    </w:p>
    <w:p>
      <w:pPr>
        <w:snapToGrid w:val="0"/>
        <w:spacing w:line="480" w:lineRule="auto"/>
        <w:jc w:val="left"/>
        <w:textAlignment w:val="baseline"/>
        <w:rPr>
          <w:rStyle w:val="94"/>
          <w:rFonts w:hint="eastAsia" w:ascii="宋体" w:hAnsi="宋体" w:eastAsia="宋体" w:cs="宋体"/>
          <w:b/>
          <w:bCs/>
          <w:color w:val="000000"/>
          <w:kern w:val="0"/>
          <w:sz w:val="24"/>
          <w:szCs w:val="24"/>
          <w:highlight w:val="none"/>
        </w:rPr>
      </w:pPr>
      <w:r>
        <w:rPr>
          <w:rStyle w:val="94"/>
          <w:rFonts w:hint="eastAsia" w:ascii="宋体" w:hAnsi="宋体" w:eastAsia="宋体" w:cs="宋体"/>
          <w:b/>
          <w:bCs/>
          <w:color w:val="000000"/>
          <w:kern w:val="0"/>
          <w:sz w:val="24"/>
          <w:szCs w:val="24"/>
          <w:highlight w:val="none"/>
        </w:rPr>
        <w:t>六、公告期限</w:t>
      </w:r>
    </w:p>
    <w:p>
      <w:pPr>
        <w:snapToGrid w:val="0"/>
        <w:spacing w:line="480" w:lineRule="auto"/>
        <w:ind w:firstLine="480" w:firstLineChars="200"/>
        <w:jc w:val="left"/>
        <w:textAlignment w:val="baseline"/>
        <w:rPr>
          <w:rStyle w:val="94"/>
          <w:rFonts w:hint="eastAsia" w:ascii="宋体" w:hAnsi="宋体" w:eastAsia="宋体" w:cs="宋体"/>
          <w:color w:val="000000"/>
          <w:kern w:val="0"/>
          <w:sz w:val="24"/>
          <w:szCs w:val="24"/>
          <w:highlight w:val="none"/>
        </w:rPr>
      </w:pPr>
      <w:r>
        <w:rPr>
          <w:rStyle w:val="94"/>
          <w:rFonts w:hint="eastAsia" w:ascii="宋体" w:hAnsi="宋体" w:eastAsia="宋体" w:cs="宋体"/>
          <w:color w:val="000000"/>
          <w:kern w:val="0"/>
          <w:sz w:val="24"/>
          <w:szCs w:val="24"/>
          <w:highlight w:val="none"/>
        </w:rPr>
        <w:t>自本公告发布之日起3个工作日。</w:t>
      </w:r>
    </w:p>
    <w:p>
      <w:pPr>
        <w:snapToGrid w:val="0"/>
        <w:spacing w:line="480" w:lineRule="auto"/>
        <w:jc w:val="left"/>
        <w:textAlignment w:val="baseline"/>
        <w:rPr>
          <w:rStyle w:val="94"/>
          <w:rFonts w:hint="eastAsia" w:ascii="宋体" w:hAnsi="宋体" w:eastAsia="宋体" w:cs="宋体"/>
          <w:b/>
          <w:bCs/>
          <w:color w:val="000000"/>
          <w:kern w:val="0"/>
          <w:sz w:val="24"/>
          <w:szCs w:val="24"/>
          <w:highlight w:val="none"/>
        </w:rPr>
      </w:pPr>
      <w:r>
        <w:rPr>
          <w:rStyle w:val="94"/>
          <w:rFonts w:hint="eastAsia" w:ascii="宋体" w:hAnsi="宋体" w:eastAsia="宋体" w:cs="宋体"/>
          <w:b/>
          <w:bCs/>
          <w:color w:val="000000"/>
          <w:kern w:val="0"/>
          <w:sz w:val="24"/>
          <w:szCs w:val="24"/>
          <w:highlight w:val="none"/>
        </w:rPr>
        <w:t>七、其他补充事宜</w:t>
      </w:r>
    </w:p>
    <w:p>
      <w:pPr>
        <w:snapToGrid w:val="0"/>
        <w:spacing w:line="480" w:lineRule="auto"/>
        <w:ind w:firstLine="480" w:firstLineChars="200"/>
        <w:jc w:val="left"/>
        <w:textAlignment w:val="baseline"/>
        <w:rPr>
          <w:rFonts w:hint="eastAsia" w:ascii="宋体" w:hAnsi="宋体" w:eastAsia="宋体" w:cs="宋体"/>
          <w:bCs/>
          <w:color w:val="333333"/>
          <w:sz w:val="22"/>
          <w:szCs w:val="28"/>
          <w:highlight w:val="none"/>
          <w:shd w:val="clear" w:color="auto" w:fill="FFFFFF"/>
        </w:rPr>
      </w:pPr>
      <w:r>
        <w:rPr>
          <w:rFonts w:hint="eastAsia" w:ascii="宋体" w:hAnsi="宋体" w:eastAsia="宋体" w:cs="宋体"/>
          <w:bCs/>
          <w:color w:val="333333"/>
          <w:sz w:val="24"/>
          <w:szCs w:val="32"/>
          <w:highlight w:val="none"/>
          <w:shd w:val="clear" w:color="auto" w:fill="FFFFFF"/>
        </w:rPr>
        <w:t>1</w:t>
      </w:r>
      <w:r>
        <w:rPr>
          <w:rFonts w:hint="eastAsia" w:ascii="宋体" w:hAnsi="宋体" w:cs="宋体"/>
          <w:bCs/>
          <w:color w:val="333333"/>
          <w:sz w:val="24"/>
          <w:szCs w:val="32"/>
          <w:highlight w:val="none"/>
          <w:shd w:val="clear" w:color="auto" w:fill="FFFFFF"/>
          <w:lang w:eastAsia="zh-CN"/>
        </w:rPr>
        <w:t>、</w:t>
      </w:r>
      <w:r>
        <w:rPr>
          <w:rFonts w:hint="eastAsia" w:ascii="宋体" w:hAnsi="宋体" w:eastAsia="宋体" w:cs="宋体"/>
          <w:bCs/>
          <w:color w:val="333333"/>
          <w:sz w:val="24"/>
          <w:szCs w:val="32"/>
          <w:highlight w:val="none"/>
          <w:shd w:val="clear" w:color="auto" w:fill="FFFFFF"/>
        </w:rPr>
        <w:t>落实的政府采购政策：①《政府采购促进中小企业发展管理办法》（财库〔2020〕46号）；②《财政部司法部关于政府采购支持监狱企业发展有关问题的通知》（财库〔2014〕68号）；③《财政部民政部中国残疾人联合会关于促进残疾人就业政府采购政策的通知》（财库〔2017〕141号）；④《财政部 国家发展改革委关于印发(节能产品政府采购实施意见)的通知》(财库〔2004〕185号)；⑤《国务院办公厅关于建立政府强制采购节能产品制度的通知》(国办发〔2007〕51号)；⑥《财政部环保总局关于环境标志产品政府采购实施的意见》(财库〔2006〕90号)；⑦《财政部发展改革委生态环境部市场监管总局关于调整优化节能产品、环境标志产品政府采购执行机制的通知》（财库〔2019〕9号）；⑧《关于印发环境标志产品政府采购品目清单的通知》（财库〔2019〕18号）；⑨《关于印发节能产品政府采购品目清单的通知》（财库〔2019〕19号）；⑩《财政部农业农村部国家乡村振兴局关于运用政府采购政策支持乡村产业振兴的通知》（财库〔2021〕19号）；⑪《陕西省财政厅关于印发陕西省中小企业政府采购信用融资办法》（陕财办采〔2018〕23号）；⑫《陕西省财政厅关于加快推进我省中小企业政府采购信用融资工作的通知》（陕财办采〔2020〕15号）</w:t>
      </w:r>
      <w:r>
        <w:rPr>
          <w:rFonts w:hint="eastAsia" w:ascii="宋体" w:hAnsi="宋体" w:eastAsia="宋体" w:cs="宋体"/>
          <w:bCs/>
          <w:color w:val="333333"/>
          <w:sz w:val="24"/>
          <w:szCs w:val="32"/>
          <w:highlight w:val="none"/>
          <w:shd w:val="clear" w:color="auto" w:fill="FFFFFF"/>
          <w:lang w:eastAsia="zh-CN"/>
        </w:rPr>
        <w:t>；⑬《关于进一步加大政府采购支持中小企业力度的通知》（财库﹝2022﹞19号）。若享受以上政策优惠的企业，提供相应声明函或产品目录</w:t>
      </w:r>
      <w:r>
        <w:rPr>
          <w:rFonts w:hint="eastAsia" w:ascii="宋体" w:hAnsi="宋体" w:eastAsia="宋体" w:cs="宋体"/>
          <w:bCs/>
          <w:color w:val="333333"/>
          <w:sz w:val="24"/>
          <w:szCs w:val="32"/>
          <w:highlight w:val="none"/>
          <w:shd w:val="clear" w:color="auto" w:fill="FFFFFF"/>
        </w:rPr>
        <w:t>。</w:t>
      </w:r>
    </w:p>
    <w:p>
      <w:pPr>
        <w:snapToGrid w:val="0"/>
        <w:spacing w:line="480" w:lineRule="auto"/>
        <w:ind w:firstLine="482" w:firstLineChars="200"/>
        <w:jc w:val="left"/>
        <w:textAlignment w:val="baseline"/>
        <w:rPr>
          <w:rStyle w:val="94"/>
          <w:rFonts w:hint="eastAsia" w:ascii="宋体" w:hAnsi="宋体" w:eastAsia="宋体" w:cs="宋体"/>
          <w:b/>
          <w:bCs/>
          <w:color w:val="000000"/>
          <w:kern w:val="0"/>
          <w:sz w:val="24"/>
          <w:szCs w:val="24"/>
          <w:highlight w:val="none"/>
        </w:rPr>
      </w:pPr>
      <w:r>
        <w:rPr>
          <w:rStyle w:val="94"/>
          <w:rFonts w:hint="eastAsia" w:ascii="宋体" w:hAnsi="宋体" w:cs="宋体"/>
          <w:b/>
          <w:bCs/>
          <w:color w:val="000000"/>
          <w:kern w:val="0"/>
          <w:sz w:val="24"/>
          <w:szCs w:val="24"/>
          <w:highlight w:val="none"/>
          <w:lang w:val="en-US"/>
        </w:rPr>
        <w:t>2</w:t>
      </w:r>
      <w:r>
        <w:rPr>
          <w:rStyle w:val="94"/>
          <w:rFonts w:hint="eastAsia" w:ascii="宋体" w:hAnsi="宋体" w:cs="宋体"/>
          <w:b/>
          <w:bCs/>
          <w:sz w:val="24"/>
          <w:szCs w:val="24"/>
          <w:highlight w:val="none"/>
          <w:lang w:val="en-US"/>
        </w:rPr>
        <w:t>、</w:t>
      </w:r>
      <w:r>
        <w:rPr>
          <w:rStyle w:val="94"/>
          <w:rFonts w:hint="eastAsia" w:ascii="宋体" w:hAnsi="宋体" w:eastAsia="宋体" w:cs="宋体"/>
          <w:b/>
          <w:bCs/>
          <w:color w:val="000000"/>
          <w:sz w:val="24"/>
          <w:szCs w:val="24"/>
          <w:highlight w:val="none"/>
        </w:rPr>
        <w:t>领取</w:t>
      </w:r>
      <w:r>
        <w:rPr>
          <w:rStyle w:val="94"/>
          <w:rFonts w:hint="eastAsia" w:ascii="宋体" w:hAnsi="宋体" w:eastAsia="宋体" w:cs="宋体"/>
          <w:b/>
          <w:bCs/>
          <w:color w:val="000000"/>
          <w:sz w:val="24"/>
          <w:szCs w:val="24"/>
          <w:highlight w:val="none"/>
          <w:lang w:val="en-US"/>
        </w:rPr>
        <w:t>竞争性谈判</w:t>
      </w:r>
      <w:r>
        <w:rPr>
          <w:rStyle w:val="94"/>
          <w:rFonts w:hint="eastAsia" w:ascii="宋体" w:hAnsi="宋体" w:eastAsia="宋体" w:cs="宋体"/>
          <w:b/>
          <w:bCs/>
          <w:sz w:val="24"/>
          <w:szCs w:val="24"/>
          <w:highlight w:val="none"/>
        </w:rPr>
        <w:t>文件请携带单位介绍信原件、经办人身份证原件及复印件加盖公章。</w:t>
      </w:r>
    </w:p>
    <w:p>
      <w:pPr>
        <w:snapToGrid w:val="0"/>
        <w:spacing w:line="480" w:lineRule="auto"/>
        <w:jc w:val="left"/>
        <w:textAlignment w:val="baseline"/>
        <w:rPr>
          <w:rStyle w:val="94"/>
          <w:rFonts w:hint="eastAsia" w:ascii="宋体" w:hAnsi="宋体" w:eastAsia="宋体" w:cs="宋体"/>
          <w:b/>
          <w:bCs/>
          <w:color w:val="000000"/>
          <w:kern w:val="0"/>
          <w:sz w:val="24"/>
          <w:szCs w:val="24"/>
          <w:highlight w:val="none"/>
        </w:rPr>
      </w:pPr>
      <w:r>
        <w:rPr>
          <w:rStyle w:val="94"/>
          <w:rFonts w:hint="eastAsia" w:ascii="宋体" w:hAnsi="宋体" w:eastAsia="宋体" w:cs="宋体"/>
          <w:b/>
          <w:bCs/>
          <w:color w:val="000000"/>
          <w:kern w:val="0"/>
          <w:sz w:val="24"/>
          <w:szCs w:val="24"/>
          <w:highlight w:val="none"/>
        </w:rPr>
        <w:t>八、对本次采购提出询问，请按以下方式联系。</w:t>
      </w:r>
    </w:p>
    <w:p>
      <w:pPr>
        <w:snapToGrid w:val="0"/>
        <w:spacing w:line="480" w:lineRule="auto"/>
        <w:jc w:val="left"/>
        <w:textAlignment w:val="baseline"/>
        <w:rPr>
          <w:rStyle w:val="94"/>
          <w:rFonts w:hint="eastAsia" w:ascii="宋体" w:hAnsi="宋体" w:eastAsia="宋体" w:cs="宋体"/>
          <w:color w:val="000000"/>
          <w:kern w:val="0"/>
          <w:sz w:val="24"/>
          <w:szCs w:val="24"/>
          <w:highlight w:val="none"/>
        </w:rPr>
      </w:pPr>
      <w:r>
        <w:rPr>
          <w:rStyle w:val="94"/>
          <w:rFonts w:hint="eastAsia" w:ascii="宋体" w:hAnsi="宋体" w:eastAsia="宋体" w:cs="宋体"/>
          <w:color w:val="000000"/>
          <w:kern w:val="0"/>
          <w:sz w:val="24"/>
          <w:szCs w:val="24"/>
          <w:highlight w:val="none"/>
        </w:rPr>
        <w:t xml:space="preserve">1、采购人信息： </w:t>
      </w:r>
    </w:p>
    <w:p>
      <w:pPr>
        <w:snapToGrid w:val="0"/>
        <w:spacing w:line="480" w:lineRule="auto"/>
        <w:ind w:firstLine="480" w:firstLineChars="200"/>
        <w:jc w:val="left"/>
        <w:textAlignment w:val="baseline"/>
        <w:rPr>
          <w:rStyle w:val="94"/>
          <w:rFonts w:hint="eastAsia" w:ascii="宋体" w:hAnsi="宋体" w:eastAsia="宋体" w:cs="宋体"/>
          <w:color w:val="000000"/>
          <w:kern w:val="0"/>
          <w:sz w:val="24"/>
          <w:szCs w:val="24"/>
          <w:highlight w:val="none"/>
        </w:rPr>
      </w:pPr>
      <w:r>
        <w:rPr>
          <w:rStyle w:val="94"/>
          <w:rFonts w:hint="eastAsia" w:ascii="宋体" w:hAnsi="宋体" w:eastAsia="宋体" w:cs="宋体"/>
          <w:color w:val="000000"/>
          <w:kern w:val="0"/>
          <w:sz w:val="24"/>
          <w:szCs w:val="24"/>
          <w:highlight w:val="none"/>
        </w:rPr>
        <w:t>名称：</w:t>
      </w:r>
      <w:r>
        <w:rPr>
          <w:rStyle w:val="94"/>
          <w:rFonts w:hint="eastAsia" w:ascii="宋体" w:hAnsi="宋体" w:cs="宋体"/>
          <w:color w:val="000000"/>
          <w:kern w:val="0"/>
          <w:sz w:val="24"/>
          <w:szCs w:val="24"/>
          <w:highlight w:val="none"/>
        </w:rPr>
        <w:t>西安市第八十六中学</w:t>
      </w:r>
    </w:p>
    <w:p>
      <w:pPr>
        <w:snapToGrid w:val="0"/>
        <w:spacing w:line="480" w:lineRule="auto"/>
        <w:ind w:firstLine="480" w:firstLineChars="200"/>
        <w:jc w:val="left"/>
        <w:textAlignment w:val="baseline"/>
        <w:rPr>
          <w:rStyle w:val="94"/>
          <w:rFonts w:hint="eastAsia" w:ascii="宋体" w:hAnsi="宋体" w:eastAsia="宋体" w:cs="宋体"/>
          <w:color w:val="000000"/>
          <w:kern w:val="0"/>
          <w:sz w:val="24"/>
          <w:szCs w:val="24"/>
          <w:highlight w:val="none"/>
        </w:rPr>
      </w:pPr>
      <w:r>
        <w:rPr>
          <w:rStyle w:val="94"/>
          <w:rFonts w:hint="eastAsia" w:ascii="宋体" w:hAnsi="宋体" w:eastAsia="宋体" w:cs="宋体"/>
          <w:color w:val="000000"/>
          <w:kern w:val="0"/>
          <w:sz w:val="24"/>
          <w:szCs w:val="24"/>
          <w:highlight w:val="none"/>
        </w:rPr>
        <w:t>地址：</w:t>
      </w:r>
      <w:r>
        <w:rPr>
          <w:rStyle w:val="94"/>
          <w:rFonts w:hint="eastAsia" w:ascii="宋体" w:hAnsi="宋体" w:cs="宋体"/>
          <w:color w:val="000000"/>
          <w:kern w:val="0"/>
          <w:sz w:val="24"/>
          <w:szCs w:val="24"/>
          <w:highlight w:val="none"/>
        </w:rPr>
        <w:t>西安市碑林区明胜街65号</w:t>
      </w:r>
    </w:p>
    <w:p>
      <w:pPr>
        <w:snapToGrid w:val="0"/>
        <w:spacing w:line="480" w:lineRule="auto"/>
        <w:ind w:firstLine="480" w:firstLineChars="200"/>
        <w:jc w:val="left"/>
        <w:textAlignment w:val="baseline"/>
        <w:rPr>
          <w:rStyle w:val="94"/>
          <w:rFonts w:hint="eastAsia" w:ascii="宋体" w:hAnsi="宋体" w:eastAsia="宋体" w:cs="宋体"/>
          <w:color w:val="000000"/>
          <w:kern w:val="0"/>
          <w:sz w:val="24"/>
          <w:szCs w:val="24"/>
          <w:highlight w:val="none"/>
        </w:rPr>
      </w:pPr>
      <w:r>
        <w:rPr>
          <w:rStyle w:val="94"/>
          <w:rFonts w:hint="eastAsia" w:ascii="宋体" w:hAnsi="宋体" w:eastAsia="宋体" w:cs="宋体"/>
          <w:color w:val="000000"/>
          <w:kern w:val="0"/>
          <w:sz w:val="24"/>
          <w:szCs w:val="24"/>
          <w:highlight w:val="none"/>
        </w:rPr>
        <w:t>联系方式：</w:t>
      </w:r>
      <w:r>
        <w:rPr>
          <w:rStyle w:val="94"/>
          <w:rFonts w:hint="eastAsia" w:ascii="宋体" w:hAnsi="宋体" w:cs="宋体"/>
          <w:color w:val="000000"/>
          <w:kern w:val="0"/>
          <w:sz w:val="24"/>
          <w:szCs w:val="24"/>
          <w:highlight w:val="none"/>
        </w:rPr>
        <w:t>029-87854315</w:t>
      </w:r>
    </w:p>
    <w:p>
      <w:pPr>
        <w:snapToGrid w:val="0"/>
        <w:spacing w:line="480" w:lineRule="auto"/>
        <w:jc w:val="left"/>
        <w:textAlignment w:val="baseline"/>
        <w:rPr>
          <w:rStyle w:val="94"/>
          <w:rFonts w:hint="eastAsia" w:ascii="宋体" w:hAnsi="宋体" w:eastAsia="宋体" w:cs="宋体"/>
          <w:color w:val="000000"/>
          <w:kern w:val="0"/>
          <w:sz w:val="24"/>
          <w:szCs w:val="24"/>
          <w:highlight w:val="none"/>
        </w:rPr>
      </w:pPr>
      <w:r>
        <w:rPr>
          <w:rStyle w:val="94"/>
          <w:rFonts w:hint="eastAsia" w:ascii="宋体" w:hAnsi="宋体" w:eastAsia="宋体" w:cs="宋体"/>
          <w:color w:val="000000"/>
          <w:kern w:val="0"/>
          <w:sz w:val="24"/>
          <w:szCs w:val="24"/>
          <w:highlight w:val="none"/>
        </w:rPr>
        <w:t>2、采购代理机构信息</w:t>
      </w:r>
    </w:p>
    <w:p>
      <w:pPr>
        <w:pStyle w:val="23"/>
        <w:shd w:val="clear" w:color="auto" w:fill="FFFFFF"/>
        <w:spacing w:before="0" w:beforeLines="0" w:beforeAutospacing="0" w:after="0" w:afterLines="0" w:afterAutospacing="0" w:line="480" w:lineRule="auto"/>
        <w:ind w:firstLine="480" w:firstLineChars="200"/>
        <w:textAlignment w:val="baseline"/>
        <w:rPr>
          <w:rStyle w:val="94"/>
          <w:rFonts w:hint="eastAsia" w:ascii="宋体" w:hAnsi="宋体" w:eastAsia="宋体" w:cs="宋体"/>
          <w:b w:val="0"/>
          <w:i w:val="0"/>
          <w:caps w:val="0"/>
          <w:color w:val="000000"/>
          <w:spacing w:val="0"/>
          <w:w w:val="100"/>
          <w:kern w:val="0"/>
          <w:sz w:val="24"/>
          <w:szCs w:val="24"/>
          <w:highlight w:val="none"/>
          <w:lang w:val="en-US" w:eastAsia="zh-CN" w:bidi="ar-SA"/>
        </w:rPr>
      </w:pPr>
      <w:r>
        <w:rPr>
          <w:rStyle w:val="94"/>
          <w:rFonts w:hint="eastAsia" w:ascii="宋体" w:hAnsi="宋体" w:eastAsia="宋体" w:cs="宋体"/>
          <w:b w:val="0"/>
          <w:i w:val="0"/>
          <w:caps w:val="0"/>
          <w:color w:val="000000"/>
          <w:spacing w:val="0"/>
          <w:w w:val="100"/>
          <w:kern w:val="0"/>
          <w:sz w:val="24"/>
          <w:szCs w:val="24"/>
          <w:highlight w:val="none"/>
          <w:lang w:val="en-US" w:eastAsia="zh-CN" w:bidi="ar-SA"/>
        </w:rPr>
        <w:t>名称：陕西嘉唐建设项目管理有限公司</w:t>
      </w:r>
    </w:p>
    <w:p>
      <w:pPr>
        <w:pStyle w:val="23"/>
        <w:shd w:val="clear" w:color="auto" w:fill="FFFFFF"/>
        <w:spacing w:before="0" w:beforeLines="0" w:beforeAutospacing="0" w:after="0" w:afterLines="0" w:afterAutospacing="0" w:line="480" w:lineRule="auto"/>
        <w:ind w:firstLine="480" w:firstLineChars="200"/>
        <w:textAlignment w:val="baseline"/>
        <w:rPr>
          <w:rStyle w:val="94"/>
          <w:rFonts w:hint="eastAsia" w:ascii="宋体" w:hAnsi="宋体" w:eastAsia="宋体" w:cs="宋体"/>
          <w:b w:val="0"/>
          <w:i w:val="0"/>
          <w:caps w:val="0"/>
          <w:color w:val="000000"/>
          <w:spacing w:val="0"/>
          <w:w w:val="100"/>
          <w:kern w:val="0"/>
          <w:sz w:val="24"/>
          <w:szCs w:val="24"/>
          <w:highlight w:val="none"/>
          <w:lang w:val="en-US" w:eastAsia="zh-CN" w:bidi="ar-SA"/>
        </w:rPr>
      </w:pPr>
      <w:r>
        <w:rPr>
          <w:rStyle w:val="94"/>
          <w:rFonts w:hint="eastAsia" w:ascii="宋体" w:hAnsi="宋体" w:eastAsia="宋体" w:cs="宋体"/>
          <w:b w:val="0"/>
          <w:i w:val="0"/>
          <w:caps w:val="0"/>
          <w:color w:val="000000"/>
          <w:spacing w:val="0"/>
          <w:w w:val="100"/>
          <w:kern w:val="0"/>
          <w:sz w:val="24"/>
          <w:szCs w:val="24"/>
          <w:highlight w:val="none"/>
          <w:lang w:val="en-US" w:eastAsia="zh-CN" w:bidi="ar-SA"/>
        </w:rPr>
        <w:t>地址：西安市未央区凤城五路与明光路十字天朗经开中心10楼11002室</w:t>
      </w:r>
    </w:p>
    <w:p>
      <w:pPr>
        <w:pStyle w:val="23"/>
        <w:shd w:val="clear" w:color="auto" w:fill="FFFFFF"/>
        <w:spacing w:before="0" w:beforeLines="0" w:beforeAutospacing="0" w:after="0" w:afterLines="0" w:afterAutospacing="0" w:line="480" w:lineRule="auto"/>
        <w:ind w:firstLine="480" w:firstLineChars="200"/>
        <w:textAlignment w:val="baseline"/>
        <w:rPr>
          <w:rStyle w:val="94"/>
          <w:rFonts w:hint="eastAsia" w:ascii="宋体" w:hAnsi="宋体" w:eastAsia="宋体" w:cs="宋体"/>
          <w:b w:val="0"/>
          <w:i w:val="0"/>
          <w:caps w:val="0"/>
          <w:color w:val="000000"/>
          <w:spacing w:val="0"/>
          <w:w w:val="100"/>
          <w:kern w:val="0"/>
          <w:sz w:val="24"/>
          <w:szCs w:val="24"/>
          <w:highlight w:val="none"/>
          <w:lang w:val="en-US" w:eastAsia="zh-CN" w:bidi="ar-SA"/>
        </w:rPr>
      </w:pPr>
      <w:r>
        <w:rPr>
          <w:rStyle w:val="94"/>
          <w:rFonts w:hint="eastAsia" w:ascii="宋体" w:hAnsi="宋体" w:eastAsia="宋体" w:cs="宋体"/>
          <w:b w:val="0"/>
          <w:i w:val="0"/>
          <w:caps w:val="0"/>
          <w:color w:val="000000"/>
          <w:spacing w:val="0"/>
          <w:w w:val="100"/>
          <w:kern w:val="0"/>
          <w:sz w:val="24"/>
          <w:szCs w:val="24"/>
          <w:highlight w:val="none"/>
          <w:lang w:val="en-US" w:eastAsia="zh-CN" w:bidi="ar-SA"/>
        </w:rPr>
        <w:t>联系方式：029-89351397</w:t>
      </w:r>
    </w:p>
    <w:p>
      <w:pPr>
        <w:snapToGrid w:val="0"/>
        <w:spacing w:line="480" w:lineRule="auto"/>
        <w:jc w:val="left"/>
        <w:textAlignment w:val="baseline"/>
        <w:rPr>
          <w:rStyle w:val="94"/>
          <w:rFonts w:hint="eastAsia" w:ascii="宋体" w:hAnsi="宋体" w:eastAsia="宋体" w:cs="宋体"/>
          <w:color w:val="000000"/>
          <w:kern w:val="0"/>
          <w:sz w:val="24"/>
          <w:szCs w:val="24"/>
          <w:highlight w:val="none"/>
        </w:rPr>
      </w:pPr>
      <w:r>
        <w:rPr>
          <w:rStyle w:val="94"/>
          <w:rFonts w:hint="eastAsia" w:ascii="宋体" w:hAnsi="宋体" w:eastAsia="宋体" w:cs="宋体"/>
          <w:color w:val="000000"/>
          <w:kern w:val="0"/>
          <w:sz w:val="24"/>
          <w:szCs w:val="24"/>
          <w:highlight w:val="none"/>
        </w:rPr>
        <w:t>3、项目联系方式</w:t>
      </w:r>
    </w:p>
    <w:p>
      <w:pPr>
        <w:snapToGrid w:val="0"/>
        <w:spacing w:line="480" w:lineRule="auto"/>
        <w:ind w:firstLine="480" w:firstLineChars="200"/>
        <w:jc w:val="left"/>
        <w:textAlignment w:val="baseline"/>
        <w:rPr>
          <w:rStyle w:val="94"/>
          <w:rFonts w:hint="eastAsia" w:ascii="宋体" w:hAnsi="宋体" w:eastAsia="宋体" w:cs="宋体"/>
          <w:color w:val="000000"/>
          <w:kern w:val="0"/>
          <w:sz w:val="24"/>
          <w:szCs w:val="24"/>
          <w:highlight w:val="none"/>
          <w:lang w:val="en-US"/>
        </w:rPr>
      </w:pPr>
      <w:r>
        <w:rPr>
          <w:rStyle w:val="94"/>
          <w:rFonts w:hint="eastAsia" w:ascii="宋体" w:hAnsi="宋体" w:eastAsia="宋体" w:cs="宋体"/>
          <w:color w:val="000000"/>
          <w:kern w:val="0"/>
          <w:sz w:val="24"/>
          <w:szCs w:val="24"/>
          <w:highlight w:val="none"/>
        </w:rPr>
        <w:t>项目联系人：</w:t>
      </w:r>
      <w:r>
        <w:rPr>
          <w:rStyle w:val="94"/>
          <w:rFonts w:hint="eastAsia" w:ascii="宋体" w:hAnsi="宋体" w:cs="宋体"/>
          <w:color w:val="000000"/>
          <w:kern w:val="0"/>
          <w:sz w:val="24"/>
          <w:szCs w:val="24"/>
          <w:highlight w:val="none"/>
        </w:rPr>
        <w:t>李莹</w:t>
      </w:r>
    </w:p>
    <w:p>
      <w:pPr>
        <w:keepNext w:val="0"/>
        <w:keepLines w:val="0"/>
        <w:pageBreakBefore w:val="0"/>
        <w:widowControl w:val="0"/>
        <w:kinsoku/>
        <w:wordWrap/>
        <w:overflowPunct/>
        <w:topLinePunct w:val="0"/>
        <w:bidi w:val="0"/>
        <w:snapToGrid/>
        <w:spacing w:line="360" w:lineRule="auto"/>
        <w:ind w:left="0" w:leftChars="0" w:right="540" w:rightChars="257" w:firstLine="480" w:firstLineChars="200"/>
        <w:textAlignment w:val="auto"/>
        <w:outlineLvl w:val="9"/>
        <w:rPr>
          <w:rFonts w:hint="eastAsia" w:ascii="宋体" w:hAnsi="宋体" w:eastAsia="宋体" w:cs="宋体"/>
          <w:color w:val="000000"/>
          <w:sz w:val="24"/>
          <w:szCs w:val="24"/>
          <w:highlight w:val="none"/>
        </w:rPr>
      </w:pPr>
      <w:r>
        <w:rPr>
          <w:rStyle w:val="94"/>
          <w:rFonts w:hint="eastAsia" w:ascii="宋体" w:hAnsi="宋体" w:eastAsia="宋体" w:cs="宋体"/>
          <w:color w:val="000000"/>
          <w:kern w:val="0"/>
          <w:sz w:val="24"/>
          <w:szCs w:val="24"/>
          <w:highlight w:val="none"/>
        </w:rPr>
        <w:t>电 话：029-8935139</w:t>
      </w:r>
      <w:r>
        <w:rPr>
          <w:rStyle w:val="94"/>
          <w:rFonts w:hint="eastAsia" w:ascii="宋体" w:hAnsi="宋体" w:eastAsia="宋体" w:cs="宋体"/>
          <w:color w:val="000000"/>
          <w:kern w:val="0"/>
          <w:sz w:val="24"/>
          <w:szCs w:val="24"/>
          <w:highlight w:val="none"/>
          <w:lang w:val="en-US"/>
        </w:rPr>
        <w:t>7</w:t>
      </w:r>
    </w:p>
    <w:p>
      <w:pPr>
        <w:keepNext w:val="0"/>
        <w:keepLines w:val="0"/>
        <w:pageBreakBefore w:val="0"/>
        <w:widowControl w:val="0"/>
        <w:kinsoku/>
        <w:wordWrap/>
        <w:overflowPunct/>
        <w:topLinePunct w:val="0"/>
        <w:bidi w:val="0"/>
        <w:snapToGrid/>
        <w:spacing w:line="500" w:lineRule="exact"/>
        <w:ind w:left="0" w:leftChars="0" w:right="540" w:rightChars="257"/>
        <w:textAlignment w:val="auto"/>
        <w:outlineLvl w:val="9"/>
        <w:rPr>
          <w:rFonts w:hint="eastAsia" w:ascii="宋体" w:hAnsi="宋体" w:eastAsia="宋体" w:cs="宋体"/>
          <w:color w:val="000000"/>
          <w:highlight w:val="none"/>
        </w:rPr>
      </w:pPr>
    </w:p>
    <w:p>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                                             </w:t>
      </w:r>
    </w:p>
    <w:p>
      <w:pPr>
        <w:spacing w:line="360" w:lineRule="auto"/>
        <w:rPr>
          <w:rFonts w:hint="eastAsia" w:ascii="宋体" w:hAnsi="宋体" w:eastAsia="宋体" w:cs="宋体"/>
          <w:b/>
          <w:color w:val="000000"/>
          <w:kern w:val="0"/>
          <w:sz w:val="24"/>
          <w:szCs w:val="24"/>
          <w:highlight w:val="none"/>
        </w:rPr>
      </w:pPr>
    </w:p>
    <w:p>
      <w:pPr>
        <w:spacing w:line="360" w:lineRule="auto"/>
        <w:rPr>
          <w:rFonts w:hint="eastAsia" w:ascii="宋体" w:hAnsi="宋体" w:eastAsia="宋体" w:cs="宋体"/>
          <w:b/>
          <w:color w:val="000000"/>
          <w:kern w:val="0"/>
          <w:sz w:val="24"/>
          <w:szCs w:val="24"/>
          <w:highlight w:val="none"/>
        </w:rPr>
      </w:pPr>
    </w:p>
    <w:p>
      <w:pPr>
        <w:spacing w:line="360" w:lineRule="auto"/>
        <w:rPr>
          <w:rFonts w:hint="eastAsia" w:ascii="宋体" w:hAnsi="宋体" w:eastAsia="宋体" w:cs="宋体"/>
          <w:b/>
          <w:color w:val="000000"/>
          <w:kern w:val="0"/>
          <w:sz w:val="24"/>
          <w:szCs w:val="24"/>
          <w:highlight w:val="none"/>
        </w:rPr>
      </w:pPr>
    </w:p>
    <w:p>
      <w:pPr>
        <w:tabs>
          <w:tab w:val="left" w:pos="3476"/>
        </w:tabs>
        <w:spacing w:line="360" w:lineRule="auto"/>
        <w:rPr>
          <w:rFonts w:hint="eastAsia" w:ascii="宋体" w:hAnsi="宋体" w:eastAsia="宋体" w:cs="宋体"/>
          <w:b/>
          <w:color w:val="000000"/>
          <w:kern w:val="0"/>
          <w:sz w:val="24"/>
          <w:szCs w:val="24"/>
          <w:highlight w:val="none"/>
          <w:lang w:eastAsia="zh-CN"/>
        </w:rPr>
      </w:pPr>
      <w:r>
        <w:rPr>
          <w:rFonts w:hint="eastAsia" w:ascii="宋体" w:hAnsi="宋体" w:eastAsia="宋体" w:cs="宋体"/>
          <w:b/>
          <w:color w:val="000000"/>
          <w:kern w:val="0"/>
          <w:sz w:val="24"/>
          <w:szCs w:val="24"/>
          <w:highlight w:val="none"/>
          <w:lang w:eastAsia="zh-CN"/>
        </w:rPr>
        <w:tab/>
      </w:r>
    </w:p>
    <w:p>
      <w:pPr>
        <w:pStyle w:val="2"/>
        <w:outlineLvl w:val="9"/>
        <w:rPr>
          <w:rFonts w:hint="eastAsia" w:ascii="宋体" w:hAnsi="宋体" w:eastAsia="宋体" w:cs="宋体"/>
          <w:b/>
          <w:color w:val="000000"/>
          <w:kern w:val="0"/>
          <w:sz w:val="24"/>
          <w:szCs w:val="24"/>
          <w:highlight w:val="none"/>
          <w:lang w:eastAsia="zh-CN"/>
        </w:rPr>
      </w:pPr>
    </w:p>
    <w:p>
      <w:pPr>
        <w:rPr>
          <w:rFonts w:hint="eastAsia" w:ascii="宋体" w:hAnsi="宋体" w:eastAsia="宋体" w:cs="宋体"/>
          <w:b/>
          <w:color w:val="000000"/>
          <w:kern w:val="0"/>
          <w:sz w:val="24"/>
          <w:szCs w:val="24"/>
          <w:highlight w:val="none"/>
          <w:lang w:eastAsia="zh-CN"/>
        </w:rPr>
      </w:pPr>
    </w:p>
    <w:p>
      <w:pPr>
        <w:pStyle w:val="2"/>
        <w:outlineLvl w:val="9"/>
        <w:rPr>
          <w:rFonts w:hint="eastAsia" w:ascii="宋体" w:hAnsi="宋体" w:eastAsia="宋体" w:cs="宋体"/>
          <w:b/>
          <w:color w:val="000000"/>
          <w:kern w:val="0"/>
          <w:sz w:val="24"/>
          <w:szCs w:val="24"/>
          <w:highlight w:val="none"/>
          <w:lang w:eastAsia="zh-CN"/>
        </w:rPr>
      </w:pPr>
    </w:p>
    <w:p>
      <w:pPr>
        <w:rPr>
          <w:rFonts w:hint="eastAsia" w:ascii="宋体" w:hAnsi="宋体" w:eastAsia="宋体" w:cs="宋体"/>
          <w:b/>
          <w:color w:val="000000"/>
          <w:kern w:val="0"/>
          <w:sz w:val="24"/>
          <w:szCs w:val="24"/>
          <w:highlight w:val="none"/>
          <w:lang w:eastAsia="zh-CN"/>
        </w:rPr>
      </w:pPr>
    </w:p>
    <w:p>
      <w:pPr>
        <w:pStyle w:val="3"/>
        <w:rPr>
          <w:rFonts w:hint="eastAsia" w:ascii="宋体" w:hAnsi="宋体" w:eastAsia="宋体" w:cs="宋体"/>
          <w:b/>
          <w:bCs/>
          <w:sz w:val="36"/>
          <w:szCs w:val="36"/>
          <w:highlight w:val="none"/>
        </w:rPr>
      </w:pPr>
      <w:bookmarkStart w:id="11" w:name="_Toc19171"/>
      <w:bookmarkStart w:id="12" w:name="_Toc21911"/>
    </w:p>
    <w:p>
      <w:pPr>
        <w:pStyle w:val="3"/>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 xml:space="preserve">第二章 </w:t>
      </w:r>
      <w:r>
        <w:rPr>
          <w:rFonts w:hint="eastAsia" w:ascii="宋体" w:hAnsi="宋体" w:eastAsia="宋体" w:cs="宋体"/>
          <w:b/>
          <w:bCs/>
          <w:sz w:val="36"/>
          <w:szCs w:val="36"/>
          <w:highlight w:val="none"/>
          <w:lang w:eastAsia="zh-CN"/>
        </w:rPr>
        <w:t>供应商</w:t>
      </w:r>
      <w:r>
        <w:rPr>
          <w:rFonts w:hint="eastAsia" w:ascii="宋体" w:hAnsi="宋体" w:eastAsia="宋体" w:cs="宋体"/>
          <w:b/>
          <w:bCs/>
          <w:sz w:val="36"/>
          <w:szCs w:val="36"/>
          <w:highlight w:val="none"/>
        </w:rPr>
        <w:t>须知</w:t>
      </w:r>
      <w:bookmarkEnd w:id="5"/>
      <w:bookmarkEnd w:id="10"/>
      <w:bookmarkEnd w:id="11"/>
      <w:bookmarkEnd w:id="12"/>
    </w:p>
    <w:p>
      <w:pPr>
        <w:spacing w:after="156" w:afterLines="50" w:line="360" w:lineRule="auto"/>
        <w:jc w:val="center"/>
        <w:outlineLvl w:val="1"/>
        <w:rPr>
          <w:rFonts w:hint="eastAsia" w:ascii="宋体" w:hAnsi="宋体" w:eastAsia="宋体" w:cs="宋体"/>
          <w:b/>
          <w:kern w:val="0"/>
          <w:sz w:val="32"/>
          <w:szCs w:val="32"/>
          <w:highlight w:val="none"/>
        </w:rPr>
      </w:pPr>
      <w:bookmarkStart w:id="13" w:name="_Toc425781308"/>
      <w:bookmarkStart w:id="14" w:name="_Toc5265"/>
      <w:r>
        <w:rPr>
          <w:rFonts w:hint="eastAsia" w:ascii="宋体" w:hAnsi="宋体" w:eastAsia="宋体" w:cs="宋体"/>
          <w:b/>
          <w:kern w:val="0"/>
          <w:sz w:val="32"/>
          <w:szCs w:val="32"/>
          <w:highlight w:val="none"/>
          <w:lang w:eastAsia="zh-CN"/>
        </w:rPr>
        <w:t>供应商</w:t>
      </w:r>
      <w:r>
        <w:rPr>
          <w:rFonts w:hint="eastAsia" w:ascii="宋体" w:hAnsi="宋体" w:eastAsia="宋体" w:cs="宋体"/>
          <w:b/>
          <w:kern w:val="0"/>
          <w:sz w:val="32"/>
          <w:szCs w:val="32"/>
          <w:highlight w:val="none"/>
        </w:rPr>
        <w:t>须知前附表</w:t>
      </w:r>
      <w:bookmarkEnd w:id="6"/>
      <w:bookmarkEnd w:id="7"/>
      <w:bookmarkEnd w:id="8"/>
      <w:bookmarkEnd w:id="9"/>
      <w:bookmarkEnd w:id="13"/>
      <w:bookmarkEnd w:id="14"/>
    </w:p>
    <w:p>
      <w:pPr>
        <w:spacing w:line="360" w:lineRule="auto"/>
        <w:ind w:firstLine="840" w:firstLineChars="350"/>
        <w:rPr>
          <w:rFonts w:hint="eastAsia" w:ascii="宋体" w:hAnsi="宋体" w:eastAsia="宋体" w:cs="宋体"/>
          <w:sz w:val="24"/>
          <w:highlight w:val="none"/>
        </w:rPr>
      </w:pPr>
      <w:r>
        <w:rPr>
          <w:rFonts w:hint="eastAsia" w:ascii="宋体" w:hAnsi="宋体" w:eastAsia="宋体" w:cs="宋体"/>
          <w:sz w:val="24"/>
          <w:highlight w:val="none"/>
        </w:rPr>
        <w:t>本表是对</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须知的具体补充和修改，如有矛盾，应以本资料表为准。</w:t>
      </w:r>
    </w:p>
    <w:tbl>
      <w:tblPr>
        <w:tblStyle w:val="28"/>
        <w:tblW w:w="999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1034"/>
        <w:gridCol w:w="83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7" w:hRule="atLeast"/>
          <w:jc w:val="center"/>
        </w:trPr>
        <w:tc>
          <w:tcPr>
            <w:tcW w:w="59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10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条款号</w:t>
            </w:r>
          </w:p>
        </w:tc>
        <w:tc>
          <w:tcPr>
            <w:tcW w:w="836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编 列 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635" w:hRule="atLeast"/>
          <w:jc w:val="center"/>
        </w:trPr>
        <w:tc>
          <w:tcPr>
            <w:tcW w:w="59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1</w:t>
            </w:r>
          </w:p>
        </w:tc>
        <w:tc>
          <w:tcPr>
            <w:tcW w:w="10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w:t>
            </w:r>
          </w:p>
        </w:tc>
        <w:tc>
          <w:tcPr>
            <w:tcW w:w="8364"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名称：</w:t>
            </w:r>
            <w:r>
              <w:rPr>
                <w:rFonts w:hint="eastAsia" w:ascii="宋体" w:hAnsi="宋体" w:cs="宋体"/>
                <w:sz w:val="24"/>
                <w:szCs w:val="24"/>
                <w:highlight w:val="none"/>
                <w:lang w:eastAsia="zh-CN"/>
              </w:rPr>
              <w:t>西安市第八十六中学</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地址：</w:t>
            </w:r>
            <w:r>
              <w:rPr>
                <w:rFonts w:hint="eastAsia" w:ascii="宋体" w:hAnsi="宋体" w:cs="宋体"/>
                <w:sz w:val="24"/>
                <w:szCs w:val="24"/>
                <w:highlight w:val="none"/>
                <w:lang w:eastAsia="zh-CN"/>
              </w:rPr>
              <w:t>西安市碑林区明胜街65号</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联系方式：</w:t>
            </w:r>
            <w:r>
              <w:rPr>
                <w:rFonts w:hint="eastAsia" w:ascii="宋体" w:hAnsi="宋体" w:cs="宋体"/>
                <w:sz w:val="24"/>
                <w:szCs w:val="24"/>
                <w:highlight w:val="none"/>
                <w:lang w:eastAsia="zh-CN"/>
              </w:rPr>
              <w:t>029-87854315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20" w:hRule="atLeast"/>
          <w:jc w:val="center"/>
        </w:trPr>
        <w:tc>
          <w:tcPr>
            <w:tcW w:w="59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w:t>
            </w:r>
          </w:p>
        </w:tc>
        <w:tc>
          <w:tcPr>
            <w:tcW w:w="10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3</w:t>
            </w:r>
          </w:p>
        </w:tc>
        <w:tc>
          <w:tcPr>
            <w:tcW w:w="8364"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采购代理机构名称：陕西嘉唐建设项目管理有限公司</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地址：西安市</w:t>
            </w:r>
            <w:r>
              <w:rPr>
                <w:rFonts w:hint="eastAsia" w:ascii="宋体" w:hAnsi="宋体" w:eastAsia="宋体" w:cs="宋体"/>
                <w:sz w:val="24"/>
                <w:szCs w:val="24"/>
                <w:highlight w:val="none"/>
                <w:lang w:eastAsia="zh-CN"/>
              </w:rPr>
              <w:t>未央区明光路与凤城五路十字天朗经开中心</w:t>
            </w:r>
            <w:r>
              <w:rPr>
                <w:rFonts w:hint="eastAsia" w:ascii="宋体" w:hAnsi="宋体" w:eastAsia="宋体" w:cs="宋体"/>
                <w:sz w:val="24"/>
                <w:szCs w:val="24"/>
                <w:highlight w:val="none"/>
                <w:lang w:val="en-US" w:eastAsia="zh-CN"/>
              </w:rPr>
              <w:t>10楼11002室</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        编：710000</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        话：029-89351397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3</w:t>
            </w:r>
          </w:p>
        </w:tc>
        <w:tc>
          <w:tcPr>
            <w:tcW w:w="10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w:t>
            </w:r>
          </w:p>
        </w:tc>
        <w:tc>
          <w:tcPr>
            <w:tcW w:w="8364"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本项目不接受联合体谈判。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w:t>
            </w:r>
          </w:p>
        </w:tc>
        <w:tc>
          <w:tcPr>
            <w:tcW w:w="10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9.2</w:t>
            </w:r>
          </w:p>
        </w:tc>
        <w:tc>
          <w:tcPr>
            <w:tcW w:w="8364"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不允许提供备选方案。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5</w:t>
            </w:r>
          </w:p>
        </w:tc>
        <w:tc>
          <w:tcPr>
            <w:tcW w:w="1034" w:type="dxa"/>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highlight w:val="none"/>
              </w:rPr>
            </w:pPr>
            <w:r>
              <w:rPr>
                <w:rFonts w:hint="eastAsia" w:ascii="宋体" w:hAnsi="宋体" w:eastAsia="宋体" w:cs="宋体"/>
                <w:sz w:val="24"/>
                <w:szCs w:val="24"/>
                <w:highlight w:val="none"/>
              </w:rPr>
              <w:t>11.1</w:t>
            </w:r>
          </w:p>
        </w:tc>
        <w:tc>
          <w:tcPr>
            <w:tcW w:w="8364" w:type="dxa"/>
            <w:tcBorders>
              <w:bottom w:val="single" w:color="auto" w:sz="4" w:space="0"/>
            </w:tcBorders>
            <w:vAlign w:val="top"/>
          </w:tcPr>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谈判报价：谈判</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应在谈判报价表中标明完成本次</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所要求的货物、服务并验收至合格的所有费用，包括设备（产品）费、安装调试费、运杂费（含保险）、仓储保管费、质保期维护</w:t>
            </w:r>
            <w:r>
              <w:rPr>
                <w:rFonts w:hint="eastAsia" w:ascii="宋体" w:hAnsi="宋体" w:eastAsia="宋体" w:cs="宋体"/>
                <w:szCs w:val="24"/>
                <w:highlight w:val="none"/>
                <w:lang w:eastAsia="zh-CN"/>
              </w:rPr>
              <w:t>、</w:t>
            </w:r>
            <w:r>
              <w:rPr>
                <w:rFonts w:hint="eastAsia" w:ascii="宋体" w:hAnsi="宋体" w:eastAsia="宋体" w:cs="宋体"/>
                <w:sz w:val="24"/>
                <w:szCs w:val="24"/>
                <w:highlight w:val="none"/>
                <w:lang w:eastAsia="zh-CN"/>
              </w:rPr>
              <w:t>招标代理服务费、</w:t>
            </w:r>
            <w:r>
              <w:rPr>
                <w:rFonts w:hint="eastAsia" w:ascii="宋体" w:hAnsi="宋体" w:eastAsia="宋体" w:cs="宋体"/>
                <w:sz w:val="24"/>
                <w:szCs w:val="24"/>
                <w:highlight w:val="none"/>
              </w:rPr>
              <w:t>税金等其他一切相关费用。</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谈判报价表中标明本次货物、服务的所有单项价格和总价，任何有选择的报价将不予接受，按无效响应处理。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60" w:hRule="atLeast"/>
          <w:jc w:val="center"/>
        </w:trPr>
        <w:tc>
          <w:tcPr>
            <w:tcW w:w="592" w:type="dxa"/>
            <w:tcBorders>
              <w:top w:val="single" w:color="auto" w:sz="4" w:space="0"/>
              <w:bottom w:val="single" w:color="auto" w:sz="4" w:space="0"/>
            </w:tcBorders>
            <w:vAlign w:val="bottom"/>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7</w:t>
            </w:r>
          </w:p>
        </w:tc>
        <w:tc>
          <w:tcPr>
            <w:tcW w:w="1034"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12.1</w:t>
            </w:r>
          </w:p>
        </w:tc>
        <w:tc>
          <w:tcPr>
            <w:tcW w:w="8364" w:type="dxa"/>
            <w:tcBorders>
              <w:top w:val="single" w:color="auto" w:sz="4" w:space="0"/>
              <w:bottom w:val="single" w:color="auto" w:sz="4" w:space="0"/>
            </w:tcBorders>
            <w:vAlign w:val="top"/>
          </w:tcPr>
          <w:p>
            <w:pPr>
              <w:pStyle w:val="27"/>
              <w:spacing w:line="360" w:lineRule="auto"/>
              <w:ind w:left="0" w:leftChars="0" w:firstLine="241" w:firstLineChars="100"/>
              <w:rPr>
                <w:rFonts w:hint="eastAsia" w:ascii="宋体" w:hAnsi="宋体" w:eastAsia="宋体" w:cs="宋体"/>
                <w:b/>
                <w:bCs/>
                <w:i w:val="0"/>
                <w:caps w:val="0"/>
                <w:color w:val="auto"/>
                <w:spacing w:val="0"/>
                <w:sz w:val="24"/>
                <w:szCs w:val="24"/>
                <w:highlight w:val="none"/>
                <w:shd w:val="clear" w:color="auto" w:fill="FFFFFF"/>
                <w:lang w:val="en-US" w:eastAsia="zh-CN"/>
              </w:rPr>
            </w:pPr>
            <w:r>
              <w:rPr>
                <w:rFonts w:hint="eastAsia" w:ascii="宋体" w:hAnsi="宋体" w:eastAsia="宋体" w:cs="宋体"/>
                <w:b/>
                <w:bCs/>
                <w:i w:val="0"/>
                <w:caps w:val="0"/>
                <w:color w:val="auto"/>
                <w:spacing w:val="0"/>
                <w:sz w:val="24"/>
                <w:szCs w:val="24"/>
                <w:highlight w:val="none"/>
                <w:shd w:val="clear" w:color="auto" w:fill="FFFFFF"/>
                <w:lang w:val="en-US" w:eastAsia="zh-CN"/>
              </w:rPr>
              <w:t>（一）基本资格条件：符合《中华人民共和国政府采购法》第二十二条的规定，并提供以下资料：</w:t>
            </w:r>
          </w:p>
          <w:p>
            <w:pPr>
              <w:pStyle w:val="27"/>
              <w:spacing w:line="360" w:lineRule="auto"/>
              <w:ind w:left="0" w:leftChars="0" w:firstLine="240" w:firstLineChars="100"/>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（1）具有独立承担民事责任能力的法人或其他组织，提供有效存续的营业执照或事业单位法人证书或非企业专业服务机构执业许可证或民办非企业单位登记证书或自然人的身份证明；</w:t>
            </w:r>
          </w:p>
          <w:p>
            <w:pPr>
              <w:pStyle w:val="27"/>
              <w:spacing w:line="360" w:lineRule="auto"/>
              <w:ind w:left="0" w:leftChars="0" w:firstLine="240" w:firstLineChars="100"/>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（2）财务状况报告：提供经审计的2020年或2021年财务报告，包括 “四表一注”（即资产负债表、利润表、现金流量表、所有者权益变动表（没有可不提供）及其附注，成立时间至提交响应文件截止时间不足一年的可提供成立后任意时段的资产负债表）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p>
          <w:p>
            <w:pPr>
              <w:pStyle w:val="27"/>
              <w:spacing w:line="360" w:lineRule="auto"/>
              <w:ind w:left="0" w:leftChars="0" w:firstLine="240" w:firstLineChars="100"/>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（3）税收缴纳证明：提供已缴纳的2021年7月至今任意一个月的纳税证明或完税证明，纳税证明或完税证明上应有代收机构或税务机关的公章。依法免税的供应商应提供相关文件证明；</w:t>
            </w:r>
          </w:p>
          <w:p>
            <w:pPr>
              <w:pStyle w:val="27"/>
              <w:spacing w:line="360" w:lineRule="auto"/>
              <w:ind w:left="0" w:leftChars="0" w:firstLine="240" w:firstLineChars="100"/>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（4）供应商须提供具有履行合同所必需的设备和专业技术能力的承诺；</w:t>
            </w:r>
          </w:p>
          <w:p>
            <w:pPr>
              <w:pStyle w:val="27"/>
              <w:spacing w:line="360" w:lineRule="auto"/>
              <w:ind w:left="0" w:leftChars="0" w:firstLine="240" w:firstLineChars="100"/>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5）社会保障资金缴纳证明：提供已缴存的2021年7月至今任意一个月的社会保障资金缴存单据或社保机构开具的社会保险参保缴费情况证明，单据或证明上应有社保机构或代收机构的公章。依法不需要缴纳社会保障资金的供应商应提供相关文件证明；</w:t>
            </w:r>
          </w:p>
          <w:p>
            <w:pPr>
              <w:pStyle w:val="27"/>
              <w:spacing w:line="360" w:lineRule="auto"/>
              <w:ind w:left="0" w:leftChars="0" w:firstLine="240" w:firstLineChars="100"/>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（6）出具参加本次政府采购活动前三年内在经营活动中没有重大违法记录的书面声明；</w:t>
            </w:r>
          </w:p>
          <w:p>
            <w:pPr>
              <w:pStyle w:val="27"/>
              <w:spacing w:line="360" w:lineRule="auto"/>
              <w:ind w:left="0" w:leftChars="0" w:firstLine="241" w:firstLineChars="100"/>
              <w:rPr>
                <w:rFonts w:hint="eastAsia" w:ascii="宋体" w:hAnsi="宋体" w:eastAsia="宋体" w:cs="宋体"/>
                <w:b/>
                <w:bCs/>
                <w:i w:val="0"/>
                <w:caps w:val="0"/>
                <w:color w:val="auto"/>
                <w:spacing w:val="0"/>
                <w:sz w:val="24"/>
                <w:szCs w:val="24"/>
                <w:highlight w:val="none"/>
                <w:shd w:val="clear" w:color="auto" w:fill="FFFFFF"/>
                <w:lang w:val="en-US" w:eastAsia="zh-CN"/>
              </w:rPr>
            </w:pPr>
            <w:r>
              <w:rPr>
                <w:rFonts w:hint="eastAsia" w:ascii="宋体" w:hAnsi="宋体" w:eastAsia="宋体" w:cs="宋体"/>
                <w:b/>
                <w:bCs/>
                <w:i w:val="0"/>
                <w:caps w:val="0"/>
                <w:color w:val="auto"/>
                <w:spacing w:val="0"/>
                <w:sz w:val="24"/>
                <w:szCs w:val="24"/>
                <w:highlight w:val="none"/>
                <w:shd w:val="clear" w:color="auto" w:fill="FFFFFF"/>
                <w:lang w:val="en-US" w:eastAsia="zh-CN"/>
              </w:rPr>
              <w:t>（二）落实政府采购政策需满足的资格要求：</w:t>
            </w:r>
            <w:r>
              <w:rPr>
                <w:rFonts w:hint="eastAsia" w:ascii="宋体" w:hAnsi="宋体" w:cs="宋体"/>
                <w:b/>
                <w:bCs/>
                <w:i w:val="0"/>
                <w:caps w:val="0"/>
                <w:color w:val="auto"/>
                <w:spacing w:val="0"/>
                <w:sz w:val="24"/>
                <w:szCs w:val="24"/>
                <w:highlight w:val="none"/>
                <w:shd w:val="clear" w:color="auto" w:fill="FFFFFF"/>
                <w:lang w:val="en-US" w:eastAsia="zh-CN"/>
              </w:rPr>
              <w:t>本项目专门面向中小企业采购（残疾人福利性单位及监狱企业视同小型、微型企业）（提供声明函）。</w:t>
            </w:r>
          </w:p>
          <w:p>
            <w:pPr>
              <w:pStyle w:val="27"/>
              <w:spacing w:line="360" w:lineRule="auto"/>
              <w:ind w:left="0" w:leftChars="0" w:firstLine="241" w:firstLineChars="100"/>
              <w:rPr>
                <w:rFonts w:hint="eastAsia" w:ascii="宋体" w:hAnsi="宋体" w:eastAsia="宋体" w:cs="宋体"/>
                <w:b/>
                <w:bCs/>
                <w:i w:val="0"/>
                <w:caps w:val="0"/>
                <w:color w:val="auto"/>
                <w:spacing w:val="0"/>
                <w:sz w:val="24"/>
                <w:szCs w:val="24"/>
                <w:highlight w:val="none"/>
                <w:shd w:val="clear" w:color="auto" w:fill="FFFFFF"/>
                <w:lang w:val="en-US" w:eastAsia="zh-CN"/>
              </w:rPr>
            </w:pPr>
            <w:r>
              <w:rPr>
                <w:rFonts w:hint="eastAsia" w:ascii="宋体" w:hAnsi="宋体" w:eastAsia="宋体" w:cs="宋体"/>
                <w:b/>
                <w:bCs/>
                <w:i w:val="0"/>
                <w:caps w:val="0"/>
                <w:color w:val="auto"/>
                <w:spacing w:val="0"/>
                <w:sz w:val="24"/>
                <w:szCs w:val="24"/>
                <w:highlight w:val="none"/>
                <w:shd w:val="clear" w:color="auto" w:fill="FFFFFF"/>
                <w:lang w:val="en-US" w:eastAsia="zh-CN"/>
              </w:rPr>
              <w:t>（三）特定资格条件：</w:t>
            </w:r>
          </w:p>
          <w:p>
            <w:pPr>
              <w:pStyle w:val="27"/>
              <w:spacing w:line="360" w:lineRule="auto"/>
              <w:ind w:left="0" w:leftChars="0" w:firstLine="240" w:firstLineChars="100"/>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（1）法定代表人授权书（附法定代表人、被授权人身份证复印件）及被授权人身份证（法定代表人直接参加谈判活动，须提供法定代表人身份证明及身份证原件）；</w:t>
            </w:r>
          </w:p>
          <w:p>
            <w:pPr>
              <w:pStyle w:val="27"/>
              <w:spacing w:line="360" w:lineRule="auto"/>
              <w:ind w:left="0" w:leftChars="0" w:firstLine="240" w:firstLineChars="100"/>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（2）本项目不接受联合体谈判（提供书面声明）。</w:t>
            </w:r>
          </w:p>
          <w:p>
            <w:pPr>
              <w:pStyle w:val="27"/>
              <w:spacing w:line="360" w:lineRule="auto"/>
              <w:ind w:left="0" w:leftChars="0" w:firstLine="241" w:firstLineChars="100"/>
              <w:rPr>
                <w:rFonts w:hint="eastAsia" w:ascii="宋体" w:hAnsi="宋体" w:eastAsia="宋体" w:cs="宋体"/>
                <w:b/>
                <w:bCs/>
                <w:i w:val="0"/>
                <w:caps w:val="0"/>
                <w:color w:val="auto"/>
                <w:spacing w:val="0"/>
                <w:sz w:val="24"/>
                <w:szCs w:val="24"/>
                <w:highlight w:val="none"/>
                <w:shd w:val="clear" w:color="auto" w:fill="FFFFFF"/>
                <w:lang w:val="en-US" w:eastAsia="zh-CN"/>
              </w:rPr>
            </w:pPr>
            <w:r>
              <w:rPr>
                <w:rFonts w:hint="eastAsia" w:ascii="宋体" w:hAnsi="宋体" w:eastAsia="宋体" w:cs="宋体"/>
                <w:b/>
                <w:bCs/>
                <w:i w:val="0"/>
                <w:caps w:val="0"/>
                <w:color w:val="auto"/>
                <w:spacing w:val="0"/>
                <w:sz w:val="24"/>
                <w:szCs w:val="24"/>
                <w:highlight w:val="none"/>
                <w:shd w:val="clear" w:color="auto" w:fill="FFFFFF"/>
                <w:lang w:val="en-US" w:eastAsia="zh-CN"/>
              </w:rPr>
              <w:t>（四）供应商信用信息：</w:t>
            </w:r>
          </w:p>
          <w:p>
            <w:pPr>
              <w:pStyle w:val="27"/>
              <w:spacing w:line="360" w:lineRule="auto"/>
              <w:ind w:left="0" w:leftChars="0" w:firstLine="240" w:firstLineChars="100"/>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（1）查询渠道：通过“信用中国”网站(www.creditchina.gov.cn)、中国政府采购网(www.ccgp.gov.cn)等渠道查询相关主体信用记录；</w:t>
            </w:r>
          </w:p>
          <w:p>
            <w:pPr>
              <w:pStyle w:val="27"/>
              <w:spacing w:line="360" w:lineRule="auto"/>
              <w:ind w:left="0" w:leftChars="0" w:firstLine="240" w:firstLineChars="100"/>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（2）查询截止时点：</w:t>
            </w:r>
            <w:r>
              <w:rPr>
                <w:rFonts w:hint="eastAsia" w:ascii="宋体" w:hAnsi="宋体" w:cs="宋体"/>
                <w:i w:val="0"/>
                <w:caps w:val="0"/>
                <w:color w:val="auto"/>
                <w:spacing w:val="0"/>
                <w:sz w:val="24"/>
                <w:szCs w:val="24"/>
                <w:highlight w:val="none"/>
                <w:shd w:val="clear" w:color="auto" w:fill="FFFFFF"/>
                <w:lang w:val="en-US" w:eastAsia="zh-CN"/>
              </w:rPr>
              <w:t>谈判响应文件递交截止时间后 2 小时</w:t>
            </w:r>
            <w:r>
              <w:rPr>
                <w:rFonts w:hint="eastAsia" w:ascii="宋体" w:hAnsi="宋体" w:eastAsia="宋体" w:cs="宋体"/>
                <w:i w:val="0"/>
                <w:caps w:val="0"/>
                <w:color w:val="auto"/>
                <w:spacing w:val="0"/>
                <w:sz w:val="24"/>
                <w:szCs w:val="24"/>
                <w:highlight w:val="none"/>
                <w:shd w:val="clear" w:color="auto" w:fill="FFFFFF"/>
                <w:lang w:val="en-US" w:eastAsia="zh-CN"/>
              </w:rPr>
              <w:t>；</w:t>
            </w:r>
          </w:p>
          <w:p>
            <w:pPr>
              <w:pStyle w:val="27"/>
              <w:spacing w:line="360" w:lineRule="auto"/>
              <w:ind w:left="0" w:leftChars="0" w:firstLine="240" w:firstLineChars="100"/>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（3）查询记录和证据留存方式：（代理机构网站截图留存）；</w:t>
            </w:r>
          </w:p>
          <w:p>
            <w:pPr>
              <w:pStyle w:val="27"/>
              <w:spacing w:line="360" w:lineRule="auto"/>
              <w:ind w:left="0" w:leftChars="0" w:firstLine="240" w:firstLineChars="100"/>
              <w:rPr>
                <w:rFonts w:hint="eastAsia" w:ascii="宋体" w:hAnsi="宋体" w:eastAsia="宋体" w:cs="宋体"/>
                <w:highlight w:val="none"/>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（4）</w:t>
            </w:r>
            <w:r>
              <w:rPr>
                <w:rFonts w:hint="eastAsia" w:ascii="宋体" w:hAnsi="宋体" w:cs="宋体"/>
                <w:i w:val="0"/>
                <w:caps w:val="0"/>
                <w:color w:val="auto"/>
                <w:spacing w:val="0"/>
                <w:sz w:val="24"/>
                <w:szCs w:val="24"/>
                <w:highlight w:val="none"/>
                <w:shd w:val="clear" w:color="auto" w:fill="FFFFFF"/>
                <w:lang w:val="en-US" w:eastAsia="zh-CN"/>
              </w:rPr>
              <w:t>使用规则：对列入失信被执行人、重大税收违法案件当事人名单、政府采购严重违法失信行为记录名单的供应商，其谈判无效</w:t>
            </w:r>
            <w:r>
              <w:rPr>
                <w:rFonts w:hint="eastAsia" w:ascii="宋体" w:hAnsi="宋体" w:eastAsia="宋体" w:cs="宋体"/>
                <w:i w:val="0"/>
                <w:caps w:val="0"/>
                <w:color w:val="auto"/>
                <w:spacing w:val="0"/>
                <w:sz w:val="24"/>
                <w:szCs w:val="24"/>
                <w:highlight w:val="none"/>
                <w:shd w:val="clear" w:color="auto" w:fill="FFFFFF"/>
                <w:lang w:val="en-US" w:eastAsia="zh-CN"/>
              </w:rPr>
              <w:t>。</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color w:val="auto"/>
                <w:sz w:val="24"/>
                <w:szCs w:val="24"/>
                <w:highlight w:val="none"/>
              </w:rPr>
              <w:t>以上为必备资质，缺一项或某项达不到要求，按无效</w:t>
            </w:r>
            <w:r>
              <w:rPr>
                <w:rFonts w:hint="eastAsia" w:ascii="宋体" w:hAnsi="宋体" w:eastAsia="宋体" w:cs="宋体"/>
                <w:b/>
                <w:color w:val="auto"/>
                <w:sz w:val="24"/>
                <w:szCs w:val="24"/>
                <w:highlight w:val="none"/>
                <w:lang w:eastAsia="zh-CN"/>
              </w:rPr>
              <w:t>谈判</w:t>
            </w:r>
            <w:r>
              <w:rPr>
                <w:rFonts w:hint="eastAsia" w:ascii="宋体" w:hAnsi="宋体" w:eastAsia="宋体" w:cs="宋体"/>
                <w:b/>
                <w:color w:val="auto"/>
                <w:sz w:val="24"/>
                <w:szCs w:val="24"/>
                <w:highlight w:val="none"/>
              </w:rPr>
              <w:t>处理</w:t>
            </w:r>
            <w:r>
              <w:rPr>
                <w:rFonts w:hint="eastAsia" w:ascii="宋体" w:hAnsi="宋体" w:eastAsia="宋体" w:cs="宋体"/>
                <w:b/>
                <w:color w:val="auto"/>
                <w:sz w:val="24"/>
                <w:szCs w:val="24"/>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9" w:hRule="atLeast"/>
          <w:jc w:val="center"/>
        </w:trPr>
        <w:tc>
          <w:tcPr>
            <w:tcW w:w="592"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7</w:t>
            </w:r>
          </w:p>
        </w:tc>
        <w:tc>
          <w:tcPr>
            <w:tcW w:w="1034" w:type="dxa"/>
            <w:tcBorders>
              <w:top w:val="single" w:color="auto" w:sz="4" w:space="0"/>
              <w:bottom w:val="single" w:color="auto" w:sz="4" w:space="0"/>
            </w:tcBorders>
            <w:vAlign w:val="bottom"/>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15.1</w:t>
            </w:r>
          </w:p>
        </w:tc>
        <w:tc>
          <w:tcPr>
            <w:tcW w:w="8364" w:type="dxa"/>
            <w:tcBorders>
              <w:top w:val="single" w:color="auto" w:sz="4" w:space="0"/>
              <w:bottom w:val="single" w:color="auto" w:sz="4" w:space="0"/>
            </w:tcBorders>
            <w:vAlign w:val="bottom"/>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谈判有效期:提交谈判响应文件的截止之日起90天。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2" w:hRule="atLeast"/>
          <w:jc w:val="center"/>
        </w:trPr>
        <w:tc>
          <w:tcPr>
            <w:tcW w:w="59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8</w:t>
            </w:r>
          </w:p>
        </w:tc>
        <w:tc>
          <w:tcPr>
            <w:tcW w:w="10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16.1</w:t>
            </w:r>
          </w:p>
        </w:tc>
        <w:tc>
          <w:tcPr>
            <w:tcW w:w="8364"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正本的份数：</w:t>
            </w:r>
            <w:r>
              <w:rPr>
                <w:rFonts w:hint="eastAsia" w:ascii="宋体" w:hAnsi="宋体" w:eastAsia="宋体" w:cs="宋体"/>
                <w:sz w:val="24"/>
                <w:szCs w:val="24"/>
                <w:highlight w:val="none"/>
                <w:u w:val="single"/>
              </w:rPr>
              <w:t xml:space="preserve"> 壹 </w:t>
            </w:r>
            <w:r>
              <w:rPr>
                <w:rFonts w:hint="eastAsia" w:ascii="宋体" w:hAnsi="宋体" w:eastAsia="宋体" w:cs="宋体"/>
                <w:sz w:val="24"/>
                <w:szCs w:val="24"/>
                <w:highlight w:val="none"/>
              </w:rPr>
              <w:t xml:space="preserve"> 份；副本的份数:</w:t>
            </w:r>
            <w:r>
              <w:rPr>
                <w:rFonts w:hint="eastAsia" w:ascii="宋体" w:hAnsi="宋体" w:eastAsia="宋体" w:cs="宋体"/>
                <w:sz w:val="24"/>
                <w:szCs w:val="24"/>
                <w:highlight w:val="none"/>
                <w:u w:val="single"/>
              </w:rPr>
              <w:t xml:space="preserve"> 贰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；报价一览表：</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壹</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eastAsia="zh-CN"/>
              </w:rPr>
              <w:t>份；电子版（U盘）：</w:t>
            </w:r>
            <w:r>
              <w:rPr>
                <w:rFonts w:hint="eastAsia" w:ascii="宋体" w:hAnsi="宋体" w:eastAsia="宋体" w:cs="宋体"/>
                <w:sz w:val="24"/>
                <w:szCs w:val="24"/>
                <w:highlight w:val="none"/>
                <w:u w:val="single"/>
                <w:lang w:val="en-US" w:eastAsia="zh-CN"/>
              </w:rPr>
              <w:t xml:space="preserve"> 贰 </w:t>
            </w:r>
            <w:r>
              <w:rPr>
                <w:rFonts w:hint="eastAsia" w:ascii="宋体" w:hAnsi="宋体" w:eastAsia="宋体" w:cs="宋体"/>
                <w:sz w:val="24"/>
                <w:szCs w:val="24"/>
                <w:highlight w:val="none"/>
                <w:lang w:eastAsia="zh-CN"/>
              </w:rPr>
              <w:t>份（需在盘面上标注</w:t>
            </w:r>
            <w:r>
              <w:rPr>
                <w:rFonts w:hint="eastAsia" w:ascii="宋体" w:hAnsi="宋体" w:eastAsia="宋体" w:cs="宋体"/>
                <w:sz w:val="24"/>
                <w:szCs w:val="24"/>
                <w:highlight w:val="none"/>
                <w:lang w:val="en-US" w:eastAsia="zh-CN"/>
              </w:rPr>
              <w:t>供应商全称、项目名称、编号）</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电子版包括：电子U盘内须附</w:t>
            </w:r>
            <w:r>
              <w:rPr>
                <w:rFonts w:hint="eastAsia" w:ascii="宋体" w:hAnsi="宋体" w:cs="宋体"/>
                <w:b/>
                <w:bCs/>
                <w:sz w:val="24"/>
                <w:szCs w:val="24"/>
                <w:highlight w:val="none"/>
                <w:lang w:val="en-US" w:eastAsia="zh-CN"/>
              </w:rPr>
              <w:t>谈判</w:t>
            </w:r>
            <w:r>
              <w:rPr>
                <w:rFonts w:hint="eastAsia" w:ascii="宋体" w:hAnsi="宋体" w:eastAsia="宋体" w:cs="宋体"/>
                <w:b/>
                <w:bCs/>
                <w:sz w:val="24"/>
                <w:szCs w:val="24"/>
                <w:highlight w:val="none"/>
                <w:lang w:val="en-US" w:eastAsia="zh-CN"/>
              </w:rPr>
              <w:t>响应文件WORD版本（可编辑）、完整彩色扫描件的PDF版本。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35" w:hRule="atLeast"/>
          <w:jc w:val="center"/>
        </w:trPr>
        <w:tc>
          <w:tcPr>
            <w:tcW w:w="59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9</w:t>
            </w:r>
          </w:p>
        </w:tc>
        <w:tc>
          <w:tcPr>
            <w:tcW w:w="10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17.2</w:t>
            </w:r>
          </w:p>
        </w:tc>
        <w:tc>
          <w:tcPr>
            <w:tcW w:w="8364"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sz w:val="24"/>
                <w:szCs w:val="24"/>
                <w:highlight w:val="none"/>
              </w:rPr>
            </w:pPr>
            <w:r>
              <w:rPr>
                <w:rFonts w:hint="eastAsia" w:ascii="宋体" w:hAnsi="宋体" w:eastAsia="宋体" w:cs="宋体"/>
                <w:sz w:val="24"/>
                <w:szCs w:val="24"/>
                <w:highlight w:val="none"/>
                <w:lang w:eastAsia="zh-CN"/>
              </w:rPr>
              <w:t>谈判响应文件正本、所有副本、电子版本、报价一览表分开密封装在单独的信封中（封袋不得有破损），且在信封上标明“正本”、“副本”、“电子版本”、“报价一览表”字样。封袋应加贴封条，并在封线处加盖谈判供应商公章，封袋正面要粘贴供应商名称、项目名称、项目编号等标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59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10</w:t>
            </w:r>
          </w:p>
        </w:tc>
        <w:tc>
          <w:tcPr>
            <w:tcW w:w="10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18.1</w:t>
            </w:r>
          </w:p>
        </w:tc>
        <w:tc>
          <w:tcPr>
            <w:tcW w:w="8364"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谈判响应文件递交截止时间：</w:t>
            </w:r>
            <w:r>
              <w:rPr>
                <w:rStyle w:val="94"/>
                <w:rFonts w:hint="eastAsia" w:ascii="宋体" w:hAnsi="宋体" w:eastAsia="宋体" w:cs="宋体"/>
                <w:color w:val="000000"/>
                <w:kern w:val="0"/>
                <w:sz w:val="24"/>
                <w:szCs w:val="24"/>
                <w:highlight w:val="none"/>
              </w:rPr>
              <w:t>2022年</w:t>
            </w:r>
            <w:r>
              <w:rPr>
                <w:rStyle w:val="94"/>
                <w:rFonts w:hint="eastAsia" w:ascii="宋体" w:hAnsi="宋体" w:cs="宋体"/>
                <w:color w:val="000000"/>
                <w:kern w:val="0"/>
                <w:sz w:val="24"/>
                <w:szCs w:val="24"/>
                <w:highlight w:val="none"/>
                <w:lang w:val="en-US"/>
              </w:rPr>
              <w:t>08</w:t>
            </w:r>
            <w:r>
              <w:rPr>
                <w:rStyle w:val="94"/>
                <w:rFonts w:hint="eastAsia" w:ascii="宋体" w:hAnsi="宋体" w:eastAsia="宋体" w:cs="宋体"/>
                <w:color w:val="000000"/>
                <w:kern w:val="0"/>
                <w:sz w:val="24"/>
                <w:szCs w:val="24"/>
                <w:highlight w:val="none"/>
              </w:rPr>
              <w:t>月</w:t>
            </w:r>
            <w:r>
              <w:rPr>
                <w:rStyle w:val="94"/>
                <w:rFonts w:hint="eastAsia" w:ascii="宋体" w:hAnsi="宋体" w:cs="宋体"/>
                <w:color w:val="000000"/>
                <w:kern w:val="0"/>
                <w:sz w:val="24"/>
                <w:szCs w:val="24"/>
                <w:highlight w:val="none"/>
                <w:lang w:val="en-US"/>
              </w:rPr>
              <w:t>03</w:t>
            </w:r>
            <w:r>
              <w:rPr>
                <w:rStyle w:val="94"/>
                <w:rFonts w:hint="eastAsia" w:ascii="宋体" w:hAnsi="宋体" w:eastAsia="宋体" w:cs="宋体"/>
                <w:color w:val="000000"/>
                <w:kern w:val="0"/>
                <w:sz w:val="24"/>
                <w:szCs w:val="24"/>
                <w:highlight w:val="none"/>
              </w:rPr>
              <w:t>日</w:t>
            </w:r>
            <w:r>
              <w:rPr>
                <w:rStyle w:val="94"/>
                <w:rFonts w:hint="eastAsia" w:ascii="宋体" w:hAnsi="宋体" w:cs="宋体"/>
                <w:sz w:val="24"/>
                <w:szCs w:val="24"/>
                <w:highlight w:val="none"/>
                <w:lang w:val="en-US"/>
              </w:rPr>
              <w:t>15</w:t>
            </w:r>
            <w:r>
              <w:rPr>
                <w:rStyle w:val="94"/>
                <w:rFonts w:hint="eastAsia" w:ascii="宋体" w:hAnsi="宋体" w:eastAsia="宋体" w:cs="宋体"/>
                <w:sz w:val="24"/>
                <w:szCs w:val="24"/>
                <w:highlight w:val="none"/>
              </w:rPr>
              <w:t>时</w:t>
            </w:r>
            <w:r>
              <w:rPr>
                <w:rStyle w:val="94"/>
                <w:rFonts w:hint="eastAsia" w:ascii="宋体" w:hAnsi="宋体" w:cs="宋体"/>
                <w:sz w:val="24"/>
                <w:szCs w:val="24"/>
                <w:highlight w:val="none"/>
                <w:lang w:val="en-US"/>
              </w:rPr>
              <w:t>00</w:t>
            </w:r>
            <w:r>
              <w:rPr>
                <w:rStyle w:val="94"/>
                <w:rFonts w:hint="eastAsia" w:ascii="宋体" w:hAnsi="宋体" w:eastAsia="宋体" w:cs="宋体"/>
                <w:sz w:val="24"/>
                <w:szCs w:val="24"/>
                <w:highlight w:val="none"/>
              </w:rPr>
              <w:t>分</w:t>
            </w:r>
            <w:r>
              <w:rPr>
                <w:rStyle w:val="94"/>
                <w:rFonts w:hint="eastAsia" w:ascii="宋体" w:hAnsi="宋体" w:eastAsia="宋体" w:cs="宋体"/>
                <w:sz w:val="24"/>
                <w:szCs w:val="24"/>
                <w:highlight w:val="none"/>
                <w:lang w:val="en-US"/>
              </w:rPr>
              <w:t>00</w:t>
            </w:r>
            <w:r>
              <w:rPr>
                <w:rStyle w:val="94"/>
                <w:rFonts w:hint="eastAsia" w:ascii="宋体" w:hAnsi="宋体" w:eastAsia="宋体" w:cs="宋体"/>
                <w:sz w:val="24"/>
                <w:szCs w:val="24"/>
                <w:highlight w:val="none"/>
              </w:rPr>
              <w:t>秒</w:t>
            </w:r>
            <w:r>
              <w:rPr>
                <w:rFonts w:hint="eastAsia" w:ascii="宋体" w:hAnsi="宋体" w:eastAsia="宋体" w:cs="宋体"/>
                <w:color w:val="000000"/>
                <w:sz w:val="24"/>
                <w:szCs w:val="24"/>
                <w:highlight w:val="none"/>
              </w:rPr>
              <w:t>(北京时间)</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spacing w:val="-6"/>
                <w:sz w:val="24"/>
                <w:szCs w:val="24"/>
                <w:highlight w:val="none"/>
              </w:rPr>
            </w:pPr>
            <w:r>
              <w:rPr>
                <w:rFonts w:hint="eastAsia" w:ascii="宋体" w:hAnsi="宋体" w:eastAsia="宋体" w:cs="宋体"/>
                <w:color w:val="000000"/>
                <w:sz w:val="24"/>
                <w:szCs w:val="24"/>
                <w:highlight w:val="none"/>
              </w:rPr>
              <w:t>谈判响应文件递交地址：</w:t>
            </w:r>
            <w:r>
              <w:rPr>
                <w:rFonts w:hint="eastAsia" w:ascii="宋体" w:hAnsi="宋体" w:eastAsia="宋体" w:cs="宋体"/>
                <w:sz w:val="24"/>
                <w:szCs w:val="24"/>
                <w:highlight w:val="none"/>
              </w:rPr>
              <w:t>西安市</w:t>
            </w:r>
            <w:r>
              <w:rPr>
                <w:rFonts w:hint="eastAsia" w:ascii="宋体" w:hAnsi="宋体" w:eastAsia="宋体" w:cs="宋体"/>
                <w:sz w:val="24"/>
                <w:szCs w:val="24"/>
                <w:highlight w:val="none"/>
                <w:lang w:eastAsia="zh-CN"/>
              </w:rPr>
              <w:t>未央区凤城五路与明光路十字天朗经开中心</w:t>
            </w:r>
            <w:r>
              <w:rPr>
                <w:rFonts w:hint="eastAsia" w:ascii="宋体" w:hAnsi="宋体" w:eastAsia="宋体" w:cs="宋体"/>
                <w:sz w:val="24"/>
                <w:szCs w:val="24"/>
                <w:highlight w:val="none"/>
                <w:lang w:val="en-US" w:eastAsia="zh-CN"/>
              </w:rPr>
              <w:t>10楼11002室</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谈判响应文件接收人</w:t>
            </w:r>
            <w:r>
              <w:rPr>
                <w:rFonts w:hint="eastAsia" w:ascii="宋体" w:hAnsi="宋体" w:eastAsia="宋体" w:cs="宋体"/>
                <w:color w:val="000000"/>
                <w:sz w:val="24"/>
                <w:szCs w:val="24"/>
                <w:highlight w:val="none"/>
                <w:lang w:eastAsia="zh-CN"/>
              </w:rPr>
              <w:t>：</w:t>
            </w:r>
            <w:r>
              <w:rPr>
                <w:rFonts w:hint="eastAsia" w:ascii="宋体" w:hAnsi="宋体" w:eastAsia="宋体" w:cs="宋体"/>
                <w:sz w:val="24"/>
                <w:szCs w:val="24"/>
                <w:highlight w:val="none"/>
              </w:rPr>
              <w:t>陕西嘉唐建设项目管理有限公司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2" w:hRule="atLeast"/>
          <w:jc w:val="center"/>
        </w:trPr>
        <w:tc>
          <w:tcPr>
            <w:tcW w:w="59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11</w:t>
            </w:r>
          </w:p>
        </w:tc>
        <w:tc>
          <w:tcPr>
            <w:tcW w:w="10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21.1</w:t>
            </w:r>
          </w:p>
        </w:tc>
        <w:tc>
          <w:tcPr>
            <w:tcW w:w="8364"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谈判时间：</w:t>
            </w:r>
            <w:r>
              <w:rPr>
                <w:rStyle w:val="94"/>
                <w:rFonts w:hint="eastAsia" w:ascii="宋体" w:hAnsi="宋体" w:eastAsia="宋体" w:cs="宋体"/>
                <w:color w:val="000000"/>
                <w:kern w:val="0"/>
                <w:sz w:val="24"/>
                <w:szCs w:val="24"/>
                <w:highlight w:val="none"/>
              </w:rPr>
              <w:t>2022年0</w:t>
            </w:r>
            <w:r>
              <w:rPr>
                <w:rStyle w:val="94"/>
                <w:rFonts w:hint="eastAsia" w:ascii="宋体" w:hAnsi="宋体" w:cs="宋体"/>
                <w:color w:val="000000"/>
                <w:kern w:val="0"/>
                <w:sz w:val="24"/>
                <w:szCs w:val="24"/>
                <w:highlight w:val="none"/>
                <w:lang w:val="en-US"/>
              </w:rPr>
              <w:t>8</w:t>
            </w:r>
            <w:r>
              <w:rPr>
                <w:rStyle w:val="94"/>
                <w:rFonts w:hint="eastAsia" w:ascii="宋体" w:hAnsi="宋体" w:eastAsia="宋体" w:cs="宋体"/>
                <w:color w:val="000000"/>
                <w:kern w:val="0"/>
                <w:sz w:val="24"/>
                <w:szCs w:val="24"/>
                <w:highlight w:val="none"/>
              </w:rPr>
              <w:t>月</w:t>
            </w:r>
            <w:r>
              <w:rPr>
                <w:rStyle w:val="94"/>
                <w:rFonts w:hint="eastAsia" w:ascii="宋体" w:hAnsi="宋体" w:cs="宋体"/>
                <w:color w:val="000000"/>
                <w:kern w:val="0"/>
                <w:sz w:val="24"/>
                <w:szCs w:val="24"/>
                <w:highlight w:val="none"/>
                <w:lang w:val="en-US"/>
              </w:rPr>
              <w:t>03</w:t>
            </w:r>
            <w:r>
              <w:rPr>
                <w:rStyle w:val="94"/>
                <w:rFonts w:hint="eastAsia" w:ascii="宋体" w:hAnsi="宋体" w:eastAsia="宋体" w:cs="宋体"/>
                <w:color w:val="000000"/>
                <w:kern w:val="0"/>
                <w:sz w:val="24"/>
                <w:szCs w:val="24"/>
                <w:highlight w:val="none"/>
              </w:rPr>
              <w:t>日</w:t>
            </w:r>
            <w:r>
              <w:rPr>
                <w:rStyle w:val="94"/>
                <w:rFonts w:hint="eastAsia" w:ascii="宋体" w:hAnsi="宋体" w:cs="宋体"/>
                <w:sz w:val="24"/>
                <w:szCs w:val="24"/>
                <w:highlight w:val="none"/>
                <w:lang w:val="en-US"/>
              </w:rPr>
              <w:t>15</w:t>
            </w:r>
            <w:r>
              <w:rPr>
                <w:rStyle w:val="94"/>
                <w:rFonts w:hint="eastAsia" w:ascii="宋体" w:hAnsi="宋体" w:eastAsia="宋体" w:cs="宋体"/>
                <w:sz w:val="24"/>
                <w:szCs w:val="24"/>
                <w:highlight w:val="none"/>
              </w:rPr>
              <w:t>时</w:t>
            </w:r>
            <w:r>
              <w:rPr>
                <w:rStyle w:val="94"/>
                <w:rFonts w:hint="eastAsia" w:ascii="宋体" w:hAnsi="宋体" w:cs="宋体"/>
                <w:sz w:val="24"/>
                <w:szCs w:val="24"/>
                <w:highlight w:val="none"/>
                <w:lang w:val="en-US"/>
              </w:rPr>
              <w:t>00</w:t>
            </w:r>
            <w:r>
              <w:rPr>
                <w:rStyle w:val="94"/>
                <w:rFonts w:hint="eastAsia" w:ascii="宋体" w:hAnsi="宋体" w:eastAsia="宋体" w:cs="宋体"/>
                <w:sz w:val="24"/>
                <w:szCs w:val="24"/>
                <w:highlight w:val="none"/>
              </w:rPr>
              <w:t>分</w:t>
            </w:r>
            <w:r>
              <w:rPr>
                <w:rStyle w:val="94"/>
                <w:rFonts w:hint="eastAsia" w:ascii="宋体" w:hAnsi="宋体" w:eastAsia="宋体" w:cs="宋体"/>
                <w:sz w:val="24"/>
                <w:szCs w:val="24"/>
                <w:highlight w:val="none"/>
                <w:lang w:val="en-US"/>
              </w:rPr>
              <w:t>00</w:t>
            </w:r>
            <w:r>
              <w:rPr>
                <w:rStyle w:val="94"/>
                <w:rFonts w:hint="eastAsia" w:ascii="宋体" w:hAnsi="宋体" w:eastAsia="宋体" w:cs="宋体"/>
                <w:sz w:val="24"/>
                <w:szCs w:val="24"/>
                <w:highlight w:val="none"/>
              </w:rPr>
              <w:t>秒</w:t>
            </w:r>
            <w:r>
              <w:rPr>
                <w:rFonts w:hint="eastAsia" w:ascii="宋体" w:hAnsi="宋体" w:eastAsia="宋体" w:cs="宋体"/>
                <w:color w:val="000000"/>
                <w:sz w:val="24"/>
                <w:szCs w:val="24"/>
                <w:highlight w:val="none"/>
              </w:rPr>
              <w:t>(北京时间)</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谈判地点：</w:t>
            </w:r>
            <w:r>
              <w:rPr>
                <w:rFonts w:hint="eastAsia" w:ascii="宋体" w:hAnsi="宋体" w:eastAsia="宋体" w:cs="宋体"/>
                <w:sz w:val="24"/>
                <w:szCs w:val="24"/>
                <w:highlight w:val="none"/>
              </w:rPr>
              <w:t>西安市</w:t>
            </w:r>
            <w:r>
              <w:rPr>
                <w:rFonts w:hint="eastAsia" w:ascii="宋体" w:hAnsi="宋体" w:eastAsia="宋体" w:cs="宋体"/>
                <w:sz w:val="24"/>
                <w:szCs w:val="24"/>
                <w:highlight w:val="none"/>
                <w:lang w:eastAsia="zh-CN"/>
              </w:rPr>
              <w:t>未央区凤城五路与明光路十字天朗经开中心</w:t>
            </w:r>
            <w:r>
              <w:rPr>
                <w:rFonts w:hint="eastAsia" w:ascii="宋体" w:hAnsi="宋体" w:eastAsia="宋体" w:cs="宋体"/>
                <w:sz w:val="24"/>
                <w:szCs w:val="24"/>
                <w:highlight w:val="none"/>
                <w:lang w:val="en-US" w:eastAsia="zh-CN"/>
              </w:rPr>
              <w:t>10楼11002室。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12</w:t>
            </w:r>
          </w:p>
        </w:tc>
        <w:tc>
          <w:tcPr>
            <w:tcW w:w="10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24.1</w:t>
            </w:r>
          </w:p>
        </w:tc>
        <w:tc>
          <w:tcPr>
            <w:tcW w:w="8364"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评审方法：最低评标价法 （详见第五章）。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59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13</w:t>
            </w:r>
          </w:p>
        </w:tc>
        <w:tc>
          <w:tcPr>
            <w:tcW w:w="10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29</w:t>
            </w:r>
          </w:p>
        </w:tc>
        <w:tc>
          <w:tcPr>
            <w:tcW w:w="8364"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540" w:rightChars="257"/>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招标代理服务费</w:t>
            </w:r>
            <w:r>
              <w:rPr>
                <w:rFonts w:hint="eastAsia" w:ascii="宋体" w:hAnsi="宋体" w:eastAsia="宋体" w:cs="宋体"/>
                <w:b/>
                <w:bCs/>
                <w:color w:val="000000"/>
                <w:sz w:val="24"/>
                <w:szCs w:val="24"/>
                <w:highlight w:val="non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highlight w:val="none"/>
              </w:rPr>
            </w:pPr>
            <w:bookmarkStart w:id="15" w:name="OLE_LINK10"/>
            <w:bookmarkStart w:id="16" w:name="OLE_LINK9"/>
            <w:r>
              <w:rPr>
                <w:rFonts w:hint="eastAsia" w:ascii="宋体" w:hAnsi="宋体" w:eastAsia="宋体" w:cs="宋体"/>
                <w:sz w:val="24"/>
                <w:szCs w:val="24"/>
                <w:highlight w:val="none"/>
                <w:lang w:val="en-US" w:eastAsia="zh-CN"/>
              </w:rPr>
              <w:t>29.1</w:t>
            </w:r>
            <w:bookmarkEnd w:id="15"/>
            <w:bookmarkEnd w:id="16"/>
            <w:r>
              <w:rPr>
                <w:rFonts w:hint="eastAsia" w:ascii="宋体" w:hAnsi="宋体" w:eastAsia="宋体" w:cs="宋体"/>
                <w:sz w:val="24"/>
                <w:highlight w:val="none"/>
                <w:lang w:val="en-US" w:eastAsia="zh-CN"/>
              </w:rPr>
              <w:t>招标代理服务费的计算方法：参照国家计委颁发的《招标代理服务收费管理暂行办法》（计价格[2002]1980号）和国家发展改革委员会办公厅颁发的《关于招标代理服务收费有关问题的通知》（发改办价格[2003]857号）的有关规定执行,不足壹万元按壹万元计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spacing w:val="-20"/>
                <w:sz w:val="24"/>
                <w:szCs w:val="24"/>
                <w:highlight w:val="none"/>
              </w:rPr>
            </w:pPr>
            <w:r>
              <w:rPr>
                <w:rFonts w:hint="eastAsia" w:ascii="宋体" w:hAnsi="宋体" w:eastAsia="宋体" w:cs="宋体"/>
                <w:color w:val="000000"/>
                <w:sz w:val="24"/>
                <w:szCs w:val="24"/>
                <w:highlight w:val="none"/>
                <w:lang w:val="en-US" w:eastAsia="zh-CN"/>
              </w:rPr>
              <w:t>29.2</w:t>
            </w:r>
            <w:r>
              <w:rPr>
                <w:rFonts w:hint="eastAsia" w:ascii="宋体" w:hAnsi="宋体" w:eastAsia="宋体" w:cs="宋体"/>
                <w:color w:val="000000"/>
                <w:sz w:val="24"/>
                <w:szCs w:val="24"/>
                <w:highlight w:val="none"/>
              </w:rPr>
              <w:t>成交单位在领取成交通知书前，须向采购代理机构支付代理服务费。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14</w:t>
            </w:r>
          </w:p>
        </w:tc>
        <w:tc>
          <w:tcPr>
            <w:tcW w:w="10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银行</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账户</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eastAsia="zh-CN"/>
              </w:rPr>
              <w:t>信息</w:t>
            </w:r>
          </w:p>
        </w:tc>
        <w:tc>
          <w:tcPr>
            <w:tcW w:w="836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代理服务费账户：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公司名称：陕西嘉唐建设项目管理有限公司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账    号:  112011580000141313</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开 户 行：西安银行股份有限公司含光门支行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b/>
                <w:bCs/>
                <w:color w:val="auto"/>
                <w:sz w:val="24"/>
                <w:szCs w:val="24"/>
                <w:highlight w:val="none"/>
                <w:lang w:val="en-US" w:eastAsia="zh-CN"/>
              </w:rPr>
              <w:t>请成交供应商按照要求将服务费汇入以上指定账户，如因自身原因发生错误，产生的不利后果均由供应商自行承担。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59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B050"/>
                <w:kern w:val="2"/>
                <w:sz w:val="24"/>
                <w:szCs w:val="24"/>
                <w:highlight w:val="none"/>
                <w:lang w:val="en-US" w:eastAsia="zh-CN" w:bidi="ar-SA"/>
              </w:rPr>
            </w:pPr>
            <w:r>
              <w:rPr>
                <w:rFonts w:hint="eastAsia" w:ascii="宋体" w:hAnsi="宋体" w:eastAsia="宋体" w:cs="宋体"/>
                <w:sz w:val="24"/>
                <w:szCs w:val="24"/>
                <w:highlight w:val="none"/>
                <w:lang w:val="en-US" w:eastAsia="zh-CN"/>
              </w:rPr>
              <w:t>15</w:t>
            </w:r>
          </w:p>
        </w:tc>
        <w:tc>
          <w:tcPr>
            <w:tcW w:w="103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31.1</w:t>
            </w:r>
          </w:p>
        </w:tc>
        <w:tc>
          <w:tcPr>
            <w:tcW w:w="8364"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履约验收：</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val="en-US" w:eastAsia="zh-CN"/>
              </w:rPr>
              <w:t>涉及履约验收的，验收费用由成交供应商支付，费用标准按成交金额的5‰计算，不足5000元的，按5000元收取。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59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16</w:t>
            </w:r>
          </w:p>
        </w:tc>
        <w:tc>
          <w:tcPr>
            <w:tcW w:w="10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履约</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B050"/>
                <w:sz w:val="24"/>
                <w:szCs w:val="24"/>
                <w:highlight w:val="none"/>
                <w:lang w:val="en-US" w:eastAsia="zh-CN"/>
              </w:rPr>
            </w:pPr>
            <w:r>
              <w:rPr>
                <w:rFonts w:hint="eastAsia" w:ascii="宋体" w:hAnsi="宋体" w:eastAsia="宋体" w:cs="宋体"/>
                <w:b/>
                <w:bCs/>
                <w:color w:val="auto"/>
                <w:sz w:val="24"/>
                <w:szCs w:val="24"/>
                <w:highlight w:val="none"/>
                <w:lang w:val="en-US" w:eastAsia="zh-CN"/>
              </w:rPr>
              <w:t>保证金</w:t>
            </w:r>
          </w:p>
        </w:tc>
        <w:tc>
          <w:tcPr>
            <w:tcW w:w="8364"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本项目不要求提供。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55" w:hRule="atLeast"/>
          <w:jc w:val="center"/>
        </w:trPr>
        <w:tc>
          <w:tcPr>
            <w:tcW w:w="59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17</w:t>
            </w:r>
          </w:p>
        </w:tc>
        <w:tc>
          <w:tcPr>
            <w:tcW w:w="10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核心产品</w:t>
            </w:r>
          </w:p>
        </w:tc>
        <w:tc>
          <w:tcPr>
            <w:tcW w:w="8364"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kern w:val="0"/>
                <w:sz w:val="24"/>
                <w:szCs w:val="24"/>
                <w:highlight w:val="none"/>
                <w:lang w:val="en-US" w:eastAsia="zh-CN"/>
              </w:rPr>
            </w:pPr>
            <w:r>
              <w:rPr>
                <w:rFonts w:hint="eastAsia" w:ascii="宋体" w:hAnsi="宋体" w:eastAsia="宋体" w:cs="宋体"/>
                <w:sz w:val="24"/>
                <w:szCs w:val="24"/>
                <w:highlight w:val="none"/>
                <w:lang w:val="en-US" w:eastAsia="zh-CN"/>
              </w:rPr>
              <w:t>智能系统控制柜</w:t>
            </w:r>
            <w:r>
              <w:rPr>
                <w:rFonts w:hint="eastAsia" w:ascii="宋体" w:hAnsi="宋体" w:cs="宋体"/>
                <w:sz w:val="24"/>
                <w:szCs w:val="24"/>
                <w:highlight w:val="none"/>
                <w:lang w:val="en-US" w:eastAsia="zh-CN"/>
              </w:rPr>
              <w:t>、双联折叠龙头、全新钢塑水槽柜。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55" w:hRule="atLeast"/>
          <w:jc w:val="center"/>
        </w:trPr>
        <w:tc>
          <w:tcPr>
            <w:tcW w:w="59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18</w:t>
            </w:r>
          </w:p>
        </w:tc>
        <w:tc>
          <w:tcPr>
            <w:tcW w:w="10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融资平台</w:t>
            </w:r>
          </w:p>
        </w:tc>
        <w:tc>
          <w:tcPr>
            <w:tcW w:w="8364"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 xml:space="preserve">   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陕西政府采购信用融资平台（含各市分平台）”查询并办理相关业务。</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根据《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网址：http://www.ccgp-shaanxi.gov.cn/zcdservice/zcd/shanxi/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55" w:hRule="atLeast"/>
          <w:jc w:val="center"/>
        </w:trPr>
        <w:tc>
          <w:tcPr>
            <w:tcW w:w="592"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bookmarkStart w:id="17" w:name="_Toc393284380"/>
            <w:bookmarkStart w:id="18" w:name="_Toc393281138"/>
            <w:bookmarkStart w:id="19" w:name="_Toc370906267"/>
            <w:bookmarkStart w:id="20" w:name="_Toc389836556"/>
            <w:bookmarkStart w:id="21" w:name="_Toc393284673"/>
          </w:p>
        </w:tc>
        <w:tc>
          <w:tcPr>
            <w:tcW w:w="1034" w:type="dxa"/>
            <w:vAlign w:val="center"/>
          </w:tcPr>
          <w:p>
            <w:pPr>
              <w:pStyle w:val="95"/>
              <w:spacing w:line="360" w:lineRule="auto"/>
              <w:ind w:firstLine="0" w:firstLineChars="0"/>
              <w:jc w:val="center"/>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rPr>
              <w:t>其他</w:t>
            </w:r>
          </w:p>
        </w:tc>
        <w:tc>
          <w:tcPr>
            <w:tcW w:w="8364" w:type="dxa"/>
            <w:vAlign w:val="center"/>
          </w:tcPr>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1.本项目属性为货物。</w:t>
            </w: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2.本项目采购标的所属行业为</w:t>
            </w:r>
            <w:r>
              <w:rPr>
                <w:rFonts w:hint="eastAsia" w:ascii="宋体" w:hAnsi="宋体" w:eastAsia="宋体" w:cs="宋体"/>
                <w:b/>
                <w:bCs/>
                <w:color w:val="auto"/>
                <w:sz w:val="24"/>
                <w:highlight w:val="none"/>
              </w:rPr>
              <w:t>工业</w:t>
            </w:r>
            <w:r>
              <w:rPr>
                <w:rFonts w:hint="eastAsia" w:ascii="宋体" w:hAnsi="宋体" w:eastAsia="宋体" w:cs="宋体"/>
                <w:color w:val="auto"/>
                <w:sz w:val="24"/>
                <w:highlight w:val="none"/>
              </w:rPr>
              <w:t>。</w:t>
            </w:r>
          </w:p>
          <w:p>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3.按照《西安市财政局关于促进政府采购公平竞争优化营商环境的通知》（市财函〔2021) 431号）规定：供应商登记免费领取招标文件的，如不参与项目投标，应在递交投标文件截止时间前一日以书面形式（格式如下，签字盖章后发回代理机构邮箱shanxijiatang@163.com即可）告知釆购代理机构。否则，采购代理机构可以向财政部门反映情况并提供相应的佐证。供应商一年内累计出现三次该情形，将被监管部门记录为失信行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不参与投标告知函</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（招标代理机构名称）：</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经研究决定，由于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（不参与原因），我单位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（单位名称）确认不参与关于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（项目名称）的投标活动。</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特此说明！</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单位名称（盖章）：</w:t>
            </w:r>
          </w:p>
          <w:p>
            <w:pPr>
              <w:pStyle w:val="95"/>
              <w:spacing w:line="360" w:lineRule="auto"/>
              <w:ind w:firstLine="480" w:firstLineChars="200"/>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rPr>
              <w:t>法定代表人或授权代表（签字或盖章）：</w:t>
            </w:r>
          </w:p>
        </w:tc>
      </w:tr>
    </w:tbl>
    <w:p>
      <w:pPr>
        <w:spacing w:before="156" w:beforeLines="50" w:line="360" w:lineRule="auto"/>
        <w:jc w:val="center"/>
        <w:rPr>
          <w:rFonts w:hint="eastAsia" w:ascii="宋体" w:hAnsi="宋体" w:eastAsia="宋体" w:cs="宋体"/>
          <w:b/>
          <w:sz w:val="32"/>
          <w:szCs w:val="32"/>
          <w:highlight w:val="none"/>
        </w:rPr>
      </w:pPr>
    </w:p>
    <w:p>
      <w:pPr>
        <w:spacing w:before="156" w:beforeLines="50" w:line="360" w:lineRule="auto"/>
        <w:jc w:val="center"/>
        <w:rPr>
          <w:rFonts w:hint="eastAsia" w:ascii="宋体" w:hAnsi="宋体" w:eastAsia="宋体" w:cs="宋体"/>
          <w:b/>
          <w:sz w:val="32"/>
          <w:szCs w:val="32"/>
          <w:highlight w:val="none"/>
        </w:rPr>
      </w:pPr>
    </w:p>
    <w:p>
      <w:pPr>
        <w:spacing w:before="156" w:beforeLines="50" w:line="360" w:lineRule="auto"/>
        <w:jc w:val="center"/>
        <w:rPr>
          <w:rFonts w:hint="eastAsia" w:ascii="宋体" w:hAnsi="宋体" w:eastAsia="宋体" w:cs="宋体"/>
          <w:b/>
          <w:sz w:val="32"/>
          <w:szCs w:val="32"/>
          <w:highlight w:val="none"/>
        </w:rPr>
      </w:pPr>
    </w:p>
    <w:p>
      <w:pPr>
        <w:spacing w:before="156" w:beforeLines="50" w:line="360" w:lineRule="auto"/>
        <w:jc w:val="center"/>
        <w:rPr>
          <w:rFonts w:hint="eastAsia" w:ascii="宋体" w:hAnsi="宋体" w:eastAsia="宋体" w:cs="宋体"/>
          <w:b/>
          <w:sz w:val="32"/>
          <w:szCs w:val="32"/>
          <w:highlight w:val="none"/>
        </w:rPr>
      </w:pPr>
    </w:p>
    <w:p>
      <w:pPr>
        <w:spacing w:before="156" w:beforeLines="50" w:line="360" w:lineRule="auto"/>
        <w:jc w:val="center"/>
        <w:rPr>
          <w:rFonts w:hint="eastAsia" w:ascii="宋体" w:hAnsi="宋体" w:eastAsia="宋体" w:cs="宋体"/>
          <w:b/>
          <w:sz w:val="32"/>
          <w:szCs w:val="32"/>
          <w:highlight w:val="none"/>
        </w:rPr>
      </w:pPr>
    </w:p>
    <w:p>
      <w:pPr>
        <w:spacing w:before="156" w:beforeLines="50" w:line="360" w:lineRule="auto"/>
        <w:jc w:val="center"/>
        <w:rPr>
          <w:rFonts w:hint="eastAsia" w:ascii="宋体" w:hAnsi="宋体" w:eastAsia="宋体" w:cs="宋体"/>
          <w:b/>
          <w:sz w:val="32"/>
          <w:szCs w:val="32"/>
          <w:highlight w:val="none"/>
        </w:rPr>
      </w:pPr>
    </w:p>
    <w:p>
      <w:pPr>
        <w:spacing w:before="156" w:beforeLines="50" w:line="360" w:lineRule="auto"/>
        <w:jc w:val="center"/>
        <w:rPr>
          <w:rFonts w:hint="eastAsia" w:ascii="宋体" w:hAnsi="宋体" w:eastAsia="宋体" w:cs="宋体"/>
          <w:b/>
          <w:sz w:val="32"/>
          <w:szCs w:val="32"/>
          <w:highlight w:val="none"/>
        </w:rPr>
      </w:pPr>
    </w:p>
    <w:p>
      <w:pPr>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p>
    <w:p>
      <w:pPr>
        <w:spacing w:before="156" w:beforeLines="50"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一.总  则</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1.资金来源</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1.1本次竞争性谈判采购所签合同使用财政性资金支付，资金已落实到位。</w:t>
      </w:r>
    </w:p>
    <w:p>
      <w:pPr>
        <w:keepNext w:val="0"/>
        <w:keepLines w:val="0"/>
        <w:pageBreakBefore w:val="0"/>
        <w:widowControl w:val="0"/>
        <w:numPr>
          <w:ilvl w:val="0"/>
          <w:numId w:val="2"/>
        </w:numPr>
        <w:kinsoku/>
        <w:wordWrap/>
        <w:overflowPunct/>
        <w:topLinePunct w:val="0"/>
        <w:autoSpaceDE/>
        <w:autoSpaceDN/>
        <w:bidi w:val="0"/>
        <w:spacing w:line="500" w:lineRule="exact"/>
        <w:ind w:left="0" w:leftChars="0" w:right="0" w:rightChars="0"/>
        <w:jc w:val="both"/>
        <w:textAlignment w:val="auto"/>
        <w:outlineLvl w:val="9"/>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名词解释</w:t>
      </w:r>
    </w:p>
    <w:p>
      <w:pPr>
        <w:keepNext w:val="0"/>
        <w:keepLines w:val="0"/>
        <w:pageBreakBefore w:val="0"/>
        <w:widowControl w:val="0"/>
        <w:tabs>
          <w:tab w:val="left" w:pos="7665"/>
        </w:tabs>
        <w:kinsoku/>
        <w:wordWrap/>
        <w:overflowPunct/>
        <w:topLinePunct w:val="0"/>
        <w:autoSpaceDE/>
        <w:autoSpaceDN/>
        <w:bidi w:val="0"/>
        <w:spacing w:line="500" w:lineRule="exact"/>
        <w:ind w:left="0" w:leftChars="0" w:right="0" w:rightChars="0" w:firstLine="480" w:firstLineChars="200"/>
        <w:jc w:val="both"/>
        <w:textAlignment w:val="auto"/>
        <w:outlineLvl w:val="9"/>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rPr>
        <w:t>2.1采购人：</w:t>
      </w:r>
      <w:r>
        <w:rPr>
          <w:rFonts w:hint="eastAsia" w:ascii="宋体" w:hAnsi="宋体" w:cs="宋体"/>
          <w:color w:val="000000"/>
          <w:sz w:val="24"/>
          <w:highlight w:val="none"/>
          <w:lang w:val="en-US" w:eastAsia="zh-CN"/>
        </w:rPr>
        <w:t>西安市第八十六中学</w:t>
      </w:r>
    </w:p>
    <w:p>
      <w:pPr>
        <w:keepNext w:val="0"/>
        <w:keepLines w:val="0"/>
        <w:pageBreakBefore w:val="0"/>
        <w:widowControl w:val="0"/>
        <w:tabs>
          <w:tab w:val="left" w:pos="7665"/>
        </w:tabs>
        <w:kinsoku/>
        <w:wordWrap/>
        <w:overflowPunct/>
        <w:topLinePunct w:val="0"/>
        <w:autoSpaceDE/>
        <w:autoSpaceDN/>
        <w:bidi w:val="0"/>
        <w:spacing w:line="500" w:lineRule="exact"/>
        <w:ind w:left="0" w:leftChars="0" w:right="0" w:rightChars="0" w:firstLine="480" w:firstLineChars="200"/>
        <w:jc w:val="both"/>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2.2监督机构：</w:t>
      </w:r>
      <w:r>
        <w:rPr>
          <w:rFonts w:hint="eastAsia" w:ascii="宋体" w:hAnsi="宋体" w:eastAsia="宋体" w:cs="宋体"/>
          <w:color w:val="000000"/>
          <w:sz w:val="24"/>
          <w:highlight w:val="none"/>
          <w:lang w:val="en-US" w:eastAsia="zh-CN"/>
        </w:rPr>
        <w:t>西安市</w:t>
      </w:r>
      <w:r>
        <w:rPr>
          <w:rFonts w:hint="eastAsia" w:ascii="宋体" w:hAnsi="宋体" w:cs="宋体"/>
          <w:color w:val="000000"/>
          <w:sz w:val="24"/>
          <w:highlight w:val="none"/>
          <w:lang w:eastAsia="zh-CN"/>
        </w:rPr>
        <w:t>碑林区</w:t>
      </w:r>
      <w:r>
        <w:rPr>
          <w:rFonts w:hint="eastAsia" w:ascii="宋体" w:hAnsi="宋体" w:eastAsia="宋体" w:cs="宋体"/>
          <w:color w:val="000000"/>
          <w:sz w:val="24"/>
          <w:highlight w:val="none"/>
          <w:lang w:eastAsia="zh-CN"/>
        </w:rPr>
        <w:t>财政局、西安市</w:t>
      </w:r>
      <w:r>
        <w:rPr>
          <w:rFonts w:hint="eastAsia" w:ascii="宋体" w:hAnsi="宋体" w:cs="宋体"/>
          <w:color w:val="000000"/>
          <w:sz w:val="24"/>
          <w:highlight w:val="none"/>
          <w:lang w:eastAsia="zh-CN"/>
        </w:rPr>
        <w:t>碑林区</w:t>
      </w:r>
      <w:r>
        <w:rPr>
          <w:rFonts w:hint="eastAsia" w:ascii="宋体" w:hAnsi="宋体" w:eastAsia="宋体" w:cs="宋体"/>
          <w:color w:val="000000"/>
          <w:sz w:val="24"/>
          <w:highlight w:val="none"/>
          <w:lang w:eastAsia="zh-CN"/>
        </w:rPr>
        <w:t>教育局</w:t>
      </w:r>
    </w:p>
    <w:p>
      <w:pPr>
        <w:keepNext w:val="0"/>
        <w:keepLines w:val="0"/>
        <w:pageBreakBefore w:val="0"/>
        <w:widowControl w:val="0"/>
        <w:tabs>
          <w:tab w:val="left" w:pos="7665"/>
        </w:tabs>
        <w:kinsoku/>
        <w:wordWrap/>
        <w:overflowPunct/>
        <w:topLinePunct w:val="0"/>
        <w:autoSpaceDE/>
        <w:autoSpaceDN/>
        <w:bidi w:val="0"/>
        <w:spacing w:line="500" w:lineRule="exact"/>
        <w:ind w:left="0" w:leftChars="0" w:right="0" w:rightChars="0" w:firstLine="480" w:firstLineChars="200"/>
        <w:jc w:val="both"/>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2.3采购代理机构：</w:t>
      </w:r>
      <w:r>
        <w:rPr>
          <w:rFonts w:hint="eastAsia" w:ascii="宋体" w:hAnsi="宋体" w:eastAsia="宋体" w:cs="宋体"/>
          <w:sz w:val="24"/>
          <w:szCs w:val="24"/>
          <w:highlight w:val="none"/>
        </w:rPr>
        <w:t>陕西嘉唐建设项目管理有限公司</w:t>
      </w:r>
    </w:p>
    <w:p>
      <w:pPr>
        <w:keepNext w:val="0"/>
        <w:keepLines w:val="0"/>
        <w:pageBreakBefore w:val="0"/>
        <w:widowControl w:val="0"/>
        <w:tabs>
          <w:tab w:val="left" w:pos="7665"/>
        </w:tabs>
        <w:kinsoku/>
        <w:wordWrap/>
        <w:overflowPunct/>
        <w:topLinePunct w:val="0"/>
        <w:autoSpaceDE/>
        <w:autoSpaceDN/>
        <w:bidi w:val="0"/>
        <w:spacing w:line="500" w:lineRule="exact"/>
        <w:ind w:left="0" w:leftChars="0"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highlight w:val="none"/>
        </w:rPr>
        <w:t>2.4</w:t>
      </w:r>
      <w:r>
        <w:rPr>
          <w:rFonts w:hint="eastAsia" w:ascii="宋体" w:hAnsi="宋体" w:eastAsia="宋体" w:cs="宋体"/>
          <w:color w:val="000000"/>
          <w:sz w:val="24"/>
          <w:highlight w:val="none"/>
          <w:lang w:eastAsia="zh-CN"/>
        </w:rPr>
        <w:t>供应商</w:t>
      </w:r>
      <w:r>
        <w:rPr>
          <w:rFonts w:hint="eastAsia" w:ascii="宋体" w:hAnsi="宋体" w:eastAsia="宋体" w:cs="宋体"/>
          <w:color w:val="000000"/>
          <w:sz w:val="24"/>
          <w:highlight w:val="none"/>
        </w:rPr>
        <w:t>：是指响应和符合</w:t>
      </w:r>
      <w:r>
        <w:rPr>
          <w:rFonts w:hint="eastAsia" w:ascii="宋体" w:hAnsi="宋体" w:eastAsia="宋体" w:cs="宋体"/>
          <w:color w:val="000000"/>
          <w:sz w:val="24"/>
          <w:highlight w:val="none"/>
          <w:lang w:eastAsia="zh-CN"/>
        </w:rPr>
        <w:t>谈判</w:t>
      </w:r>
      <w:r>
        <w:rPr>
          <w:rFonts w:hint="eastAsia" w:ascii="宋体" w:hAnsi="宋体" w:eastAsia="宋体" w:cs="宋体"/>
          <w:color w:val="000000"/>
          <w:sz w:val="24"/>
          <w:szCs w:val="24"/>
          <w:highlight w:val="none"/>
        </w:rPr>
        <w:t>文件规定资格条件且参与</w:t>
      </w:r>
      <w:r>
        <w:rPr>
          <w:rFonts w:hint="eastAsia" w:ascii="宋体" w:hAnsi="宋体" w:eastAsia="宋体" w:cs="宋体"/>
          <w:color w:val="000000"/>
          <w:sz w:val="24"/>
          <w:szCs w:val="24"/>
          <w:highlight w:val="none"/>
          <w:lang w:eastAsia="zh-CN"/>
        </w:rPr>
        <w:t>谈判</w:t>
      </w:r>
      <w:r>
        <w:rPr>
          <w:rFonts w:hint="eastAsia" w:ascii="宋体" w:hAnsi="宋体" w:eastAsia="宋体" w:cs="宋体"/>
          <w:color w:val="000000"/>
          <w:sz w:val="24"/>
          <w:szCs w:val="24"/>
          <w:highlight w:val="none"/>
        </w:rPr>
        <w:t>竞争的法人</w:t>
      </w:r>
      <w:r>
        <w:rPr>
          <w:rFonts w:hint="eastAsia" w:ascii="宋体" w:hAnsi="宋体" w:eastAsia="宋体" w:cs="宋体"/>
          <w:color w:val="000000"/>
          <w:sz w:val="24"/>
          <w:szCs w:val="24"/>
          <w:highlight w:val="none"/>
          <w:lang w:eastAsia="zh-CN"/>
        </w:rPr>
        <w:t>、</w:t>
      </w:r>
      <w:r>
        <w:rPr>
          <w:rFonts w:hint="eastAsia" w:ascii="宋体" w:hAnsi="宋体" w:eastAsia="宋体" w:cs="宋体"/>
          <w:sz w:val="24"/>
          <w:szCs w:val="24"/>
          <w:highlight w:val="none"/>
        </w:rPr>
        <w:t>其他组织或者自然人。</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480" w:firstLineChars="20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szCs w:val="24"/>
          <w:highlight w:val="none"/>
        </w:rPr>
        <w:t>2.5产品是指本</w:t>
      </w:r>
      <w:r>
        <w:rPr>
          <w:rFonts w:hint="eastAsia" w:ascii="宋体" w:hAnsi="宋体" w:eastAsia="宋体" w:cs="宋体"/>
          <w:color w:val="000000"/>
          <w:sz w:val="24"/>
          <w:szCs w:val="24"/>
          <w:highlight w:val="none"/>
          <w:lang w:eastAsia="zh-CN"/>
        </w:rPr>
        <w:t>谈判</w:t>
      </w:r>
      <w:r>
        <w:rPr>
          <w:rFonts w:hint="eastAsia" w:ascii="宋体" w:hAnsi="宋体" w:eastAsia="宋体" w:cs="宋体"/>
          <w:color w:val="000000"/>
          <w:sz w:val="24"/>
          <w:szCs w:val="24"/>
          <w:highlight w:val="none"/>
        </w:rPr>
        <w:t>文件中第四</w:t>
      </w:r>
      <w:r>
        <w:rPr>
          <w:rFonts w:hint="eastAsia" w:ascii="宋体" w:hAnsi="宋体" w:eastAsia="宋体" w:cs="宋体"/>
          <w:color w:val="000000"/>
          <w:sz w:val="24"/>
          <w:highlight w:val="none"/>
        </w:rPr>
        <w:t>章所述所有产品。</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480" w:firstLineChars="20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2.6服务是指</w:t>
      </w:r>
      <w:r>
        <w:rPr>
          <w:rFonts w:hint="eastAsia" w:ascii="宋体" w:hAnsi="宋体" w:eastAsia="宋体" w:cs="宋体"/>
          <w:color w:val="000000"/>
          <w:sz w:val="24"/>
          <w:highlight w:val="none"/>
          <w:lang w:eastAsia="zh-CN"/>
        </w:rPr>
        <w:t>供应商</w:t>
      </w:r>
      <w:r>
        <w:rPr>
          <w:rFonts w:hint="eastAsia" w:ascii="宋体" w:hAnsi="宋体" w:eastAsia="宋体" w:cs="宋体"/>
          <w:color w:val="000000"/>
          <w:sz w:val="24"/>
          <w:highlight w:val="none"/>
        </w:rPr>
        <w:t>为满足</w:t>
      </w:r>
      <w:r>
        <w:rPr>
          <w:rFonts w:hint="eastAsia" w:ascii="宋体" w:hAnsi="宋体" w:eastAsia="宋体" w:cs="宋体"/>
          <w:color w:val="000000"/>
          <w:sz w:val="24"/>
          <w:highlight w:val="none"/>
          <w:lang w:eastAsia="zh-CN"/>
        </w:rPr>
        <w:t>谈判</w:t>
      </w:r>
      <w:r>
        <w:rPr>
          <w:rFonts w:hint="eastAsia" w:ascii="宋体" w:hAnsi="宋体" w:eastAsia="宋体" w:cs="宋体"/>
          <w:color w:val="000000"/>
          <w:sz w:val="24"/>
          <w:highlight w:val="none"/>
        </w:rPr>
        <w:t>文件要求而提供的服务。</w:t>
      </w:r>
    </w:p>
    <w:p>
      <w:pPr>
        <w:keepNext w:val="0"/>
        <w:keepLines w:val="0"/>
        <w:pageBreakBefore w:val="0"/>
        <w:widowControl w:val="0"/>
        <w:numPr>
          <w:ilvl w:val="0"/>
          <w:numId w:val="0"/>
        </w:numPr>
        <w:wordWrap/>
        <w:overflowPunct/>
        <w:topLinePunct w:val="0"/>
        <w:autoSpaceDE/>
        <w:autoSpaceDN/>
        <w:bidi w:val="0"/>
        <w:spacing w:line="500" w:lineRule="exact"/>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2.7需要落实的政府采购政策：</w:t>
      </w:r>
    </w:p>
    <w:p>
      <w:pPr>
        <w:keepNext w:val="0"/>
        <w:keepLines w:val="0"/>
        <w:pageBreakBefore w:val="0"/>
        <w:widowControl w:val="0"/>
        <w:numPr>
          <w:ilvl w:val="0"/>
          <w:numId w:val="0"/>
        </w:numPr>
        <w:wordWrap/>
        <w:overflowPunct/>
        <w:topLinePunct w:val="0"/>
        <w:autoSpaceDE/>
        <w:autoSpaceDN/>
        <w:bidi w:val="0"/>
        <w:spacing w:line="500" w:lineRule="exact"/>
        <w:ind w:firstLine="480" w:firstLineChars="200"/>
        <w:textAlignment w:val="auto"/>
        <w:rPr>
          <w:rFonts w:hint="eastAsia" w:ascii="宋体" w:hAnsi="宋体" w:eastAsia="宋体" w:cs="宋体"/>
          <w:bCs/>
          <w:color w:val="333333"/>
          <w:sz w:val="24"/>
          <w:szCs w:val="32"/>
          <w:highlight w:val="none"/>
          <w:shd w:val="clear" w:color="auto" w:fill="FFFFFF"/>
        </w:rPr>
      </w:pPr>
      <w:r>
        <w:rPr>
          <w:rFonts w:hint="eastAsia" w:ascii="宋体" w:hAnsi="宋体" w:eastAsia="宋体" w:cs="宋体"/>
          <w:bCs/>
          <w:color w:val="333333"/>
          <w:sz w:val="24"/>
          <w:szCs w:val="32"/>
          <w:highlight w:val="none"/>
          <w:shd w:val="clear" w:color="auto" w:fill="FFFFFF"/>
        </w:rPr>
        <w:t>①《政府采购促进中小企业发展管理办法》（财库〔2020〕46号）；</w:t>
      </w:r>
    </w:p>
    <w:p>
      <w:pPr>
        <w:keepNext w:val="0"/>
        <w:keepLines w:val="0"/>
        <w:pageBreakBefore w:val="0"/>
        <w:widowControl w:val="0"/>
        <w:numPr>
          <w:ilvl w:val="0"/>
          <w:numId w:val="0"/>
        </w:numPr>
        <w:wordWrap/>
        <w:overflowPunct/>
        <w:topLinePunct w:val="0"/>
        <w:autoSpaceDE/>
        <w:autoSpaceDN/>
        <w:bidi w:val="0"/>
        <w:spacing w:line="500" w:lineRule="exact"/>
        <w:ind w:firstLine="480" w:firstLineChars="200"/>
        <w:textAlignment w:val="auto"/>
        <w:rPr>
          <w:rFonts w:hint="eastAsia" w:ascii="宋体" w:hAnsi="宋体" w:eastAsia="宋体" w:cs="宋体"/>
          <w:bCs/>
          <w:color w:val="333333"/>
          <w:sz w:val="24"/>
          <w:szCs w:val="32"/>
          <w:highlight w:val="none"/>
          <w:shd w:val="clear" w:color="auto" w:fill="FFFFFF"/>
        </w:rPr>
      </w:pPr>
      <w:r>
        <w:rPr>
          <w:rFonts w:hint="eastAsia" w:ascii="宋体" w:hAnsi="宋体" w:eastAsia="宋体" w:cs="宋体"/>
          <w:bCs/>
          <w:color w:val="333333"/>
          <w:sz w:val="24"/>
          <w:szCs w:val="32"/>
          <w:highlight w:val="none"/>
          <w:shd w:val="clear" w:color="auto" w:fill="FFFFFF"/>
        </w:rPr>
        <w:t>②《财政部司法部关于政府采购支持监狱企业发展有关问题的通知》（财库〔2014〕68号）；</w:t>
      </w:r>
    </w:p>
    <w:p>
      <w:pPr>
        <w:keepNext w:val="0"/>
        <w:keepLines w:val="0"/>
        <w:pageBreakBefore w:val="0"/>
        <w:widowControl w:val="0"/>
        <w:numPr>
          <w:ilvl w:val="0"/>
          <w:numId w:val="0"/>
        </w:numPr>
        <w:wordWrap/>
        <w:overflowPunct/>
        <w:topLinePunct w:val="0"/>
        <w:autoSpaceDE/>
        <w:autoSpaceDN/>
        <w:bidi w:val="0"/>
        <w:spacing w:line="500" w:lineRule="exact"/>
        <w:ind w:firstLine="480" w:firstLineChars="200"/>
        <w:textAlignment w:val="auto"/>
        <w:rPr>
          <w:rFonts w:hint="eastAsia" w:ascii="宋体" w:hAnsi="宋体" w:eastAsia="宋体" w:cs="宋体"/>
          <w:bCs/>
          <w:color w:val="333333"/>
          <w:sz w:val="24"/>
          <w:szCs w:val="32"/>
          <w:highlight w:val="none"/>
          <w:shd w:val="clear" w:color="auto" w:fill="FFFFFF"/>
        </w:rPr>
      </w:pPr>
      <w:r>
        <w:rPr>
          <w:rFonts w:hint="eastAsia" w:ascii="宋体" w:hAnsi="宋体" w:eastAsia="宋体" w:cs="宋体"/>
          <w:bCs/>
          <w:color w:val="333333"/>
          <w:sz w:val="24"/>
          <w:szCs w:val="32"/>
          <w:highlight w:val="none"/>
          <w:shd w:val="clear" w:color="auto" w:fill="FFFFFF"/>
        </w:rPr>
        <w:t>③《财政部民政部中国残疾人联合会关于促进残疾人就业政府采购政策的通知》（财库〔2017〕141号）；</w:t>
      </w:r>
    </w:p>
    <w:p>
      <w:pPr>
        <w:keepNext w:val="0"/>
        <w:keepLines w:val="0"/>
        <w:pageBreakBefore w:val="0"/>
        <w:widowControl w:val="0"/>
        <w:numPr>
          <w:ilvl w:val="0"/>
          <w:numId w:val="0"/>
        </w:numPr>
        <w:wordWrap/>
        <w:overflowPunct/>
        <w:topLinePunct w:val="0"/>
        <w:autoSpaceDE/>
        <w:autoSpaceDN/>
        <w:bidi w:val="0"/>
        <w:spacing w:line="500" w:lineRule="exact"/>
        <w:ind w:firstLine="480" w:firstLineChars="200"/>
        <w:textAlignment w:val="auto"/>
        <w:rPr>
          <w:rFonts w:hint="eastAsia" w:ascii="宋体" w:hAnsi="宋体" w:eastAsia="宋体" w:cs="宋体"/>
          <w:bCs/>
          <w:color w:val="333333"/>
          <w:sz w:val="24"/>
          <w:szCs w:val="32"/>
          <w:highlight w:val="none"/>
          <w:shd w:val="clear" w:color="auto" w:fill="FFFFFF"/>
        </w:rPr>
      </w:pPr>
      <w:r>
        <w:rPr>
          <w:rFonts w:hint="eastAsia" w:ascii="宋体" w:hAnsi="宋体" w:eastAsia="宋体" w:cs="宋体"/>
          <w:bCs/>
          <w:color w:val="333333"/>
          <w:sz w:val="24"/>
          <w:szCs w:val="32"/>
          <w:highlight w:val="none"/>
          <w:shd w:val="clear" w:color="auto" w:fill="FFFFFF"/>
        </w:rPr>
        <w:t>④《财政部 国家发展改革委关于印发(节能产品政府采购实施意见)的通知》(财库〔2004〕185号)；</w:t>
      </w:r>
    </w:p>
    <w:p>
      <w:pPr>
        <w:keepNext w:val="0"/>
        <w:keepLines w:val="0"/>
        <w:pageBreakBefore w:val="0"/>
        <w:widowControl w:val="0"/>
        <w:numPr>
          <w:ilvl w:val="0"/>
          <w:numId w:val="0"/>
        </w:numPr>
        <w:wordWrap/>
        <w:overflowPunct/>
        <w:topLinePunct w:val="0"/>
        <w:autoSpaceDE/>
        <w:autoSpaceDN/>
        <w:bidi w:val="0"/>
        <w:spacing w:line="500" w:lineRule="exact"/>
        <w:ind w:firstLine="480" w:firstLineChars="200"/>
        <w:textAlignment w:val="auto"/>
        <w:rPr>
          <w:rFonts w:hint="eastAsia" w:ascii="宋体" w:hAnsi="宋体" w:eastAsia="宋体" w:cs="宋体"/>
          <w:bCs/>
          <w:color w:val="333333"/>
          <w:sz w:val="24"/>
          <w:szCs w:val="32"/>
          <w:highlight w:val="none"/>
          <w:shd w:val="clear" w:color="auto" w:fill="FFFFFF"/>
        </w:rPr>
      </w:pPr>
      <w:r>
        <w:rPr>
          <w:rFonts w:hint="eastAsia" w:ascii="宋体" w:hAnsi="宋体" w:eastAsia="宋体" w:cs="宋体"/>
          <w:bCs/>
          <w:color w:val="333333"/>
          <w:sz w:val="24"/>
          <w:szCs w:val="32"/>
          <w:highlight w:val="none"/>
          <w:shd w:val="clear" w:color="auto" w:fill="FFFFFF"/>
        </w:rPr>
        <w:t>⑤《国务院办公厅关于建立政府强制采购节能产品制度的通知》(国办发〔2007〕51号)；</w:t>
      </w:r>
    </w:p>
    <w:p>
      <w:pPr>
        <w:keepNext w:val="0"/>
        <w:keepLines w:val="0"/>
        <w:pageBreakBefore w:val="0"/>
        <w:widowControl w:val="0"/>
        <w:numPr>
          <w:ilvl w:val="0"/>
          <w:numId w:val="0"/>
        </w:numPr>
        <w:wordWrap/>
        <w:overflowPunct/>
        <w:topLinePunct w:val="0"/>
        <w:autoSpaceDE/>
        <w:autoSpaceDN/>
        <w:bidi w:val="0"/>
        <w:spacing w:line="500" w:lineRule="exact"/>
        <w:ind w:firstLine="480" w:firstLineChars="200"/>
        <w:textAlignment w:val="auto"/>
        <w:rPr>
          <w:rFonts w:hint="eastAsia" w:ascii="宋体" w:hAnsi="宋体" w:eastAsia="宋体" w:cs="宋体"/>
          <w:bCs/>
          <w:color w:val="333333"/>
          <w:sz w:val="24"/>
          <w:szCs w:val="32"/>
          <w:highlight w:val="none"/>
          <w:shd w:val="clear" w:color="auto" w:fill="FFFFFF"/>
        </w:rPr>
      </w:pPr>
      <w:r>
        <w:rPr>
          <w:rFonts w:hint="eastAsia" w:ascii="宋体" w:hAnsi="宋体" w:eastAsia="宋体" w:cs="宋体"/>
          <w:bCs/>
          <w:color w:val="333333"/>
          <w:sz w:val="24"/>
          <w:szCs w:val="32"/>
          <w:highlight w:val="none"/>
          <w:shd w:val="clear" w:color="auto" w:fill="FFFFFF"/>
        </w:rPr>
        <w:t>⑥《财政部环保总局关于环境标志产品政府采购实施的意见》(财库〔2006〕90号)；</w:t>
      </w:r>
    </w:p>
    <w:p>
      <w:pPr>
        <w:keepNext w:val="0"/>
        <w:keepLines w:val="0"/>
        <w:pageBreakBefore w:val="0"/>
        <w:widowControl w:val="0"/>
        <w:numPr>
          <w:ilvl w:val="0"/>
          <w:numId w:val="0"/>
        </w:numPr>
        <w:wordWrap/>
        <w:overflowPunct/>
        <w:topLinePunct w:val="0"/>
        <w:autoSpaceDE/>
        <w:autoSpaceDN/>
        <w:bidi w:val="0"/>
        <w:spacing w:line="500" w:lineRule="exact"/>
        <w:ind w:firstLine="480" w:firstLineChars="200"/>
        <w:textAlignment w:val="auto"/>
        <w:rPr>
          <w:rFonts w:hint="eastAsia" w:ascii="宋体" w:hAnsi="宋体" w:eastAsia="宋体" w:cs="宋体"/>
          <w:bCs/>
          <w:color w:val="333333"/>
          <w:sz w:val="24"/>
          <w:szCs w:val="32"/>
          <w:highlight w:val="none"/>
          <w:shd w:val="clear" w:color="auto" w:fill="FFFFFF"/>
        </w:rPr>
      </w:pPr>
      <w:r>
        <w:rPr>
          <w:rFonts w:hint="eastAsia" w:ascii="宋体" w:hAnsi="宋体" w:eastAsia="宋体" w:cs="宋体"/>
          <w:bCs/>
          <w:color w:val="333333"/>
          <w:sz w:val="24"/>
          <w:szCs w:val="32"/>
          <w:highlight w:val="none"/>
          <w:shd w:val="clear" w:color="auto" w:fill="FFFFFF"/>
        </w:rPr>
        <w:t>⑦《财政部发展改革委生态环境部市场监管总局关于调整优化节能产品、环境标志产品政府采购执行机制的通知》（财库〔2019〕9号）；</w:t>
      </w:r>
    </w:p>
    <w:p>
      <w:pPr>
        <w:keepNext w:val="0"/>
        <w:keepLines w:val="0"/>
        <w:pageBreakBefore w:val="0"/>
        <w:widowControl w:val="0"/>
        <w:numPr>
          <w:ilvl w:val="0"/>
          <w:numId w:val="0"/>
        </w:numPr>
        <w:wordWrap/>
        <w:overflowPunct/>
        <w:topLinePunct w:val="0"/>
        <w:autoSpaceDE/>
        <w:autoSpaceDN/>
        <w:bidi w:val="0"/>
        <w:spacing w:line="500" w:lineRule="exact"/>
        <w:ind w:firstLine="480" w:firstLineChars="200"/>
        <w:textAlignment w:val="auto"/>
        <w:rPr>
          <w:rFonts w:hint="eastAsia" w:ascii="宋体" w:hAnsi="宋体" w:eastAsia="宋体" w:cs="宋体"/>
          <w:bCs/>
          <w:color w:val="333333"/>
          <w:sz w:val="24"/>
          <w:szCs w:val="32"/>
          <w:highlight w:val="none"/>
          <w:shd w:val="clear" w:color="auto" w:fill="FFFFFF"/>
        </w:rPr>
      </w:pPr>
      <w:r>
        <w:rPr>
          <w:rFonts w:hint="eastAsia" w:ascii="宋体" w:hAnsi="宋体" w:eastAsia="宋体" w:cs="宋体"/>
          <w:bCs/>
          <w:color w:val="333333"/>
          <w:sz w:val="24"/>
          <w:szCs w:val="32"/>
          <w:highlight w:val="none"/>
          <w:shd w:val="clear" w:color="auto" w:fill="FFFFFF"/>
        </w:rPr>
        <w:t>⑧《关于印发环境标志产品政府采购品目清单的通知》（财库〔2019〕18号）；</w:t>
      </w:r>
    </w:p>
    <w:p>
      <w:pPr>
        <w:keepNext w:val="0"/>
        <w:keepLines w:val="0"/>
        <w:pageBreakBefore w:val="0"/>
        <w:widowControl w:val="0"/>
        <w:numPr>
          <w:ilvl w:val="0"/>
          <w:numId w:val="0"/>
        </w:numPr>
        <w:wordWrap/>
        <w:overflowPunct/>
        <w:topLinePunct w:val="0"/>
        <w:autoSpaceDE/>
        <w:autoSpaceDN/>
        <w:bidi w:val="0"/>
        <w:spacing w:line="500" w:lineRule="exact"/>
        <w:ind w:firstLine="480" w:firstLineChars="200"/>
        <w:textAlignment w:val="auto"/>
        <w:rPr>
          <w:rFonts w:hint="eastAsia" w:ascii="宋体" w:hAnsi="宋体" w:eastAsia="宋体" w:cs="宋体"/>
          <w:bCs/>
          <w:color w:val="333333"/>
          <w:sz w:val="24"/>
          <w:szCs w:val="32"/>
          <w:highlight w:val="none"/>
          <w:shd w:val="clear" w:color="auto" w:fill="FFFFFF"/>
        </w:rPr>
      </w:pPr>
      <w:r>
        <w:rPr>
          <w:rFonts w:hint="eastAsia" w:ascii="宋体" w:hAnsi="宋体" w:eastAsia="宋体" w:cs="宋体"/>
          <w:bCs/>
          <w:color w:val="333333"/>
          <w:sz w:val="24"/>
          <w:szCs w:val="32"/>
          <w:highlight w:val="none"/>
          <w:shd w:val="clear" w:color="auto" w:fill="FFFFFF"/>
        </w:rPr>
        <w:t>⑨《关于印发节能产品政府采购品目清单的通知》（财库〔2019〕19号）；</w:t>
      </w:r>
    </w:p>
    <w:p>
      <w:pPr>
        <w:keepNext w:val="0"/>
        <w:keepLines w:val="0"/>
        <w:pageBreakBefore w:val="0"/>
        <w:widowControl w:val="0"/>
        <w:numPr>
          <w:ilvl w:val="0"/>
          <w:numId w:val="0"/>
        </w:numPr>
        <w:wordWrap/>
        <w:overflowPunct/>
        <w:topLinePunct w:val="0"/>
        <w:autoSpaceDE/>
        <w:autoSpaceDN/>
        <w:bidi w:val="0"/>
        <w:spacing w:line="500" w:lineRule="exact"/>
        <w:ind w:firstLine="480" w:firstLineChars="200"/>
        <w:textAlignment w:val="auto"/>
        <w:rPr>
          <w:rFonts w:hint="eastAsia" w:ascii="宋体" w:hAnsi="宋体" w:eastAsia="宋体" w:cs="宋体"/>
          <w:bCs/>
          <w:color w:val="333333"/>
          <w:sz w:val="24"/>
          <w:szCs w:val="32"/>
          <w:highlight w:val="none"/>
          <w:shd w:val="clear" w:color="auto" w:fill="FFFFFF"/>
        </w:rPr>
      </w:pPr>
      <w:r>
        <w:rPr>
          <w:rFonts w:hint="eastAsia" w:ascii="宋体" w:hAnsi="宋体" w:eastAsia="宋体" w:cs="宋体"/>
          <w:bCs/>
          <w:color w:val="333333"/>
          <w:sz w:val="24"/>
          <w:szCs w:val="32"/>
          <w:highlight w:val="none"/>
          <w:shd w:val="clear" w:color="auto" w:fill="FFFFFF"/>
        </w:rPr>
        <w:t>⑩《财政部农业农村部国家乡村振兴局关于运用政府采购政策支持乡村产业振兴的通知》（财库〔2021〕19号）；</w:t>
      </w:r>
    </w:p>
    <w:p>
      <w:pPr>
        <w:keepNext w:val="0"/>
        <w:keepLines w:val="0"/>
        <w:pageBreakBefore w:val="0"/>
        <w:widowControl w:val="0"/>
        <w:numPr>
          <w:ilvl w:val="0"/>
          <w:numId w:val="0"/>
        </w:numPr>
        <w:wordWrap/>
        <w:overflowPunct/>
        <w:topLinePunct w:val="0"/>
        <w:autoSpaceDE/>
        <w:autoSpaceDN/>
        <w:bidi w:val="0"/>
        <w:spacing w:line="500" w:lineRule="exact"/>
        <w:ind w:firstLine="480" w:firstLineChars="200"/>
        <w:textAlignment w:val="auto"/>
        <w:rPr>
          <w:rFonts w:hint="eastAsia" w:ascii="宋体" w:hAnsi="宋体" w:eastAsia="宋体" w:cs="宋体"/>
          <w:bCs/>
          <w:color w:val="333333"/>
          <w:sz w:val="24"/>
          <w:szCs w:val="32"/>
          <w:highlight w:val="none"/>
          <w:shd w:val="clear" w:color="auto" w:fill="FFFFFF"/>
        </w:rPr>
      </w:pPr>
      <w:r>
        <w:rPr>
          <w:rFonts w:hint="eastAsia" w:ascii="宋体" w:hAnsi="宋体" w:eastAsia="宋体" w:cs="宋体"/>
          <w:bCs/>
          <w:color w:val="333333"/>
          <w:sz w:val="24"/>
          <w:szCs w:val="32"/>
          <w:highlight w:val="none"/>
          <w:shd w:val="clear" w:color="auto" w:fill="FFFFFF"/>
        </w:rPr>
        <w:t>⑪《陕西省财政厅关于印发陕西省中小企业政府采购信用融资办法》（陕财办采〔2018〕23号）；</w:t>
      </w:r>
    </w:p>
    <w:p>
      <w:pPr>
        <w:keepNext w:val="0"/>
        <w:keepLines w:val="0"/>
        <w:pageBreakBefore w:val="0"/>
        <w:widowControl w:val="0"/>
        <w:numPr>
          <w:ilvl w:val="0"/>
          <w:numId w:val="0"/>
        </w:numPr>
        <w:wordWrap/>
        <w:overflowPunct/>
        <w:topLinePunct w:val="0"/>
        <w:autoSpaceDE/>
        <w:autoSpaceDN/>
        <w:bidi w:val="0"/>
        <w:spacing w:line="500" w:lineRule="exact"/>
        <w:ind w:firstLine="480" w:firstLineChars="200"/>
        <w:textAlignment w:val="auto"/>
        <w:rPr>
          <w:rFonts w:hint="eastAsia" w:ascii="宋体" w:hAnsi="宋体" w:eastAsia="宋体" w:cs="宋体"/>
          <w:bCs/>
          <w:color w:val="333333"/>
          <w:sz w:val="24"/>
          <w:szCs w:val="32"/>
          <w:highlight w:val="none"/>
          <w:shd w:val="clear" w:color="auto" w:fill="FFFFFF"/>
          <w:lang w:eastAsia="zh-CN"/>
        </w:rPr>
      </w:pPr>
      <w:r>
        <w:rPr>
          <w:rFonts w:hint="eastAsia" w:ascii="宋体" w:hAnsi="宋体" w:eastAsia="宋体" w:cs="宋体"/>
          <w:bCs/>
          <w:color w:val="333333"/>
          <w:sz w:val="24"/>
          <w:szCs w:val="32"/>
          <w:highlight w:val="none"/>
          <w:shd w:val="clear" w:color="auto" w:fill="FFFFFF"/>
        </w:rPr>
        <w:t>⑫《陕西省财政厅关于加快推进我省中小企业政府采购信用融资工作的通知》（陕财办采〔2020〕15号）</w:t>
      </w:r>
      <w:r>
        <w:rPr>
          <w:rFonts w:hint="eastAsia" w:ascii="宋体" w:hAnsi="宋体" w:eastAsia="宋体" w:cs="宋体"/>
          <w:bCs/>
          <w:color w:val="333333"/>
          <w:sz w:val="24"/>
          <w:szCs w:val="32"/>
          <w:highlight w:val="none"/>
          <w:shd w:val="clear" w:color="auto" w:fill="FFFFFF"/>
          <w:lang w:eastAsia="zh-CN"/>
        </w:rPr>
        <w:t>；</w:t>
      </w:r>
    </w:p>
    <w:p>
      <w:pPr>
        <w:keepNext w:val="0"/>
        <w:keepLines w:val="0"/>
        <w:pageBreakBefore w:val="0"/>
        <w:widowControl w:val="0"/>
        <w:numPr>
          <w:ilvl w:val="0"/>
          <w:numId w:val="0"/>
        </w:numPr>
        <w:wordWrap/>
        <w:overflowPunct/>
        <w:topLinePunct w:val="0"/>
        <w:autoSpaceDE/>
        <w:autoSpaceDN/>
        <w:bidi w:val="0"/>
        <w:spacing w:line="500" w:lineRule="exact"/>
        <w:ind w:firstLine="480" w:firstLineChars="200"/>
        <w:textAlignment w:val="auto"/>
        <w:rPr>
          <w:rFonts w:hint="eastAsia" w:ascii="宋体" w:hAnsi="宋体" w:eastAsia="宋体" w:cs="宋体"/>
          <w:b w:val="0"/>
          <w:bCs/>
          <w:sz w:val="24"/>
          <w:szCs w:val="24"/>
          <w:highlight w:val="none"/>
          <w:lang w:val="en-US" w:eastAsia="zh-CN"/>
        </w:rPr>
      </w:pPr>
      <w:r>
        <w:rPr>
          <w:rFonts w:hint="eastAsia" w:ascii="宋体" w:hAnsi="宋体" w:eastAsia="宋体" w:cs="宋体"/>
          <w:bCs/>
          <w:color w:val="333333"/>
          <w:sz w:val="24"/>
          <w:szCs w:val="32"/>
          <w:highlight w:val="none"/>
          <w:shd w:val="clear" w:color="auto" w:fill="FFFFFF"/>
          <w:lang w:eastAsia="zh-CN"/>
        </w:rPr>
        <w:t>⑬《关于进一步加大政府采购支持中小企业力度的通知》（财库﹝2022﹞19号）。</w:t>
      </w:r>
    </w:p>
    <w:p>
      <w:pPr>
        <w:keepNext w:val="0"/>
        <w:keepLines w:val="0"/>
        <w:pageBreakBefore w:val="0"/>
        <w:widowControl w:val="0"/>
        <w:numPr>
          <w:ilvl w:val="0"/>
          <w:numId w:val="0"/>
        </w:numPr>
        <w:wordWrap/>
        <w:overflowPunct/>
        <w:topLinePunct w:val="0"/>
        <w:autoSpaceDE/>
        <w:autoSpaceDN/>
        <w:bidi w:val="0"/>
        <w:spacing w:line="500" w:lineRule="exact"/>
        <w:textAlignment w:val="auto"/>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val="en-US" w:eastAsia="zh-CN"/>
        </w:rPr>
        <w:t>3.</w:t>
      </w:r>
      <w:r>
        <w:rPr>
          <w:rFonts w:hint="eastAsia" w:ascii="宋体" w:hAnsi="宋体" w:eastAsia="宋体" w:cs="宋体"/>
          <w:b/>
          <w:sz w:val="24"/>
          <w:szCs w:val="24"/>
          <w:highlight w:val="none"/>
        </w:rPr>
        <w:t>合格的</w:t>
      </w:r>
      <w:r>
        <w:rPr>
          <w:rFonts w:hint="eastAsia" w:ascii="宋体" w:hAnsi="宋体" w:eastAsia="宋体" w:cs="宋体"/>
          <w:b/>
          <w:sz w:val="24"/>
          <w:szCs w:val="24"/>
          <w:highlight w:val="none"/>
          <w:lang w:eastAsia="zh-CN"/>
        </w:rPr>
        <w:t>谈判供应商</w:t>
      </w:r>
    </w:p>
    <w:p>
      <w:pPr>
        <w:keepNext w:val="0"/>
        <w:keepLines w:val="0"/>
        <w:pageBreakBefore w:val="0"/>
        <w:widowControl w:val="0"/>
        <w:numPr>
          <w:ilvl w:val="0"/>
          <w:numId w:val="0"/>
        </w:numPr>
        <w:wordWrap/>
        <w:overflowPunct/>
        <w:topLinePunct w:val="0"/>
        <w:autoSpaceDE/>
        <w:autoSpaceDN/>
        <w:bidi w:val="0"/>
        <w:spacing w:line="500" w:lineRule="exact"/>
        <w:ind w:firstLine="240" w:firstLineChars="100"/>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val="en-US" w:eastAsia="zh-CN"/>
        </w:rPr>
        <w:t>3.1</w:t>
      </w:r>
      <w:r>
        <w:rPr>
          <w:rFonts w:hint="eastAsia" w:ascii="宋体" w:hAnsi="宋体" w:eastAsia="宋体" w:cs="宋体"/>
          <w:b w:val="0"/>
          <w:bCs/>
          <w:sz w:val="24"/>
          <w:szCs w:val="24"/>
          <w:highlight w:val="none"/>
          <w:lang w:eastAsia="zh-CN"/>
        </w:rPr>
        <w:t>《政府采购法》第二十二条第一款规定的供应商基本资格条件</w:t>
      </w:r>
      <w:r>
        <w:rPr>
          <w:rFonts w:hint="eastAsia" w:ascii="宋体" w:hAnsi="宋体" w:eastAsia="宋体" w:cs="宋体"/>
          <w:b w:val="0"/>
          <w:bCs/>
          <w:sz w:val="24"/>
          <w:szCs w:val="24"/>
          <w:highlight w:val="none"/>
          <w:lang w:val="en-US" w:eastAsia="zh-CN"/>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（1）具有独立承担民事责任的能力；</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（2）具有良好的商业信誉和健全的财务会计制度；</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（3）具有履行合同所必需的产品和专业技术能力；</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（4）有依法缴纳税收和社会保障资金的良好</w:t>
      </w:r>
      <w:r>
        <w:rPr>
          <w:rFonts w:hint="eastAsia" w:ascii="宋体" w:hAnsi="宋体" w:eastAsia="宋体" w:cs="宋体"/>
          <w:sz w:val="24"/>
          <w:szCs w:val="24"/>
          <w:highlight w:val="none"/>
          <w:lang w:eastAsia="zh-CN"/>
        </w:rPr>
        <w:t>记</w:t>
      </w:r>
      <w:r>
        <w:rPr>
          <w:rFonts w:hint="eastAsia" w:ascii="宋体" w:hAnsi="宋体" w:eastAsia="宋体" w:cs="宋体"/>
          <w:sz w:val="24"/>
          <w:szCs w:val="24"/>
          <w:highlight w:val="none"/>
        </w:rPr>
        <w:t>录；</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（5）参加政府采购活动前三年内，在经营活动中没有重大违法</w:t>
      </w:r>
      <w:r>
        <w:rPr>
          <w:rFonts w:hint="eastAsia" w:ascii="宋体" w:hAnsi="宋体" w:eastAsia="宋体" w:cs="宋体"/>
          <w:sz w:val="24"/>
          <w:szCs w:val="24"/>
          <w:highlight w:val="none"/>
          <w:lang w:eastAsia="zh-CN"/>
        </w:rPr>
        <w:t>记</w:t>
      </w:r>
      <w:r>
        <w:rPr>
          <w:rFonts w:hint="eastAsia" w:ascii="宋体" w:hAnsi="宋体" w:eastAsia="宋体" w:cs="宋体"/>
          <w:sz w:val="24"/>
          <w:szCs w:val="24"/>
          <w:highlight w:val="none"/>
        </w:rPr>
        <w:t>录；</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（6）法律、行政法规规定的其他条件</w:t>
      </w:r>
      <w:r>
        <w:rPr>
          <w:rFonts w:hint="eastAsia" w:ascii="宋体" w:hAnsi="宋体" w:eastAsia="宋体" w:cs="宋体"/>
          <w:sz w:val="24"/>
          <w:szCs w:val="24"/>
          <w:highlight w:val="none"/>
          <w:lang w:eastAsia="zh-CN"/>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3.2</w:t>
      </w:r>
      <w:r>
        <w:rPr>
          <w:rFonts w:hint="eastAsia" w:ascii="宋体" w:hAnsi="宋体" w:eastAsia="宋体" w:cs="宋体"/>
          <w:sz w:val="24"/>
          <w:szCs w:val="24"/>
          <w:highlight w:val="none"/>
        </w:rPr>
        <w:t>根据本次采购项目的特殊要求，规定的供应商特殊条件（见</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3.3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否则均为无效谈判</w:t>
      </w:r>
      <w:r>
        <w:rPr>
          <w:rFonts w:hint="eastAsia" w:ascii="宋体" w:hAnsi="宋体" w:eastAsia="宋体" w:cs="宋体"/>
          <w:sz w:val="24"/>
          <w:szCs w:val="24"/>
          <w:highlight w:val="none"/>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3.4</w:t>
      </w:r>
      <w:r>
        <w:rPr>
          <w:rFonts w:hint="eastAsia" w:ascii="宋体" w:hAnsi="宋体" w:eastAsia="宋体" w:cs="宋体"/>
          <w:sz w:val="24"/>
          <w:szCs w:val="24"/>
          <w:highlight w:val="none"/>
          <w:lang w:eastAsia="zh-CN"/>
        </w:rPr>
        <w:t>谈判供应商</w:t>
      </w:r>
      <w:r>
        <w:rPr>
          <w:rFonts w:hint="eastAsia" w:ascii="宋体" w:hAnsi="宋体" w:eastAsia="宋体" w:cs="宋体"/>
          <w:sz w:val="24"/>
          <w:szCs w:val="24"/>
          <w:highlight w:val="none"/>
        </w:rPr>
        <w:t>必须在陕西嘉唐建设项目管理有限公司</w:t>
      </w:r>
      <w:r>
        <w:rPr>
          <w:rFonts w:hint="eastAsia" w:ascii="宋体" w:hAnsi="宋体" w:eastAsia="宋体" w:cs="宋体"/>
          <w:sz w:val="24"/>
          <w:szCs w:val="24"/>
          <w:highlight w:val="none"/>
          <w:lang w:val="en-US" w:eastAsia="zh-CN"/>
        </w:rPr>
        <w:t>领取</w:t>
      </w:r>
      <w:r>
        <w:rPr>
          <w:rFonts w:hint="eastAsia" w:ascii="宋体" w:hAnsi="宋体" w:eastAsia="宋体" w:cs="宋体"/>
          <w:sz w:val="24"/>
          <w:szCs w:val="24"/>
          <w:highlight w:val="none"/>
        </w:rPr>
        <w:t>竞争性谈判文件，方可参加竞争性谈判。</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3.5</w:t>
      </w:r>
      <w:r>
        <w:rPr>
          <w:rFonts w:hint="eastAsia" w:ascii="宋体" w:hAnsi="宋体" w:eastAsia="宋体" w:cs="宋体"/>
          <w:sz w:val="24"/>
          <w:szCs w:val="24"/>
          <w:highlight w:val="none"/>
        </w:rPr>
        <w:t>谈判费用自理。不论谈判的结果如何，</w:t>
      </w:r>
      <w:r>
        <w:rPr>
          <w:rFonts w:hint="eastAsia" w:ascii="宋体" w:hAnsi="宋体" w:eastAsia="宋体" w:cs="宋体"/>
          <w:sz w:val="24"/>
          <w:szCs w:val="24"/>
          <w:highlight w:val="none"/>
          <w:lang w:eastAsia="zh-CN"/>
        </w:rPr>
        <w:t>谈判供应商</w:t>
      </w:r>
      <w:r>
        <w:rPr>
          <w:rFonts w:hint="eastAsia" w:ascii="宋体" w:hAnsi="宋体" w:eastAsia="宋体" w:cs="宋体"/>
          <w:sz w:val="24"/>
          <w:szCs w:val="24"/>
          <w:highlight w:val="none"/>
        </w:rPr>
        <w:t>均应自行承担所有与参加谈判有关的费用。</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right="0" w:rightChars="0"/>
        <w:jc w:val="both"/>
        <w:textAlignment w:val="auto"/>
        <w:outlineLvl w:val="9"/>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4.合格的货物（产品）和服务</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leftChars="0" w:right="0" w:rightChars="0" w:firstLine="480" w:firstLineChars="20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4.1</w:t>
      </w:r>
      <w:r>
        <w:rPr>
          <w:rFonts w:hint="eastAsia" w:ascii="宋体" w:hAnsi="宋体" w:eastAsia="宋体" w:cs="宋体"/>
          <w:color w:val="000000"/>
          <w:sz w:val="24"/>
          <w:highlight w:val="none"/>
          <w:lang w:eastAsia="zh-CN"/>
        </w:rPr>
        <w:t>供应商</w:t>
      </w:r>
      <w:r>
        <w:rPr>
          <w:rFonts w:hint="eastAsia" w:ascii="宋体" w:hAnsi="宋体" w:eastAsia="宋体" w:cs="宋体"/>
          <w:color w:val="000000"/>
          <w:sz w:val="24"/>
          <w:highlight w:val="none"/>
        </w:rPr>
        <w:t>提供的所有货物和服务，必须是合法生产、合法来源，符合国家有关标准要求，并满足</w:t>
      </w:r>
      <w:r>
        <w:rPr>
          <w:rFonts w:hint="eastAsia" w:ascii="宋体" w:hAnsi="宋体" w:eastAsia="宋体" w:cs="宋体"/>
          <w:color w:val="000000"/>
          <w:sz w:val="24"/>
          <w:highlight w:val="none"/>
          <w:lang w:eastAsia="zh-CN"/>
        </w:rPr>
        <w:t>竞争性谈判</w:t>
      </w:r>
      <w:r>
        <w:rPr>
          <w:rFonts w:hint="eastAsia" w:ascii="宋体" w:hAnsi="宋体" w:eastAsia="宋体" w:cs="宋体"/>
          <w:color w:val="000000"/>
          <w:sz w:val="24"/>
          <w:highlight w:val="none"/>
        </w:rPr>
        <w:t>文件规定的规格、参数、质量、价格、有效期、售后服务及</w:t>
      </w:r>
      <w:r>
        <w:rPr>
          <w:rFonts w:hint="eastAsia" w:ascii="宋体" w:hAnsi="宋体" w:eastAsia="宋体" w:cs="宋体"/>
          <w:color w:val="000000"/>
          <w:sz w:val="24"/>
          <w:highlight w:val="none"/>
          <w:lang w:eastAsia="zh-CN"/>
        </w:rPr>
        <w:t>供应商</w:t>
      </w:r>
      <w:r>
        <w:rPr>
          <w:rFonts w:hint="eastAsia" w:ascii="宋体" w:hAnsi="宋体" w:eastAsia="宋体" w:cs="宋体"/>
          <w:color w:val="000000"/>
          <w:sz w:val="24"/>
          <w:highlight w:val="none"/>
        </w:rPr>
        <w:t>须承担的运输、安装、技术支持、培训和</w:t>
      </w:r>
      <w:r>
        <w:rPr>
          <w:rFonts w:hint="eastAsia" w:ascii="宋体" w:hAnsi="宋体" w:eastAsia="宋体" w:cs="宋体"/>
          <w:color w:val="000000"/>
          <w:sz w:val="24"/>
          <w:highlight w:val="none"/>
          <w:lang w:eastAsia="zh-CN"/>
        </w:rPr>
        <w:t>竞争性谈判</w:t>
      </w:r>
      <w:r>
        <w:rPr>
          <w:rFonts w:hint="eastAsia" w:ascii="宋体" w:hAnsi="宋体" w:eastAsia="宋体" w:cs="宋体"/>
          <w:color w:val="000000"/>
          <w:sz w:val="24"/>
          <w:highlight w:val="none"/>
        </w:rPr>
        <w:t>文件规定的其它伴随服务等要求。</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leftChars="0" w:right="0" w:rightChars="0"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color w:val="000000"/>
          <w:sz w:val="24"/>
          <w:highlight w:val="none"/>
        </w:rPr>
        <w:t>4.2采购人有权拒绝接受任何不合格的产品和服务，由此产生的费用及相关后果均由</w:t>
      </w:r>
      <w:r>
        <w:rPr>
          <w:rFonts w:hint="eastAsia" w:ascii="宋体" w:hAnsi="宋体" w:eastAsia="宋体" w:cs="宋体"/>
          <w:color w:val="000000"/>
          <w:sz w:val="24"/>
          <w:highlight w:val="none"/>
          <w:lang w:eastAsia="zh-CN"/>
        </w:rPr>
        <w:t>供应商</w:t>
      </w:r>
      <w:r>
        <w:rPr>
          <w:rFonts w:hint="eastAsia" w:ascii="宋体" w:hAnsi="宋体" w:eastAsia="宋体" w:cs="宋体"/>
          <w:color w:val="000000"/>
          <w:sz w:val="24"/>
          <w:highlight w:val="none"/>
        </w:rPr>
        <w:t>自行承担。</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5</w:t>
      </w:r>
      <w:r>
        <w:rPr>
          <w:rFonts w:hint="eastAsia" w:ascii="宋体" w:hAnsi="宋体" w:eastAsia="宋体" w:cs="宋体"/>
          <w:b/>
          <w:sz w:val="24"/>
          <w:szCs w:val="24"/>
          <w:highlight w:val="none"/>
        </w:rPr>
        <w:t>.竞争性谈判响应文件内容的真实性</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谈判供应商</w:t>
      </w:r>
      <w:r>
        <w:rPr>
          <w:rFonts w:hint="eastAsia" w:ascii="宋体" w:hAnsi="宋体" w:eastAsia="宋体" w:cs="宋体"/>
          <w:sz w:val="24"/>
          <w:szCs w:val="24"/>
          <w:highlight w:val="none"/>
        </w:rPr>
        <w:t>应保证其竞争性谈判响应文件中所提供的所有有关谈判的资料、信息是真实的、并且来源于合法的渠道。因竞争性谈判响应文件中所提供的有关谈判的资料、信息不真实、或者其来源不合法而导致的所有法律责任，由</w:t>
      </w:r>
      <w:r>
        <w:rPr>
          <w:rFonts w:hint="eastAsia" w:ascii="宋体" w:hAnsi="宋体" w:eastAsia="宋体" w:cs="宋体"/>
          <w:sz w:val="24"/>
          <w:szCs w:val="24"/>
          <w:highlight w:val="none"/>
          <w:lang w:eastAsia="zh-CN"/>
        </w:rPr>
        <w:t>谈判供应商</w:t>
      </w:r>
      <w:r>
        <w:rPr>
          <w:rFonts w:hint="eastAsia" w:ascii="宋体" w:hAnsi="宋体" w:eastAsia="宋体" w:cs="宋体"/>
          <w:sz w:val="24"/>
          <w:szCs w:val="24"/>
          <w:highlight w:val="none"/>
        </w:rPr>
        <w:t>自行承担。</w:t>
      </w:r>
    </w:p>
    <w:p>
      <w:pPr>
        <w:keepNext w:val="0"/>
        <w:keepLines w:val="0"/>
        <w:pageBreakBefore w:val="0"/>
        <w:widowControl w:val="0"/>
        <w:wordWrap/>
        <w:overflowPunct/>
        <w:topLinePunct w:val="0"/>
        <w:autoSpaceDE/>
        <w:autoSpaceDN/>
        <w:bidi w:val="0"/>
        <w:spacing w:before="156" w:beforeLines="50" w:line="500" w:lineRule="exact"/>
        <w:jc w:val="center"/>
        <w:textAlignment w:val="auto"/>
        <w:rPr>
          <w:rFonts w:hint="eastAsia" w:ascii="宋体" w:hAnsi="宋体" w:eastAsia="宋体" w:cs="宋体"/>
          <w:b/>
          <w:sz w:val="32"/>
          <w:szCs w:val="32"/>
          <w:highlight w:val="none"/>
        </w:rPr>
      </w:pPr>
      <w:r>
        <w:rPr>
          <w:rFonts w:hint="eastAsia" w:ascii="宋体" w:hAnsi="宋体" w:eastAsia="宋体" w:cs="宋体"/>
          <w:b/>
          <w:sz w:val="32"/>
          <w:szCs w:val="32"/>
          <w:highlight w:val="none"/>
        </w:rPr>
        <w:t>二.竞争性谈判文件</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6.竞争性谈判文件构成</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6.1 竞争性谈判文件规定了要求提供的货物和服务，竞争性谈判程序和合同条件在竞争性谈判文件中均有说明。竞争性谈判文件共六章，内容如下：</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第一章 竞争性谈判公告</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第二章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w:t>
      </w:r>
    </w:p>
    <w:p>
      <w:pPr>
        <w:keepNext w:val="0"/>
        <w:keepLines w:val="0"/>
        <w:pageBreakBefore w:val="0"/>
        <w:widowControl w:val="0"/>
        <w:wordWrap/>
        <w:overflowPunct/>
        <w:topLinePunct w:val="0"/>
        <w:autoSpaceDE/>
        <w:autoSpaceDN/>
        <w:bidi w:val="0"/>
        <w:spacing w:line="500" w:lineRule="exact"/>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第三章 合同条款及格式</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第四章 竞争性谈判内容及技术要求 </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第五章 评审方法</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第六章 竞争性谈判响应文件格式及构成</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6.2</w:t>
      </w:r>
      <w:r>
        <w:rPr>
          <w:rFonts w:hint="eastAsia" w:ascii="宋体" w:hAnsi="宋体" w:eastAsia="宋体" w:cs="宋体"/>
          <w:sz w:val="24"/>
          <w:szCs w:val="24"/>
          <w:highlight w:val="none"/>
          <w:lang w:eastAsia="zh-CN"/>
        </w:rPr>
        <w:t>谈判供应商</w:t>
      </w:r>
      <w:r>
        <w:rPr>
          <w:rFonts w:hint="eastAsia" w:ascii="宋体" w:hAnsi="宋体" w:eastAsia="宋体" w:cs="宋体"/>
          <w:sz w:val="24"/>
          <w:szCs w:val="24"/>
          <w:highlight w:val="none"/>
        </w:rPr>
        <w:t>应认真阅读竞争性谈判文件中所有的事项、格式、条款和规范等要求。如果</w:t>
      </w:r>
      <w:r>
        <w:rPr>
          <w:rFonts w:hint="eastAsia" w:ascii="宋体" w:hAnsi="宋体" w:eastAsia="宋体" w:cs="宋体"/>
          <w:sz w:val="24"/>
          <w:szCs w:val="24"/>
          <w:highlight w:val="none"/>
          <w:lang w:eastAsia="zh-CN"/>
        </w:rPr>
        <w:t>谈判供应商</w:t>
      </w:r>
      <w:r>
        <w:rPr>
          <w:rFonts w:hint="eastAsia" w:ascii="宋体" w:hAnsi="宋体" w:eastAsia="宋体" w:cs="宋体"/>
          <w:sz w:val="24"/>
          <w:szCs w:val="24"/>
          <w:highlight w:val="none"/>
        </w:rPr>
        <w:t>没有按照竞争性谈判文件要求提交全部资料，或者竞争性谈判响应文件没有对竞争性谈判文件在各方面都做出实质性响应，由此带来的不利于</w:t>
      </w:r>
      <w:r>
        <w:rPr>
          <w:rFonts w:hint="eastAsia" w:ascii="宋体" w:hAnsi="宋体" w:eastAsia="宋体" w:cs="宋体"/>
          <w:sz w:val="24"/>
          <w:szCs w:val="24"/>
          <w:highlight w:val="none"/>
          <w:lang w:eastAsia="zh-CN"/>
        </w:rPr>
        <w:t>谈判供应商</w:t>
      </w:r>
      <w:r>
        <w:rPr>
          <w:rFonts w:hint="eastAsia" w:ascii="宋体" w:hAnsi="宋体" w:eastAsia="宋体" w:cs="宋体"/>
          <w:sz w:val="24"/>
          <w:szCs w:val="24"/>
          <w:highlight w:val="none"/>
        </w:rPr>
        <w:t>的谈判结果，其风险由</w:t>
      </w:r>
      <w:r>
        <w:rPr>
          <w:rFonts w:hint="eastAsia" w:ascii="宋体" w:hAnsi="宋体" w:eastAsia="宋体" w:cs="宋体"/>
          <w:sz w:val="24"/>
          <w:szCs w:val="24"/>
          <w:highlight w:val="none"/>
          <w:lang w:eastAsia="zh-CN"/>
        </w:rPr>
        <w:t>谈判供应商</w:t>
      </w:r>
      <w:r>
        <w:rPr>
          <w:rFonts w:hint="eastAsia" w:ascii="宋体" w:hAnsi="宋体" w:eastAsia="宋体" w:cs="宋体"/>
          <w:sz w:val="24"/>
          <w:szCs w:val="24"/>
          <w:highlight w:val="none"/>
        </w:rPr>
        <w:t>承担。</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6.3本竞争性谈判文件的解释权归陕西嘉唐建设项目管理有限公司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如发现</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文件内容与现行法律法规不相符的情况，以现行法律法规为准。</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7.竞争性谈判文件的修改和澄清</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7.1在</w:t>
      </w:r>
      <w:r>
        <w:rPr>
          <w:rFonts w:hint="eastAsia" w:ascii="宋体" w:hAnsi="宋体" w:eastAsia="宋体" w:cs="宋体"/>
          <w:sz w:val="24"/>
          <w:szCs w:val="24"/>
          <w:highlight w:val="none"/>
          <w:lang w:eastAsia="zh-CN"/>
        </w:rPr>
        <w:t>谈判响应</w:t>
      </w:r>
      <w:r>
        <w:rPr>
          <w:rFonts w:hint="eastAsia" w:ascii="宋体" w:hAnsi="宋体" w:eastAsia="宋体" w:cs="宋体"/>
          <w:sz w:val="24"/>
          <w:szCs w:val="24"/>
          <w:highlight w:val="none"/>
        </w:rPr>
        <w:t>文件递交截止时间前，采购代理机构可以视采购具体情况，延长</w:t>
      </w:r>
      <w:r>
        <w:rPr>
          <w:rFonts w:hint="eastAsia" w:ascii="宋体" w:hAnsi="宋体" w:eastAsia="宋体" w:cs="宋体"/>
          <w:sz w:val="24"/>
          <w:szCs w:val="24"/>
          <w:highlight w:val="none"/>
          <w:lang w:eastAsia="zh-CN"/>
        </w:rPr>
        <w:t>谈判响应文件递交</w:t>
      </w:r>
      <w:r>
        <w:rPr>
          <w:rFonts w:hint="eastAsia" w:ascii="宋体" w:hAnsi="宋体" w:eastAsia="宋体" w:cs="宋体"/>
          <w:sz w:val="24"/>
          <w:szCs w:val="24"/>
          <w:highlight w:val="none"/>
        </w:rPr>
        <w:t>截止时间和</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时间并在财政部门指定的媒体上发布变更公告，同时将变更时间书面通知所有</w:t>
      </w:r>
      <w:r>
        <w:rPr>
          <w:rFonts w:hint="eastAsia" w:ascii="宋体" w:hAnsi="宋体" w:eastAsia="宋体" w:cs="宋体"/>
          <w:sz w:val="24"/>
          <w:szCs w:val="24"/>
          <w:highlight w:val="none"/>
          <w:lang w:eastAsia="zh-CN"/>
        </w:rPr>
        <w:t>获取谈判</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eastAsia="zh-CN"/>
        </w:rPr>
        <w:t>的供应商</w:t>
      </w:r>
      <w:r>
        <w:rPr>
          <w:rFonts w:hint="eastAsia" w:ascii="宋体" w:hAnsi="宋体" w:eastAsia="宋体" w:cs="宋体"/>
          <w:sz w:val="24"/>
          <w:szCs w:val="24"/>
          <w:highlight w:val="none"/>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7.2采购代理机构如果对已发出的</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文件进行修改，将在</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文件要求提交</w:t>
      </w:r>
      <w:r>
        <w:rPr>
          <w:rFonts w:hint="eastAsia" w:ascii="宋体" w:hAnsi="宋体" w:eastAsia="宋体" w:cs="宋体"/>
          <w:sz w:val="24"/>
          <w:szCs w:val="24"/>
          <w:highlight w:val="none"/>
          <w:lang w:eastAsia="zh-CN"/>
        </w:rPr>
        <w:t>谈判响应</w:t>
      </w:r>
      <w:r>
        <w:rPr>
          <w:rFonts w:hint="eastAsia" w:ascii="宋体" w:hAnsi="宋体" w:eastAsia="宋体" w:cs="宋体"/>
          <w:sz w:val="24"/>
          <w:szCs w:val="24"/>
          <w:highlight w:val="none"/>
        </w:rPr>
        <w:t>文件截止时间</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个工作</w:t>
      </w:r>
      <w:r>
        <w:rPr>
          <w:rFonts w:hint="eastAsia" w:ascii="宋体" w:hAnsi="宋体" w:eastAsia="宋体" w:cs="宋体"/>
          <w:sz w:val="24"/>
          <w:szCs w:val="24"/>
          <w:highlight w:val="none"/>
        </w:rPr>
        <w:t>日前，在发布</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公告的财政部门指定媒体上发布</w:t>
      </w:r>
      <w:r>
        <w:rPr>
          <w:rFonts w:hint="eastAsia" w:ascii="宋体" w:hAnsi="宋体" w:eastAsia="宋体" w:cs="宋体"/>
          <w:sz w:val="24"/>
          <w:szCs w:val="24"/>
          <w:highlight w:val="none"/>
          <w:lang w:eastAsia="zh-CN"/>
        </w:rPr>
        <w:t>变更</w:t>
      </w:r>
      <w:r>
        <w:rPr>
          <w:rFonts w:hint="eastAsia" w:ascii="宋体" w:hAnsi="宋体" w:eastAsia="宋体" w:cs="宋体"/>
          <w:sz w:val="24"/>
          <w:szCs w:val="24"/>
          <w:highlight w:val="none"/>
        </w:rPr>
        <w:t>公告，并以书面形式通知所有</w:t>
      </w:r>
      <w:r>
        <w:rPr>
          <w:rFonts w:hint="eastAsia" w:ascii="宋体" w:hAnsi="宋体" w:eastAsia="宋体" w:cs="宋体"/>
          <w:sz w:val="24"/>
          <w:szCs w:val="24"/>
          <w:highlight w:val="none"/>
          <w:lang w:eastAsia="zh-CN"/>
        </w:rPr>
        <w:t>获取谈判</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eastAsia="zh-CN"/>
        </w:rPr>
        <w:t>的供应商</w:t>
      </w:r>
      <w:r>
        <w:rPr>
          <w:rFonts w:hint="eastAsia" w:ascii="宋体" w:hAnsi="宋体" w:eastAsia="宋体" w:cs="宋体"/>
          <w:sz w:val="24"/>
          <w:szCs w:val="24"/>
          <w:highlight w:val="none"/>
        </w:rPr>
        <w:t>。该澄清或者修改的内容为</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 xml:space="preserve">文件的组成部分。 </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7.3</w:t>
      </w:r>
      <w:r>
        <w:rPr>
          <w:rFonts w:hint="eastAsia" w:ascii="宋体" w:hAnsi="宋体" w:eastAsia="宋体" w:cs="宋体"/>
          <w:color w:val="auto"/>
          <w:sz w:val="24"/>
          <w:szCs w:val="24"/>
          <w:highlight w:val="none"/>
        </w:rPr>
        <w:t>已经</w:t>
      </w:r>
      <w:r>
        <w:rPr>
          <w:rFonts w:hint="eastAsia" w:ascii="宋体" w:hAnsi="宋体" w:eastAsia="宋体" w:cs="宋体"/>
          <w:color w:val="auto"/>
          <w:sz w:val="24"/>
          <w:szCs w:val="24"/>
          <w:highlight w:val="none"/>
          <w:lang w:eastAsia="zh-CN"/>
        </w:rPr>
        <w:t>领取</w:t>
      </w:r>
      <w:r>
        <w:rPr>
          <w:rFonts w:hint="eastAsia" w:ascii="宋体" w:hAnsi="宋体" w:eastAsia="宋体" w:cs="宋体"/>
          <w:color w:val="auto"/>
          <w:sz w:val="24"/>
          <w:szCs w:val="24"/>
          <w:highlight w:val="none"/>
        </w:rPr>
        <w:t>竞争性谈判文件的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对竞争性谈判文件有疑问的，均应在谈判截止日期2日前以书面形式向采购代理机构提出。采购代理机构视情况必要时将书面答</w:t>
      </w:r>
      <w:r>
        <w:rPr>
          <w:rFonts w:hint="eastAsia" w:ascii="宋体" w:hAnsi="宋体" w:eastAsia="宋体" w:cs="宋体"/>
          <w:sz w:val="24"/>
          <w:szCs w:val="24"/>
          <w:highlight w:val="none"/>
        </w:rPr>
        <w:t>复传送给</w:t>
      </w:r>
      <w:r>
        <w:rPr>
          <w:rFonts w:hint="eastAsia" w:ascii="宋体" w:hAnsi="宋体" w:eastAsia="宋体" w:cs="宋体"/>
          <w:sz w:val="24"/>
          <w:szCs w:val="24"/>
          <w:highlight w:val="none"/>
          <w:lang w:eastAsia="zh-CN"/>
        </w:rPr>
        <w:t>所有获取</w:t>
      </w:r>
      <w:r>
        <w:rPr>
          <w:rFonts w:hint="eastAsia" w:ascii="宋体" w:hAnsi="宋体" w:eastAsia="宋体" w:cs="宋体"/>
          <w:sz w:val="24"/>
          <w:szCs w:val="24"/>
          <w:highlight w:val="none"/>
        </w:rPr>
        <w:t>竞争性谈判文件的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b/>
          <w:sz w:val="36"/>
          <w:szCs w:val="36"/>
          <w:highlight w:val="none"/>
        </w:rPr>
      </w:pPr>
      <w:r>
        <w:rPr>
          <w:rFonts w:hint="eastAsia" w:ascii="宋体" w:hAnsi="宋体" w:eastAsia="宋体" w:cs="宋体"/>
          <w:sz w:val="24"/>
          <w:szCs w:val="24"/>
          <w:highlight w:val="none"/>
        </w:rPr>
        <w:t>7.4</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在收到上述通知后，应立即向</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代理机构回函确认。</w:t>
      </w:r>
    </w:p>
    <w:p>
      <w:pPr>
        <w:keepNext w:val="0"/>
        <w:keepLines w:val="0"/>
        <w:pageBreakBefore w:val="0"/>
        <w:widowControl w:val="0"/>
        <w:wordWrap/>
        <w:overflowPunct/>
        <w:topLinePunct w:val="0"/>
        <w:autoSpaceDE/>
        <w:autoSpaceDN/>
        <w:bidi w:val="0"/>
        <w:spacing w:before="156" w:beforeLines="50" w:line="500" w:lineRule="exact"/>
        <w:jc w:val="center"/>
        <w:textAlignment w:val="auto"/>
        <w:rPr>
          <w:rFonts w:hint="eastAsia" w:ascii="宋体" w:hAnsi="宋体" w:eastAsia="宋体" w:cs="宋体"/>
          <w:b/>
          <w:sz w:val="32"/>
          <w:szCs w:val="32"/>
          <w:highlight w:val="none"/>
        </w:rPr>
      </w:pPr>
      <w:r>
        <w:rPr>
          <w:rFonts w:hint="eastAsia" w:ascii="宋体" w:hAnsi="宋体" w:eastAsia="宋体" w:cs="宋体"/>
          <w:b/>
          <w:sz w:val="32"/>
          <w:szCs w:val="32"/>
          <w:highlight w:val="none"/>
        </w:rPr>
        <w:t>三.竞争性谈判响应文件的编制</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8. 谈判语言和谈判货币</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rPr>
        <w:t>8.</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提交的竞争性谈判响应文件以及</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与采购代理机构就有关谈判的所有来往函电均应使用中文。</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8.2谈判应以人民币报价。任何包含非人民币报价的谈判将被作无效响应处理。</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9.竞争性谈判响应文件的构成</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9.1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提交的竞争性谈判响应文件应包括下列部分的内容：</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 按照</w:t>
      </w:r>
      <w:r>
        <w:rPr>
          <w:rFonts w:hint="eastAsia" w:ascii="宋体" w:hAnsi="宋体" w:eastAsia="宋体" w:cs="宋体"/>
          <w:sz w:val="24"/>
          <w:szCs w:val="24"/>
          <w:highlight w:val="none"/>
          <w:lang w:eastAsia="zh-CN"/>
        </w:rPr>
        <w:t>供应商须知</w:t>
      </w:r>
      <w:r>
        <w:rPr>
          <w:rFonts w:hint="eastAsia" w:ascii="宋体" w:hAnsi="宋体" w:eastAsia="宋体" w:cs="宋体"/>
          <w:sz w:val="24"/>
          <w:szCs w:val="24"/>
          <w:highlight w:val="none"/>
        </w:rPr>
        <w:t>的要求和竞争性谈判文件规定格式填写的</w:t>
      </w:r>
      <w:r>
        <w:rPr>
          <w:rFonts w:hint="eastAsia" w:ascii="宋体" w:hAnsi="宋体" w:eastAsia="宋体" w:cs="宋体"/>
          <w:sz w:val="24"/>
          <w:szCs w:val="24"/>
          <w:highlight w:val="none"/>
          <w:lang w:eastAsia="zh-CN"/>
        </w:rPr>
        <w:t>谈判响应函</w:t>
      </w:r>
      <w:r>
        <w:rPr>
          <w:rFonts w:hint="eastAsia" w:ascii="宋体" w:hAnsi="宋体" w:eastAsia="宋体" w:cs="宋体"/>
          <w:sz w:val="24"/>
          <w:szCs w:val="24"/>
          <w:highlight w:val="none"/>
        </w:rPr>
        <w:t>、谈判报价表、</w:t>
      </w:r>
      <w:r>
        <w:rPr>
          <w:rFonts w:hint="eastAsia" w:ascii="宋体" w:hAnsi="宋体" w:eastAsia="宋体" w:cs="宋体"/>
          <w:sz w:val="24"/>
          <w:szCs w:val="24"/>
          <w:highlight w:val="none"/>
          <w:lang w:eastAsia="zh-CN"/>
        </w:rPr>
        <w:t>法定代表人</w:t>
      </w:r>
      <w:r>
        <w:rPr>
          <w:rFonts w:hint="eastAsia" w:ascii="宋体" w:hAnsi="宋体" w:eastAsia="宋体" w:cs="宋体"/>
          <w:sz w:val="24"/>
          <w:szCs w:val="24"/>
          <w:highlight w:val="none"/>
        </w:rPr>
        <w:t>授权书。</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（2）按照竞争性谈判文件的要求编制的谈判方案说明书，内容应包括设备和服务的详细说明、技术规格响应表、设备配置说明、彩页</w:t>
      </w:r>
      <w:r>
        <w:rPr>
          <w:rFonts w:hint="eastAsia" w:ascii="宋体" w:hAnsi="宋体" w:eastAsia="宋体" w:cs="宋体"/>
          <w:sz w:val="24"/>
          <w:szCs w:val="24"/>
          <w:highlight w:val="none"/>
          <w:lang w:eastAsia="zh-CN"/>
        </w:rPr>
        <w:t>（如有）</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生产厂家出具的、相应的产品功能证明材料（包括但不限于测试报告、官网和功能截图等）</w:t>
      </w:r>
      <w:r>
        <w:rPr>
          <w:rFonts w:hint="eastAsia" w:ascii="宋体" w:hAnsi="宋体" w:eastAsia="宋体" w:cs="宋体"/>
          <w:sz w:val="24"/>
          <w:szCs w:val="24"/>
          <w:highlight w:val="none"/>
        </w:rPr>
        <w:t>，质量保证和售后服务承诺等。</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（3）按照竞争性谈判文件</w:t>
      </w:r>
      <w:r>
        <w:rPr>
          <w:rFonts w:hint="eastAsia" w:ascii="宋体" w:hAnsi="宋体" w:eastAsia="宋体" w:cs="宋体"/>
          <w:sz w:val="24"/>
          <w:szCs w:val="24"/>
          <w:highlight w:val="none"/>
          <w:lang w:eastAsia="zh-CN"/>
        </w:rPr>
        <w:t>供应商须知</w:t>
      </w:r>
      <w:r>
        <w:rPr>
          <w:rFonts w:hint="eastAsia" w:ascii="宋体" w:hAnsi="宋体" w:eastAsia="宋体" w:cs="宋体"/>
          <w:sz w:val="24"/>
          <w:szCs w:val="24"/>
          <w:highlight w:val="none"/>
        </w:rPr>
        <w:t>前附表的要求提交的资格证明文件；</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（4）竞争性谈判文件中要求的其他证明文件</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9.2 如果在竞争性谈判文件中没有允许提供备选方案，则每个</w:t>
      </w:r>
      <w:r>
        <w:rPr>
          <w:rFonts w:hint="eastAsia" w:ascii="宋体" w:hAnsi="宋体" w:eastAsia="宋体" w:cs="宋体"/>
          <w:sz w:val="24"/>
          <w:szCs w:val="24"/>
          <w:highlight w:val="none"/>
          <w:lang w:eastAsia="zh-CN"/>
        </w:rPr>
        <w:t>谈判供应商</w:t>
      </w:r>
      <w:r>
        <w:rPr>
          <w:rFonts w:hint="eastAsia" w:ascii="宋体" w:hAnsi="宋体" w:eastAsia="宋体" w:cs="宋体"/>
          <w:sz w:val="24"/>
          <w:szCs w:val="24"/>
          <w:highlight w:val="none"/>
        </w:rPr>
        <w:t>只允许提交一个谈判方案，否则，其谈判将被作谈判无效处理。</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9.3本次</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的最小单元为“</w:t>
      </w:r>
      <w:r>
        <w:rPr>
          <w:rFonts w:hint="eastAsia" w:ascii="宋体" w:hAnsi="宋体" w:eastAsia="宋体" w:cs="宋体"/>
          <w:sz w:val="24"/>
          <w:szCs w:val="24"/>
          <w:highlight w:val="none"/>
          <w:lang w:eastAsia="zh-CN"/>
        </w:rPr>
        <w:t>项目</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可根据自身的资质情况和经营范围对本次项目进行响应，不得将其子目再行分解或只对本次项目中的品目进行不完全响应，任何不完全的响应将</w:t>
      </w:r>
      <w:r>
        <w:rPr>
          <w:rFonts w:hint="eastAsia" w:ascii="宋体" w:hAnsi="宋体" w:eastAsia="宋体" w:cs="宋体"/>
          <w:sz w:val="24"/>
          <w:szCs w:val="24"/>
          <w:highlight w:val="none"/>
          <w:lang w:eastAsia="zh-CN"/>
        </w:rPr>
        <w:t>按无效响应处理</w:t>
      </w:r>
      <w:r>
        <w:rPr>
          <w:rFonts w:hint="eastAsia" w:ascii="宋体" w:hAnsi="宋体" w:eastAsia="宋体" w:cs="宋体"/>
          <w:sz w:val="24"/>
          <w:szCs w:val="24"/>
          <w:highlight w:val="none"/>
        </w:rPr>
        <w:t>。</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10.竞争性谈判响应文件格式</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10.1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应按照竞争性谈判文件中“竞争性谈判响应文件格式及构成”所提供的格式和要求制作竞争性谈判响应文件，明确表达谈判意愿，详细说明谈判方案、承诺及价格。</w:t>
      </w:r>
    </w:p>
    <w:p>
      <w:pPr>
        <w:keepNext w:val="0"/>
        <w:keepLines w:val="0"/>
        <w:pageBreakBefore w:val="0"/>
        <w:widowControl w:val="0"/>
        <w:wordWrap/>
        <w:overflowPunct/>
        <w:topLinePunct w:val="0"/>
        <w:autoSpaceDE/>
        <w:autoSpaceDN/>
        <w:bidi w:val="0"/>
        <w:spacing w:line="500" w:lineRule="exact"/>
        <w:ind w:firstLine="482" w:firstLineChars="200"/>
        <w:textAlignment w:val="auto"/>
        <w:rPr>
          <w:rFonts w:hint="eastAsia" w:ascii="宋体" w:hAnsi="宋体" w:eastAsia="宋体" w:cs="宋体"/>
          <w:b/>
          <w:bCs/>
          <w:sz w:val="24"/>
          <w:highlight w:val="none"/>
        </w:rPr>
      </w:pPr>
      <w:r>
        <w:rPr>
          <w:rFonts w:hint="eastAsia" w:ascii="宋体" w:hAnsi="宋体" w:eastAsia="宋体" w:cs="宋体"/>
          <w:b/>
          <w:bCs/>
          <w:sz w:val="24"/>
          <w:highlight w:val="none"/>
        </w:rPr>
        <w:t>10.2按竞争性谈判文件第9条的内容与要求和第六章提供的格式编写其竞争性谈判响应文件，</w:t>
      </w:r>
      <w:r>
        <w:rPr>
          <w:rFonts w:hint="eastAsia" w:ascii="宋体" w:hAnsi="宋体" w:eastAsia="宋体" w:cs="宋体"/>
          <w:b/>
          <w:bCs/>
          <w:sz w:val="24"/>
          <w:highlight w:val="none"/>
          <w:lang w:eastAsia="zh-CN"/>
        </w:rPr>
        <w:t>供应商</w:t>
      </w:r>
      <w:r>
        <w:rPr>
          <w:rFonts w:hint="eastAsia" w:ascii="宋体" w:hAnsi="宋体" w:eastAsia="宋体" w:cs="宋体"/>
          <w:b/>
          <w:bCs/>
          <w:sz w:val="24"/>
          <w:highlight w:val="none"/>
        </w:rPr>
        <w:t>不得缺少或留空任何竞争性谈判文件要求填写的表格或提交的资料。</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11.谈判报价</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highlight w:val="none"/>
        </w:rPr>
        <w:t>11.1</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应在谈判报价表中标明完成本次</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所要求的货物、服务并验收至合格的所有费用，包括设备（产品）费、安装调试费、运杂费（含保险）、仓储保管费、质保期维护</w:t>
      </w:r>
      <w:r>
        <w:rPr>
          <w:rFonts w:hint="eastAsia" w:ascii="宋体" w:hAnsi="宋体" w:eastAsia="宋体" w:cs="宋体"/>
          <w:sz w:val="24"/>
          <w:szCs w:val="24"/>
          <w:highlight w:val="none"/>
          <w:lang w:eastAsia="zh-CN"/>
        </w:rPr>
        <w:t>、招标代理服务费、税金</w:t>
      </w:r>
      <w:r>
        <w:rPr>
          <w:rFonts w:hint="eastAsia" w:ascii="宋体" w:hAnsi="宋体" w:eastAsia="宋体" w:cs="宋体"/>
          <w:sz w:val="24"/>
          <w:szCs w:val="24"/>
          <w:highlight w:val="none"/>
        </w:rPr>
        <w:t>等其他一切相关费用。谈判报价表中标明本次货物、服务的所有单项价格和总价，任何有选择的报价将不予接受，按无效响应处理。</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11.2谈判报价表中标明的价格应为履行合同的固定价格，不得以任何理由予以变更。以可调整的价格提交的竞争性谈判响应文件按无效响应处理。</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szCs w:val="24"/>
          <w:highlight w:val="none"/>
        </w:rPr>
        <w:t>11.3</w:t>
      </w:r>
      <w:r>
        <w:rPr>
          <w:rFonts w:hint="eastAsia" w:ascii="宋体" w:hAnsi="宋体" w:eastAsia="宋体" w:cs="宋体"/>
          <w:sz w:val="24"/>
          <w:highlight w:val="none"/>
        </w:rPr>
        <w:t>谈判报价：总包交钥匙价（精确到小数点后二位）。</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12.证明</w:t>
      </w:r>
      <w:r>
        <w:rPr>
          <w:rFonts w:hint="eastAsia" w:ascii="宋体" w:hAnsi="宋体" w:eastAsia="宋体" w:cs="宋体"/>
          <w:b/>
          <w:sz w:val="24"/>
          <w:szCs w:val="24"/>
          <w:highlight w:val="none"/>
          <w:lang w:eastAsia="zh-CN"/>
        </w:rPr>
        <w:t>供应商</w:t>
      </w:r>
      <w:r>
        <w:rPr>
          <w:rFonts w:hint="eastAsia" w:ascii="宋体" w:hAnsi="宋体" w:eastAsia="宋体" w:cs="宋体"/>
          <w:b/>
          <w:sz w:val="24"/>
          <w:szCs w:val="24"/>
          <w:highlight w:val="none"/>
        </w:rPr>
        <w:t>合格和资格的文件</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12.1</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应按照竞争性谈判文件</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的要求，在竞争性谈判响应文件中提交合格的资格证明文件。如果资格证明文件不全或不合格的，其谈判按无效响应处理。</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13.证明</w:t>
      </w:r>
      <w:r>
        <w:rPr>
          <w:rFonts w:hint="eastAsia" w:ascii="宋体" w:hAnsi="宋体" w:eastAsia="宋体" w:cs="宋体"/>
          <w:b/>
          <w:sz w:val="24"/>
          <w:szCs w:val="24"/>
          <w:highlight w:val="none"/>
          <w:lang w:eastAsia="zh-CN"/>
        </w:rPr>
        <w:t>货物（产品）</w:t>
      </w:r>
      <w:r>
        <w:rPr>
          <w:rFonts w:hint="eastAsia" w:ascii="宋体" w:hAnsi="宋体" w:eastAsia="宋体" w:cs="宋体"/>
          <w:b/>
          <w:sz w:val="24"/>
          <w:szCs w:val="24"/>
          <w:highlight w:val="none"/>
        </w:rPr>
        <w:t>符合竞争性谈判文件规定的文件</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13.1</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在竞争性谈判响应文件中提交产品和服务满足竞争性谈判文件要求并符合国家法律法规、行业管理部门要求的其他强制性标准的证明文件。缺少证明文件或证明文件不合格的谈判，与竞争性谈判文件要求有重大偏离的谈判，不符合国家法律法规、行业管理部门要求的其他强制性标准的谈判将按无效响应处理。</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13.2上述证明文件可以是文字资料、图纸、图片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数据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宣传彩页等，所有证明文件表达意思必须统一。</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如需</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提供样品，</w:t>
      </w:r>
      <w:r>
        <w:rPr>
          <w:rFonts w:hint="eastAsia" w:ascii="宋体" w:hAnsi="宋体" w:eastAsia="宋体" w:cs="宋体"/>
          <w:sz w:val="24"/>
          <w:szCs w:val="24"/>
          <w:highlight w:val="none"/>
          <w:lang w:eastAsia="zh-CN"/>
        </w:rPr>
        <w:t>样品必须与谈判响应</w:t>
      </w:r>
      <w:r>
        <w:rPr>
          <w:rFonts w:hint="eastAsia" w:ascii="宋体" w:hAnsi="宋体" w:eastAsia="宋体" w:cs="宋体"/>
          <w:sz w:val="24"/>
          <w:szCs w:val="24"/>
          <w:highlight w:val="none"/>
        </w:rPr>
        <w:t>文件的表述完全符合。</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包括：</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 产品主要技术指标和性能的详细说明；</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生产厂家出具的、相应的产品功能证明材料（包括但不限于测试报告、官网和功能截图等）</w:t>
      </w:r>
      <w:r>
        <w:rPr>
          <w:rFonts w:hint="eastAsia" w:ascii="宋体" w:hAnsi="宋体" w:eastAsia="宋体" w:cs="宋体"/>
          <w:sz w:val="24"/>
          <w:szCs w:val="24"/>
          <w:highlight w:val="none"/>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 逐条对竞争性谈判文件提出的技术要求和商务要求进行应答，说明所提供的产品和服务对竞争性谈判的技术和商务要求是否做出了实质性响应并提供支持文件；</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（4）供货范围和服务内容的详细说明。</w:t>
      </w:r>
    </w:p>
    <w:p>
      <w:pPr>
        <w:keepNext w:val="0"/>
        <w:keepLines w:val="0"/>
        <w:pageBreakBefore w:val="0"/>
        <w:widowControl w:val="0"/>
        <w:tabs>
          <w:tab w:val="right" w:pos="8788"/>
        </w:tabs>
        <w:wordWrap/>
        <w:overflowPunct/>
        <w:topLinePunct w:val="0"/>
        <w:autoSpaceDE/>
        <w:autoSpaceDN/>
        <w:bidi w:val="0"/>
        <w:spacing w:line="500" w:lineRule="exact"/>
        <w:textAlignment w:val="auto"/>
        <w:rPr>
          <w:rFonts w:hint="eastAsia" w:ascii="宋体" w:hAnsi="宋体" w:eastAsia="宋体" w:cs="宋体"/>
          <w:b/>
          <w:sz w:val="24"/>
          <w:szCs w:val="24"/>
          <w:highlight w:val="none"/>
        </w:rPr>
      </w:pPr>
      <w:r>
        <w:rPr>
          <w:rFonts w:hint="eastAsia" w:ascii="宋体" w:hAnsi="宋体" w:eastAsia="宋体" w:cs="宋体"/>
          <w:b/>
          <w:bCs w:val="0"/>
          <w:sz w:val="24"/>
          <w:szCs w:val="24"/>
          <w:highlight w:val="none"/>
        </w:rPr>
        <w:t>1</w:t>
      </w:r>
      <w:r>
        <w:rPr>
          <w:rFonts w:hint="eastAsia" w:ascii="宋体" w:hAnsi="宋体" w:eastAsia="宋体" w:cs="宋体"/>
          <w:b/>
          <w:bCs w:val="0"/>
          <w:sz w:val="24"/>
          <w:szCs w:val="24"/>
          <w:highlight w:val="none"/>
          <w:lang w:val="en-US" w:eastAsia="zh-CN"/>
        </w:rPr>
        <w:t>4</w:t>
      </w:r>
      <w:r>
        <w:rPr>
          <w:rFonts w:hint="eastAsia" w:ascii="宋体" w:hAnsi="宋体" w:eastAsia="宋体" w:cs="宋体"/>
          <w:b/>
          <w:bCs w:val="0"/>
          <w:sz w:val="24"/>
          <w:szCs w:val="24"/>
          <w:highlight w:val="none"/>
        </w:rPr>
        <w:t>.谈判有效期</w:t>
      </w:r>
      <w:r>
        <w:rPr>
          <w:rFonts w:hint="eastAsia" w:ascii="宋体" w:hAnsi="宋体" w:eastAsia="宋体" w:cs="宋体"/>
          <w:b/>
          <w:sz w:val="24"/>
          <w:szCs w:val="24"/>
          <w:highlight w:val="none"/>
        </w:rPr>
        <w:tab/>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响应文件应在“供应商须知前附表”中规定的期限内保持有效。谈判有效期不满足规定有效期的谈判</w:t>
      </w:r>
      <w:r>
        <w:rPr>
          <w:rFonts w:hint="eastAsia" w:ascii="宋体" w:hAnsi="宋体" w:eastAsia="宋体" w:cs="宋体"/>
          <w:sz w:val="24"/>
          <w:highlight w:val="none"/>
        </w:rPr>
        <w:t>将被视为非响应性谈判而予以拒绝</w:t>
      </w:r>
      <w:r>
        <w:rPr>
          <w:rFonts w:hint="eastAsia" w:ascii="宋体" w:hAnsi="宋体" w:eastAsia="宋体" w:cs="宋体"/>
          <w:sz w:val="24"/>
          <w:szCs w:val="24"/>
          <w:highlight w:val="none"/>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.2在特殊情况下，在原谈判有效期期满之前，采购代理机构可向</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提出延长谈判有效期的要求。这种要求与答复均应以书面的形式。</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可以拒绝采购代理机构的这种要求。同意延长的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既不能要求也不允许修改其竞争性谈判响应文件，但要相应延长其谈判的有效期。</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5</w:t>
      </w:r>
      <w:r>
        <w:rPr>
          <w:rFonts w:hint="eastAsia" w:ascii="宋体" w:hAnsi="宋体" w:eastAsia="宋体" w:cs="宋体"/>
          <w:b/>
          <w:sz w:val="24"/>
          <w:szCs w:val="24"/>
          <w:highlight w:val="none"/>
        </w:rPr>
        <w:t>.竞争性谈判响应文件的式样和签署</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应按照</w:t>
      </w:r>
      <w:r>
        <w:rPr>
          <w:rFonts w:hint="eastAsia" w:ascii="宋体" w:hAnsi="宋体" w:eastAsia="宋体" w:cs="宋体"/>
          <w:sz w:val="24"/>
          <w:szCs w:val="24"/>
          <w:highlight w:val="none"/>
          <w:lang w:eastAsia="zh-CN"/>
        </w:rPr>
        <w:t>供应商须知</w:t>
      </w:r>
      <w:r>
        <w:rPr>
          <w:rFonts w:hint="eastAsia" w:ascii="宋体" w:hAnsi="宋体" w:eastAsia="宋体" w:cs="宋体"/>
          <w:sz w:val="24"/>
          <w:szCs w:val="24"/>
          <w:highlight w:val="none"/>
        </w:rPr>
        <w:t>的要求,</w:t>
      </w:r>
      <w:r>
        <w:rPr>
          <w:rFonts w:hint="eastAsia" w:ascii="宋体" w:hAnsi="宋体" w:eastAsia="宋体" w:cs="宋体"/>
          <w:sz w:val="24"/>
          <w:szCs w:val="24"/>
          <w:highlight w:val="none"/>
          <w:lang w:eastAsia="zh-CN"/>
        </w:rPr>
        <w:t>提交</w:t>
      </w:r>
      <w:r>
        <w:rPr>
          <w:rFonts w:hint="eastAsia" w:ascii="宋体" w:hAnsi="宋体" w:eastAsia="宋体" w:cs="宋体"/>
          <w:sz w:val="24"/>
          <w:szCs w:val="24"/>
          <w:highlight w:val="none"/>
        </w:rPr>
        <w:t>一份竞争性谈判响应文件正本和“</w:t>
      </w:r>
      <w:r>
        <w:rPr>
          <w:rFonts w:hint="eastAsia" w:ascii="宋体" w:hAnsi="宋体" w:eastAsia="宋体" w:cs="宋体"/>
          <w:sz w:val="24"/>
          <w:szCs w:val="24"/>
          <w:highlight w:val="none"/>
          <w:lang w:eastAsia="zh-CN"/>
        </w:rPr>
        <w:t>供应商须知</w:t>
      </w:r>
      <w:r>
        <w:rPr>
          <w:rFonts w:hint="eastAsia" w:ascii="宋体" w:hAnsi="宋体" w:eastAsia="宋体" w:cs="宋体"/>
          <w:sz w:val="24"/>
          <w:szCs w:val="24"/>
          <w:highlight w:val="none"/>
        </w:rPr>
        <w:t>前附表”中规定数量的副本，每套竞争性谈判响应文件封面须清楚地标明“正本”或“副本”。同时提供与</w:t>
      </w:r>
      <w:r>
        <w:rPr>
          <w:rFonts w:hint="eastAsia" w:ascii="宋体" w:hAnsi="宋体" w:eastAsia="宋体" w:cs="宋体"/>
          <w:sz w:val="24"/>
          <w:szCs w:val="24"/>
          <w:highlight w:val="none"/>
          <w:lang w:eastAsia="zh-CN"/>
        </w:rPr>
        <w:t>竞争性谈判响应文件</w:t>
      </w:r>
      <w:r>
        <w:rPr>
          <w:rFonts w:hint="eastAsia" w:ascii="宋体" w:hAnsi="宋体" w:eastAsia="宋体" w:cs="宋体"/>
          <w:sz w:val="24"/>
          <w:szCs w:val="24"/>
          <w:highlight w:val="none"/>
        </w:rPr>
        <w:t>正本内容一致的</w:t>
      </w:r>
      <w:r>
        <w:rPr>
          <w:rFonts w:hint="eastAsia" w:ascii="宋体" w:hAnsi="宋体" w:eastAsia="宋体" w:cs="宋体"/>
          <w:spacing w:val="4"/>
          <w:sz w:val="24"/>
          <w:szCs w:val="24"/>
          <w:highlight w:val="none"/>
        </w:rPr>
        <w:t>电子版</w:t>
      </w:r>
      <w:r>
        <w:rPr>
          <w:rFonts w:hint="eastAsia" w:ascii="宋体" w:hAnsi="宋体" w:eastAsia="宋体" w:cs="宋体"/>
          <w:spacing w:val="4"/>
          <w:sz w:val="24"/>
          <w:szCs w:val="24"/>
          <w:highlight w:val="none"/>
          <w:lang w:eastAsia="zh-CN"/>
        </w:rPr>
        <w:t>（</w:t>
      </w:r>
      <w:r>
        <w:rPr>
          <w:rFonts w:hint="eastAsia" w:ascii="宋体" w:hAnsi="宋体" w:eastAsia="宋体" w:cs="宋体"/>
          <w:sz w:val="24"/>
          <w:szCs w:val="24"/>
          <w:highlight w:val="none"/>
        </w:rPr>
        <w:t>U盘</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贰</w:t>
      </w:r>
      <w:r>
        <w:rPr>
          <w:rFonts w:hint="eastAsia" w:ascii="宋体" w:hAnsi="宋体" w:eastAsia="宋体" w:cs="宋体"/>
          <w:sz w:val="24"/>
          <w:szCs w:val="24"/>
          <w:highlight w:val="none"/>
          <w:lang w:eastAsia="zh-CN"/>
        </w:rPr>
        <w:t>份及报价一览表</w:t>
      </w:r>
      <w:r>
        <w:rPr>
          <w:rFonts w:hint="eastAsia" w:ascii="宋体" w:hAnsi="宋体" w:eastAsia="宋体" w:cs="宋体"/>
          <w:sz w:val="24"/>
          <w:szCs w:val="24"/>
          <w:highlight w:val="none"/>
          <w:lang w:val="en-US" w:eastAsia="zh-CN"/>
        </w:rPr>
        <w:t>壹</w:t>
      </w:r>
      <w:r>
        <w:rPr>
          <w:rFonts w:hint="eastAsia" w:ascii="宋体" w:hAnsi="宋体" w:eastAsia="宋体" w:cs="宋体"/>
          <w:sz w:val="24"/>
          <w:szCs w:val="24"/>
          <w:highlight w:val="none"/>
          <w:lang w:eastAsia="zh-CN"/>
        </w:rPr>
        <w:t>份，</w:t>
      </w:r>
      <w:r>
        <w:rPr>
          <w:rFonts w:hint="eastAsia" w:ascii="宋体" w:hAnsi="宋体" w:eastAsia="宋体" w:cs="宋体"/>
          <w:sz w:val="24"/>
          <w:szCs w:val="24"/>
          <w:highlight w:val="none"/>
        </w:rPr>
        <w:t>并标注</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全称、项目名称、项目编号，并与竞争性谈判响应文件同时递交。</w:t>
      </w:r>
      <w:r>
        <w:rPr>
          <w:rFonts w:hint="eastAsia" w:ascii="宋体" w:hAnsi="宋体" w:eastAsia="宋体" w:cs="宋体"/>
          <w:b/>
          <w:bCs/>
          <w:sz w:val="24"/>
          <w:szCs w:val="24"/>
          <w:highlight w:val="none"/>
          <w:lang w:val="en-US" w:eastAsia="zh-CN"/>
        </w:rPr>
        <w:t>电子版包括：电子U盘内须附</w:t>
      </w:r>
      <w:r>
        <w:rPr>
          <w:rFonts w:hint="eastAsia" w:ascii="宋体" w:hAnsi="宋体" w:cs="宋体"/>
          <w:b/>
          <w:bCs/>
          <w:sz w:val="24"/>
          <w:szCs w:val="24"/>
          <w:highlight w:val="none"/>
          <w:lang w:val="en-US" w:eastAsia="zh-CN"/>
        </w:rPr>
        <w:t>谈判</w:t>
      </w:r>
      <w:r>
        <w:rPr>
          <w:rFonts w:hint="eastAsia" w:ascii="宋体" w:hAnsi="宋体" w:eastAsia="宋体" w:cs="宋体"/>
          <w:b/>
          <w:bCs/>
          <w:sz w:val="24"/>
          <w:szCs w:val="24"/>
          <w:highlight w:val="none"/>
          <w:lang w:val="en-US" w:eastAsia="zh-CN"/>
        </w:rPr>
        <w:t>响应文件WORD版本（可编辑）、完整彩色扫描件的PDF版本（包含签字盖章内容）。</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.2竞争性谈判响应文件正本和副本均需打印或用不褪色、不变质的墨水书写，由</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的法定代表人或</w:t>
      </w:r>
      <w:r>
        <w:rPr>
          <w:rFonts w:hint="eastAsia" w:ascii="宋体" w:hAnsi="宋体" w:eastAsia="宋体" w:cs="宋体"/>
          <w:sz w:val="24"/>
          <w:szCs w:val="24"/>
          <w:highlight w:val="none"/>
          <w:lang w:eastAsia="zh-CN"/>
        </w:rPr>
        <w:t>被授权人按谈判文件的规定签署</w:t>
      </w:r>
      <w:r>
        <w:rPr>
          <w:rFonts w:hint="eastAsia" w:ascii="宋体" w:hAnsi="宋体" w:eastAsia="宋体" w:cs="宋体"/>
          <w:b w:val="0"/>
          <w:bCs w:val="0"/>
          <w:sz w:val="24"/>
          <w:szCs w:val="24"/>
          <w:highlight w:val="none"/>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.3任何行间插字、涂改和增删，必须由</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的法定代表人或其授权代表在旁边签字才有效。</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sz w:val="24"/>
          <w:szCs w:val="24"/>
          <w:highlight w:val="none"/>
        </w:rPr>
        <w:t>1</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.4</w:t>
      </w:r>
      <w:r>
        <w:rPr>
          <w:rFonts w:hint="eastAsia" w:ascii="宋体" w:hAnsi="宋体" w:eastAsia="宋体" w:cs="宋体"/>
          <w:b w:val="0"/>
          <w:bCs w:val="0"/>
          <w:sz w:val="24"/>
          <w:szCs w:val="24"/>
          <w:highlight w:val="none"/>
          <w:lang w:eastAsia="zh-CN"/>
        </w:rPr>
        <w:t>供应商</w:t>
      </w:r>
      <w:r>
        <w:rPr>
          <w:rFonts w:hint="eastAsia" w:ascii="宋体" w:hAnsi="宋体" w:eastAsia="宋体" w:cs="宋体"/>
          <w:b w:val="0"/>
          <w:bCs w:val="0"/>
          <w:sz w:val="24"/>
          <w:szCs w:val="24"/>
          <w:highlight w:val="none"/>
        </w:rPr>
        <w:t>名称应填写全称</w:t>
      </w:r>
      <w:r>
        <w:rPr>
          <w:rFonts w:hint="eastAsia" w:ascii="宋体" w:hAnsi="宋体" w:eastAsia="宋体" w:cs="宋体"/>
          <w:b w:val="0"/>
          <w:bCs w:val="0"/>
          <w:color w:val="auto"/>
          <w:sz w:val="24"/>
          <w:szCs w:val="24"/>
          <w:highlight w:val="none"/>
        </w:rPr>
        <w:t>，竞争性谈判响应文件正本必须</w:t>
      </w:r>
      <w:r>
        <w:rPr>
          <w:rFonts w:hint="eastAsia" w:ascii="宋体" w:hAnsi="宋体" w:eastAsia="宋体" w:cs="宋体"/>
          <w:b w:val="0"/>
          <w:bCs w:val="0"/>
          <w:color w:val="auto"/>
          <w:sz w:val="24"/>
          <w:szCs w:val="24"/>
          <w:highlight w:val="none"/>
          <w:lang w:eastAsia="zh-CN"/>
        </w:rPr>
        <w:t>逐页加盖供应商公章</w:t>
      </w:r>
      <w:r>
        <w:rPr>
          <w:rFonts w:hint="eastAsia" w:ascii="宋体" w:hAnsi="宋体" w:eastAsia="宋体" w:cs="宋体"/>
          <w:b w:val="0"/>
          <w:bCs w:val="0"/>
          <w:color w:val="auto"/>
          <w:sz w:val="24"/>
          <w:szCs w:val="24"/>
          <w:highlight w:val="none"/>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b w:val="0"/>
          <w:bCs w:val="0"/>
          <w:highlight w:val="none"/>
        </w:rPr>
      </w:pPr>
      <w:r>
        <w:rPr>
          <w:rFonts w:hint="eastAsia" w:ascii="宋体" w:hAnsi="宋体" w:eastAsia="宋体" w:cs="宋体"/>
          <w:b w:val="0"/>
          <w:bCs w:val="0"/>
          <w:sz w:val="24"/>
          <w:szCs w:val="24"/>
          <w:highlight w:val="none"/>
          <w:lang w:val="en-US" w:eastAsia="zh-CN"/>
        </w:rPr>
        <w:t>15.5</w:t>
      </w:r>
      <w:r>
        <w:rPr>
          <w:rFonts w:hint="eastAsia" w:ascii="宋体" w:hAnsi="宋体" w:eastAsia="宋体" w:cs="宋体"/>
          <w:b w:val="0"/>
          <w:bCs w:val="0"/>
          <w:sz w:val="24"/>
          <w:szCs w:val="24"/>
          <w:highlight w:val="none"/>
        </w:rPr>
        <w:t xml:space="preserve"> </w:t>
      </w:r>
      <w:r>
        <w:rPr>
          <w:rFonts w:hint="eastAsia" w:ascii="宋体" w:hAnsi="宋体" w:eastAsia="宋体" w:cs="宋体"/>
          <w:b w:val="0"/>
          <w:bCs w:val="0"/>
          <w:sz w:val="24"/>
          <w:szCs w:val="24"/>
          <w:highlight w:val="none"/>
          <w:lang w:eastAsia="zh-CN"/>
        </w:rPr>
        <w:t>竞争性谈判响应</w:t>
      </w:r>
      <w:r>
        <w:rPr>
          <w:rFonts w:hint="eastAsia" w:ascii="宋体" w:hAnsi="宋体" w:eastAsia="宋体" w:cs="宋体"/>
          <w:b w:val="0"/>
          <w:bCs w:val="0"/>
          <w:sz w:val="24"/>
          <w:szCs w:val="24"/>
          <w:highlight w:val="none"/>
        </w:rPr>
        <w:t>文件正本和副本</w:t>
      </w:r>
      <w:r>
        <w:rPr>
          <w:rFonts w:hint="eastAsia" w:ascii="宋体" w:hAnsi="宋体" w:eastAsia="宋体" w:cs="宋体"/>
          <w:b w:val="0"/>
          <w:bCs w:val="0"/>
          <w:sz w:val="24"/>
          <w:szCs w:val="24"/>
          <w:highlight w:val="none"/>
          <w:lang w:eastAsia="zh-CN"/>
        </w:rPr>
        <w:t>按照竞争性谈判文件</w:t>
      </w:r>
      <w:r>
        <w:rPr>
          <w:rFonts w:hint="eastAsia" w:ascii="宋体" w:hAnsi="宋体" w:eastAsia="宋体" w:cs="宋体"/>
          <w:b w:val="0"/>
          <w:bCs w:val="0"/>
          <w:sz w:val="24"/>
          <w:szCs w:val="24"/>
          <w:highlight w:val="none"/>
        </w:rPr>
        <w:t>第六章</w:t>
      </w:r>
      <w:r>
        <w:rPr>
          <w:rFonts w:hint="eastAsia" w:ascii="宋体" w:hAnsi="宋体" w:eastAsia="宋体" w:cs="宋体"/>
          <w:b w:val="0"/>
          <w:bCs w:val="0"/>
          <w:sz w:val="24"/>
          <w:szCs w:val="24"/>
          <w:highlight w:val="none"/>
          <w:lang w:eastAsia="zh-CN"/>
        </w:rPr>
        <w:t>规定的</w:t>
      </w:r>
      <w:r>
        <w:rPr>
          <w:rFonts w:hint="eastAsia" w:ascii="宋体" w:hAnsi="宋体" w:eastAsia="宋体" w:cs="宋体"/>
          <w:b w:val="0"/>
          <w:bCs w:val="0"/>
          <w:sz w:val="24"/>
          <w:szCs w:val="24"/>
          <w:highlight w:val="none"/>
        </w:rPr>
        <w:t>顺序编排</w:t>
      </w:r>
      <w:r>
        <w:rPr>
          <w:rFonts w:hint="eastAsia" w:ascii="宋体" w:hAnsi="宋体" w:eastAsia="宋体" w:cs="宋体"/>
          <w:b w:val="0"/>
          <w:bCs w:val="0"/>
          <w:sz w:val="24"/>
          <w:szCs w:val="24"/>
          <w:highlight w:val="none"/>
          <w:lang w:eastAsia="zh-CN"/>
        </w:rPr>
        <w:t>、并应</w:t>
      </w:r>
      <w:r>
        <w:rPr>
          <w:rFonts w:hint="eastAsia" w:ascii="宋体" w:hAnsi="宋体" w:eastAsia="宋体" w:cs="宋体"/>
          <w:b w:val="0"/>
          <w:bCs w:val="0"/>
          <w:sz w:val="24"/>
          <w:szCs w:val="24"/>
          <w:highlight w:val="none"/>
          <w:lang w:val="zh-CN"/>
        </w:rPr>
        <w:t>编制目录，</w:t>
      </w:r>
      <w:r>
        <w:rPr>
          <w:rFonts w:hint="eastAsia" w:ascii="宋体" w:hAnsi="宋体" w:eastAsia="宋体" w:cs="宋体"/>
          <w:b w:val="0"/>
          <w:bCs w:val="0"/>
          <w:sz w:val="24"/>
          <w:szCs w:val="24"/>
          <w:highlight w:val="none"/>
        </w:rPr>
        <w:t>逐页标注连续页码</w:t>
      </w:r>
      <w:r>
        <w:rPr>
          <w:rFonts w:hint="eastAsia" w:ascii="宋体" w:hAnsi="宋体" w:eastAsia="宋体" w:cs="宋体"/>
          <w:b w:val="0"/>
          <w:bCs w:val="0"/>
          <w:sz w:val="24"/>
          <w:szCs w:val="24"/>
          <w:highlight w:val="none"/>
          <w:lang w:eastAsia="zh-CN"/>
        </w:rPr>
        <w:t>，并分别</w:t>
      </w:r>
      <w:r>
        <w:rPr>
          <w:rFonts w:hint="eastAsia" w:ascii="宋体" w:hAnsi="宋体" w:eastAsia="宋体" w:cs="宋体"/>
          <w:b w:val="0"/>
          <w:bCs w:val="0"/>
          <w:sz w:val="24"/>
          <w:szCs w:val="24"/>
          <w:highlight w:val="none"/>
          <w:lang w:val="zh-CN"/>
        </w:rPr>
        <w:t>胶装成册</w:t>
      </w:r>
      <w:r>
        <w:rPr>
          <w:rFonts w:hint="eastAsia" w:ascii="宋体" w:hAnsi="宋体" w:eastAsia="宋体" w:cs="宋体"/>
          <w:b w:val="0"/>
          <w:bCs w:val="0"/>
          <w:sz w:val="24"/>
          <w:szCs w:val="24"/>
          <w:highlight w:val="none"/>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因字迹潦草、表述不清或不按竞争性谈判文件格式编制的竞争性谈判响应文件，所引起的对</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不利的后果，由</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自行负责。</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CN"/>
        </w:rPr>
        <w:t>谈判响应</w:t>
      </w:r>
      <w:r>
        <w:rPr>
          <w:rFonts w:hint="eastAsia" w:ascii="宋体" w:hAnsi="宋体" w:eastAsia="宋体" w:cs="宋体"/>
          <w:sz w:val="24"/>
          <w:szCs w:val="24"/>
          <w:highlight w:val="none"/>
        </w:rPr>
        <w:t>文件的副本、电子版须和正本保持一致。若正本</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副本</w:t>
      </w:r>
      <w:r>
        <w:rPr>
          <w:rFonts w:hint="eastAsia" w:ascii="宋体" w:hAnsi="宋体" w:eastAsia="宋体" w:cs="宋体"/>
          <w:sz w:val="24"/>
          <w:szCs w:val="24"/>
          <w:highlight w:val="none"/>
          <w:lang w:eastAsia="zh-CN"/>
        </w:rPr>
        <w:t>和电子版</w:t>
      </w:r>
      <w:r>
        <w:rPr>
          <w:rFonts w:hint="eastAsia" w:ascii="宋体" w:hAnsi="宋体" w:eastAsia="宋体" w:cs="宋体"/>
          <w:sz w:val="24"/>
          <w:szCs w:val="24"/>
          <w:highlight w:val="none"/>
        </w:rPr>
        <w:t>有不一致的内容，以正本为准。</w:t>
      </w:r>
    </w:p>
    <w:p>
      <w:pPr>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p>
    <w:p>
      <w:pPr>
        <w:keepNext w:val="0"/>
        <w:keepLines w:val="0"/>
        <w:pageBreakBefore w:val="0"/>
        <w:widowControl w:val="0"/>
        <w:wordWrap/>
        <w:overflowPunct/>
        <w:topLinePunct w:val="0"/>
        <w:autoSpaceDE/>
        <w:autoSpaceDN/>
        <w:bidi w:val="0"/>
        <w:spacing w:before="156" w:beforeLines="50" w:line="500" w:lineRule="exact"/>
        <w:jc w:val="center"/>
        <w:textAlignment w:val="auto"/>
        <w:rPr>
          <w:rFonts w:hint="eastAsia" w:ascii="宋体" w:hAnsi="宋体" w:eastAsia="宋体" w:cs="宋体"/>
          <w:b/>
          <w:sz w:val="32"/>
          <w:szCs w:val="32"/>
          <w:highlight w:val="none"/>
        </w:rPr>
      </w:pPr>
      <w:r>
        <w:rPr>
          <w:rFonts w:hint="eastAsia" w:ascii="宋体" w:hAnsi="宋体" w:eastAsia="宋体" w:cs="宋体"/>
          <w:b/>
          <w:sz w:val="32"/>
          <w:szCs w:val="32"/>
          <w:highlight w:val="none"/>
        </w:rPr>
        <w:t>四.竞争性谈判响应文件的递交</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6</w:t>
      </w:r>
      <w:r>
        <w:rPr>
          <w:rFonts w:hint="eastAsia" w:ascii="宋体" w:hAnsi="宋体" w:eastAsia="宋体" w:cs="宋体"/>
          <w:b/>
          <w:sz w:val="24"/>
          <w:szCs w:val="24"/>
          <w:highlight w:val="none"/>
        </w:rPr>
        <w:t>.竞争性谈判响应文件的密封和标记</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.1</w:t>
      </w:r>
      <w:r>
        <w:rPr>
          <w:rFonts w:hint="eastAsia" w:ascii="宋体" w:hAnsi="宋体" w:eastAsia="宋体" w:cs="宋体"/>
          <w:sz w:val="24"/>
          <w:highlight w:val="none"/>
        </w:rPr>
        <w:t>报价一览表除在竞争性谈判响应文件内装订外，再制作一份单独</w:t>
      </w:r>
      <w:r>
        <w:rPr>
          <w:rFonts w:hint="eastAsia" w:ascii="宋体" w:hAnsi="宋体" w:eastAsia="宋体" w:cs="宋体"/>
          <w:sz w:val="24"/>
          <w:highlight w:val="none"/>
          <w:lang w:eastAsia="zh-CN"/>
        </w:rPr>
        <w:t>密封在封袋</w:t>
      </w:r>
      <w:r>
        <w:rPr>
          <w:rFonts w:hint="eastAsia" w:ascii="宋体" w:hAnsi="宋体" w:eastAsia="宋体" w:cs="宋体"/>
          <w:sz w:val="24"/>
          <w:highlight w:val="none"/>
        </w:rPr>
        <w:t>中。封线处加贴封条并加盖</w:t>
      </w:r>
      <w:r>
        <w:rPr>
          <w:rFonts w:hint="eastAsia" w:ascii="宋体" w:hAnsi="宋体" w:eastAsia="宋体" w:cs="宋体"/>
          <w:sz w:val="24"/>
          <w:highlight w:val="none"/>
          <w:lang w:eastAsia="zh-CN"/>
        </w:rPr>
        <w:t>谈判供应商</w:t>
      </w:r>
      <w:r>
        <w:rPr>
          <w:rFonts w:hint="eastAsia" w:ascii="宋体" w:hAnsi="宋体" w:eastAsia="宋体" w:cs="宋体"/>
          <w:sz w:val="24"/>
          <w:highlight w:val="none"/>
        </w:rPr>
        <w:t>公章</w:t>
      </w:r>
      <w:r>
        <w:rPr>
          <w:rFonts w:hint="eastAsia" w:ascii="宋体" w:hAnsi="宋体" w:eastAsia="宋体" w:cs="宋体"/>
          <w:sz w:val="24"/>
          <w:highlight w:val="none"/>
          <w:lang w:eastAsia="zh-CN"/>
        </w:rPr>
        <w:t>、</w:t>
      </w:r>
      <w:r>
        <w:rPr>
          <w:rFonts w:hint="eastAsia" w:ascii="宋体" w:hAnsi="宋体" w:eastAsia="宋体" w:cs="宋体"/>
          <w:sz w:val="24"/>
          <w:highlight w:val="none"/>
        </w:rPr>
        <w:t>法定代表人或授权委托代理人签字，封袋正面要粘贴标识，单独递交（该单独密封报价一览表的谈判报价必须与竞争性谈判响应文件正本中的报价一览表（报价表）谈判报价一致，若不一致，则按单独密封的报价一览表为准。</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.2谈判</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应将竞争性谈判响应文件正本、所有的副本以及电子版本、报价一览表分开密封装在单独的信封中</w:t>
      </w:r>
      <w:r>
        <w:rPr>
          <w:rFonts w:hint="eastAsia" w:ascii="宋体" w:hAnsi="宋体" w:eastAsia="宋体" w:cs="宋体"/>
          <w:sz w:val="24"/>
          <w:highlight w:val="none"/>
        </w:rPr>
        <w:t>（封袋不得有破损）</w:t>
      </w:r>
      <w:r>
        <w:rPr>
          <w:rFonts w:hint="eastAsia" w:ascii="宋体" w:hAnsi="宋体" w:eastAsia="宋体" w:cs="宋体"/>
          <w:sz w:val="24"/>
          <w:szCs w:val="24"/>
          <w:highlight w:val="none"/>
        </w:rPr>
        <w:t>，且在信封上标明“正本”“副本”“电子版本”“报价一览表”字样。</w:t>
      </w:r>
      <w:r>
        <w:rPr>
          <w:rFonts w:hint="eastAsia" w:ascii="宋体" w:hAnsi="宋体" w:eastAsia="宋体" w:cs="宋体"/>
          <w:color w:val="030303"/>
          <w:kern w:val="0"/>
          <w:sz w:val="24"/>
          <w:highlight w:val="none"/>
        </w:rPr>
        <w:t>封袋应加贴封条，并在封线处加盖谈判供应商公章</w:t>
      </w:r>
      <w:r>
        <w:rPr>
          <w:rFonts w:hint="eastAsia" w:ascii="宋体" w:hAnsi="宋体" w:eastAsia="宋体" w:cs="宋体"/>
          <w:color w:val="030303"/>
          <w:kern w:val="0"/>
          <w:sz w:val="24"/>
          <w:highlight w:val="none"/>
          <w:lang w:eastAsia="zh-CN"/>
        </w:rPr>
        <w:t>、</w:t>
      </w:r>
      <w:r>
        <w:rPr>
          <w:rFonts w:hint="eastAsia" w:ascii="宋体" w:hAnsi="宋体" w:eastAsia="宋体" w:cs="宋体"/>
          <w:color w:val="030303"/>
          <w:kern w:val="0"/>
          <w:sz w:val="24"/>
          <w:highlight w:val="none"/>
          <w:lang w:val="en-US" w:eastAsia="zh-CN"/>
        </w:rPr>
        <w:t>法定代表人或授权委托代理人签字</w:t>
      </w:r>
      <w:r>
        <w:rPr>
          <w:rFonts w:hint="eastAsia" w:ascii="宋体" w:hAnsi="宋体" w:eastAsia="宋体" w:cs="宋体"/>
          <w:color w:val="030303"/>
          <w:kern w:val="0"/>
          <w:sz w:val="24"/>
          <w:highlight w:val="none"/>
        </w:rPr>
        <w:t>封袋正面要粘贴标识。</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.3外层包装请按以下要求标记：</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1) 谈判</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的全称。</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2) 谈判项目名称、项目编号。</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3）正本、副本、电子版本、报价一览表“请勿在＿＿＿＿＿(</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时间)之前启封”。</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.4如果</w:t>
      </w:r>
      <w:r>
        <w:rPr>
          <w:rFonts w:hint="eastAsia" w:ascii="宋体" w:hAnsi="宋体" w:eastAsia="宋体" w:cs="宋体"/>
          <w:sz w:val="24"/>
          <w:szCs w:val="24"/>
          <w:highlight w:val="none"/>
          <w:lang w:eastAsia="zh-CN"/>
        </w:rPr>
        <w:t>谈判供应商</w:t>
      </w:r>
      <w:r>
        <w:rPr>
          <w:rFonts w:hint="eastAsia" w:ascii="宋体" w:hAnsi="宋体" w:eastAsia="宋体" w:cs="宋体"/>
          <w:sz w:val="24"/>
          <w:szCs w:val="24"/>
          <w:highlight w:val="none"/>
        </w:rPr>
        <w:t>未对竞争性谈判响应文件按上述要求进行完好密封，由此产生的不利后果由</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自行承担。</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7</w:t>
      </w:r>
      <w:r>
        <w:rPr>
          <w:rFonts w:hint="eastAsia" w:ascii="宋体" w:hAnsi="宋体" w:eastAsia="宋体" w:cs="宋体"/>
          <w:b/>
          <w:sz w:val="24"/>
          <w:szCs w:val="24"/>
          <w:highlight w:val="none"/>
        </w:rPr>
        <w:t>．竞争性谈判响应文件的递交</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应按照竞争性谈判公告中规定的时间、地点，在规定的竞争性谈判响应文件递交截止时间前将全部竞争性谈判响应文件和谈判资料递交至采购代理机构接收人处。</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.2采购代理机构在竞争性谈判文件规定的竞争性谈判响应文件递交截止时间前，只负责竞争性谈判响应文件的接收、清点、造册登记工作，并请递交人签字确认，对其有效性不负任何责任；</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.3无论</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成交与否，其竞争性谈判响应文件恕不退还。</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8</w:t>
      </w:r>
      <w:r>
        <w:rPr>
          <w:rFonts w:hint="eastAsia" w:ascii="宋体" w:hAnsi="宋体" w:eastAsia="宋体" w:cs="宋体"/>
          <w:b/>
          <w:sz w:val="24"/>
          <w:szCs w:val="24"/>
          <w:highlight w:val="none"/>
        </w:rPr>
        <w:t>．迟交的竞争性谈判响应文件</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19.1按照</w:t>
      </w:r>
      <w:r>
        <w:rPr>
          <w:rFonts w:hint="eastAsia" w:ascii="宋体" w:hAnsi="宋体" w:eastAsia="宋体" w:cs="宋体"/>
          <w:sz w:val="24"/>
          <w:szCs w:val="24"/>
          <w:highlight w:val="none"/>
          <w:lang w:eastAsia="zh-CN"/>
        </w:rPr>
        <w:t>供应商须知</w:t>
      </w:r>
      <w:r>
        <w:rPr>
          <w:rFonts w:hint="eastAsia" w:ascii="宋体" w:hAnsi="宋体" w:eastAsia="宋体" w:cs="宋体"/>
          <w:sz w:val="24"/>
          <w:szCs w:val="24"/>
          <w:highlight w:val="none"/>
        </w:rPr>
        <w:t>的规定，</w:t>
      </w:r>
      <w:r>
        <w:rPr>
          <w:rFonts w:hint="eastAsia" w:ascii="宋体" w:hAnsi="宋体" w:eastAsia="宋体" w:cs="宋体"/>
          <w:sz w:val="24"/>
          <w:szCs w:val="24"/>
          <w:highlight w:val="none"/>
          <w:lang w:eastAsia="zh-CN"/>
        </w:rPr>
        <w:t>在递交谈判响应文件</w:t>
      </w:r>
      <w:r>
        <w:rPr>
          <w:rFonts w:hint="eastAsia" w:ascii="宋体" w:hAnsi="宋体" w:eastAsia="宋体" w:cs="宋体"/>
          <w:sz w:val="24"/>
          <w:szCs w:val="24"/>
          <w:highlight w:val="none"/>
        </w:rPr>
        <w:t>截止时间后</w:t>
      </w:r>
      <w:r>
        <w:rPr>
          <w:rFonts w:hint="eastAsia" w:ascii="宋体" w:hAnsi="宋体" w:eastAsia="宋体" w:cs="宋体"/>
          <w:sz w:val="24"/>
          <w:szCs w:val="24"/>
          <w:highlight w:val="none"/>
          <w:lang w:eastAsia="zh-CN"/>
        </w:rPr>
        <w:t>送达</w:t>
      </w:r>
      <w:r>
        <w:rPr>
          <w:rFonts w:hint="eastAsia" w:ascii="宋体" w:hAnsi="宋体" w:eastAsia="宋体" w:cs="宋体"/>
          <w:sz w:val="24"/>
          <w:szCs w:val="24"/>
          <w:highlight w:val="none"/>
        </w:rPr>
        <w:t>的竞争性谈判响应文件</w:t>
      </w:r>
      <w:r>
        <w:rPr>
          <w:rFonts w:hint="eastAsia" w:ascii="宋体" w:hAnsi="宋体" w:eastAsia="宋体" w:cs="宋体"/>
          <w:sz w:val="24"/>
          <w:szCs w:val="24"/>
          <w:highlight w:val="none"/>
          <w:lang w:eastAsia="zh-CN"/>
        </w:rPr>
        <w:t>，为无效响应文件，采购代理机构将拒绝接受</w:t>
      </w:r>
      <w:r>
        <w:rPr>
          <w:rFonts w:hint="eastAsia" w:ascii="宋体" w:hAnsi="宋体" w:eastAsia="宋体" w:cs="宋体"/>
          <w:sz w:val="24"/>
          <w:szCs w:val="24"/>
          <w:highlight w:val="none"/>
        </w:rPr>
        <w:t>。</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19</w:t>
      </w:r>
      <w:r>
        <w:rPr>
          <w:rFonts w:hint="eastAsia" w:ascii="宋体" w:hAnsi="宋体" w:eastAsia="宋体" w:cs="宋体"/>
          <w:b/>
          <w:sz w:val="24"/>
          <w:szCs w:val="24"/>
          <w:highlight w:val="none"/>
        </w:rPr>
        <w:t>．谈判的修改与撤回</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在递交竞争性谈判响应文件后，可以修改或撤回其竞争性谈判响应文件，也可以提出价格变动声明，但</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必须在规定的谈判截止时间之前将修改或撤回或变动价格的书面通知文件递交到采购代理机构。</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 xml:space="preserve">.2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的修改或撤回或变动价格的通知应按本须知第17条的规定编制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密封、标记和递交。</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在谈判截止时间之后，</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不得对其谈判做任何修改或撤回。</w:t>
      </w:r>
    </w:p>
    <w:p>
      <w:pPr>
        <w:keepNext w:val="0"/>
        <w:keepLines w:val="0"/>
        <w:pageBreakBefore w:val="0"/>
        <w:widowControl w:val="0"/>
        <w:wordWrap/>
        <w:overflowPunct/>
        <w:topLinePunct w:val="0"/>
        <w:autoSpaceDE/>
        <w:autoSpaceDN/>
        <w:bidi w:val="0"/>
        <w:spacing w:before="156" w:beforeLines="50" w:line="500" w:lineRule="exact"/>
        <w:jc w:val="center"/>
        <w:textAlignment w:val="auto"/>
        <w:rPr>
          <w:rFonts w:hint="eastAsia" w:ascii="宋体" w:hAnsi="宋体" w:eastAsia="宋体" w:cs="宋体"/>
          <w:b/>
          <w:sz w:val="32"/>
          <w:szCs w:val="32"/>
          <w:highlight w:val="none"/>
        </w:rPr>
      </w:pPr>
      <w:r>
        <w:rPr>
          <w:rFonts w:hint="eastAsia" w:ascii="宋体" w:hAnsi="宋体" w:eastAsia="宋体" w:cs="宋体"/>
          <w:b/>
          <w:sz w:val="32"/>
          <w:szCs w:val="32"/>
          <w:highlight w:val="none"/>
        </w:rPr>
        <w:t>五.谈判与评审</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val="en-US" w:eastAsia="zh-CN"/>
        </w:rPr>
        <w:t>20</w:t>
      </w:r>
      <w:r>
        <w:rPr>
          <w:rFonts w:hint="eastAsia" w:ascii="宋体" w:hAnsi="宋体" w:eastAsia="宋体" w:cs="宋体"/>
          <w:b/>
          <w:sz w:val="24"/>
          <w:szCs w:val="24"/>
          <w:highlight w:val="none"/>
        </w:rPr>
        <w:t>.谈判</w:t>
      </w:r>
      <w:r>
        <w:rPr>
          <w:rFonts w:hint="eastAsia" w:ascii="宋体" w:hAnsi="宋体" w:eastAsia="宋体" w:cs="宋体"/>
          <w:b/>
          <w:sz w:val="24"/>
          <w:szCs w:val="24"/>
          <w:highlight w:val="none"/>
          <w:lang w:eastAsia="zh-CN"/>
        </w:rPr>
        <w:t>大会</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.1 采购代理机构在规定的时间和地点组织竞争性谈判。谈判时所有</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代表自愿参加，参加谈判的代表应签名报到以证明其出席。</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FF0000"/>
          <w:sz w:val="24"/>
          <w:szCs w:val="24"/>
          <w:highlight w:val="none"/>
        </w:rPr>
      </w:pPr>
      <w:r>
        <w:rPr>
          <w:rFonts w:hint="eastAsia" w:ascii="宋体" w:hAnsi="宋体" w:eastAsia="宋体" w:cs="宋体"/>
          <w:sz w:val="24"/>
          <w:szCs w:val="24"/>
          <w:highlight w:val="none"/>
          <w:lang w:val="en-US" w:eastAsia="zh-CN"/>
        </w:rPr>
        <w:t>20</w:t>
      </w:r>
      <w:r>
        <w:rPr>
          <w:rFonts w:hint="eastAsia" w:ascii="宋体" w:hAnsi="宋体" w:eastAsia="宋体" w:cs="宋体"/>
          <w:color w:val="auto"/>
          <w:sz w:val="24"/>
          <w:szCs w:val="24"/>
          <w:highlight w:val="none"/>
        </w:rPr>
        <w:t>.2</w:t>
      </w:r>
      <w:r>
        <w:rPr>
          <w:rFonts w:hint="eastAsia" w:ascii="宋体" w:hAnsi="宋体" w:eastAsia="宋体" w:cs="宋体"/>
          <w:sz w:val="24"/>
          <w:szCs w:val="24"/>
          <w:highlight w:val="none"/>
        </w:rPr>
        <w:t>在谈判时没有启封的竞争性谈判响应文件将原封退回给</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.3采购代理机构将做</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记录，存档备查。</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2</w:t>
      </w:r>
      <w:r>
        <w:rPr>
          <w:rFonts w:hint="eastAsia" w:ascii="宋体" w:hAnsi="宋体" w:eastAsia="宋体" w:cs="宋体"/>
          <w:b/>
          <w:sz w:val="24"/>
          <w:szCs w:val="24"/>
          <w:highlight w:val="none"/>
          <w:lang w:val="en-US" w:eastAsia="zh-CN"/>
        </w:rPr>
        <w:t>1</w:t>
      </w:r>
      <w:r>
        <w:rPr>
          <w:rFonts w:hint="eastAsia" w:ascii="宋体" w:hAnsi="宋体" w:eastAsia="宋体" w:cs="宋体"/>
          <w:b/>
          <w:sz w:val="24"/>
          <w:szCs w:val="24"/>
          <w:highlight w:val="none"/>
        </w:rPr>
        <w:t>．评审组织及评审原则</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.1按照《中华人民共和国政府采购法》</w:t>
      </w:r>
      <w:r>
        <w:rPr>
          <w:rFonts w:hint="eastAsia" w:ascii="宋体" w:hAnsi="宋体" w:eastAsia="宋体" w:cs="宋体"/>
          <w:sz w:val="24"/>
          <w:szCs w:val="24"/>
          <w:highlight w:val="none"/>
          <w:lang w:eastAsia="zh-CN"/>
        </w:rPr>
        <w:t>及实施条例</w:t>
      </w:r>
      <w:r>
        <w:rPr>
          <w:rFonts w:hint="eastAsia" w:ascii="宋体" w:hAnsi="宋体" w:eastAsia="宋体" w:cs="宋体"/>
          <w:sz w:val="24"/>
          <w:szCs w:val="24"/>
          <w:highlight w:val="none"/>
        </w:rPr>
        <w:t>和中华人民共和国财政部令第74号--《政府采购非招标采购方式管理办法》的规定，依法组建谈判小组。谈判小组由采购人代表和有关技术、经济等方面的专家组成，成员人数应当为</w:t>
      </w:r>
      <w:r>
        <w:rPr>
          <w:rFonts w:hint="eastAsia" w:ascii="宋体" w:hAnsi="宋体" w:eastAsia="宋体" w:cs="宋体"/>
          <w:sz w:val="24"/>
          <w:szCs w:val="24"/>
          <w:highlight w:val="none"/>
          <w:lang w:val="en-US" w:eastAsia="zh-CN"/>
        </w:rPr>
        <w:t>3人以上</w:t>
      </w:r>
      <w:r>
        <w:rPr>
          <w:rFonts w:hint="eastAsia" w:ascii="宋体" w:hAnsi="宋体" w:eastAsia="宋体" w:cs="宋体"/>
          <w:sz w:val="24"/>
          <w:szCs w:val="24"/>
          <w:highlight w:val="none"/>
        </w:rPr>
        <w:t>单数，其中采购人代表须持有授权书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谈判小组按照竞争性谈判文件规定的评审方法独立进行评审工作。</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.2竞争性谈判文件和竞争性谈判响应文件是评审的依据。在评审中，不得改变竞争性谈判文件中规定的评审标准、方法和成交条件。</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.3在谈判期间，对竞争性谈判响应文件中含义不明确、同类问题表述不一致或者有明显文字和计算错误的内容，</w:t>
      </w:r>
      <w:r>
        <w:rPr>
          <w:rFonts w:hint="eastAsia" w:ascii="宋体" w:hAnsi="宋体" w:eastAsia="宋体" w:cs="宋体"/>
          <w:color w:val="auto"/>
          <w:sz w:val="24"/>
          <w:szCs w:val="24"/>
          <w:highlight w:val="none"/>
        </w:rPr>
        <w:t>谈判小组可以书面形式（由</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小组专家签字）</w:t>
      </w:r>
      <w:r>
        <w:rPr>
          <w:rFonts w:hint="eastAsia" w:ascii="宋体" w:hAnsi="宋体" w:eastAsia="宋体" w:cs="宋体"/>
          <w:sz w:val="24"/>
          <w:szCs w:val="24"/>
          <w:highlight w:val="none"/>
        </w:rPr>
        <w:t>要求</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作出必要的澄清、说明或者纠正。</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的澄清、说明或者补正应当采用书面形式，由其授权的代表签字，并不得超出竞争性谈判响应文件的范围或者改变竞争性谈判响应文件的实质性内容。</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.4如果</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在澄清规定期限内，未能答复或拒绝答复谈判小组提出的澄清要求，将由谈判小组根据其竞争性谈判响应文件按最大风险进行评审。</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.5谈判过程中的实质性变动：</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.5.1在谈判过程中，谈判小组可以根据谈判文件和谈判情况在最终报价之前实质性变动采购需求中的技术、服务要求以及合同草案条款，但不得变动竞争性谈判文件中的其他</w:t>
      </w:r>
      <w:r>
        <w:rPr>
          <w:rFonts w:hint="eastAsia" w:ascii="宋体" w:hAnsi="宋体" w:eastAsia="宋体" w:cs="宋体"/>
          <w:sz w:val="24"/>
          <w:szCs w:val="24"/>
          <w:highlight w:val="none"/>
          <w:lang w:eastAsia="zh-CN"/>
        </w:rPr>
        <w:t>内容</w:t>
      </w:r>
      <w:r>
        <w:rPr>
          <w:rFonts w:hint="eastAsia" w:ascii="宋体" w:hAnsi="宋体" w:eastAsia="宋体" w:cs="宋体"/>
          <w:sz w:val="24"/>
          <w:szCs w:val="24"/>
          <w:highlight w:val="none"/>
        </w:rPr>
        <w:t>。实质性变动的内容，须经采购人代表确认。</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.5.2对竞争性谈判文件做出的实质性变动是谈判文件的有效组成部分，谈判小组应当及时以书面形式通知所有参加谈判的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.6竞争性谈判响应文件的初审（含资格性检查和符合性检查）</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.6.1谈判小组将审查竞争性谈判响应文件是否完整、资格证明文件是否齐全等。</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.6.2计算错误将按以下方法更正：</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谈判响应</w:t>
      </w:r>
      <w:r>
        <w:rPr>
          <w:rFonts w:hint="eastAsia" w:ascii="宋体" w:hAnsi="宋体" w:eastAsia="宋体" w:cs="宋体"/>
          <w:sz w:val="24"/>
          <w:szCs w:val="24"/>
          <w:highlight w:val="none"/>
        </w:rPr>
        <w:t>文件中</w:t>
      </w:r>
      <w:r>
        <w:rPr>
          <w:rFonts w:hint="eastAsia" w:ascii="宋体" w:hAnsi="宋体" w:eastAsia="宋体" w:cs="宋体"/>
          <w:sz w:val="24"/>
          <w:szCs w:val="24"/>
          <w:highlight w:val="none"/>
          <w:lang w:eastAsia="zh-CN"/>
        </w:rPr>
        <w:t>报价</w:t>
      </w:r>
      <w:r>
        <w:rPr>
          <w:rFonts w:hint="eastAsia" w:ascii="宋体" w:hAnsi="宋体" w:eastAsia="宋体" w:cs="宋体"/>
          <w:sz w:val="24"/>
          <w:szCs w:val="24"/>
          <w:highlight w:val="none"/>
        </w:rPr>
        <w:t>一览表(报价表)内容与</w:t>
      </w:r>
      <w:r>
        <w:rPr>
          <w:rFonts w:hint="eastAsia" w:ascii="宋体" w:hAnsi="宋体" w:eastAsia="宋体" w:cs="宋体"/>
          <w:sz w:val="24"/>
          <w:szCs w:val="24"/>
          <w:highlight w:val="none"/>
          <w:lang w:eastAsia="zh-CN"/>
        </w:rPr>
        <w:t>谈判响应</w:t>
      </w:r>
      <w:r>
        <w:rPr>
          <w:rFonts w:hint="eastAsia" w:ascii="宋体" w:hAnsi="宋体" w:eastAsia="宋体" w:cs="宋体"/>
          <w:sz w:val="24"/>
          <w:szCs w:val="24"/>
          <w:highlight w:val="none"/>
        </w:rPr>
        <w:t>文件中</w:t>
      </w:r>
      <w:r>
        <w:rPr>
          <w:rFonts w:hint="eastAsia" w:ascii="宋体" w:hAnsi="宋体" w:eastAsia="宋体" w:cs="宋体"/>
          <w:sz w:val="24"/>
          <w:szCs w:val="24"/>
          <w:highlight w:val="none"/>
          <w:lang w:eastAsia="zh-CN"/>
        </w:rPr>
        <w:t>相应内容</w:t>
      </w:r>
      <w:r>
        <w:rPr>
          <w:rFonts w:hint="eastAsia" w:ascii="宋体" w:hAnsi="宋体" w:eastAsia="宋体" w:cs="宋体"/>
          <w:sz w:val="24"/>
          <w:szCs w:val="24"/>
          <w:highlight w:val="none"/>
        </w:rPr>
        <w:t>总金额不一致的，以</w:t>
      </w:r>
      <w:r>
        <w:rPr>
          <w:rFonts w:hint="eastAsia" w:ascii="宋体" w:hAnsi="宋体" w:eastAsia="宋体" w:cs="宋体"/>
          <w:sz w:val="24"/>
          <w:szCs w:val="24"/>
          <w:highlight w:val="none"/>
          <w:lang w:eastAsia="zh-CN"/>
        </w:rPr>
        <w:t>报价</w:t>
      </w:r>
      <w:r>
        <w:rPr>
          <w:rFonts w:hint="eastAsia" w:ascii="宋体" w:hAnsi="宋体" w:eastAsia="宋体" w:cs="宋体"/>
          <w:sz w:val="24"/>
          <w:szCs w:val="24"/>
          <w:highlight w:val="none"/>
        </w:rPr>
        <w:t>一览表(报价表)为准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如果单独密封的</w:t>
      </w:r>
      <w:r>
        <w:rPr>
          <w:rFonts w:hint="eastAsia" w:ascii="宋体" w:hAnsi="宋体" w:eastAsia="宋体" w:cs="宋体"/>
          <w:sz w:val="24"/>
          <w:szCs w:val="24"/>
          <w:highlight w:val="none"/>
          <w:lang w:eastAsia="zh-CN"/>
        </w:rPr>
        <w:t>报价</w:t>
      </w:r>
      <w:r>
        <w:rPr>
          <w:rFonts w:hint="eastAsia" w:ascii="宋体" w:hAnsi="宋体" w:eastAsia="宋体" w:cs="宋体"/>
          <w:sz w:val="24"/>
          <w:szCs w:val="24"/>
          <w:highlight w:val="none"/>
        </w:rPr>
        <w:t>一览表(报价表)与</w:t>
      </w:r>
      <w:r>
        <w:rPr>
          <w:rFonts w:hint="eastAsia" w:ascii="宋体" w:hAnsi="宋体" w:eastAsia="宋体" w:cs="宋体"/>
          <w:sz w:val="24"/>
          <w:szCs w:val="24"/>
          <w:highlight w:val="none"/>
          <w:lang w:eastAsia="zh-CN"/>
        </w:rPr>
        <w:t>谈判响应文件</w:t>
      </w:r>
      <w:r>
        <w:rPr>
          <w:rFonts w:hint="eastAsia" w:ascii="宋体" w:hAnsi="宋体" w:eastAsia="宋体" w:cs="宋体"/>
          <w:sz w:val="24"/>
          <w:szCs w:val="24"/>
          <w:highlight w:val="none"/>
        </w:rPr>
        <w:t>正本的</w:t>
      </w:r>
      <w:r>
        <w:rPr>
          <w:rFonts w:hint="eastAsia" w:ascii="宋体" w:hAnsi="宋体" w:eastAsia="宋体" w:cs="宋体"/>
          <w:sz w:val="24"/>
          <w:szCs w:val="24"/>
          <w:highlight w:val="none"/>
          <w:lang w:eastAsia="zh-CN"/>
        </w:rPr>
        <w:t>报价一览表</w:t>
      </w:r>
      <w:r>
        <w:rPr>
          <w:rFonts w:hint="eastAsia" w:ascii="宋体" w:hAnsi="宋体" w:eastAsia="宋体" w:cs="宋体"/>
          <w:sz w:val="24"/>
          <w:szCs w:val="24"/>
          <w:highlight w:val="none"/>
        </w:rPr>
        <w:t>(报价表)不一致，以单独密封的</w:t>
      </w:r>
      <w:r>
        <w:rPr>
          <w:rFonts w:hint="eastAsia" w:ascii="宋体" w:hAnsi="宋体" w:eastAsia="宋体" w:cs="宋体"/>
          <w:sz w:val="24"/>
          <w:szCs w:val="24"/>
          <w:highlight w:val="none"/>
          <w:lang w:eastAsia="zh-CN"/>
        </w:rPr>
        <w:t>报价</w:t>
      </w:r>
      <w:r>
        <w:rPr>
          <w:rFonts w:hint="eastAsia" w:ascii="宋体" w:hAnsi="宋体" w:eastAsia="宋体" w:cs="宋体"/>
          <w:sz w:val="24"/>
          <w:szCs w:val="24"/>
          <w:highlight w:val="none"/>
        </w:rPr>
        <w:t>一览表(报价表)为准。</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2）谈判响应</w:t>
      </w:r>
      <w:r>
        <w:rPr>
          <w:rFonts w:hint="eastAsia" w:ascii="宋体" w:hAnsi="宋体" w:eastAsia="宋体" w:cs="宋体"/>
          <w:sz w:val="24"/>
          <w:szCs w:val="24"/>
          <w:highlight w:val="none"/>
        </w:rPr>
        <w:t>文件的大写金额和小写金额不一致的，以大写金额为准；</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单价金额小数点或者百分比有明显错位的，以单独密封的报价一览表的总价为准，并修改单价；</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总价金额与按单价汇总金额不一致的，以单价金额计算结果为准</w:t>
      </w:r>
      <w:r>
        <w:rPr>
          <w:rFonts w:hint="eastAsia" w:ascii="宋体" w:hAnsi="宋体" w:eastAsia="宋体" w:cs="宋体"/>
          <w:sz w:val="24"/>
          <w:szCs w:val="24"/>
          <w:highlight w:val="none"/>
          <w:lang w:eastAsia="zh-CN"/>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按上述修正的</w:t>
      </w:r>
      <w:r>
        <w:rPr>
          <w:rFonts w:hint="eastAsia" w:ascii="宋体" w:hAnsi="宋体" w:eastAsia="宋体" w:cs="宋体"/>
          <w:sz w:val="24"/>
          <w:szCs w:val="24"/>
          <w:highlight w:val="none"/>
          <w:lang w:eastAsia="zh-CN"/>
        </w:rPr>
        <w:t>顺序和</w:t>
      </w:r>
      <w:r>
        <w:rPr>
          <w:rFonts w:hint="eastAsia" w:ascii="宋体" w:hAnsi="宋体" w:eastAsia="宋体" w:cs="宋体"/>
          <w:sz w:val="24"/>
          <w:szCs w:val="24"/>
          <w:highlight w:val="none"/>
        </w:rPr>
        <w:t>方法调整的报价应对</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具有约束力。如果</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不接受修正后的价格，其</w:t>
      </w:r>
      <w:r>
        <w:rPr>
          <w:rFonts w:hint="eastAsia" w:ascii="宋体" w:hAnsi="宋体" w:eastAsia="宋体" w:cs="宋体"/>
          <w:sz w:val="24"/>
          <w:szCs w:val="24"/>
          <w:highlight w:val="none"/>
          <w:lang w:eastAsia="zh-CN"/>
        </w:rPr>
        <w:t>响应文件将按</w:t>
      </w:r>
      <w:r>
        <w:rPr>
          <w:rFonts w:hint="eastAsia" w:ascii="宋体" w:hAnsi="宋体" w:eastAsia="宋体" w:cs="宋体"/>
          <w:sz w:val="24"/>
          <w:szCs w:val="24"/>
          <w:highlight w:val="none"/>
        </w:rPr>
        <w:t>无效</w:t>
      </w: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处理。</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.6.3对于竞争性</w:t>
      </w:r>
      <w:r>
        <w:rPr>
          <w:rFonts w:hint="eastAsia" w:ascii="宋体" w:hAnsi="宋体" w:eastAsia="宋体" w:cs="宋体"/>
          <w:sz w:val="24"/>
          <w:szCs w:val="24"/>
          <w:highlight w:val="none"/>
          <w:lang w:eastAsia="zh-CN"/>
        </w:rPr>
        <w:t>让谈判</w:t>
      </w:r>
      <w:r>
        <w:rPr>
          <w:rFonts w:hint="eastAsia" w:ascii="宋体" w:hAnsi="宋体" w:eastAsia="宋体" w:cs="宋体"/>
          <w:sz w:val="24"/>
          <w:szCs w:val="24"/>
          <w:highlight w:val="none"/>
        </w:rPr>
        <w:t>响应文件中明显的标点符号错误或不构成实质性偏差的不正规、不一致或不规则，采购</w:t>
      </w:r>
      <w:r>
        <w:rPr>
          <w:rFonts w:hint="eastAsia" w:ascii="宋体" w:hAnsi="宋体" w:eastAsia="宋体" w:cs="宋体"/>
          <w:sz w:val="24"/>
          <w:szCs w:val="24"/>
          <w:highlight w:val="none"/>
          <w:lang w:eastAsia="zh-CN"/>
        </w:rPr>
        <w:t>人</w:t>
      </w:r>
      <w:r>
        <w:rPr>
          <w:rFonts w:hint="eastAsia" w:ascii="宋体" w:hAnsi="宋体" w:eastAsia="宋体" w:cs="宋体"/>
          <w:sz w:val="24"/>
          <w:szCs w:val="24"/>
          <w:highlight w:val="none"/>
        </w:rPr>
        <w:t>可以接受。</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.6.</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在详细评审之前，谈判小组要审查每份竞争性谈判响应文件是否实质上响应了竞争性谈判文件的要求。实质上响应的谈判应该是与竞争性谈判文件要求的全部条款、条件和规格参数相符，没有重大偏离的谈判。对关键条文的偏离、保留或反对将被认为是实质上的偏离。谈判小组决定谈判的响应性只根据谈判响应文件本身的内容，而不寻求外部的证据。</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.6</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实质上没有响应竞争性谈判文件要求的谈判将被拒绝。</w:t>
      </w:r>
      <w:r>
        <w:rPr>
          <w:rFonts w:hint="eastAsia" w:ascii="宋体" w:hAnsi="宋体" w:eastAsia="宋体" w:cs="宋体"/>
          <w:sz w:val="24"/>
          <w:szCs w:val="24"/>
          <w:highlight w:val="none"/>
          <w:lang w:eastAsia="zh-CN"/>
        </w:rPr>
        <w:t>谈判供应商</w:t>
      </w:r>
      <w:r>
        <w:rPr>
          <w:rFonts w:hint="eastAsia" w:ascii="宋体" w:hAnsi="宋体" w:eastAsia="宋体" w:cs="宋体"/>
          <w:sz w:val="24"/>
          <w:szCs w:val="24"/>
          <w:highlight w:val="none"/>
        </w:rPr>
        <w:t>不得通过修正或撤销不合要求的偏离从而使其谈判成为实质性响应的谈判。如发现下列情况之一的，其谈判将构成非实质性响应，按无效响应处理：</w:t>
      </w:r>
    </w:p>
    <w:p>
      <w:pPr>
        <w:keepNext w:val="0"/>
        <w:keepLines w:val="0"/>
        <w:pageBreakBefore w:val="0"/>
        <w:widowControl w:val="0"/>
        <w:tabs>
          <w:tab w:val="left" w:pos="1260"/>
        </w:tabs>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（1）没有按照竞争性谈判文件要求提供的竞争性谈判响应文件、竞争性谈判响应文件构成有重大缺项、谈判响应文件格式不符合竞争性谈判文件要求；</w:t>
      </w:r>
    </w:p>
    <w:p>
      <w:pPr>
        <w:keepNext w:val="0"/>
        <w:keepLines w:val="0"/>
        <w:pageBreakBefore w:val="0"/>
        <w:widowControl w:val="0"/>
        <w:kinsoku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highlight w:val="none"/>
        </w:rPr>
        <w:t>（2）竞争性谈判响应文件未按竞争性谈判文件要求密封、签署、盖章的；</w:t>
      </w:r>
    </w:p>
    <w:p>
      <w:pPr>
        <w:keepNext w:val="0"/>
        <w:keepLines w:val="0"/>
        <w:pageBreakBefore w:val="0"/>
        <w:widowControl w:val="0"/>
        <w:tabs>
          <w:tab w:val="left" w:pos="1260"/>
        </w:tabs>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）资格证明文件不全的或无效的，或不符合国家规定的；</w:t>
      </w:r>
    </w:p>
    <w:p>
      <w:pPr>
        <w:keepNext w:val="0"/>
        <w:keepLines w:val="0"/>
        <w:pageBreakBefore w:val="0"/>
        <w:widowControl w:val="0"/>
        <w:tabs>
          <w:tab w:val="left" w:pos="1260"/>
        </w:tabs>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pacing w:val="-6"/>
          <w:sz w:val="24"/>
          <w:highlight w:val="none"/>
        </w:rPr>
        <w:t>无谈判有效期或有效期达不到竞争性谈判文件要求的</w:t>
      </w:r>
      <w:r>
        <w:rPr>
          <w:rFonts w:hint="eastAsia" w:ascii="宋体" w:hAnsi="宋体" w:eastAsia="宋体" w:cs="宋体"/>
          <w:sz w:val="24"/>
          <w:szCs w:val="24"/>
          <w:highlight w:val="none"/>
        </w:rPr>
        <w:t>；</w:t>
      </w:r>
    </w:p>
    <w:p>
      <w:pPr>
        <w:keepNext w:val="0"/>
        <w:keepLines w:val="0"/>
        <w:pageBreakBefore w:val="0"/>
        <w:widowControl w:val="0"/>
        <w:tabs>
          <w:tab w:val="left" w:pos="1260"/>
        </w:tabs>
        <w:wordWrap/>
        <w:overflowPunct/>
        <w:topLinePunct w:val="0"/>
        <w:autoSpaceDE/>
        <w:autoSpaceDN/>
        <w:bidi w:val="0"/>
        <w:spacing w:line="500" w:lineRule="exact"/>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）存在有重大缺漏项和重大技术偏离的</w:t>
      </w:r>
      <w:r>
        <w:rPr>
          <w:rFonts w:hint="eastAsia" w:ascii="宋体" w:hAnsi="宋体" w:eastAsia="宋体" w:cs="宋体"/>
          <w:b w:val="0"/>
          <w:bCs w:val="0"/>
          <w:sz w:val="24"/>
          <w:szCs w:val="24"/>
          <w:highlight w:val="none"/>
          <w:lang w:eastAsia="zh-CN"/>
        </w:rPr>
        <w:t>货物</w:t>
      </w:r>
      <w:r>
        <w:rPr>
          <w:rFonts w:hint="eastAsia" w:ascii="宋体" w:hAnsi="宋体" w:eastAsia="宋体" w:cs="宋体"/>
          <w:b w:val="0"/>
          <w:bCs w:val="0"/>
          <w:sz w:val="24"/>
          <w:szCs w:val="24"/>
          <w:highlight w:val="none"/>
        </w:rPr>
        <w:t>（产品）</w:t>
      </w:r>
      <w:r>
        <w:rPr>
          <w:rFonts w:hint="eastAsia" w:ascii="宋体" w:hAnsi="宋体" w:eastAsia="宋体" w:cs="宋体"/>
          <w:b w:val="0"/>
          <w:bCs w:val="0"/>
          <w:sz w:val="24"/>
          <w:szCs w:val="24"/>
          <w:highlight w:val="none"/>
          <w:lang w:val="en-US" w:eastAsia="zh-CN"/>
        </w:rPr>
        <w:t>；</w:t>
      </w:r>
    </w:p>
    <w:p>
      <w:pPr>
        <w:keepNext w:val="0"/>
        <w:keepLines w:val="0"/>
        <w:pageBreakBefore w:val="0"/>
        <w:widowControl w:val="0"/>
        <w:tabs>
          <w:tab w:val="left" w:pos="1260"/>
        </w:tabs>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有串通谈判、以他人名义谈判、行贿、</w:t>
      </w:r>
      <w:r>
        <w:rPr>
          <w:rFonts w:hint="eastAsia" w:ascii="宋体" w:hAnsi="宋体" w:eastAsia="宋体" w:cs="宋体"/>
          <w:sz w:val="24"/>
          <w:highlight w:val="none"/>
        </w:rPr>
        <w:t>提供虚假证明（包括第三方提供的虚假证明），开具虚假资质，出现虚假应答的，除按无效文件处理外，还将按照政府采购的有关规定进行处罚；</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）谈判总报价</w:t>
      </w:r>
      <w:r>
        <w:rPr>
          <w:rFonts w:hint="eastAsia" w:ascii="宋体" w:hAnsi="宋体" w:eastAsia="宋体" w:cs="宋体"/>
          <w:sz w:val="24"/>
          <w:szCs w:val="24"/>
          <w:highlight w:val="none"/>
          <w:lang w:eastAsia="zh-CN"/>
        </w:rPr>
        <w:t>超过</w:t>
      </w:r>
      <w:r>
        <w:rPr>
          <w:rFonts w:hint="eastAsia" w:ascii="宋体" w:hAnsi="宋体" w:eastAsia="宋体" w:cs="宋体"/>
          <w:sz w:val="24"/>
          <w:szCs w:val="24"/>
          <w:highlight w:val="none"/>
        </w:rPr>
        <w:t>竞争性谈判文件公布的采购预算的。</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谈判响应</w:t>
      </w:r>
      <w:r>
        <w:rPr>
          <w:rFonts w:hint="eastAsia" w:ascii="宋体" w:hAnsi="宋体" w:eastAsia="宋体" w:cs="宋体"/>
          <w:sz w:val="24"/>
          <w:szCs w:val="24"/>
          <w:highlight w:val="none"/>
        </w:rPr>
        <w:t>文件含有采购人不能接受的附加条件的</w:t>
      </w:r>
      <w:r>
        <w:rPr>
          <w:rFonts w:hint="eastAsia" w:ascii="宋体" w:hAnsi="宋体" w:eastAsia="宋体" w:cs="宋体"/>
          <w:sz w:val="24"/>
          <w:szCs w:val="24"/>
          <w:highlight w:val="none"/>
          <w:lang w:eastAsia="zh-CN"/>
        </w:rPr>
        <w:t>；</w:t>
      </w:r>
    </w:p>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rightChars="0" w:firstLine="480" w:firstLineChars="20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（9）供应商被列入失信被执行人、重大税收违法案件当事人名单、政府采购严重违法失信行为记录名单的；</w:t>
      </w:r>
    </w:p>
    <w:p>
      <w:pPr>
        <w:spacing w:line="5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（10）法律、法规规定的其他无效情形</w:t>
      </w:r>
      <w:r>
        <w:rPr>
          <w:rFonts w:hint="eastAsia" w:ascii="宋体" w:hAnsi="宋体" w:eastAsia="宋体" w:cs="宋体"/>
          <w:sz w:val="24"/>
          <w:szCs w:val="24"/>
          <w:highlight w:val="none"/>
          <w:lang w:eastAsia="zh-CN"/>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.7竞争性谈判响应文件的详细评审</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.7.1谈判小组将按照本须知第</w:t>
      </w:r>
      <w:r>
        <w:rPr>
          <w:rFonts w:hint="eastAsia" w:ascii="宋体" w:hAnsi="宋体" w:eastAsia="宋体" w:cs="宋体"/>
          <w:sz w:val="24"/>
          <w:szCs w:val="24"/>
          <w:highlight w:val="none"/>
          <w:lang w:eastAsia="zh-CN"/>
        </w:rPr>
        <w:t>2</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.6.</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条规定，只对确定为实质性响应竞争性谈判文件要求的谈判进行详细评审。</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.7.2详细评审按照“</w:t>
      </w:r>
      <w:r>
        <w:rPr>
          <w:rFonts w:hint="eastAsia" w:ascii="宋体" w:hAnsi="宋体" w:eastAsia="宋体" w:cs="宋体"/>
          <w:sz w:val="24"/>
          <w:szCs w:val="24"/>
          <w:highlight w:val="none"/>
          <w:lang w:eastAsia="zh-CN"/>
        </w:rPr>
        <w:t>供应商须知</w:t>
      </w:r>
      <w:r>
        <w:rPr>
          <w:rFonts w:hint="eastAsia" w:ascii="宋体" w:hAnsi="宋体" w:eastAsia="宋体" w:cs="宋体"/>
          <w:sz w:val="24"/>
          <w:szCs w:val="24"/>
          <w:highlight w:val="none"/>
        </w:rPr>
        <w:t>前附表”的评审方法进行。</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.8成交候选人的确定</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谈判小组完成评审后，向采购人提出书面评审，并推荐</w:t>
      </w:r>
      <w:r>
        <w:rPr>
          <w:rFonts w:hint="eastAsia" w:ascii="宋体" w:hAnsi="宋体" w:eastAsia="宋体" w:cs="宋体"/>
          <w:color w:val="auto"/>
          <w:sz w:val="24"/>
          <w:szCs w:val="24"/>
          <w:highlight w:val="none"/>
        </w:rPr>
        <w:t>三名</w:t>
      </w:r>
      <w:r>
        <w:rPr>
          <w:rFonts w:hint="eastAsia" w:ascii="宋体" w:hAnsi="宋体" w:eastAsia="宋体" w:cs="宋体"/>
          <w:sz w:val="24"/>
          <w:szCs w:val="24"/>
          <w:highlight w:val="none"/>
        </w:rPr>
        <w:t>成交候选人，标明排列顺序。</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en-US" w:eastAsia="zh-CN"/>
        </w:rPr>
        <w:t>2</w:t>
      </w:r>
      <w:r>
        <w:rPr>
          <w:rFonts w:hint="eastAsia" w:ascii="宋体" w:hAnsi="宋体" w:eastAsia="宋体" w:cs="宋体"/>
          <w:b/>
          <w:sz w:val="24"/>
          <w:szCs w:val="24"/>
          <w:highlight w:val="none"/>
        </w:rPr>
        <w:t>．评审过程的保密</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谈判小组成员和与评审活动有关的工作人员不得泄露有关竞争性谈判响应文件的评审和比较、成交候选人的推荐以及与评审有关的其他情况。</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en-US" w:eastAsia="zh-CN"/>
        </w:rPr>
        <w:t>3</w:t>
      </w:r>
      <w:r>
        <w:rPr>
          <w:rFonts w:hint="eastAsia" w:ascii="宋体" w:hAnsi="宋体" w:eastAsia="宋体" w:cs="宋体"/>
          <w:b/>
          <w:sz w:val="24"/>
          <w:szCs w:val="24"/>
          <w:highlight w:val="none"/>
        </w:rPr>
        <w:t>．评审方法</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w:t>
      </w:r>
      <w:r>
        <w:rPr>
          <w:rFonts w:hint="eastAsia" w:ascii="宋体" w:hAnsi="宋体" w:eastAsia="宋体" w:cs="宋体"/>
          <w:sz w:val="24"/>
          <w:szCs w:val="24"/>
          <w:highlight w:val="none"/>
          <w:lang w:eastAsia="zh-CN"/>
        </w:rPr>
        <w:t>政府采购法》及实施条例</w:t>
      </w:r>
      <w:r>
        <w:rPr>
          <w:rFonts w:hint="eastAsia" w:ascii="宋体" w:hAnsi="宋体" w:eastAsia="宋体" w:cs="宋体"/>
          <w:sz w:val="24"/>
          <w:szCs w:val="24"/>
          <w:highlight w:val="none"/>
        </w:rPr>
        <w:t>、中华人民共和国财政部令第74号--《政府采购非招标采购方式管理办法》的规定，本次评审采用最低评标价法。</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最低评标价法，即在全部满足竞争性谈判文件实质性要求前提下，依据统一的价格要素评定最低报价，以提出最低报价的谈判</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作为成交候选供应商并依次排序。</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en-US" w:eastAsia="zh-CN"/>
        </w:rPr>
        <w:t>4</w:t>
      </w:r>
      <w:r>
        <w:rPr>
          <w:rFonts w:hint="eastAsia" w:ascii="宋体" w:hAnsi="宋体" w:eastAsia="宋体" w:cs="宋体"/>
          <w:b/>
          <w:sz w:val="24"/>
          <w:szCs w:val="24"/>
          <w:highlight w:val="none"/>
        </w:rPr>
        <w:t>．评审程序</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highlight w:val="none"/>
        </w:rPr>
      </w:pPr>
      <w:r>
        <w:rPr>
          <w:rFonts w:hint="eastAsia" w:ascii="宋体" w:hAnsi="宋体" w:eastAsia="宋体" w:cs="宋体"/>
          <w:sz w:val="24"/>
          <w:szCs w:val="24"/>
          <w:highlight w:val="none"/>
        </w:rPr>
        <w:t>按照竞争性谈判响应文件初审、澄清有关问题、分别谈判、二次报价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比较与评价、推荐成交候选供应商名单的工作程序进行评审。在上一步评审中被</w:t>
      </w:r>
      <w:r>
        <w:rPr>
          <w:rFonts w:hint="eastAsia" w:ascii="宋体" w:hAnsi="宋体" w:eastAsia="宋体" w:cs="宋体"/>
          <w:sz w:val="24"/>
          <w:szCs w:val="24"/>
          <w:highlight w:val="none"/>
          <w:lang w:eastAsia="zh-CN"/>
        </w:rPr>
        <w:t>认定无效文件</w:t>
      </w:r>
      <w:r>
        <w:rPr>
          <w:rFonts w:hint="eastAsia" w:ascii="宋体" w:hAnsi="宋体" w:eastAsia="宋体" w:cs="宋体"/>
          <w:sz w:val="24"/>
          <w:szCs w:val="24"/>
          <w:highlight w:val="none"/>
        </w:rPr>
        <w:t>者，不进入下一步的评审。</w:t>
      </w:r>
    </w:p>
    <w:p>
      <w:pPr>
        <w:keepNext w:val="0"/>
        <w:keepLines w:val="0"/>
        <w:pageBreakBefore w:val="0"/>
        <w:widowControl w:val="0"/>
        <w:wordWrap/>
        <w:overflowPunct/>
        <w:topLinePunct w:val="0"/>
        <w:autoSpaceDE/>
        <w:autoSpaceDN/>
        <w:bidi w:val="0"/>
        <w:spacing w:before="156" w:beforeLines="50" w:line="500" w:lineRule="exact"/>
        <w:jc w:val="center"/>
        <w:textAlignment w:val="auto"/>
        <w:rPr>
          <w:rFonts w:hint="eastAsia" w:ascii="宋体" w:hAnsi="宋体" w:eastAsia="宋体" w:cs="宋体"/>
          <w:b/>
          <w:sz w:val="32"/>
          <w:szCs w:val="32"/>
          <w:highlight w:val="none"/>
        </w:rPr>
      </w:pPr>
      <w:r>
        <w:rPr>
          <w:rFonts w:hint="eastAsia" w:ascii="宋体" w:hAnsi="宋体" w:eastAsia="宋体" w:cs="宋体"/>
          <w:b/>
          <w:sz w:val="32"/>
          <w:szCs w:val="32"/>
          <w:highlight w:val="none"/>
        </w:rPr>
        <w:t>六.成交、通知与签约</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en-US" w:eastAsia="zh-CN"/>
        </w:rPr>
        <w:t>5</w:t>
      </w:r>
      <w:r>
        <w:rPr>
          <w:rFonts w:hint="eastAsia" w:ascii="宋体" w:hAnsi="宋体" w:eastAsia="宋体" w:cs="宋体"/>
          <w:b/>
          <w:sz w:val="24"/>
          <w:szCs w:val="24"/>
          <w:highlight w:val="none"/>
        </w:rPr>
        <w:t>．成交程序</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.1谈判小组根据评审方法的规定对谈判</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进行评审排序，推荐3名成交候选人，作为评审结果。评审结果由全体评委签字确认。</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.2采购人根据谈判报告中推荐的成交候选人排列顺序，确定排名第一的为</w:t>
      </w:r>
      <w:r>
        <w:rPr>
          <w:rFonts w:hint="eastAsia" w:ascii="宋体" w:hAnsi="宋体" w:eastAsia="宋体" w:cs="宋体"/>
          <w:sz w:val="24"/>
          <w:szCs w:val="24"/>
          <w:highlight w:val="none"/>
          <w:lang w:eastAsia="zh-CN"/>
        </w:rPr>
        <w:t>成交供应商</w:t>
      </w:r>
      <w:r>
        <w:rPr>
          <w:rFonts w:hint="eastAsia" w:ascii="宋体" w:hAnsi="宋体" w:eastAsia="宋体" w:cs="宋体"/>
          <w:sz w:val="24"/>
          <w:szCs w:val="24"/>
          <w:highlight w:val="none"/>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.3</w:t>
      </w:r>
      <w:r>
        <w:rPr>
          <w:rFonts w:hint="eastAsia" w:ascii="宋体" w:hAnsi="宋体" w:eastAsia="宋体" w:cs="宋体"/>
          <w:sz w:val="24"/>
          <w:highlight w:val="none"/>
        </w:rPr>
        <w:t>排名第一的成交候选人放弃成交、在规定期限内未能签订合同、因不可抗力不能履行合同、不按照竞争性谈判文件要求提交履约保证金，或者被查实存在影响成交结果的违法行为等情形，不符合成交条件的，采购人可以按照谈判小组提出的成交候选人名单排序依次确定其他成交候选人为</w:t>
      </w:r>
      <w:r>
        <w:rPr>
          <w:rFonts w:hint="eastAsia" w:ascii="宋体" w:hAnsi="宋体" w:eastAsia="宋体" w:cs="宋体"/>
          <w:sz w:val="24"/>
          <w:highlight w:val="none"/>
          <w:lang w:eastAsia="zh-CN"/>
        </w:rPr>
        <w:t>成交供应商</w:t>
      </w:r>
      <w:r>
        <w:rPr>
          <w:rFonts w:hint="eastAsia" w:ascii="宋体" w:hAnsi="宋体" w:eastAsia="宋体" w:cs="宋体"/>
          <w:sz w:val="24"/>
          <w:highlight w:val="none"/>
        </w:rPr>
        <w:t>，也可以重新组织竞争性谈判</w:t>
      </w:r>
      <w:r>
        <w:rPr>
          <w:rFonts w:hint="eastAsia" w:ascii="宋体" w:hAnsi="宋体" w:eastAsia="宋体" w:cs="宋体"/>
          <w:sz w:val="24"/>
          <w:szCs w:val="24"/>
          <w:highlight w:val="none"/>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.3采购人也可以授权谈判小组评审后直接确定</w:t>
      </w:r>
      <w:r>
        <w:rPr>
          <w:rFonts w:hint="eastAsia" w:ascii="宋体" w:hAnsi="宋体" w:eastAsia="宋体" w:cs="宋体"/>
          <w:sz w:val="24"/>
          <w:szCs w:val="24"/>
          <w:highlight w:val="none"/>
          <w:lang w:eastAsia="zh-CN"/>
        </w:rPr>
        <w:t>成交供应商</w:t>
      </w:r>
      <w:r>
        <w:rPr>
          <w:rFonts w:hint="eastAsia" w:ascii="宋体" w:hAnsi="宋体" w:eastAsia="宋体" w:cs="宋体"/>
          <w:sz w:val="24"/>
          <w:szCs w:val="24"/>
          <w:highlight w:val="none"/>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成交供应商</w:t>
      </w:r>
      <w:r>
        <w:rPr>
          <w:rFonts w:hint="eastAsia" w:ascii="宋体" w:hAnsi="宋体" w:eastAsia="宋体" w:cs="宋体"/>
          <w:sz w:val="24"/>
          <w:szCs w:val="24"/>
          <w:highlight w:val="none"/>
        </w:rPr>
        <w:t>确定之后，成交结果将在财政部门指定的政府采购信息发布媒体上公告。</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.5</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或者其他利害关系人对评审结果有异议的，应当在</w:t>
      </w:r>
      <w:r>
        <w:rPr>
          <w:rFonts w:hint="eastAsia" w:ascii="宋体" w:hAnsi="宋体" w:eastAsia="宋体" w:cs="宋体"/>
          <w:sz w:val="24"/>
          <w:szCs w:val="24"/>
          <w:highlight w:val="none"/>
          <w:lang w:eastAsia="zh-CN"/>
        </w:rPr>
        <w:t>法律规定的时间内</w:t>
      </w:r>
      <w:r>
        <w:rPr>
          <w:rFonts w:hint="eastAsia" w:ascii="宋体" w:hAnsi="宋体" w:eastAsia="宋体" w:cs="宋体"/>
          <w:sz w:val="24"/>
          <w:szCs w:val="24"/>
          <w:highlight w:val="none"/>
        </w:rPr>
        <w:t>提出。</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en-US" w:eastAsia="zh-CN"/>
        </w:rPr>
        <w:t>6</w:t>
      </w:r>
      <w:r>
        <w:rPr>
          <w:rFonts w:hint="eastAsia" w:ascii="宋体" w:hAnsi="宋体" w:eastAsia="宋体" w:cs="宋体"/>
          <w:b/>
          <w:sz w:val="24"/>
          <w:szCs w:val="24"/>
          <w:highlight w:val="none"/>
        </w:rPr>
        <w:t>．成交通知</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.1 采购代理机构向</w:t>
      </w:r>
      <w:r>
        <w:rPr>
          <w:rFonts w:hint="eastAsia" w:ascii="宋体" w:hAnsi="宋体" w:eastAsia="宋体" w:cs="宋体"/>
          <w:sz w:val="24"/>
          <w:szCs w:val="24"/>
          <w:highlight w:val="none"/>
          <w:lang w:eastAsia="zh-CN"/>
        </w:rPr>
        <w:t>成交供应商</w:t>
      </w:r>
      <w:r>
        <w:rPr>
          <w:rFonts w:hint="eastAsia" w:ascii="宋体" w:hAnsi="宋体" w:eastAsia="宋体" w:cs="宋体"/>
          <w:sz w:val="24"/>
          <w:szCs w:val="24"/>
          <w:highlight w:val="none"/>
        </w:rPr>
        <w:t>发出《成交通知书》。</w:t>
      </w:r>
      <w:r>
        <w:rPr>
          <w:rFonts w:hint="eastAsia" w:ascii="宋体" w:hAnsi="宋体" w:eastAsia="宋体" w:cs="宋体"/>
          <w:b/>
          <w:bCs/>
          <w:sz w:val="24"/>
          <w:szCs w:val="24"/>
          <w:highlight w:val="none"/>
          <w:lang w:eastAsia="zh-CN"/>
        </w:rPr>
        <w:t>成交供应商领取成交通知书时须携带法定代表人授权书及加盖单位公章的被授权人身份证复印件。</w:t>
      </w:r>
      <w:r>
        <w:rPr>
          <w:rFonts w:hint="eastAsia" w:ascii="宋体" w:hAnsi="宋体" w:eastAsia="宋体" w:cs="宋体"/>
          <w:b/>
          <w:bCs/>
          <w:sz w:val="24"/>
          <w:szCs w:val="24"/>
          <w:highlight w:val="none"/>
        </w:rPr>
        <w:t xml:space="preserve"> </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.2成交通知书对采购人和</w:t>
      </w:r>
      <w:r>
        <w:rPr>
          <w:rFonts w:hint="eastAsia" w:ascii="宋体" w:hAnsi="宋体" w:eastAsia="宋体" w:cs="宋体"/>
          <w:sz w:val="24"/>
          <w:szCs w:val="24"/>
          <w:highlight w:val="none"/>
          <w:lang w:eastAsia="zh-CN"/>
        </w:rPr>
        <w:t>成交供应商</w:t>
      </w:r>
      <w:r>
        <w:rPr>
          <w:rFonts w:hint="eastAsia" w:ascii="宋体" w:hAnsi="宋体" w:eastAsia="宋体" w:cs="宋体"/>
          <w:sz w:val="24"/>
          <w:szCs w:val="24"/>
          <w:highlight w:val="none"/>
        </w:rPr>
        <w:t>具有同等法律效力。成交通知书发出之后，采购人改变成交结果，或者</w:t>
      </w:r>
      <w:r>
        <w:rPr>
          <w:rFonts w:hint="eastAsia" w:ascii="宋体" w:hAnsi="宋体" w:eastAsia="宋体" w:cs="宋体"/>
          <w:sz w:val="24"/>
          <w:szCs w:val="24"/>
          <w:highlight w:val="none"/>
          <w:lang w:eastAsia="zh-CN"/>
        </w:rPr>
        <w:t>成交供应商</w:t>
      </w:r>
      <w:r>
        <w:rPr>
          <w:rFonts w:hint="eastAsia" w:ascii="宋体" w:hAnsi="宋体" w:eastAsia="宋体" w:cs="宋体"/>
          <w:sz w:val="24"/>
          <w:szCs w:val="24"/>
          <w:highlight w:val="none"/>
        </w:rPr>
        <w:t>放弃成交，应当承担相应的法律责任。</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en-US" w:eastAsia="zh-CN"/>
        </w:rPr>
        <w:t>7</w:t>
      </w:r>
      <w:r>
        <w:rPr>
          <w:rFonts w:hint="eastAsia" w:ascii="宋体" w:hAnsi="宋体" w:eastAsia="宋体" w:cs="宋体"/>
          <w:b/>
          <w:sz w:val="24"/>
          <w:szCs w:val="24"/>
          <w:highlight w:val="none"/>
        </w:rPr>
        <w:t xml:space="preserve">. </w:t>
      </w:r>
      <w:r>
        <w:rPr>
          <w:rFonts w:hint="eastAsia" w:ascii="宋体" w:hAnsi="宋体" w:eastAsia="宋体" w:cs="宋体"/>
          <w:b/>
          <w:sz w:val="24"/>
          <w:szCs w:val="24"/>
          <w:highlight w:val="none"/>
          <w:lang w:eastAsia="zh-CN"/>
        </w:rPr>
        <w:t>采购</w:t>
      </w:r>
      <w:r>
        <w:rPr>
          <w:rFonts w:hint="eastAsia" w:ascii="宋体" w:hAnsi="宋体" w:eastAsia="宋体" w:cs="宋体"/>
          <w:b/>
          <w:sz w:val="24"/>
          <w:szCs w:val="24"/>
          <w:highlight w:val="none"/>
        </w:rPr>
        <w:t>合同的签订</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.1采购人应当自成交通知书发出之日起三十日内，按照竞争性谈判文件和</w:t>
      </w:r>
      <w:r>
        <w:rPr>
          <w:rFonts w:hint="eastAsia" w:ascii="宋体" w:hAnsi="宋体" w:eastAsia="宋体" w:cs="宋体"/>
          <w:sz w:val="24"/>
          <w:szCs w:val="24"/>
          <w:highlight w:val="none"/>
          <w:lang w:eastAsia="zh-CN"/>
        </w:rPr>
        <w:t>成交供应商</w:t>
      </w:r>
      <w:r>
        <w:rPr>
          <w:rFonts w:hint="eastAsia" w:ascii="宋体" w:hAnsi="宋体" w:eastAsia="宋体" w:cs="宋体"/>
          <w:sz w:val="24"/>
          <w:szCs w:val="24"/>
          <w:highlight w:val="none"/>
        </w:rPr>
        <w:t>竞争性谈判响应文件（包括评审中形成的澄清文件）的约定，与</w:t>
      </w:r>
      <w:r>
        <w:rPr>
          <w:rFonts w:hint="eastAsia" w:ascii="宋体" w:hAnsi="宋体" w:eastAsia="宋体" w:cs="宋体"/>
          <w:sz w:val="24"/>
          <w:szCs w:val="24"/>
          <w:highlight w:val="none"/>
          <w:lang w:eastAsia="zh-CN"/>
        </w:rPr>
        <w:t>成交供应商</w:t>
      </w:r>
      <w:r>
        <w:rPr>
          <w:rFonts w:hint="eastAsia" w:ascii="宋体" w:hAnsi="宋体" w:eastAsia="宋体" w:cs="宋体"/>
          <w:sz w:val="24"/>
          <w:szCs w:val="24"/>
          <w:highlight w:val="none"/>
        </w:rPr>
        <w:t>签订书面合同。所签订的合同不得对竞争性谈判文件和</w:t>
      </w:r>
      <w:r>
        <w:rPr>
          <w:rFonts w:hint="eastAsia" w:ascii="宋体" w:hAnsi="宋体" w:eastAsia="宋体" w:cs="宋体"/>
          <w:sz w:val="24"/>
          <w:szCs w:val="24"/>
          <w:highlight w:val="none"/>
          <w:lang w:eastAsia="zh-CN"/>
        </w:rPr>
        <w:t>成交供应商</w:t>
      </w:r>
      <w:r>
        <w:rPr>
          <w:rFonts w:hint="eastAsia" w:ascii="宋体" w:hAnsi="宋体" w:eastAsia="宋体" w:cs="宋体"/>
          <w:sz w:val="24"/>
          <w:szCs w:val="24"/>
          <w:highlight w:val="none"/>
        </w:rPr>
        <w:t>的竞争性谈判响应文件（包括评审中形成的澄清文件）作实质性修改。</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.2采购人自采购合同签订之日起七个工作日内，将采购合同副本报同级人民政府财政部门备案。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en-US" w:eastAsia="zh-CN"/>
        </w:rPr>
        <w:t>8</w:t>
      </w: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eastAsia="zh-CN"/>
        </w:rPr>
        <w:t>招标代理服务费</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28.1</w:t>
      </w:r>
      <w:r>
        <w:rPr>
          <w:rFonts w:hint="eastAsia" w:ascii="宋体" w:hAnsi="宋体" w:eastAsia="宋体" w:cs="宋体"/>
          <w:sz w:val="24"/>
          <w:highlight w:val="none"/>
          <w:lang w:val="en-US" w:eastAsia="zh-CN"/>
        </w:rPr>
        <w:t>招标代理服务费的计算方法：参照国家计委颁发的《招标代理服务收费管理暂行办法》（计价格[2002]1980号）和国家发展改革委员会办公厅颁发的《关于招标代理服务收费有关问题的通知》（发改办价格[2003]857号）的有关规定执行，不足壹万元按壹万元计取。</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28.2</w:t>
      </w:r>
      <w:r>
        <w:rPr>
          <w:rFonts w:hint="eastAsia" w:ascii="宋体" w:hAnsi="宋体" w:eastAsia="宋体" w:cs="宋体"/>
          <w:sz w:val="24"/>
          <w:szCs w:val="24"/>
          <w:highlight w:val="none"/>
        </w:rPr>
        <w:t>成交单位在领取成交通知书前，须向采购代理机构一次性支付代理服务费。</w:t>
      </w:r>
    </w:p>
    <w:p>
      <w:pPr>
        <w:numPr>
          <w:ilvl w:val="0"/>
          <w:numId w:val="0"/>
        </w:numPr>
        <w:spacing w:line="60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29.履约验收</w:t>
      </w:r>
    </w:p>
    <w:p>
      <w:pPr>
        <w:spacing w:line="360" w:lineRule="auto"/>
        <w:ind w:firstLine="480" w:firstLineChars="200"/>
        <w:rPr>
          <w:rFonts w:hint="eastAsia" w:ascii="宋体" w:hAnsi="宋体" w:eastAsia="宋体" w:cs="宋体"/>
          <w:highlight w:val="none"/>
          <w:lang w:val="en-US" w:eastAsia="zh-CN"/>
        </w:rPr>
      </w:pPr>
      <w:r>
        <w:rPr>
          <w:rFonts w:hint="eastAsia" w:ascii="宋体" w:hAnsi="宋体" w:eastAsia="宋体" w:cs="宋体"/>
          <w:sz w:val="24"/>
          <w:szCs w:val="24"/>
          <w:highlight w:val="none"/>
          <w:lang w:val="en-US" w:eastAsia="zh-CN"/>
        </w:rPr>
        <w:t>30.1涉及履约验收的，验收费用由</w:t>
      </w:r>
      <w:r>
        <w:rPr>
          <w:rFonts w:hint="eastAsia" w:ascii="宋体" w:hAnsi="宋体" w:eastAsia="宋体" w:cs="宋体"/>
          <w:sz w:val="24"/>
          <w:szCs w:val="24"/>
          <w:highlight w:val="none"/>
          <w:u w:val="single"/>
          <w:lang w:val="en-US" w:eastAsia="zh-CN"/>
        </w:rPr>
        <w:t>成交供应商</w:t>
      </w:r>
      <w:r>
        <w:rPr>
          <w:rFonts w:hint="eastAsia" w:ascii="宋体" w:hAnsi="宋体" w:eastAsia="宋体" w:cs="宋体"/>
          <w:sz w:val="24"/>
          <w:szCs w:val="24"/>
          <w:highlight w:val="none"/>
          <w:lang w:val="en-US" w:eastAsia="zh-CN"/>
        </w:rPr>
        <w:t>支付，费用标准按成交金额的5‰计算，不足5000元的，按5000元收取。</w:t>
      </w:r>
    </w:p>
    <w:p>
      <w:pPr>
        <w:numPr>
          <w:ilvl w:val="0"/>
          <w:numId w:val="0"/>
        </w:numPr>
        <w:spacing w:line="600" w:lineRule="exac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30.质疑</w:t>
      </w:r>
    </w:p>
    <w:p>
      <w:pPr>
        <w:keepNext w:val="0"/>
        <w:keepLines w:val="0"/>
        <w:pageBreakBefore w:val="0"/>
        <w:widowControl w:val="0"/>
        <w:kinsoku/>
        <w:wordWrap/>
        <w:overflowPunct/>
        <w:topLinePunct w:val="0"/>
        <w:autoSpaceDE/>
        <w:autoSpaceDN/>
        <w:bidi w:val="0"/>
        <w:adjustRightInd/>
        <w:snapToGrid/>
        <w:spacing w:line="500" w:lineRule="exact"/>
        <w:ind w:left="0" w:leftChars="0" w:right="12" w:rightChars="0" w:firstLine="480" w:firstLineChars="0"/>
        <w:jc w:val="both"/>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30.1供应商认为谈判文件、采购过程、成交结果使自己的权益受到损害的，可以在知道或者应知其权益受到损害之日起7个工作日内，以书面形式向采购人、采购代理机构提出质疑。</w:t>
      </w:r>
    </w:p>
    <w:p>
      <w:pPr>
        <w:keepNext w:val="0"/>
        <w:keepLines w:val="0"/>
        <w:pageBreakBefore w:val="0"/>
        <w:widowControl w:val="0"/>
        <w:kinsoku/>
        <w:wordWrap/>
        <w:overflowPunct/>
        <w:topLinePunct w:val="0"/>
        <w:autoSpaceDE/>
        <w:autoSpaceDN/>
        <w:bidi w:val="0"/>
        <w:adjustRightInd/>
        <w:snapToGrid/>
        <w:spacing w:line="500" w:lineRule="exact"/>
        <w:ind w:left="0" w:leftChars="0" w:right="12" w:rightChars="0" w:firstLine="480" w:firstLineChars="0"/>
        <w:jc w:val="both"/>
        <w:textAlignment w:val="auto"/>
        <w:outlineLvl w:val="9"/>
        <w:rPr>
          <w:rStyle w:val="31"/>
          <w:rFonts w:hint="eastAsia" w:ascii="宋体" w:hAnsi="宋体" w:eastAsia="宋体" w:cs="宋体"/>
          <w:b/>
          <w:bCs w:val="0"/>
          <w:i w:val="0"/>
          <w:caps w:val="0"/>
          <w:color w:val="0000FF"/>
          <w:spacing w:val="0"/>
          <w:sz w:val="24"/>
          <w:szCs w:val="24"/>
          <w:highlight w:val="none"/>
          <w:shd w:val="clear" w:color="auto" w:fill="FFFFFF"/>
          <w:lang w:val="en-US" w:eastAsia="zh-CN"/>
        </w:rPr>
      </w:pPr>
      <w:r>
        <w:rPr>
          <w:rFonts w:hint="eastAsia" w:ascii="宋体" w:hAnsi="宋体" w:eastAsia="宋体" w:cs="宋体"/>
          <w:b w:val="0"/>
          <w:bCs w:val="0"/>
          <w:sz w:val="24"/>
          <w:szCs w:val="24"/>
          <w:highlight w:val="none"/>
          <w:lang w:val="en-US" w:eastAsia="zh-CN"/>
        </w:rPr>
        <w:t>30.2供应商必须在法定质疑期内一次性提出针对同一采购程序环节的质疑。</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 w:leftChars="0" w:right="0" w:rightChars="0" w:firstLine="518" w:firstLineChars="216"/>
        <w:jc w:val="both"/>
        <w:textAlignment w:val="auto"/>
        <w:outlineLvl w:val="9"/>
        <w:rPr>
          <w:rStyle w:val="31"/>
          <w:rFonts w:hint="eastAsia" w:ascii="宋体" w:hAnsi="宋体" w:eastAsia="宋体" w:cs="宋体"/>
          <w:b w:val="0"/>
          <w:bCs/>
          <w:i w:val="0"/>
          <w:caps w:val="0"/>
          <w:color w:val="000000"/>
          <w:spacing w:val="0"/>
          <w:sz w:val="24"/>
          <w:szCs w:val="24"/>
          <w:highlight w:val="none"/>
          <w:shd w:val="clear" w:color="auto" w:fill="FFFFFF"/>
          <w:lang w:val="en-US" w:eastAsia="zh-CN"/>
        </w:rPr>
      </w:pPr>
      <w:r>
        <w:rPr>
          <w:rFonts w:hint="eastAsia" w:ascii="宋体" w:hAnsi="宋体" w:eastAsia="宋体" w:cs="宋体"/>
          <w:b w:val="0"/>
          <w:bCs w:val="0"/>
          <w:sz w:val="24"/>
          <w:szCs w:val="24"/>
          <w:highlight w:val="none"/>
          <w:lang w:val="en-US" w:eastAsia="zh-CN"/>
        </w:rPr>
        <w:t>30</w:t>
      </w:r>
      <w:r>
        <w:rPr>
          <w:rStyle w:val="31"/>
          <w:rFonts w:hint="eastAsia" w:ascii="宋体" w:hAnsi="宋体" w:eastAsia="宋体" w:cs="宋体"/>
          <w:b w:val="0"/>
          <w:bCs/>
          <w:i w:val="0"/>
          <w:caps w:val="0"/>
          <w:color w:val="000000"/>
          <w:spacing w:val="0"/>
          <w:sz w:val="24"/>
          <w:szCs w:val="24"/>
          <w:highlight w:val="none"/>
          <w:shd w:val="clear" w:color="auto" w:fill="FFFFFF"/>
          <w:lang w:val="en-US" w:eastAsia="zh-CN"/>
        </w:rPr>
        <w:t>.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 w:leftChars="0" w:right="0" w:rightChars="0" w:firstLine="518" w:firstLineChars="216"/>
        <w:jc w:val="both"/>
        <w:textAlignment w:val="auto"/>
        <w:outlineLvl w:val="9"/>
        <w:rPr>
          <w:rStyle w:val="31"/>
          <w:rFonts w:hint="eastAsia" w:ascii="宋体" w:hAnsi="宋体" w:eastAsia="宋体" w:cs="宋体"/>
          <w:b w:val="0"/>
          <w:bCs/>
          <w:i w:val="0"/>
          <w:caps w:val="0"/>
          <w:color w:val="000000"/>
          <w:spacing w:val="0"/>
          <w:sz w:val="24"/>
          <w:szCs w:val="24"/>
          <w:highlight w:val="none"/>
          <w:shd w:val="clear" w:color="auto" w:fill="FFFFFF"/>
          <w:lang w:val="en-US" w:eastAsia="zh-CN"/>
        </w:rPr>
      </w:pPr>
      <w:r>
        <w:rPr>
          <w:rFonts w:hint="eastAsia" w:ascii="宋体" w:hAnsi="宋体" w:eastAsia="宋体" w:cs="宋体"/>
          <w:b w:val="0"/>
          <w:bCs w:val="0"/>
          <w:sz w:val="24"/>
          <w:szCs w:val="24"/>
          <w:highlight w:val="none"/>
          <w:lang w:val="en-US" w:eastAsia="zh-CN"/>
        </w:rPr>
        <w:t>30</w:t>
      </w:r>
      <w:r>
        <w:rPr>
          <w:rStyle w:val="31"/>
          <w:rFonts w:hint="eastAsia" w:ascii="宋体" w:hAnsi="宋体" w:eastAsia="宋体" w:cs="宋体"/>
          <w:b w:val="0"/>
          <w:bCs/>
          <w:i w:val="0"/>
          <w:caps w:val="0"/>
          <w:color w:val="000000"/>
          <w:spacing w:val="0"/>
          <w:sz w:val="24"/>
          <w:szCs w:val="24"/>
          <w:highlight w:val="none"/>
          <w:shd w:val="clear" w:color="auto" w:fill="FFFFFF"/>
          <w:lang w:val="en-US" w:eastAsia="zh-CN"/>
        </w:rPr>
        <w:t>.4以联合体形式参加政府采购活动的，其质疑应当由组成联合体的所有供应商共同提出。</w:t>
      </w:r>
    </w:p>
    <w:p>
      <w:pPr>
        <w:keepNext w:val="0"/>
        <w:keepLines w:val="0"/>
        <w:pageBreakBefore w:val="0"/>
        <w:widowControl w:val="0"/>
        <w:kinsoku/>
        <w:wordWrap/>
        <w:overflowPunct/>
        <w:topLinePunct w:val="0"/>
        <w:autoSpaceDE/>
        <w:autoSpaceDN/>
        <w:bidi w:val="0"/>
        <w:adjustRightInd/>
        <w:snapToGrid/>
        <w:spacing w:line="500" w:lineRule="exact"/>
        <w:ind w:right="12" w:rightChars="0" w:firstLine="480" w:firstLineChars="20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30</w:t>
      </w:r>
      <w:r>
        <w:rPr>
          <w:rFonts w:hint="eastAsia" w:ascii="宋体" w:hAnsi="宋体" w:eastAsia="宋体" w:cs="宋体"/>
          <w:sz w:val="24"/>
          <w:szCs w:val="24"/>
          <w:highlight w:val="none"/>
          <w:lang w:val="en-US" w:eastAsia="zh-CN"/>
        </w:rPr>
        <w:t>.5供应商提出质疑应当提交质疑函和必要的证明材料。质疑函应当包括下列内容：</w:t>
      </w:r>
    </w:p>
    <w:p>
      <w:pPr>
        <w:keepNext w:val="0"/>
        <w:keepLines w:val="0"/>
        <w:pageBreakBefore w:val="0"/>
        <w:widowControl w:val="0"/>
        <w:kinsoku/>
        <w:wordWrap/>
        <w:overflowPunct/>
        <w:topLinePunct w:val="0"/>
        <w:autoSpaceDE/>
        <w:autoSpaceDN/>
        <w:bidi w:val="0"/>
        <w:adjustRightInd/>
        <w:snapToGrid/>
        <w:spacing w:line="500" w:lineRule="exact"/>
        <w:ind w:right="12" w:rightChars="0" w:firstLine="480" w:firstLineChars="20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30</w:t>
      </w:r>
      <w:r>
        <w:rPr>
          <w:rFonts w:hint="eastAsia" w:ascii="宋体" w:hAnsi="宋体" w:eastAsia="宋体" w:cs="宋体"/>
          <w:sz w:val="24"/>
          <w:szCs w:val="24"/>
          <w:highlight w:val="none"/>
          <w:lang w:val="en-US" w:eastAsia="zh-CN"/>
        </w:rPr>
        <w:t>.5.1供应商的姓名或者名称、地址、邮编、联系人及联系电话；</w:t>
      </w:r>
    </w:p>
    <w:p>
      <w:pPr>
        <w:keepNext w:val="0"/>
        <w:keepLines w:val="0"/>
        <w:pageBreakBefore w:val="0"/>
        <w:widowControl w:val="0"/>
        <w:kinsoku/>
        <w:wordWrap/>
        <w:overflowPunct/>
        <w:topLinePunct w:val="0"/>
        <w:autoSpaceDE/>
        <w:autoSpaceDN/>
        <w:bidi w:val="0"/>
        <w:adjustRightInd/>
        <w:snapToGrid/>
        <w:spacing w:line="500" w:lineRule="exact"/>
        <w:ind w:right="12" w:rightChars="0" w:firstLine="480" w:firstLineChars="20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30</w:t>
      </w:r>
      <w:r>
        <w:rPr>
          <w:rFonts w:hint="eastAsia" w:ascii="宋体" w:hAnsi="宋体" w:eastAsia="宋体" w:cs="宋体"/>
          <w:sz w:val="24"/>
          <w:szCs w:val="24"/>
          <w:highlight w:val="none"/>
          <w:lang w:val="en-US" w:eastAsia="zh-CN"/>
        </w:rPr>
        <w:t>.5.2质疑项目的名称、编号；</w:t>
      </w:r>
    </w:p>
    <w:p>
      <w:pPr>
        <w:keepNext w:val="0"/>
        <w:keepLines w:val="0"/>
        <w:pageBreakBefore w:val="0"/>
        <w:widowControl w:val="0"/>
        <w:kinsoku/>
        <w:wordWrap/>
        <w:overflowPunct/>
        <w:topLinePunct w:val="0"/>
        <w:autoSpaceDE/>
        <w:autoSpaceDN/>
        <w:bidi w:val="0"/>
        <w:adjustRightInd/>
        <w:snapToGrid/>
        <w:spacing w:line="500" w:lineRule="exact"/>
        <w:ind w:right="12" w:rightChars="0" w:firstLine="480" w:firstLineChars="20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30</w:t>
      </w:r>
      <w:r>
        <w:rPr>
          <w:rFonts w:hint="eastAsia" w:ascii="宋体" w:hAnsi="宋体" w:eastAsia="宋体" w:cs="宋体"/>
          <w:sz w:val="24"/>
          <w:szCs w:val="24"/>
          <w:highlight w:val="none"/>
          <w:lang w:val="en-US" w:eastAsia="zh-CN"/>
        </w:rPr>
        <w:t>.5.3具体、明确的质疑事项和与质疑事项相关的请求；</w:t>
      </w:r>
    </w:p>
    <w:p>
      <w:pPr>
        <w:keepNext w:val="0"/>
        <w:keepLines w:val="0"/>
        <w:pageBreakBefore w:val="0"/>
        <w:widowControl w:val="0"/>
        <w:kinsoku/>
        <w:wordWrap/>
        <w:overflowPunct/>
        <w:topLinePunct w:val="0"/>
        <w:autoSpaceDE/>
        <w:autoSpaceDN/>
        <w:bidi w:val="0"/>
        <w:adjustRightInd/>
        <w:snapToGrid/>
        <w:spacing w:line="500" w:lineRule="exact"/>
        <w:ind w:right="12" w:rightChars="0" w:firstLine="480" w:firstLineChars="20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30</w:t>
      </w:r>
      <w:r>
        <w:rPr>
          <w:rFonts w:hint="eastAsia" w:ascii="宋体" w:hAnsi="宋体" w:eastAsia="宋体" w:cs="宋体"/>
          <w:sz w:val="24"/>
          <w:szCs w:val="24"/>
          <w:highlight w:val="none"/>
          <w:lang w:val="en-US" w:eastAsia="zh-CN"/>
        </w:rPr>
        <w:t>.5.4事实依据；</w:t>
      </w:r>
    </w:p>
    <w:p>
      <w:pPr>
        <w:keepNext w:val="0"/>
        <w:keepLines w:val="0"/>
        <w:pageBreakBefore w:val="0"/>
        <w:widowControl w:val="0"/>
        <w:kinsoku/>
        <w:wordWrap/>
        <w:overflowPunct/>
        <w:topLinePunct w:val="0"/>
        <w:autoSpaceDE/>
        <w:autoSpaceDN/>
        <w:bidi w:val="0"/>
        <w:adjustRightInd/>
        <w:snapToGrid/>
        <w:spacing w:line="500" w:lineRule="exact"/>
        <w:ind w:right="12" w:rightChars="0" w:firstLine="480" w:firstLineChars="20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30</w:t>
      </w:r>
      <w:r>
        <w:rPr>
          <w:rFonts w:hint="eastAsia" w:ascii="宋体" w:hAnsi="宋体" w:eastAsia="宋体" w:cs="宋体"/>
          <w:sz w:val="24"/>
          <w:szCs w:val="24"/>
          <w:highlight w:val="none"/>
          <w:lang w:val="en-US" w:eastAsia="zh-CN"/>
        </w:rPr>
        <w:t>.5.5必要的法律依据；</w:t>
      </w:r>
    </w:p>
    <w:p>
      <w:pPr>
        <w:keepNext w:val="0"/>
        <w:keepLines w:val="0"/>
        <w:pageBreakBefore w:val="0"/>
        <w:widowControl w:val="0"/>
        <w:kinsoku/>
        <w:wordWrap/>
        <w:overflowPunct/>
        <w:topLinePunct w:val="0"/>
        <w:autoSpaceDE/>
        <w:autoSpaceDN/>
        <w:bidi w:val="0"/>
        <w:adjustRightInd/>
        <w:snapToGrid/>
        <w:spacing w:line="500" w:lineRule="exact"/>
        <w:ind w:right="12" w:rightChars="0" w:firstLine="480" w:firstLineChars="200"/>
        <w:jc w:val="both"/>
        <w:textAlignment w:val="auto"/>
        <w:outlineLvl w:val="9"/>
        <w:rPr>
          <w:rStyle w:val="31"/>
          <w:rFonts w:hint="eastAsia" w:ascii="宋体" w:hAnsi="宋体" w:eastAsia="宋体" w:cs="宋体"/>
          <w:b w:val="0"/>
          <w:bCs/>
          <w:i w:val="0"/>
          <w:caps w:val="0"/>
          <w:color w:val="000000"/>
          <w:spacing w:val="0"/>
          <w:sz w:val="24"/>
          <w:szCs w:val="24"/>
          <w:highlight w:val="none"/>
          <w:shd w:val="clear" w:color="auto" w:fill="FFFFFF"/>
          <w:lang w:eastAsia="zh-CN"/>
        </w:rPr>
      </w:pPr>
      <w:r>
        <w:rPr>
          <w:rFonts w:hint="eastAsia" w:ascii="宋体" w:hAnsi="宋体" w:eastAsia="宋体" w:cs="宋体"/>
          <w:b w:val="0"/>
          <w:bCs w:val="0"/>
          <w:sz w:val="24"/>
          <w:szCs w:val="24"/>
          <w:highlight w:val="none"/>
          <w:lang w:val="en-US" w:eastAsia="zh-CN"/>
        </w:rPr>
        <w:t>30</w:t>
      </w:r>
      <w:r>
        <w:rPr>
          <w:rFonts w:hint="eastAsia" w:ascii="宋体" w:hAnsi="宋体" w:eastAsia="宋体" w:cs="宋体"/>
          <w:sz w:val="24"/>
          <w:szCs w:val="24"/>
          <w:highlight w:val="none"/>
          <w:lang w:val="en-US" w:eastAsia="zh-CN"/>
        </w:rPr>
        <w:t>.5.6提出质疑的日期。</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 w:val="0"/>
          <w:bCs w:val="0"/>
          <w:sz w:val="24"/>
          <w:szCs w:val="24"/>
          <w:highlight w:val="none"/>
          <w:lang w:val="en-US" w:eastAsia="zh-CN"/>
        </w:rPr>
        <w:t>30</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有下列情形之一的，属于无效质疑，采购代理机构和采购人不予受理：</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 w:val="0"/>
          <w:bCs w:val="0"/>
          <w:sz w:val="24"/>
          <w:szCs w:val="24"/>
          <w:highlight w:val="none"/>
          <w:lang w:val="en-US" w:eastAsia="zh-CN"/>
        </w:rPr>
        <w:t>30</w:t>
      </w:r>
      <w:r>
        <w:rPr>
          <w:rFonts w:hint="eastAsia" w:ascii="宋体" w:hAnsi="宋体" w:eastAsia="宋体" w:cs="宋体"/>
          <w:color w:val="auto"/>
          <w:sz w:val="24"/>
          <w:highlight w:val="none"/>
          <w:lang w:val="en-US" w:eastAsia="zh-CN"/>
        </w:rPr>
        <w:t>.6.1</w:t>
      </w:r>
      <w:r>
        <w:rPr>
          <w:rFonts w:hint="eastAsia" w:ascii="宋体" w:hAnsi="宋体" w:eastAsia="宋体" w:cs="宋体"/>
          <w:color w:val="auto"/>
          <w:sz w:val="24"/>
          <w:highlight w:val="none"/>
        </w:rPr>
        <w:t>质疑</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不是参与本次政府采购项目的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 w:val="0"/>
          <w:bCs w:val="0"/>
          <w:sz w:val="24"/>
          <w:szCs w:val="24"/>
          <w:highlight w:val="none"/>
          <w:lang w:val="en-US" w:eastAsia="zh-CN"/>
        </w:rPr>
        <w:t>30</w:t>
      </w:r>
      <w:r>
        <w:rPr>
          <w:rFonts w:hint="eastAsia" w:ascii="宋体" w:hAnsi="宋体" w:eastAsia="宋体" w:cs="宋体"/>
          <w:color w:val="auto"/>
          <w:sz w:val="24"/>
          <w:highlight w:val="none"/>
          <w:lang w:val="en-US" w:eastAsia="zh-CN"/>
        </w:rPr>
        <w:t>.6.2</w:t>
      </w:r>
      <w:r>
        <w:rPr>
          <w:rFonts w:hint="eastAsia" w:ascii="宋体" w:hAnsi="宋体" w:eastAsia="宋体" w:cs="宋体"/>
          <w:color w:val="auto"/>
          <w:sz w:val="24"/>
          <w:highlight w:val="none"/>
        </w:rPr>
        <w:t>质疑</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与质疑事项不存在利害关系的；</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 w:val="0"/>
          <w:bCs w:val="0"/>
          <w:sz w:val="24"/>
          <w:szCs w:val="24"/>
          <w:highlight w:val="none"/>
          <w:lang w:val="en-US" w:eastAsia="zh-CN"/>
        </w:rPr>
        <w:t>30</w:t>
      </w:r>
      <w:r>
        <w:rPr>
          <w:rFonts w:hint="eastAsia" w:ascii="宋体" w:hAnsi="宋体" w:eastAsia="宋体" w:cs="宋体"/>
          <w:color w:val="auto"/>
          <w:sz w:val="24"/>
          <w:highlight w:val="none"/>
          <w:lang w:val="en-US" w:eastAsia="zh-CN"/>
        </w:rPr>
        <w:t>.6.3</w:t>
      </w:r>
      <w:r>
        <w:rPr>
          <w:rFonts w:hint="eastAsia" w:ascii="宋体" w:hAnsi="宋体" w:eastAsia="宋体" w:cs="宋体"/>
          <w:color w:val="auto"/>
          <w:sz w:val="24"/>
          <w:highlight w:val="none"/>
        </w:rPr>
        <w:t>未在法定期限内提出质疑的；</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 w:val="0"/>
          <w:bCs w:val="0"/>
          <w:sz w:val="24"/>
          <w:szCs w:val="24"/>
          <w:highlight w:val="none"/>
          <w:lang w:val="en-US" w:eastAsia="zh-CN"/>
        </w:rPr>
        <w:t>30</w:t>
      </w:r>
      <w:r>
        <w:rPr>
          <w:rFonts w:hint="eastAsia" w:ascii="宋体" w:hAnsi="宋体" w:eastAsia="宋体" w:cs="宋体"/>
          <w:color w:val="auto"/>
          <w:sz w:val="24"/>
          <w:highlight w:val="none"/>
          <w:lang w:val="en-US" w:eastAsia="zh-CN"/>
        </w:rPr>
        <w:t>.6.4</w:t>
      </w:r>
      <w:r>
        <w:rPr>
          <w:rFonts w:hint="eastAsia" w:ascii="宋体" w:hAnsi="宋体" w:eastAsia="宋体" w:cs="宋体"/>
          <w:color w:val="auto"/>
          <w:sz w:val="24"/>
          <w:highlight w:val="none"/>
        </w:rPr>
        <w:t>质疑未以书面形式提出，或质疑</w:t>
      </w:r>
      <w:r>
        <w:rPr>
          <w:rFonts w:hint="eastAsia" w:ascii="宋体" w:hAnsi="宋体" w:eastAsia="宋体" w:cs="宋体"/>
          <w:color w:val="auto"/>
          <w:sz w:val="24"/>
          <w:highlight w:val="none"/>
          <w:lang w:eastAsia="zh-CN"/>
        </w:rPr>
        <w:t>函</w:t>
      </w:r>
      <w:r>
        <w:rPr>
          <w:rFonts w:hint="eastAsia" w:ascii="宋体" w:hAnsi="宋体" w:eastAsia="宋体" w:cs="宋体"/>
          <w:color w:val="auto"/>
          <w:sz w:val="24"/>
          <w:highlight w:val="none"/>
        </w:rPr>
        <w:t>主要内容构成不完整的；</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 w:val="0"/>
          <w:bCs w:val="0"/>
          <w:sz w:val="24"/>
          <w:szCs w:val="24"/>
          <w:highlight w:val="none"/>
          <w:lang w:val="en-US" w:eastAsia="zh-CN"/>
        </w:rPr>
        <w:t>30</w:t>
      </w:r>
      <w:r>
        <w:rPr>
          <w:rFonts w:hint="eastAsia" w:ascii="宋体" w:hAnsi="宋体" w:eastAsia="宋体" w:cs="宋体"/>
          <w:color w:val="auto"/>
          <w:sz w:val="24"/>
          <w:highlight w:val="none"/>
          <w:lang w:val="en-US" w:eastAsia="zh-CN"/>
        </w:rPr>
        <w:t>.6.5</w:t>
      </w:r>
      <w:r>
        <w:rPr>
          <w:rFonts w:hint="eastAsia" w:ascii="宋体" w:hAnsi="宋体" w:eastAsia="宋体" w:cs="宋体"/>
          <w:color w:val="auto"/>
          <w:sz w:val="24"/>
          <w:highlight w:val="none"/>
          <w:lang w:eastAsia="zh-CN"/>
        </w:rPr>
        <w:t>应当提交授权书而未提交的</w:t>
      </w:r>
      <w:r>
        <w:rPr>
          <w:rFonts w:hint="eastAsia" w:ascii="宋体" w:hAnsi="宋体" w:eastAsia="宋体" w:cs="宋体"/>
          <w:color w:val="auto"/>
          <w:sz w:val="24"/>
          <w:highlight w:val="none"/>
        </w:rPr>
        <w:t>；</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 w:val="0"/>
          <w:bCs w:val="0"/>
          <w:sz w:val="24"/>
          <w:szCs w:val="24"/>
          <w:highlight w:val="none"/>
          <w:lang w:val="en-US" w:eastAsia="zh-CN"/>
        </w:rPr>
        <w:t>30</w:t>
      </w:r>
      <w:r>
        <w:rPr>
          <w:rFonts w:hint="eastAsia" w:ascii="宋体" w:hAnsi="宋体" w:eastAsia="宋体" w:cs="宋体"/>
          <w:color w:val="auto"/>
          <w:sz w:val="24"/>
          <w:highlight w:val="none"/>
          <w:lang w:val="en-US" w:eastAsia="zh-CN"/>
        </w:rPr>
        <w:t>.6.6</w:t>
      </w:r>
      <w:r>
        <w:rPr>
          <w:rFonts w:hint="eastAsia" w:ascii="宋体" w:hAnsi="宋体" w:eastAsia="宋体" w:cs="宋体"/>
          <w:color w:val="auto"/>
          <w:sz w:val="24"/>
          <w:highlight w:val="none"/>
        </w:rPr>
        <w:t>以非法手段取得证据、材料的；</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 w:val="0"/>
          <w:bCs w:val="0"/>
          <w:sz w:val="24"/>
          <w:szCs w:val="24"/>
          <w:highlight w:val="none"/>
          <w:lang w:val="en-US" w:eastAsia="zh-CN"/>
        </w:rPr>
        <w:t>30</w:t>
      </w:r>
      <w:r>
        <w:rPr>
          <w:rFonts w:hint="eastAsia" w:ascii="宋体" w:hAnsi="宋体" w:eastAsia="宋体" w:cs="宋体"/>
          <w:color w:val="auto"/>
          <w:sz w:val="24"/>
          <w:highlight w:val="none"/>
          <w:lang w:val="en-US" w:eastAsia="zh-CN"/>
        </w:rPr>
        <w:t>.6.7</w:t>
      </w:r>
      <w:r>
        <w:rPr>
          <w:rFonts w:hint="eastAsia" w:ascii="宋体" w:hAnsi="宋体" w:eastAsia="宋体" w:cs="宋体"/>
          <w:color w:val="auto"/>
          <w:sz w:val="24"/>
          <w:highlight w:val="none"/>
        </w:rPr>
        <w:t>质疑答复后，同一质疑人就同一事项</w:t>
      </w:r>
      <w:r>
        <w:rPr>
          <w:rFonts w:hint="eastAsia" w:ascii="宋体" w:hAnsi="宋体" w:eastAsia="宋体" w:cs="宋体"/>
          <w:color w:val="auto"/>
          <w:sz w:val="24"/>
          <w:highlight w:val="none"/>
          <w:lang w:eastAsia="zh-CN"/>
        </w:rPr>
        <w:t>或</w:t>
      </w:r>
      <w:r>
        <w:rPr>
          <w:rFonts w:hint="eastAsia" w:ascii="宋体" w:hAnsi="宋体" w:eastAsia="宋体" w:cs="宋体"/>
          <w:color w:val="auto"/>
          <w:sz w:val="24"/>
          <w:highlight w:val="none"/>
          <w:lang w:val="en-US" w:eastAsia="zh-CN"/>
        </w:rPr>
        <w:t>同一采购程序环节</w:t>
      </w:r>
      <w:r>
        <w:rPr>
          <w:rFonts w:hint="eastAsia" w:ascii="宋体" w:hAnsi="宋体" w:eastAsia="宋体" w:cs="宋体"/>
          <w:color w:val="auto"/>
          <w:sz w:val="24"/>
          <w:highlight w:val="none"/>
        </w:rPr>
        <w:t>再次提出质疑的；</w:t>
      </w:r>
    </w:p>
    <w:p>
      <w:pPr>
        <w:widowControl/>
        <w:spacing w:line="360" w:lineRule="auto"/>
        <w:ind w:firstLine="480" w:firstLineChars="200"/>
        <w:rPr>
          <w:rStyle w:val="31"/>
          <w:rFonts w:hint="eastAsia" w:ascii="宋体" w:hAnsi="宋体" w:eastAsia="宋体" w:cs="宋体"/>
          <w:b w:val="0"/>
          <w:bCs/>
          <w:i w:val="0"/>
          <w:caps w:val="0"/>
          <w:color w:val="auto"/>
          <w:spacing w:val="0"/>
          <w:sz w:val="24"/>
          <w:szCs w:val="24"/>
          <w:highlight w:val="none"/>
          <w:shd w:val="clear" w:color="auto" w:fill="FFFFFF"/>
          <w:lang w:eastAsia="zh-CN"/>
        </w:rPr>
      </w:pPr>
      <w:r>
        <w:rPr>
          <w:rFonts w:hint="eastAsia" w:ascii="宋体" w:hAnsi="宋体" w:eastAsia="宋体" w:cs="宋体"/>
          <w:b w:val="0"/>
          <w:bCs w:val="0"/>
          <w:sz w:val="24"/>
          <w:szCs w:val="24"/>
          <w:highlight w:val="none"/>
          <w:lang w:val="en-US" w:eastAsia="zh-CN"/>
        </w:rPr>
        <w:t>30</w:t>
      </w:r>
      <w:r>
        <w:rPr>
          <w:rFonts w:hint="eastAsia" w:ascii="宋体" w:hAnsi="宋体" w:eastAsia="宋体" w:cs="宋体"/>
          <w:color w:val="auto"/>
          <w:sz w:val="24"/>
          <w:highlight w:val="none"/>
          <w:lang w:val="en-US" w:eastAsia="zh-CN"/>
        </w:rPr>
        <w:t>.6.8</w:t>
      </w:r>
      <w:r>
        <w:rPr>
          <w:rFonts w:hint="eastAsia" w:ascii="宋体" w:hAnsi="宋体" w:eastAsia="宋体" w:cs="宋体"/>
          <w:color w:val="auto"/>
          <w:sz w:val="24"/>
          <w:highlight w:val="none"/>
        </w:rPr>
        <w:t>不符合法律、法规、规章和政府采购监管机构规定的其他条件的。</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12" w:rightChars="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val="0"/>
          <w:bCs w:val="0"/>
          <w:sz w:val="24"/>
          <w:szCs w:val="24"/>
          <w:highlight w:val="none"/>
          <w:lang w:val="en-US" w:eastAsia="zh-CN"/>
        </w:rPr>
        <w:t>30</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质疑答复</w:t>
      </w:r>
    </w:p>
    <w:p>
      <w:pPr>
        <w:pStyle w:val="41"/>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sz w:val="24"/>
          <w:szCs w:val="24"/>
          <w:highlight w:val="none"/>
          <w:lang w:val="en-US" w:eastAsia="zh-CN"/>
        </w:rPr>
        <w:t>30</w:t>
      </w:r>
      <w:r>
        <w:rPr>
          <w:rFonts w:hint="eastAsia" w:ascii="宋体" w:hAnsi="宋体" w:eastAsia="宋体" w:cs="宋体"/>
          <w:color w:val="auto"/>
          <w:sz w:val="24"/>
          <w:szCs w:val="24"/>
          <w:highlight w:val="none"/>
          <w:lang w:val="en-US" w:eastAsia="zh-CN"/>
        </w:rPr>
        <w:t>.7.1采购人或采购代理机构</w:t>
      </w:r>
      <w:r>
        <w:rPr>
          <w:rFonts w:hint="eastAsia" w:ascii="宋体" w:hAnsi="宋体" w:eastAsia="宋体" w:cs="宋体"/>
          <w:color w:val="auto"/>
          <w:sz w:val="24"/>
          <w:szCs w:val="24"/>
          <w:highlight w:val="none"/>
        </w:rPr>
        <w:t>在收到质疑函后7个工作日内作出答复，并以书面形式通知质疑</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和其他有关</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pPr>
        <w:pStyle w:val="41"/>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sz w:val="24"/>
          <w:szCs w:val="24"/>
          <w:highlight w:val="none"/>
          <w:lang w:val="en-US" w:eastAsia="zh-CN"/>
        </w:rPr>
        <w:t>30</w:t>
      </w:r>
      <w:r>
        <w:rPr>
          <w:rFonts w:hint="eastAsia" w:ascii="宋体" w:hAnsi="宋体" w:eastAsia="宋体" w:cs="宋体"/>
          <w:color w:val="auto"/>
          <w:sz w:val="24"/>
          <w:szCs w:val="24"/>
          <w:highlight w:val="none"/>
          <w:lang w:val="en-US" w:eastAsia="zh-CN"/>
        </w:rPr>
        <w:t>.7.2质疑供应商对采购人、采购代理机构的答复不满意，或者采购人、采购代理机构未在规定时间内作出答复的，可以在答复期满后15个工作日内向</w:t>
      </w:r>
      <w:r>
        <w:rPr>
          <w:rFonts w:hint="eastAsia" w:ascii="宋体" w:hAnsi="宋体" w:eastAsia="宋体" w:cs="宋体"/>
          <w:b/>
          <w:bCs/>
          <w:color w:val="auto"/>
          <w:sz w:val="24"/>
          <w:szCs w:val="24"/>
          <w:highlight w:val="none"/>
          <w:lang w:val="en-US" w:eastAsia="zh-CN"/>
        </w:rPr>
        <w:t>西安市</w:t>
      </w:r>
      <w:r>
        <w:rPr>
          <w:rFonts w:hint="eastAsia" w:ascii="宋体" w:hAnsi="宋体" w:cs="宋体"/>
          <w:b/>
          <w:bCs/>
          <w:color w:val="auto"/>
          <w:sz w:val="24"/>
          <w:szCs w:val="24"/>
          <w:highlight w:val="none"/>
          <w:lang w:val="en-US" w:eastAsia="zh-CN"/>
        </w:rPr>
        <w:t>碑林区</w:t>
      </w:r>
      <w:r>
        <w:rPr>
          <w:rFonts w:hint="eastAsia" w:ascii="宋体" w:hAnsi="宋体" w:eastAsia="宋体" w:cs="宋体"/>
          <w:b/>
          <w:bCs/>
          <w:color w:val="auto"/>
          <w:sz w:val="24"/>
          <w:szCs w:val="24"/>
          <w:highlight w:val="none"/>
          <w:lang w:val="en-US" w:eastAsia="zh-CN"/>
        </w:rPr>
        <w:t>财政局</w:t>
      </w:r>
      <w:r>
        <w:rPr>
          <w:rFonts w:hint="eastAsia" w:ascii="宋体" w:hAnsi="宋体" w:eastAsia="宋体" w:cs="宋体"/>
          <w:color w:val="auto"/>
          <w:sz w:val="24"/>
          <w:szCs w:val="24"/>
          <w:highlight w:val="none"/>
          <w:lang w:val="en-US" w:eastAsia="zh-CN"/>
        </w:rPr>
        <w:t>提起投诉。</w:t>
      </w:r>
    </w:p>
    <w:p>
      <w:pPr>
        <w:pStyle w:val="41"/>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sz w:val="24"/>
          <w:szCs w:val="24"/>
          <w:highlight w:val="none"/>
          <w:lang w:val="en-US" w:eastAsia="zh-CN"/>
        </w:rPr>
        <w:t>30</w:t>
      </w:r>
      <w:r>
        <w:rPr>
          <w:rFonts w:hint="eastAsia" w:ascii="宋体" w:hAnsi="宋体" w:eastAsia="宋体" w:cs="宋体"/>
          <w:color w:val="auto"/>
          <w:sz w:val="24"/>
          <w:szCs w:val="24"/>
          <w:highlight w:val="none"/>
          <w:lang w:val="en-US" w:eastAsia="zh-CN"/>
        </w:rPr>
        <w:t>.8其他需要说明的事项</w:t>
      </w:r>
    </w:p>
    <w:p>
      <w:pPr>
        <w:pStyle w:val="41"/>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sz w:val="24"/>
          <w:szCs w:val="24"/>
          <w:highlight w:val="none"/>
          <w:lang w:val="en-US" w:eastAsia="zh-CN"/>
        </w:rPr>
        <w:t>30</w:t>
      </w:r>
      <w:r>
        <w:rPr>
          <w:rFonts w:hint="eastAsia" w:ascii="宋体" w:hAnsi="宋体" w:eastAsia="宋体" w:cs="宋体"/>
          <w:color w:val="auto"/>
          <w:sz w:val="24"/>
          <w:szCs w:val="24"/>
          <w:highlight w:val="none"/>
          <w:lang w:val="en-US" w:eastAsia="zh-CN"/>
        </w:rPr>
        <w:t>.8.1质疑函须按财政部《质疑函范本》给定的格式进行填写，范本下载详见【财政部国库司（gks.mof.gov.cn）】网站〖首页·政府采购管理〗栏目中的《政府采购供应商质疑函范本》。《政府采购供应商质疑函范本》链接地址：</w:t>
      </w:r>
    </w:p>
    <w:p>
      <w:pPr>
        <w:pStyle w:val="41"/>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fldChar w:fldCharType="begin"/>
      </w:r>
      <w:r>
        <w:rPr>
          <w:rFonts w:hint="eastAsia" w:ascii="宋体" w:hAnsi="宋体" w:eastAsia="宋体" w:cs="宋体"/>
          <w:b/>
          <w:bCs/>
          <w:color w:val="auto"/>
          <w:sz w:val="24"/>
          <w:szCs w:val="24"/>
          <w:highlight w:val="none"/>
          <w:lang w:val="en-US" w:eastAsia="zh-CN"/>
        </w:rPr>
        <w:instrText xml:space="preserve"> HYPERLINK "http://gks.mof.gov.cn/ztztz/zhengfucaigouguanli/201802/t20180201_2804589.htm" </w:instrText>
      </w:r>
      <w:r>
        <w:rPr>
          <w:rFonts w:hint="eastAsia" w:ascii="宋体" w:hAnsi="宋体" w:eastAsia="宋体" w:cs="宋体"/>
          <w:b/>
          <w:bCs/>
          <w:color w:val="auto"/>
          <w:sz w:val="24"/>
          <w:szCs w:val="24"/>
          <w:highlight w:val="none"/>
          <w:lang w:val="en-US" w:eastAsia="zh-CN"/>
        </w:rPr>
        <w:fldChar w:fldCharType="separate"/>
      </w:r>
      <w:r>
        <w:rPr>
          <w:rStyle w:val="34"/>
          <w:rFonts w:hint="eastAsia" w:ascii="宋体" w:hAnsi="宋体" w:eastAsia="宋体" w:cs="宋体"/>
          <w:b/>
          <w:bCs/>
          <w:color w:val="auto"/>
          <w:sz w:val="24"/>
          <w:szCs w:val="24"/>
          <w:highlight w:val="none"/>
          <w:lang w:val="en-US" w:eastAsia="zh-CN"/>
        </w:rPr>
        <w:t>http://gks.mof.gov.cn/ztztz/zhengfucaigouguanli/201802/t20180201_2804589.htm</w:t>
      </w:r>
      <w:r>
        <w:rPr>
          <w:rFonts w:hint="eastAsia" w:ascii="宋体" w:hAnsi="宋体" w:eastAsia="宋体" w:cs="宋体"/>
          <w:b/>
          <w:bCs/>
          <w:color w:val="auto"/>
          <w:sz w:val="24"/>
          <w:szCs w:val="24"/>
          <w:highlight w:val="none"/>
          <w:lang w:val="en-US" w:eastAsia="zh-CN"/>
        </w:rPr>
        <w:fldChar w:fldCharType="end"/>
      </w:r>
    </w:p>
    <w:p>
      <w:pPr>
        <w:pStyle w:val="41"/>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sz w:val="24"/>
          <w:szCs w:val="24"/>
          <w:highlight w:val="none"/>
          <w:lang w:val="en-US" w:eastAsia="zh-CN"/>
        </w:rPr>
        <w:t>30</w:t>
      </w:r>
      <w:r>
        <w:rPr>
          <w:rFonts w:hint="eastAsia" w:ascii="宋体" w:hAnsi="宋体" w:eastAsia="宋体" w:cs="宋体"/>
          <w:color w:val="auto"/>
          <w:sz w:val="24"/>
          <w:szCs w:val="24"/>
          <w:highlight w:val="none"/>
          <w:lang w:val="en-US" w:eastAsia="zh-CN"/>
        </w:rPr>
        <w:t>.8.2接收质疑函的方式：书面形式</w:t>
      </w:r>
    </w:p>
    <w:p>
      <w:pPr>
        <w:pStyle w:val="41"/>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sz w:val="24"/>
          <w:szCs w:val="24"/>
          <w:highlight w:val="none"/>
          <w:lang w:val="en-US" w:eastAsia="zh-CN"/>
        </w:rPr>
        <w:t>30</w:t>
      </w:r>
      <w:r>
        <w:rPr>
          <w:rFonts w:hint="eastAsia" w:ascii="宋体" w:hAnsi="宋体" w:eastAsia="宋体" w:cs="宋体"/>
          <w:color w:val="auto"/>
          <w:sz w:val="24"/>
          <w:szCs w:val="24"/>
          <w:highlight w:val="none"/>
          <w:lang w:val="en-US" w:eastAsia="zh-CN"/>
        </w:rPr>
        <w:t>.8.3联系部门：</w:t>
      </w:r>
      <w:r>
        <w:rPr>
          <w:rFonts w:hint="eastAsia" w:ascii="宋体" w:hAnsi="宋体" w:eastAsia="宋体" w:cs="宋体"/>
          <w:sz w:val="24"/>
          <w:szCs w:val="24"/>
          <w:highlight w:val="none"/>
        </w:rPr>
        <w:t>陕西嘉唐建设项目管理有限公司</w:t>
      </w:r>
    </w:p>
    <w:p>
      <w:pPr>
        <w:pStyle w:val="41"/>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sz w:val="24"/>
          <w:szCs w:val="24"/>
          <w:highlight w:val="none"/>
          <w:lang w:val="en-US" w:eastAsia="zh-CN"/>
        </w:rPr>
        <w:t>30</w:t>
      </w:r>
      <w:r>
        <w:rPr>
          <w:rFonts w:hint="eastAsia" w:ascii="宋体" w:hAnsi="宋体" w:eastAsia="宋体" w:cs="宋体"/>
          <w:color w:val="auto"/>
          <w:sz w:val="24"/>
          <w:szCs w:val="24"/>
          <w:highlight w:val="none"/>
          <w:lang w:val="en-US" w:eastAsia="zh-CN"/>
        </w:rPr>
        <w:t>.8.4联系电话：</w:t>
      </w:r>
      <w:r>
        <w:rPr>
          <w:rFonts w:hint="eastAsia" w:ascii="宋体" w:hAnsi="宋体" w:eastAsia="宋体" w:cs="宋体"/>
          <w:sz w:val="24"/>
          <w:szCs w:val="24"/>
          <w:highlight w:val="none"/>
        </w:rPr>
        <w:t>029-89351397</w:t>
      </w:r>
    </w:p>
    <w:p>
      <w:pPr>
        <w:pStyle w:val="41"/>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399" w:leftChars="228" w:right="0" w:rightChars="0" w:hanging="1920" w:hangingChars="800"/>
        <w:jc w:val="left"/>
        <w:textAlignment w:val="auto"/>
        <w:outlineLvl w:val="9"/>
        <w:rPr>
          <w:rFonts w:hint="eastAsia" w:ascii="宋体" w:hAnsi="宋体" w:eastAsia="宋体" w:cs="宋体"/>
          <w:color w:val="auto"/>
          <w:szCs w:val="24"/>
          <w:highlight w:val="none"/>
        </w:rPr>
      </w:pPr>
      <w:r>
        <w:rPr>
          <w:rFonts w:hint="eastAsia" w:ascii="宋体" w:hAnsi="宋体" w:eastAsia="宋体" w:cs="宋体"/>
          <w:b w:val="0"/>
          <w:bCs w:val="0"/>
          <w:sz w:val="24"/>
          <w:szCs w:val="24"/>
          <w:highlight w:val="none"/>
          <w:lang w:val="en-US" w:eastAsia="zh-CN"/>
        </w:rPr>
        <w:t>30</w:t>
      </w:r>
      <w:r>
        <w:rPr>
          <w:rFonts w:hint="eastAsia" w:ascii="宋体" w:hAnsi="宋体" w:eastAsia="宋体" w:cs="宋体"/>
          <w:color w:val="auto"/>
          <w:sz w:val="24"/>
          <w:szCs w:val="24"/>
          <w:highlight w:val="none"/>
          <w:lang w:val="en-US" w:eastAsia="zh-CN"/>
        </w:rPr>
        <w:t>.8.5通讯地址：</w:t>
      </w:r>
      <w:r>
        <w:rPr>
          <w:rFonts w:hint="eastAsia" w:ascii="宋体" w:hAnsi="宋体" w:eastAsia="宋体" w:cs="宋体"/>
          <w:sz w:val="24"/>
          <w:szCs w:val="24"/>
          <w:highlight w:val="none"/>
        </w:rPr>
        <w:t>西安市</w:t>
      </w:r>
      <w:r>
        <w:rPr>
          <w:rFonts w:hint="eastAsia" w:ascii="宋体" w:hAnsi="宋体" w:eastAsia="宋体" w:cs="宋体"/>
          <w:sz w:val="24"/>
          <w:szCs w:val="24"/>
          <w:highlight w:val="none"/>
          <w:lang w:eastAsia="zh-CN"/>
        </w:rPr>
        <w:t>未央区凤城五路与明光路十字天朗经开中心</w:t>
      </w:r>
      <w:r>
        <w:rPr>
          <w:rFonts w:hint="eastAsia" w:ascii="宋体" w:hAnsi="宋体" w:eastAsia="宋体" w:cs="宋体"/>
          <w:sz w:val="24"/>
          <w:szCs w:val="24"/>
          <w:highlight w:val="none"/>
          <w:lang w:val="en-US" w:eastAsia="zh-CN"/>
        </w:rPr>
        <w:t>11002室</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31</w:t>
      </w:r>
      <w:r>
        <w:rPr>
          <w:rFonts w:hint="eastAsia" w:ascii="宋体" w:hAnsi="宋体" w:eastAsia="宋体" w:cs="宋体"/>
          <w:b/>
          <w:sz w:val="24"/>
          <w:szCs w:val="24"/>
          <w:highlight w:val="none"/>
        </w:rPr>
        <w:t>.其他</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.1谈判步骤为：第一次报价---分别谈判---第二次报价---评审推荐</w:t>
      </w:r>
      <w:r>
        <w:rPr>
          <w:rFonts w:hint="eastAsia" w:ascii="宋体" w:hAnsi="宋体" w:eastAsia="宋体" w:cs="宋体"/>
          <w:sz w:val="24"/>
          <w:szCs w:val="24"/>
          <w:highlight w:val="none"/>
          <w:lang w:eastAsia="zh-CN"/>
        </w:rPr>
        <w:t>成交供应商</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谈判响应文件</w:t>
      </w:r>
      <w:r>
        <w:rPr>
          <w:rFonts w:hint="eastAsia" w:ascii="宋体" w:hAnsi="宋体" w:eastAsia="宋体" w:cs="宋体"/>
          <w:color w:val="auto"/>
          <w:sz w:val="24"/>
          <w:szCs w:val="24"/>
          <w:highlight w:val="none"/>
        </w:rPr>
        <w:t>拆封时的价格为第一次报价，无效</w:t>
      </w:r>
      <w:r>
        <w:rPr>
          <w:rFonts w:hint="eastAsia" w:ascii="宋体" w:hAnsi="宋体" w:eastAsia="宋体" w:cs="宋体"/>
          <w:color w:val="auto"/>
          <w:sz w:val="24"/>
          <w:szCs w:val="24"/>
          <w:highlight w:val="none"/>
          <w:lang w:eastAsia="zh-CN"/>
        </w:rPr>
        <w:t>谈判供应商</w:t>
      </w:r>
      <w:r>
        <w:rPr>
          <w:rFonts w:hint="eastAsia" w:ascii="宋体" w:hAnsi="宋体" w:eastAsia="宋体" w:cs="宋体"/>
          <w:color w:val="auto"/>
          <w:sz w:val="24"/>
          <w:szCs w:val="24"/>
          <w:highlight w:val="none"/>
        </w:rPr>
        <w:t>将不得进入</w:t>
      </w:r>
      <w:r>
        <w:rPr>
          <w:rFonts w:hint="eastAsia" w:ascii="宋体" w:hAnsi="宋体" w:eastAsia="宋体" w:cs="宋体"/>
          <w:color w:val="auto"/>
          <w:sz w:val="24"/>
          <w:szCs w:val="24"/>
          <w:highlight w:val="none"/>
          <w:lang w:eastAsia="zh-CN"/>
        </w:rPr>
        <w:t>第二次</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.2当第二次报价全部超过</w:t>
      </w:r>
      <w:r>
        <w:rPr>
          <w:rFonts w:hint="eastAsia" w:ascii="宋体" w:hAnsi="宋体" w:eastAsia="宋体" w:cs="宋体"/>
          <w:sz w:val="24"/>
          <w:highlight w:val="none"/>
          <w:lang w:eastAsia="zh-CN"/>
        </w:rPr>
        <w:t>谈判文件规定的采购预算（或最高限价）</w:t>
      </w:r>
      <w:r>
        <w:rPr>
          <w:rFonts w:hint="eastAsia" w:ascii="宋体" w:hAnsi="宋体" w:eastAsia="宋体" w:cs="宋体"/>
          <w:sz w:val="24"/>
          <w:highlight w:val="none"/>
        </w:rPr>
        <w:t>或均低于公认的制作成本时，谈判小组有权决定是否谈判失败或进行第三次报价。当第三次报价若超出财政预算，且采购人又无力支付，谈判小组有权决定谈判失败。</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pacing w:val="5"/>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.3</w:t>
      </w:r>
      <w:r>
        <w:rPr>
          <w:rFonts w:hint="eastAsia" w:ascii="宋体" w:hAnsi="宋体" w:eastAsia="宋体" w:cs="宋体"/>
          <w:spacing w:val="5"/>
          <w:sz w:val="24"/>
          <w:highlight w:val="none"/>
        </w:rPr>
        <w:t>在采购过程中符合竞争要求的供应商不足3家的，且采购单位或谈判小组不推荐的，须终止</w:t>
      </w:r>
      <w:r>
        <w:rPr>
          <w:rFonts w:hint="eastAsia" w:ascii="宋体" w:hAnsi="宋体" w:eastAsia="宋体" w:cs="宋体"/>
          <w:spacing w:val="5"/>
          <w:sz w:val="24"/>
          <w:highlight w:val="none"/>
          <w:lang w:eastAsia="zh-CN"/>
        </w:rPr>
        <w:t>谈判</w:t>
      </w:r>
      <w:r>
        <w:rPr>
          <w:rFonts w:hint="eastAsia" w:ascii="宋体" w:hAnsi="宋体" w:eastAsia="宋体" w:cs="宋体"/>
          <w:spacing w:val="5"/>
          <w:sz w:val="24"/>
          <w:highlight w:val="none"/>
        </w:rPr>
        <w:t>采购活动，发布项目终止公告并说明原因，重新开展采购活动。</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4成交供应商确定后，成交供应商无正当理由拖延或拒签合同的，或未能按照规定的时间提供履约担保，采购人有权取消其成交资格，并按评审顺序重新确定成交供应商。同时报请监督机构予以通报，禁止其进入政府采购市场。给采购人造成损失的，还应当对超过部分予以赔偿，并依法承担相应法律责任。</w:t>
      </w:r>
    </w:p>
    <w:p>
      <w:pPr>
        <w:pStyle w:val="3"/>
        <w:jc w:val="both"/>
        <w:outlineLvl w:val="9"/>
        <w:rPr>
          <w:rFonts w:hint="eastAsia" w:ascii="宋体" w:hAnsi="宋体" w:eastAsia="宋体" w:cs="宋体"/>
          <w:b/>
          <w:bCs/>
          <w:sz w:val="36"/>
          <w:szCs w:val="36"/>
          <w:highlight w:val="none"/>
        </w:rPr>
      </w:pPr>
      <w:bookmarkStart w:id="22" w:name="_Toc31299"/>
      <w:bookmarkStart w:id="23" w:name="_Toc20645"/>
      <w:bookmarkStart w:id="24" w:name="_Toc409690876"/>
      <w:bookmarkStart w:id="25" w:name="_Toc8912"/>
      <w:bookmarkStart w:id="26" w:name="_Toc425781309"/>
      <w:bookmarkStart w:id="27" w:name="_Toc405358615"/>
      <w:bookmarkStart w:id="28" w:name="_Toc7665"/>
      <w:bookmarkStart w:id="29" w:name="_Toc25472"/>
      <w:bookmarkStart w:id="30" w:name="_Toc75232033"/>
      <w:bookmarkStart w:id="31" w:name="_Toc409690877"/>
      <w:bookmarkStart w:id="32" w:name="_Toc19921"/>
    </w:p>
    <w:p>
      <w:pP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br w:type="page"/>
      </w:r>
    </w:p>
    <w:p>
      <w:pPr>
        <w:pStyle w:val="3"/>
        <w:jc w:val="center"/>
        <w:rPr>
          <w:rFonts w:hint="eastAsia" w:ascii="宋体" w:hAnsi="宋体" w:eastAsia="宋体" w:cs="宋体"/>
          <w:b/>
          <w:bCs/>
          <w:sz w:val="36"/>
          <w:szCs w:val="36"/>
          <w:highlight w:val="none"/>
        </w:rPr>
      </w:pPr>
      <w:bookmarkStart w:id="33" w:name="_Toc23782"/>
      <w:r>
        <w:rPr>
          <w:rFonts w:hint="eastAsia" w:ascii="宋体" w:hAnsi="宋体" w:eastAsia="宋体" w:cs="宋体"/>
          <w:b/>
          <w:bCs/>
          <w:sz w:val="36"/>
          <w:szCs w:val="36"/>
          <w:highlight w:val="none"/>
        </w:rPr>
        <w:t>第三章 合同条款</w:t>
      </w:r>
      <w:bookmarkEnd w:id="22"/>
      <w:bookmarkEnd w:id="23"/>
      <w:bookmarkEnd w:id="24"/>
      <w:r>
        <w:rPr>
          <w:rFonts w:hint="eastAsia" w:ascii="宋体" w:hAnsi="宋体" w:eastAsia="宋体" w:cs="宋体"/>
          <w:b/>
          <w:bCs/>
          <w:sz w:val="36"/>
          <w:szCs w:val="36"/>
          <w:highlight w:val="none"/>
        </w:rPr>
        <w:t>及格式</w:t>
      </w:r>
      <w:bookmarkEnd w:id="25"/>
      <w:bookmarkEnd w:id="26"/>
      <w:bookmarkEnd w:id="33"/>
    </w:p>
    <w:p>
      <w:pPr>
        <w:pStyle w:val="4"/>
        <w:jc w:val="center"/>
        <w:rPr>
          <w:rFonts w:hint="eastAsia" w:ascii="宋体" w:hAnsi="宋体" w:eastAsia="宋体" w:cs="宋体"/>
          <w:highlight w:val="none"/>
        </w:rPr>
      </w:pPr>
      <w:bookmarkStart w:id="34" w:name="_Toc31424"/>
      <w:bookmarkStart w:id="35" w:name="_Toc425781310"/>
      <w:r>
        <w:rPr>
          <w:rFonts w:hint="eastAsia" w:ascii="宋体" w:hAnsi="宋体" w:eastAsia="宋体" w:cs="宋体"/>
          <w:highlight w:val="none"/>
        </w:rPr>
        <w:t>合同</w:t>
      </w:r>
      <w:bookmarkEnd w:id="27"/>
      <w:r>
        <w:rPr>
          <w:rFonts w:hint="eastAsia" w:ascii="宋体" w:hAnsi="宋体" w:eastAsia="宋体" w:cs="宋体"/>
          <w:highlight w:val="none"/>
        </w:rPr>
        <w:t>前附表</w:t>
      </w:r>
      <w:bookmarkEnd w:id="34"/>
      <w:bookmarkEnd w:id="35"/>
    </w:p>
    <w:p>
      <w:pPr>
        <w:ind w:firstLine="960" w:firstLineChars="4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本表是对合同条款的具体补充和修改，如有矛盾，应以本资料表为准。</w:t>
      </w:r>
    </w:p>
    <w:tbl>
      <w:tblPr>
        <w:tblStyle w:val="28"/>
        <w:tblW w:w="907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6"/>
        <w:gridCol w:w="80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1" w:hRule="atLeast"/>
          <w:tblHeader/>
        </w:trPr>
        <w:tc>
          <w:tcPr>
            <w:tcW w:w="99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条款号</w:t>
            </w:r>
          </w:p>
        </w:tc>
        <w:tc>
          <w:tcPr>
            <w:tcW w:w="807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31" w:hRule="exact"/>
        </w:trPr>
        <w:tc>
          <w:tcPr>
            <w:tcW w:w="996" w:type="dxa"/>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8075" w:type="dxa"/>
            <w:vAlign w:val="center"/>
          </w:tcPr>
          <w:p>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采购</w:t>
            </w:r>
            <w:r>
              <w:rPr>
                <w:rFonts w:hint="eastAsia" w:ascii="宋体" w:hAnsi="宋体" w:eastAsia="宋体" w:cs="宋体"/>
                <w:sz w:val="24"/>
                <w:szCs w:val="24"/>
                <w:highlight w:val="none"/>
                <w:lang w:eastAsia="zh-CN"/>
              </w:rPr>
              <w:t>人</w:t>
            </w:r>
            <w:r>
              <w:rPr>
                <w:rFonts w:hint="eastAsia" w:ascii="宋体" w:hAnsi="宋体" w:eastAsia="宋体" w:cs="宋体"/>
                <w:sz w:val="24"/>
                <w:szCs w:val="24"/>
                <w:highlight w:val="none"/>
              </w:rPr>
              <w:t>名称：</w:t>
            </w:r>
            <w:r>
              <w:rPr>
                <w:rFonts w:hint="eastAsia" w:ascii="宋体" w:hAnsi="宋体" w:cs="宋体"/>
                <w:sz w:val="24"/>
                <w:szCs w:val="24"/>
                <w:highlight w:val="none"/>
                <w:lang w:eastAsia="zh-CN"/>
              </w:rPr>
              <w:t>西安市第八十六中学</w:t>
            </w:r>
          </w:p>
          <w:p>
            <w:pPr>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地</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址：</w:t>
            </w:r>
            <w:r>
              <w:rPr>
                <w:rFonts w:hint="eastAsia" w:ascii="宋体" w:hAnsi="宋体" w:cs="宋体"/>
                <w:sz w:val="24"/>
                <w:szCs w:val="24"/>
                <w:highlight w:val="none"/>
                <w:lang w:eastAsia="zh-CN"/>
              </w:rPr>
              <w:t>西安市碑林区明胜街65号</w:t>
            </w:r>
          </w:p>
          <w:p>
            <w:pPr>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r>
              <w:rPr>
                <w:rFonts w:hint="eastAsia" w:ascii="宋体" w:hAnsi="宋体" w:cs="宋体"/>
                <w:sz w:val="24"/>
                <w:szCs w:val="24"/>
                <w:highlight w:val="none"/>
                <w:lang w:eastAsia="zh-CN"/>
              </w:rPr>
              <w:t>西安市第八十六中学化学吊装实验室项目</w:t>
            </w:r>
          </w:p>
          <w:p>
            <w:pPr>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资金来源：财政资金，资金已落实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2" w:hRule="exact"/>
        </w:trPr>
        <w:tc>
          <w:tcPr>
            <w:tcW w:w="996" w:type="dxa"/>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8075" w:type="dxa"/>
            <w:vAlign w:val="center"/>
          </w:tcPr>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交货期：</w:t>
            </w:r>
            <w:r>
              <w:rPr>
                <w:rFonts w:hint="eastAsia" w:ascii="宋体" w:hAnsi="宋体" w:cs="宋体"/>
                <w:sz w:val="24"/>
                <w:szCs w:val="24"/>
                <w:highlight w:val="none"/>
                <w:lang w:val="en-US" w:eastAsia="zh-CN"/>
              </w:rPr>
              <w:t>25个日历日</w:t>
            </w:r>
            <w:r>
              <w:rPr>
                <w:rFonts w:hint="eastAsia" w:ascii="宋体" w:hAnsi="宋体" w:eastAsia="宋体" w:cs="宋体"/>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exact"/>
        </w:trPr>
        <w:tc>
          <w:tcPr>
            <w:tcW w:w="996" w:type="dxa"/>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8075" w:type="dxa"/>
            <w:vAlign w:val="center"/>
          </w:tcPr>
          <w:p>
            <w:pPr>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交货地点：采购人指定交货地点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trPr>
        <w:tc>
          <w:tcPr>
            <w:tcW w:w="996" w:type="dxa"/>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8075" w:type="dxa"/>
            <w:vAlign w:val="center"/>
          </w:tcPr>
          <w:p>
            <w:pPr>
              <w:pStyle w:val="44"/>
              <w:spacing w:line="360" w:lineRule="auto"/>
              <w:ind w:firstLine="0" w:firstLineChars="0"/>
              <w:jc w:val="left"/>
              <w:rPr>
                <w:rFonts w:hint="eastAsia" w:ascii="宋体" w:hAnsi="宋体" w:eastAsia="宋体" w:cs="宋体"/>
                <w:highlight w:val="none"/>
              </w:rPr>
            </w:pPr>
            <w:r>
              <w:rPr>
                <w:rFonts w:hint="eastAsia" w:ascii="宋体" w:hAnsi="宋体" w:eastAsia="宋体" w:cs="宋体"/>
                <w:highlight w:val="none"/>
              </w:rPr>
              <w:t>质保期:自终验合格之日起开始计算，质保</w:t>
            </w:r>
            <w:r>
              <w:rPr>
                <w:rFonts w:hint="eastAsia" w:ascii="宋体" w:hAnsi="宋体" w:eastAsia="宋体" w:cs="宋体"/>
                <w:highlight w:val="none"/>
                <w:lang w:eastAsia="zh-CN"/>
              </w:rPr>
              <w:t>期</w:t>
            </w:r>
            <w:r>
              <w:rPr>
                <w:rFonts w:hint="eastAsia" w:ascii="宋体" w:hAnsi="宋体" w:eastAsia="宋体" w:cs="宋体"/>
                <w:highlight w:val="none"/>
                <w:lang w:val="en-US" w:eastAsia="zh-CN"/>
              </w:rPr>
              <w:t>1</w:t>
            </w:r>
            <w:r>
              <w:rPr>
                <w:rFonts w:hint="eastAsia" w:ascii="宋体" w:hAnsi="宋体" w:eastAsia="宋体" w:cs="宋体"/>
                <w:highlight w:val="none"/>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7" w:hRule="atLeast"/>
        </w:trPr>
        <w:tc>
          <w:tcPr>
            <w:tcW w:w="996" w:type="dxa"/>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8075" w:type="dxa"/>
            <w:vAlign w:val="center"/>
          </w:tcPr>
          <w:p>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合同总价即</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价，</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应在</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报价表中标明完成本次</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所要求的货物、服务且验收合格的所有费用，包括但不限于包括但不限于设备（产品）费、安装调试费、运杂费（含保险）、仓储保管费、验收费、招标代理服务费、税金</w:t>
            </w:r>
            <w:r>
              <w:rPr>
                <w:rFonts w:hint="eastAsia" w:ascii="宋体" w:hAnsi="宋体" w:eastAsia="宋体" w:cs="宋体"/>
                <w:sz w:val="24"/>
                <w:szCs w:val="24"/>
                <w:highlight w:val="none"/>
                <w:lang w:eastAsia="zh-CN"/>
              </w:rPr>
              <w:t>等其他一切相关费用。</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2.合同总价一次包死，不受市场价变化或实际工作量变化的影响。</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3.付款方式和程序：</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（1）由采购人负责结算，供应商必须开具全额发票给采购人（附详细清单）。</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（2）付款方式： </w:t>
            </w:r>
          </w:p>
          <w:p>
            <w:pPr>
              <w:spacing w:line="360" w:lineRule="auto"/>
              <w:ind w:firstLine="480" w:firstLineChars="200"/>
              <w:rPr>
                <w:rFonts w:hint="eastAsia" w:ascii="宋体" w:hAnsi="宋体" w:eastAsia="宋体" w:cs="宋体"/>
                <w:highlight w:val="none"/>
              </w:rPr>
            </w:pPr>
            <w:r>
              <w:rPr>
                <w:rFonts w:hint="eastAsia" w:ascii="宋体" w:hAnsi="宋体" w:eastAsia="宋体" w:cs="宋体"/>
                <w:sz w:val="24"/>
                <w:szCs w:val="24"/>
                <w:highlight w:val="none"/>
              </w:rPr>
              <w:t xml:space="preserve">全部产品配送到位、安装调试、验收合格且完成技术培训后，支付合同总价款的 </w:t>
            </w:r>
            <w:r>
              <w:rPr>
                <w:rFonts w:hint="eastAsia" w:ascii="宋体" w:hAnsi="宋体" w:cs="宋体"/>
                <w:sz w:val="24"/>
                <w:szCs w:val="24"/>
                <w:highlight w:val="none"/>
                <w:lang w:val="en-US" w:eastAsia="zh-CN"/>
              </w:rPr>
              <w:t>100</w:t>
            </w:r>
            <w:r>
              <w:rPr>
                <w:rFonts w:hint="eastAsia" w:ascii="宋体" w:hAnsi="宋体" w:eastAsia="宋体" w:cs="宋体"/>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7" w:hRule="atLeast"/>
        </w:trPr>
        <w:tc>
          <w:tcPr>
            <w:tcW w:w="996" w:type="dxa"/>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8075" w:type="dxa"/>
            <w:vAlign w:val="center"/>
          </w:tcPr>
          <w:p>
            <w:pPr>
              <w:spacing w:line="360" w:lineRule="auto"/>
              <w:rPr>
                <w:rFonts w:hint="eastAsia" w:ascii="宋体" w:hAnsi="宋体" w:eastAsia="宋体" w:cs="宋体"/>
                <w:b/>
                <w:sz w:val="24"/>
                <w:szCs w:val="24"/>
                <w:highlight w:val="none"/>
              </w:rPr>
            </w:pPr>
            <w:r>
              <w:rPr>
                <w:rFonts w:hint="eastAsia" w:ascii="宋体" w:hAnsi="宋体" w:eastAsia="宋体" w:cs="宋体"/>
                <w:b/>
                <w:kern w:val="0"/>
                <w:sz w:val="24"/>
                <w:highlight w:val="none"/>
              </w:rPr>
              <w:t>安装、调试要求：</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1.由供应商负责派技术人员到现场进行免费安装、调试至验收合格。</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2.供应商应在合同签订后一周内，向采购人提供安装、调试及试运行的进度计划表。</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供应商应在合同规定的安装调试期内完成该项工作。如因供应商责任而造成延期，每超过一天按合同总价款的（5‰）支付采购人误期赔偿金，直至交货或提供服务结束为止，所有因延期而产生的费用由供应商承担。</w:t>
            </w:r>
          </w:p>
          <w:p>
            <w:pPr>
              <w:spacing w:line="360" w:lineRule="auto"/>
              <w:jc w:val="left"/>
              <w:rPr>
                <w:rFonts w:hint="eastAsia" w:ascii="宋体" w:hAnsi="宋体" w:eastAsia="宋体" w:cs="宋体"/>
                <w:highlight w:val="none"/>
              </w:rPr>
            </w:pPr>
            <w:r>
              <w:rPr>
                <w:rFonts w:hint="eastAsia" w:ascii="宋体" w:hAnsi="宋体" w:eastAsia="宋体" w:cs="宋体"/>
                <w:sz w:val="24"/>
                <w:szCs w:val="24"/>
                <w:highlight w:val="none"/>
              </w:rPr>
              <w:t>4.安装和调试期间所发生的费用均由供应商负责。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7" w:hRule="atLeast"/>
        </w:trPr>
        <w:tc>
          <w:tcPr>
            <w:tcW w:w="996" w:type="dxa"/>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8075" w:type="dxa"/>
            <w:vAlign w:val="center"/>
          </w:tcPr>
          <w:p>
            <w:pPr>
              <w:spacing w:line="360" w:lineRule="auto"/>
              <w:rPr>
                <w:rFonts w:hint="eastAsia" w:ascii="宋体" w:hAnsi="宋体" w:eastAsia="宋体" w:cs="宋体"/>
                <w:b/>
                <w:kern w:val="0"/>
                <w:sz w:val="24"/>
                <w:highlight w:val="none"/>
              </w:rPr>
            </w:pPr>
            <w:r>
              <w:rPr>
                <w:rFonts w:hint="eastAsia" w:ascii="宋体" w:hAnsi="宋体" w:eastAsia="宋体" w:cs="宋体"/>
                <w:b/>
                <w:kern w:val="0"/>
                <w:sz w:val="24"/>
                <w:highlight w:val="none"/>
              </w:rPr>
              <w:t>技术支持：</w:t>
            </w:r>
          </w:p>
          <w:p>
            <w:pPr>
              <w:spacing w:line="360" w:lineRule="auto"/>
              <w:rPr>
                <w:rFonts w:hint="eastAsia" w:ascii="宋体" w:hAnsi="宋体" w:eastAsia="宋体" w:cs="宋体"/>
                <w:sz w:val="24"/>
                <w:szCs w:val="24"/>
                <w:highlight w:val="none"/>
              </w:rPr>
            </w:pPr>
            <w:r>
              <w:rPr>
                <w:rFonts w:hint="eastAsia" w:ascii="宋体" w:hAnsi="宋体" w:eastAsia="宋体" w:cs="宋体"/>
                <w:sz w:val="24"/>
                <w:highlight w:val="none"/>
              </w:rPr>
              <w:t>提供全年7×24小时的技术咨询服务。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2" w:hRule="atLeast"/>
        </w:trPr>
        <w:tc>
          <w:tcPr>
            <w:tcW w:w="996" w:type="dxa"/>
            <w:vAlign w:val="center"/>
          </w:tcPr>
          <w:p>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8</w:t>
            </w:r>
          </w:p>
        </w:tc>
        <w:tc>
          <w:tcPr>
            <w:tcW w:w="8075" w:type="dxa"/>
            <w:vAlign w:val="center"/>
          </w:tcPr>
          <w:p>
            <w:pPr>
              <w:spacing w:line="360" w:lineRule="auto"/>
              <w:rPr>
                <w:rFonts w:hint="eastAsia" w:ascii="宋体" w:hAnsi="宋体" w:eastAsia="宋体" w:cs="宋体"/>
                <w:b/>
                <w:kern w:val="0"/>
                <w:sz w:val="24"/>
                <w:highlight w:val="none"/>
              </w:rPr>
            </w:pPr>
            <w:r>
              <w:rPr>
                <w:rFonts w:hint="eastAsia" w:ascii="宋体" w:hAnsi="宋体" w:eastAsia="宋体" w:cs="宋体"/>
                <w:b/>
                <w:kern w:val="0"/>
                <w:sz w:val="24"/>
                <w:highlight w:val="none"/>
              </w:rPr>
              <w:t>技术资料要求：</w:t>
            </w:r>
          </w:p>
          <w:p>
            <w:pPr>
              <w:pStyle w:val="12"/>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供应商应向采购人提供全套中文技术资料一套，其费用包括在谈判报价中：</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1.完整的设备(产品)操作使用手册和维护、修理技术文件，图纸、保修卡等；</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2.制造厂的检验、测试报告、设备(产品)检验合格证书，质量保证书等文件验收时须一并提供；</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3.设备(产品)验收标准；</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4.技术说明书及必须的其它技术资料；</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5.使用说明书；</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6.系统安装，调试、维修线路图及原理图；</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7.零部件目录；</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8.备品备件、易损件清单；</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9.项目完工后提供竣工验收报告；</w:t>
            </w:r>
          </w:p>
          <w:p>
            <w:pPr>
              <w:pStyle w:val="12"/>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sz w:val="24"/>
                <w:szCs w:val="24"/>
                <w:highlight w:val="none"/>
                <w:lang w:val="en-US" w:eastAsia="zh-CN"/>
              </w:rPr>
              <w:t>10.合同中要求的其他文件资料。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1" w:hRule="atLeast"/>
        </w:trPr>
        <w:tc>
          <w:tcPr>
            <w:tcW w:w="996" w:type="dxa"/>
            <w:vAlign w:val="center"/>
          </w:tcPr>
          <w:p>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9</w:t>
            </w:r>
          </w:p>
        </w:tc>
        <w:tc>
          <w:tcPr>
            <w:tcW w:w="8075" w:type="dxa"/>
            <w:vAlign w:val="center"/>
          </w:tcPr>
          <w:p>
            <w:pPr>
              <w:pStyle w:val="12"/>
              <w:spacing w:line="360" w:lineRule="auto"/>
              <w:rPr>
                <w:rFonts w:hint="eastAsia" w:ascii="宋体" w:hAnsi="宋体" w:eastAsia="宋体" w:cs="宋体"/>
                <w:b/>
                <w:kern w:val="0"/>
                <w:sz w:val="24"/>
                <w:highlight w:val="none"/>
                <w:lang w:val="en-US" w:eastAsia="zh-CN"/>
              </w:rPr>
            </w:pPr>
            <w:r>
              <w:rPr>
                <w:rFonts w:hint="eastAsia" w:ascii="宋体" w:hAnsi="宋体" w:eastAsia="宋体" w:cs="宋体"/>
                <w:b/>
                <w:kern w:val="0"/>
                <w:sz w:val="24"/>
                <w:highlight w:val="none"/>
                <w:lang w:val="en-US" w:eastAsia="zh-CN"/>
              </w:rPr>
              <w:t>质量保证：</w:t>
            </w:r>
          </w:p>
          <w:p>
            <w:pPr>
              <w:spacing w:line="360" w:lineRule="auto"/>
              <w:ind w:firstLine="360" w:firstLineChars="150"/>
              <w:rPr>
                <w:rFonts w:hint="eastAsia" w:ascii="宋体" w:hAnsi="宋体" w:eastAsia="宋体" w:cs="宋体"/>
                <w:kern w:val="0"/>
                <w:sz w:val="24"/>
                <w:highlight w:val="none"/>
              </w:rPr>
            </w:pPr>
            <w:r>
              <w:rPr>
                <w:rFonts w:hint="eastAsia" w:ascii="宋体" w:hAnsi="宋体" w:eastAsia="宋体" w:cs="宋体"/>
                <w:sz w:val="24"/>
                <w:szCs w:val="24"/>
                <w:highlight w:val="none"/>
              </w:rPr>
              <w:t xml:space="preserve"> 供应商</w:t>
            </w:r>
            <w:r>
              <w:rPr>
                <w:rFonts w:hint="eastAsia" w:ascii="宋体" w:hAnsi="宋体" w:eastAsia="宋体" w:cs="宋体"/>
                <w:kern w:val="0"/>
                <w:sz w:val="24"/>
                <w:highlight w:val="none"/>
              </w:rPr>
              <w:t>提供的</w:t>
            </w:r>
            <w:r>
              <w:rPr>
                <w:rFonts w:hint="eastAsia" w:ascii="宋体" w:hAnsi="宋体" w:eastAsia="宋体" w:cs="宋体"/>
                <w:sz w:val="24"/>
                <w:szCs w:val="24"/>
                <w:highlight w:val="none"/>
              </w:rPr>
              <w:t>设备(产品)</w:t>
            </w:r>
            <w:r>
              <w:rPr>
                <w:rFonts w:hint="eastAsia" w:ascii="宋体" w:hAnsi="宋体" w:eastAsia="宋体" w:cs="宋体"/>
                <w:kern w:val="0"/>
                <w:sz w:val="24"/>
                <w:highlight w:val="none"/>
              </w:rPr>
              <w:t>及材料必须保证质量可靠，为市场最新或主流</w:t>
            </w:r>
            <w:r>
              <w:rPr>
                <w:rFonts w:hint="eastAsia" w:ascii="宋体" w:hAnsi="宋体" w:eastAsia="宋体" w:cs="宋体"/>
                <w:sz w:val="24"/>
                <w:szCs w:val="24"/>
                <w:highlight w:val="none"/>
              </w:rPr>
              <w:t>设备(产品)</w:t>
            </w:r>
            <w:r>
              <w:rPr>
                <w:rFonts w:hint="eastAsia" w:ascii="宋体" w:hAnsi="宋体" w:eastAsia="宋体" w:cs="宋体"/>
                <w:kern w:val="0"/>
                <w:sz w:val="24"/>
                <w:highlight w:val="none"/>
              </w:rPr>
              <w:t>，进货渠道正常，配置合理齐全，应全面满足竞争性谈判文件的要求，竞争性谈判文件未明确要求的内容，</w:t>
            </w:r>
            <w:r>
              <w:rPr>
                <w:rFonts w:hint="eastAsia" w:ascii="宋体" w:hAnsi="宋体" w:eastAsia="宋体" w:cs="宋体"/>
                <w:kern w:val="0"/>
                <w:sz w:val="24"/>
                <w:highlight w:val="none"/>
                <w:lang w:eastAsia="zh-CN"/>
              </w:rPr>
              <w:t>供应商</w:t>
            </w:r>
            <w:r>
              <w:rPr>
                <w:rFonts w:hint="eastAsia" w:ascii="宋体" w:hAnsi="宋体" w:eastAsia="宋体" w:cs="宋体"/>
                <w:kern w:val="0"/>
                <w:sz w:val="24"/>
                <w:highlight w:val="none"/>
              </w:rPr>
              <w:t>须按谈判</w:t>
            </w:r>
            <w:r>
              <w:rPr>
                <w:rFonts w:hint="eastAsia" w:ascii="宋体" w:hAnsi="宋体" w:eastAsia="宋体" w:cs="宋体"/>
                <w:sz w:val="24"/>
                <w:szCs w:val="24"/>
                <w:highlight w:val="none"/>
              </w:rPr>
              <w:t>设备(产品)</w:t>
            </w:r>
            <w:r>
              <w:rPr>
                <w:rFonts w:hint="eastAsia" w:ascii="宋体" w:hAnsi="宋体" w:eastAsia="宋体" w:cs="宋体"/>
                <w:kern w:val="0"/>
                <w:sz w:val="24"/>
                <w:highlight w:val="none"/>
              </w:rPr>
              <w:t>主流标准配置或以采购人的补充要求为准。所供设备(产品)工艺质量应严格按国家最新发布的规范标准执行，如发生质量问题由供应商承担全部责任。</w:t>
            </w:r>
          </w:p>
          <w:p>
            <w:pPr>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kern w:val="0"/>
                <w:sz w:val="24"/>
                <w:highlight w:val="none"/>
              </w:rPr>
              <w:t>供应商应保证合同项下所供设备是合同规定厂家供货生产的，全新未使用过的，并完全符合合同规定的质量、规格等要求。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8" w:hRule="atLeast"/>
        </w:trPr>
        <w:tc>
          <w:tcPr>
            <w:tcW w:w="996" w:type="dxa"/>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8075" w:type="dxa"/>
            <w:vAlign w:val="center"/>
          </w:tcPr>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验收：</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由采购人和供应商共同对项目整体进行验收。其内容包括确认设备(产品)的产地、规格、型号和数量，对其设备(产品)技术指标、性能参数以及工程质量是否达到现行国家有关验收规范“合格”标准进行逐项检查。</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1.所验设备(产品)的指标、性能参数通过验收达不到竞争性谈判文件要求和谈判响应文件承诺的，或在使用中发现采购人不能容忍的缺陷等，将视为设备(产品)验收不合格，供应商应无条件免费更换或退货。</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2.若发现供应商有弄虚作假的，在谈判阶段故意或随意夸大设备(产品)技术性能，供应商应无条件退货，并赔偿采购人相应的损失。</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3.验收标准：按竞争性谈判文件、谈判响应文件及澄清函等技术指标进行验收。各项指标均应符合验收标准及要求。</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4.验收合格后，填写验收单，双方签字生效。</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5.验收依据：</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a)合同文本；</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b)谈判响应文件及澄清函、竞争性谈判文件；</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c)国家和行业制定的相应的标准和规范。</w:t>
            </w:r>
          </w:p>
          <w:p>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sz w:val="24"/>
                <w:szCs w:val="24"/>
                <w:highlight w:val="none"/>
              </w:rPr>
              <w:t>d)设备(产品)验收清单（注明各部件的品名、数量、规格型号和原产地或生产厂家）。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trPr>
        <w:tc>
          <w:tcPr>
            <w:tcW w:w="996" w:type="dxa"/>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8075" w:type="dxa"/>
            <w:vAlign w:val="center"/>
          </w:tcPr>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质保及维保服务（提供售后服务承诺书）：</w:t>
            </w:r>
          </w:p>
          <w:p>
            <w:pPr>
              <w:tabs>
                <w:tab w:val="left" w:pos="1080"/>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1）供应商应提供可承担维修职能的公司、全资分公司或办事处，并驻守多名维护技术人员，并提供地点、联系人（常驻工程师）及联系电话（服务热线），随时解答各种疑问（需提供相关证明材料）。</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2）服务方式:现场服务，自终验合格之日起开始计算，质保期</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年，并提供终身维修（护）。在质量保证期内发生重大故障，维修工程师抵达现场时间≤8小时。</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3）每年至少四次上门维护，回访。</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4）对于存在质量问题或者短少的设备，供应商应在接到采购人的通知2个日历日内负责修复，调换、重新制作或补齐。</w:t>
            </w:r>
          </w:p>
          <w:p>
            <w:pPr>
              <w:tabs>
                <w:tab w:val="left" w:pos="1080"/>
              </w:tabs>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5）设备质量出现问题，如属于三包产品供应商应负责三包（包修、包换、包退），费用由供应商承担。</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质保期内免收全部维修费用，终身维护保养并保证配件供应。在设备最终验收后的质量保证期内，供应商应对由于设计、工艺或材料的缺陷而产生的故障负责（负责解决并承担全部费用）。质保期满后如出现此类问题亦应负责。</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7）谈判</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及所投设备(产品)的生产厂商应承诺质保期、维保期的售后服务条款（包括具体的服务内容、故障响应时间、响应方式、维修措施及时限、维护响应计划等方面），未提供任何质保期、维保期的售后服务条款或提供的内容不实的以不满足</w:t>
            </w:r>
            <w:r>
              <w:rPr>
                <w:rFonts w:hint="eastAsia" w:ascii="宋体" w:hAnsi="宋体" w:eastAsia="宋体" w:cs="宋体"/>
                <w:kern w:val="0"/>
                <w:sz w:val="24"/>
                <w:highlight w:val="none"/>
              </w:rPr>
              <w:t>竞争性谈判文件</w:t>
            </w:r>
            <w:r>
              <w:rPr>
                <w:rFonts w:hint="eastAsia" w:ascii="宋体" w:hAnsi="宋体" w:eastAsia="宋体" w:cs="宋体"/>
                <w:sz w:val="24"/>
                <w:szCs w:val="24"/>
                <w:highlight w:val="none"/>
              </w:rPr>
              <w:t>要求对待。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0" w:hRule="atLeast"/>
        </w:trPr>
        <w:tc>
          <w:tcPr>
            <w:tcW w:w="996" w:type="dxa"/>
            <w:vAlign w:val="center"/>
          </w:tcPr>
          <w:p>
            <w:pPr>
              <w:pStyle w:val="12"/>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w:t>
            </w:r>
          </w:p>
        </w:tc>
        <w:tc>
          <w:tcPr>
            <w:tcW w:w="8075" w:type="dxa"/>
            <w:vAlign w:val="center"/>
          </w:tcPr>
          <w:p>
            <w:pPr>
              <w:spacing w:line="360" w:lineRule="auto"/>
              <w:rPr>
                <w:rFonts w:hint="eastAsia" w:ascii="宋体" w:hAnsi="宋体" w:eastAsia="宋体" w:cs="宋体"/>
                <w:b/>
                <w:kern w:val="0"/>
                <w:sz w:val="24"/>
                <w:highlight w:val="none"/>
              </w:rPr>
            </w:pPr>
            <w:r>
              <w:rPr>
                <w:rFonts w:hint="eastAsia" w:ascii="宋体" w:hAnsi="宋体" w:eastAsia="宋体" w:cs="宋体"/>
                <w:b/>
                <w:kern w:val="0"/>
                <w:sz w:val="24"/>
                <w:highlight w:val="none"/>
              </w:rPr>
              <w:t>其它:</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1．谈判</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须按报价一览表（统一格式）和谈判分项报价表（统一格式）的内容填写单价、总价及其他事项。</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2．谈判</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所报的谈判价在合同执行过程中是固定不变的，不得以任何理由予以变更。</w:t>
            </w:r>
          </w:p>
        </w:tc>
      </w:tr>
    </w:tbl>
    <w:p>
      <w:pPr>
        <w:jc w:val="center"/>
        <w:rPr>
          <w:rFonts w:hint="eastAsia" w:ascii="宋体" w:hAnsi="宋体" w:eastAsia="宋体" w:cs="宋体"/>
          <w:b/>
          <w:sz w:val="52"/>
          <w:szCs w:val="52"/>
          <w:highlight w:val="none"/>
          <w:lang w:eastAsia="zh-CN"/>
        </w:rPr>
      </w:pPr>
      <w:r>
        <w:rPr>
          <w:rFonts w:hint="eastAsia" w:ascii="宋体" w:hAnsi="宋体" w:eastAsia="宋体" w:cs="宋体"/>
          <w:sz w:val="24"/>
          <w:szCs w:val="24"/>
          <w:highlight w:val="none"/>
        </w:rPr>
        <w:br w:type="page"/>
      </w:r>
    </w:p>
    <w:p>
      <w:pPr>
        <w:jc w:val="center"/>
        <w:rPr>
          <w:rFonts w:hint="eastAsia" w:ascii="宋体" w:hAnsi="宋体" w:eastAsia="宋体" w:cs="宋体"/>
          <w:b/>
          <w:sz w:val="52"/>
          <w:szCs w:val="52"/>
          <w:highlight w:val="none"/>
          <w:lang w:eastAsia="zh-CN"/>
        </w:rPr>
      </w:pPr>
    </w:p>
    <w:p>
      <w:pPr>
        <w:jc w:val="center"/>
        <w:rPr>
          <w:rFonts w:hint="eastAsia" w:ascii="宋体" w:hAnsi="宋体" w:eastAsia="宋体" w:cs="宋体"/>
          <w:b/>
          <w:bCs/>
          <w:sz w:val="48"/>
          <w:szCs w:val="44"/>
          <w:highlight w:val="none"/>
          <w:lang w:val="en-US" w:eastAsia="zh-CN"/>
        </w:rPr>
      </w:pPr>
      <w:r>
        <w:rPr>
          <w:rFonts w:hint="eastAsia" w:ascii="宋体" w:hAnsi="宋体" w:eastAsia="宋体" w:cs="宋体"/>
          <w:b/>
          <w:bCs/>
          <w:sz w:val="48"/>
          <w:szCs w:val="44"/>
          <w:highlight w:val="none"/>
          <w:lang w:val="en-US" w:eastAsia="zh-CN"/>
        </w:rPr>
        <w:t>西安市第八十六中学化学吊装</w:t>
      </w:r>
    </w:p>
    <w:p>
      <w:pPr>
        <w:jc w:val="center"/>
        <w:rPr>
          <w:rFonts w:hint="eastAsia" w:ascii="宋体" w:hAnsi="宋体" w:eastAsia="宋体" w:cs="宋体"/>
          <w:b/>
          <w:bCs/>
          <w:sz w:val="48"/>
          <w:szCs w:val="44"/>
          <w:highlight w:val="none"/>
        </w:rPr>
      </w:pPr>
      <w:r>
        <w:rPr>
          <w:rFonts w:hint="eastAsia" w:ascii="宋体" w:hAnsi="宋体" w:eastAsia="宋体" w:cs="宋体"/>
          <w:b/>
          <w:bCs/>
          <w:sz w:val="48"/>
          <w:szCs w:val="44"/>
          <w:highlight w:val="none"/>
          <w:lang w:val="en-US" w:eastAsia="zh-CN"/>
        </w:rPr>
        <w:t>实验室项目合同</w:t>
      </w:r>
    </w:p>
    <w:p>
      <w:pPr>
        <w:pStyle w:val="9"/>
        <w:rPr>
          <w:rFonts w:hint="eastAsia" w:ascii="宋体" w:hAnsi="宋体" w:eastAsia="宋体" w:cs="宋体"/>
          <w:sz w:val="28"/>
          <w:szCs w:val="24"/>
          <w:highlight w:val="none"/>
        </w:rPr>
      </w:pPr>
    </w:p>
    <w:p>
      <w:pPr>
        <w:pStyle w:val="9"/>
        <w:rPr>
          <w:rFonts w:hint="eastAsia" w:ascii="宋体" w:hAnsi="宋体" w:eastAsia="宋体" w:cs="宋体"/>
          <w:sz w:val="28"/>
          <w:szCs w:val="24"/>
          <w:highlight w:val="none"/>
        </w:rPr>
      </w:pPr>
    </w:p>
    <w:p>
      <w:pPr>
        <w:jc w:val="center"/>
        <w:rPr>
          <w:rFonts w:hint="eastAsia" w:ascii="宋体" w:hAnsi="宋体" w:eastAsia="宋体" w:cs="宋体"/>
          <w:b/>
          <w:bCs/>
          <w:sz w:val="2"/>
          <w:szCs w:val="24"/>
          <w:highlight w:val="none"/>
        </w:rPr>
      </w:pPr>
      <w:r>
        <w:rPr>
          <w:rFonts w:hint="eastAsia" w:ascii="宋体" w:hAnsi="宋体" w:eastAsia="宋体" w:cs="宋体"/>
          <w:b/>
          <w:bCs/>
          <w:sz w:val="28"/>
          <w:szCs w:val="24"/>
          <w:highlight w:val="none"/>
        </w:rPr>
        <w:t>（示范文本）</w:t>
      </w:r>
    </w:p>
    <w:p>
      <w:pPr>
        <w:ind w:firstLine="480" w:firstLineChars="200"/>
        <w:rPr>
          <w:rFonts w:hint="eastAsia" w:ascii="宋体" w:hAnsi="宋体" w:eastAsia="宋体" w:cs="宋体"/>
          <w:b/>
          <w:sz w:val="24"/>
          <w:highlight w:val="none"/>
        </w:rPr>
      </w:pPr>
      <w:r>
        <w:rPr>
          <w:rFonts w:hint="eastAsia" w:ascii="宋体" w:hAnsi="宋体" w:eastAsia="宋体" w:cs="宋体"/>
          <w:sz w:val="24"/>
          <w:highlight w:val="none"/>
        </w:rPr>
        <w:br w:type="page"/>
      </w:r>
      <w:r>
        <w:rPr>
          <w:rFonts w:hint="eastAsia" w:ascii="宋体" w:hAnsi="宋体" w:eastAsia="宋体" w:cs="宋体"/>
          <w:b/>
          <w:sz w:val="24"/>
          <w:highlight w:val="none"/>
        </w:rPr>
        <w:t>采购人（全称）：</w:t>
      </w:r>
      <w:r>
        <w:rPr>
          <w:rFonts w:hint="eastAsia" w:ascii="宋体" w:hAnsi="宋体" w:eastAsia="宋体" w:cs="宋体"/>
          <w:b/>
          <w:sz w:val="24"/>
          <w:highlight w:val="none"/>
          <w:u w:val="single"/>
        </w:rPr>
        <w:t xml:space="preserve">                                      </w:t>
      </w:r>
    </w:p>
    <w:p>
      <w:pPr>
        <w:adjustRightInd w:val="0"/>
        <w:snapToGrid w:val="0"/>
        <w:spacing w:line="580" w:lineRule="exact"/>
        <w:ind w:firstLine="482" w:firstLineChars="200"/>
        <w:rPr>
          <w:rFonts w:hint="eastAsia" w:ascii="宋体" w:hAnsi="宋体" w:eastAsia="宋体" w:cs="宋体"/>
          <w:sz w:val="24"/>
          <w:highlight w:val="none"/>
        </w:rPr>
      </w:pPr>
      <w:r>
        <w:rPr>
          <w:rFonts w:hint="eastAsia" w:ascii="宋体" w:hAnsi="宋体" w:eastAsia="宋体" w:cs="宋体"/>
          <w:b/>
          <w:sz w:val="24"/>
          <w:highlight w:val="none"/>
        </w:rPr>
        <w:t>供应商（全称）：</w:t>
      </w:r>
      <w:r>
        <w:rPr>
          <w:rFonts w:hint="eastAsia" w:ascii="宋体" w:hAnsi="宋体" w:eastAsia="宋体" w:cs="宋体"/>
          <w:b/>
          <w:sz w:val="24"/>
          <w:highlight w:val="none"/>
          <w:u w:val="single"/>
        </w:rPr>
        <w:t xml:space="preserve">                                   </w:t>
      </w:r>
      <w:r>
        <w:rPr>
          <w:rFonts w:hint="eastAsia" w:ascii="宋体" w:hAnsi="宋体" w:eastAsia="宋体" w:cs="宋体"/>
          <w:sz w:val="24"/>
          <w:highlight w:val="none"/>
          <w:u w:val="single"/>
        </w:rPr>
        <w:t xml:space="preserve">   </w:t>
      </w:r>
    </w:p>
    <w:p>
      <w:pPr>
        <w:adjustRightInd w:val="0"/>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根据《中华人民共和国</w:t>
      </w:r>
      <w:r>
        <w:rPr>
          <w:rFonts w:hint="eastAsia" w:ascii="宋体" w:hAnsi="宋体" w:eastAsia="宋体" w:cs="宋体"/>
          <w:sz w:val="24"/>
          <w:highlight w:val="none"/>
          <w:lang w:eastAsia="zh-CN"/>
        </w:rPr>
        <w:t>民法典</w:t>
      </w:r>
      <w:r>
        <w:rPr>
          <w:rFonts w:hint="eastAsia" w:ascii="宋体" w:hAnsi="宋体" w:eastAsia="宋体" w:cs="宋体"/>
          <w:sz w:val="24"/>
          <w:highlight w:val="none"/>
        </w:rPr>
        <w:t>》及其他有关法律、法规，遵循平等、自愿、公平和诚信的原则，双方就下述项目范围与相关服务事项协商一致，订立本合同。</w:t>
      </w:r>
    </w:p>
    <w:p>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一、项目概况</w:t>
      </w:r>
    </w:p>
    <w:p>
      <w:pPr>
        <w:adjustRightInd w:val="0"/>
        <w:snapToGrid w:val="0"/>
        <w:spacing w:line="360" w:lineRule="auto"/>
        <w:ind w:firstLine="475" w:firstLineChars="198"/>
        <w:rPr>
          <w:rFonts w:hint="eastAsia" w:ascii="宋体" w:hAnsi="宋体" w:eastAsia="宋体" w:cs="宋体"/>
          <w:sz w:val="24"/>
          <w:highlight w:val="none"/>
        </w:rPr>
      </w:pPr>
      <w:r>
        <w:rPr>
          <w:rFonts w:hint="eastAsia" w:ascii="宋体" w:hAnsi="宋体" w:eastAsia="宋体" w:cs="宋体"/>
          <w:sz w:val="24"/>
          <w:highlight w:val="none"/>
        </w:rPr>
        <w:t>1. 项目名称：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pPr>
        <w:adjustRightInd w:val="0"/>
        <w:snapToGrid w:val="0"/>
        <w:spacing w:line="360" w:lineRule="auto"/>
        <w:ind w:firstLine="475" w:firstLineChars="198"/>
        <w:rPr>
          <w:rFonts w:hint="eastAsia" w:ascii="宋体" w:hAnsi="宋体" w:eastAsia="宋体" w:cs="宋体"/>
          <w:sz w:val="24"/>
          <w:highlight w:val="none"/>
        </w:rPr>
      </w:pPr>
      <w:r>
        <w:rPr>
          <w:rFonts w:hint="eastAsia" w:ascii="宋体" w:hAnsi="宋体" w:eastAsia="宋体" w:cs="宋体"/>
          <w:sz w:val="24"/>
          <w:highlight w:val="none"/>
        </w:rPr>
        <w:t>2. 项目地点：</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pPr>
        <w:adjustRightInd w:val="0"/>
        <w:snapToGrid w:val="0"/>
        <w:spacing w:line="360" w:lineRule="auto"/>
        <w:ind w:firstLine="475" w:firstLineChars="198"/>
        <w:rPr>
          <w:rFonts w:hint="eastAsia" w:ascii="宋体" w:hAnsi="宋体" w:eastAsia="宋体" w:cs="宋体"/>
          <w:sz w:val="24"/>
          <w:highlight w:val="none"/>
        </w:rPr>
      </w:pPr>
      <w:r>
        <w:rPr>
          <w:rFonts w:hint="eastAsia" w:ascii="宋体" w:hAnsi="宋体" w:eastAsia="宋体" w:cs="宋体"/>
          <w:sz w:val="24"/>
          <w:highlight w:val="none"/>
        </w:rPr>
        <w:t>3. 项目</w:t>
      </w:r>
      <w:r>
        <w:rPr>
          <w:rFonts w:hint="eastAsia" w:ascii="宋体" w:hAnsi="宋体" w:eastAsia="宋体" w:cs="宋体"/>
          <w:kern w:val="0"/>
          <w:sz w:val="24"/>
          <w:highlight w:val="none"/>
        </w:rPr>
        <w:t>内容</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二、组成本合同的文件</w:t>
      </w:r>
    </w:p>
    <w:p>
      <w:pPr>
        <w:adjustRightInd w:val="0"/>
        <w:snapToGrid w:val="0"/>
        <w:spacing w:line="360" w:lineRule="auto"/>
        <w:ind w:firstLine="475" w:firstLineChars="198"/>
        <w:rPr>
          <w:rFonts w:hint="eastAsia" w:ascii="宋体" w:hAnsi="宋体" w:eastAsia="宋体" w:cs="宋体"/>
          <w:sz w:val="24"/>
          <w:highlight w:val="none"/>
        </w:rPr>
      </w:pPr>
      <w:r>
        <w:rPr>
          <w:rFonts w:hint="eastAsia" w:ascii="宋体" w:hAnsi="宋体" w:eastAsia="宋体" w:cs="宋体"/>
          <w:sz w:val="24"/>
          <w:highlight w:val="none"/>
        </w:rPr>
        <w:t>1. 协议书；</w:t>
      </w:r>
    </w:p>
    <w:p>
      <w:pPr>
        <w:adjustRightInd w:val="0"/>
        <w:snapToGrid w:val="0"/>
        <w:spacing w:line="360" w:lineRule="auto"/>
        <w:ind w:firstLine="475" w:firstLineChars="198"/>
        <w:rPr>
          <w:rFonts w:hint="eastAsia" w:ascii="宋体" w:hAnsi="宋体" w:eastAsia="宋体" w:cs="宋体"/>
          <w:sz w:val="24"/>
          <w:highlight w:val="none"/>
        </w:rPr>
      </w:pPr>
      <w:r>
        <w:rPr>
          <w:rFonts w:hint="eastAsia" w:ascii="宋体" w:hAnsi="宋体" w:eastAsia="宋体" w:cs="宋体"/>
          <w:sz w:val="24"/>
          <w:highlight w:val="none"/>
        </w:rPr>
        <w:t>2. 成交通知书、谈判响应文件、谈判文件、澄清、谈判补充文件（或委托书）；</w:t>
      </w:r>
    </w:p>
    <w:p>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 相关服务建议书；</w:t>
      </w:r>
    </w:p>
    <w:p>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4. 附录，即：附表内相关服务的范围和内容；</w:t>
      </w:r>
    </w:p>
    <w:p>
      <w:pPr>
        <w:adjustRightInd w:val="0"/>
        <w:snapToGrid w:val="0"/>
        <w:spacing w:line="360" w:lineRule="auto"/>
        <w:ind w:firstLine="475" w:firstLineChars="198"/>
        <w:rPr>
          <w:rFonts w:hint="eastAsia" w:ascii="宋体" w:hAnsi="宋体" w:eastAsia="宋体" w:cs="宋体"/>
          <w:sz w:val="24"/>
          <w:highlight w:val="none"/>
        </w:rPr>
      </w:pPr>
      <w:r>
        <w:rPr>
          <w:rFonts w:hint="eastAsia" w:ascii="宋体" w:hAnsi="宋体" w:eastAsia="宋体" w:cs="宋体"/>
          <w:sz w:val="24"/>
          <w:highlight w:val="none"/>
        </w:rPr>
        <w:t>本合同签订后，双方依法签订的补充协议也是本合同文件的组成部分。</w:t>
      </w:r>
    </w:p>
    <w:p>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三、合同价款</w:t>
      </w:r>
    </w:p>
    <w:p>
      <w:pPr>
        <w:adjustRightInd w:val="0"/>
        <w:snapToGrid w:val="0"/>
        <w:spacing w:line="360" w:lineRule="auto"/>
        <w:ind w:firstLine="475" w:firstLineChars="198"/>
        <w:rPr>
          <w:rFonts w:hint="eastAsia" w:ascii="宋体" w:hAnsi="宋体" w:eastAsia="宋体" w:cs="宋体"/>
          <w:sz w:val="24"/>
          <w:highlight w:val="none"/>
        </w:rPr>
      </w:pPr>
      <w:r>
        <w:rPr>
          <w:rFonts w:hint="eastAsia" w:ascii="宋体" w:hAnsi="宋体" w:eastAsia="宋体" w:cs="宋体"/>
          <w:sz w:val="24"/>
          <w:highlight w:val="none"/>
        </w:rPr>
        <w:t>合同总价（大写）：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w:t>
      </w:r>
    </w:p>
    <w:p>
      <w:pPr>
        <w:adjustRightInd w:val="0"/>
        <w:snapToGrid w:val="0"/>
        <w:spacing w:line="360" w:lineRule="auto"/>
        <w:ind w:firstLine="475" w:firstLineChars="198"/>
        <w:rPr>
          <w:rFonts w:hint="eastAsia" w:ascii="宋体" w:hAnsi="宋体" w:eastAsia="宋体" w:cs="宋体"/>
          <w:sz w:val="24"/>
          <w:highlight w:val="none"/>
        </w:rPr>
      </w:pPr>
      <w:r>
        <w:rPr>
          <w:rFonts w:hint="eastAsia" w:ascii="宋体" w:hAnsi="宋体" w:eastAsia="宋体" w:cs="宋体"/>
          <w:sz w:val="24"/>
          <w:highlight w:val="none"/>
        </w:rPr>
        <w:t>合同总价即成交价，合同总价一次包死，不受市场价变化或实际工作量变化的影响，合同价格为含税价，供应商（</w:t>
      </w:r>
      <w:r>
        <w:rPr>
          <w:rFonts w:hint="eastAsia" w:ascii="宋体" w:hAnsi="宋体" w:eastAsia="宋体" w:cs="宋体"/>
          <w:sz w:val="24"/>
          <w:highlight w:val="none"/>
          <w:lang w:eastAsia="zh-CN"/>
        </w:rPr>
        <w:t>成交供应商</w:t>
      </w:r>
      <w:r>
        <w:rPr>
          <w:rFonts w:hint="eastAsia" w:ascii="宋体" w:hAnsi="宋体" w:eastAsia="宋体" w:cs="宋体"/>
          <w:sz w:val="24"/>
          <w:highlight w:val="none"/>
        </w:rPr>
        <w:t>）提供产品所发生的一切税（包括增值税）费等都已包含于合同价款中。</w:t>
      </w:r>
    </w:p>
    <w:p>
      <w:pPr>
        <w:adjustRightInd w:val="0"/>
        <w:snapToGrid w:val="0"/>
        <w:spacing w:line="360" w:lineRule="auto"/>
        <w:rPr>
          <w:rFonts w:hint="eastAsia" w:ascii="宋体" w:hAnsi="宋体" w:eastAsia="宋体" w:cs="宋体"/>
          <w:b/>
          <w:sz w:val="24"/>
          <w:highlight w:val="none"/>
        </w:rPr>
      </w:pPr>
      <w:r>
        <w:rPr>
          <w:rFonts w:hint="eastAsia" w:ascii="宋体" w:hAnsi="宋体" w:eastAsia="宋体" w:cs="宋体"/>
          <w:b/>
          <w:sz w:val="24"/>
          <w:highlight w:val="none"/>
        </w:rPr>
        <w:t>四、结算方式：</w:t>
      </w:r>
    </w:p>
    <w:p>
      <w:pPr>
        <w:adjustRightInd w:val="0"/>
        <w:snapToGrid w:val="0"/>
        <w:spacing w:line="360" w:lineRule="auto"/>
        <w:ind w:firstLine="475" w:firstLineChars="198"/>
        <w:rPr>
          <w:rFonts w:hint="eastAsia" w:ascii="宋体" w:hAnsi="宋体" w:eastAsia="宋体" w:cs="宋体"/>
          <w:sz w:val="24"/>
          <w:highlight w:val="none"/>
        </w:rPr>
      </w:pPr>
      <w:r>
        <w:rPr>
          <w:rFonts w:hint="eastAsia" w:ascii="宋体" w:hAnsi="宋体" w:eastAsia="宋体" w:cs="宋体"/>
          <w:sz w:val="24"/>
          <w:highlight w:val="none"/>
        </w:rPr>
        <w:t>（1）结算单位：由采购人以人民币负责结算，在付款前，供应商必须开具全额发票给采购人。</w:t>
      </w:r>
    </w:p>
    <w:p>
      <w:pPr>
        <w:adjustRightInd w:val="0"/>
        <w:snapToGrid w:val="0"/>
        <w:spacing w:line="360" w:lineRule="auto"/>
        <w:ind w:firstLine="475" w:firstLineChars="198"/>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szCs w:val="24"/>
          <w:highlight w:val="none"/>
        </w:rPr>
        <w:t>付款方式：全部产品配送到位、安装调试、验收合格且完成技术培训后，支付合同总价款的 100%。</w:t>
      </w:r>
    </w:p>
    <w:p>
      <w:pPr>
        <w:adjustRightInd w:val="0"/>
        <w:snapToGrid w:val="0"/>
        <w:spacing w:line="360" w:lineRule="auto"/>
        <w:rPr>
          <w:rFonts w:hint="eastAsia" w:ascii="宋体" w:hAnsi="宋体" w:eastAsia="宋体" w:cs="宋体"/>
          <w:b/>
          <w:sz w:val="24"/>
          <w:highlight w:val="none"/>
        </w:rPr>
      </w:pPr>
      <w:r>
        <w:rPr>
          <w:rFonts w:hint="eastAsia" w:ascii="宋体" w:hAnsi="宋体" w:eastAsia="宋体" w:cs="宋体"/>
          <w:b/>
          <w:sz w:val="24"/>
          <w:highlight w:val="none"/>
        </w:rPr>
        <w:t>五、</w:t>
      </w:r>
      <w:r>
        <w:rPr>
          <w:rFonts w:hint="eastAsia" w:ascii="宋体" w:hAnsi="宋体" w:eastAsia="宋体" w:cs="宋体"/>
          <w:b/>
          <w:sz w:val="24"/>
          <w:highlight w:val="none"/>
          <w:lang w:eastAsia="zh-CN"/>
        </w:rPr>
        <w:t>交货</w:t>
      </w:r>
      <w:r>
        <w:rPr>
          <w:rFonts w:hint="eastAsia" w:ascii="宋体" w:hAnsi="宋体" w:eastAsia="宋体" w:cs="宋体"/>
          <w:b/>
          <w:sz w:val="24"/>
          <w:highlight w:val="none"/>
        </w:rPr>
        <w:t>期限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交货期：详见竞争性谈判文件合同前附表。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rPr>
        <w:t>交货地点：采购人指定交货地点</w:t>
      </w:r>
      <w:r>
        <w:rPr>
          <w:rFonts w:hint="eastAsia" w:ascii="宋体" w:hAnsi="宋体" w:eastAsia="宋体" w:cs="宋体"/>
          <w:color w:val="auto"/>
          <w:sz w:val="24"/>
          <w:szCs w:val="22"/>
          <w:highlight w:val="none"/>
          <w:lang w:eastAsia="zh-CN"/>
        </w:rPr>
        <w:t>。</w:t>
      </w:r>
    </w:p>
    <w:p>
      <w:pPr>
        <w:adjustRightInd w:val="0"/>
        <w:snapToGrid w:val="0"/>
        <w:spacing w:line="360" w:lineRule="auto"/>
        <w:rPr>
          <w:rFonts w:hint="eastAsia" w:ascii="宋体" w:hAnsi="宋体" w:eastAsia="宋体" w:cs="宋体"/>
          <w:b/>
          <w:color w:val="auto"/>
          <w:sz w:val="24"/>
          <w:szCs w:val="22"/>
          <w:highlight w:val="none"/>
          <w:lang w:eastAsia="zh-CN"/>
        </w:rPr>
      </w:pPr>
      <w:r>
        <w:rPr>
          <w:rFonts w:hint="eastAsia" w:ascii="宋体" w:hAnsi="宋体" w:eastAsia="宋体" w:cs="宋体"/>
          <w:b/>
          <w:color w:val="auto"/>
          <w:sz w:val="24"/>
          <w:szCs w:val="22"/>
          <w:highlight w:val="none"/>
          <w:lang w:eastAsia="zh-CN"/>
        </w:rPr>
        <w:t>六、质保期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lang w:eastAsia="zh-CN"/>
        </w:rPr>
        <w:t>详见竞争性谈判文件合同前附表。</w:t>
      </w:r>
    </w:p>
    <w:p>
      <w:pPr>
        <w:numPr>
          <w:ilvl w:val="0"/>
          <w:numId w:val="0"/>
        </w:numPr>
        <w:spacing w:line="360" w:lineRule="auto"/>
        <w:rPr>
          <w:rFonts w:hint="eastAsia" w:ascii="宋体" w:hAnsi="宋体" w:eastAsia="宋体" w:cs="宋体"/>
          <w:b/>
          <w:sz w:val="24"/>
          <w:highlight w:val="none"/>
        </w:rPr>
      </w:pPr>
      <w:r>
        <w:rPr>
          <w:rFonts w:hint="eastAsia" w:ascii="宋体" w:hAnsi="宋体" w:eastAsia="宋体" w:cs="宋体"/>
          <w:b/>
          <w:sz w:val="24"/>
          <w:highlight w:val="none"/>
          <w:lang w:eastAsia="zh-CN"/>
        </w:rPr>
        <w:t>七</w:t>
      </w:r>
      <w:r>
        <w:rPr>
          <w:rFonts w:hint="eastAsia" w:ascii="宋体" w:hAnsi="宋体" w:eastAsia="宋体" w:cs="宋体"/>
          <w:b/>
          <w:sz w:val="24"/>
          <w:highlight w:val="none"/>
        </w:rPr>
        <w:t>、双方承诺</w:t>
      </w:r>
    </w:p>
    <w:p>
      <w:pPr>
        <w:adjustRightInd w:val="0"/>
        <w:snapToGrid w:val="0"/>
        <w:spacing w:line="360" w:lineRule="auto"/>
        <w:ind w:firstLine="475" w:firstLineChars="198"/>
        <w:rPr>
          <w:rFonts w:hint="eastAsia" w:ascii="宋体" w:hAnsi="宋体" w:eastAsia="宋体" w:cs="宋体"/>
          <w:sz w:val="24"/>
          <w:highlight w:val="none"/>
        </w:rPr>
      </w:pPr>
      <w:r>
        <w:rPr>
          <w:rFonts w:hint="eastAsia" w:ascii="宋体" w:hAnsi="宋体" w:eastAsia="宋体" w:cs="宋体"/>
          <w:sz w:val="24"/>
          <w:highlight w:val="none"/>
        </w:rPr>
        <w:t>1. 供应商向采购人承诺，按照本合同约定提供相关服务。</w:t>
      </w:r>
    </w:p>
    <w:p>
      <w:pPr>
        <w:adjustRightInd w:val="0"/>
        <w:snapToGrid w:val="0"/>
        <w:spacing w:line="360" w:lineRule="auto"/>
        <w:ind w:firstLine="475" w:firstLineChars="198"/>
        <w:rPr>
          <w:rFonts w:hint="eastAsia" w:ascii="宋体" w:hAnsi="宋体" w:eastAsia="宋体" w:cs="宋体"/>
          <w:sz w:val="24"/>
          <w:highlight w:val="none"/>
        </w:rPr>
      </w:pPr>
      <w:r>
        <w:rPr>
          <w:rFonts w:hint="eastAsia" w:ascii="宋体" w:hAnsi="宋体" w:eastAsia="宋体" w:cs="宋体"/>
          <w:sz w:val="24"/>
          <w:highlight w:val="none"/>
        </w:rPr>
        <w:t>2. 采购人向供应商承诺，按照本合同约定支付服务款项。</w:t>
      </w:r>
    </w:p>
    <w:p>
      <w:pPr>
        <w:tabs>
          <w:tab w:val="left" w:pos="840"/>
        </w:tabs>
        <w:spacing w:line="360" w:lineRule="auto"/>
        <w:rPr>
          <w:rFonts w:hint="eastAsia" w:ascii="宋体" w:hAnsi="宋体" w:eastAsia="宋体" w:cs="宋体"/>
          <w:b/>
          <w:sz w:val="24"/>
          <w:highlight w:val="none"/>
        </w:rPr>
      </w:pPr>
      <w:r>
        <w:rPr>
          <w:rFonts w:hint="eastAsia" w:ascii="宋体" w:hAnsi="宋体" w:eastAsia="宋体" w:cs="宋体"/>
          <w:b/>
          <w:sz w:val="24"/>
          <w:highlight w:val="none"/>
          <w:lang w:eastAsia="zh-CN"/>
        </w:rPr>
        <w:t>八</w:t>
      </w:r>
      <w:r>
        <w:rPr>
          <w:rFonts w:hint="eastAsia" w:ascii="宋体" w:hAnsi="宋体" w:eastAsia="宋体" w:cs="宋体"/>
          <w:b/>
          <w:sz w:val="24"/>
          <w:highlight w:val="none"/>
        </w:rPr>
        <w:t>、内容及要求：</w:t>
      </w:r>
    </w:p>
    <w:p>
      <w:pPr>
        <w:tabs>
          <w:tab w:val="left" w:pos="840"/>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即交付的设备（产品）、服务内容、数量与谈判响应文件、竞争性谈判文件等所指明的，或者与本合同所指明的设备（产品）、服务内容相一致。（附清单）</w:t>
      </w:r>
    </w:p>
    <w:p>
      <w:pPr>
        <w:spacing w:after="120" w:afterLines="0"/>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供货</w:t>
      </w:r>
      <w:r>
        <w:rPr>
          <w:rFonts w:hint="eastAsia" w:ascii="宋体" w:hAnsi="宋体" w:eastAsia="宋体" w:cs="宋体"/>
          <w:b/>
          <w:sz w:val="32"/>
          <w:szCs w:val="32"/>
          <w:highlight w:val="none"/>
          <w:lang w:eastAsia="zh-CN"/>
        </w:rPr>
        <w:t>内容</w:t>
      </w:r>
      <w:r>
        <w:rPr>
          <w:rFonts w:hint="eastAsia" w:ascii="宋体" w:hAnsi="宋体" w:eastAsia="宋体" w:cs="宋体"/>
          <w:b/>
          <w:sz w:val="32"/>
          <w:szCs w:val="32"/>
          <w:highlight w:val="none"/>
        </w:rPr>
        <w:t>一览表</w:t>
      </w:r>
    </w:p>
    <w:tbl>
      <w:tblPr>
        <w:tblStyle w:val="28"/>
        <w:tblW w:w="954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5"/>
        <w:gridCol w:w="960"/>
        <w:gridCol w:w="1485"/>
        <w:gridCol w:w="1695"/>
        <w:gridCol w:w="825"/>
        <w:gridCol w:w="735"/>
        <w:gridCol w:w="1050"/>
        <w:gridCol w:w="1215"/>
        <w:gridCol w:w="9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vAlign w:val="center"/>
          </w:tcPr>
          <w:p>
            <w:pPr>
              <w:spacing w:before="163" w:beforeLines="50"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序号</w:t>
            </w:r>
          </w:p>
        </w:tc>
        <w:tc>
          <w:tcPr>
            <w:tcW w:w="960" w:type="dxa"/>
            <w:vAlign w:val="center"/>
          </w:tcPr>
          <w:p>
            <w:pPr>
              <w:spacing w:before="163" w:beforeLines="50"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名称</w:t>
            </w:r>
          </w:p>
        </w:tc>
        <w:tc>
          <w:tcPr>
            <w:tcW w:w="1485" w:type="dxa"/>
            <w:tcBorders>
              <w:right w:val="single" w:color="auto" w:sz="4" w:space="0"/>
            </w:tcBorders>
            <w:vAlign w:val="center"/>
          </w:tcPr>
          <w:p>
            <w:pPr>
              <w:pStyle w:val="4"/>
              <w:adjustRightInd w:val="0"/>
              <w:snapToGrid w:val="0"/>
              <w:ind w:lef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品牌、规格及型号</w:t>
            </w:r>
          </w:p>
        </w:tc>
        <w:tc>
          <w:tcPr>
            <w:tcW w:w="1695" w:type="dxa"/>
            <w:tcBorders>
              <w:left w:val="single" w:color="auto" w:sz="4" w:space="0"/>
            </w:tcBorders>
            <w:vAlign w:val="center"/>
          </w:tcPr>
          <w:p>
            <w:pPr>
              <w:pStyle w:val="4"/>
              <w:adjustRightInd w:val="0"/>
              <w:snapToGrid w:val="0"/>
              <w:ind w:lef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原产地及 制造厂名</w:t>
            </w:r>
          </w:p>
        </w:tc>
        <w:tc>
          <w:tcPr>
            <w:tcW w:w="825" w:type="dxa"/>
            <w:tcBorders>
              <w:right w:val="single" w:color="auto" w:sz="4" w:space="0"/>
            </w:tcBorders>
            <w:vAlign w:val="center"/>
          </w:tcPr>
          <w:p>
            <w:pPr>
              <w:pStyle w:val="4"/>
              <w:adjustRightInd w:val="0"/>
              <w:snapToGrid w:val="0"/>
              <w:ind w:lef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单价</w:t>
            </w:r>
          </w:p>
        </w:tc>
        <w:tc>
          <w:tcPr>
            <w:tcW w:w="735" w:type="dxa"/>
            <w:tcBorders>
              <w:left w:val="single" w:color="auto" w:sz="4" w:space="0"/>
              <w:right w:val="single" w:color="auto" w:sz="4" w:space="0"/>
            </w:tcBorders>
            <w:vAlign w:val="center"/>
          </w:tcPr>
          <w:p>
            <w:pPr>
              <w:pStyle w:val="4"/>
              <w:adjustRightInd w:val="0"/>
              <w:snapToGrid w:val="0"/>
              <w:ind w:lef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数量</w:t>
            </w:r>
          </w:p>
        </w:tc>
        <w:tc>
          <w:tcPr>
            <w:tcW w:w="1050" w:type="dxa"/>
            <w:tcBorders>
              <w:left w:val="single" w:color="auto" w:sz="4" w:space="0"/>
            </w:tcBorders>
            <w:vAlign w:val="center"/>
          </w:tcPr>
          <w:p>
            <w:pPr>
              <w:pStyle w:val="4"/>
              <w:ind w:lef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交付地点</w:t>
            </w:r>
          </w:p>
        </w:tc>
        <w:tc>
          <w:tcPr>
            <w:tcW w:w="1215" w:type="dxa"/>
            <w:tcBorders>
              <w:right w:val="single" w:color="auto" w:sz="4" w:space="0"/>
            </w:tcBorders>
            <w:vAlign w:val="center"/>
          </w:tcPr>
          <w:p>
            <w:pPr>
              <w:pStyle w:val="4"/>
              <w:ind w:lef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交付时间</w:t>
            </w:r>
          </w:p>
        </w:tc>
        <w:tc>
          <w:tcPr>
            <w:tcW w:w="903" w:type="dxa"/>
            <w:tcBorders>
              <w:right w:val="single" w:color="auto" w:sz="4" w:space="0"/>
            </w:tcBorders>
            <w:vAlign w:val="center"/>
          </w:tcPr>
          <w:p>
            <w:pPr>
              <w:pStyle w:val="4"/>
              <w:ind w:lef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vAlign w:val="top"/>
          </w:tcPr>
          <w:p>
            <w:pPr>
              <w:spacing w:before="163" w:beforeLines="50" w:line="360" w:lineRule="auto"/>
              <w:jc w:val="center"/>
              <w:rPr>
                <w:rFonts w:hint="eastAsia" w:ascii="宋体" w:hAnsi="宋体" w:eastAsia="宋体" w:cs="宋体"/>
                <w:szCs w:val="24"/>
                <w:highlight w:val="none"/>
              </w:rPr>
            </w:pPr>
          </w:p>
        </w:tc>
        <w:tc>
          <w:tcPr>
            <w:tcW w:w="960" w:type="dxa"/>
            <w:vAlign w:val="top"/>
          </w:tcPr>
          <w:p>
            <w:pPr>
              <w:spacing w:before="163" w:beforeLines="50" w:line="360" w:lineRule="auto"/>
              <w:jc w:val="center"/>
              <w:rPr>
                <w:rFonts w:hint="eastAsia" w:ascii="宋体" w:hAnsi="宋体" w:eastAsia="宋体" w:cs="宋体"/>
                <w:szCs w:val="24"/>
                <w:highlight w:val="none"/>
              </w:rPr>
            </w:pPr>
          </w:p>
        </w:tc>
        <w:tc>
          <w:tcPr>
            <w:tcW w:w="1485" w:type="dxa"/>
            <w:tcBorders>
              <w:right w:val="single" w:color="auto" w:sz="4" w:space="0"/>
            </w:tcBorders>
            <w:vAlign w:val="top"/>
          </w:tcPr>
          <w:p>
            <w:pPr>
              <w:spacing w:before="163" w:beforeLines="50" w:line="360" w:lineRule="auto"/>
              <w:jc w:val="center"/>
              <w:rPr>
                <w:rFonts w:hint="eastAsia" w:ascii="宋体" w:hAnsi="宋体" w:eastAsia="宋体" w:cs="宋体"/>
                <w:szCs w:val="24"/>
                <w:highlight w:val="none"/>
              </w:rPr>
            </w:pPr>
          </w:p>
        </w:tc>
        <w:tc>
          <w:tcPr>
            <w:tcW w:w="1695" w:type="dxa"/>
            <w:tcBorders>
              <w:left w:val="single" w:color="auto" w:sz="4" w:space="0"/>
            </w:tcBorders>
            <w:vAlign w:val="top"/>
          </w:tcPr>
          <w:p>
            <w:pPr>
              <w:spacing w:before="163" w:beforeLines="50" w:line="360" w:lineRule="auto"/>
              <w:jc w:val="center"/>
              <w:rPr>
                <w:rFonts w:hint="eastAsia" w:ascii="宋体" w:hAnsi="宋体" w:eastAsia="宋体" w:cs="宋体"/>
                <w:szCs w:val="24"/>
                <w:highlight w:val="none"/>
              </w:rPr>
            </w:pPr>
          </w:p>
        </w:tc>
        <w:tc>
          <w:tcPr>
            <w:tcW w:w="825" w:type="dxa"/>
            <w:tcBorders>
              <w:right w:val="single" w:color="auto" w:sz="4" w:space="0"/>
            </w:tcBorders>
            <w:vAlign w:val="top"/>
          </w:tcPr>
          <w:p>
            <w:pPr>
              <w:spacing w:before="163" w:beforeLines="50" w:line="360" w:lineRule="auto"/>
              <w:jc w:val="center"/>
              <w:rPr>
                <w:rFonts w:hint="eastAsia" w:ascii="宋体" w:hAnsi="宋体" w:eastAsia="宋体" w:cs="宋体"/>
                <w:szCs w:val="24"/>
                <w:highlight w:val="none"/>
              </w:rPr>
            </w:pPr>
          </w:p>
        </w:tc>
        <w:tc>
          <w:tcPr>
            <w:tcW w:w="735" w:type="dxa"/>
            <w:tcBorders>
              <w:left w:val="single" w:color="auto" w:sz="4" w:space="0"/>
              <w:right w:val="single" w:color="auto" w:sz="4" w:space="0"/>
            </w:tcBorders>
            <w:vAlign w:val="top"/>
          </w:tcPr>
          <w:p>
            <w:pPr>
              <w:spacing w:before="163" w:beforeLines="50" w:line="360" w:lineRule="auto"/>
              <w:jc w:val="center"/>
              <w:rPr>
                <w:rFonts w:hint="eastAsia" w:ascii="宋体" w:hAnsi="宋体" w:eastAsia="宋体" w:cs="宋体"/>
                <w:szCs w:val="24"/>
                <w:highlight w:val="none"/>
              </w:rPr>
            </w:pPr>
          </w:p>
        </w:tc>
        <w:tc>
          <w:tcPr>
            <w:tcW w:w="1050" w:type="dxa"/>
            <w:tcBorders>
              <w:left w:val="single" w:color="auto" w:sz="4" w:space="0"/>
            </w:tcBorders>
            <w:vAlign w:val="top"/>
          </w:tcPr>
          <w:p>
            <w:pPr>
              <w:spacing w:before="163" w:beforeLines="50" w:line="360" w:lineRule="auto"/>
              <w:jc w:val="center"/>
              <w:rPr>
                <w:rFonts w:hint="eastAsia" w:ascii="宋体" w:hAnsi="宋体" w:eastAsia="宋体" w:cs="宋体"/>
                <w:szCs w:val="24"/>
                <w:highlight w:val="none"/>
              </w:rPr>
            </w:pPr>
          </w:p>
        </w:tc>
        <w:tc>
          <w:tcPr>
            <w:tcW w:w="1215" w:type="dxa"/>
            <w:tcBorders>
              <w:right w:val="single" w:color="auto" w:sz="4" w:space="0"/>
            </w:tcBorders>
            <w:vAlign w:val="top"/>
          </w:tcPr>
          <w:p>
            <w:pPr>
              <w:spacing w:before="163" w:beforeLines="50" w:line="360" w:lineRule="auto"/>
              <w:jc w:val="center"/>
              <w:rPr>
                <w:rFonts w:hint="eastAsia" w:ascii="宋体" w:hAnsi="宋体" w:eastAsia="宋体" w:cs="宋体"/>
                <w:szCs w:val="24"/>
                <w:highlight w:val="none"/>
              </w:rPr>
            </w:pPr>
          </w:p>
        </w:tc>
        <w:tc>
          <w:tcPr>
            <w:tcW w:w="903" w:type="dxa"/>
            <w:tcBorders>
              <w:right w:val="single" w:color="auto" w:sz="4" w:space="0"/>
            </w:tcBorders>
            <w:vAlign w:val="top"/>
          </w:tcPr>
          <w:p>
            <w:pPr>
              <w:spacing w:before="163" w:beforeLines="50" w:line="360" w:lineRule="auto"/>
              <w:jc w:val="center"/>
              <w:rPr>
                <w:rFonts w:hint="eastAsia" w:ascii="宋体" w:hAnsi="宋体" w:eastAsia="宋体" w:cs="宋体"/>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vAlign w:val="top"/>
          </w:tcPr>
          <w:p>
            <w:pPr>
              <w:spacing w:before="163" w:beforeLines="50" w:line="360" w:lineRule="auto"/>
              <w:jc w:val="center"/>
              <w:rPr>
                <w:rFonts w:hint="eastAsia" w:ascii="宋体" w:hAnsi="宋体" w:eastAsia="宋体" w:cs="宋体"/>
                <w:szCs w:val="24"/>
                <w:highlight w:val="none"/>
              </w:rPr>
            </w:pPr>
          </w:p>
        </w:tc>
        <w:tc>
          <w:tcPr>
            <w:tcW w:w="960" w:type="dxa"/>
            <w:vAlign w:val="top"/>
          </w:tcPr>
          <w:p>
            <w:pPr>
              <w:spacing w:before="163" w:beforeLines="50" w:line="360" w:lineRule="auto"/>
              <w:jc w:val="center"/>
              <w:rPr>
                <w:rFonts w:hint="eastAsia" w:ascii="宋体" w:hAnsi="宋体" w:eastAsia="宋体" w:cs="宋体"/>
                <w:szCs w:val="24"/>
                <w:highlight w:val="none"/>
              </w:rPr>
            </w:pPr>
          </w:p>
        </w:tc>
        <w:tc>
          <w:tcPr>
            <w:tcW w:w="1485" w:type="dxa"/>
            <w:tcBorders>
              <w:right w:val="single" w:color="auto" w:sz="4" w:space="0"/>
            </w:tcBorders>
            <w:vAlign w:val="top"/>
          </w:tcPr>
          <w:p>
            <w:pPr>
              <w:spacing w:before="163" w:beforeLines="50" w:line="360" w:lineRule="auto"/>
              <w:jc w:val="center"/>
              <w:rPr>
                <w:rFonts w:hint="eastAsia" w:ascii="宋体" w:hAnsi="宋体" w:eastAsia="宋体" w:cs="宋体"/>
                <w:szCs w:val="24"/>
                <w:highlight w:val="none"/>
              </w:rPr>
            </w:pPr>
          </w:p>
        </w:tc>
        <w:tc>
          <w:tcPr>
            <w:tcW w:w="1695" w:type="dxa"/>
            <w:tcBorders>
              <w:left w:val="single" w:color="auto" w:sz="4" w:space="0"/>
            </w:tcBorders>
            <w:vAlign w:val="top"/>
          </w:tcPr>
          <w:p>
            <w:pPr>
              <w:spacing w:before="163" w:beforeLines="50" w:line="360" w:lineRule="auto"/>
              <w:jc w:val="center"/>
              <w:rPr>
                <w:rFonts w:hint="eastAsia" w:ascii="宋体" w:hAnsi="宋体" w:eastAsia="宋体" w:cs="宋体"/>
                <w:szCs w:val="24"/>
                <w:highlight w:val="none"/>
              </w:rPr>
            </w:pPr>
          </w:p>
        </w:tc>
        <w:tc>
          <w:tcPr>
            <w:tcW w:w="825" w:type="dxa"/>
            <w:tcBorders>
              <w:right w:val="single" w:color="auto" w:sz="4" w:space="0"/>
            </w:tcBorders>
            <w:vAlign w:val="top"/>
          </w:tcPr>
          <w:p>
            <w:pPr>
              <w:spacing w:before="163" w:beforeLines="50" w:line="360" w:lineRule="auto"/>
              <w:jc w:val="center"/>
              <w:rPr>
                <w:rFonts w:hint="eastAsia" w:ascii="宋体" w:hAnsi="宋体" w:eastAsia="宋体" w:cs="宋体"/>
                <w:szCs w:val="24"/>
                <w:highlight w:val="none"/>
              </w:rPr>
            </w:pPr>
          </w:p>
        </w:tc>
        <w:tc>
          <w:tcPr>
            <w:tcW w:w="735" w:type="dxa"/>
            <w:tcBorders>
              <w:left w:val="single" w:color="auto" w:sz="4" w:space="0"/>
              <w:right w:val="single" w:color="auto" w:sz="4" w:space="0"/>
            </w:tcBorders>
            <w:vAlign w:val="top"/>
          </w:tcPr>
          <w:p>
            <w:pPr>
              <w:spacing w:before="163" w:beforeLines="50" w:line="360" w:lineRule="auto"/>
              <w:jc w:val="center"/>
              <w:rPr>
                <w:rFonts w:hint="eastAsia" w:ascii="宋体" w:hAnsi="宋体" w:eastAsia="宋体" w:cs="宋体"/>
                <w:szCs w:val="24"/>
                <w:highlight w:val="none"/>
              </w:rPr>
            </w:pPr>
          </w:p>
        </w:tc>
        <w:tc>
          <w:tcPr>
            <w:tcW w:w="1050" w:type="dxa"/>
            <w:tcBorders>
              <w:left w:val="single" w:color="auto" w:sz="4" w:space="0"/>
            </w:tcBorders>
            <w:vAlign w:val="top"/>
          </w:tcPr>
          <w:p>
            <w:pPr>
              <w:spacing w:before="163" w:beforeLines="50" w:line="360" w:lineRule="auto"/>
              <w:jc w:val="center"/>
              <w:rPr>
                <w:rFonts w:hint="eastAsia" w:ascii="宋体" w:hAnsi="宋体" w:eastAsia="宋体" w:cs="宋体"/>
                <w:szCs w:val="24"/>
                <w:highlight w:val="none"/>
              </w:rPr>
            </w:pPr>
          </w:p>
        </w:tc>
        <w:tc>
          <w:tcPr>
            <w:tcW w:w="1215" w:type="dxa"/>
            <w:tcBorders>
              <w:right w:val="single" w:color="auto" w:sz="4" w:space="0"/>
            </w:tcBorders>
            <w:vAlign w:val="top"/>
          </w:tcPr>
          <w:p>
            <w:pPr>
              <w:spacing w:before="163" w:beforeLines="50" w:line="360" w:lineRule="auto"/>
              <w:jc w:val="center"/>
              <w:rPr>
                <w:rFonts w:hint="eastAsia" w:ascii="宋体" w:hAnsi="宋体" w:eastAsia="宋体" w:cs="宋体"/>
                <w:szCs w:val="24"/>
                <w:highlight w:val="none"/>
              </w:rPr>
            </w:pPr>
          </w:p>
        </w:tc>
        <w:tc>
          <w:tcPr>
            <w:tcW w:w="903" w:type="dxa"/>
            <w:tcBorders>
              <w:right w:val="single" w:color="auto" w:sz="4" w:space="0"/>
            </w:tcBorders>
            <w:vAlign w:val="top"/>
          </w:tcPr>
          <w:p>
            <w:pPr>
              <w:spacing w:before="163" w:beforeLines="50" w:line="360" w:lineRule="auto"/>
              <w:jc w:val="center"/>
              <w:rPr>
                <w:rFonts w:hint="eastAsia" w:ascii="宋体" w:hAnsi="宋体" w:eastAsia="宋体" w:cs="宋体"/>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vAlign w:val="top"/>
          </w:tcPr>
          <w:p>
            <w:pPr>
              <w:spacing w:before="163" w:beforeLines="50" w:line="360" w:lineRule="auto"/>
              <w:jc w:val="center"/>
              <w:rPr>
                <w:rFonts w:hint="eastAsia" w:ascii="宋体" w:hAnsi="宋体" w:eastAsia="宋体" w:cs="宋体"/>
                <w:szCs w:val="24"/>
                <w:highlight w:val="none"/>
              </w:rPr>
            </w:pPr>
          </w:p>
        </w:tc>
        <w:tc>
          <w:tcPr>
            <w:tcW w:w="960" w:type="dxa"/>
            <w:vAlign w:val="top"/>
          </w:tcPr>
          <w:p>
            <w:pPr>
              <w:spacing w:before="163" w:beforeLines="50" w:line="360" w:lineRule="auto"/>
              <w:jc w:val="center"/>
              <w:rPr>
                <w:rFonts w:hint="eastAsia" w:ascii="宋体" w:hAnsi="宋体" w:eastAsia="宋体" w:cs="宋体"/>
                <w:szCs w:val="24"/>
                <w:highlight w:val="none"/>
              </w:rPr>
            </w:pPr>
          </w:p>
        </w:tc>
        <w:tc>
          <w:tcPr>
            <w:tcW w:w="1485" w:type="dxa"/>
            <w:tcBorders>
              <w:right w:val="single" w:color="auto" w:sz="4" w:space="0"/>
            </w:tcBorders>
            <w:vAlign w:val="top"/>
          </w:tcPr>
          <w:p>
            <w:pPr>
              <w:spacing w:before="163" w:beforeLines="50" w:line="360" w:lineRule="auto"/>
              <w:jc w:val="center"/>
              <w:rPr>
                <w:rFonts w:hint="eastAsia" w:ascii="宋体" w:hAnsi="宋体" w:eastAsia="宋体" w:cs="宋体"/>
                <w:szCs w:val="24"/>
                <w:highlight w:val="none"/>
              </w:rPr>
            </w:pPr>
          </w:p>
        </w:tc>
        <w:tc>
          <w:tcPr>
            <w:tcW w:w="1695" w:type="dxa"/>
            <w:tcBorders>
              <w:left w:val="single" w:color="auto" w:sz="4" w:space="0"/>
            </w:tcBorders>
            <w:vAlign w:val="top"/>
          </w:tcPr>
          <w:p>
            <w:pPr>
              <w:spacing w:before="163" w:beforeLines="50" w:line="360" w:lineRule="auto"/>
              <w:jc w:val="center"/>
              <w:rPr>
                <w:rFonts w:hint="eastAsia" w:ascii="宋体" w:hAnsi="宋体" w:eastAsia="宋体" w:cs="宋体"/>
                <w:szCs w:val="24"/>
                <w:highlight w:val="none"/>
              </w:rPr>
            </w:pPr>
          </w:p>
        </w:tc>
        <w:tc>
          <w:tcPr>
            <w:tcW w:w="825" w:type="dxa"/>
            <w:tcBorders>
              <w:right w:val="single" w:color="auto" w:sz="4" w:space="0"/>
            </w:tcBorders>
            <w:vAlign w:val="top"/>
          </w:tcPr>
          <w:p>
            <w:pPr>
              <w:spacing w:before="163" w:beforeLines="50" w:line="360" w:lineRule="auto"/>
              <w:jc w:val="center"/>
              <w:rPr>
                <w:rFonts w:hint="eastAsia" w:ascii="宋体" w:hAnsi="宋体" w:eastAsia="宋体" w:cs="宋体"/>
                <w:szCs w:val="24"/>
                <w:highlight w:val="none"/>
              </w:rPr>
            </w:pPr>
          </w:p>
        </w:tc>
        <w:tc>
          <w:tcPr>
            <w:tcW w:w="735" w:type="dxa"/>
            <w:tcBorders>
              <w:left w:val="single" w:color="auto" w:sz="4" w:space="0"/>
              <w:right w:val="single" w:color="auto" w:sz="4" w:space="0"/>
            </w:tcBorders>
            <w:vAlign w:val="top"/>
          </w:tcPr>
          <w:p>
            <w:pPr>
              <w:spacing w:before="163" w:beforeLines="50" w:line="360" w:lineRule="auto"/>
              <w:jc w:val="center"/>
              <w:rPr>
                <w:rFonts w:hint="eastAsia" w:ascii="宋体" w:hAnsi="宋体" w:eastAsia="宋体" w:cs="宋体"/>
                <w:szCs w:val="24"/>
                <w:highlight w:val="none"/>
              </w:rPr>
            </w:pPr>
          </w:p>
        </w:tc>
        <w:tc>
          <w:tcPr>
            <w:tcW w:w="1050" w:type="dxa"/>
            <w:tcBorders>
              <w:left w:val="single" w:color="auto" w:sz="4" w:space="0"/>
            </w:tcBorders>
            <w:vAlign w:val="top"/>
          </w:tcPr>
          <w:p>
            <w:pPr>
              <w:spacing w:before="163" w:beforeLines="50" w:line="360" w:lineRule="auto"/>
              <w:jc w:val="center"/>
              <w:rPr>
                <w:rFonts w:hint="eastAsia" w:ascii="宋体" w:hAnsi="宋体" w:eastAsia="宋体" w:cs="宋体"/>
                <w:szCs w:val="24"/>
                <w:highlight w:val="none"/>
              </w:rPr>
            </w:pPr>
          </w:p>
        </w:tc>
        <w:tc>
          <w:tcPr>
            <w:tcW w:w="1215" w:type="dxa"/>
            <w:tcBorders>
              <w:right w:val="single" w:color="auto" w:sz="4" w:space="0"/>
            </w:tcBorders>
            <w:vAlign w:val="top"/>
          </w:tcPr>
          <w:p>
            <w:pPr>
              <w:spacing w:before="163" w:beforeLines="50" w:line="360" w:lineRule="auto"/>
              <w:jc w:val="center"/>
              <w:rPr>
                <w:rFonts w:hint="eastAsia" w:ascii="宋体" w:hAnsi="宋体" w:eastAsia="宋体" w:cs="宋体"/>
                <w:szCs w:val="24"/>
                <w:highlight w:val="none"/>
              </w:rPr>
            </w:pPr>
          </w:p>
        </w:tc>
        <w:tc>
          <w:tcPr>
            <w:tcW w:w="903" w:type="dxa"/>
            <w:tcBorders>
              <w:right w:val="single" w:color="auto" w:sz="4" w:space="0"/>
            </w:tcBorders>
            <w:vAlign w:val="top"/>
          </w:tcPr>
          <w:p>
            <w:pPr>
              <w:spacing w:before="163" w:beforeLines="50" w:line="360" w:lineRule="auto"/>
              <w:jc w:val="center"/>
              <w:rPr>
                <w:rFonts w:hint="eastAsia" w:ascii="宋体" w:hAnsi="宋体" w:eastAsia="宋体" w:cs="宋体"/>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vAlign w:val="top"/>
          </w:tcPr>
          <w:p>
            <w:pPr>
              <w:spacing w:before="163" w:beforeLines="50" w:line="360" w:lineRule="auto"/>
              <w:jc w:val="center"/>
              <w:rPr>
                <w:rFonts w:hint="eastAsia" w:ascii="宋体" w:hAnsi="宋体" w:eastAsia="宋体" w:cs="宋体"/>
                <w:szCs w:val="24"/>
                <w:highlight w:val="none"/>
              </w:rPr>
            </w:pPr>
          </w:p>
        </w:tc>
        <w:tc>
          <w:tcPr>
            <w:tcW w:w="960" w:type="dxa"/>
            <w:vAlign w:val="top"/>
          </w:tcPr>
          <w:p>
            <w:pPr>
              <w:spacing w:before="163" w:beforeLines="50" w:line="360" w:lineRule="auto"/>
              <w:jc w:val="center"/>
              <w:rPr>
                <w:rFonts w:hint="eastAsia" w:ascii="宋体" w:hAnsi="宋体" w:eastAsia="宋体" w:cs="宋体"/>
                <w:szCs w:val="24"/>
                <w:highlight w:val="none"/>
              </w:rPr>
            </w:pPr>
          </w:p>
        </w:tc>
        <w:tc>
          <w:tcPr>
            <w:tcW w:w="1485" w:type="dxa"/>
            <w:tcBorders>
              <w:right w:val="single" w:color="auto" w:sz="4" w:space="0"/>
            </w:tcBorders>
            <w:vAlign w:val="top"/>
          </w:tcPr>
          <w:p>
            <w:pPr>
              <w:spacing w:before="163" w:beforeLines="50" w:line="360" w:lineRule="auto"/>
              <w:jc w:val="center"/>
              <w:rPr>
                <w:rFonts w:hint="eastAsia" w:ascii="宋体" w:hAnsi="宋体" w:eastAsia="宋体" w:cs="宋体"/>
                <w:szCs w:val="24"/>
                <w:highlight w:val="none"/>
              </w:rPr>
            </w:pPr>
          </w:p>
        </w:tc>
        <w:tc>
          <w:tcPr>
            <w:tcW w:w="1695" w:type="dxa"/>
            <w:tcBorders>
              <w:left w:val="single" w:color="auto" w:sz="4" w:space="0"/>
            </w:tcBorders>
            <w:vAlign w:val="top"/>
          </w:tcPr>
          <w:p>
            <w:pPr>
              <w:spacing w:before="163" w:beforeLines="50" w:line="360" w:lineRule="auto"/>
              <w:jc w:val="center"/>
              <w:rPr>
                <w:rFonts w:hint="eastAsia" w:ascii="宋体" w:hAnsi="宋体" w:eastAsia="宋体" w:cs="宋体"/>
                <w:szCs w:val="24"/>
                <w:highlight w:val="none"/>
              </w:rPr>
            </w:pPr>
          </w:p>
        </w:tc>
        <w:tc>
          <w:tcPr>
            <w:tcW w:w="825" w:type="dxa"/>
            <w:tcBorders>
              <w:right w:val="single" w:color="auto" w:sz="4" w:space="0"/>
            </w:tcBorders>
            <w:vAlign w:val="top"/>
          </w:tcPr>
          <w:p>
            <w:pPr>
              <w:spacing w:before="163" w:beforeLines="50" w:line="360" w:lineRule="auto"/>
              <w:jc w:val="center"/>
              <w:rPr>
                <w:rFonts w:hint="eastAsia" w:ascii="宋体" w:hAnsi="宋体" w:eastAsia="宋体" w:cs="宋体"/>
                <w:szCs w:val="24"/>
                <w:highlight w:val="none"/>
              </w:rPr>
            </w:pPr>
          </w:p>
        </w:tc>
        <w:tc>
          <w:tcPr>
            <w:tcW w:w="735" w:type="dxa"/>
            <w:tcBorders>
              <w:left w:val="single" w:color="auto" w:sz="4" w:space="0"/>
              <w:right w:val="single" w:color="auto" w:sz="4" w:space="0"/>
            </w:tcBorders>
            <w:vAlign w:val="top"/>
          </w:tcPr>
          <w:p>
            <w:pPr>
              <w:spacing w:before="163" w:beforeLines="50" w:line="360" w:lineRule="auto"/>
              <w:jc w:val="center"/>
              <w:rPr>
                <w:rFonts w:hint="eastAsia" w:ascii="宋体" w:hAnsi="宋体" w:eastAsia="宋体" w:cs="宋体"/>
                <w:szCs w:val="24"/>
                <w:highlight w:val="none"/>
              </w:rPr>
            </w:pPr>
          </w:p>
        </w:tc>
        <w:tc>
          <w:tcPr>
            <w:tcW w:w="1050" w:type="dxa"/>
            <w:tcBorders>
              <w:left w:val="single" w:color="auto" w:sz="4" w:space="0"/>
            </w:tcBorders>
            <w:vAlign w:val="top"/>
          </w:tcPr>
          <w:p>
            <w:pPr>
              <w:spacing w:before="163" w:beforeLines="50" w:line="360" w:lineRule="auto"/>
              <w:jc w:val="center"/>
              <w:rPr>
                <w:rFonts w:hint="eastAsia" w:ascii="宋体" w:hAnsi="宋体" w:eastAsia="宋体" w:cs="宋体"/>
                <w:szCs w:val="24"/>
                <w:highlight w:val="none"/>
              </w:rPr>
            </w:pPr>
          </w:p>
        </w:tc>
        <w:tc>
          <w:tcPr>
            <w:tcW w:w="1215" w:type="dxa"/>
            <w:tcBorders>
              <w:right w:val="single" w:color="auto" w:sz="4" w:space="0"/>
            </w:tcBorders>
            <w:vAlign w:val="top"/>
          </w:tcPr>
          <w:p>
            <w:pPr>
              <w:spacing w:before="163" w:beforeLines="50" w:line="360" w:lineRule="auto"/>
              <w:jc w:val="center"/>
              <w:rPr>
                <w:rFonts w:hint="eastAsia" w:ascii="宋体" w:hAnsi="宋体" w:eastAsia="宋体" w:cs="宋体"/>
                <w:szCs w:val="24"/>
                <w:highlight w:val="none"/>
              </w:rPr>
            </w:pPr>
          </w:p>
        </w:tc>
        <w:tc>
          <w:tcPr>
            <w:tcW w:w="903" w:type="dxa"/>
            <w:tcBorders>
              <w:right w:val="single" w:color="auto" w:sz="4" w:space="0"/>
            </w:tcBorders>
            <w:vAlign w:val="top"/>
          </w:tcPr>
          <w:p>
            <w:pPr>
              <w:spacing w:before="163" w:beforeLines="50" w:line="360" w:lineRule="auto"/>
              <w:jc w:val="center"/>
              <w:rPr>
                <w:rFonts w:hint="eastAsia" w:ascii="宋体" w:hAnsi="宋体" w:eastAsia="宋体" w:cs="宋体"/>
                <w:szCs w:val="24"/>
                <w:highlight w:val="none"/>
              </w:rPr>
            </w:pPr>
          </w:p>
        </w:tc>
      </w:tr>
    </w:tbl>
    <w:p>
      <w:pPr>
        <w:pStyle w:val="9"/>
        <w:rPr>
          <w:rFonts w:hint="eastAsia" w:ascii="宋体" w:hAnsi="宋体" w:eastAsia="宋体" w:cs="宋体"/>
          <w:highlight w:val="none"/>
        </w:rPr>
      </w:pPr>
    </w:p>
    <w:p>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九、安装、调试要求：</w:t>
      </w:r>
    </w:p>
    <w:p>
      <w:pPr>
        <w:keepNext w:val="0"/>
        <w:keepLines w:val="0"/>
        <w:pageBreakBefore w:val="0"/>
        <w:widowControl w:val="0"/>
        <w:tabs>
          <w:tab w:val="left" w:pos="840"/>
        </w:tabs>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详见竞争性谈判文件合同前附表。</w:t>
      </w:r>
    </w:p>
    <w:p>
      <w:pPr>
        <w:tabs>
          <w:tab w:val="left" w:pos="840"/>
        </w:tabs>
        <w:spacing w:line="360" w:lineRule="auto"/>
        <w:rPr>
          <w:rFonts w:hint="eastAsia" w:ascii="宋体" w:hAnsi="宋体" w:eastAsia="宋体" w:cs="宋体"/>
          <w:b/>
          <w:sz w:val="24"/>
          <w:highlight w:val="none"/>
        </w:rPr>
      </w:pPr>
      <w:r>
        <w:rPr>
          <w:rFonts w:hint="eastAsia" w:ascii="宋体" w:hAnsi="宋体" w:eastAsia="宋体" w:cs="宋体"/>
          <w:b/>
          <w:sz w:val="24"/>
          <w:highlight w:val="none"/>
        </w:rPr>
        <w:t>十、技术支持：</w:t>
      </w:r>
    </w:p>
    <w:p>
      <w:pPr>
        <w:spacing w:line="360" w:lineRule="auto"/>
        <w:ind w:firstLine="787" w:firstLineChars="328"/>
        <w:rPr>
          <w:rFonts w:hint="eastAsia" w:ascii="宋体" w:hAnsi="宋体" w:eastAsia="宋体" w:cs="宋体"/>
          <w:sz w:val="24"/>
          <w:highlight w:val="none"/>
        </w:rPr>
      </w:pPr>
      <w:r>
        <w:rPr>
          <w:rFonts w:hint="eastAsia" w:ascii="宋体" w:hAnsi="宋体" w:eastAsia="宋体" w:cs="宋体"/>
          <w:sz w:val="24"/>
          <w:highlight w:val="none"/>
        </w:rPr>
        <w:t>提供全年7×24小时的技术咨询服务。</w:t>
      </w:r>
    </w:p>
    <w:p>
      <w:pPr>
        <w:numPr>
          <w:ilvl w:val="0"/>
          <w:numId w:val="3"/>
        </w:num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技术培训：</w:t>
      </w:r>
    </w:p>
    <w:p>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 xml:space="preserve">   </w:t>
      </w:r>
      <w:r>
        <w:rPr>
          <w:rFonts w:hint="eastAsia" w:ascii="宋体" w:hAnsi="宋体" w:eastAsia="宋体" w:cs="宋体"/>
          <w:b/>
          <w:sz w:val="24"/>
          <w:highlight w:val="none"/>
          <w:lang w:val="en-US" w:eastAsia="zh-CN"/>
        </w:rPr>
        <w:t xml:space="preserve"> </w:t>
      </w:r>
      <w:r>
        <w:rPr>
          <w:rFonts w:hint="eastAsia" w:ascii="宋体" w:hAnsi="宋体" w:eastAsia="宋体" w:cs="宋体"/>
          <w:b/>
          <w:sz w:val="24"/>
          <w:highlight w:val="none"/>
        </w:rPr>
        <w:t xml:space="preserve">  </w:t>
      </w:r>
      <w:r>
        <w:rPr>
          <w:rFonts w:hint="eastAsia" w:ascii="宋体" w:hAnsi="宋体" w:eastAsia="宋体" w:cs="宋体"/>
          <w:sz w:val="24"/>
          <w:szCs w:val="24"/>
          <w:highlight w:val="none"/>
        </w:rPr>
        <w:t>详见竞争性谈判文件合同前附表。</w:t>
      </w:r>
    </w:p>
    <w:p>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十二、技术资料要求：</w:t>
      </w:r>
    </w:p>
    <w:p>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rPr>
        <w:t>详见竞争性谈判文件合同前附表。</w:t>
      </w:r>
      <w:r>
        <w:rPr>
          <w:rFonts w:hint="eastAsia" w:ascii="宋体" w:hAnsi="宋体" w:eastAsia="宋体" w:cs="宋体"/>
          <w:sz w:val="24"/>
          <w:szCs w:val="24"/>
          <w:highlight w:val="none"/>
          <w:lang w:eastAsia="zh-CN"/>
        </w:rPr>
        <w:t xml:space="preserve">  </w:t>
      </w:r>
    </w:p>
    <w:p>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十三、质量保证：</w:t>
      </w:r>
    </w:p>
    <w:p>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sz w:val="24"/>
          <w:szCs w:val="24"/>
          <w:highlight w:val="none"/>
        </w:rPr>
        <w:t xml:space="preserve">  详见竞争性谈判文件合同前附表。</w:t>
      </w:r>
    </w:p>
    <w:p>
      <w:pPr>
        <w:spacing w:line="360" w:lineRule="auto"/>
        <w:rPr>
          <w:rFonts w:hint="eastAsia" w:ascii="宋体" w:hAnsi="宋体" w:eastAsia="宋体" w:cs="宋体"/>
          <w:sz w:val="24"/>
          <w:szCs w:val="24"/>
          <w:highlight w:val="none"/>
        </w:rPr>
      </w:pPr>
      <w:r>
        <w:rPr>
          <w:rFonts w:hint="eastAsia" w:ascii="宋体" w:hAnsi="宋体" w:eastAsia="宋体" w:cs="宋体"/>
          <w:b/>
          <w:sz w:val="24"/>
          <w:szCs w:val="24"/>
          <w:highlight w:val="none"/>
        </w:rPr>
        <w:t>十四、验收:</w:t>
      </w:r>
      <w:r>
        <w:rPr>
          <w:rFonts w:hint="eastAsia" w:ascii="宋体" w:hAnsi="宋体" w:eastAsia="宋体" w:cs="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详见竞争性谈判文件合同前附表。</w:t>
      </w:r>
    </w:p>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十五、质保及维保服务（提供售后服务承诺书）：</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详见竞争性谈判文件合同前附表。</w:t>
      </w:r>
    </w:p>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十六、保密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双方须对工作中了解到的使用单位技术、机密等进行严格保密，不得向他人泄漏。</w:t>
      </w:r>
    </w:p>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十七、知识产权</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应保证谈判产品及服务不会出现因第三方提出侵犯其专利权、商标权或其它知识产权而引发法律或经济纠纷，否则由供应商承担全部责任。任何被供应商用于未经授权的商业目的行为所造成的违约或侵权责任由供应商承但。</w:t>
      </w:r>
    </w:p>
    <w:p>
      <w:pPr>
        <w:spacing w:line="360" w:lineRule="auto"/>
        <w:rPr>
          <w:rFonts w:hint="eastAsia" w:ascii="宋体" w:hAnsi="宋体" w:eastAsia="宋体" w:cs="宋体"/>
          <w:sz w:val="24"/>
          <w:highlight w:val="none"/>
        </w:rPr>
      </w:pPr>
      <w:r>
        <w:rPr>
          <w:rFonts w:hint="eastAsia" w:ascii="宋体" w:hAnsi="宋体" w:eastAsia="宋体" w:cs="宋体"/>
          <w:b/>
          <w:sz w:val="24"/>
          <w:highlight w:val="none"/>
        </w:rPr>
        <w:t>十八、合同争议的解决：</w:t>
      </w:r>
      <w:r>
        <w:rPr>
          <w:rFonts w:hint="eastAsia" w:ascii="宋体" w:hAnsi="宋体" w:eastAsia="宋体" w:cs="宋体"/>
          <w:sz w:val="24"/>
          <w:highlight w:val="none"/>
        </w:rPr>
        <w:t>合同执行中发生争议的，当事人双方应协商解决，协商达不成一致时，可向当地行政仲裁机关申请仲裁或者向人民法院提请诉讼。</w:t>
      </w:r>
    </w:p>
    <w:p>
      <w:pPr>
        <w:spacing w:line="360" w:lineRule="auto"/>
        <w:rPr>
          <w:rFonts w:hint="eastAsia" w:ascii="宋体" w:hAnsi="宋体" w:eastAsia="宋体" w:cs="宋体"/>
          <w:sz w:val="24"/>
          <w:highlight w:val="none"/>
        </w:rPr>
      </w:pPr>
      <w:r>
        <w:rPr>
          <w:rFonts w:hint="eastAsia" w:ascii="宋体" w:hAnsi="宋体" w:eastAsia="宋体" w:cs="宋体"/>
          <w:b/>
          <w:sz w:val="24"/>
          <w:highlight w:val="none"/>
        </w:rPr>
        <w:t>十九、</w:t>
      </w:r>
      <w:r>
        <w:rPr>
          <w:rFonts w:hint="eastAsia" w:ascii="宋体" w:hAnsi="宋体" w:eastAsia="宋体" w:cs="宋体"/>
          <w:sz w:val="24"/>
          <w:highlight w:val="none"/>
        </w:rPr>
        <w:t>在发生不可抗力情况下的应对措施和解决办法。</w:t>
      </w:r>
    </w:p>
    <w:p>
      <w:pPr>
        <w:spacing w:line="360" w:lineRule="auto"/>
        <w:rPr>
          <w:rFonts w:hint="eastAsia" w:ascii="宋体" w:hAnsi="宋体" w:eastAsia="宋体" w:cs="宋体"/>
          <w:sz w:val="24"/>
          <w:highlight w:val="none"/>
        </w:rPr>
      </w:pPr>
      <w:r>
        <w:rPr>
          <w:rFonts w:hint="eastAsia" w:ascii="宋体" w:hAnsi="宋体" w:eastAsia="宋体" w:cs="宋体"/>
          <w:b/>
          <w:sz w:val="24"/>
          <w:highlight w:val="none"/>
        </w:rPr>
        <w:t>二十、</w:t>
      </w:r>
      <w:r>
        <w:rPr>
          <w:rFonts w:hint="eastAsia" w:ascii="宋体" w:hAnsi="宋体" w:eastAsia="宋体" w:cs="宋体"/>
          <w:sz w:val="24"/>
          <w:highlight w:val="none"/>
        </w:rPr>
        <w:t>合同一经签订，不得擅自变更、中止或者终止合同。对确需变更、调整或者中止、终止合同的，应按规定履行相应的手续。</w:t>
      </w:r>
    </w:p>
    <w:p>
      <w:pPr>
        <w:spacing w:line="360" w:lineRule="auto"/>
        <w:rPr>
          <w:rFonts w:hint="eastAsia" w:ascii="宋体" w:hAnsi="宋体" w:eastAsia="宋体" w:cs="宋体"/>
          <w:sz w:val="24"/>
          <w:highlight w:val="none"/>
        </w:rPr>
      </w:pPr>
      <w:r>
        <w:rPr>
          <w:rFonts w:hint="eastAsia" w:ascii="宋体" w:hAnsi="宋体" w:eastAsia="宋体" w:cs="宋体"/>
          <w:b/>
          <w:sz w:val="24"/>
          <w:highlight w:val="none"/>
        </w:rPr>
        <w:t>二十一、违约责任：</w:t>
      </w:r>
      <w:r>
        <w:rPr>
          <w:rFonts w:hint="eastAsia" w:ascii="宋体" w:hAnsi="宋体" w:eastAsia="宋体" w:cs="宋体"/>
          <w:sz w:val="24"/>
          <w:highlight w:val="none"/>
        </w:rPr>
        <w:t>依据《中华人民共和国</w:t>
      </w:r>
      <w:r>
        <w:rPr>
          <w:rFonts w:hint="eastAsia" w:ascii="宋体" w:hAnsi="宋体" w:eastAsia="宋体" w:cs="宋体"/>
          <w:sz w:val="24"/>
          <w:highlight w:val="none"/>
          <w:lang w:eastAsia="zh-CN"/>
        </w:rPr>
        <w:t>民法典</w:t>
      </w:r>
      <w:r>
        <w:rPr>
          <w:rFonts w:hint="eastAsia" w:ascii="宋体" w:hAnsi="宋体" w:eastAsia="宋体" w:cs="宋体"/>
          <w:sz w:val="24"/>
          <w:highlight w:val="none"/>
        </w:rPr>
        <w:t>》、《中华人民共和国政府采购法》的相关条款和本合同约定，成交供应商未全面履行合同义务或者发生违约，采购单位会同采购代理机构有权终止合同，依法向成交供应商进行经济索赔，并报请政府采购监督管理机关进行相应的行政处罚。采购单位违约的，应当赔偿给成交供应商造成的经济损失。</w:t>
      </w:r>
    </w:p>
    <w:p>
      <w:pPr>
        <w:spacing w:line="360" w:lineRule="auto"/>
        <w:rPr>
          <w:rFonts w:hint="eastAsia" w:ascii="宋体" w:hAnsi="宋体" w:eastAsia="宋体" w:cs="宋体"/>
          <w:sz w:val="24"/>
          <w:highlight w:val="none"/>
        </w:rPr>
      </w:pPr>
      <w:r>
        <w:rPr>
          <w:rFonts w:hint="eastAsia" w:ascii="宋体" w:hAnsi="宋体" w:eastAsia="宋体" w:cs="宋体"/>
          <w:b/>
          <w:sz w:val="24"/>
          <w:highlight w:val="none"/>
        </w:rPr>
        <w:t>二十二、其他（</w:t>
      </w:r>
      <w:r>
        <w:rPr>
          <w:rFonts w:hint="eastAsia" w:ascii="宋体" w:hAnsi="宋体" w:eastAsia="宋体" w:cs="宋体"/>
          <w:sz w:val="24"/>
          <w:highlight w:val="none"/>
        </w:rPr>
        <w:t>在合同中具体明确）</w:t>
      </w:r>
    </w:p>
    <w:p>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二十三、合同订立</w:t>
      </w:r>
    </w:p>
    <w:p>
      <w:pPr>
        <w:adjustRightInd w:val="0"/>
        <w:snapToGrid w:val="0"/>
        <w:spacing w:line="360" w:lineRule="auto"/>
        <w:ind w:firstLine="475" w:firstLineChars="198"/>
        <w:rPr>
          <w:rFonts w:hint="eastAsia" w:ascii="宋体" w:hAnsi="宋体" w:eastAsia="宋体" w:cs="宋体"/>
          <w:sz w:val="24"/>
          <w:highlight w:val="none"/>
        </w:rPr>
      </w:pPr>
      <w:r>
        <w:rPr>
          <w:rFonts w:hint="eastAsia" w:ascii="宋体" w:hAnsi="宋体" w:eastAsia="宋体" w:cs="宋体"/>
          <w:sz w:val="24"/>
          <w:highlight w:val="none"/>
        </w:rPr>
        <w:t>1. 订立时间：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pPr>
        <w:adjustRightInd w:val="0"/>
        <w:snapToGrid w:val="0"/>
        <w:spacing w:line="360" w:lineRule="auto"/>
        <w:ind w:firstLine="475" w:firstLineChars="198"/>
        <w:rPr>
          <w:rFonts w:hint="eastAsia" w:ascii="宋体" w:hAnsi="宋体" w:eastAsia="宋体" w:cs="宋体"/>
          <w:sz w:val="24"/>
          <w:highlight w:val="none"/>
        </w:rPr>
      </w:pPr>
      <w:r>
        <w:rPr>
          <w:rFonts w:hint="eastAsia" w:ascii="宋体" w:hAnsi="宋体" w:eastAsia="宋体" w:cs="宋体"/>
          <w:sz w:val="24"/>
          <w:highlight w:val="none"/>
        </w:rPr>
        <w:t>2. 订立地点：</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pPr>
        <w:tabs>
          <w:tab w:val="left" w:pos="980"/>
        </w:tabs>
        <w:kinsoku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 本合同一式</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份，具有同等法律效力，双方各执</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份，监管部门备案壹份、采购代理机构存档壹份。各方签字盖章后生效，合同执行完毕自动失效。（合同的服务承诺则长期有效）。</w:t>
      </w:r>
    </w:p>
    <w:p>
      <w:pPr>
        <w:pStyle w:val="9"/>
        <w:rPr>
          <w:rFonts w:hint="eastAsia" w:ascii="宋体" w:hAnsi="宋体" w:eastAsia="宋体" w:cs="宋体"/>
          <w:highlight w:val="none"/>
        </w:rPr>
      </w:pPr>
    </w:p>
    <w:p>
      <w:pPr>
        <w:adjustRightInd w:val="0"/>
        <w:snapToGrid w:val="0"/>
        <w:spacing w:line="360" w:lineRule="auto"/>
        <w:ind w:firstLine="475" w:firstLineChars="198"/>
        <w:rPr>
          <w:rFonts w:hint="eastAsia" w:ascii="宋体" w:hAnsi="宋体" w:eastAsia="宋体" w:cs="宋体"/>
          <w:sz w:val="24"/>
          <w:highlight w:val="none"/>
        </w:rPr>
      </w:pPr>
      <w:r>
        <w:rPr>
          <w:rFonts w:hint="eastAsia" w:ascii="宋体" w:hAnsi="宋体" w:eastAsia="宋体" w:cs="宋体"/>
          <w:sz w:val="24"/>
          <w:highlight w:val="none"/>
        </w:rPr>
        <w:t>采购人：</w:t>
      </w:r>
      <w:bookmarkStart w:id="36" w:name="OLE_LINK5"/>
      <w:r>
        <w:rPr>
          <w:rFonts w:hint="eastAsia" w:ascii="宋体" w:hAnsi="宋体" w:eastAsia="宋体" w:cs="宋体"/>
          <w:sz w:val="24"/>
          <w:highlight w:val="none"/>
          <w:u w:val="single"/>
        </w:rPr>
        <w:t xml:space="preserve">   （盖章）         </w:t>
      </w:r>
      <w:r>
        <w:rPr>
          <w:rFonts w:hint="eastAsia" w:ascii="宋体" w:hAnsi="宋体" w:eastAsia="宋体" w:cs="宋体"/>
          <w:sz w:val="24"/>
          <w:highlight w:val="none"/>
        </w:rPr>
        <w:t xml:space="preserve"> </w:t>
      </w:r>
      <w:bookmarkEnd w:id="36"/>
      <w:r>
        <w:rPr>
          <w:rFonts w:hint="eastAsia" w:ascii="宋体" w:hAnsi="宋体" w:eastAsia="宋体" w:cs="宋体"/>
          <w:sz w:val="24"/>
          <w:highlight w:val="none"/>
        </w:rPr>
        <w:t xml:space="preserve">     供应商：</w:t>
      </w:r>
      <w:r>
        <w:rPr>
          <w:rFonts w:hint="eastAsia" w:ascii="宋体" w:hAnsi="宋体" w:eastAsia="宋体" w:cs="宋体"/>
          <w:sz w:val="24"/>
          <w:highlight w:val="none"/>
          <w:u w:val="single"/>
        </w:rPr>
        <w:t xml:space="preserve">   （盖章）         </w:t>
      </w:r>
      <w:r>
        <w:rPr>
          <w:rFonts w:hint="eastAsia" w:ascii="宋体" w:hAnsi="宋体" w:eastAsia="宋体" w:cs="宋体"/>
          <w:sz w:val="24"/>
          <w:highlight w:val="none"/>
        </w:rPr>
        <w:t xml:space="preserve"> </w:t>
      </w:r>
    </w:p>
    <w:p>
      <w:pPr>
        <w:adjustRightInd w:val="0"/>
        <w:snapToGrid w:val="0"/>
        <w:spacing w:line="360" w:lineRule="auto"/>
        <w:ind w:firstLine="475" w:firstLineChars="198"/>
        <w:rPr>
          <w:rFonts w:hint="eastAsia" w:ascii="宋体" w:hAnsi="宋体" w:eastAsia="宋体" w:cs="宋体"/>
          <w:sz w:val="24"/>
          <w:highlight w:val="none"/>
        </w:rPr>
      </w:pPr>
      <w:r>
        <w:rPr>
          <w:rFonts w:hint="eastAsia" w:ascii="宋体" w:hAnsi="宋体" w:eastAsia="宋体" w:cs="宋体"/>
          <w:sz w:val="24"/>
          <w:highlight w:val="none"/>
        </w:rPr>
        <w:t xml:space="preserve">地  址：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地  址： </w:t>
      </w:r>
      <w:r>
        <w:rPr>
          <w:rFonts w:hint="eastAsia" w:ascii="宋体" w:hAnsi="宋体" w:eastAsia="宋体" w:cs="宋体"/>
          <w:sz w:val="24"/>
          <w:highlight w:val="none"/>
          <w:u w:val="single"/>
        </w:rPr>
        <w:t xml:space="preserve">                   </w:t>
      </w:r>
    </w:p>
    <w:p>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邮政编码：</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邮政编码：</w:t>
      </w:r>
      <w:r>
        <w:rPr>
          <w:rFonts w:hint="eastAsia" w:ascii="宋体" w:hAnsi="宋体" w:eastAsia="宋体" w:cs="宋体"/>
          <w:sz w:val="24"/>
          <w:highlight w:val="none"/>
          <w:u w:val="single"/>
        </w:rPr>
        <w:t xml:space="preserve">                  </w:t>
      </w:r>
    </w:p>
    <w:p>
      <w:pPr>
        <w:adjustRightInd w:val="0"/>
        <w:snapToGrid w:val="0"/>
        <w:spacing w:line="360" w:lineRule="auto"/>
        <w:ind w:firstLine="475" w:firstLineChars="198"/>
        <w:rPr>
          <w:rFonts w:hint="eastAsia" w:ascii="宋体" w:hAnsi="宋体" w:eastAsia="宋体" w:cs="宋体"/>
          <w:sz w:val="24"/>
          <w:highlight w:val="none"/>
        </w:rPr>
      </w:pPr>
      <w:r>
        <w:rPr>
          <w:rFonts w:hint="eastAsia" w:ascii="宋体" w:hAnsi="宋体" w:eastAsia="宋体" w:cs="宋体"/>
          <w:sz w:val="24"/>
          <w:highlight w:val="none"/>
        </w:rPr>
        <w:t>法定代表人或其授权                法定代表人或其授权</w:t>
      </w:r>
    </w:p>
    <w:p>
      <w:pPr>
        <w:adjustRightInd w:val="0"/>
        <w:snapToGrid w:val="0"/>
        <w:spacing w:line="360" w:lineRule="auto"/>
        <w:ind w:firstLine="475" w:firstLineChars="198"/>
        <w:rPr>
          <w:rFonts w:hint="eastAsia" w:ascii="宋体" w:hAnsi="宋体" w:eastAsia="宋体" w:cs="宋体"/>
          <w:sz w:val="24"/>
          <w:highlight w:val="none"/>
        </w:rPr>
      </w:pPr>
      <w:r>
        <w:rPr>
          <w:rFonts w:hint="eastAsia" w:ascii="宋体" w:hAnsi="宋体" w:eastAsia="宋体" w:cs="宋体"/>
          <w:sz w:val="24"/>
          <w:highlight w:val="none"/>
        </w:rPr>
        <w:t>的代理人：</w:t>
      </w:r>
      <w:r>
        <w:rPr>
          <w:rFonts w:hint="eastAsia" w:ascii="宋体" w:hAnsi="宋体" w:eastAsia="宋体" w:cs="宋体"/>
          <w:sz w:val="24"/>
          <w:highlight w:val="none"/>
          <w:u w:val="single"/>
        </w:rPr>
        <w:t xml:space="preserve">（签字）          </w:t>
      </w:r>
      <w:r>
        <w:rPr>
          <w:rFonts w:hint="eastAsia" w:ascii="宋体" w:hAnsi="宋体" w:eastAsia="宋体" w:cs="宋体"/>
          <w:sz w:val="24"/>
          <w:highlight w:val="none"/>
        </w:rPr>
        <w:t xml:space="preserve">      的代理人：</w:t>
      </w:r>
      <w:r>
        <w:rPr>
          <w:rFonts w:hint="eastAsia" w:ascii="宋体" w:hAnsi="宋体" w:eastAsia="宋体" w:cs="宋体"/>
          <w:sz w:val="24"/>
          <w:highlight w:val="none"/>
          <w:u w:val="single"/>
        </w:rPr>
        <w:t xml:space="preserve">（签字）          </w:t>
      </w:r>
    </w:p>
    <w:p>
      <w:pPr>
        <w:adjustRightInd w:val="0"/>
        <w:snapToGrid w:val="0"/>
        <w:spacing w:line="360" w:lineRule="auto"/>
        <w:ind w:firstLine="475" w:firstLineChars="198"/>
        <w:rPr>
          <w:rFonts w:hint="eastAsia" w:ascii="宋体" w:hAnsi="宋体" w:eastAsia="宋体" w:cs="宋体"/>
          <w:sz w:val="24"/>
          <w:highlight w:val="none"/>
        </w:rPr>
      </w:pPr>
      <w:r>
        <w:rPr>
          <w:rFonts w:hint="eastAsia" w:ascii="宋体" w:hAnsi="宋体" w:eastAsia="宋体" w:cs="宋体"/>
          <w:sz w:val="24"/>
          <w:highlight w:val="none"/>
        </w:rPr>
        <w:t>开户银行：</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开户银行：</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p>
    <w:p>
      <w:pPr>
        <w:adjustRightInd w:val="0"/>
        <w:snapToGrid w:val="0"/>
        <w:spacing w:line="360" w:lineRule="auto"/>
        <w:ind w:firstLine="475" w:firstLineChars="198"/>
        <w:rPr>
          <w:rFonts w:hint="eastAsia" w:ascii="宋体" w:hAnsi="宋体" w:eastAsia="宋体" w:cs="宋体"/>
          <w:sz w:val="24"/>
          <w:highlight w:val="none"/>
        </w:rPr>
      </w:pPr>
      <w:r>
        <w:rPr>
          <w:rFonts w:hint="eastAsia" w:ascii="宋体" w:hAnsi="宋体" w:eastAsia="宋体" w:cs="宋体"/>
          <w:sz w:val="24"/>
          <w:highlight w:val="none"/>
        </w:rPr>
        <w:t>账  号：</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账  号：</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p>
    <w:p>
      <w:pPr>
        <w:adjustRightInd w:val="0"/>
        <w:snapToGrid w:val="0"/>
        <w:spacing w:line="360" w:lineRule="auto"/>
        <w:ind w:firstLine="475" w:firstLineChars="198"/>
        <w:rPr>
          <w:rFonts w:hint="eastAsia" w:ascii="宋体" w:hAnsi="宋体" w:eastAsia="宋体" w:cs="宋体"/>
          <w:sz w:val="24"/>
          <w:highlight w:val="none"/>
        </w:rPr>
      </w:pPr>
      <w:r>
        <w:rPr>
          <w:rFonts w:hint="eastAsia" w:ascii="宋体" w:hAnsi="宋体" w:eastAsia="宋体" w:cs="宋体"/>
          <w:sz w:val="24"/>
          <w:highlight w:val="none"/>
        </w:rPr>
        <w:t>电  话：</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电  话：</w:t>
      </w:r>
      <w:r>
        <w:rPr>
          <w:rFonts w:hint="eastAsia" w:ascii="宋体" w:hAnsi="宋体" w:eastAsia="宋体" w:cs="宋体"/>
          <w:sz w:val="24"/>
          <w:highlight w:val="none"/>
          <w:u w:val="single"/>
        </w:rPr>
        <w:t xml:space="preserve">                    </w:t>
      </w:r>
    </w:p>
    <w:p>
      <w:pPr>
        <w:adjustRightInd w:val="0"/>
        <w:snapToGrid w:val="0"/>
        <w:spacing w:line="360" w:lineRule="auto"/>
        <w:ind w:firstLine="475" w:firstLineChars="198"/>
        <w:rPr>
          <w:rFonts w:hint="eastAsia" w:ascii="宋体" w:hAnsi="宋体" w:eastAsia="宋体" w:cs="宋体"/>
          <w:sz w:val="24"/>
          <w:highlight w:val="none"/>
        </w:rPr>
      </w:pPr>
      <w:r>
        <w:rPr>
          <w:rFonts w:hint="eastAsia" w:ascii="宋体" w:hAnsi="宋体" w:eastAsia="宋体" w:cs="宋体"/>
          <w:sz w:val="24"/>
          <w:highlight w:val="none"/>
        </w:rPr>
        <w:t>传  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传  真：</w:t>
      </w:r>
      <w:r>
        <w:rPr>
          <w:rFonts w:hint="eastAsia" w:ascii="宋体" w:hAnsi="宋体" w:eastAsia="宋体" w:cs="宋体"/>
          <w:sz w:val="24"/>
          <w:highlight w:val="none"/>
          <w:u w:val="single"/>
        </w:rPr>
        <w:t xml:space="preserve">                    </w:t>
      </w:r>
    </w:p>
    <w:p>
      <w:pPr>
        <w:adjustRightInd w:val="0"/>
        <w:snapToGrid w:val="0"/>
        <w:spacing w:line="360" w:lineRule="auto"/>
        <w:ind w:firstLine="475" w:firstLineChars="198"/>
        <w:rPr>
          <w:rFonts w:hint="eastAsia" w:ascii="宋体" w:hAnsi="宋体" w:eastAsia="宋体" w:cs="宋体"/>
          <w:b/>
          <w:sz w:val="44"/>
          <w:szCs w:val="44"/>
          <w:highlight w:val="none"/>
        </w:rPr>
      </w:pPr>
      <w:r>
        <w:rPr>
          <w:rFonts w:hint="eastAsia" w:ascii="宋体" w:hAnsi="宋体" w:eastAsia="宋体" w:cs="宋体"/>
          <w:sz w:val="24"/>
          <w:highlight w:val="none"/>
        </w:rPr>
        <w:t>电子邮箱：</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电子邮箱：</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p>
    <w:p>
      <w:pPr>
        <w:adjustRightInd w:val="0"/>
        <w:snapToGrid w:val="0"/>
        <w:spacing w:line="400" w:lineRule="exact"/>
        <w:ind w:firstLine="475" w:firstLineChars="198"/>
        <w:rPr>
          <w:rFonts w:hint="eastAsia" w:ascii="宋体" w:hAnsi="宋体" w:eastAsia="宋体" w:cs="宋体"/>
          <w:sz w:val="24"/>
          <w:szCs w:val="24"/>
          <w:highlight w:val="none"/>
          <w:lang w:val="en-US" w:eastAsia="zh-CN"/>
        </w:rPr>
      </w:pPr>
    </w:p>
    <w:p>
      <w:pPr>
        <w:adjustRightInd w:val="0"/>
        <w:snapToGrid w:val="0"/>
        <w:spacing w:line="360" w:lineRule="auto"/>
        <w:ind w:firstLine="475" w:firstLineChars="198"/>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鉴证方（盖章）：</w:t>
      </w:r>
    </w:p>
    <w:p>
      <w:pPr>
        <w:pStyle w:val="2"/>
        <w:outlineLvl w:val="9"/>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pStyle w:val="2"/>
        <w:outlineLvl w:val="9"/>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pStyle w:val="2"/>
        <w:outlineLvl w:val="9"/>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pStyle w:val="2"/>
        <w:outlineLvl w:val="9"/>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pStyle w:val="2"/>
        <w:outlineLvl w:val="9"/>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pStyle w:val="2"/>
        <w:outlineLvl w:val="9"/>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highlight w:val="none"/>
          <w:lang w:val="en-US" w:eastAsia="zh-CN"/>
        </w:rPr>
        <w:sectPr>
          <w:headerReference r:id="rId9" w:type="default"/>
          <w:footerReference r:id="rId10" w:type="default"/>
          <w:pgSz w:w="11906" w:h="16838"/>
          <w:pgMar w:top="1440" w:right="1440" w:bottom="1440" w:left="1440" w:header="851" w:footer="850" w:gutter="0"/>
          <w:pgBorders>
            <w:top w:val="none" w:sz="0" w:space="0"/>
            <w:left w:val="none" w:sz="0" w:space="0"/>
            <w:bottom w:val="none" w:sz="0" w:space="0"/>
            <w:right w:val="none" w:sz="0" w:space="0"/>
          </w:pgBorders>
          <w:pgNumType w:fmt="decimal" w:start="1"/>
          <w:cols w:space="720" w:num="1"/>
          <w:rtlGutter w:val="0"/>
          <w:docGrid w:type="lines" w:linePitch="312" w:charSpace="0"/>
        </w:sectPr>
      </w:pPr>
    </w:p>
    <w:bookmarkEnd w:id="28"/>
    <w:bookmarkEnd w:id="29"/>
    <w:bookmarkEnd w:id="30"/>
    <w:bookmarkEnd w:id="31"/>
    <w:p>
      <w:pPr>
        <w:pStyle w:val="3"/>
        <w:numPr>
          <w:ilvl w:val="0"/>
          <w:numId w:val="4"/>
        </w:numPr>
        <w:spacing w:line="360" w:lineRule="auto"/>
        <w:jc w:val="center"/>
        <w:rPr>
          <w:rFonts w:hint="eastAsia" w:ascii="宋体" w:hAnsi="宋体" w:eastAsia="宋体" w:cs="宋体"/>
          <w:b/>
          <w:bCs/>
          <w:sz w:val="36"/>
          <w:szCs w:val="36"/>
          <w:highlight w:val="none"/>
        </w:rPr>
      </w:pPr>
      <w:bookmarkStart w:id="37" w:name="_Toc32341"/>
      <w:bookmarkStart w:id="38" w:name="_Toc425781311"/>
      <w:bookmarkStart w:id="39" w:name="_Toc405358616"/>
      <w:r>
        <w:rPr>
          <w:rFonts w:hint="eastAsia" w:ascii="宋体" w:hAnsi="宋体" w:eastAsia="宋体" w:cs="宋体"/>
          <w:b/>
          <w:bCs/>
          <w:sz w:val="36"/>
          <w:szCs w:val="36"/>
          <w:highlight w:val="none"/>
          <w:lang w:val="en-US" w:eastAsia="zh-CN"/>
        </w:rPr>
        <w:t xml:space="preserve"> </w:t>
      </w:r>
      <w:bookmarkStart w:id="81" w:name="_GoBack"/>
      <w:bookmarkEnd w:id="81"/>
      <w:bookmarkStart w:id="40" w:name="_Toc28646"/>
      <w:r>
        <w:rPr>
          <w:rFonts w:hint="eastAsia" w:ascii="宋体" w:hAnsi="宋体" w:eastAsia="宋体" w:cs="宋体"/>
          <w:b/>
          <w:bCs/>
          <w:sz w:val="36"/>
          <w:szCs w:val="36"/>
          <w:highlight w:val="none"/>
        </w:rPr>
        <w:t>竞争性谈判内容及技术要求</w:t>
      </w:r>
      <w:bookmarkEnd w:id="32"/>
      <w:bookmarkEnd w:id="37"/>
      <w:bookmarkEnd w:id="38"/>
      <w:bookmarkEnd w:id="39"/>
      <w:bookmarkEnd w:id="40"/>
      <w:bookmarkStart w:id="41" w:name="_Toc405191192"/>
      <w:bookmarkStart w:id="42" w:name="_Toc405358632"/>
    </w:p>
    <w:p>
      <w:pPr>
        <w:rPr>
          <w:rFonts w:hint="eastAsia" w:ascii="宋体" w:hAnsi="宋体" w:eastAsia="宋体" w:cs="宋体"/>
          <w:highlight w:val="none"/>
        </w:rPr>
      </w:pPr>
    </w:p>
    <w:tbl>
      <w:tblPr>
        <w:tblStyle w:val="28"/>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26"/>
        <w:gridCol w:w="1446"/>
        <w:gridCol w:w="4940"/>
        <w:gridCol w:w="957"/>
        <w:gridCol w:w="9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3" w:hRule="atLeast"/>
          <w:jc w:val="center"/>
        </w:trPr>
        <w:tc>
          <w:tcPr>
            <w:tcW w:w="8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144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产品名称</w:t>
            </w:r>
          </w:p>
        </w:tc>
        <w:tc>
          <w:tcPr>
            <w:tcW w:w="49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技术参数</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9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3" w:hRule="atLeast"/>
          <w:jc w:val="center"/>
        </w:trPr>
        <w:tc>
          <w:tcPr>
            <w:tcW w:w="9071" w:type="dxa"/>
            <w:gridSpan w:val="5"/>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教师演示控制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3" w:hRule="atLeast"/>
          <w:jc w:val="center"/>
        </w:trPr>
        <w:tc>
          <w:tcPr>
            <w:tcW w:w="8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44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教师演示讲台</w:t>
            </w:r>
          </w:p>
        </w:tc>
        <w:tc>
          <w:tcPr>
            <w:tcW w:w="494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1.全钢结构，参考尺寸约为：3000*700*900mm</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2.台面：采用≥12.7mm厚双面膜耐腐蚀实芯理化板制作，四角倒R15圆角。耐酸、耐碱、耐高温，坚固耐用，防潮、无细孔、不膨胀、不龟裂、不变形、不导电、便于维护及具有良好的承重性能；</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3.柜体：采用≥1.0mm优质镀锌钢板，采用CO2保护焊焊接，打磨处理，表面经耐酸碱烤漆处理；整体结构设计合理，预留电脑主机、键盘托、实物展台、教师电源位置；</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4.拉手：采用C型不锈钢拉手，造型独特美观；</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5.防撞胶垫：装于抽屉及门板内侧，减缓碰撞，保护柜体；</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6.门板及抽面：采用双层钢板，必须两层组装是设计，保证两层双面都喷涂处理，中间采用隔音材料，保证关门减少噪音；</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7.连接件：采用ABS专用连接组装件；</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8.合页：采用优质不锈钢模具一体成型，强度必须达到一个正常成年座在门上方合页不脱落；</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9.滑轨：三节重型滚珠滑轨，承重性强，滑动性能良好，无噪音；</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10.固定桌脚：采用柜体内置可调ABS调整脚，保证调整脚前后都可以调节高低。</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11.技术要求满足：GB 24820-2009 实验室家具通用技术条件：</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sz w:val="18"/>
                <w:szCs w:val="16"/>
                <w:highlight w:val="none"/>
                <w:lang w:val="en-US" w:eastAsia="zh-CN"/>
              </w:rPr>
              <w:t>①</w:t>
            </w:r>
            <w:r>
              <w:rPr>
                <w:rFonts w:hint="eastAsia" w:ascii="宋体" w:hAnsi="宋体" w:eastAsia="宋体" w:cs="宋体"/>
                <w:highlight w:val="none"/>
                <w:lang w:val="en-US" w:eastAsia="zh-CN"/>
              </w:rPr>
              <w:t>操作台台面理化性能：耐磨1 mg/100r：磨损值≤80，</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磨损2：表面情况：素色：磨350r，应无露底现向，</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耐划痕：1.5N，划一周，无整圈连续划痕，</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实验台面抗冲击 mm：冲击高度1m。冲击凹坑直径≤10mm。</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sz w:val="18"/>
                <w:szCs w:val="16"/>
                <w:highlight w:val="none"/>
                <w:lang w:val="en-US" w:eastAsia="zh-CN"/>
              </w:rPr>
              <w:t>②</w:t>
            </w:r>
            <w:r>
              <w:rPr>
                <w:rFonts w:hint="eastAsia" w:ascii="宋体" w:hAnsi="宋体" w:eastAsia="宋体" w:cs="宋体"/>
                <w:highlight w:val="none"/>
                <w:lang w:val="en-US" w:eastAsia="zh-CN"/>
              </w:rPr>
              <w:t>操作台力学性能：水平静载荷试验：技术要求：力600N，10次。</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垂直静载荷试验：主桌面：力2000N，≥10次。</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持续垂直静载荷：载荷≥1.25kg/dm²，24h。</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独立操作台水平冲击稳定性：质量约为50kg，跌落高度40mm。</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独立操作台垂直加载稳定性：≥750N。</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活动操作台跌落：跌落高度：150mm，≥10次。</w:t>
            </w:r>
          </w:p>
          <w:p>
            <w:pPr>
              <w:keepNext w:val="0"/>
              <w:keepLines w:val="0"/>
              <w:widowControl/>
              <w:suppressLineNumbers w:val="0"/>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垂直冲击试验：跌落高度：300mm，</w:t>
            </w:r>
            <w:r>
              <w:rPr>
                <w:rFonts w:hint="eastAsia" w:ascii="宋体" w:hAnsi="宋体" w:eastAsia="宋体" w:cs="宋体"/>
                <w:highlight w:val="none"/>
                <w:lang w:val="en-US" w:eastAsia="zh-CN"/>
              </w:rPr>
              <w:t>≥</w:t>
            </w:r>
            <w:r>
              <w:rPr>
                <w:rFonts w:hint="eastAsia" w:ascii="宋体" w:hAnsi="宋体" w:eastAsia="宋体" w:cs="宋体"/>
                <w:color w:val="auto"/>
                <w:highlight w:val="none"/>
                <w:lang w:val="en-US" w:eastAsia="zh-CN"/>
              </w:rPr>
              <w:t>10次。</w:t>
            </w:r>
          </w:p>
          <w:p>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highlight w:val="none"/>
              </w:rPr>
              <w:t>提供相应的</w:t>
            </w:r>
            <w:r>
              <w:rPr>
                <w:rFonts w:hint="eastAsia" w:ascii="宋体" w:hAnsi="宋体" w:eastAsia="宋体" w:cs="宋体"/>
                <w:highlight w:val="none"/>
                <w:lang w:val="en-US" w:eastAsia="zh-CN"/>
              </w:rPr>
              <w:t>证明材料</w:t>
            </w:r>
            <w:r>
              <w:rPr>
                <w:rFonts w:hint="eastAsia" w:ascii="宋体" w:hAnsi="宋体" w:eastAsia="宋体" w:cs="宋体"/>
                <w:highlight w:val="none"/>
              </w:rPr>
              <w:t>（包括但不限于功能截图、软件著作权证书、彩页、产品证书、认证报告等相关资料）。</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张</w:t>
            </w:r>
          </w:p>
        </w:tc>
        <w:tc>
          <w:tcPr>
            <w:tcW w:w="9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3" w:hRule="atLeast"/>
          <w:jc w:val="center"/>
        </w:trPr>
        <w:tc>
          <w:tcPr>
            <w:tcW w:w="8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44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实验室专用水槽</w:t>
            </w:r>
          </w:p>
        </w:tc>
        <w:tc>
          <w:tcPr>
            <w:tcW w:w="494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参考尺寸为：550*445*300mm，采用实验室专用高密度PP一体化成型水槽，易清洁，耐腐蚀；具耐酸碱、耐有机溶剂、耐紫外线等特点。</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技术性能满足：QB/T 2658-2017 卫生设备用台盆:</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 w:val="18"/>
                <w:szCs w:val="16"/>
                <w:highlight w:val="none"/>
                <w:lang w:val="en-US" w:eastAsia="zh-CN"/>
              </w:rPr>
              <w:t>①</w:t>
            </w:r>
            <w:r>
              <w:rPr>
                <w:rFonts w:hint="eastAsia" w:ascii="宋体" w:hAnsi="宋体" w:eastAsia="宋体" w:cs="宋体"/>
                <w:i w:val="0"/>
                <w:iCs w:val="0"/>
                <w:color w:val="auto"/>
                <w:kern w:val="0"/>
                <w:sz w:val="21"/>
                <w:szCs w:val="21"/>
                <w:highlight w:val="none"/>
                <w:u w:val="none"/>
                <w:lang w:val="en-US" w:eastAsia="zh-CN" w:bidi="ar"/>
              </w:rPr>
              <w:t>外观:产品使用表面应光滑顺畅，不应有划伤、裂纹、气泡、爆边等明显缺陷；</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 w:val="18"/>
                <w:szCs w:val="16"/>
                <w:highlight w:val="none"/>
                <w:lang w:val="en-US" w:eastAsia="zh-CN"/>
              </w:rPr>
              <w:t>②</w:t>
            </w:r>
            <w:r>
              <w:rPr>
                <w:rFonts w:hint="eastAsia" w:ascii="宋体" w:hAnsi="宋体" w:eastAsia="宋体" w:cs="宋体"/>
                <w:i w:val="0"/>
                <w:iCs w:val="0"/>
                <w:color w:val="auto"/>
                <w:kern w:val="0"/>
                <w:sz w:val="21"/>
                <w:szCs w:val="21"/>
                <w:highlight w:val="none"/>
                <w:u w:val="none"/>
                <w:lang w:val="en-US" w:eastAsia="zh-CN" w:bidi="ar"/>
              </w:rPr>
              <w:t>抗负载：试验后不应有裂纹、破裂、或永久性变形，但直接受力点的变形不视为不合格；</w:t>
            </w:r>
          </w:p>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18"/>
                <w:szCs w:val="16"/>
                <w:highlight w:val="none"/>
                <w:lang w:val="en-US" w:eastAsia="zh-CN"/>
              </w:rPr>
              <w:t>③</w:t>
            </w:r>
            <w:r>
              <w:rPr>
                <w:rFonts w:hint="eastAsia" w:ascii="宋体" w:hAnsi="宋体" w:eastAsia="宋体" w:cs="宋体"/>
                <w:i w:val="0"/>
                <w:iCs w:val="0"/>
                <w:color w:val="auto"/>
                <w:kern w:val="0"/>
                <w:sz w:val="21"/>
                <w:szCs w:val="21"/>
                <w:highlight w:val="none"/>
                <w:u w:val="none"/>
                <w:lang w:val="en-US" w:eastAsia="zh-CN" w:bidi="ar"/>
              </w:rPr>
              <w:t>耐化学腐蚀和耐污染性能：试验后，测试面不应出现不可消除的不良，如污点、损坏等。</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只</w:t>
            </w:r>
          </w:p>
        </w:tc>
        <w:tc>
          <w:tcPr>
            <w:tcW w:w="9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3" w:hRule="atLeast"/>
          <w:jc w:val="center"/>
        </w:trPr>
        <w:tc>
          <w:tcPr>
            <w:tcW w:w="8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44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三联高低位龙头</w:t>
            </w:r>
          </w:p>
        </w:tc>
        <w:tc>
          <w:tcPr>
            <w:tcW w:w="494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鹅颈式实验室专用优质化验水嘴：要求防酸碱、防锈、防虹吸、防阻塞，表面环氧树脂喷涂。出水嘴为铜质瓷芯，高头，便于多用途使用，可拆卸清洗阻塞。出水嘴可拆卸，内有成型螺纹，可方便连接循环等特殊用水水管。</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9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3" w:hRule="atLeast"/>
          <w:jc w:val="center"/>
        </w:trPr>
        <w:tc>
          <w:tcPr>
            <w:tcW w:w="8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44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实验室专用洗眼器</w:t>
            </w:r>
          </w:p>
        </w:tc>
        <w:tc>
          <w:tcPr>
            <w:tcW w:w="494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洗眼喷头：采用不助燃PC材质模铸一体成形制作，具有过滤泡棉及防尘功能，上面防尘盖平常可防尘，使用时可随时被水冲开，并降低突然打开时短暂的高水压，避免冲伤眼睛。</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技术要求满足：</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 w:val="18"/>
                <w:szCs w:val="16"/>
                <w:highlight w:val="none"/>
                <w:lang w:val="en-US" w:eastAsia="zh-CN"/>
              </w:rPr>
              <w:t>①</w:t>
            </w:r>
            <w:r>
              <w:rPr>
                <w:rFonts w:hint="eastAsia" w:ascii="宋体" w:hAnsi="宋体" w:eastAsia="宋体" w:cs="宋体"/>
                <w:i w:val="0"/>
                <w:iCs w:val="0"/>
                <w:color w:val="auto"/>
                <w:kern w:val="0"/>
                <w:sz w:val="21"/>
                <w:szCs w:val="21"/>
                <w:highlight w:val="none"/>
                <w:u w:val="none"/>
                <w:lang w:val="en-US" w:eastAsia="zh-CN" w:bidi="ar"/>
              </w:rPr>
              <w:t>管螺纹精度：应符合GB/T7306.1或GB/T7306.2或GB/T7307的规定；</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 w:val="18"/>
                <w:szCs w:val="16"/>
                <w:highlight w:val="none"/>
                <w:lang w:val="en-US" w:eastAsia="zh-CN"/>
              </w:rPr>
              <w:t>②</w:t>
            </w:r>
            <w:r>
              <w:rPr>
                <w:rFonts w:hint="eastAsia" w:ascii="宋体" w:hAnsi="宋体" w:eastAsia="宋体" w:cs="宋体"/>
                <w:i w:val="0"/>
                <w:iCs w:val="0"/>
                <w:color w:val="auto"/>
                <w:kern w:val="0"/>
                <w:sz w:val="21"/>
                <w:szCs w:val="21"/>
                <w:highlight w:val="none"/>
                <w:u w:val="none"/>
                <w:lang w:val="en-US" w:eastAsia="zh-CN" w:bidi="ar"/>
              </w:rPr>
              <w:t>螺纹表面：不得有凹痕、断牙等明显缺陷，表面粗糙度Ra值不大于6.3µm；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 w:val="18"/>
                <w:szCs w:val="16"/>
                <w:highlight w:val="none"/>
                <w:lang w:val="en-US" w:eastAsia="zh-CN"/>
              </w:rPr>
              <w:t>③</w:t>
            </w:r>
            <w:r>
              <w:rPr>
                <w:rFonts w:hint="eastAsia" w:ascii="宋体" w:hAnsi="宋体" w:eastAsia="宋体" w:cs="宋体"/>
                <w:i w:val="0"/>
                <w:iCs w:val="0"/>
                <w:color w:val="auto"/>
                <w:kern w:val="0"/>
                <w:sz w:val="21"/>
                <w:szCs w:val="21"/>
                <w:highlight w:val="none"/>
                <w:u w:val="none"/>
                <w:lang w:val="en-US" w:eastAsia="zh-CN" w:bidi="ar"/>
              </w:rPr>
              <w:t>抗压强度：</w:t>
            </w:r>
            <w:r>
              <w:rPr>
                <w:rFonts w:hint="eastAsia" w:ascii="宋体" w:hAnsi="宋体" w:eastAsia="宋体" w:cs="宋体"/>
                <w:highlight w:val="none"/>
                <w:lang w:val="en-US" w:eastAsia="zh-CN"/>
              </w:rPr>
              <w:t>≥</w:t>
            </w:r>
            <w:r>
              <w:rPr>
                <w:rFonts w:hint="eastAsia" w:ascii="宋体" w:hAnsi="宋体" w:eastAsia="宋体" w:cs="宋体"/>
                <w:i w:val="0"/>
                <w:iCs w:val="0"/>
                <w:color w:val="auto"/>
                <w:kern w:val="0"/>
                <w:sz w:val="21"/>
                <w:szCs w:val="21"/>
                <w:highlight w:val="none"/>
                <w:u w:val="none"/>
                <w:lang w:val="en-US" w:eastAsia="zh-CN" w:bidi="ar"/>
              </w:rPr>
              <w:t>1.2MPa静水压状态下关闭无渗漏，皮管无鼓胀现向；</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 w:val="18"/>
                <w:szCs w:val="16"/>
                <w:highlight w:val="none"/>
                <w:lang w:val="en-US" w:eastAsia="zh-CN"/>
              </w:rPr>
              <w:t>④</w:t>
            </w:r>
            <w:r>
              <w:rPr>
                <w:rFonts w:hint="eastAsia" w:ascii="宋体" w:hAnsi="宋体" w:eastAsia="宋体" w:cs="宋体"/>
                <w:i w:val="0"/>
                <w:iCs w:val="0"/>
                <w:color w:val="auto"/>
                <w:kern w:val="0"/>
                <w:sz w:val="21"/>
                <w:szCs w:val="21"/>
                <w:highlight w:val="none"/>
                <w:u w:val="none"/>
                <w:lang w:val="en-US" w:eastAsia="zh-CN" w:bidi="ar"/>
              </w:rPr>
              <w:t>外观：主体无掉漆现向，手柄无明显注塑缺陷；</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 w:val="18"/>
                <w:szCs w:val="16"/>
                <w:highlight w:val="none"/>
                <w:lang w:val="en-US" w:eastAsia="zh-CN"/>
              </w:rPr>
              <w:t>⑤</w:t>
            </w:r>
            <w:r>
              <w:rPr>
                <w:rFonts w:hint="eastAsia" w:ascii="宋体" w:hAnsi="宋体" w:eastAsia="宋体" w:cs="宋体"/>
                <w:i w:val="0"/>
                <w:iCs w:val="0"/>
                <w:color w:val="auto"/>
                <w:kern w:val="0"/>
                <w:sz w:val="21"/>
                <w:szCs w:val="21"/>
                <w:highlight w:val="none"/>
                <w:u w:val="none"/>
                <w:lang w:val="en-US" w:eastAsia="zh-CN" w:bidi="ar"/>
              </w:rPr>
              <w:t>启动开关灵活：压下开关松开后，开关能立即复位，无滞后现向，通水后无渗漏现向；</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 w:val="18"/>
                <w:szCs w:val="16"/>
                <w:highlight w:val="none"/>
                <w:lang w:val="en-US" w:eastAsia="zh-CN"/>
              </w:rPr>
              <w:t>⑥</w:t>
            </w:r>
            <w:r>
              <w:rPr>
                <w:rFonts w:hint="eastAsia" w:ascii="宋体" w:hAnsi="宋体" w:eastAsia="宋体" w:cs="宋体"/>
                <w:i w:val="0"/>
                <w:iCs w:val="0"/>
                <w:color w:val="auto"/>
                <w:kern w:val="0"/>
                <w:sz w:val="21"/>
                <w:szCs w:val="21"/>
                <w:highlight w:val="none"/>
                <w:u w:val="none"/>
                <w:lang w:val="en-US" w:eastAsia="zh-CN" w:bidi="ar"/>
              </w:rPr>
              <w:t>水柱喷射高度，cm：</w:t>
            </w:r>
            <w:r>
              <w:rPr>
                <w:rFonts w:hint="eastAsia" w:ascii="宋体" w:hAnsi="宋体" w:eastAsia="宋体" w:cs="宋体"/>
                <w:highlight w:val="none"/>
                <w:lang w:val="en-US" w:eastAsia="zh-CN"/>
              </w:rPr>
              <w:t>≥</w:t>
            </w:r>
            <w:r>
              <w:rPr>
                <w:rFonts w:hint="eastAsia" w:ascii="宋体" w:hAnsi="宋体" w:eastAsia="宋体" w:cs="宋体"/>
                <w:i w:val="0"/>
                <w:iCs w:val="0"/>
                <w:color w:val="auto"/>
                <w:kern w:val="0"/>
                <w:sz w:val="21"/>
                <w:szCs w:val="21"/>
                <w:highlight w:val="none"/>
                <w:u w:val="none"/>
                <w:lang w:val="en-US" w:eastAsia="zh-CN" w:bidi="ar"/>
              </w:rPr>
              <w:t>0.3MPa动水压状态下，喷洒头方向向上，压下控制开关，水柱喷射高度≥46cm；</w:t>
            </w:r>
          </w:p>
          <w:p>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sz w:val="18"/>
                <w:szCs w:val="16"/>
                <w:highlight w:val="none"/>
                <w:lang w:val="en-US" w:eastAsia="zh-CN"/>
              </w:rPr>
              <w:t>⑦</w:t>
            </w:r>
            <w:r>
              <w:rPr>
                <w:rFonts w:hint="eastAsia" w:ascii="宋体" w:hAnsi="宋体" w:eastAsia="宋体" w:cs="宋体"/>
                <w:highlight w:val="none"/>
                <w:lang w:val="en-US" w:eastAsia="zh-CN"/>
              </w:rPr>
              <w:t>水流量，L/s：0.3MPa动水压下打开开关，流量≥0.15L/s。</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付</w:t>
            </w:r>
          </w:p>
        </w:tc>
        <w:tc>
          <w:tcPr>
            <w:tcW w:w="9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3" w:hRule="atLeast"/>
          <w:jc w:val="center"/>
        </w:trPr>
        <w:tc>
          <w:tcPr>
            <w:tcW w:w="9071" w:type="dxa"/>
            <w:gridSpan w:val="5"/>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学生实验操作及学习区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3" w:hRule="atLeast"/>
          <w:jc w:val="center"/>
        </w:trPr>
        <w:tc>
          <w:tcPr>
            <w:tcW w:w="8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44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化学学生实验桌</w:t>
            </w:r>
          </w:p>
        </w:tc>
        <w:tc>
          <w:tcPr>
            <w:tcW w:w="494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1.新型塑铝结构参考尺寸：1200*600*780mm</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2.台面：采用无甲醛新型环保陶瓷台面，台面厚度≥20mm，台面表面为实验室专业耐腐蚀、耐刻刮、耐污染釉面。采用一体实芯黑色坯体，台面釉面为亚马逊蓝色，釉面和胚体经高温一体烧结而成，釉面与胚体结合后不脱落、不脱层。台面四周带有宽约10mm深约2mm内圆弧止滑槽，不仅能有效防止实验物品滚落造成意外事故，还能避免实验试剂和药品倾洒到桌面上造成的危险。</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3.结构：新型塑铝结构，参考尺寸1200*600*780mm。学生位镂空式，符合人体工程学设计，美观大方。专用书包斗ABS注塑一体注塑成型参考尺寸410*330*120mm，镂空设计，便于清理，不屯垃圾，中间设挂凳卡。</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4.侧脚采用三段式高强度铝合金结构，整体参考规格580*750mm，立柱采用倾斜式设计，内嵌入上下铸铝脚≥40mm，后端配备加固支撑梁，厚度≥80MM.各部分连接设置专用定位件，并用高强度内六角螺丝连接，便于组装及拆卸，外观流线形设计，简洁美观，易碰撞处全部采用倒圆角，产品款式要求整体设计美观、合理、安全、牢固、耐用。金属表面经环氧树脂粉末喷涂高温固化处理。要做到承重性能强和耐酸碱、耐腐蚀。</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5.背部档水板、前横梁、中间横梁全部采用高强度挤出铝合金模具型材，各部分连接设置专用定位件，并用高强度内六角螺丝连接，便于组装及拆卸，外观流线形设计，简洁美观,易碰撞处全部采用倒圆角，金属表面经环氧树脂粉末喷涂高温固化处理。要做到承重性能强和耐酸碱、耐腐蚀。</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6.桌侧脚：桌侧脚设置专用孔位与地面固定，并配有跟台面同色ABS脚套装饰盖。</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7.技术要求满足：GB 24820-2009 实验室家具通用技术条件：</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sz w:val="18"/>
                <w:szCs w:val="16"/>
                <w:highlight w:val="none"/>
                <w:lang w:val="en-US" w:eastAsia="zh-CN"/>
              </w:rPr>
              <w:t>①</w:t>
            </w:r>
            <w:r>
              <w:rPr>
                <w:rFonts w:hint="eastAsia" w:ascii="宋体" w:hAnsi="宋体" w:eastAsia="宋体" w:cs="宋体"/>
                <w:highlight w:val="none"/>
                <w:lang w:val="en-US" w:eastAsia="zh-CN"/>
              </w:rPr>
              <w:t>操作台台面理化性能：耐磨1 mg/100r：磨损值≤80，</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磨损2：表面情况：素色：磨350r，应无露底现向，</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耐划痕：1.5N，划一周，无整圈连续划痕，</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物理实验台面抗冲击 mm：冲击高度1m。冲击凹坑直径≤10mm。</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sz w:val="18"/>
                <w:szCs w:val="16"/>
                <w:highlight w:val="none"/>
                <w:lang w:val="en-US" w:eastAsia="zh-CN"/>
              </w:rPr>
              <w:t>②</w:t>
            </w:r>
            <w:r>
              <w:rPr>
                <w:rFonts w:hint="eastAsia" w:ascii="宋体" w:hAnsi="宋体" w:eastAsia="宋体" w:cs="宋体"/>
                <w:highlight w:val="none"/>
                <w:lang w:val="en-US" w:eastAsia="zh-CN"/>
              </w:rPr>
              <w:t>操作台力学性能：水平静载荷试验：技术要求：力600N，10次。</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垂直静载荷试验：主桌面：力2000N，≥10次。</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持续垂直静载荷：载荷1.25kg/dm²，24h。</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独立操作台水平冲击稳定性：质量50kg，跌落高度40mm。</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独立操作台垂直加载稳定性：无抽屉：力750N；</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活动操作台跌落：跌落高度：150mm，10次。</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垂直冲击试验：跌落高度：300mm，10次。</w:t>
            </w:r>
          </w:p>
          <w:p>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highlight w:val="none"/>
              </w:rPr>
              <w:t>提供相应的</w:t>
            </w:r>
            <w:r>
              <w:rPr>
                <w:rFonts w:hint="eastAsia" w:ascii="宋体" w:hAnsi="宋体" w:eastAsia="宋体" w:cs="宋体"/>
                <w:highlight w:val="none"/>
                <w:lang w:val="en-US" w:eastAsia="zh-CN"/>
              </w:rPr>
              <w:t>证明材料</w:t>
            </w:r>
            <w:r>
              <w:rPr>
                <w:rFonts w:hint="eastAsia" w:ascii="宋体" w:hAnsi="宋体" w:eastAsia="宋体" w:cs="宋体"/>
                <w:highlight w:val="none"/>
              </w:rPr>
              <w:t>（包括但不限于功能截图、软件著作权证书、彩页、产品证书、认证报告等相关资料）。</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张</w:t>
            </w:r>
          </w:p>
        </w:tc>
        <w:tc>
          <w:tcPr>
            <w:tcW w:w="9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7" w:hRule="atLeast"/>
          <w:jc w:val="center"/>
        </w:trPr>
        <w:tc>
          <w:tcPr>
            <w:tcW w:w="8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44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实验凳</w:t>
            </w:r>
          </w:p>
        </w:tc>
        <w:tc>
          <w:tcPr>
            <w:tcW w:w="4940" w:type="dxa"/>
            <w:tcBorders>
              <w:tl2br w:val="nil"/>
              <w:tr2bl w:val="nil"/>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1.凳脚材质：4个凳脚参考尺寸17×34×1.7mm 无缝钢管模具一次成型。全圆满焊接完成，结构牢固，经高温粉体烤漆处理，长时间使用也不会产生表面烤漆剥落现象螺旋升降式，升降距离≥50mm，最高离地距离为500mm。Ф凳面直径315×高450-500mm，2、凳面材质：采用聚丙烯共聚级注塑。表面细纹咬花，防滑不发光，凳面底部镶嵌≥4枚铜质螺纹，采用不锈钢螺丝与圆型托盘固定。</w:t>
            </w:r>
          </w:p>
          <w:p>
            <w:pPr>
              <w:keepNext w:val="0"/>
              <w:keepLines w:val="0"/>
              <w:widowControl/>
              <w:numPr>
                <w:ilvl w:val="0"/>
                <w:numId w:val="0"/>
              </w:numPr>
              <w:suppressLineNumbers w:val="0"/>
              <w:ind w:leftChars="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3.脚垫材质：采用PP加耐磨纤维质塑料，实心倒勾式一体射出成型 凳面与凳脚留有一定的空间便于凳子挂在挂凳扣上。方便教室的打扫。</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4.技术要求满足：GB/T 3325-2017 金属家具通用技术条件：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 w:val="18"/>
                <w:szCs w:val="16"/>
                <w:highlight w:val="none"/>
                <w:lang w:val="en-US" w:eastAsia="zh-CN"/>
              </w:rPr>
              <w:t>①</w:t>
            </w:r>
            <w:r>
              <w:rPr>
                <w:rFonts w:hint="eastAsia" w:ascii="宋体" w:hAnsi="宋体" w:eastAsia="宋体" w:cs="宋体"/>
                <w:i w:val="0"/>
                <w:iCs w:val="0"/>
                <w:color w:val="auto"/>
                <w:kern w:val="0"/>
                <w:sz w:val="21"/>
                <w:szCs w:val="21"/>
                <w:highlight w:val="none"/>
                <w:u w:val="none"/>
                <w:lang w:val="en-US" w:eastAsia="zh-CN" w:bidi="ar"/>
              </w:rPr>
              <w:t>椅凳类稳定性：凳子任意方向倾翻；倾翻力≥20N，应无倾翻；检测结果：无倾翻；</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 w:val="18"/>
                <w:szCs w:val="16"/>
                <w:highlight w:val="none"/>
                <w:lang w:val="en-US" w:eastAsia="zh-CN"/>
              </w:rPr>
              <w:t>②</w:t>
            </w:r>
            <w:r>
              <w:rPr>
                <w:rFonts w:hint="eastAsia" w:ascii="宋体" w:hAnsi="宋体" w:eastAsia="宋体" w:cs="宋体"/>
                <w:i w:val="0"/>
                <w:iCs w:val="0"/>
                <w:color w:val="auto"/>
                <w:kern w:val="0"/>
                <w:sz w:val="21"/>
                <w:szCs w:val="21"/>
                <w:highlight w:val="none"/>
                <w:u w:val="none"/>
                <w:lang w:val="en-US" w:eastAsia="zh-CN" w:bidi="ar"/>
              </w:rPr>
              <w:t>椅凳类强度和耐久性：座面和椅背载荷试验：单人位：座面加载力：1300N，椅背加载力：450N，加载次数：</w:t>
            </w:r>
            <w:r>
              <w:rPr>
                <w:rFonts w:hint="eastAsia" w:ascii="宋体" w:hAnsi="宋体" w:eastAsia="宋体" w:cs="宋体"/>
                <w:highlight w:val="none"/>
                <w:lang w:val="en-US" w:eastAsia="zh-CN"/>
              </w:rPr>
              <w:t>≥</w:t>
            </w:r>
            <w:r>
              <w:rPr>
                <w:rFonts w:hint="eastAsia" w:ascii="宋体" w:hAnsi="宋体" w:eastAsia="宋体" w:cs="宋体"/>
                <w:i w:val="0"/>
                <w:iCs w:val="0"/>
                <w:color w:val="auto"/>
                <w:kern w:val="0"/>
                <w:sz w:val="21"/>
                <w:szCs w:val="21"/>
                <w:highlight w:val="none"/>
                <w:u w:val="none"/>
                <w:lang w:val="en-US" w:eastAsia="zh-CN" w:bidi="ar"/>
              </w:rPr>
              <w:t>10次，加载时间：≥10S；</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椅腿前向静载试验：加载力：500N，加载次数：10次，加载时间:≥10S，座面平衡载荷：1000N；</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座面冲击试验：冲击高度：180mm；冲击次数：</w:t>
            </w:r>
            <w:r>
              <w:rPr>
                <w:rFonts w:hint="eastAsia" w:ascii="宋体" w:hAnsi="宋体" w:eastAsia="宋体" w:cs="宋体"/>
                <w:highlight w:val="none"/>
                <w:lang w:val="en-US" w:eastAsia="zh-CN"/>
              </w:rPr>
              <w:t>≥</w:t>
            </w:r>
            <w:r>
              <w:rPr>
                <w:rFonts w:hint="eastAsia" w:ascii="宋体" w:hAnsi="宋体" w:eastAsia="宋体" w:cs="宋体"/>
                <w:i w:val="0"/>
                <w:iCs w:val="0"/>
                <w:color w:val="auto"/>
                <w:kern w:val="0"/>
                <w:sz w:val="21"/>
                <w:szCs w:val="21"/>
                <w:highlight w:val="none"/>
                <w:u w:val="none"/>
                <w:lang w:val="en-US" w:eastAsia="zh-CN" w:bidi="ar"/>
              </w:rPr>
              <w:t>10次；</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椅背冲击试验：冲击高度：210mm；冲击角度：38°；冲击次数：</w:t>
            </w:r>
            <w:r>
              <w:rPr>
                <w:rFonts w:hint="eastAsia" w:ascii="宋体" w:hAnsi="宋体" w:eastAsia="宋体" w:cs="宋体"/>
                <w:highlight w:val="none"/>
                <w:lang w:val="en-US" w:eastAsia="zh-CN"/>
              </w:rPr>
              <w:t>≥</w:t>
            </w:r>
            <w:r>
              <w:rPr>
                <w:rFonts w:hint="eastAsia" w:ascii="宋体" w:hAnsi="宋体" w:eastAsia="宋体" w:cs="宋体"/>
                <w:i w:val="0"/>
                <w:iCs w:val="0"/>
                <w:color w:val="auto"/>
                <w:kern w:val="0"/>
                <w:sz w:val="21"/>
                <w:szCs w:val="21"/>
                <w:highlight w:val="none"/>
                <w:u w:val="none"/>
                <w:lang w:val="en-US" w:eastAsia="zh-CN" w:bidi="ar"/>
              </w:rPr>
              <w:t>10次；</w:t>
            </w:r>
          </w:p>
          <w:p>
            <w:pPr>
              <w:keepNext w:val="0"/>
              <w:keepLines w:val="0"/>
              <w:widowControl/>
              <w:numPr>
                <w:ilvl w:val="0"/>
                <w:numId w:val="0"/>
              </w:numPr>
              <w:suppressLineNumbers w:val="0"/>
              <w:jc w:val="left"/>
              <w:textAlignment w:val="center"/>
              <w:rPr>
                <w:rFonts w:hint="eastAsia" w:ascii="宋体" w:hAnsi="宋体" w:eastAsia="宋体" w:cs="宋体"/>
                <w:highlight w:val="none"/>
              </w:rPr>
            </w:pPr>
            <w:r>
              <w:rPr>
                <w:rFonts w:hint="eastAsia" w:ascii="宋体" w:hAnsi="宋体" w:eastAsia="宋体" w:cs="宋体"/>
                <w:i w:val="0"/>
                <w:iCs w:val="0"/>
                <w:color w:val="auto"/>
                <w:kern w:val="0"/>
                <w:sz w:val="21"/>
                <w:szCs w:val="21"/>
                <w:highlight w:val="none"/>
                <w:u w:val="none"/>
                <w:lang w:val="en-US" w:eastAsia="zh-CN" w:bidi="ar"/>
              </w:rPr>
              <w:t>椅凳类强度和耐久性：跌落试验：跌落高度：200mm；跌落次数：</w:t>
            </w:r>
            <w:r>
              <w:rPr>
                <w:rFonts w:hint="eastAsia" w:ascii="宋体" w:hAnsi="宋体" w:eastAsia="宋体" w:cs="宋体"/>
                <w:highlight w:val="none"/>
                <w:lang w:val="en-US" w:eastAsia="zh-CN"/>
              </w:rPr>
              <w:t>≥</w:t>
            </w:r>
            <w:r>
              <w:rPr>
                <w:rFonts w:hint="eastAsia" w:ascii="宋体" w:hAnsi="宋体" w:eastAsia="宋体" w:cs="宋体"/>
                <w:i w:val="0"/>
                <w:iCs w:val="0"/>
                <w:color w:val="auto"/>
                <w:kern w:val="0"/>
                <w:sz w:val="21"/>
                <w:szCs w:val="21"/>
                <w:highlight w:val="none"/>
                <w:u w:val="none"/>
                <w:lang w:val="en-US" w:eastAsia="zh-CN" w:bidi="ar"/>
              </w:rPr>
              <w:t>10次；腿或基座大于200mm非叠放椅；</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张</w:t>
            </w:r>
          </w:p>
        </w:tc>
        <w:tc>
          <w:tcPr>
            <w:tcW w:w="9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68" w:hRule="atLeast"/>
          <w:jc w:val="center"/>
        </w:trPr>
        <w:tc>
          <w:tcPr>
            <w:tcW w:w="8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44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全新钢塑水槽柜</w:t>
            </w:r>
          </w:p>
        </w:tc>
        <w:tc>
          <w:tcPr>
            <w:tcW w:w="494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1.参考尺寸：438*600*855mm；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2.结构：三段组合式结构，分为水槽、柜体、地脚三部分；整体造型美观</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水槽：采用具有抗弯曲、抗拉伸、抗压强度；不导电、抗老化、耐高温、耐腐蚀、性能稳定、具备良好的阻燃性GFRP纤维增强塑料，内外双层设计，模具一次成型。水槽后侧台面上设计有点状的沥水点，水槽前沿高度低于两侧及后部70mm，为不同年级段的使用者提供便利。底部带S弯防臭设计，可接触面都做圆角处理，无安全隐患。水槽后部有设计三级滤网设计，保证下水的流畅性。不锈钢上下水面板，自带上下快速接口。</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内置式扬程水泵，新型环保增压水泵，不生锈，无铅无重金属，无毒无味，符合饮用水标准；电压，24V，功率，60W，流量，12L/min，高效节能，安装体积小；具有防水，防漏电，防腐蚀，防空转，自带止回阀功能。</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5.柜体：采用≥1.0mm优质镀锌钢板制作，经切割、圆角折弯、焊接、打磨成型，表面经环氧树脂喷涂处理，耐酸碱；柜门圆弧设计。</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6.地脚：采用PP材质，磨具一次成型，耐酸碱。</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7.技术要求满足：</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 w:val="18"/>
                <w:szCs w:val="16"/>
                <w:highlight w:val="none"/>
                <w:lang w:val="en-US" w:eastAsia="zh-CN"/>
              </w:rPr>
              <w:t>①</w:t>
            </w:r>
            <w:r>
              <w:rPr>
                <w:rFonts w:hint="eastAsia" w:ascii="宋体" w:hAnsi="宋体" w:eastAsia="宋体" w:cs="宋体"/>
                <w:i w:val="0"/>
                <w:iCs w:val="0"/>
                <w:color w:val="auto"/>
                <w:kern w:val="0"/>
                <w:sz w:val="21"/>
                <w:szCs w:val="21"/>
                <w:highlight w:val="none"/>
                <w:u w:val="none"/>
                <w:lang w:val="en-US" w:eastAsia="zh-CN" w:bidi="ar"/>
              </w:rPr>
              <w:t>外观要求：外表面光洁，色泽清晰，人体触及部位应无毛刺，快口，棱边等缺陷；金属件均应进行电镀，喷涂等防腐处理；金属件成型完整，无裂纹，凹坑、皱折等缺陷；塑料件色泽一致，无缺角、回料斑、缩痕、溢料、变形等缺陷；</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 w:val="18"/>
                <w:szCs w:val="16"/>
                <w:highlight w:val="none"/>
                <w:lang w:val="en-US" w:eastAsia="zh-CN"/>
              </w:rPr>
              <w:t>②</w:t>
            </w:r>
            <w:r>
              <w:rPr>
                <w:rFonts w:hint="eastAsia" w:ascii="宋体" w:hAnsi="宋体" w:eastAsia="宋体" w:cs="宋体"/>
                <w:i w:val="0"/>
                <w:iCs w:val="0"/>
                <w:color w:val="auto"/>
                <w:kern w:val="0"/>
                <w:sz w:val="21"/>
                <w:szCs w:val="21"/>
                <w:highlight w:val="none"/>
                <w:u w:val="none"/>
                <w:lang w:val="en-US" w:eastAsia="zh-CN" w:bidi="ar"/>
              </w:rPr>
              <w:t>焊接要求：焊点美观，焊接可靠，平整，无穿孔等不良现向；</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 w:val="18"/>
                <w:szCs w:val="16"/>
                <w:highlight w:val="none"/>
                <w:lang w:val="en-US" w:eastAsia="zh-CN"/>
              </w:rPr>
              <w:t>③</w:t>
            </w:r>
            <w:r>
              <w:rPr>
                <w:rFonts w:hint="eastAsia" w:ascii="宋体" w:hAnsi="宋体" w:eastAsia="宋体" w:cs="宋体"/>
                <w:i w:val="0"/>
                <w:iCs w:val="0"/>
                <w:color w:val="auto"/>
                <w:kern w:val="0"/>
                <w:sz w:val="21"/>
                <w:szCs w:val="21"/>
                <w:highlight w:val="none"/>
                <w:u w:val="none"/>
                <w:lang w:val="en-US" w:eastAsia="zh-CN" w:bidi="ar"/>
              </w:rPr>
              <w:t>平整性，mm：底座与上台面定位应可靠，平整，连接件无松动，歪斜等装配缺陷；底平面和台面的高低差应≤4mm；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 w:val="18"/>
                <w:szCs w:val="16"/>
                <w:highlight w:val="none"/>
                <w:lang w:val="en-US" w:eastAsia="zh-CN"/>
              </w:rPr>
              <w:t>④</w:t>
            </w:r>
            <w:r>
              <w:rPr>
                <w:rFonts w:hint="eastAsia" w:ascii="宋体" w:hAnsi="宋体" w:eastAsia="宋体" w:cs="宋体"/>
                <w:i w:val="0"/>
                <w:iCs w:val="0"/>
                <w:color w:val="auto"/>
                <w:kern w:val="0"/>
                <w:sz w:val="21"/>
                <w:szCs w:val="21"/>
                <w:highlight w:val="none"/>
                <w:u w:val="none"/>
                <w:lang w:val="en-US" w:eastAsia="zh-CN" w:bidi="ar"/>
              </w:rPr>
              <w:t>封闭门盖要求：安装，拆卸便利，各卡口定位有效可靠，安装后应平服，不应有自行脱落和翘曲现向；</w:t>
            </w:r>
          </w:p>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highlight w:val="none"/>
              </w:rPr>
              <w:t>提供相应的</w:t>
            </w:r>
            <w:r>
              <w:rPr>
                <w:rFonts w:hint="eastAsia" w:ascii="宋体" w:hAnsi="宋体" w:eastAsia="宋体" w:cs="宋体"/>
                <w:highlight w:val="none"/>
                <w:lang w:val="en-US" w:eastAsia="zh-CN"/>
              </w:rPr>
              <w:t>证明材料</w:t>
            </w:r>
            <w:r>
              <w:rPr>
                <w:rFonts w:hint="eastAsia" w:ascii="宋体" w:hAnsi="宋体" w:eastAsia="宋体" w:cs="宋体"/>
                <w:highlight w:val="none"/>
              </w:rPr>
              <w:t>（包括但不限于功能截图、软件著作权证书、彩页、产品证书、认证报告等相关资料）。</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9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3" w:hRule="atLeast"/>
          <w:jc w:val="center"/>
        </w:trPr>
        <w:tc>
          <w:tcPr>
            <w:tcW w:w="8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44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双联折叠龙头</w:t>
            </w:r>
          </w:p>
        </w:tc>
        <w:tc>
          <w:tcPr>
            <w:tcW w:w="494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双联定制型鹅颈式实验室专用水嘴；鹅颈出水管采用直径≥25mm铜质加厚铜管弯制成型，铜质出水水咀采用螺纹式安装，可方便拆卸；开关手柄采用PP旋转式手柄，两个出水鹅颈可以向前折叠，不用时可以掩藏在水槽柜内。上水接口自带成型螺纹，可方便连接上水软管。</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技术要求满足：GB 18145-2014 陶瓷片密封水嘴：</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1、螺纹：螺纹表面应光洁，不得有凹痕、断牙等明显缺陷；产品外接非密封管螺纹应符合GB/T7307的要求，其中外螺纹应不低于GB/T 7307的B级精度；</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2、抗水压机械性能：阀芯上游：关闭阀芯，出水口打开，在静压（2.5±0.05）Mpa下保压（60±5）s，阀芯上游的任何零部件无永久性变形；出水口不带流量调节器的水嘴阀芯下游：打开阀芯，出水口打开，水嘴流量为（0.4±0.04）L/S时的压力下保压（60±5）s，阀芯下游的任何零部件无永久性变形； </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3、密封性能：阀芯及阀芯上游：阀芯关闭，出水口打开，在静压（1.6±0.05）Mpa下保压（60±5）s，阀芯及上游过水通道无渗漏；阀芯下游：出水口能够被堵住的水嘴阀芯下游：阀芯打开，堵住出水口，在静压（0.4±0.02）Mpa下保压（60±5）s，减压至（0.05±0.01）Mpa保压（60±5）s，阀芯下游任何密封部位无渗漏。</w:t>
            </w:r>
          </w:p>
          <w:p>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highlight w:val="none"/>
              </w:rPr>
              <w:t>提供相应的</w:t>
            </w:r>
            <w:r>
              <w:rPr>
                <w:rFonts w:hint="eastAsia" w:ascii="宋体" w:hAnsi="宋体" w:eastAsia="宋体" w:cs="宋体"/>
                <w:highlight w:val="none"/>
                <w:lang w:val="en-US" w:eastAsia="zh-CN"/>
              </w:rPr>
              <w:t>证明材料</w:t>
            </w:r>
            <w:r>
              <w:rPr>
                <w:rFonts w:hint="eastAsia" w:ascii="宋体" w:hAnsi="宋体" w:eastAsia="宋体" w:cs="宋体"/>
                <w:highlight w:val="none"/>
              </w:rPr>
              <w:t>（包括但不限于功能截图、软件著作权证书、彩页、产品证书、认证报告等相关资料）。</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9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3" w:hRule="atLeast"/>
          <w:jc w:val="center"/>
        </w:trPr>
        <w:tc>
          <w:tcPr>
            <w:tcW w:w="9071" w:type="dxa"/>
            <w:gridSpan w:val="5"/>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控制系统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3" w:hRule="atLeast"/>
          <w:jc w:val="center"/>
        </w:trPr>
        <w:tc>
          <w:tcPr>
            <w:tcW w:w="8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44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智能系统控制柜</w:t>
            </w:r>
          </w:p>
        </w:tc>
        <w:tc>
          <w:tcPr>
            <w:tcW w:w="494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参考尺寸：500*200*1250mm</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智能控制柜：内置总电源开关1个，漏电保护器一个，电源保护器1个，单片机控制器及功能扩展模块1套，单片机保护模块1个、急停控制系统1个，工作指示灯系统1套（每个学生电一个指示灯，老师随时掌握学生漏电保护器通短），分组控制系统3套（电源控制系统、照明控制系统、给排水控制系统），风机控制系统1套。</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（1）电源控制系统：可以对220V进行控制，可以单独进行控制，进行单选、全选、反选，分组进行控制；</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（2）照明控制系统可以对照明进行控制，可以单独进行控制，进行单选、全选、反选，分组进行控制；</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3）给排水控制系统：给水系统：设有每个学生设有给水控制阀门，可以对给水进行控制，可以单独进行控制，进行单选、全选、反选，分组进行控制，教师可以方便对全室供水系统进行控制，学生功能板处设置给水接口，接口与学生水槽柜采用优质硅胶软管连接，接口均采用自动锁紧插拔式连接方式，用时接上，不用时可收起。自动排水系统：所有排水由智能化控制系统集中控制，学生功能板处设置排水接口，接口与学生水槽柜采用优质硅胶软管（具有防酸、防碱、耐腐蚀功能）连接，接口均采用自动锁紧插拔式连接方式（拔掉时没有污水流出），用时接上，不用时可收起；</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(4)、智能摇臂控制系统：可以对摇臂进行控制，可以单独进行控制，进行单选、全选、反选，分组进行控制；</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5）通风控制系统：采用风机矢量控制变频器：应用空间电压矢量控制原理，采用模块化设计、双CPU控制，是集数字技术、计算机技术、现代自控技术于一体的高科技产品，具有精度高、噪音低、转矩大、性能可靠等特点。主要参数指标为：①频率指示、异常指示、转速指示、状态指示等均由LED显示；②输入额定电压：三相380V，±15%；③输入额定频率：50/60 HZ；④控制方式：空间电压矢量控制；⑤输出频率：1.00~400.0 HZ；⑥过载能力：150% 额定电流；⑦保护功能：输入缺相、输入欠压、直流过压、过载等。</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控制系统：采用自主研发控制系统。</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（6）技术要求满足：</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 w:val="18"/>
                <w:szCs w:val="16"/>
                <w:highlight w:val="none"/>
                <w:lang w:val="en-US" w:eastAsia="zh-CN"/>
              </w:rPr>
              <w:t>①</w:t>
            </w:r>
            <w:r>
              <w:rPr>
                <w:rFonts w:hint="eastAsia" w:ascii="宋体" w:hAnsi="宋体" w:eastAsia="宋体" w:cs="宋体"/>
                <w:i w:val="0"/>
                <w:iCs w:val="0"/>
                <w:color w:val="auto"/>
                <w:kern w:val="0"/>
                <w:sz w:val="21"/>
                <w:szCs w:val="21"/>
                <w:highlight w:val="none"/>
                <w:u w:val="none"/>
                <w:lang w:val="en-US" w:eastAsia="zh-CN" w:bidi="ar"/>
              </w:rPr>
              <w:t>标志：调节装置、输出插孔应有清晰明了、耐用的提示文字和符号；直流电压输出应能显示电压。</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 w:val="18"/>
                <w:szCs w:val="16"/>
                <w:highlight w:val="none"/>
                <w:lang w:val="en-US" w:eastAsia="zh-CN"/>
              </w:rPr>
              <w:t>②</w:t>
            </w:r>
            <w:r>
              <w:rPr>
                <w:rFonts w:hint="eastAsia" w:ascii="宋体" w:hAnsi="宋体" w:eastAsia="宋体" w:cs="宋体"/>
                <w:i w:val="0"/>
                <w:iCs w:val="0"/>
                <w:color w:val="auto"/>
                <w:kern w:val="0"/>
                <w:sz w:val="21"/>
                <w:szCs w:val="21"/>
                <w:highlight w:val="none"/>
                <w:u w:val="none"/>
                <w:lang w:val="en-US" w:eastAsia="zh-CN" w:bidi="ar"/>
              </w:rPr>
              <w:t>电压调节范围，V.:AC/DC:0～30V;</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 w:val="18"/>
                <w:szCs w:val="16"/>
                <w:highlight w:val="none"/>
                <w:lang w:val="en-US" w:eastAsia="zh-CN"/>
              </w:rPr>
              <w:t>③</w:t>
            </w:r>
            <w:r>
              <w:rPr>
                <w:rFonts w:hint="eastAsia" w:ascii="宋体" w:hAnsi="宋体" w:eastAsia="宋体" w:cs="宋体"/>
                <w:i w:val="0"/>
                <w:iCs w:val="0"/>
                <w:color w:val="auto"/>
                <w:kern w:val="0"/>
                <w:sz w:val="21"/>
                <w:szCs w:val="21"/>
                <w:highlight w:val="none"/>
                <w:u w:val="none"/>
                <w:lang w:val="en-US" w:eastAsia="zh-CN" w:bidi="ar"/>
              </w:rPr>
              <w:t>内部导线连接：连线后应无应力；黄绿双色线必须是接地端子，部分固定牢固，无松动现向。</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sz w:val="18"/>
                <w:szCs w:val="16"/>
                <w:highlight w:val="none"/>
                <w:lang w:val="en-US" w:eastAsia="zh-CN"/>
              </w:rPr>
              <w:t>④</w:t>
            </w:r>
            <w:r>
              <w:rPr>
                <w:rFonts w:hint="eastAsia" w:ascii="宋体" w:hAnsi="宋体" w:eastAsia="宋体" w:cs="宋体"/>
                <w:i w:val="0"/>
                <w:iCs w:val="0"/>
                <w:color w:val="auto"/>
                <w:kern w:val="0"/>
                <w:sz w:val="21"/>
                <w:szCs w:val="21"/>
                <w:highlight w:val="none"/>
                <w:u w:val="none"/>
                <w:lang w:val="en-US" w:eastAsia="zh-CN" w:bidi="ar"/>
              </w:rPr>
              <w:t>电压指示精度，V:显示值与输出值之间的误差</w:t>
            </w:r>
            <w:r>
              <w:rPr>
                <w:rFonts w:hint="eastAsia" w:ascii="宋体" w:hAnsi="宋体" w:eastAsia="宋体" w:cs="宋体"/>
                <w:highlight w:val="none"/>
                <w:lang w:val="en-US" w:eastAsia="zh-CN"/>
              </w:rPr>
              <w:t>应在±2V以内。</w:t>
            </w:r>
          </w:p>
          <w:p>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highlight w:val="none"/>
              </w:rPr>
              <w:t>提供相应的</w:t>
            </w:r>
            <w:r>
              <w:rPr>
                <w:rFonts w:hint="eastAsia" w:ascii="宋体" w:hAnsi="宋体" w:eastAsia="宋体" w:cs="宋体"/>
                <w:highlight w:val="none"/>
                <w:lang w:val="en-US" w:eastAsia="zh-CN"/>
              </w:rPr>
              <w:t>证明材料</w:t>
            </w:r>
            <w:r>
              <w:rPr>
                <w:rFonts w:hint="eastAsia" w:ascii="宋体" w:hAnsi="宋体" w:eastAsia="宋体" w:cs="宋体"/>
                <w:highlight w:val="none"/>
              </w:rPr>
              <w:t>（包括但不限于功能截图、软件著作权证书、彩页、产品证书、认证报告等相关资料）。</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9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3" w:hRule="atLeast"/>
          <w:jc w:val="center"/>
        </w:trPr>
        <w:tc>
          <w:tcPr>
            <w:tcW w:w="8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44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顶装智能控制平台</w:t>
            </w:r>
          </w:p>
        </w:tc>
        <w:tc>
          <w:tcPr>
            <w:tcW w:w="494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参考规格：≥10寸触摸屏。</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集中控制系统。可执行各分项分页控制；</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（1）通风控制：触摸数字无极变频控制，具有频率数字显示功能，可精确控制通风风量；</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（2）供水控制：集中控制整室给排水；</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（3）照明控制：分组控制整室照明；</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（4）电源控制：控制学生AC220V电源； </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（5）摇臂控制：可以实现单个控制，可以集中控制，可以任意组合控制。</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（6）技术要求满足：</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 w:val="18"/>
                <w:szCs w:val="16"/>
                <w:highlight w:val="none"/>
                <w:lang w:val="en-US" w:eastAsia="zh-CN"/>
              </w:rPr>
              <w:t>①</w:t>
            </w:r>
            <w:r>
              <w:rPr>
                <w:rFonts w:hint="eastAsia" w:ascii="宋体" w:hAnsi="宋体" w:eastAsia="宋体" w:cs="宋体"/>
                <w:i w:val="0"/>
                <w:iCs w:val="0"/>
                <w:color w:val="auto"/>
                <w:kern w:val="0"/>
                <w:sz w:val="21"/>
                <w:szCs w:val="21"/>
                <w:highlight w:val="none"/>
                <w:u w:val="none"/>
                <w:lang w:val="en-US" w:eastAsia="zh-CN" w:bidi="ar"/>
              </w:rPr>
              <w:t>标志：调节装置、输出插孔应有清晰明了、耐用的提示文字和符号，直流电压输出应能显示电压；内部布线接线端子应有文字或符号明示</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 w:val="18"/>
                <w:szCs w:val="16"/>
                <w:highlight w:val="none"/>
                <w:lang w:val="en-US" w:eastAsia="zh-CN"/>
              </w:rPr>
              <w:t>②</w:t>
            </w:r>
            <w:r>
              <w:rPr>
                <w:rFonts w:hint="eastAsia" w:ascii="宋体" w:hAnsi="宋体" w:eastAsia="宋体" w:cs="宋体"/>
                <w:i w:val="0"/>
                <w:iCs w:val="0"/>
                <w:color w:val="auto"/>
                <w:kern w:val="0"/>
                <w:sz w:val="21"/>
                <w:szCs w:val="21"/>
                <w:highlight w:val="none"/>
                <w:u w:val="none"/>
                <w:lang w:val="en-US" w:eastAsia="zh-CN" w:bidi="ar"/>
              </w:rPr>
              <w:t>内部导线连接：连接后应无应力；黄绿双色线必须是接地端子；部件固定牢固，无松动现向</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 w:val="18"/>
                <w:szCs w:val="16"/>
                <w:highlight w:val="none"/>
                <w:lang w:val="en-US" w:eastAsia="zh-CN"/>
              </w:rPr>
              <w:t>③</w:t>
            </w:r>
            <w:r>
              <w:rPr>
                <w:rFonts w:hint="eastAsia" w:ascii="宋体" w:hAnsi="宋体" w:eastAsia="宋体" w:cs="宋体"/>
                <w:i w:val="0"/>
                <w:iCs w:val="0"/>
                <w:color w:val="auto"/>
                <w:kern w:val="0"/>
                <w:sz w:val="21"/>
                <w:szCs w:val="21"/>
                <w:highlight w:val="none"/>
                <w:u w:val="none"/>
                <w:lang w:val="en-US" w:eastAsia="zh-CN" w:bidi="ar"/>
              </w:rPr>
              <w:t>漏电保护：输入端应有漏电保护断路装置</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 w:val="18"/>
                <w:szCs w:val="16"/>
                <w:highlight w:val="none"/>
                <w:lang w:val="en-US" w:eastAsia="zh-CN"/>
              </w:rPr>
              <w:t>④</w:t>
            </w:r>
            <w:r>
              <w:rPr>
                <w:rFonts w:hint="eastAsia" w:ascii="宋体" w:hAnsi="宋体" w:eastAsia="宋体" w:cs="宋体"/>
                <w:i w:val="0"/>
                <w:iCs w:val="0"/>
                <w:color w:val="auto"/>
                <w:kern w:val="0"/>
                <w:sz w:val="21"/>
                <w:szCs w:val="21"/>
                <w:highlight w:val="none"/>
                <w:u w:val="none"/>
                <w:lang w:val="en-US" w:eastAsia="zh-CN" w:bidi="ar"/>
              </w:rPr>
              <w:t>接地措施：接地电阻≤0.1Ω；绝缘电阻≥7MΩ；变压器、插座应可靠接地</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 w:val="18"/>
                <w:szCs w:val="16"/>
                <w:highlight w:val="none"/>
                <w:lang w:val="en-US" w:eastAsia="zh-CN"/>
              </w:rPr>
              <w:t>⑤</w:t>
            </w:r>
            <w:r>
              <w:rPr>
                <w:rFonts w:hint="eastAsia" w:ascii="宋体" w:hAnsi="宋体" w:eastAsia="宋体" w:cs="宋体"/>
                <w:i w:val="0"/>
                <w:iCs w:val="0"/>
                <w:color w:val="auto"/>
                <w:kern w:val="0"/>
                <w:sz w:val="21"/>
                <w:szCs w:val="21"/>
                <w:highlight w:val="none"/>
                <w:u w:val="none"/>
                <w:lang w:val="en-US" w:eastAsia="zh-CN" w:bidi="ar"/>
              </w:rPr>
              <w:t>发热，K：变压器在1.06倍额定电压（233.2V）工作至温度状态，其绕组温升≤90K</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 w:val="18"/>
                <w:szCs w:val="16"/>
                <w:highlight w:val="none"/>
                <w:lang w:val="en-US" w:eastAsia="zh-CN"/>
              </w:rPr>
              <w:t>⑥</w:t>
            </w:r>
            <w:r>
              <w:rPr>
                <w:rFonts w:hint="eastAsia" w:ascii="宋体" w:hAnsi="宋体" w:eastAsia="宋体" w:cs="宋体"/>
                <w:i w:val="0"/>
                <w:iCs w:val="0"/>
                <w:color w:val="auto"/>
                <w:kern w:val="0"/>
                <w:sz w:val="21"/>
                <w:szCs w:val="21"/>
                <w:highlight w:val="none"/>
                <w:u w:val="none"/>
                <w:lang w:val="en-US" w:eastAsia="zh-CN" w:bidi="ar"/>
              </w:rPr>
              <w:t>操作性：试验后，提环连接部位不应脱落、变形，桶口部位不应产生永久性变形；各组插座、开关工作有效，无影响正常工作和安全的异常现向；指示灯正常，无闪烁、损坏现向；电压指示正常，无闪烁和损坏现向</w:t>
            </w:r>
          </w:p>
          <w:p>
            <w:pPr>
              <w:rPr>
                <w:rFonts w:hint="eastAsia" w:ascii="宋体" w:hAnsi="宋体" w:eastAsia="宋体" w:cs="宋体"/>
                <w:highlight w:val="none"/>
              </w:rPr>
            </w:pPr>
            <w:r>
              <w:rPr>
                <w:rFonts w:hint="eastAsia" w:ascii="宋体" w:hAnsi="宋体" w:eastAsia="宋体" w:cs="宋体"/>
                <w:sz w:val="18"/>
                <w:szCs w:val="16"/>
                <w:highlight w:val="none"/>
                <w:lang w:val="en-US" w:eastAsia="zh-CN"/>
              </w:rPr>
              <w:t>⑦</w:t>
            </w:r>
            <w:r>
              <w:rPr>
                <w:rFonts w:hint="eastAsia" w:ascii="宋体" w:hAnsi="宋体" w:eastAsia="宋体" w:cs="宋体"/>
                <w:i w:val="0"/>
                <w:iCs w:val="0"/>
                <w:color w:val="auto"/>
                <w:kern w:val="0"/>
                <w:sz w:val="21"/>
                <w:szCs w:val="21"/>
                <w:highlight w:val="none"/>
                <w:u w:val="none"/>
                <w:lang w:val="en-US" w:eastAsia="zh-CN" w:bidi="ar"/>
              </w:rPr>
              <w:t>电压电流设置性能指示性：电压按设定值输入确认后，显示和输出应一致；电压设定值与实际输出值得误差应≤10%；</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9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3" w:hRule="atLeast"/>
          <w:jc w:val="center"/>
        </w:trPr>
        <w:tc>
          <w:tcPr>
            <w:tcW w:w="8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44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学生端分组控制系统</w:t>
            </w:r>
          </w:p>
        </w:tc>
        <w:tc>
          <w:tcPr>
            <w:tcW w:w="494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可以对学生端模块的电源控制系统、照明控制系统、给排水控制系统、智能摇臂控制系统经行独立分组控制，实现全选、反选、单选功能</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技术要求满足：</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 w:val="18"/>
                <w:szCs w:val="16"/>
                <w:highlight w:val="none"/>
                <w:lang w:val="en-US" w:eastAsia="zh-CN"/>
              </w:rPr>
              <w:t>①</w:t>
            </w:r>
            <w:r>
              <w:rPr>
                <w:rFonts w:hint="eastAsia" w:ascii="宋体" w:hAnsi="宋体" w:eastAsia="宋体" w:cs="宋体"/>
                <w:i w:val="0"/>
                <w:iCs w:val="0"/>
                <w:color w:val="auto"/>
                <w:kern w:val="0"/>
                <w:sz w:val="21"/>
                <w:szCs w:val="21"/>
                <w:highlight w:val="none"/>
                <w:u w:val="none"/>
                <w:lang w:val="en-US" w:eastAsia="zh-CN" w:bidi="ar"/>
              </w:rPr>
              <w:t>标志：调节装置、输出插孔应有清晰明了、耐用的提示文字和符号；直流电压输出应能显示电压；</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 w:val="18"/>
                <w:szCs w:val="16"/>
                <w:highlight w:val="none"/>
                <w:lang w:val="en-US" w:eastAsia="zh-CN"/>
              </w:rPr>
              <w:t>②</w:t>
            </w:r>
            <w:r>
              <w:rPr>
                <w:rFonts w:hint="eastAsia" w:ascii="宋体" w:hAnsi="宋体" w:eastAsia="宋体" w:cs="宋体"/>
                <w:i w:val="0"/>
                <w:iCs w:val="0"/>
                <w:color w:val="auto"/>
                <w:kern w:val="0"/>
                <w:sz w:val="21"/>
                <w:szCs w:val="21"/>
                <w:highlight w:val="none"/>
                <w:u w:val="none"/>
                <w:lang w:val="en-US" w:eastAsia="zh-CN" w:bidi="ar"/>
              </w:rPr>
              <w:t>电压调节范围，V：器皿实际容积应不小于额定容积的95%；</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sz w:val="18"/>
                <w:szCs w:val="16"/>
                <w:highlight w:val="none"/>
                <w:lang w:val="en-US" w:eastAsia="zh-CN"/>
              </w:rPr>
              <w:t>③</w:t>
            </w:r>
            <w:r>
              <w:rPr>
                <w:rFonts w:hint="eastAsia" w:ascii="宋体" w:hAnsi="宋体" w:eastAsia="宋体" w:cs="宋体"/>
                <w:i w:val="0"/>
                <w:iCs w:val="0"/>
                <w:color w:val="auto"/>
                <w:kern w:val="0"/>
                <w:sz w:val="21"/>
                <w:szCs w:val="21"/>
                <w:highlight w:val="none"/>
                <w:u w:val="none"/>
                <w:lang w:val="en-US" w:eastAsia="zh-CN" w:bidi="ar"/>
              </w:rPr>
              <w:t>内部导线连接：连接后应无应力；黄绿双色线</w:t>
            </w:r>
            <w:r>
              <w:rPr>
                <w:rFonts w:hint="eastAsia" w:ascii="宋体" w:hAnsi="宋体" w:eastAsia="宋体" w:cs="宋体"/>
                <w:highlight w:val="none"/>
                <w:lang w:val="en-US" w:eastAsia="zh-CN"/>
              </w:rPr>
              <w:t>必须是接地端子，部件固定牢固，无松动现向；</w:t>
            </w:r>
          </w:p>
          <w:p>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sz w:val="18"/>
                <w:szCs w:val="16"/>
                <w:highlight w:val="none"/>
                <w:lang w:val="en-US" w:eastAsia="zh-CN"/>
              </w:rPr>
              <w:t>④</w:t>
            </w:r>
            <w:r>
              <w:rPr>
                <w:rFonts w:hint="eastAsia" w:ascii="宋体" w:hAnsi="宋体" w:eastAsia="宋体" w:cs="宋体"/>
                <w:highlight w:val="none"/>
                <w:lang w:val="en-US" w:eastAsia="zh-CN"/>
              </w:rPr>
              <w:t>电压指示精度：V：显示值与输出值之间的误差应在±2V以内。</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9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3" w:hRule="atLeast"/>
          <w:jc w:val="center"/>
        </w:trPr>
        <w:tc>
          <w:tcPr>
            <w:tcW w:w="8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44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远程控制系统</w:t>
            </w:r>
          </w:p>
        </w:tc>
        <w:tc>
          <w:tcPr>
            <w:tcW w:w="494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A、APP登入有网络注册功能，注册后登入系统操作，使用者忘记密码方便找回，同时方便升级系统，带来新的体验。</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B、能使用APP能控制总电源关闭；</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C、APP能显示当前温度、相对湿度及当前时间；</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D、使用APP能控制学生低压电源的交流电压，且电压值为实测值。如APP给学生交流3V，学生电源电压实测电压为3V；</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E、使用APP同时控制水电风光源开启与关闭，同时可以扩展功能（监控布防、空调控制等等）</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F</w:t>
            </w:r>
            <w:r>
              <w:rPr>
                <w:rFonts w:hint="eastAsia" w:ascii="宋体" w:hAnsi="宋体" w:eastAsia="宋体" w:cs="宋体"/>
                <w:highlight w:val="none"/>
                <w:lang w:val="en-US" w:eastAsia="zh-CN"/>
              </w:rPr>
              <w:t>、</w:t>
            </w:r>
            <w:r>
              <w:rPr>
                <w:rFonts w:hint="eastAsia" w:ascii="宋体" w:hAnsi="宋体" w:eastAsia="宋体" w:cs="宋体"/>
                <w:i w:val="0"/>
                <w:iCs w:val="0"/>
                <w:color w:val="auto"/>
                <w:kern w:val="0"/>
                <w:sz w:val="21"/>
                <w:szCs w:val="21"/>
                <w:highlight w:val="none"/>
                <w:u w:val="none"/>
                <w:lang w:val="en-US" w:eastAsia="zh-CN" w:bidi="ar"/>
              </w:rPr>
              <w:t>技术要求满足：</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 w:val="18"/>
                <w:szCs w:val="16"/>
                <w:highlight w:val="none"/>
                <w:lang w:val="en-US" w:eastAsia="zh-CN"/>
              </w:rPr>
              <w:t>①</w:t>
            </w:r>
            <w:r>
              <w:rPr>
                <w:rFonts w:hint="eastAsia" w:ascii="宋体" w:hAnsi="宋体" w:eastAsia="宋体" w:cs="宋体"/>
                <w:i w:val="0"/>
                <w:iCs w:val="0"/>
                <w:color w:val="auto"/>
                <w:kern w:val="0"/>
                <w:sz w:val="21"/>
                <w:szCs w:val="21"/>
                <w:highlight w:val="none"/>
                <w:u w:val="none"/>
                <w:lang w:val="en-US" w:eastAsia="zh-CN" w:bidi="ar"/>
              </w:rPr>
              <w:t>标志：调节装置、输出插孔应有清晰明了、耐用的提示文字和符号；直流电压输出应能显示电压。</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 w:val="18"/>
                <w:szCs w:val="16"/>
                <w:highlight w:val="none"/>
                <w:lang w:val="en-US" w:eastAsia="zh-CN"/>
              </w:rPr>
              <w:t>②</w:t>
            </w:r>
            <w:r>
              <w:rPr>
                <w:rFonts w:hint="eastAsia" w:ascii="宋体" w:hAnsi="宋体" w:eastAsia="宋体" w:cs="宋体"/>
                <w:i w:val="0"/>
                <w:iCs w:val="0"/>
                <w:color w:val="auto"/>
                <w:kern w:val="0"/>
                <w:sz w:val="21"/>
                <w:szCs w:val="21"/>
                <w:highlight w:val="none"/>
                <w:u w:val="none"/>
                <w:lang w:val="en-US" w:eastAsia="zh-CN" w:bidi="ar"/>
              </w:rPr>
              <w:t>电压调节范围，V.:AC/DC:0～30V;</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 w:val="18"/>
                <w:szCs w:val="16"/>
                <w:highlight w:val="none"/>
                <w:lang w:val="en-US" w:eastAsia="zh-CN"/>
              </w:rPr>
              <w:t>③</w:t>
            </w:r>
            <w:r>
              <w:rPr>
                <w:rFonts w:hint="eastAsia" w:ascii="宋体" w:hAnsi="宋体" w:eastAsia="宋体" w:cs="宋体"/>
                <w:i w:val="0"/>
                <w:iCs w:val="0"/>
                <w:color w:val="auto"/>
                <w:kern w:val="0"/>
                <w:sz w:val="21"/>
                <w:szCs w:val="21"/>
                <w:highlight w:val="none"/>
                <w:u w:val="none"/>
                <w:lang w:val="en-US" w:eastAsia="zh-CN" w:bidi="ar"/>
              </w:rPr>
              <w:t>内部导线连接：连线后应无应力；黄绿双色线必须是接地端子，部分固定牢固，无松动现向。</w:t>
            </w:r>
          </w:p>
          <w:p>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sz w:val="18"/>
                <w:szCs w:val="16"/>
                <w:highlight w:val="none"/>
                <w:lang w:val="en-US" w:eastAsia="zh-CN"/>
              </w:rPr>
              <w:t>④</w:t>
            </w:r>
            <w:r>
              <w:rPr>
                <w:rFonts w:hint="eastAsia" w:ascii="宋体" w:hAnsi="宋体" w:eastAsia="宋体" w:cs="宋体"/>
                <w:i w:val="0"/>
                <w:iCs w:val="0"/>
                <w:color w:val="auto"/>
                <w:kern w:val="0"/>
                <w:sz w:val="21"/>
                <w:szCs w:val="21"/>
                <w:highlight w:val="none"/>
                <w:u w:val="none"/>
                <w:lang w:val="en-US" w:eastAsia="zh-CN" w:bidi="ar"/>
              </w:rPr>
              <w:t>电压指示精度，V:显示值与输出值之间的误差</w:t>
            </w:r>
            <w:r>
              <w:rPr>
                <w:rFonts w:hint="eastAsia" w:ascii="宋体" w:hAnsi="宋体" w:eastAsia="宋体" w:cs="宋体"/>
                <w:highlight w:val="none"/>
                <w:lang w:val="en-US" w:eastAsia="zh-CN"/>
              </w:rPr>
              <w:t>应在±2V以内；</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9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3" w:hRule="atLeast"/>
          <w:jc w:val="center"/>
        </w:trPr>
        <w:tc>
          <w:tcPr>
            <w:tcW w:w="8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44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温湿度监视系统</w:t>
            </w:r>
          </w:p>
        </w:tc>
        <w:tc>
          <w:tcPr>
            <w:tcW w:w="494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内置精密温湿度传感装置，实时监控房间内的温度和湿度，保障室内舒适的环境舒适性，在触摸屏中实时显示当前环境的温度和湿度。</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技术要求满足：</w:t>
            </w:r>
            <w:r>
              <w:rPr>
                <w:rFonts w:hint="eastAsia" w:ascii="宋体" w:hAnsi="宋体" w:eastAsia="宋体" w:cs="宋体"/>
                <w:sz w:val="18"/>
                <w:szCs w:val="16"/>
                <w:highlight w:val="none"/>
                <w:lang w:val="en-US" w:eastAsia="zh-CN"/>
              </w:rPr>
              <w:t>①</w:t>
            </w:r>
            <w:r>
              <w:rPr>
                <w:rFonts w:hint="eastAsia" w:ascii="宋体" w:hAnsi="宋体" w:eastAsia="宋体" w:cs="宋体"/>
                <w:i w:val="0"/>
                <w:iCs w:val="0"/>
                <w:color w:val="auto"/>
                <w:kern w:val="0"/>
                <w:sz w:val="21"/>
                <w:szCs w:val="21"/>
                <w:highlight w:val="none"/>
                <w:u w:val="none"/>
                <w:lang w:val="en-US" w:eastAsia="zh-CN" w:bidi="ar"/>
              </w:rPr>
              <w:t>标志：调节装置、输出插孔应有清晰明了、耐用的提示文字和符号；直流电压输出应能显示电压。</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 w:val="18"/>
                <w:szCs w:val="16"/>
                <w:highlight w:val="none"/>
                <w:lang w:val="en-US" w:eastAsia="zh-CN"/>
              </w:rPr>
              <w:t>②</w:t>
            </w:r>
            <w:r>
              <w:rPr>
                <w:rFonts w:hint="eastAsia" w:ascii="宋体" w:hAnsi="宋体" w:eastAsia="宋体" w:cs="宋体"/>
                <w:i w:val="0"/>
                <w:iCs w:val="0"/>
                <w:color w:val="auto"/>
                <w:kern w:val="0"/>
                <w:sz w:val="21"/>
                <w:szCs w:val="21"/>
                <w:highlight w:val="none"/>
                <w:u w:val="none"/>
                <w:lang w:val="en-US" w:eastAsia="zh-CN" w:bidi="ar"/>
              </w:rPr>
              <w:t>电压调节范围，V.:AC/DC:0～30V;</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 w:val="18"/>
                <w:szCs w:val="16"/>
                <w:highlight w:val="none"/>
                <w:lang w:val="en-US" w:eastAsia="zh-CN"/>
              </w:rPr>
              <w:t>③</w:t>
            </w:r>
            <w:r>
              <w:rPr>
                <w:rFonts w:hint="eastAsia" w:ascii="宋体" w:hAnsi="宋体" w:eastAsia="宋体" w:cs="宋体"/>
                <w:i w:val="0"/>
                <w:iCs w:val="0"/>
                <w:color w:val="auto"/>
                <w:kern w:val="0"/>
                <w:sz w:val="21"/>
                <w:szCs w:val="21"/>
                <w:highlight w:val="none"/>
                <w:u w:val="none"/>
                <w:lang w:val="en-US" w:eastAsia="zh-CN" w:bidi="ar"/>
              </w:rPr>
              <w:t>内部导线连接：连线后应无应力；黄绿双色线必须是接地端子，部分固定牢固，无松动现向。</w:t>
            </w:r>
          </w:p>
          <w:p>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sz w:val="18"/>
                <w:szCs w:val="16"/>
                <w:highlight w:val="none"/>
                <w:lang w:val="en-US" w:eastAsia="zh-CN"/>
              </w:rPr>
              <w:t>④</w:t>
            </w:r>
            <w:r>
              <w:rPr>
                <w:rFonts w:hint="eastAsia" w:ascii="宋体" w:hAnsi="宋体" w:eastAsia="宋体" w:cs="宋体"/>
                <w:i w:val="0"/>
                <w:iCs w:val="0"/>
                <w:color w:val="auto"/>
                <w:kern w:val="0"/>
                <w:sz w:val="21"/>
                <w:szCs w:val="21"/>
                <w:highlight w:val="none"/>
                <w:u w:val="none"/>
                <w:lang w:val="en-US" w:eastAsia="zh-CN" w:bidi="ar"/>
              </w:rPr>
              <w:t>电压指示精度，V:显示值与输出值之间的误差应在±2V以内；</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9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3" w:hRule="atLeast"/>
          <w:jc w:val="center"/>
        </w:trPr>
        <w:tc>
          <w:tcPr>
            <w:tcW w:w="9071" w:type="dxa"/>
            <w:gridSpan w:val="5"/>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通风系统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3" w:hRule="atLeast"/>
          <w:jc w:val="center"/>
        </w:trPr>
        <w:tc>
          <w:tcPr>
            <w:tcW w:w="8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44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万向吸风罩</w:t>
            </w:r>
          </w:p>
        </w:tc>
        <w:tc>
          <w:tcPr>
            <w:tcW w:w="494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1.关节：高密度PP材质表面磨砂，优化了视觉美感和手握触感可360°旋转调节方向。</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2.关节密封圈：不易老化之高密度橡胶。在关节之间随着旋钮压力加大而产生阻尼效果。</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3.关节连接杆：304不锈钢双头锁杆。</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4.关节盖：高密度PP材质表面磨砂，一面嵌入铜质滚花螺母，四周采用自锁式倒扣拆装方便。</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5.关节松紧选钮：高密度PP材质，内置微形平面推力不锈钢轴承，与关节连接杆锁合。</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6.拱形集气罩：≥直径250mm，高密度铝合金制成。防止做实验时着火出现危险，</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7.伸缩导管：4节直径约为60mm的6系专业抗氧化抗腐蚀的镁硅铝合金，表面做特氟龙表面处理，耐酸、耐碱、耐划痕。</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8.旋转关节：6系专业抗氧化抗腐蚀的镁硅铝合金，在下部设计增加旋转功能，内部设计PVC离合结构。</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9.扭簧：使用90度的约为4mm专用弹簧钢抗氧化处理，防止吸风罩整体滑下。</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10.安装后可根据使用需要达到三维360度任意转停，集气罩吸气角度360度任意转停。整体美观大方，吻合高水准专业实验室</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11.技术要求满足：</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 w:val="18"/>
                <w:szCs w:val="16"/>
                <w:highlight w:val="none"/>
                <w:lang w:val="en-US" w:eastAsia="zh-CN"/>
              </w:rPr>
              <w:t>①</w:t>
            </w:r>
            <w:r>
              <w:rPr>
                <w:rFonts w:hint="eastAsia" w:ascii="宋体" w:hAnsi="宋体" w:eastAsia="宋体" w:cs="宋体"/>
                <w:i w:val="0"/>
                <w:iCs w:val="0"/>
                <w:color w:val="auto"/>
                <w:kern w:val="0"/>
                <w:sz w:val="21"/>
                <w:szCs w:val="21"/>
                <w:highlight w:val="none"/>
                <w:u w:val="none"/>
                <w:lang w:val="en-US" w:eastAsia="zh-CN" w:bidi="ar"/>
              </w:rPr>
              <w:t>外观要求，表面光洁，无毛刺，飞边等缺陷；铆接应饱满，光滑，无开裂等缺陷；塑料件成型完整，无明显色斑，缩痕、开裂等影响使用的不良现向；外形圆正，无缺角后机械损伤</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 w:val="18"/>
                <w:szCs w:val="16"/>
                <w:highlight w:val="none"/>
                <w:lang w:val="en-US" w:eastAsia="zh-CN"/>
              </w:rPr>
              <w:t>②</w:t>
            </w:r>
            <w:r>
              <w:rPr>
                <w:rFonts w:hint="eastAsia" w:ascii="宋体" w:hAnsi="宋体" w:eastAsia="宋体" w:cs="宋体"/>
                <w:i w:val="0"/>
                <w:iCs w:val="0"/>
                <w:color w:val="auto"/>
                <w:kern w:val="0"/>
                <w:sz w:val="21"/>
                <w:szCs w:val="21"/>
                <w:highlight w:val="none"/>
                <w:u w:val="none"/>
                <w:lang w:val="en-US" w:eastAsia="zh-CN" w:bidi="ar"/>
              </w:rPr>
              <w:t>风门要求，d㎡，开闭灵活，无卡阻现向；风门开启后，通风有效面积应≥0.3d㎡；</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 w:val="18"/>
                <w:szCs w:val="16"/>
                <w:highlight w:val="none"/>
                <w:lang w:val="en-US" w:eastAsia="zh-CN"/>
              </w:rPr>
              <w:t>③</w:t>
            </w:r>
            <w:r>
              <w:rPr>
                <w:rFonts w:hint="eastAsia" w:ascii="宋体" w:hAnsi="宋体" w:eastAsia="宋体" w:cs="宋体"/>
                <w:i w:val="0"/>
                <w:iCs w:val="0"/>
                <w:color w:val="auto"/>
                <w:kern w:val="0"/>
                <w:sz w:val="21"/>
                <w:szCs w:val="21"/>
                <w:highlight w:val="none"/>
                <w:u w:val="none"/>
                <w:lang w:val="en-US" w:eastAsia="zh-CN" w:bidi="ar"/>
              </w:rPr>
              <w:t>外观：调节灵活，锁固可靠；调节脚≥180°；锁定后，漏风间隙≤0.2mm；</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sz w:val="18"/>
                <w:szCs w:val="16"/>
                <w:highlight w:val="none"/>
                <w:lang w:val="en-US" w:eastAsia="zh-CN"/>
              </w:rPr>
              <w:t>④</w:t>
            </w:r>
            <w:r>
              <w:rPr>
                <w:rFonts w:hint="eastAsia" w:ascii="宋体" w:hAnsi="宋体" w:eastAsia="宋体" w:cs="宋体"/>
                <w:i w:val="0"/>
                <w:iCs w:val="0"/>
                <w:color w:val="auto"/>
                <w:kern w:val="0"/>
                <w:sz w:val="21"/>
                <w:szCs w:val="21"/>
                <w:highlight w:val="none"/>
                <w:u w:val="none"/>
                <w:lang w:val="en-US" w:eastAsia="zh-CN" w:bidi="ar"/>
              </w:rPr>
              <w:t>风罩要求：连接牢固，螺纹无滑牙，烂牙等现向；经0.5J冲击试验后，不应开裂；承载强度：经</w:t>
            </w:r>
            <w:r>
              <w:rPr>
                <w:rFonts w:hint="eastAsia" w:ascii="宋体" w:hAnsi="宋体" w:eastAsia="宋体" w:cs="宋体"/>
                <w:highlight w:val="none"/>
                <w:lang w:val="en-US" w:eastAsia="zh-CN"/>
              </w:rPr>
              <w:t>686N拉力试验后，各关节，风罩连接应无影响使用的缺陷。</w:t>
            </w:r>
          </w:p>
          <w:p>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highlight w:val="none"/>
              </w:rPr>
              <w:t>提供相应的</w:t>
            </w:r>
            <w:r>
              <w:rPr>
                <w:rFonts w:hint="eastAsia" w:ascii="宋体" w:hAnsi="宋体" w:eastAsia="宋体" w:cs="宋体"/>
                <w:highlight w:val="none"/>
                <w:lang w:val="en-US" w:eastAsia="zh-CN"/>
              </w:rPr>
              <w:t>证明材料</w:t>
            </w:r>
            <w:r>
              <w:rPr>
                <w:rFonts w:hint="eastAsia" w:ascii="宋体" w:hAnsi="宋体" w:eastAsia="宋体" w:cs="宋体"/>
                <w:highlight w:val="none"/>
              </w:rPr>
              <w:t>（包括但不限于功能截图、软件著作权证书、彩页、产品证书、认证报告等相关资料）。</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9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3" w:hRule="atLeast"/>
          <w:jc w:val="center"/>
        </w:trPr>
        <w:tc>
          <w:tcPr>
            <w:tcW w:w="8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44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室内行程通风系统</w:t>
            </w:r>
          </w:p>
        </w:tc>
        <w:tc>
          <w:tcPr>
            <w:tcW w:w="494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采用防腐蚀PP材质，整体焊接成型，具有整体结构性能好、严密性高等优点。同时具有耐酸碱性能。</w:t>
            </w:r>
          </w:p>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参考尺寸：主风管约为600*250，支风管直径约为110mm。管卡采用碳钢制作，表面经镀铬处理，具有耐腐蚀、防火、防潮等功能。</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9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3" w:hRule="atLeast"/>
          <w:jc w:val="center"/>
        </w:trPr>
        <w:tc>
          <w:tcPr>
            <w:tcW w:w="8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44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室外行程通风系统</w:t>
            </w:r>
          </w:p>
        </w:tc>
        <w:tc>
          <w:tcPr>
            <w:tcW w:w="494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采用防腐蚀PP材质，整体焊接成型，具有整体结构性能好、严密性高等优点。同时具有耐酸碱性能。</w:t>
            </w:r>
          </w:p>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参考尺寸：约为600*250。管卡采用碳钢制作，表面经镀铬处理，具有耐腐蚀、防火、防潮等功能。</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9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3" w:hRule="atLeast"/>
          <w:jc w:val="center"/>
        </w:trPr>
        <w:tc>
          <w:tcPr>
            <w:tcW w:w="8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44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通风风机</w:t>
            </w:r>
          </w:p>
        </w:tc>
        <w:tc>
          <w:tcPr>
            <w:tcW w:w="494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结构：PP蜗牛式离心风机。</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（1)功率：≥5.5KW。风量：7100-13500m3/h。风压：926-735Pa。噪音：≤55dB(A)。室内换气次数：≥20次/h。终端流速：≥11.3米/秒整个通风系统均为中压系统（500 Pa＜P≤1500 Pa＝，低压系统（P≤500 Pa），主管内风速约8-14米/秒（m/s），支管内风速约6-8米/秒（m/s）。</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（2)每台通风设备都可以独立操作，相互之间不受影响。</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（3)气流组织合理，排气顺畅，无气味溢出、气体排放符合国家规定排放标准。</w:t>
            </w:r>
          </w:p>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（4)通风系统主管内壁光滑，以降低噪声向室内传播，同时管井外壁应同室内装修保持一致，美观耐用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(5)技术要求满足：</w:t>
            </w:r>
            <w:r>
              <w:rPr>
                <w:rFonts w:hint="eastAsia" w:ascii="宋体" w:hAnsi="宋体" w:eastAsia="宋体" w:cs="宋体"/>
                <w:sz w:val="18"/>
                <w:szCs w:val="16"/>
                <w:highlight w:val="none"/>
                <w:lang w:val="en-US" w:eastAsia="zh-CN"/>
              </w:rPr>
              <w:t>①</w:t>
            </w:r>
            <w:r>
              <w:rPr>
                <w:rFonts w:hint="eastAsia" w:ascii="宋体" w:hAnsi="宋体" w:eastAsia="宋体" w:cs="宋体"/>
                <w:i w:val="0"/>
                <w:iCs w:val="0"/>
                <w:color w:val="auto"/>
                <w:kern w:val="0"/>
                <w:sz w:val="21"/>
                <w:szCs w:val="21"/>
                <w:highlight w:val="none"/>
                <w:u w:val="none"/>
                <w:lang w:val="en-US" w:eastAsia="zh-CN" w:bidi="ar"/>
              </w:rPr>
              <w:t>电源线：输入的导线截面面积应≥0.75mm²；导线与风机的连接应能经受49N，1min拉力试验，试验后不影响正常使用；长度L:≥1000mm；</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 w:val="18"/>
                <w:szCs w:val="16"/>
                <w:highlight w:val="none"/>
                <w:lang w:val="en-US" w:eastAsia="zh-CN"/>
              </w:rPr>
              <w:t>②</w:t>
            </w:r>
            <w:r>
              <w:rPr>
                <w:rFonts w:hint="eastAsia" w:ascii="宋体" w:hAnsi="宋体" w:eastAsia="宋体" w:cs="宋体"/>
                <w:i w:val="0"/>
                <w:iCs w:val="0"/>
                <w:color w:val="auto"/>
                <w:kern w:val="0"/>
                <w:sz w:val="21"/>
                <w:szCs w:val="21"/>
                <w:highlight w:val="none"/>
                <w:u w:val="none"/>
                <w:lang w:val="en-US" w:eastAsia="zh-CN" w:bidi="ar"/>
              </w:rPr>
              <w:t>运行性能：AC 198V时，三次启动均应能正常工作；运行平稳，无异常杂音。</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 w:val="18"/>
                <w:szCs w:val="16"/>
                <w:highlight w:val="none"/>
                <w:lang w:val="en-US" w:eastAsia="zh-CN"/>
              </w:rPr>
              <w:t>③</w:t>
            </w:r>
            <w:r>
              <w:rPr>
                <w:rFonts w:hint="eastAsia" w:ascii="宋体" w:hAnsi="宋体" w:eastAsia="宋体" w:cs="宋体"/>
                <w:i w:val="0"/>
                <w:iCs w:val="0"/>
                <w:color w:val="auto"/>
                <w:kern w:val="0"/>
                <w:sz w:val="21"/>
                <w:szCs w:val="21"/>
                <w:highlight w:val="none"/>
                <w:u w:val="none"/>
                <w:lang w:val="en-US" w:eastAsia="zh-CN" w:bidi="ar"/>
              </w:rPr>
              <w:t>防护要求：外壳的材料应由防腐材料制成，检测结果：外壳的材料应由防腐材料制成；固定件应经表面防腐处理；外壳经0.5J冲击试验三次后，应无破裂等异常现向。</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 w:val="18"/>
                <w:szCs w:val="16"/>
                <w:highlight w:val="none"/>
                <w:lang w:val="en-US" w:eastAsia="zh-CN"/>
              </w:rPr>
              <w:t>④</w:t>
            </w:r>
            <w:r>
              <w:rPr>
                <w:rFonts w:hint="eastAsia" w:ascii="宋体" w:hAnsi="宋体" w:eastAsia="宋体" w:cs="宋体"/>
                <w:i w:val="0"/>
                <w:iCs w:val="0"/>
                <w:color w:val="auto"/>
                <w:kern w:val="0"/>
                <w:sz w:val="21"/>
                <w:szCs w:val="21"/>
                <w:highlight w:val="none"/>
                <w:u w:val="none"/>
                <w:lang w:val="en-US" w:eastAsia="zh-CN" w:bidi="ar"/>
              </w:rPr>
              <w:t>耐电压要求：应能承受1000V，1min的电压试验，不应击穿或闪络。</w:t>
            </w:r>
          </w:p>
          <w:p>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sz w:val="18"/>
                <w:szCs w:val="16"/>
                <w:highlight w:val="none"/>
                <w:lang w:val="en-US" w:eastAsia="zh-CN"/>
              </w:rPr>
              <w:t>⑤</w:t>
            </w:r>
            <w:r>
              <w:rPr>
                <w:rFonts w:hint="eastAsia" w:ascii="宋体" w:hAnsi="宋体" w:eastAsia="宋体" w:cs="宋体"/>
                <w:highlight w:val="none"/>
                <w:lang w:val="en-US" w:eastAsia="zh-CN"/>
              </w:rPr>
              <w:t>绕组温升，K:绕组温升应：≤90K；</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9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3" w:hRule="atLeast"/>
          <w:jc w:val="center"/>
        </w:trPr>
        <w:tc>
          <w:tcPr>
            <w:tcW w:w="8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44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风机控制线</w:t>
            </w:r>
          </w:p>
        </w:tc>
        <w:tc>
          <w:tcPr>
            <w:tcW w:w="494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1.采用交联聚乙烯绝缘﹑铝塑带绕包总屏蔽﹑低烟无卤聚烯烃内衬层﹑钢丝铠装﹑低烟无卤聚烯烃护套耐火计算机对绞控制电缆。1. 电缆的额定电压300/500V</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2.电缆长期工作温度-30～90℃</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3.电缆敷设温度不低于0℃</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4.WDZCN-DJYJP3YP3VR-33电缆弯曲半径不小于电缆直径的12倍</w:t>
            </w:r>
          </w:p>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5.低烟无卤成束阻燃型电缆燃烧时析出气体中HCL含量≤100mg/g</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9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3" w:hRule="atLeast"/>
          <w:jc w:val="center"/>
        </w:trPr>
        <w:tc>
          <w:tcPr>
            <w:tcW w:w="9071" w:type="dxa"/>
            <w:gridSpan w:val="5"/>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顶部集成供给系统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3" w:hRule="atLeast"/>
          <w:jc w:val="center"/>
        </w:trPr>
        <w:tc>
          <w:tcPr>
            <w:tcW w:w="8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144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顶装主体框架</w:t>
            </w:r>
          </w:p>
        </w:tc>
        <w:tc>
          <w:tcPr>
            <w:tcW w:w="494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整体采用≥3.0mm冷轧钢板，经激光雕刻机精细雕刻，数控折弯成型，表面经环氧树脂粉末喷涂高温固化处理。要做到承重性能强和耐酸碱、耐腐蚀。</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技术要求满足：</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 w:val="18"/>
                <w:szCs w:val="16"/>
                <w:highlight w:val="none"/>
                <w:lang w:val="en-US" w:eastAsia="zh-CN"/>
              </w:rPr>
              <w:t>①</w:t>
            </w:r>
            <w:r>
              <w:rPr>
                <w:rFonts w:hint="eastAsia" w:ascii="宋体" w:hAnsi="宋体" w:eastAsia="宋体" w:cs="宋体"/>
                <w:i w:val="0"/>
                <w:iCs w:val="0"/>
                <w:color w:val="auto"/>
                <w:kern w:val="0"/>
                <w:sz w:val="21"/>
                <w:szCs w:val="21"/>
                <w:highlight w:val="none"/>
                <w:u w:val="none"/>
                <w:lang w:val="en-US" w:eastAsia="zh-CN" w:bidi="ar"/>
              </w:rPr>
              <w:t>外观：表面光洁，形状规正，不应有毛刺、快口等现向；组件结合接缝平服，间隙应基本一致，无明显高低差和缝隙不一的现向；</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 w:val="18"/>
                <w:szCs w:val="16"/>
                <w:highlight w:val="none"/>
                <w:lang w:val="en-US" w:eastAsia="zh-CN"/>
              </w:rPr>
              <w:t>②</w:t>
            </w:r>
            <w:r>
              <w:rPr>
                <w:rFonts w:hint="eastAsia" w:ascii="宋体" w:hAnsi="宋体" w:eastAsia="宋体" w:cs="宋体"/>
                <w:i w:val="0"/>
                <w:iCs w:val="0"/>
                <w:color w:val="auto"/>
                <w:kern w:val="0"/>
                <w:sz w:val="21"/>
                <w:szCs w:val="21"/>
                <w:highlight w:val="none"/>
                <w:u w:val="none"/>
                <w:lang w:val="en-US" w:eastAsia="zh-CN" w:bidi="ar"/>
              </w:rPr>
              <w:t xml:space="preserve">涂层要求，μm：主体的内外面均应做涂层处理，涂层色泽均匀一致，无气泡、流挂、露底等缺陷，外表面任意五点的平均厚度≥80μm </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 w:val="18"/>
                <w:szCs w:val="16"/>
                <w:highlight w:val="none"/>
                <w:lang w:val="en-US" w:eastAsia="zh-CN"/>
              </w:rPr>
              <w:t>③</w:t>
            </w:r>
            <w:r>
              <w:rPr>
                <w:rFonts w:hint="eastAsia" w:ascii="宋体" w:hAnsi="宋体" w:eastAsia="宋体" w:cs="宋体"/>
                <w:i w:val="0"/>
                <w:iCs w:val="0"/>
                <w:color w:val="auto"/>
                <w:kern w:val="0"/>
                <w:sz w:val="21"/>
                <w:szCs w:val="21"/>
                <w:highlight w:val="none"/>
                <w:u w:val="none"/>
                <w:lang w:val="en-US" w:eastAsia="zh-CN" w:bidi="ar"/>
              </w:rPr>
              <w:t>切边口：光滑，无裂边、锐边、皱折等现向；焊接：牢固，焊点圆正，无虚焊、尖角、穿孔等现向；</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 w:val="18"/>
                <w:szCs w:val="16"/>
                <w:highlight w:val="none"/>
                <w:lang w:val="en-US" w:eastAsia="zh-CN"/>
              </w:rPr>
              <w:t>④</w:t>
            </w:r>
            <w:r>
              <w:rPr>
                <w:rFonts w:hint="eastAsia" w:ascii="宋体" w:hAnsi="宋体" w:eastAsia="宋体" w:cs="宋体"/>
                <w:i w:val="0"/>
                <w:iCs w:val="0"/>
                <w:color w:val="auto"/>
                <w:kern w:val="0"/>
                <w:sz w:val="21"/>
                <w:szCs w:val="21"/>
                <w:highlight w:val="none"/>
                <w:u w:val="none"/>
                <w:lang w:val="en-US" w:eastAsia="zh-CN" w:bidi="ar"/>
              </w:rPr>
              <w:t>装配：自攻螺钉装配应到位，内侧螺纹应露出2圈以上；成型后应无歪斜，单边等装配缺陷</w:t>
            </w:r>
          </w:p>
          <w:p>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sz w:val="18"/>
                <w:szCs w:val="16"/>
                <w:highlight w:val="none"/>
                <w:lang w:val="en-US" w:eastAsia="zh-CN"/>
              </w:rPr>
              <w:t>⑤</w:t>
            </w:r>
            <w:r>
              <w:rPr>
                <w:rFonts w:hint="eastAsia" w:ascii="宋体" w:hAnsi="宋体" w:eastAsia="宋体" w:cs="宋体"/>
                <w:i w:val="0"/>
                <w:iCs w:val="0"/>
                <w:color w:val="auto"/>
                <w:kern w:val="0"/>
                <w:sz w:val="21"/>
                <w:szCs w:val="21"/>
                <w:highlight w:val="none"/>
                <w:u w:val="none"/>
                <w:lang w:val="en-US" w:eastAsia="zh-CN" w:bidi="ar"/>
              </w:rPr>
              <w:t>尺寸要求，mm：二端面的高度尺寸：45mm±2mm；</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9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3" w:hRule="atLeast"/>
          <w:jc w:val="center"/>
        </w:trPr>
        <w:tc>
          <w:tcPr>
            <w:tcW w:w="8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144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主体防尘保护罩</w:t>
            </w:r>
          </w:p>
        </w:tc>
        <w:tc>
          <w:tcPr>
            <w:tcW w:w="494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整体采用≥5mm抗倍特板，保护主体构架内的供应系统的安全，防止灰尘进入罩体内。</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9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3" w:hRule="atLeast"/>
          <w:jc w:val="center"/>
        </w:trPr>
        <w:tc>
          <w:tcPr>
            <w:tcW w:w="8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144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智能摇臂升降系统</w:t>
            </w:r>
          </w:p>
        </w:tc>
        <w:tc>
          <w:tcPr>
            <w:tcW w:w="494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接收智能控制系统信号实现远程遥控，动力为直流24V低压电机推送杆，固定于≥3mm厚专用铝合金模具一体成型，外部保护罩为铝合金模具一次成型，摇臂上装电源、选配网络及上下水模块。</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技术要求满足：</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 w:val="18"/>
                <w:szCs w:val="16"/>
                <w:highlight w:val="none"/>
                <w:lang w:val="en-US" w:eastAsia="zh-CN"/>
              </w:rPr>
              <w:t>①</w:t>
            </w:r>
            <w:r>
              <w:rPr>
                <w:rFonts w:hint="eastAsia" w:ascii="宋体" w:hAnsi="宋体" w:eastAsia="宋体" w:cs="宋体"/>
                <w:i w:val="0"/>
                <w:iCs w:val="0"/>
                <w:color w:val="auto"/>
                <w:kern w:val="0"/>
                <w:sz w:val="21"/>
                <w:szCs w:val="21"/>
                <w:highlight w:val="none"/>
                <w:u w:val="none"/>
                <w:lang w:val="en-US" w:eastAsia="zh-CN" w:bidi="ar"/>
              </w:rPr>
              <w:t>外观要求：各部件应进行防腐处理；可触及部位应无毛刺，飞边，快口等缺陷；外壳加工规整，无明显敲击和机械损伤；部件的定位应可靠，不应有窜动、歪斜、工作卡阻等影响使用的缺陷</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 w:val="18"/>
                <w:szCs w:val="16"/>
                <w:highlight w:val="none"/>
                <w:lang w:val="en-US" w:eastAsia="zh-CN"/>
              </w:rPr>
              <w:t>②</w:t>
            </w:r>
            <w:r>
              <w:rPr>
                <w:rFonts w:hint="eastAsia" w:ascii="宋体" w:hAnsi="宋体" w:eastAsia="宋体" w:cs="宋体"/>
                <w:i w:val="0"/>
                <w:iCs w:val="0"/>
                <w:color w:val="auto"/>
                <w:kern w:val="0"/>
                <w:sz w:val="21"/>
                <w:szCs w:val="21"/>
                <w:highlight w:val="none"/>
                <w:u w:val="none"/>
                <w:lang w:val="en-US" w:eastAsia="zh-CN" w:bidi="ar"/>
              </w:rPr>
              <w:t>主体金属材料硬度，HV ：技术要求≥180HV；</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 w:val="18"/>
                <w:szCs w:val="16"/>
                <w:highlight w:val="none"/>
                <w:lang w:val="en-US" w:eastAsia="zh-CN"/>
              </w:rPr>
              <w:t>③</w:t>
            </w:r>
            <w:r>
              <w:rPr>
                <w:rFonts w:hint="eastAsia" w:ascii="宋体" w:hAnsi="宋体" w:eastAsia="宋体" w:cs="宋体"/>
                <w:i w:val="0"/>
                <w:iCs w:val="0"/>
                <w:color w:val="auto"/>
                <w:kern w:val="0"/>
                <w:sz w:val="21"/>
                <w:szCs w:val="21"/>
                <w:highlight w:val="none"/>
                <w:u w:val="none"/>
                <w:lang w:val="en-US" w:eastAsia="zh-CN" w:bidi="ar"/>
              </w:rPr>
              <w:t xml:space="preserve">防护涂层的要求，μm：涂层表面光滑，颜色、色泽应基本一致，无气泡，不脱落，任意五点的平均厚度应≥100μm，经2H铅笔硬度试验后，涂层应无明显痕迹  </w:t>
            </w:r>
          </w:p>
          <w:p>
            <w:pPr>
              <w:keepNext w:val="0"/>
              <w:keepLines w:val="0"/>
              <w:widowControl/>
              <w:suppressLineNumbers w:val="0"/>
              <w:jc w:val="left"/>
              <w:textAlignment w:val="center"/>
              <w:rPr>
                <w:rFonts w:hint="eastAsia" w:ascii="宋体" w:hAnsi="宋体" w:eastAsia="宋体" w:cs="宋体"/>
                <w:highlight w:val="none"/>
              </w:rPr>
            </w:pPr>
            <w:r>
              <w:rPr>
                <w:rFonts w:hint="eastAsia" w:ascii="宋体" w:hAnsi="宋体" w:eastAsia="宋体" w:cs="宋体"/>
                <w:sz w:val="18"/>
                <w:szCs w:val="16"/>
                <w:highlight w:val="none"/>
                <w:lang w:val="en-US" w:eastAsia="zh-CN"/>
              </w:rPr>
              <w:t>④</w:t>
            </w:r>
            <w:r>
              <w:rPr>
                <w:rFonts w:hint="eastAsia" w:ascii="宋体" w:hAnsi="宋体" w:eastAsia="宋体" w:cs="宋体"/>
                <w:i w:val="0"/>
                <w:iCs w:val="0"/>
                <w:color w:val="auto"/>
                <w:kern w:val="0"/>
                <w:sz w:val="21"/>
                <w:szCs w:val="21"/>
                <w:highlight w:val="none"/>
                <w:u w:val="none"/>
                <w:lang w:val="en-US" w:eastAsia="zh-CN" w:bidi="ar"/>
              </w:rPr>
              <w:t>运行稳定性：经升降200次试验后，运行应无</w:t>
            </w:r>
            <w:r>
              <w:rPr>
                <w:rFonts w:hint="eastAsia" w:ascii="宋体" w:hAnsi="宋体" w:eastAsia="宋体" w:cs="宋体"/>
                <w:highlight w:val="none"/>
                <w:lang w:val="en-US" w:eastAsia="zh-CN"/>
              </w:rPr>
              <w:t>异常现向发生；</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9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3" w:hRule="atLeast"/>
          <w:jc w:val="center"/>
        </w:trPr>
        <w:tc>
          <w:tcPr>
            <w:tcW w:w="8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144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上下水智能安装面板</w:t>
            </w:r>
          </w:p>
        </w:tc>
        <w:tc>
          <w:tcPr>
            <w:tcW w:w="494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接收智能化控制系统控制，主体采用铝合金材质，内部铝质框架，外壳采用ABS注塑成型，预留多个供应系统安装位置，水电分离设计，模块设计防水功能。</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9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3" w:hRule="atLeast"/>
          <w:jc w:val="center"/>
        </w:trPr>
        <w:tc>
          <w:tcPr>
            <w:tcW w:w="8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144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多功能电源</w:t>
            </w:r>
          </w:p>
        </w:tc>
        <w:tc>
          <w:tcPr>
            <w:tcW w:w="494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参考尺寸：65*65*8mm（2个/组）接收智能化控制系统控制，内含新国标多功能插座2个。</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9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3" w:hRule="atLeast"/>
          <w:jc w:val="center"/>
        </w:trPr>
        <w:tc>
          <w:tcPr>
            <w:tcW w:w="8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144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急停装置</w:t>
            </w:r>
          </w:p>
        </w:tc>
        <w:tc>
          <w:tcPr>
            <w:tcW w:w="494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铝合金材质，在水电系统出现故障时紧急制动，确保实验时安全。</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个</w:t>
            </w:r>
          </w:p>
        </w:tc>
        <w:tc>
          <w:tcPr>
            <w:tcW w:w="9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3" w:hRule="atLeast"/>
          <w:jc w:val="center"/>
        </w:trPr>
        <w:tc>
          <w:tcPr>
            <w:tcW w:w="8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144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供电线路</w:t>
            </w:r>
          </w:p>
        </w:tc>
        <w:tc>
          <w:tcPr>
            <w:tcW w:w="494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模块化设计，每组模块间采用活接式连接，方便安装、检修。采用约为2.5mm²电线进行系统布线。</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9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3" w:hRule="atLeast"/>
          <w:jc w:val="center"/>
        </w:trPr>
        <w:tc>
          <w:tcPr>
            <w:tcW w:w="8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144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智能照明</w:t>
            </w:r>
          </w:p>
        </w:tc>
        <w:tc>
          <w:tcPr>
            <w:tcW w:w="494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接收智能化控制系统控制，功能面板采约为1170*85mm，配置LED日光灯1根，每根15W，灯罩采用ABS一次成型，设计安装磨砂透明均光板，不仅能使光线扩散均匀更能起到安全防护作用。</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9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3" w:hRule="atLeast"/>
          <w:jc w:val="center"/>
        </w:trPr>
        <w:tc>
          <w:tcPr>
            <w:tcW w:w="8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144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自动给排水系统</w:t>
            </w:r>
          </w:p>
        </w:tc>
        <w:tc>
          <w:tcPr>
            <w:tcW w:w="494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自动排水模块1组、水模拟量控制器1组、电源控制器1套、自动保护系统1组。</w:t>
            </w:r>
          </w:p>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所有排水由智能化控制系统集中控制，三联高低位龙头处设置排水接口，接口与学生水槽柜采用优质硅胶软管（具有防酸、防碱、耐腐蚀功能）连接，接口均采用自动锁紧插拔式连接方式（拔掉时没有污水流出），用时接上，不用时可收起。当学生水槽柜量达到一定值时系统自动排水、污水经过连接管排至顶部排水管总管后流出，当水槽柜污水排净后排水系统自动关闭。控制系统设置一键排空功能，可一键将管道内所有的污水排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9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3" w:hRule="atLeast"/>
          <w:jc w:val="center"/>
        </w:trPr>
        <w:tc>
          <w:tcPr>
            <w:tcW w:w="8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44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自动给排水接口</w:t>
            </w:r>
          </w:p>
        </w:tc>
        <w:tc>
          <w:tcPr>
            <w:tcW w:w="494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接收智能化控制系统控制，功能面板采用钢制面板，每组功能板上预留不锈钢快速给排水接口1对。并配置配套给排水软管2根。快速给水接口约为5mm厚304不锈钢材质，带自动止水功能，表面抛光拉丝处理。快速排水接口采用PP材质专用接口。</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9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3" w:hRule="atLeast"/>
          <w:jc w:val="center"/>
        </w:trPr>
        <w:tc>
          <w:tcPr>
            <w:tcW w:w="8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144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给水布管</w:t>
            </w:r>
          </w:p>
        </w:tc>
        <w:tc>
          <w:tcPr>
            <w:tcW w:w="494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给水主管选用φ20-32mmPP-R给水管，模块化设计，每组模块间采用活接式连接，方便安装、检修。</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9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3" w:hRule="atLeast"/>
          <w:jc w:val="center"/>
        </w:trPr>
        <w:tc>
          <w:tcPr>
            <w:tcW w:w="8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144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排水布管</w:t>
            </w:r>
          </w:p>
        </w:tc>
        <w:tc>
          <w:tcPr>
            <w:tcW w:w="494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排水管选用加厚φ50-75mmPVC-U国标管（具有防酸、防碱、耐腐蚀功能），模块化设计，每组模块间采用活接式连接，方便安装、检修。</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9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8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144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安装调试</w:t>
            </w:r>
          </w:p>
        </w:tc>
        <w:tc>
          <w:tcPr>
            <w:tcW w:w="494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1、吊顶式安装系统采用模块化结构设计，采用吊装安装方式；</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2、系统结构安装调试；</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3、系统控制安装调试；</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4、通风系统安装调试；</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5、给排水安装调试；</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6、供电系统安装调试；</w:t>
            </w:r>
          </w:p>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7、照明系统安装调试。</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9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8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144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系统安装辅件</w:t>
            </w:r>
          </w:p>
        </w:tc>
        <w:tc>
          <w:tcPr>
            <w:tcW w:w="4940"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采用双槽钢横梁吊装方式，减少楼板承重，防止左右晃动，可进行上下、左右的平衡调节，实验功能板离地大约2m左右。主要辅件有：槽钢、三角构件、直角座、龙骨架连接件、吊装挂件、安装连接板等。</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90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82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144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系统集成</w:t>
            </w:r>
          </w:p>
        </w:tc>
        <w:tc>
          <w:tcPr>
            <w:tcW w:w="4940"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运输费、整体课桌椅安装、标准化顶装安装</w:t>
            </w:r>
          </w:p>
        </w:tc>
        <w:tc>
          <w:tcPr>
            <w:tcW w:w="95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90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bl>
    <w:p>
      <w:pPr>
        <w:pStyle w:val="27"/>
        <w:rPr>
          <w:rFonts w:hint="eastAsia" w:ascii="宋体" w:hAnsi="宋体" w:eastAsia="宋体" w:cs="宋体"/>
          <w:highlight w:val="none"/>
        </w:rPr>
        <w:sectPr>
          <w:footerReference r:id="rId11" w:type="default"/>
          <w:pgSz w:w="11906" w:h="16838"/>
          <w:pgMar w:top="1440" w:right="1080" w:bottom="1440" w:left="1080" w:header="851" w:footer="992" w:gutter="0"/>
          <w:pgNumType w:fmt="decimal"/>
          <w:cols w:space="425" w:num="1"/>
          <w:docGrid w:type="lines" w:linePitch="312" w:charSpace="0"/>
        </w:sectPr>
      </w:pPr>
    </w:p>
    <w:bookmarkEnd w:id="41"/>
    <w:p>
      <w:pPr>
        <w:pStyle w:val="3"/>
        <w:numPr>
          <w:ilvl w:val="0"/>
          <w:numId w:val="5"/>
        </w:numPr>
        <w:rPr>
          <w:rFonts w:hint="eastAsia" w:ascii="宋体" w:hAnsi="宋体" w:eastAsia="宋体" w:cs="宋体"/>
          <w:b/>
          <w:bCs/>
          <w:sz w:val="36"/>
          <w:szCs w:val="36"/>
          <w:highlight w:val="none"/>
          <w:lang w:eastAsia="zh-CN"/>
        </w:rPr>
      </w:pPr>
      <w:bookmarkStart w:id="43" w:name="_Toc393281139"/>
      <w:bookmarkStart w:id="44" w:name="_Toc393284674"/>
      <w:bookmarkStart w:id="45" w:name="_Toc389568492"/>
      <w:bookmarkStart w:id="46" w:name="_Toc425781312"/>
      <w:bookmarkStart w:id="47" w:name="_Toc405191193"/>
      <w:bookmarkStart w:id="48" w:name="_Toc22294"/>
      <w:bookmarkStart w:id="49" w:name="_Toc393284381"/>
      <w:bookmarkStart w:id="50" w:name="_Toc17659"/>
      <w:bookmarkStart w:id="51" w:name="_Toc370906268"/>
      <w:bookmarkStart w:id="52" w:name="_Toc389836557"/>
      <w:bookmarkStart w:id="53" w:name="_Toc26400"/>
      <w:bookmarkStart w:id="54" w:name="_Toc370906269"/>
      <w:bookmarkStart w:id="55" w:name="_Toc389836558"/>
      <w:bookmarkStart w:id="56" w:name="_Toc393284675"/>
      <w:bookmarkStart w:id="57" w:name="_Toc393285042"/>
      <w:bookmarkStart w:id="58" w:name="_Toc393281140"/>
      <w:bookmarkStart w:id="59" w:name="_Toc393371572"/>
      <w:bookmarkStart w:id="60" w:name="_Toc389568493"/>
      <w:bookmarkStart w:id="61" w:name="_Toc393284382"/>
      <w:r>
        <w:rPr>
          <w:rFonts w:hint="eastAsia" w:ascii="宋体" w:hAnsi="宋体" w:eastAsia="宋体" w:cs="宋体"/>
          <w:b/>
          <w:bCs/>
          <w:sz w:val="36"/>
          <w:szCs w:val="36"/>
          <w:highlight w:val="none"/>
          <w:lang w:eastAsia="zh-CN"/>
        </w:rPr>
        <w:t>评审方法</w:t>
      </w:r>
      <w:bookmarkEnd w:id="42"/>
      <w:bookmarkEnd w:id="43"/>
      <w:bookmarkEnd w:id="44"/>
      <w:bookmarkEnd w:id="45"/>
      <w:bookmarkEnd w:id="46"/>
      <w:bookmarkEnd w:id="47"/>
      <w:bookmarkEnd w:id="48"/>
      <w:bookmarkEnd w:id="49"/>
      <w:bookmarkEnd w:id="50"/>
      <w:bookmarkEnd w:id="51"/>
      <w:bookmarkEnd w:id="52"/>
      <w:bookmarkEnd w:id="53"/>
    </w:p>
    <w:p>
      <w:pPr>
        <w:numPr>
          <w:ilvl w:val="0"/>
          <w:numId w:val="0"/>
        </w:numPr>
        <w:rPr>
          <w:rFonts w:hint="eastAsia" w:ascii="宋体" w:hAnsi="宋体" w:eastAsia="宋体" w:cs="宋体"/>
          <w:highlight w:val="none"/>
          <w:lang w:eastAsia="zh-CN"/>
        </w:rPr>
      </w:pPr>
    </w:p>
    <w:bookmarkEnd w:id="54"/>
    <w:bookmarkEnd w:id="55"/>
    <w:bookmarkEnd w:id="56"/>
    <w:bookmarkEnd w:id="57"/>
    <w:bookmarkEnd w:id="58"/>
    <w:bookmarkEnd w:id="59"/>
    <w:bookmarkEnd w:id="60"/>
    <w:bookmarkEnd w:id="61"/>
    <w:p>
      <w:pPr>
        <w:keepNext w:val="0"/>
        <w:keepLines w:val="0"/>
        <w:pageBreakBefore w:val="0"/>
        <w:widowControl w:val="0"/>
        <w:kinsoku/>
        <w:wordWrap/>
        <w:overflowPunct/>
        <w:topLinePunct w:val="0"/>
        <w:autoSpaceDE/>
        <w:autoSpaceDN/>
        <w:bidi w:val="0"/>
        <w:adjustRightInd/>
        <w:snapToGrid/>
        <w:spacing w:after="120" w:afterLines="50" w:line="360" w:lineRule="auto"/>
        <w:ind w:left="0" w:leftChars="0" w:right="0" w:rightChars="0"/>
        <w:textAlignment w:val="auto"/>
        <w:outlineLvl w:val="9"/>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一．评审方法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96" w:firstLineChars="200"/>
        <w:textAlignment w:val="auto"/>
        <w:outlineLvl w:val="9"/>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按照</w:t>
      </w:r>
      <w:r>
        <w:rPr>
          <w:rFonts w:hint="eastAsia" w:ascii="宋体" w:hAnsi="宋体" w:eastAsia="宋体" w:cs="宋体"/>
          <w:spacing w:val="4"/>
          <w:sz w:val="24"/>
          <w:szCs w:val="24"/>
          <w:highlight w:val="none"/>
          <w:lang w:eastAsia="zh-CN"/>
        </w:rPr>
        <w:t>《</w:t>
      </w:r>
      <w:r>
        <w:rPr>
          <w:rFonts w:hint="eastAsia" w:ascii="宋体" w:hAnsi="宋体" w:eastAsia="宋体" w:cs="宋体"/>
          <w:spacing w:val="4"/>
          <w:sz w:val="24"/>
          <w:szCs w:val="24"/>
          <w:highlight w:val="none"/>
        </w:rPr>
        <w:t>中华人民共和国</w:t>
      </w:r>
      <w:r>
        <w:rPr>
          <w:rFonts w:hint="eastAsia" w:ascii="宋体" w:hAnsi="宋体" w:eastAsia="宋体" w:cs="宋体"/>
          <w:spacing w:val="4"/>
          <w:sz w:val="24"/>
          <w:szCs w:val="24"/>
          <w:highlight w:val="none"/>
          <w:lang w:eastAsia="zh-CN"/>
        </w:rPr>
        <w:t>政府采购法》及实施条例</w:t>
      </w:r>
      <w:r>
        <w:rPr>
          <w:rFonts w:hint="eastAsia" w:ascii="宋体" w:hAnsi="宋体" w:eastAsia="宋体" w:cs="宋体"/>
          <w:spacing w:val="4"/>
          <w:sz w:val="24"/>
          <w:szCs w:val="24"/>
          <w:highlight w:val="none"/>
        </w:rPr>
        <w:t>、</w:t>
      </w:r>
      <w:r>
        <w:rPr>
          <w:rFonts w:hint="eastAsia" w:ascii="宋体" w:hAnsi="宋体" w:eastAsia="宋体" w:cs="宋体"/>
          <w:sz w:val="24"/>
          <w:szCs w:val="24"/>
          <w:highlight w:val="none"/>
        </w:rPr>
        <w:t>中华人民共和国财政部令第74号--《政府采购非招标采购方式管理办法》</w:t>
      </w:r>
      <w:r>
        <w:rPr>
          <w:rFonts w:hint="eastAsia" w:ascii="宋体" w:hAnsi="宋体" w:eastAsia="宋体" w:cs="宋体"/>
          <w:spacing w:val="4"/>
          <w:sz w:val="24"/>
          <w:szCs w:val="24"/>
          <w:highlight w:val="none"/>
        </w:rPr>
        <w:t>的规定，本次评审采用最低评标价法，</w:t>
      </w:r>
      <w:r>
        <w:rPr>
          <w:rFonts w:hint="eastAsia" w:ascii="宋体" w:hAnsi="宋体" w:eastAsia="宋体" w:cs="宋体"/>
          <w:sz w:val="24"/>
          <w:szCs w:val="24"/>
          <w:highlight w:val="none"/>
        </w:rPr>
        <w:t>即质量和服务均能满足谈判文件要求的供应商中，按照最后报价由低到高的顺序依次排序，推荐成交候选人。以提出最低报价的谈判</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作为成交候选人。</w:t>
      </w:r>
    </w:p>
    <w:p>
      <w:pPr>
        <w:keepNext w:val="0"/>
        <w:keepLines w:val="0"/>
        <w:pageBreakBefore w:val="0"/>
        <w:widowControl w:val="0"/>
        <w:kinsoku/>
        <w:wordWrap/>
        <w:overflowPunct/>
        <w:topLinePunct w:val="0"/>
        <w:autoSpaceDE/>
        <w:autoSpaceDN/>
        <w:bidi w:val="0"/>
        <w:spacing w:line="360" w:lineRule="auto"/>
        <w:textAlignment w:val="auto"/>
        <w:outlineLvl w:val="9"/>
        <w:rPr>
          <w:rFonts w:hint="eastAsia" w:ascii="宋体" w:hAnsi="宋体" w:eastAsia="宋体" w:cs="宋体"/>
          <w:b/>
          <w:sz w:val="24"/>
          <w:szCs w:val="24"/>
          <w:highlight w:val="none"/>
          <w:lang w:eastAsia="zh-CN"/>
        </w:rPr>
      </w:pPr>
      <w:bookmarkStart w:id="62" w:name="_Toc370906270"/>
      <w:r>
        <w:rPr>
          <w:rFonts w:hint="eastAsia" w:ascii="宋体" w:hAnsi="宋体" w:eastAsia="宋体" w:cs="宋体"/>
          <w:b/>
          <w:sz w:val="24"/>
          <w:szCs w:val="24"/>
          <w:highlight w:val="none"/>
          <w:lang w:eastAsia="zh-CN"/>
        </w:rPr>
        <w:t>二、评审标准</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2" w:firstLineChars="196"/>
        <w:textAlignment w:val="auto"/>
        <w:outlineLvl w:val="9"/>
        <w:rPr>
          <w:rFonts w:hint="eastAsia"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lang w:val="en-US" w:eastAsia="zh-CN"/>
        </w:rPr>
        <w:t>2.1</w:t>
      </w:r>
      <w:r>
        <w:rPr>
          <w:rFonts w:hint="eastAsia" w:ascii="宋体" w:hAnsi="宋体" w:eastAsia="宋体" w:cs="宋体"/>
          <w:b/>
          <w:color w:val="000000"/>
          <w:sz w:val="24"/>
          <w:szCs w:val="24"/>
          <w:highlight w:val="none"/>
          <w:lang w:eastAsia="zh-CN"/>
        </w:rPr>
        <w:t>初步评审标准</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0" w:firstLineChars="196"/>
        <w:textAlignment w:val="auto"/>
        <w:outlineLvl w:val="9"/>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sz w:val="24"/>
          <w:szCs w:val="24"/>
          <w:highlight w:val="none"/>
        </w:rPr>
        <w:t>2.1</w:t>
      </w:r>
      <w:r>
        <w:rPr>
          <w:rFonts w:hint="eastAsia" w:ascii="宋体" w:hAnsi="宋体" w:eastAsia="宋体" w:cs="宋体"/>
          <w:b w:val="0"/>
          <w:bCs w:val="0"/>
          <w:color w:val="000000"/>
          <w:sz w:val="24"/>
          <w:szCs w:val="24"/>
          <w:highlight w:val="none"/>
          <w:lang w:val="en-US" w:eastAsia="zh-CN"/>
        </w:rPr>
        <w:t>.1</w:t>
      </w:r>
      <w:r>
        <w:rPr>
          <w:rFonts w:hint="eastAsia" w:ascii="宋体" w:hAnsi="宋体" w:eastAsia="宋体" w:cs="宋体"/>
          <w:b w:val="0"/>
          <w:bCs w:val="0"/>
          <w:color w:val="000000"/>
          <w:sz w:val="24"/>
          <w:szCs w:val="24"/>
          <w:highlight w:val="none"/>
        </w:rPr>
        <w:t>资格性审查</w:t>
      </w:r>
      <w:r>
        <w:rPr>
          <w:rFonts w:hint="eastAsia" w:ascii="宋体" w:hAnsi="宋体" w:eastAsia="宋体" w:cs="宋体"/>
          <w:b w:val="0"/>
          <w:bCs w:val="0"/>
          <w:color w:val="000000"/>
          <w:sz w:val="24"/>
          <w:szCs w:val="24"/>
          <w:highlight w:val="none"/>
          <w:lang w:eastAsia="zh-CN"/>
        </w:rPr>
        <w:t>标准：见附件</w:t>
      </w:r>
      <w:r>
        <w:rPr>
          <w:rFonts w:hint="eastAsia" w:ascii="宋体" w:hAnsi="宋体" w:eastAsia="宋体" w:cs="宋体"/>
          <w:b w:val="0"/>
          <w:bCs w:val="0"/>
          <w:color w:val="000000"/>
          <w:sz w:val="24"/>
          <w:szCs w:val="24"/>
          <w:highlight w:val="none"/>
          <w:lang w:val="en-US" w:eastAsia="zh-CN"/>
        </w:rPr>
        <w:t>1</w:t>
      </w:r>
      <w:r>
        <w:rPr>
          <w:rFonts w:hint="eastAsia" w:ascii="宋体" w:hAnsi="宋体" w:eastAsia="宋体" w:cs="宋体"/>
          <w:b w:val="0"/>
          <w:bCs w:val="0"/>
          <w:color w:val="000000"/>
          <w:sz w:val="24"/>
          <w:szCs w:val="24"/>
          <w:highlight w:val="none"/>
          <w:lang w:eastAsia="zh-CN"/>
        </w:rPr>
        <w:t>初步审查要素表</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470" w:firstLineChars="196"/>
        <w:textAlignment w:val="auto"/>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2.</w:t>
      </w:r>
      <w:r>
        <w:rPr>
          <w:rFonts w:hint="eastAsia" w:ascii="宋体" w:hAnsi="宋体" w:eastAsia="宋体" w:cs="宋体"/>
          <w:b w:val="0"/>
          <w:bCs w:val="0"/>
          <w:color w:val="000000"/>
          <w:sz w:val="24"/>
          <w:szCs w:val="24"/>
          <w:highlight w:val="none"/>
          <w:lang w:val="en-US" w:eastAsia="zh-CN"/>
        </w:rPr>
        <w:t>1.</w:t>
      </w:r>
      <w:r>
        <w:rPr>
          <w:rFonts w:hint="eastAsia" w:ascii="宋体" w:hAnsi="宋体" w:eastAsia="宋体" w:cs="宋体"/>
          <w:b w:val="0"/>
          <w:bCs w:val="0"/>
          <w:color w:val="000000"/>
          <w:sz w:val="24"/>
          <w:szCs w:val="24"/>
          <w:highlight w:val="none"/>
        </w:rPr>
        <w:t>2符合性审查</w:t>
      </w:r>
      <w:r>
        <w:rPr>
          <w:rFonts w:hint="eastAsia" w:ascii="宋体" w:hAnsi="宋体" w:eastAsia="宋体" w:cs="宋体"/>
          <w:b w:val="0"/>
          <w:bCs w:val="0"/>
          <w:color w:val="000000"/>
          <w:sz w:val="24"/>
          <w:szCs w:val="24"/>
          <w:highlight w:val="none"/>
          <w:lang w:eastAsia="zh-CN"/>
        </w:rPr>
        <w:t>标准：见附件</w:t>
      </w:r>
      <w:r>
        <w:rPr>
          <w:rFonts w:hint="eastAsia" w:ascii="宋体" w:hAnsi="宋体" w:eastAsia="宋体" w:cs="宋体"/>
          <w:b w:val="0"/>
          <w:bCs w:val="0"/>
          <w:color w:val="000000"/>
          <w:sz w:val="24"/>
          <w:szCs w:val="24"/>
          <w:highlight w:val="none"/>
          <w:lang w:val="en-US" w:eastAsia="zh-CN"/>
        </w:rPr>
        <w:t>1</w:t>
      </w:r>
      <w:r>
        <w:rPr>
          <w:rFonts w:hint="eastAsia" w:ascii="宋体" w:hAnsi="宋体" w:eastAsia="宋体" w:cs="宋体"/>
          <w:b w:val="0"/>
          <w:bCs w:val="0"/>
          <w:color w:val="000000"/>
          <w:sz w:val="24"/>
          <w:szCs w:val="24"/>
          <w:highlight w:val="none"/>
          <w:lang w:eastAsia="zh-CN"/>
        </w:rPr>
        <w:t>初步审查要素表</w:t>
      </w:r>
    </w:p>
    <w:p>
      <w:pPr>
        <w:keepNext w:val="0"/>
        <w:keepLines w:val="0"/>
        <w:pageBreakBefore w:val="0"/>
        <w:widowControl w:val="0"/>
        <w:kinsoku/>
        <w:wordWrap/>
        <w:overflowPunct/>
        <w:topLinePunct w:val="0"/>
        <w:autoSpaceDE/>
        <w:autoSpaceDN/>
        <w:bidi w:val="0"/>
        <w:adjustRightInd/>
        <w:snapToGrid/>
        <w:spacing w:after="120" w:afterLines="50" w:line="360" w:lineRule="auto"/>
        <w:ind w:left="0" w:leftChars="0" w:right="0" w:rightChars="0"/>
        <w:jc w:val="both"/>
        <w:textAlignment w:val="auto"/>
        <w:outlineLvl w:val="9"/>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三</w:t>
      </w:r>
      <w:r>
        <w:rPr>
          <w:rFonts w:hint="eastAsia" w:ascii="宋体" w:hAnsi="宋体" w:eastAsia="宋体" w:cs="宋体"/>
          <w:b/>
          <w:kern w:val="0"/>
          <w:sz w:val="24"/>
          <w:szCs w:val="24"/>
          <w:highlight w:val="none"/>
          <w:lang w:val="en-US" w:eastAsia="zh-CN"/>
        </w:rPr>
        <w:t>、</w:t>
      </w:r>
      <w:r>
        <w:rPr>
          <w:rFonts w:hint="eastAsia" w:ascii="宋体" w:hAnsi="宋体" w:eastAsia="宋体" w:cs="宋体"/>
          <w:b/>
          <w:kern w:val="0"/>
          <w:sz w:val="24"/>
          <w:szCs w:val="24"/>
          <w:highlight w:val="none"/>
        </w:rPr>
        <w:t>评审程序</w:t>
      </w:r>
      <w:bookmarkEnd w:id="62"/>
    </w:p>
    <w:p>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44"/>
        <w:jc w:val="both"/>
        <w:textAlignment w:val="auto"/>
        <w:outlineLvl w:val="9"/>
        <w:rPr>
          <w:rFonts w:hint="eastAsia" w:ascii="宋体" w:hAnsi="宋体" w:eastAsia="宋体" w:cs="宋体"/>
          <w:b/>
          <w:bCs/>
          <w:spacing w:val="4"/>
          <w:sz w:val="24"/>
          <w:szCs w:val="24"/>
          <w:highlight w:val="none"/>
          <w:lang w:eastAsia="zh-CN"/>
        </w:rPr>
      </w:pPr>
      <w:r>
        <w:rPr>
          <w:rFonts w:hint="eastAsia" w:ascii="宋体" w:hAnsi="宋体" w:eastAsia="宋体" w:cs="宋体"/>
          <w:b/>
          <w:bCs/>
          <w:spacing w:val="4"/>
          <w:sz w:val="24"/>
          <w:szCs w:val="24"/>
          <w:highlight w:val="none"/>
          <w:lang w:eastAsia="zh-CN"/>
        </w:rPr>
        <w:t>按照初审、澄清有关问题、分别谈判、推荐成交候选人名单。在上一步评审中被作无效响应处理者，不得进入下一步的评审。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textAlignment w:val="auto"/>
        <w:outlineLvl w:val="9"/>
        <w:rPr>
          <w:rFonts w:hint="eastAsia" w:ascii="宋体" w:hAnsi="宋体" w:eastAsia="宋体" w:cs="宋体"/>
          <w:b/>
          <w:bCs/>
          <w:spacing w:val="4"/>
          <w:sz w:val="24"/>
          <w:szCs w:val="24"/>
          <w:highlight w:val="none"/>
        </w:rPr>
      </w:pPr>
      <w:r>
        <w:rPr>
          <w:rFonts w:hint="eastAsia" w:ascii="宋体" w:hAnsi="宋体" w:eastAsia="宋体" w:cs="宋体"/>
          <w:b/>
          <w:bCs/>
          <w:spacing w:val="4"/>
          <w:sz w:val="24"/>
          <w:szCs w:val="24"/>
          <w:highlight w:val="none"/>
          <w:lang w:val="en-US" w:eastAsia="zh-CN"/>
        </w:rPr>
        <w:t>1、</w:t>
      </w:r>
      <w:r>
        <w:rPr>
          <w:rFonts w:hint="eastAsia" w:ascii="宋体" w:hAnsi="宋体" w:eastAsia="宋体" w:cs="宋体"/>
          <w:b/>
          <w:bCs/>
          <w:spacing w:val="4"/>
          <w:sz w:val="24"/>
          <w:szCs w:val="24"/>
          <w:highlight w:val="none"/>
        </w:rPr>
        <w:t>对</w:t>
      </w:r>
      <w:r>
        <w:rPr>
          <w:rFonts w:hint="eastAsia" w:ascii="宋体" w:hAnsi="宋体" w:eastAsia="宋体" w:cs="宋体"/>
          <w:b/>
          <w:bCs/>
          <w:spacing w:val="4"/>
          <w:sz w:val="24"/>
          <w:szCs w:val="24"/>
          <w:highlight w:val="none"/>
          <w:lang w:eastAsia="zh-CN"/>
        </w:rPr>
        <w:t>谈判</w:t>
      </w:r>
      <w:r>
        <w:rPr>
          <w:rFonts w:hint="eastAsia" w:ascii="宋体" w:hAnsi="宋体" w:eastAsia="宋体" w:cs="宋体"/>
          <w:b/>
          <w:bCs/>
          <w:spacing w:val="4"/>
          <w:sz w:val="24"/>
          <w:szCs w:val="24"/>
          <w:highlight w:val="none"/>
        </w:rPr>
        <w:t>响应文件的初审：</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0" w:rightChars="0" w:firstLine="472" w:firstLineChars="196"/>
        <w:jc w:val="both"/>
        <w:textAlignment w:val="auto"/>
        <w:outlineLvl w:val="9"/>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sz w:val="24"/>
          <w:szCs w:val="24"/>
          <w:highlight w:val="none"/>
          <w:lang w:val="en-US" w:eastAsia="zh-CN"/>
        </w:rPr>
        <w:t>1.1</w:t>
      </w:r>
      <w:r>
        <w:rPr>
          <w:rFonts w:hint="eastAsia" w:ascii="宋体" w:hAnsi="宋体" w:eastAsia="宋体" w:cs="宋体"/>
          <w:b/>
          <w:bCs/>
          <w:color w:val="000000"/>
          <w:sz w:val="24"/>
          <w:szCs w:val="24"/>
          <w:highlight w:val="none"/>
        </w:rPr>
        <w:t>资格性审查</w:t>
      </w:r>
      <w:r>
        <w:rPr>
          <w:rFonts w:hint="eastAsia" w:ascii="宋体" w:hAnsi="宋体" w:eastAsia="宋体" w:cs="宋体"/>
          <w:b/>
          <w:bCs/>
          <w:color w:val="000000"/>
          <w:sz w:val="24"/>
          <w:szCs w:val="24"/>
          <w:highlight w:val="none"/>
          <w:lang w:eastAsia="zh-CN"/>
        </w:rPr>
        <w:t>：</w:t>
      </w:r>
      <w:r>
        <w:rPr>
          <w:rFonts w:hint="eastAsia" w:ascii="宋体" w:hAnsi="宋体" w:cs="宋体"/>
          <w:b/>
          <w:bCs/>
          <w:color w:val="000000"/>
          <w:sz w:val="24"/>
          <w:szCs w:val="24"/>
          <w:highlight w:val="none"/>
          <w:lang w:eastAsia="zh-CN"/>
        </w:rPr>
        <w:t>采购人</w:t>
      </w:r>
      <w:r>
        <w:rPr>
          <w:rFonts w:hint="eastAsia" w:ascii="宋体" w:hAnsi="宋体" w:eastAsia="宋体" w:cs="宋体"/>
          <w:b/>
          <w:bCs/>
          <w:color w:val="000000"/>
          <w:sz w:val="24"/>
          <w:szCs w:val="24"/>
          <w:highlight w:val="none"/>
        </w:rPr>
        <w:t>将依据本章第 2.1.1 项规定的评审标准对</w:t>
      </w:r>
      <w:r>
        <w:rPr>
          <w:rFonts w:hint="eastAsia" w:ascii="宋体" w:hAnsi="宋体" w:eastAsia="宋体" w:cs="宋体"/>
          <w:b/>
          <w:bCs/>
          <w:color w:val="000000"/>
          <w:sz w:val="24"/>
          <w:szCs w:val="24"/>
          <w:highlight w:val="none"/>
          <w:lang w:eastAsia="zh-CN"/>
        </w:rPr>
        <w:t>谈判响应文件</w:t>
      </w:r>
      <w:r>
        <w:rPr>
          <w:rFonts w:hint="eastAsia" w:ascii="宋体" w:hAnsi="宋体" w:eastAsia="宋体" w:cs="宋体"/>
          <w:b/>
          <w:bCs/>
          <w:color w:val="000000"/>
          <w:sz w:val="24"/>
          <w:szCs w:val="24"/>
          <w:highlight w:val="none"/>
        </w:rPr>
        <w:t>进行资格性审查。有一项不符合评审标准的，</w:t>
      </w:r>
      <w:r>
        <w:rPr>
          <w:rFonts w:hint="eastAsia" w:ascii="宋体" w:hAnsi="宋体" w:eastAsia="宋体" w:cs="宋体"/>
          <w:b/>
          <w:bCs/>
          <w:color w:val="000000"/>
          <w:kern w:val="0"/>
          <w:sz w:val="24"/>
          <w:szCs w:val="24"/>
          <w:highlight w:val="none"/>
        </w:rPr>
        <w:t>将被视为未实质性响应</w:t>
      </w:r>
      <w:r>
        <w:rPr>
          <w:rFonts w:hint="eastAsia" w:ascii="宋体" w:hAnsi="宋体" w:eastAsia="宋体" w:cs="宋体"/>
          <w:b/>
          <w:bCs/>
          <w:color w:val="000000"/>
          <w:kern w:val="0"/>
          <w:sz w:val="24"/>
          <w:szCs w:val="24"/>
          <w:highlight w:val="none"/>
          <w:lang w:eastAsia="zh-CN"/>
        </w:rPr>
        <w:t>谈判</w:t>
      </w:r>
      <w:r>
        <w:rPr>
          <w:rFonts w:hint="eastAsia" w:ascii="宋体" w:hAnsi="宋体" w:eastAsia="宋体" w:cs="宋体"/>
          <w:b/>
          <w:bCs/>
          <w:color w:val="000000"/>
          <w:kern w:val="0"/>
          <w:sz w:val="24"/>
          <w:szCs w:val="24"/>
          <w:highlight w:val="none"/>
        </w:rPr>
        <w:t>文件</w:t>
      </w:r>
      <w:r>
        <w:rPr>
          <w:rFonts w:hint="eastAsia" w:ascii="宋体" w:hAnsi="宋体" w:eastAsia="宋体" w:cs="宋体"/>
          <w:b/>
          <w:bCs/>
          <w:color w:val="000000"/>
          <w:kern w:val="0"/>
          <w:sz w:val="24"/>
          <w:szCs w:val="24"/>
          <w:highlight w:val="none"/>
          <w:lang w:eastAsia="zh-CN"/>
        </w:rPr>
        <w:t>，其谈判响应文件将按无效文件处理</w:t>
      </w:r>
      <w:r>
        <w:rPr>
          <w:rFonts w:hint="eastAsia" w:ascii="宋体" w:hAnsi="宋体" w:eastAsia="宋体" w:cs="宋体"/>
          <w:b/>
          <w:bCs/>
          <w:color w:val="000000"/>
          <w:kern w:val="0"/>
          <w:sz w:val="24"/>
          <w:szCs w:val="24"/>
          <w:highlight w:val="none"/>
        </w:rPr>
        <w:t>。</w:t>
      </w:r>
    </w:p>
    <w:p>
      <w:pPr>
        <w:keepNext w:val="0"/>
        <w:keepLines w:val="0"/>
        <w:pageBreakBefore w:val="0"/>
        <w:widowControl w:val="0"/>
        <w:kinsoku/>
        <w:wordWrap/>
        <w:overflowPunct/>
        <w:topLinePunct w:val="0"/>
        <w:autoSpaceDE/>
        <w:autoSpaceDN/>
        <w:bidi w:val="0"/>
        <w:spacing w:line="360" w:lineRule="auto"/>
        <w:ind w:right="0" w:rightChars="0" w:firstLine="482"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lang w:val="en-US" w:eastAsia="zh-CN"/>
        </w:rPr>
        <w:t>1</w:t>
      </w:r>
      <w:r>
        <w:rPr>
          <w:rFonts w:hint="eastAsia" w:ascii="宋体" w:hAnsi="宋体" w:eastAsia="宋体" w:cs="宋体"/>
          <w:b/>
          <w:bCs/>
          <w:color w:val="000000"/>
          <w:sz w:val="24"/>
          <w:szCs w:val="24"/>
          <w:highlight w:val="none"/>
        </w:rPr>
        <w:t>.2符合性审查</w:t>
      </w:r>
      <w:r>
        <w:rPr>
          <w:rFonts w:hint="eastAsia" w:ascii="宋体" w:hAnsi="宋体" w:eastAsia="宋体" w:cs="宋体"/>
          <w:b/>
          <w:bCs/>
          <w:color w:val="000000"/>
          <w:sz w:val="24"/>
          <w:szCs w:val="24"/>
          <w:highlight w:val="none"/>
          <w:lang w:eastAsia="zh-CN"/>
        </w:rPr>
        <w:t>：谈判小组</w:t>
      </w:r>
      <w:r>
        <w:rPr>
          <w:rFonts w:hint="eastAsia" w:ascii="宋体" w:hAnsi="宋体" w:eastAsia="宋体" w:cs="宋体"/>
          <w:b/>
          <w:bCs/>
          <w:color w:val="000000"/>
          <w:sz w:val="24"/>
          <w:szCs w:val="24"/>
          <w:highlight w:val="none"/>
        </w:rPr>
        <w:t>根据本章第 2.1.2 项规定的评审标准对</w:t>
      </w:r>
      <w:r>
        <w:rPr>
          <w:rFonts w:hint="eastAsia" w:ascii="宋体" w:hAnsi="宋体" w:eastAsia="宋体" w:cs="宋体"/>
          <w:b/>
          <w:bCs/>
          <w:color w:val="000000"/>
          <w:sz w:val="24"/>
          <w:szCs w:val="24"/>
          <w:highlight w:val="none"/>
          <w:lang w:eastAsia="zh-CN"/>
        </w:rPr>
        <w:t>谈判响应文件</w:t>
      </w:r>
      <w:r>
        <w:rPr>
          <w:rFonts w:hint="eastAsia" w:ascii="宋体" w:hAnsi="宋体" w:eastAsia="宋体" w:cs="宋体"/>
          <w:b/>
          <w:bCs/>
          <w:color w:val="000000"/>
          <w:sz w:val="24"/>
          <w:szCs w:val="24"/>
          <w:highlight w:val="none"/>
        </w:rPr>
        <w:t>进行符合性评审。有一项不符合评审标准的，将被视为未实质性响应</w:t>
      </w:r>
      <w:r>
        <w:rPr>
          <w:rFonts w:hint="eastAsia" w:ascii="宋体" w:hAnsi="宋体" w:eastAsia="宋体" w:cs="宋体"/>
          <w:b/>
          <w:bCs/>
          <w:color w:val="000000"/>
          <w:sz w:val="24"/>
          <w:szCs w:val="24"/>
          <w:highlight w:val="none"/>
          <w:lang w:eastAsia="zh-CN"/>
        </w:rPr>
        <w:t>谈判</w:t>
      </w:r>
      <w:r>
        <w:rPr>
          <w:rFonts w:hint="eastAsia" w:ascii="宋体" w:hAnsi="宋体" w:eastAsia="宋体" w:cs="宋体"/>
          <w:b/>
          <w:bCs/>
          <w:color w:val="000000"/>
          <w:sz w:val="24"/>
          <w:szCs w:val="24"/>
          <w:highlight w:val="none"/>
        </w:rPr>
        <w:t>文件，其</w:t>
      </w:r>
      <w:r>
        <w:rPr>
          <w:rFonts w:hint="eastAsia" w:ascii="宋体" w:hAnsi="宋体" w:eastAsia="宋体" w:cs="宋体"/>
          <w:b/>
          <w:bCs/>
          <w:color w:val="000000"/>
          <w:sz w:val="24"/>
          <w:szCs w:val="24"/>
          <w:highlight w:val="none"/>
          <w:lang w:eastAsia="zh-CN"/>
        </w:rPr>
        <w:t>谈判</w:t>
      </w:r>
      <w:r>
        <w:rPr>
          <w:rFonts w:hint="eastAsia" w:ascii="宋体" w:hAnsi="宋体" w:eastAsia="宋体" w:cs="宋体"/>
          <w:b/>
          <w:bCs/>
          <w:color w:val="000000"/>
          <w:sz w:val="24"/>
          <w:szCs w:val="24"/>
          <w:highlight w:val="none"/>
        </w:rPr>
        <w:t>响应文件将按无效文件处理。</w:t>
      </w:r>
    </w:p>
    <w:p>
      <w:pPr>
        <w:keepNext w:val="0"/>
        <w:keepLines w:val="0"/>
        <w:pageBreakBefore w:val="0"/>
        <w:widowControl w:val="0"/>
        <w:kinsoku/>
        <w:wordWrap/>
        <w:overflowPunct/>
        <w:topLinePunct w:val="0"/>
        <w:autoSpaceDE/>
        <w:autoSpaceDN/>
        <w:bidi w:val="0"/>
        <w:spacing w:line="360" w:lineRule="auto"/>
        <w:ind w:right="0" w:rightChars="0" w:firstLine="482" w:firstLineChars="200"/>
        <w:jc w:val="both"/>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color w:val="000000"/>
          <w:sz w:val="24"/>
          <w:szCs w:val="24"/>
          <w:highlight w:val="none"/>
        </w:rPr>
        <w:t>在资格性审查</w:t>
      </w:r>
      <w:r>
        <w:rPr>
          <w:rFonts w:hint="eastAsia" w:ascii="宋体" w:hAnsi="宋体" w:eastAsia="宋体" w:cs="宋体"/>
          <w:b/>
          <w:bCs/>
          <w:color w:val="000000"/>
          <w:sz w:val="24"/>
          <w:szCs w:val="24"/>
          <w:highlight w:val="none"/>
          <w:lang w:eastAsia="zh-CN"/>
        </w:rPr>
        <w:t>阶</w:t>
      </w:r>
      <w:r>
        <w:rPr>
          <w:rFonts w:hint="eastAsia" w:ascii="宋体" w:hAnsi="宋体" w:eastAsia="宋体" w:cs="宋体"/>
          <w:b/>
          <w:bCs/>
          <w:color w:val="000000"/>
          <w:sz w:val="24"/>
          <w:szCs w:val="24"/>
          <w:highlight w:val="none"/>
        </w:rPr>
        <w:t>段，不符合</w:t>
      </w:r>
      <w:r>
        <w:rPr>
          <w:rFonts w:hint="eastAsia" w:ascii="宋体" w:hAnsi="宋体" w:eastAsia="宋体" w:cs="宋体"/>
          <w:b/>
          <w:bCs/>
          <w:color w:val="000000"/>
          <w:sz w:val="24"/>
          <w:szCs w:val="24"/>
          <w:highlight w:val="none"/>
          <w:lang w:eastAsia="zh-CN"/>
        </w:rPr>
        <w:t>谈判文件</w:t>
      </w:r>
      <w:r>
        <w:rPr>
          <w:rFonts w:hint="eastAsia" w:ascii="宋体" w:hAnsi="宋体" w:eastAsia="宋体" w:cs="宋体"/>
          <w:b/>
          <w:bCs/>
          <w:color w:val="000000"/>
          <w:sz w:val="24"/>
          <w:szCs w:val="24"/>
          <w:highlight w:val="none"/>
        </w:rPr>
        <w:t>要求的，不得进入符合性审查，在符合性审查时未通过的，不得进入后续评审环节。</w:t>
      </w:r>
    </w:p>
    <w:p>
      <w:pPr>
        <w:keepNext w:val="0"/>
        <w:keepLines w:val="0"/>
        <w:pageBreakBefore w:val="0"/>
        <w:widowControl w:val="0"/>
        <w:kinsoku/>
        <w:wordWrap/>
        <w:overflowPunct/>
        <w:topLinePunct w:val="0"/>
        <w:autoSpaceDE/>
        <w:autoSpaceDN/>
        <w:bidi w:val="0"/>
        <w:spacing w:before="120" w:beforeLines="50" w:after="120" w:afterLines="50" w:line="360" w:lineRule="auto"/>
        <w:ind w:right="0" w:rightChars="0" w:firstLine="482" w:firstLineChars="200"/>
        <w:jc w:val="both"/>
        <w:textAlignment w:val="auto"/>
        <w:outlineLvl w:val="9"/>
        <w:rPr>
          <w:rFonts w:hint="eastAsia" w:ascii="宋体" w:hAnsi="宋体" w:eastAsia="宋体" w:cs="宋体"/>
          <w:b/>
          <w:color w:val="000000"/>
          <w:sz w:val="24"/>
          <w:highlight w:val="none"/>
        </w:rPr>
      </w:pPr>
      <w:r>
        <w:rPr>
          <w:rFonts w:hint="eastAsia" w:ascii="宋体" w:hAnsi="宋体" w:eastAsia="宋体" w:cs="宋体"/>
          <w:b/>
          <w:color w:val="000000"/>
          <w:sz w:val="24"/>
          <w:highlight w:val="none"/>
          <w:lang w:val="en-US" w:eastAsia="zh-CN"/>
        </w:rPr>
        <w:t>2、</w:t>
      </w:r>
      <w:r>
        <w:rPr>
          <w:rFonts w:hint="eastAsia" w:ascii="宋体" w:hAnsi="宋体" w:eastAsia="宋体" w:cs="宋体"/>
          <w:b/>
          <w:color w:val="000000"/>
          <w:sz w:val="24"/>
          <w:highlight w:val="none"/>
          <w:lang w:eastAsia="zh-CN"/>
        </w:rPr>
        <w:t>谈判响应</w:t>
      </w:r>
      <w:r>
        <w:rPr>
          <w:rFonts w:hint="eastAsia" w:ascii="宋体" w:hAnsi="宋体" w:eastAsia="宋体" w:cs="宋体"/>
          <w:b/>
          <w:color w:val="000000"/>
          <w:sz w:val="24"/>
          <w:highlight w:val="none"/>
        </w:rPr>
        <w:t>文件的澄清</w:t>
      </w:r>
    </w:p>
    <w:p>
      <w:pPr>
        <w:keepNext w:val="0"/>
        <w:keepLines w:val="0"/>
        <w:pageBreakBefore w:val="0"/>
        <w:widowControl w:val="0"/>
        <w:kinsoku/>
        <w:wordWrap/>
        <w:overflowPunct/>
        <w:topLinePunct w:val="0"/>
        <w:autoSpaceDE/>
        <w:autoSpaceDN/>
        <w:bidi w:val="0"/>
        <w:spacing w:line="360" w:lineRule="auto"/>
        <w:ind w:right="0" w:rightChars="0" w:firstLine="496" w:firstLineChars="200"/>
        <w:jc w:val="both"/>
        <w:textAlignment w:val="auto"/>
        <w:outlineLvl w:val="9"/>
        <w:rPr>
          <w:rFonts w:hint="eastAsia" w:ascii="宋体" w:hAnsi="宋体" w:eastAsia="宋体" w:cs="宋体"/>
          <w:b w:val="0"/>
          <w:bCs/>
          <w:spacing w:val="4"/>
          <w:sz w:val="24"/>
          <w:szCs w:val="24"/>
          <w:highlight w:val="none"/>
          <w:lang w:val="en-US" w:eastAsia="zh-CN"/>
        </w:rPr>
      </w:pPr>
      <w:r>
        <w:rPr>
          <w:rFonts w:hint="eastAsia" w:ascii="宋体" w:hAnsi="宋体" w:eastAsia="宋体" w:cs="宋体"/>
          <w:b w:val="0"/>
          <w:bCs/>
          <w:spacing w:val="4"/>
          <w:sz w:val="24"/>
          <w:szCs w:val="24"/>
          <w:highlight w:val="none"/>
          <w:lang w:val="en-US" w:eastAsia="zh-CN"/>
        </w:rPr>
        <w:t>2.1</w:t>
      </w:r>
      <w:r>
        <w:rPr>
          <w:rFonts w:hint="eastAsia" w:ascii="宋体" w:hAnsi="宋体" w:eastAsia="宋体" w:cs="宋体"/>
          <w:b w:val="0"/>
          <w:bCs/>
          <w:spacing w:val="4"/>
          <w:sz w:val="24"/>
          <w:szCs w:val="24"/>
          <w:highlight w:val="none"/>
          <w:lang w:eastAsia="zh-CN"/>
        </w:rPr>
        <w:t>谈判小组发现供应商的报价明显低于其他通过符合性审查的供应商的报价，有可能影响产品质量或者不能诚信履约的，</w:t>
      </w:r>
      <w:r>
        <w:rPr>
          <w:rFonts w:hint="eastAsia" w:ascii="宋体" w:hAnsi="宋体" w:eastAsia="宋体" w:cs="宋体"/>
          <w:b w:val="0"/>
          <w:bCs/>
          <w:spacing w:val="4"/>
          <w:sz w:val="24"/>
          <w:szCs w:val="24"/>
          <w:highlight w:val="none"/>
          <w:lang w:val="en-US" w:eastAsia="zh-CN"/>
        </w:rPr>
        <w:t>应当要求其在谈判现场合理的时间内做出书面说明，必要时提交相关证明材料。供应商不能证明其报价合理性的，谈判小组应当将其作为无效响应处理。</w:t>
      </w:r>
    </w:p>
    <w:p>
      <w:pPr>
        <w:keepNext w:val="0"/>
        <w:keepLines w:val="0"/>
        <w:pageBreakBefore w:val="0"/>
        <w:widowControl w:val="0"/>
        <w:kinsoku/>
        <w:wordWrap/>
        <w:overflowPunct/>
        <w:topLinePunct w:val="0"/>
        <w:autoSpaceDE/>
        <w:autoSpaceDN/>
        <w:bidi w:val="0"/>
        <w:spacing w:line="360" w:lineRule="auto"/>
        <w:ind w:right="0" w:rightChars="0" w:firstLine="480" w:firstLineChars="200"/>
        <w:jc w:val="both"/>
        <w:textAlignment w:val="auto"/>
        <w:outlineLvl w:val="9"/>
        <w:rPr>
          <w:rFonts w:hint="eastAsia" w:ascii="宋体" w:hAnsi="宋体" w:eastAsia="宋体" w:cs="宋体"/>
          <w:b w:val="0"/>
          <w:bCs/>
          <w:spacing w:val="4"/>
          <w:sz w:val="24"/>
          <w:szCs w:val="24"/>
          <w:highlight w:val="none"/>
          <w:lang w:val="en-US"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.2有效的书面澄清材料，是</w:t>
      </w:r>
      <w:r>
        <w:rPr>
          <w:rFonts w:hint="eastAsia" w:ascii="宋体" w:hAnsi="宋体" w:eastAsia="宋体" w:cs="宋体"/>
          <w:color w:val="000000"/>
          <w:sz w:val="24"/>
          <w:szCs w:val="24"/>
          <w:highlight w:val="none"/>
          <w:lang w:eastAsia="zh-CN"/>
        </w:rPr>
        <w:t>谈判响应</w:t>
      </w:r>
      <w:r>
        <w:rPr>
          <w:rFonts w:hint="eastAsia" w:ascii="宋体" w:hAnsi="宋体" w:eastAsia="宋体" w:cs="宋体"/>
          <w:color w:val="000000"/>
          <w:sz w:val="24"/>
          <w:szCs w:val="24"/>
          <w:highlight w:val="none"/>
        </w:rPr>
        <w:t>文件的补充材料，成为</w:t>
      </w:r>
      <w:r>
        <w:rPr>
          <w:rFonts w:hint="eastAsia" w:ascii="宋体" w:hAnsi="宋体" w:eastAsia="宋体" w:cs="宋体"/>
          <w:color w:val="000000"/>
          <w:sz w:val="24"/>
          <w:szCs w:val="24"/>
          <w:highlight w:val="none"/>
          <w:lang w:eastAsia="zh-CN"/>
        </w:rPr>
        <w:t>谈判响应</w:t>
      </w:r>
      <w:r>
        <w:rPr>
          <w:rFonts w:hint="eastAsia" w:ascii="宋体" w:hAnsi="宋体" w:eastAsia="宋体" w:cs="宋体"/>
          <w:color w:val="000000"/>
          <w:sz w:val="24"/>
          <w:szCs w:val="24"/>
          <w:highlight w:val="none"/>
        </w:rPr>
        <w:t>文件的组成部分。</w:t>
      </w:r>
    </w:p>
    <w:p>
      <w:pPr>
        <w:pStyle w:val="10"/>
        <w:keepNext w:val="0"/>
        <w:keepLines w:val="0"/>
        <w:pageBreakBefore w:val="0"/>
        <w:widowControl w:val="0"/>
        <w:kinsoku/>
        <w:wordWrap/>
        <w:overflowPunct/>
        <w:topLinePunct w:val="0"/>
        <w:autoSpaceDE/>
        <w:autoSpaceDN/>
        <w:bidi w:val="0"/>
        <w:spacing w:line="360" w:lineRule="auto"/>
        <w:ind w:firstLine="482" w:firstLineChars="200"/>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3、谈判</w:t>
      </w:r>
    </w:p>
    <w:p>
      <w:pPr>
        <w:pStyle w:val="10"/>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b/>
          <w:bCs/>
          <w:spacing w:val="4"/>
          <w:sz w:val="24"/>
          <w:szCs w:val="24"/>
          <w:highlight w:val="none"/>
        </w:rPr>
      </w:pPr>
      <w:r>
        <w:rPr>
          <w:rFonts w:hint="eastAsia" w:ascii="宋体" w:hAnsi="宋体" w:eastAsia="宋体" w:cs="宋体"/>
          <w:sz w:val="24"/>
          <w:szCs w:val="24"/>
          <w:highlight w:val="none"/>
        </w:rPr>
        <w:t>谈判小组所有成员集中与单一供应商分别进行谈判，并要求供应商在规定的时间内提交最后报价。</w:t>
      </w:r>
    </w:p>
    <w:p>
      <w:pPr>
        <w:pStyle w:val="10"/>
        <w:keepNext w:val="0"/>
        <w:keepLines w:val="0"/>
        <w:pageBreakBefore w:val="0"/>
        <w:widowControl w:val="0"/>
        <w:kinsoku/>
        <w:wordWrap/>
        <w:overflowPunct/>
        <w:topLinePunct w:val="0"/>
        <w:autoSpaceDE/>
        <w:autoSpaceDN/>
        <w:bidi w:val="0"/>
        <w:spacing w:line="360" w:lineRule="auto"/>
        <w:ind w:firstLine="498" w:firstLineChars="200"/>
        <w:textAlignment w:val="auto"/>
        <w:outlineLvl w:val="9"/>
        <w:rPr>
          <w:rFonts w:hint="eastAsia" w:ascii="宋体" w:hAnsi="宋体" w:eastAsia="宋体" w:cs="宋体"/>
          <w:b/>
          <w:bCs/>
          <w:spacing w:val="4"/>
          <w:sz w:val="24"/>
          <w:szCs w:val="24"/>
          <w:highlight w:val="none"/>
        </w:rPr>
      </w:pPr>
      <w:r>
        <w:rPr>
          <w:rFonts w:hint="eastAsia" w:ascii="宋体" w:hAnsi="宋体" w:eastAsia="宋体" w:cs="宋体"/>
          <w:b/>
          <w:bCs/>
          <w:spacing w:val="4"/>
          <w:sz w:val="24"/>
          <w:szCs w:val="24"/>
          <w:highlight w:val="none"/>
        </w:rPr>
        <w:t>4、推荐成交候选人</w:t>
      </w:r>
    </w:p>
    <w:p>
      <w:pPr>
        <w:pStyle w:val="10"/>
        <w:keepNext w:val="0"/>
        <w:keepLines w:val="0"/>
        <w:pageBreakBefore w:val="0"/>
        <w:widowControl w:val="0"/>
        <w:kinsoku/>
        <w:wordWrap/>
        <w:overflowPunct/>
        <w:topLinePunct w:val="0"/>
        <w:autoSpaceDE/>
        <w:autoSpaceDN/>
        <w:bidi w:val="0"/>
        <w:spacing w:line="360" w:lineRule="auto"/>
        <w:ind w:firstLine="496" w:firstLineChars="200"/>
        <w:textAlignment w:val="auto"/>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由谈判小组依据谈判响应文件，从质量和服务均能满足谈判文件要求的供应商中，按照最后报价由低到高的顺序依次排序，推荐成交候选人。谈判报价相同的，按照技术指标优劣顺序排序或由全体谈判小组成员无记名投票，得票高者排序在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四</w:t>
      </w:r>
      <w:r>
        <w:rPr>
          <w:rFonts w:hint="eastAsia" w:ascii="宋体" w:hAnsi="宋体" w:eastAsia="宋体" w:cs="宋体"/>
          <w:b/>
          <w:sz w:val="24"/>
          <w:szCs w:val="24"/>
          <w:highlight w:val="none"/>
        </w:rPr>
        <w:t>、政策性扣减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1政策性扣减范围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1.1供应商符合小型、微型企业或监狱企业</w:t>
      </w:r>
      <w:r>
        <w:rPr>
          <w:rFonts w:hint="eastAsia" w:ascii="宋体" w:hAnsi="宋体" w:eastAsia="宋体" w:cs="宋体"/>
          <w:sz w:val="24"/>
          <w:szCs w:val="24"/>
          <w:highlight w:val="none"/>
          <w:lang w:eastAsia="zh-CN"/>
        </w:rPr>
        <w:t>、残疾人福利性单位</w:t>
      </w:r>
      <w:r>
        <w:rPr>
          <w:rFonts w:hint="eastAsia" w:ascii="宋体" w:hAnsi="宋体" w:eastAsia="宋体" w:cs="宋体"/>
          <w:sz w:val="24"/>
          <w:szCs w:val="24"/>
          <w:highlight w:val="none"/>
        </w:rPr>
        <w:t>条件的，其</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报价价格评审时将按相应比例进行扣减。</w:t>
      </w:r>
    </w:p>
    <w:p>
      <w:pPr>
        <w:autoSpaceDE w:val="0"/>
        <w:autoSpaceDN w:val="0"/>
        <w:adjustRightInd w:val="0"/>
        <w:snapToGrid w:val="0"/>
        <w:spacing w:line="360" w:lineRule="auto"/>
        <w:ind w:firstLine="627"/>
        <w:rPr>
          <w:rFonts w:hint="eastAsia" w:ascii="宋体" w:hAnsi="宋体" w:eastAsia="宋体" w:cs="宋体"/>
          <w:i w:val="0"/>
          <w:caps w:val="0"/>
          <w:color w:val="auto"/>
          <w:spacing w:val="0"/>
          <w:sz w:val="24"/>
          <w:szCs w:val="24"/>
          <w:highlight w:val="none"/>
          <w:shd w:val="clear" w:color="auto" w:fill="FFFFFF"/>
        </w:rPr>
      </w:pPr>
      <w:r>
        <w:rPr>
          <w:rFonts w:hint="eastAsia" w:ascii="宋体" w:hAnsi="宋体" w:eastAsia="宋体" w:cs="宋体"/>
          <w:i w:val="0"/>
          <w:caps w:val="0"/>
          <w:color w:val="auto"/>
          <w:spacing w:val="0"/>
          <w:sz w:val="24"/>
          <w:szCs w:val="24"/>
          <w:highlight w:val="none"/>
          <w:shd w:val="clear" w:color="auto" w:fill="FFFFFF"/>
        </w:rPr>
        <w:t>①.《政府采购促进中小企业</w:t>
      </w:r>
      <w:r>
        <w:rPr>
          <w:rFonts w:hint="eastAsia" w:ascii="宋体" w:hAnsi="宋体" w:eastAsia="宋体" w:cs="宋体"/>
          <w:i w:val="0"/>
          <w:caps w:val="0"/>
          <w:color w:val="auto"/>
          <w:spacing w:val="0"/>
          <w:sz w:val="24"/>
          <w:szCs w:val="24"/>
          <w:highlight w:val="none"/>
          <w:shd w:val="clear" w:color="auto" w:fill="FFFFFF"/>
          <w:lang w:eastAsia="zh-CN"/>
        </w:rPr>
        <w:t>发展管理</w:t>
      </w:r>
      <w:r>
        <w:rPr>
          <w:rFonts w:hint="eastAsia" w:ascii="宋体" w:hAnsi="宋体" w:eastAsia="宋体" w:cs="宋体"/>
          <w:i w:val="0"/>
          <w:caps w:val="0"/>
          <w:color w:val="auto"/>
          <w:spacing w:val="0"/>
          <w:sz w:val="24"/>
          <w:szCs w:val="24"/>
          <w:highlight w:val="none"/>
          <w:shd w:val="clear" w:color="auto" w:fill="FFFFFF"/>
        </w:rPr>
        <w:t>办法》的通知--</w:t>
      </w:r>
      <w:r>
        <w:rPr>
          <w:rFonts w:hint="eastAsia" w:ascii="宋体" w:hAnsi="宋体" w:eastAsia="宋体" w:cs="宋体"/>
          <w:i w:val="0"/>
          <w:caps w:val="0"/>
          <w:color w:val="auto"/>
          <w:spacing w:val="0"/>
          <w:sz w:val="24"/>
          <w:szCs w:val="24"/>
          <w:highlight w:val="none"/>
          <w:shd w:val="clear" w:color="auto" w:fill="FFFFFF"/>
          <w:lang w:eastAsia="zh-CN"/>
        </w:rPr>
        <w:t>（财库﹝2020﹞46 号）</w:t>
      </w:r>
      <w:r>
        <w:rPr>
          <w:rFonts w:hint="eastAsia" w:ascii="宋体" w:hAnsi="宋体" w:eastAsia="宋体" w:cs="宋体"/>
          <w:i w:val="0"/>
          <w:caps w:val="0"/>
          <w:color w:val="auto"/>
          <w:spacing w:val="0"/>
          <w:sz w:val="24"/>
          <w:szCs w:val="24"/>
          <w:highlight w:val="none"/>
          <w:shd w:val="clear" w:color="auto" w:fill="FFFFFF"/>
        </w:rPr>
        <w:t>；</w:t>
      </w:r>
    </w:p>
    <w:p>
      <w:pPr>
        <w:autoSpaceDE w:val="0"/>
        <w:autoSpaceDN w:val="0"/>
        <w:adjustRightInd w:val="0"/>
        <w:snapToGrid w:val="0"/>
        <w:spacing w:line="360" w:lineRule="auto"/>
        <w:ind w:firstLine="627"/>
        <w:rPr>
          <w:rFonts w:hint="eastAsia" w:ascii="宋体" w:hAnsi="宋体" w:eastAsia="宋体" w:cs="宋体"/>
          <w:i w:val="0"/>
          <w:caps w:val="0"/>
          <w:color w:val="auto"/>
          <w:spacing w:val="0"/>
          <w:sz w:val="24"/>
          <w:szCs w:val="24"/>
          <w:highlight w:val="none"/>
          <w:shd w:val="clear" w:color="auto" w:fill="FFFFFF"/>
        </w:rPr>
      </w:pPr>
      <w:r>
        <w:rPr>
          <w:rFonts w:hint="eastAsia" w:ascii="宋体" w:hAnsi="宋体" w:eastAsia="宋体" w:cs="宋体"/>
          <w:i w:val="0"/>
          <w:caps w:val="0"/>
          <w:color w:val="auto"/>
          <w:spacing w:val="0"/>
          <w:sz w:val="24"/>
          <w:szCs w:val="24"/>
          <w:highlight w:val="none"/>
          <w:shd w:val="clear" w:color="auto" w:fill="FFFFFF"/>
        </w:rPr>
        <w:t>②.财政部司法部关于政府采购支持监狱企业发展有关问题的通知--财库〔2014〕68号；</w:t>
      </w:r>
    </w:p>
    <w:p>
      <w:pPr>
        <w:autoSpaceDE w:val="0"/>
        <w:autoSpaceDN w:val="0"/>
        <w:adjustRightInd w:val="0"/>
        <w:snapToGrid w:val="0"/>
        <w:spacing w:line="360" w:lineRule="auto"/>
        <w:ind w:firstLine="627"/>
        <w:rPr>
          <w:rFonts w:hint="eastAsia" w:ascii="宋体" w:hAnsi="宋体" w:eastAsia="宋体" w:cs="宋体"/>
          <w:i w:val="0"/>
          <w:caps w:val="0"/>
          <w:color w:val="auto"/>
          <w:spacing w:val="0"/>
          <w:sz w:val="24"/>
          <w:szCs w:val="24"/>
          <w:highlight w:val="none"/>
          <w:shd w:val="clear" w:color="auto" w:fill="FFFFFF"/>
        </w:rPr>
      </w:pPr>
      <w:r>
        <w:rPr>
          <w:rFonts w:hint="eastAsia" w:ascii="宋体" w:hAnsi="宋体" w:eastAsia="宋体" w:cs="宋体"/>
          <w:i w:val="0"/>
          <w:caps w:val="0"/>
          <w:color w:val="auto"/>
          <w:spacing w:val="0"/>
          <w:sz w:val="24"/>
          <w:szCs w:val="24"/>
          <w:highlight w:val="none"/>
          <w:shd w:val="clear" w:color="auto" w:fill="FFFFFF"/>
        </w:rPr>
        <w:t>③.《国务院办公厅关于建立政府强制采购节能产品制度的通知》--国办发〔２００７〕５１号；</w:t>
      </w:r>
    </w:p>
    <w:p>
      <w:pPr>
        <w:autoSpaceDE w:val="0"/>
        <w:autoSpaceDN w:val="0"/>
        <w:adjustRightInd w:val="0"/>
        <w:snapToGrid w:val="0"/>
        <w:spacing w:line="360" w:lineRule="auto"/>
        <w:ind w:firstLine="627"/>
        <w:rPr>
          <w:rFonts w:hint="eastAsia" w:ascii="宋体" w:hAnsi="宋体" w:eastAsia="宋体" w:cs="宋体"/>
          <w:i w:val="0"/>
          <w:caps w:val="0"/>
          <w:color w:val="auto"/>
          <w:spacing w:val="0"/>
          <w:sz w:val="24"/>
          <w:szCs w:val="24"/>
          <w:highlight w:val="none"/>
          <w:shd w:val="clear" w:color="auto" w:fill="FFFFFF"/>
        </w:rPr>
      </w:pPr>
      <w:r>
        <w:rPr>
          <w:rFonts w:hint="eastAsia" w:ascii="宋体" w:hAnsi="宋体" w:eastAsia="宋体" w:cs="宋体"/>
          <w:i w:val="0"/>
          <w:caps w:val="0"/>
          <w:color w:val="auto"/>
          <w:spacing w:val="0"/>
          <w:sz w:val="24"/>
          <w:szCs w:val="24"/>
          <w:highlight w:val="none"/>
          <w:shd w:val="clear" w:color="auto" w:fill="FFFFFF"/>
        </w:rPr>
        <w:t>④.《节能产品政府采购实施意见》--（财库</w:t>
      </w:r>
      <w:r>
        <w:rPr>
          <w:rFonts w:hint="eastAsia" w:ascii="宋体" w:hAnsi="宋体" w:eastAsia="宋体" w:cs="宋体"/>
          <w:i w:val="0"/>
          <w:caps w:val="0"/>
          <w:color w:val="auto"/>
          <w:spacing w:val="0"/>
          <w:sz w:val="24"/>
          <w:szCs w:val="24"/>
          <w:highlight w:val="none"/>
          <w:shd w:val="clear" w:color="auto" w:fill="FFFFFF"/>
          <w:lang w:eastAsia="zh-CN"/>
        </w:rPr>
        <w:t>〔</w:t>
      </w:r>
      <w:r>
        <w:rPr>
          <w:rFonts w:hint="eastAsia" w:ascii="宋体" w:hAnsi="宋体" w:eastAsia="宋体" w:cs="宋体"/>
          <w:i w:val="0"/>
          <w:caps w:val="0"/>
          <w:color w:val="auto"/>
          <w:spacing w:val="0"/>
          <w:sz w:val="24"/>
          <w:szCs w:val="24"/>
          <w:highlight w:val="none"/>
          <w:shd w:val="clear" w:color="auto" w:fill="FFFFFF"/>
        </w:rPr>
        <w:t>2004</w:t>
      </w:r>
      <w:r>
        <w:rPr>
          <w:rFonts w:hint="eastAsia" w:ascii="宋体" w:hAnsi="宋体" w:eastAsia="宋体" w:cs="宋体"/>
          <w:i w:val="0"/>
          <w:caps w:val="0"/>
          <w:color w:val="auto"/>
          <w:spacing w:val="0"/>
          <w:sz w:val="24"/>
          <w:szCs w:val="24"/>
          <w:highlight w:val="none"/>
          <w:shd w:val="clear" w:color="auto" w:fill="FFFFFF"/>
          <w:lang w:eastAsia="zh-CN"/>
        </w:rPr>
        <w:t>〕</w:t>
      </w:r>
      <w:r>
        <w:rPr>
          <w:rFonts w:hint="eastAsia" w:ascii="宋体" w:hAnsi="宋体" w:eastAsia="宋体" w:cs="宋体"/>
          <w:i w:val="0"/>
          <w:caps w:val="0"/>
          <w:color w:val="auto"/>
          <w:spacing w:val="0"/>
          <w:sz w:val="24"/>
          <w:szCs w:val="24"/>
          <w:highlight w:val="none"/>
          <w:shd w:val="clear" w:color="auto" w:fill="FFFFFF"/>
        </w:rPr>
        <w:t>185号）；</w:t>
      </w:r>
    </w:p>
    <w:p>
      <w:pPr>
        <w:autoSpaceDE w:val="0"/>
        <w:autoSpaceDN w:val="0"/>
        <w:adjustRightInd w:val="0"/>
        <w:snapToGrid w:val="0"/>
        <w:spacing w:line="360" w:lineRule="auto"/>
        <w:ind w:firstLine="627"/>
        <w:rPr>
          <w:rFonts w:hint="eastAsia" w:ascii="宋体" w:hAnsi="宋体" w:eastAsia="宋体" w:cs="宋体"/>
          <w:i w:val="0"/>
          <w:caps w:val="0"/>
          <w:color w:val="auto"/>
          <w:spacing w:val="0"/>
          <w:sz w:val="24"/>
          <w:szCs w:val="24"/>
          <w:highlight w:val="none"/>
          <w:shd w:val="clear" w:color="auto" w:fill="FFFFFF"/>
        </w:rPr>
      </w:pPr>
      <w:r>
        <w:rPr>
          <w:rFonts w:hint="eastAsia" w:ascii="宋体" w:hAnsi="宋体" w:eastAsia="宋体" w:cs="宋体"/>
          <w:i w:val="0"/>
          <w:caps w:val="0"/>
          <w:color w:val="auto"/>
          <w:spacing w:val="0"/>
          <w:sz w:val="24"/>
          <w:szCs w:val="24"/>
          <w:highlight w:val="none"/>
          <w:shd w:val="clear" w:color="auto" w:fill="FFFFFF"/>
        </w:rPr>
        <w:t>⑤.《环境标志产品政府采购实施的意见》--财库</w:t>
      </w:r>
      <w:r>
        <w:rPr>
          <w:rFonts w:hint="eastAsia" w:ascii="宋体" w:hAnsi="宋体" w:eastAsia="宋体" w:cs="宋体"/>
          <w:i w:val="0"/>
          <w:caps w:val="0"/>
          <w:color w:val="auto"/>
          <w:spacing w:val="0"/>
          <w:sz w:val="24"/>
          <w:szCs w:val="24"/>
          <w:highlight w:val="none"/>
          <w:shd w:val="clear" w:color="auto" w:fill="FFFFFF"/>
          <w:lang w:eastAsia="zh-CN"/>
        </w:rPr>
        <w:t>〔</w:t>
      </w:r>
      <w:r>
        <w:rPr>
          <w:rFonts w:hint="eastAsia" w:ascii="宋体" w:hAnsi="宋体" w:eastAsia="宋体" w:cs="宋体"/>
          <w:i w:val="0"/>
          <w:caps w:val="0"/>
          <w:color w:val="auto"/>
          <w:spacing w:val="0"/>
          <w:sz w:val="24"/>
          <w:szCs w:val="24"/>
          <w:highlight w:val="none"/>
          <w:shd w:val="clear" w:color="auto" w:fill="FFFFFF"/>
        </w:rPr>
        <w:t>2006</w:t>
      </w:r>
      <w:r>
        <w:rPr>
          <w:rFonts w:hint="eastAsia" w:ascii="宋体" w:hAnsi="宋体" w:eastAsia="宋体" w:cs="宋体"/>
          <w:i w:val="0"/>
          <w:caps w:val="0"/>
          <w:color w:val="auto"/>
          <w:spacing w:val="0"/>
          <w:sz w:val="24"/>
          <w:szCs w:val="24"/>
          <w:highlight w:val="none"/>
          <w:shd w:val="clear" w:color="auto" w:fill="FFFFFF"/>
          <w:lang w:eastAsia="zh-CN"/>
        </w:rPr>
        <w:t>〕</w:t>
      </w:r>
      <w:r>
        <w:rPr>
          <w:rFonts w:hint="eastAsia" w:ascii="宋体" w:hAnsi="宋体" w:eastAsia="宋体" w:cs="宋体"/>
          <w:i w:val="0"/>
          <w:caps w:val="0"/>
          <w:color w:val="auto"/>
          <w:spacing w:val="0"/>
          <w:sz w:val="24"/>
          <w:szCs w:val="24"/>
          <w:highlight w:val="none"/>
          <w:shd w:val="clear" w:color="auto" w:fill="FFFFFF"/>
        </w:rPr>
        <w:t>90号；</w:t>
      </w:r>
    </w:p>
    <w:p>
      <w:pPr>
        <w:autoSpaceDE w:val="0"/>
        <w:autoSpaceDN w:val="0"/>
        <w:adjustRightInd w:val="0"/>
        <w:snapToGrid w:val="0"/>
        <w:spacing w:line="360" w:lineRule="auto"/>
        <w:ind w:firstLine="627"/>
        <w:rPr>
          <w:rFonts w:hint="eastAsia" w:ascii="宋体" w:hAnsi="宋体" w:eastAsia="宋体" w:cs="宋体"/>
          <w:i w:val="0"/>
          <w:caps w:val="0"/>
          <w:color w:val="auto"/>
          <w:spacing w:val="0"/>
          <w:sz w:val="24"/>
          <w:szCs w:val="24"/>
          <w:highlight w:val="none"/>
          <w:shd w:val="clear" w:color="auto" w:fill="FFFFFF"/>
        </w:rPr>
      </w:pPr>
      <w:r>
        <w:rPr>
          <w:rFonts w:hint="eastAsia" w:ascii="宋体" w:hAnsi="宋体" w:eastAsia="宋体" w:cs="宋体"/>
          <w:i w:val="0"/>
          <w:caps w:val="0"/>
          <w:color w:val="auto"/>
          <w:spacing w:val="0"/>
          <w:sz w:val="24"/>
          <w:szCs w:val="24"/>
          <w:highlight w:val="none"/>
          <w:shd w:val="clear" w:color="auto" w:fill="FFFFFF"/>
        </w:rPr>
        <w:t>⑥.三部门联合发布关于促进残疾人就业政府采购政策的通知财库〔2017〕141号；</w:t>
      </w:r>
    </w:p>
    <w:p>
      <w:pPr>
        <w:autoSpaceDE w:val="0"/>
        <w:autoSpaceDN w:val="0"/>
        <w:adjustRightInd w:val="0"/>
        <w:snapToGrid w:val="0"/>
        <w:spacing w:line="360" w:lineRule="auto"/>
        <w:ind w:firstLine="627"/>
        <w:rPr>
          <w:rFonts w:hint="eastAsia" w:ascii="宋体" w:hAnsi="宋体" w:eastAsia="宋体" w:cs="宋体"/>
          <w:i w:val="0"/>
          <w:caps w:val="0"/>
          <w:color w:val="auto"/>
          <w:spacing w:val="0"/>
          <w:sz w:val="24"/>
          <w:szCs w:val="24"/>
          <w:highlight w:val="none"/>
          <w:shd w:val="clear" w:color="auto" w:fill="FFFFFF"/>
        </w:rPr>
      </w:pPr>
      <w:r>
        <w:rPr>
          <w:rFonts w:hint="eastAsia" w:ascii="宋体" w:hAnsi="宋体" w:eastAsia="宋体" w:cs="宋体"/>
          <w:i w:val="0"/>
          <w:caps w:val="0"/>
          <w:color w:val="auto"/>
          <w:spacing w:val="0"/>
          <w:sz w:val="24"/>
          <w:szCs w:val="24"/>
          <w:highlight w:val="none"/>
          <w:shd w:val="clear" w:color="auto" w:fill="FFFFFF"/>
        </w:rPr>
        <w:t>⑦.《财政部 发展改革委 生态环境部 市场监管总局关于调整优化节能产品、环境标志产品政府采购执行机制的通知》--（财库〔2019〕9号）；</w:t>
      </w:r>
    </w:p>
    <w:p>
      <w:pPr>
        <w:autoSpaceDE w:val="0"/>
        <w:autoSpaceDN w:val="0"/>
        <w:adjustRightInd w:val="0"/>
        <w:snapToGrid w:val="0"/>
        <w:spacing w:line="360" w:lineRule="auto"/>
        <w:ind w:firstLine="627"/>
        <w:rPr>
          <w:rFonts w:hint="eastAsia" w:ascii="宋体" w:hAnsi="宋体" w:eastAsia="宋体" w:cs="宋体"/>
          <w:i w:val="0"/>
          <w:caps w:val="0"/>
          <w:color w:val="auto"/>
          <w:spacing w:val="0"/>
          <w:sz w:val="24"/>
          <w:szCs w:val="24"/>
          <w:highlight w:val="none"/>
          <w:shd w:val="clear" w:color="auto" w:fill="FFFFFF"/>
          <w:lang w:eastAsia="zh-CN"/>
        </w:rPr>
      </w:pPr>
      <w:r>
        <w:rPr>
          <w:rFonts w:hint="eastAsia" w:ascii="宋体" w:hAnsi="宋体" w:eastAsia="宋体" w:cs="宋体"/>
          <w:i w:val="0"/>
          <w:caps w:val="0"/>
          <w:color w:val="auto"/>
          <w:spacing w:val="0"/>
          <w:sz w:val="24"/>
          <w:szCs w:val="24"/>
          <w:highlight w:val="none"/>
          <w:shd w:val="clear" w:color="auto" w:fill="FFFFFF"/>
        </w:rPr>
        <w:t>⑧.《财政部 国务院扶贫办关于运用政府采购政策支持脱贫攻坚的通知》--（财库〔2019〕27号）</w:t>
      </w:r>
      <w:r>
        <w:rPr>
          <w:rFonts w:hint="eastAsia" w:ascii="宋体" w:hAnsi="宋体" w:eastAsia="宋体" w:cs="宋体"/>
          <w:i w:val="0"/>
          <w:caps w:val="0"/>
          <w:color w:val="auto"/>
          <w:spacing w:val="0"/>
          <w:sz w:val="24"/>
          <w:szCs w:val="24"/>
          <w:highlight w:val="none"/>
          <w:shd w:val="clear" w:color="auto" w:fill="FFFFFF"/>
          <w:lang w:eastAsia="zh-CN"/>
        </w:rPr>
        <w:t>；</w:t>
      </w:r>
    </w:p>
    <w:p>
      <w:pPr>
        <w:autoSpaceDE w:val="0"/>
        <w:autoSpaceDN w:val="0"/>
        <w:adjustRightInd w:val="0"/>
        <w:snapToGrid w:val="0"/>
        <w:spacing w:line="360" w:lineRule="auto"/>
        <w:ind w:firstLine="627"/>
        <w:rPr>
          <w:rFonts w:hint="eastAsia" w:ascii="宋体" w:hAnsi="宋体" w:eastAsia="宋体" w:cs="宋体"/>
          <w:color w:val="auto"/>
          <w:sz w:val="24"/>
          <w:szCs w:val="24"/>
          <w:highlight w:val="none"/>
          <w:lang w:val="zh-CN" w:eastAsia="zh-CN"/>
        </w:rPr>
      </w:pPr>
      <w:r>
        <w:rPr>
          <w:rFonts w:hint="eastAsia" w:ascii="宋体" w:hAnsi="宋体" w:eastAsia="宋体" w:cs="宋体"/>
          <w:bCs/>
          <w:color w:val="333333"/>
          <w:sz w:val="24"/>
          <w:szCs w:val="32"/>
          <w:highlight w:val="none"/>
          <w:shd w:val="clear" w:color="auto" w:fill="FFFFFF"/>
          <w:lang w:val="en-US" w:eastAsia="zh-CN"/>
        </w:rPr>
        <w:t>⑨</w:t>
      </w:r>
      <w:r>
        <w:rPr>
          <w:rFonts w:hint="eastAsia" w:ascii="宋体" w:hAnsi="宋体" w:eastAsia="宋体" w:cs="宋体"/>
          <w:bCs/>
          <w:color w:val="333333"/>
          <w:sz w:val="24"/>
          <w:szCs w:val="32"/>
          <w:highlight w:val="none"/>
          <w:shd w:val="clear" w:color="auto" w:fill="FFFFFF"/>
          <w:lang w:eastAsia="zh-CN"/>
        </w:rPr>
        <w:t>《关于进一步加大政府采购支持中小企业力度的通知》（财库﹝2022﹞19号）</w:t>
      </w:r>
      <w:r>
        <w:rPr>
          <w:rFonts w:hint="eastAsia" w:ascii="宋体" w:hAnsi="宋体" w:eastAsia="宋体" w:cs="宋体"/>
          <w:i w:val="0"/>
          <w:caps w:val="0"/>
          <w:color w:val="auto"/>
          <w:spacing w:val="0"/>
          <w:sz w:val="24"/>
          <w:szCs w:val="24"/>
          <w:highlight w:val="none"/>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2、政策性扣减方式：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谈判产品属于优先采购的节能产品范围的，须按照本章“四、政策性扣减 1、政策性扣减范围第1.3.2条规定提供相应的证明材料，每提供一个</w:t>
      </w:r>
      <w:r>
        <w:rPr>
          <w:rFonts w:hint="eastAsia" w:ascii="宋体" w:hAnsi="宋体" w:eastAsia="宋体" w:cs="宋体"/>
          <w:b w:val="0"/>
          <w:bCs w:val="0"/>
          <w:color w:val="auto"/>
          <w:sz w:val="24"/>
          <w:szCs w:val="24"/>
          <w:highlight w:val="none"/>
        </w:rPr>
        <w:t>按“</w:t>
      </w:r>
      <w:r>
        <w:rPr>
          <w:rFonts w:hint="eastAsia" w:ascii="宋体" w:hAnsi="宋体" w:eastAsia="宋体" w:cs="宋体"/>
          <w:b w:val="0"/>
          <w:bCs w:val="0"/>
          <w:color w:val="auto"/>
          <w:sz w:val="24"/>
          <w:szCs w:val="24"/>
          <w:highlight w:val="none"/>
          <w:lang w:eastAsia="zh-CN"/>
        </w:rPr>
        <w:t>总</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rPr>
        <w:t>%”进行扣减；</w:t>
      </w:r>
      <w:r>
        <w:rPr>
          <w:rFonts w:hint="eastAsia" w:ascii="宋体" w:hAnsi="宋体" w:eastAsia="宋体" w:cs="宋体"/>
          <w:b w:val="0"/>
          <w:bCs w:val="0"/>
          <w:color w:val="auto"/>
          <w:sz w:val="24"/>
          <w:szCs w:val="24"/>
          <w:highlight w:val="none"/>
          <w:lang w:eastAsia="zh-CN"/>
        </w:rPr>
        <w:t>本项最高扣减不超过</w:t>
      </w:r>
      <w:r>
        <w:rPr>
          <w:rFonts w:hint="eastAsia" w:ascii="宋体" w:hAnsi="宋体" w:eastAsia="宋体" w:cs="宋体"/>
          <w:b w:val="0"/>
          <w:bCs w:val="0"/>
          <w:color w:val="auto"/>
          <w:sz w:val="24"/>
          <w:szCs w:val="24"/>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、环境标志产品范围的，须按照本章“四、政策性扣减 1、政策性扣减范围规定提供相应的证明材料，每提供一个</w:t>
      </w:r>
      <w:r>
        <w:rPr>
          <w:rFonts w:hint="eastAsia" w:ascii="宋体" w:hAnsi="宋体" w:eastAsia="宋体" w:cs="宋体"/>
          <w:b w:val="0"/>
          <w:bCs w:val="0"/>
          <w:color w:val="auto"/>
          <w:sz w:val="24"/>
          <w:szCs w:val="24"/>
          <w:highlight w:val="none"/>
        </w:rPr>
        <w:t>按“</w:t>
      </w:r>
      <w:r>
        <w:rPr>
          <w:rFonts w:hint="eastAsia" w:ascii="宋体" w:hAnsi="宋体" w:eastAsia="宋体" w:cs="宋体"/>
          <w:b w:val="0"/>
          <w:bCs w:val="0"/>
          <w:color w:val="auto"/>
          <w:sz w:val="24"/>
          <w:szCs w:val="24"/>
          <w:highlight w:val="none"/>
          <w:lang w:eastAsia="zh-CN"/>
        </w:rPr>
        <w:t>谈判</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rPr>
        <w:t>%”进行扣减；</w:t>
      </w:r>
      <w:r>
        <w:rPr>
          <w:rFonts w:hint="eastAsia" w:ascii="宋体" w:hAnsi="宋体" w:eastAsia="宋体" w:cs="宋体"/>
          <w:b w:val="0"/>
          <w:bCs w:val="0"/>
          <w:color w:val="auto"/>
          <w:sz w:val="24"/>
          <w:szCs w:val="24"/>
          <w:highlight w:val="none"/>
          <w:lang w:eastAsia="zh-CN"/>
        </w:rPr>
        <w:t>本项最高扣减不超过</w:t>
      </w:r>
      <w:r>
        <w:rPr>
          <w:rFonts w:hint="eastAsia" w:ascii="宋体" w:hAnsi="宋体" w:eastAsia="宋体" w:cs="宋体"/>
          <w:b w:val="0"/>
          <w:bCs w:val="0"/>
          <w:color w:val="auto"/>
          <w:sz w:val="24"/>
          <w:szCs w:val="24"/>
          <w:highlight w:val="none"/>
          <w:lang w:val="en-US" w:eastAsia="zh-CN"/>
        </w:rPr>
        <w:t>2%；</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享受支持中小型企业发展政策优惠的，可以同时享受节能、环境标志产品优先采购政策。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3、成交价格=成交供应商的有效</w:t>
      </w:r>
      <w:r>
        <w:rPr>
          <w:rFonts w:hint="eastAsia" w:ascii="宋体" w:hAnsi="宋体" w:eastAsia="宋体" w:cs="宋体"/>
          <w:b/>
          <w:bCs/>
          <w:sz w:val="24"/>
          <w:szCs w:val="24"/>
          <w:highlight w:val="none"/>
          <w:lang w:eastAsia="zh-CN"/>
        </w:rPr>
        <w:t>谈判</w:t>
      </w:r>
      <w:r>
        <w:rPr>
          <w:rFonts w:hint="eastAsia" w:ascii="宋体" w:hAnsi="宋体" w:eastAsia="宋体" w:cs="宋体"/>
          <w:b/>
          <w:bCs/>
          <w:sz w:val="24"/>
          <w:szCs w:val="24"/>
          <w:highlight w:val="none"/>
        </w:rPr>
        <w:t>报价。</w:t>
      </w:r>
    </w:p>
    <w:p>
      <w:pPr>
        <w:keepNext w:val="0"/>
        <w:keepLines w:val="0"/>
        <w:pageBreakBefore w:val="0"/>
        <w:widowControl w:val="0"/>
        <w:kinsoku/>
        <w:wordWrap/>
        <w:overflowPunct/>
        <w:topLinePunct w:val="0"/>
        <w:autoSpaceDE/>
        <w:autoSpaceDN/>
        <w:bidi w:val="0"/>
        <w:adjustRightInd/>
        <w:snapToGrid/>
        <w:spacing w:after="120" w:afterLines="50" w:line="360" w:lineRule="auto"/>
        <w:ind w:left="0" w:leftChars="0" w:right="0" w:rightChars="0"/>
        <w:jc w:val="both"/>
        <w:textAlignment w:val="auto"/>
        <w:outlineLvl w:val="9"/>
        <w:rPr>
          <w:rFonts w:hint="eastAsia" w:ascii="宋体" w:hAnsi="宋体" w:eastAsia="宋体" w:cs="宋体"/>
          <w:b/>
          <w:color w:val="FF0000"/>
          <w:kern w:val="0"/>
          <w:sz w:val="24"/>
          <w:szCs w:val="24"/>
          <w:highlight w:val="none"/>
          <w:lang w:eastAsia="zh-CN"/>
        </w:rPr>
      </w:pPr>
      <w:r>
        <w:rPr>
          <w:rFonts w:hint="eastAsia" w:ascii="宋体" w:hAnsi="宋体" w:eastAsia="宋体" w:cs="宋体"/>
          <w:b/>
          <w:kern w:val="0"/>
          <w:sz w:val="24"/>
          <w:szCs w:val="24"/>
          <w:highlight w:val="none"/>
          <w:lang w:eastAsia="zh-CN"/>
        </w:rPr>
        <w:t>五</w:t>
      </w:r>
      <w:r>
        <w:rPr>
          <w:rFonts w:hint="eastAsia" w:ascii="宋体" w:hAnsi="宋体" w:eastAsia="宋体" w:cs="宋体"/>
          <w:b/>
          <w:kern w:val="0"/>
          <w:sz w:val="24"/>
          <w:szCs w:val="24"/>
          <w:highlight w:val="none"/>
        </w:rPr>
        <w:t>、</w:t>
      </w:r>
      <w:r>
        <w:rPr>
          <w:rFonts w:hint="eastAsia" w:ascii="宋体" w:hAnsi="宋体" w:eastAsia="宋体" w:cs="宋体"/>
          <w:b/>
          <w:color w:val="auto"/>
          <w:kern w:val="0"/>
          <w:sz w:val="24"/>
          <w:szCs w:val="24"/>
          <w:highlight w:val="none"/>
          <w:lang w:eastAsia="zh-CN"/>
        </w:rPr>
        <w:t>成交</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1、谈判结果报告由谈判小组签字确认。</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2、采购人根据谈判结果报告中推荐的成交候选人排列顺序确定</w:t>
      </w:r>
      <w:r>
        <w:rPr>
          <w:rFonts w:hint="eastAsia" w:ascii="宋体" w:hAnsi="宋体" w:eastAsia="宋体" w:cs="宋体"/>
          <w:sz w:val="24"/>
          <w:szCs w:val="24"/>
          <w:highlight w:val="none"/>
          <w:lang w:eastAsia="zh-CN"/>
        </w:rPr>
        <w:t>成交供应商</w:t>
      </w:r>
      <w:r>
        <w:rPr>
          <w:rFonts w:hint="eastAsia" w:ascii="宋体" w:hAnsi="宋体" w:eastAsia="宋体" w:cs="宋体"/>
          <w:sz w:val="24"/>
          <w:szCs w:val="24"/>
          <w:highlight w:val="none"/>
        </w:rPr>
        <w:t>，以复函通知采购代理</w:t>
      </w:r>
      <w:r>
        <w:rPr>
          <w:rFonts w:hint="eastAsia" w:ascii="宋体" w:hAnsi="宋体" w:eastAsia="宋体" w:cs="宋体"/>
          <w:sz w:val="24"/>
          <w:szCs w:val="24"/>
          <w:highlight w:val="none"/>
          <w:lang w:eastAsia="zh-CN"/>
        </w:rPr>
        <w:t>机构</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bCs/>
          <w:color w:val="auto"/>
          <w:spacing w:val="4"/>
          <w:kern w:val="2"/>
          <w:sz w:val="24"/>
          <w:szCs w:val="24"/>
          <w:highlight w:val="none"/>
          <w:lang w:val="en-US" w:eastAsia="zh-CN" w:bidi="ar-SA"/>
        </w:rPr>
      </w:pPr>
      <w:r>
        <w:rPr>
          <w:rFonts w:hint="eastAsia" w:ascii="宋体" w:hAnsi="宋体" w:eastAsia="宋体" w:cs="宋体"/>
          <w:b/>
          <w:bCs/>
          <w:color w:val="auto"/>
          <w:spacing w:val="4"/>
          <w:kern w:val="2"/>
          <w:sz w:val="24"/>
          <w:szCs w:val="24"/>
          <w:highlight w:val="none"/>
          <w:lang w:val="en-US" w:eastAsia="zh-CN" w:bidi="ar-SA"/>
        </w:rPr>
        <w:t>六、特殊情况的处理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96" w:firstLineChars="200"/>
        <w:jc w:val="both"/>
        <w:textAlignment w:val="auto"/>
        <w:outlineLvl w:val="9"/>
        <w:rPr>
          <w:rFonts w:hint="eastAsia" w:ascii="宋体" w:hAnsi="宋体" w:eastAsia="宋体" w:cs="宋体"/>
          <w:b w:val="0"/>
          <w:bCs w:val="0"/>
          <w:color w:val="auto"/>
          <w:spacing w:val="4"/>
          <w:kern w:val="2"/>
          <w:sz w:val="24"/>
          <w:szCs w:val="24"/>
          <w:highlight w:val="none"/>
          <w:lang w:val="en-US" w:eastAsia="zh-CN" w:bidi="ar-SA"/>
        </w:rPr>
      </w:pPr>
      <w:r>
        <w:rPr>
          <w:rFonts w:hint="eastAsia" w:ascii="宋体" w:hAnsi="宋体" w:eastAsia="宋体" w:cs="宋体"/>
          <w:b w:val="0"/>
          <w:bCs w:val="0"/>
          <w:color w:val="auto"/>
          <w:spacing w:val="4"/>
          <w:kern w:val="2"/>
          <w:sz w:val="24"/>
          <w:szCs w:val="24"/>
          <w:highlight w:val="none"/>
          <w:lang w:val="en-US" w:eastAsia="zh-CN" w:bidi="ar-SA"/>
        </w:rPr>
        <w:t>谈判过程中，若出现本评审方法以外的特殊情况时，将暂停评审，待谈判小组商榷后，再进行评定。</w:t>
      </w:r>
    </w:p>
    <w:p>
      <w:pPr>
        <w:pStyle w:val="9"/>
        <w:rPr>
          <w:rFonts w:hint="eastAsia" w:ascii="宋体" w:hAnsi="宋体" w:eastAsia="宋体" w:cs="宋体"/>
          <w:szCs w:val="24"/>
          <w:highlight w:val="none"/>
          <w:lang w:val="en-US" w:eastAsia="zh-CN"/>
        </w:rPr>
      </w:pPr>
      <w:bookmarkStart w:id="63" w:name="_Toc24123"/>
      <w:bookmarkStart w:id="64" w:name="_Toc1474"/>
      <w:bookmarkStart w:id="65" w:name="_Toc409690878"/>
      <w:bookmarkStart w:id="66" w:name="_Toc425781313"/>
      <w:r>
        <w:rPr>
          <w:rFonts w:hint="eastAsia" w:ascii="宋体" w:hAnsi="宋体" w:eastAsia="宋体" w:cs="宋体"/>
          <w:b/>
          <w:bCs/>
          <w:sz w:val="24"/>
          <w:szCs w:val="24"/>
          <w:highlight w:val="none"/>
          <w:lang w:eastAsia="zh-CN"/>
        </w:rPr>
        <w:t>附件</w:t>
      </w:r>
      <w:r>
        <w:rPr>
          <w:rFonts w:hint="eastAsia" w:ascii="宋体" w:hAnsi="宋体" w:eastAsia="宋体" w:cs="宋体"/>
          <w:b/>
          <w:bCs/>
          <w:sz w:val="24"/>
          <w:szCs w:val="24"/>
          <w:highlight w:val="none"/>
          <w:lang w:val="en-US" w:eastAsia="zh-CN"/>
        </w:rPr>
        <w:t>1：</w:t>
      </w:r>
    </w:p>
    <w:p>
      <w:pPr>
        <w:pStyle w:val="9"/>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初步审查要素表</w:t>
      </w:r>
    </w:p>
    <w:tbl>
      <w:tblPr>
        <w:tblStyle w:val="28"/>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633"/>
        <w:gridCol w:w="1953"/>
        <w:gridCol w:w="6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364" w:type="dxa"/>
            <w:gridSpan w:val="2"/>
            <w:vAlign w:val="center"/>
          </w:tcPr>
          <w:p>
            <w:pPr>
              <w:tabs>
                <w:tab w:val="left" w:pos="0"/>
              </w:tabs>
              <w:adjustRightInd w:val="0"/>
              <w:snapToGrid w:val="0"/>
              <w:spacing w:line="360" w:lineRule="auto"/>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条款号</w:t>
            </w:r>
          </w:p>
        </w:tc>
        <w:tc>
          <w:tcPr>
            <w:tcW w:w="1953" w:type="dxa"/>
            <w:vAlign w:val="center"/>
          </w:tcPr>
          <w:p>
            <w:pPr>
              <w:tabs>
                <w:tab w:val="left" w:pos="0"/>
              </w:tabs>
              <w:adjustRightInd w:val="0"/>
              <w:snapToGrid w:val="0"/>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评审因素</w:t>
            </w:r>
          </w:p>
        </w:tc>
        <w:tc>
          <w:tcPr>
            <w:tcW w:w="6645" w:type="dxa"/>
            <w:vAlign w:val="center"/>
          </w:tcPr>
          <w:p>
            <w:pPr>
              <w:tabs>
                <w:tab w:val="left" w:pos="0"/>
              </w:tabs>
              <w:adjustRightInd w:val="0"/>
              <w:snapToGrid w:val="0"/>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1" w:type="dxa"/>
            <w:vMerge w:val="restart"/>
            <w:vAlign w:val="center"/>
          </w:tcPr>
          <w:p>
            <w:pPr>
              <w:tabs>
                <w:tab w:val="left" w:pos="0"/>
              </w:tabs>
              <w:adjustRightInd w:val="0"/>
              <w:snapToGrid w:val="0"/>
              <w:spacing w:line="360" w:lineRule="auto"/>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2.1.1</w:t>
            </w:r>
          </w:p>
        </w:tc>
        <w:tc>
          <w:tcPr>
            <w:tcW w:w="633" w:type="dxa"/>
            <w:vMerge w:val="restart"/>
            <w:vAlign w:val="center"/>
          </w:tcPr>
          <w:p>
            <w:pPr>
              <w:tabs>
                <w:tab w:val="left" w:pos="0"/>
              </w:tabs>
              <w:adjustRightInd w:val="0"/>
              <w:snapToGrid w:val="0"/>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资格评审</w:t>
            </w:r>
          </w:p>
          <w:p>
            <w:pPr>
              <w:tabs>
                <w:tab w:val="left" w:pos="0"/>
              </w:tabs>
              <w:adjustRightInd w:val="0"/>
              <w:snapToGrid w:val="0"/>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标准</w:t>
            </w:r>
          </w:p>
        </w:tc>
        <w:tc>
          <w:tcPr>
            <w:tcW w:w="1953" w:type="dxa"/>
            <w:vAlign w:val="center"/>
          </w:tcPr>
          <w:p>
            <w:pPr>
              <w:tabs>
                <w:tab w:val="left" w:pos="0"/>
              </w:tabs>
              <w:adjustRightInd w:val="0"/>
              <w:snapToGrid w:val="0"/>
              <w:spacing w:line="360" w:lineRule="auto"/>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营业执照等主体资格证明文件</w:t>
            </w:r>
          </w:p>
        </w:tc>
        <w:tc>
          <w:tcPr>
            <w:tcW w:w="6645" w:type="dxa"/>
            <w:vAlign w:val="center"/>
          </w:tcPr>
          <w:p>
            <w:pPr>
              <w:tabs>
                <w:tab w:val="left" w:pos="0"/>
              </w:tabs>
              <w:adjustRightInd w:val="0"/>
              <w:snapToGrid w:val="0"/>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i w:val="0"/>
                <w:caps w:val="0"/>
                <w:color w:val="auto"/>
                <w:spacing w:val="0"/>
                <w:sz w:val="24"/>
                <w:szCs w:val="24"/>
                <w:highlight w:val="none"/>
                <w:shd w:val="clear" w:color="auto" w:fill="FFFFFF"/>
                <w:lang w:val="en-US" w:eastAsia="zh-CN"/>
              </w:rPr>
              <w:t>具有独立承担民事责任能力的法人或其他组织，提供有效存续的营业执照或事业单位法人证书或非企业专业服务机构执业许可证或民办非企业单位登记证书或自然人的身份证明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1" w:type="dxa"/>
            <w:vMerge w:val="continue"/>
            <w:vAlign w:val="center"/>
          </w:tcPr>
          <w:p>
            <w:pPr>
              <w:tabs>
                <w:tab w:val="left" w:pos="0"/>
              </w:tabs>
              <w:adjustRightInd w:val="0"/>
              <w:snapToGrid w:val="0"/>
              <w:spacing w:line="360" w:lineRule="auto"/>
              <w:jc w:val="center"/>
              <w:rPr>
                <w:rFonts w:hint="eastAsia" w:ascii="宋体" w:hAnsi="宋体" w:eastAsia="宋体" w:cs="宋体"/>
                <w:b w:val="0"/>
                <w:bCs/>
                <w:color w:val="auto"/>
                <w:sz w:val="24"/>
                <w:szCs w:val="24"/>
                <w:highlight w:val="none"/>
              </w:rPr>
            </w:pPr>
          </w:p>
        </w:tc>
        <w:tc>
          <w:tcPr>
            <w:tcW w:w="633" w:type="dxa"/>
            <w:vMerge w:val="continue"/>
            <w:vAlign w:val="center"/>
          </w:tcPr>
          <w:p>
            <w:pPr>
              <w:tabs>
                <w:tab w:val="left" w:pos="0"/>
              </w:tabs>
              <w:adjustRightInd w:val="0"/>
              <w:snapToGrid w:val="0"/>
              <w:spacing w:line="360" w:lineRule="auto"/>
              <w:jc w:val="center"/>
              <w:rPr>
                <w:rFonts w:hint="eastAsia" w:ascii="宋体" w:hAnsi="宋体" w:eastAsia="宋体" w:cs="宋体"/>
                <w:b w:val="0"/>
                <w:bCs/>
                <w:color w:val="auto"/>
                <w:sz w:val="24"/>
                <w:szCs w:val="24"/>
                <w:highlight w:val="none"/>
              </w:rPr>
            </w:pPr>
          </w:p>
        </w:tc>
        <w:tc>
          <w:tcPr>
            <w:tcW w:w="1953" w:type="dxa"/>
            <w:vAlign w:val="center"/>
          </w:tcPr>
          <w:p>
            <w:pPr>
              <w:tabs>
                <w:tab w:val="left" w:pos="0"/>
              </w:tabs>
              <w:adjustRightInd w:val="0"/>
              <w:snapToGrid w:val="0"/>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val="0"/>
                <w:color w:val="auto"/>
                <w:sz w:val="24"/>
                <w:szCs w:val="24"/>
                <w:highlight w:val="none"/>
              </w:rPr>
              <w:t>财务状况报告</w:t>
            </w:r>
          </w:p>
        </w:tc>
        <w:tc>
          <w:tcPr>
            <w:tcW w:w="6645" w:type="dxa"/>
            <w:vAlign w:val="center"/>
          </w:tcPr>
          <w:p>
            <w:pPr>
              <w:tabs>
                <w:tab w:val="left" w:pos="0"/>
              </w:tabs>
              <w:adjustRightInd w:val="0"/>
              <w:snapToGrid w:val="0"/>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i w:val="0"/>
                <w:caps w:val="0"/>
                <w:color w:val="auto"/>
                <w:spacing w:val="0"/>
                <w:sz w:val="24"/>
                <w:szCs w:val="24"/>
                <w:highlight w:val="none"/>
                <w:shd w:val="clear" w:color="auto" w:fill="FFFFFF"/>
                <w:lang w:val="en-US" w:eastAsia="zh-CN"/>
              </w:rPr>
              <w:t>提供经审计的2020年或2021年财务报告，包括 “四表一注”（即资产负债表、利润表、现金流量表、所有者权益变动表（没有可不提供）及其附注，成立时间至提交响应文件截止时间不足一年的可提供成立后任意时段的资产负债表）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1" w:type="dxa"/>
            <w:vMerge w:val="continue"/>
            <w:vAlign w:val="center"/>
          </w:tcPr>
          <w:p>
            <w:pPr>
              <w:tabs>
                <w:tab w:val="left" w:pos="0"/>
              </w:tabs>
              <w:adjustRightInd w:val="0"/>
              <w:snapToGrid w:val="0"/>
              <w:spacing w:line="360" w:lineRule="auto"/>
              <w:jc w:val="center"/>
              <w:rPr>
                <w:rFonts w:hint="eastAsia" w:ascii="宋体" w:hAnsi="宋体" w:eastAsia="宋体" w:cs="宋体"/>
                <w:b w:val="0"/>
                <w:bCs/>
                <w:color w:val="auto"/>
                <w:sz w:val="24"/>
                <w:szCs w:val="24"/>
                <w:highlight w:val="none"/>
              </w:rPr>
            </w:pPr>
          </w:p>
        </w:tc>
        <w:tc>
          <w:tcPr>
            <w:tcW w:w="633" w:type="dxa"/>
            <w:vMerge w:val="continue"/>
            <w:vAlign w:val="center"/>
          </w:tcPr>
          <w:p>
            <w:pPr>
              <w:tabs>
                <w:tab w:val="left" w:pos="0"/>
              </w:tabs>
              <w:adjustRightInd w:val="0"/>
              <w:snapToGrid w:val="0"/>
              <w:spacing w:line="360" w:lineRule="auto"/>
              <w:jc w:val="center"/>
              <w:rPr>
                <w:rFonts w:hint="eastAsia" w:ascii="宋体" w:hAnsi="宋体" w:eastAsia="宋体" w:cs="宋体"/>
                <w:b w:val="0"/>
                <w:bCs/>
                <w:color w:val="auto"/>
                <w:sz w:val="24"/>
                <w:szCs w:val="24"/>
                <w:highlight w:val="none"/>
              </w:rPr>
            </w:pPr>
          </w:p>
        </w:tc>
        <w:tc>
          <w:tcPr>
            <w:tcW w:w="1953" w:type="dxa"/>
            <w:vAlign w:val="center"/>
          </w:tcPr>
          <w:p>
            <w:pPr>
              <w:tabs>
                <w:tab w:val="left" w:pos="0"/>
              </w:tabs>
              <w:adjustRightInd w:val="0"/>
              <w:snapToGrid w:val="0"/>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val="0"/>
                <w:color w:val="auto"/>
                <w:sz w:val="24"/>
                <w:szCs w:val="24"/>
                <w:highlight w:val="none"/>
                <w:lang w:eastAsia="zh-CN"/>
              </w:rPr>
              <w:t>税收缴纳证明</w:t>
            </w:r>
          </w:p>
        </w:tc>
        <w:tc>
          <w:tcPr>
            <w:tcW w:w="6645" w:type="dxa"/>
            <w:vAlign w:val="center"/>
          </w:tcPr>
          <w:p>
            <w:pPr>
              <w:tabs>
                <w:tab w:val="left" w:pos="0"/>
              </w:tabs>
              <w:adjustRightInd w:val="0"/>
              <w:snapToGrid w:val="0"/>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i w:val="0"/>
                <w:caps w:val="0"/>
                <w:color w:val="auto"/>
                <w:spacing w:val="0"/>
                <w:sz w:val="24"/>
                <w:szCs w:val="24"/>
                <w:highlight w:val="none"/>
                <w:shd w:val="clear" w:color="auto" w:fill="FFFFFF"/>
                <w:lang w:val="en-US" w:eastAsia="zh-CN"/>
              </w:rPr>
              <w:t>提供已缴纳的2021年7月至今任意一个月的纳税证明或完税证明，纳税证明或完税证明上应有代收机构或税务机关的公章。依法免税的供应商应提供相关文件证明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1" w:type="dxa"/>
            <w:vMerge w:val="continue"/>
            <w:vAlign w:val="center"/>
          </w:tcPr>
          <w:p>
            <w:pPr>
              <w:tabs>
                <w:tab w:val="left" w:pos="0"/>
              </w:tabs>
              <w:adjustRightInd w:val="0"/>
              <w:snapToGrid w:val="0"/>
              <w:spacing w:line="360" w:lineRule="auto"/>
              <w:jc w:val="center"/>
              <w:rPr>
                <w:rFonts w:hint="eastAsia" w:ascii="宋体" w:hAnsi="宋体" w:eastAsia="宋体" w:cs="宋体"/>
                <w:b w:val="0"/>
                <w:bCs/>
                <w:color w:val="auto"/>
                <w:sz w:val="24"/>
                <w:szCs w:val="24"/>
                <w:highlight w:val="none"/>
              </w:rPr>
            </w:pPr>
          </w:p>
        </w:tc>
        <w:tc>
          <w:tcPr>
            <w:tcW w:w="633" w:type="dxa"/>
            <w:vMerge w:val="continue"/>
            <w:vAlign w:val="center"/>
          </w:tcPr>
          <w:p>
            <w:pPr>
              <w:tabs>
                <w:tab w:val="left" w:pos="0"/>
              </w:tabs>
              <w:adjustRightInd w:val="0"/>
              <w:snapToGrid w:val="0"/>
              <w:spacing w:line="360" w:lineRule="auto"/>
              <w:jc w:val="center"/>
              <w:rPr>
                <w:rFonts w:hint="eastAsia" w:ascii="宋体" w:hAnsi="宋体" w:eastAsia="宋体" w:cs="宋体"/>
                <w:b w:val="0"/>
                <w:bCs/>
                <w:color w:val="auto"/>
                <w:sz w:val="24"/>
                <w:szCs w:val="24"/>
                <w:highlight w:val="none"/>
              </w:rPr>
            </w:pPr>
          </w:p>
        </w:tc>
        <w:tc>
          <w:tcPr>
            <w:tcW w:w="1953" w:type="dxa"/>
            <w:vAlign w:val="center"/>
          </w:tcPr>
          <w:p>
            <w:pPr>
              <w:tabs>
                <w:tab w:val="left" w:pos="0"/>
              </w:tabs>
              <w:adjustRightInd w:val="0"/>
              <w:snapToGrid w:val="0"/>
              <w:spacing w:line="360" w:lineRule="auto"/>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履约能力</w:t>
            </w:r>
            <w:r>
              <w:rPr>
                <w:rFonts w:hint="eastAsia" w:ascii="宋体" w:hAnsi="宋体" w:eastAsia="宋体" w:cs="宋体"/>
                <w:b w:val="0"/>
                <w:bCs w:val="0"/>
                <w:color w:val="auto"/>
                <w:sz w:val="24"/>
                <w:szCs w:val="24"/>
                <w:highlight w:val="none"/>
              </w:rPr>
              <w:t>承诺</w:t>
            </w:r>
            <w:r>
              <w:rPr>
                <w:rFonts w:hint="eastAsia" w:ascii="宋体" w:hAnsi="宋体" w:eastAsia="宋体" w:cs="宋体"/>
                <w:b w:val="0"/>
                <w:bCs w:val="0"/>
                <w:color w:val="auto"/>
                <w:sz w:val="24"/>
                <w:szCs w:val="24"/>
                <w:highlight w:val="none"/>
                <w:lang w:eastAsia="zh-CN"/>
              </w:rPr>
              <w:t>书</w:t>
            </w:r>
          </w:p>
        </w:tc>
        <w:tc>
          <w:tcPr>
            <w:tcW w:w="6645" w:type="dxa"/>
            <w:vAlign w:val="center"/>
          </w:tcPr>
          <w:p>
            <w:pPr>
              <w:tabs>
                <w:tab w:val="left" w:pos="0"/>
              </w:tabs>
              <w:adjustRightInd w:val="0"/>
              <w:snapToGrid w:val="0"/>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i w:val="0"/>
                <w:caps w:val="0"/>
                <w:color w:val="auto"/>
                <w:spacing w:val="0"/>
                <w:sz w:val="24"/>
                <w:szCs w:val="24"/>
                <w:highlight w:val="none"/>
                <w:shd w:val="clear" w:color="auto" w:fill="FFFFFF"/>
                <w:lang w:val="en-US" w:eastAsia="zh-CN"/>
              </w:rPr>
              <w:t>供应商须提供具有履行合同所必需的设备和专业技术能力的承诺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1" w:type="dxa"/>
            <w:vMerge w:val="continue"/>
            <w:vAlign w:val="center"/>
          </w:tcPr>
          <w:p>
            <w:pPr>
              <w:tabs>
                <w:tab w:val="left" w:pos="0"/>
              </w:tabs>
              <w:adjustRightInd w:val="0"/>
              <w:snapToGrid w:val="0"/>
              <w:spacing w:line="360" w:lineRule="auto"/>
              <w:jc w:val="center"/>
              <w:rPr>
                <w:rFonts w:hint="eastAsia" w:ascii="宋体" w:hAnsi="宋体" w:eastAsia="宋体" w:cs="宋体"/>
                <w:b w:val="0"/>
                <w:bCs/>
                <w:color w:val="auto"/>
                <w:sz w:val="24"/>
                <w:szCs w:val="24"/>
                <w:highlight w:val="none"/>
              </w:rPr>
            </w:pPr>
          </w:p>
        </w:tc>
        <w:tc>
          <w:tcPr>
            <w:tcW w:w="633" w:type="dxa"/>
            <w:vMerge w:val="continue"/>
            <w:vAlign w:val="center"/>
          </w:tcPr>
          <w:p>
            <w:pPr>
              <w:tabs>
                <w:tab w:val="left" w:pos="0"/>
              </w:tabs>
              <w:adjustRightInd w:val="0"/>
              <w:snapToGrid w:val="0"/>
              <w:spacing w:line="360" w:lineRule="auto"/>
              <w:jc w:val="center"/>
              <w:rPr>
                <w:rFonts w:hint="eastAsia" w:ascii="宋体" w:hAnsi="宋体" w:eastAsia="宋体" w:cs="宋体"/>
                <w:b w:val="0"/>
                <w:bCs/>
                <w:color w:val="auto"/>
                <w:sz w:val="24"/>
                <w:szCs w:val="24"/>
                <w:highlight w:val="none"/>
              </w:rPr>
            </w:pPr>
          </w:p>
        </w:tc>
        <w:tc>
          <w:tcPr>
            <w:tcW w:w="1953" w:type="dxa"/>
            <w:vAlign w:val="center"/>
          </w:tcPr>
          <w:p>
            <w:pPr>
              <w:tabs>
                <w:tab w:val="left" w:pos="0"/>
              </w:tabs>
              <w:adjustRightInd w:val="0"/>
              <w:snapToGrid w:val="0"/>
              <w:spacing w:line="36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社会保障资金</w:t>
            </w:r>
          </w:p>
          <w:p>
            <w:pPr>
              <w:tabs>
                <w:tab w:val="left" w:pos="0"/>
              </w:tabs>
              <w:adjustRightInd w:val="0"/>
              <w:snapToGrid w:val="0"/>
              <w:spacing w:line="360" w:lineRule="auto"/>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缴纳证明</w:t>
            </w:r>
          </w:p>
        </w:tc>
        <w:tc>
          <w:tcPr>
            <w:tcW w:w="6645" w:type="dxa"/>
            <w:vAlign w:val="center"/>
          </w:tcPr>
          <w:p>
            <w:pPr>
              <w:tabs>
                <w:tab w:val="left" w:pos="0"/>
              </w:tabs>
              <w:adjustRightInd w:val="0"/>
              <w:snapToGrid w:val="0"/>
              <w:spacing w:line="360" w:lineRule="auto"/>
              <w:jc w:val="left"/>
              <w:rPr>
                <w:rFonts w:hint="eastAsia" w:ascii="宋体" w:hAnsi="宋体" w:eastAsia="宋体" w:cs="宋体"/>
                <w:b w:val="0"/>
                <w:bCs/>
                <w:color w:val="auto"/>
                <w:sz w:val="24"/>
                <w:szCs w:val="24"/>
                <w:highlight w:val="none"/>
                <w:lang w:eastAsia="zh-CN"/>
              </w:rPr>
            </w:pPr>
            <w:r>
              <w:rPr>
                <w:rFonts w:hint="eastAsia" w:ascii="宋体" w:hAnsi="宋体" w:eastAsia="宋体" w:cs="宋体"/>
                <w:i w:val="0"/>
                <w:caps w:val="0"/>
                <w:color w:val="auto"/>
                <w:spacing w:val="0"/>
                <w:sz w:val="24"/>
                <w:szCs w:val="24"/>
                <w:highlight w:val="none"/>
                <w:shd w:val="clear" w:color="auto" w:fill="FFFFFF"/>
                <w:lang w:val="en-US" w:eastAsia="zh-CN"/>
              </w:rPr>
              <w:t>提供已缴存的2021年7月至今任意一个月的社会保障资金缴存单据或社保机构开具的社会保险参保缴费情况证明，单据或证明上应有社保机构或代收机构的公章。依法不需要缴纳社会保障资金的供应商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1" w:type="dxa"/>
            <w:vMerge w:val="continue"/>
            <w:vAlign w:val="center"/>
          </w:tcPr>
          <w:p>
            <w:pPr>
              <w:tabs>
                <w:tab w:val="left" w:pos="0"/>
              </w:tabs>
              <w:adjustRightInd w:val="0"/>
              <w:snapToGrid w:val="0"/>
              <w:spacing w:line="360" w:lineRule="auto"/>
              <w:jc w:val="center"/>
              <w:rPr>
                <w:rFonts w:hint="eastAsia" w:ascii="宋体" w:hAnsi="宋体" w:eastAsia="宋体" w:cs="宋体"/>
                <w:b w:val="0"/>
                <w:bCs/>
                <w:color w:val="auto"/>
                <w:sz w:val="24"/>
                <w:szCs w:val="24"/>
                <w:highlight w:val="none"/>
              </w:rPr>
            </w:pPr>
          </w:p>
        </w:tc>
        <w:tc>
          <w:tcPr>
            <w:tcW w:w="633" w:type="dxa"/>
            <w:vMerge w:val="continue"/>
            <w:vAlign w:val="center"/>
          </w:tcPr>
          <w:p>
            <w:pPr>
              <w:tabs>
                <w:tab w:val="left" w:pos="0"/>
              </w:tabs>
              <w:adjustRightInd w:val="0"/>
              <w:snapToGrid w:val="0"/>
              <w:spacing w:line="360" w:lineRule="auto"/>
              <w:jc w:val="center"/>
              <w:rPr>
                <w:rFonts w:hint="eastAsia" w:ascii="宋体" w:hAnsi="宋体" w:eastAsia="宋体" w:cs="宋体"/>
                <w:b w:val="0"/>
                <w:bCs/>
                <w:color w:val="auto"/>
                <w:sz w:val="24"/>
                <w:szCs w:val="24"/>
                <w:highlight w:val="none"/>
              </w:rPr>
            </w:pPr>
          </w:p>
        </w:tc>
        <w:tc>
          <w:tcPr>
            <w:tcW w:w="1953" w:type="dxa"/>
            <w:vAlign w:val="center"/>
          </w:tcPr>
          <w:p>
            <w:pPr>
              <w:tabs>
                <w:tab w:val="left" w:pos="0"/>
              </w:tabs>
              <w:adjustRightInd w:val="0"/>
              <w:snapToGrid w:val="0"/>
              <w:spacing w:line="360" w:lineRule="auto"/>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无重大违法记录</w:t>
            </w:r>
          </w:p>
          <w:p>
            <w:pPr>
              <w:tabs>
                <w:tab w:val="left" w:pos="0"/>
              </w:tabs>
              <w:adjustRightInd w:val="0"/>
              <w:snapToGrid w:val="0"/>
              <w:spacing w:line="360" w:lineRule="auto"/>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书面声明</w:t>
            </w:r>
          </w:p>
        </w:tc>
        <w:tc>
          <w:tcPr>
            <w:tcW w:w="6645" w:type="dxa"/>
            <w:vAlign w:val="center"/>
          </w:tcPr>
          <w:p>
            <w:pPr>
              <w:tabs>
                <w:tab w:val="left" w:pos="0"/>
              </w:tabs>
              <w:adjustRightInd w:val="0"/>
              <w:snapToGrid w:val="0"/>
              <w:spacing w:line="360" w:lineRule="auto"/>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出具参加本次政府采购活动前三年内在经营活动中没有重大违法记录的书面声明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1" w:type="dxa"/>
            <w:vMerge w:val="continue"/>
            <w:vAlign w:val="center"/>
          </w:tcPr>
          <w:p>
            <w:pPr>
              <w:tabs>
                <w:tab w:val="left" w:pos="0"/>
              </w:tabs>
              <w:adjustRightInd w:val="0"/>
              <w:snapToGrid w:val="0"/>
              <w:spacing w:line="360" w:lineRule="auto"/>
              <w:jc w:val="center"/>
              <w:rPr>
                <w:rFonts w:hint="eastAsia" w:ascii="宋体" w:hAnsi="宋体" w:eastAsia="宋体" w:cs="宋体"/>
                <w:b w:val="0"/>
                <w:bCs/>
                <w:color w:val="auto"/>
                <w:sz w:val="24"/>
                <w:szCs w:val="24"/>
                <w:highlight w:val="none"/>
              </w:rPr>
            </w:pPr>
          </w:p>
        </w:tc>
        <w:tc>
          <w:tcPr>
            <w:tcW w:w="633" w:type="dxa"/>
            <w:vMerge w:val="continue"/>
            <w:vAlign w:val="center"/>
          </w:tcPr>
          <w:p>
            <w:pPr>
              <w:tabs>
                <w:tab w:val="left" w:pos="0"/>
              </w:tabs>
              <w:adjustRightInd w:val="0"/>
              <w:snapToGrid w:val="0"/>
              <w:spacing w:line="360" w:lineRule="auto"/>
              <w:jc w:val="center"/>
              <w:rPr>
                <w:rFonts w:hint="eastAsia" w:ascii="宋体" w:hAnsi="宋体" w:eastAsia="宋体" w:cs="宋体"/>
                <w:b w:val="0"/>
                <w:bCs/>
                <w:color w:val="auto"/>
                <w:sz w:val="24"/>
                <w:szCs w:val="24"/>
                <w:highlight w:val="none"/>
              </w:rPr>
            </w:pPr>
          </w:p>
        </w:tc>
        <w:tc>
          <w:tcPr>
            <w:tcW w:w="1953" w:type="dxa"/>
            <w:vAlign w:val="center"/>
          </w:tcPr>
          <w:p>
            <w:pPr>
              <w:tabs>
                <w:tab w:val="left" w:pos="0"/>
              </w:tabs>
              <w:adjustRightInd w:val="0"/>
              <w:snapToGrid w:val="0"/>
              <w:spacing w:line="360" w:lineRule="auto"/>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中小企业声明函</w:t>
            </w:r>
          </w:p>
        </w:tc>
        <w:tc>
          <w:tcPr>
            <w:tcW w:w="6645" w:type="dxa"/>
            <w:vAlign w:val="center"/>
          </w:tcPr>
          <w:p>
            <w:pPr>
              <w:tabs>
                <w:tab w:val="left" w:pos="0"/>
              </w:tabs>
              <w:adjustRightInd w:val="0"/>
              <w:snapToGrid w:val="0"/>
              <w:spacing w:line="360" w:lineRule="auto"/>
              <w:jc w:val="left"/>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本项目专门面向中小企业采购（残疾人福利性单位及监狱企业视同小型、微型企业）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1" w:type="dxa"/>
            <w:vMerge w:val="continue"/>
            <w:vAlign w:val="center"/>
          </w:tcPr>
          <w:p>
            <w:pPr>
              <w:tabs>
                <w:tab w:val="left" w:pos="0"/>
              </w:tabs>
              <w:adjustRightInd w:val="0"/>
              <w:snapToGrid w:val="0"/>
              <w:spacing w:line="360" w:lineRule="auto"/>
              <w:jc w:val="center"/>
              <w:rPr>
                <w:rFonts w:hint="eastAsia" w:ascii="宋体" w:hAnsi="宋体" w:eastAsia="宋体" w:cs="宋体"/>
                <w:b w:val="0"/>
                <w:bCs/>
                <w:color w:val="auto"/>
                <w:sz w:val="24"/>
                <w:szCs w:val="24"/>
                <w:highlight w:val="none"/>
              </w:rPr>
            </w:pPr>
          </w:p>
        </w:tc>
        <w:tc>
          <w:tcPr>
            <w:tcW w:w="633" w:type="dxa"/>
            <w:vMerge w:val="continue"/>
            <w:vAlign w:val="center"/>
          </w:tcPr>
          <w:p>
            <w:pPr>
              <w:tabs>
                <w:tab w:val="left" w:pos="0"/>
              </w:tabs>
              <w:adjustRightInd w:val="0"/>
              <w:snapToGrid w:val="0"/>
              <w:spacing w:line="360" w:lineRule="auto"/>
              <w:jc w:val="center"/>
              <w:rPr>
                <w:rFonts w:hint="eastAsia" w:ascii="宋体" w:hAnsi="宋体" w:eastAsia="宋体" w:cs="宋体"/>
                <w:b w:val="0"/>
                <w:bCs/>
                <w:color w:val="auto"/>
                <w:sz w:val="24"/>
                <w:szCs w:val="24"/>
                <w:highlight w:val="none"/>
              </w:rPr>
            </w:pPr>
          </w:p>
        </w:tc>
        <w:tc>
          <w:tcPr>
            <w:tcW w:w="1953" w:type="dxa"/>
            <w:vAlign w:val="center"/>
          </w:tcPr>
          <w:p>
            <w:pPr>
              <w:tabs>
                <w:tab w:val="left" w:pos="0"/>
              </w:tabs>
              <w:adjustRightInd w:val="0"/>
              <w:snapToGrid w:val="0"/>
              <w:spacing w:line="360" w:lineRule="auto"/>
              <w:jc w:val="center"/>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法定代表人</w:t>
            </w:r>
          </w:p>
          <w:p>
            <w:pPr>
              <w:tabs>
                <w:tab w:val="left" w:pos="0"/>
              </w:tabs>
              <w:adjustRightInd w:val="0"/>
              <w:snapToGrid w:val="0"/>
              <w:spacing w:line="360" w:lineRule="auto"/>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i w:val="0"/>
                <w:caps w:val="0"/>
                <w:color w:val="auto"/>
                <w:spacing w:val="0"/>
                <w:sz w:val="24"/>
                <w:szCs w:val="24"/>
                <w:highlight w:val="none"/>
                <w:shd w:val="clear" w:color="auto" w:fill="FFFFFF"/>
                <w:lang w:val="en-US" w:eastAsia="zh-CN"/>
              </w:rPr>
              <w:t>授权书</w:t>
            </w:r>
          </w:p>
        </w:tc>
        <w:tc>
          <w:tcPr>
            <w:tcW w:w="6645" w:type="dxa"/>
            <w:vAlign w:val="center"/>
          </w:tcPr>
          <w:p>
            <w:pPr>
              <w:tabs>
                <w:tab w:val="left" w:pos="0"/>
              </w:tabs>
              <w:adjustRightInd w:val="0"/>
              <w:snapToGrid w:val="0"/>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法定代表人授权书（附法定代表人、被授权人身份证复印件）及被授权人身份证（法定代表人直接参加谈判活动，须提供法定代表人身份证明及身份证原件）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731" w:type="dxa"/>
            <w:vMerge w:val="continue"/>
            <w:vAlign w:val="center"/>
          </w:tcPr>
          <w:p>
            <w:pPr>
              <w:tabs>
                <w:tab w:val="left" w:pos="0"/>
              </w:tabs>
              <w:adjustRightInd w:val="0"/>
              <w:snapToGrid w:val="0"/>
              <w:spacing w:line="360" w:lineRule="auto"/>
              <w:jc w:val="center"/>
              <w:rPr>
                <w:rFonts w:hint="eastAsia" w:ascii="宋体" w:hAnsi="宋体" w:eastAsia="宋体" w:cs="宋体"/>
                <w:b w:val="0"/>
                <w:bCs/>
                <w:color w:val="auto"/>
                <w:sz w:val="24"/>
                <w:szCs w:val="24"/>
                <w:highlight w:val="none"/>
              </w:rPr>
            </w:pPr>
          </w:p>
        </w:tc>
        <w:tc>
          <w:tcPr>
            <w:tcW w:w="633" w:type="dxa"/>
            <w:vMerge w:val="continue"/>
            <w:vAlign w:val="center"/>
          </w:tcPr>
          <w:p>
            <w:pPr>
              <w:tabs>
                <w:tab w:val="left" w:pos="0"/>
              </w:tabs>
              <w:adjustRightInd w:val="0"/>
              <w:snapToGrid w:val="0"/>
              <w:spacing w:line="360" w:lineRule="auto"/>
              <w:jc w:val="center"/>
              <w:rPr>
                <w:rFonts w:hint="eastAsia" w:ascii="宋体" w:hAnsi="宋体" w:eastAsia="宋体" w:cs="宋体"/>
                <w:b w:val="0"/>
                <w:bCs/>
                <w:color w:val="auto"/>
                <w:sz w:val="24"/>
                <w:szCs w:val="24"/>
                <w:highlight w:val="none"/>
              </w:rPr>
            </w:pPr>
          </w:p>
        </w:tc>
        <w:tc>
          <w:tcPr>
            <w:tcW w:w="1953" w:type="dxa"/>
            <w:vAlign w:val="center"/>
          </w:tcPr>
          <w:p>
            <w:pPr>
              <w:tabs>
                <w:tab w:val="left" w:pos="0"/>
              </w:tabs>
              <w:adjustRightInd w:val="0"/>
              <w:snapToGrid w:val="0"/>
              <w:spacing w:line="360" w:lineRule="auto"/>
              <w:jc w:val="both"/>
              <w:rPr>
                <w:rFonts w:hint="eastAsia" w:ascii="宋体" w:hAnsi="宋体" w:eastAsia="宋体" w:cs="宋体"/>
                <w:b w:val="0"/>
                <w:bCs/>
                <w:color w:val="auto"/>
                <w:sz w:val="24"/>
                <w:szCs w:val="24"/>
                <w:highlight w:val="none"/>
                <w:lang w:eastAsia="zh-CN"/>
              </w:rPr>
            </w:pPr>
            <w:r>
              <w:rPr>
                <w:rFonts w:hint="eastAsia" w:ascii="宋体" w:hAnsi="宋体" w:eastAsia="宋体" w:cs="宋体"/>
                <w:i w:val="0"/>
                <w:caps w:val="0"/>
                <w:color w:val="auto"/>
                <w:spacing w:val="0"/>
                <w:sz w:val="24"/>
                <w:szCs w:val="24"/>
                <w:highlight w:val="none"/>
                <w:shd w:val="clear" w:color="auto" w:fill="FFFFFF"/>
                <w:lang w:val="en-US" w:eastAsia="zh-CN"/>
              </w:rPr>
              <w:t>不接受联合体谈判的书面声明</w:t>
            </w:r>
          </w:p>
        </w:tc>
        <w:tc>
          <w:tcPr>
            <w:tcW w:w="6645" w:type="dxa"/>
            <w:vAlign w:val="center"/>
          </w:tcPr>
          <w:p>
            <w:pPr>
              <w:tabs>
                <w:tab w:val="left" w:pos="0"/>
              </w:tabs>
              <w:adjustRightInd w:val="0"/>
              <w:snapToGrid w:val="0"/>
              <w:spacing w:line="360" w:lineRule="auto"/>
              <w:jc w:val="left"/>
              <w:rPr>
                <w:rFonts w:hint="eastAsia" w:ascii="宋体" w:hAnsi="宋体" w:eastAsia="宋体" w:cs="宋体"/>
                <w:b w:val="0"/>
                <w:bCs/>
                <w:color w:val="auto"/>
                <w:sz w:val="24"/>
                <w:szCs w:val="24"/>
                <w:highlight w:val="none"/>
                <w:lang w:eastAsia="zh-CN"/>
              </w:rPr>
            </w:pPr>
            <w:r>
              <w:rPr>
                <w:rFonts w:hint="eastAsia" w:ascii="宋体" w:hAnsi="宋体" w:eastAsia="宋体" w:cs="宋体"/>
                <w:i w:val="0"/>
                <w:caps w:val="0"/>
                <w:color w:val="auto"/>
                <w:spacing w:val="0"/>
                <w:sz w:val="24"/>
                <w:szCs w:val="24"/>
                <w:highlight w:val="none"/>
                <w:shd w:val="clear" w:color="auto" w:fill="FFFFFF"/>
                <w:lang w:val="en-US" w:eastAsia="zh-CN"/>
              </w:rPr>
              <w:t>本项目不接受联合体谈判（书面声明）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62" w:type="dxa"/>
            <w:gridSpan w:val="4"/>
            <w:vAlign w:val="center"/>
          </w:tcPr>
          <w:p>
            <w:pPr>
              <w:tabs>
                <w:tab w:val="left" w:pos="0"/>
              </w:tabs>
              <w:adjustRightInd w:val="0"/>
              <w:snapToGrid w:val="0"/>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注：</w:t>
            </w:r>
            <w:r>
              <w:rPr>
                <w:rFonts w:hint="eastAsia" w:ascii="宋体" w:hAnsi="宋体" w:eastAsia="宋体" w:cs="宋体"/>
                <w:b w:val="0"/>
                <w:bCs/>
                <w:color w:val="auto"/>
                <w:sz w:val="24"/>
                <w:szCs w:val="24"/>
                <w:highlight w:val="none"/>
              </w:rPr>
              <w:t>以上为必备资质，缺一项或某项达不到要求，按无效</w:t>
            </w:r>
            <w:r>
              <w:rPr>
                <w:rFonts w:hint="eastAsia" w:ascii="宋体" w:hAnsi="宋体" w:eastAsia="宋体" w:cs="宋体"/>
                <w:b w:val="0"/>
                <w:bCs/>
                <w:color w:val="auto"/>
                <w:sz w:val="24"/>
                <w:szCs w:val="24"/>
                <w:highlight w:val="none"/>
                <w:lang w:eastAsia="zh-CN"/>
              </w:rPr>
              <w:t>文件</w:t>
            </w:r>
            <w:r>
              <w:rPr>
                <w:rFonts w:hint="eastAsia" w:ascii="宋体" w:hAnsi="宋体" w:eastAsia="宋体" w:cs="宋体"/>
                <w:b w:val="0"/>
                <w:bCs/>
                <w:color w:val="auto"/>
                <w:sz w:val="24"/>
                <w:szCs w:val="24"/>
                <w:highlight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1" w:type="dxa"/>
            <w:vMerge w:val="restart"/>
            <w:vAlign w:val="center"/>
          </w:tcPr>
          <w:p>
            <w:pPr>
              <w:tabs>
                <w:tab w:val="left" w:pos="0"/>
              </w:tabs>
              <w:adjustRightInd w:val="0"/>
              <w:snapToGrid w:val="0"/>
              <w:spacing w:line="360" w:lineRule="auto"/>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2.1.2</w:t>
            </w:r>
          </w:p>
        </w:tc>
        <w:tc>
          <w:tcPr>
            <w:tcW w:w="633" w:type="dxa"/>
            <w:vMerge w:val="restart"/>
            <w:vAlign w:val="center"/>
          </w:tcPr>
          <w:p>
            <w:pPr>
              <w:tabs>
                <w:tab w:val="left" w:pos="0"/>
              </w:tabs>
              <w:adjustRightInd w:val="0"/>
              <w:snapToGrid w:val="0"/>
              <w:spacing w:line="360" w:lineRule="auto"/>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符合性评审标准</w:t>
            </w:r>
          </w:p>
        </w:tc>
        <w:tc>
          <w:tcPr>
            <w:tcW w:w="1953" w:type="dxa"/>
            <w:vAlign w:val="center"/>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谈判响应文件</w:t>
            </w:r>
            <w:r>
              <w:rPr>
                <w:rFonts w:hint="eastAsia" w:ascii="宋体" w:hAnsi="宋体" w:eastAsia="宋体" w:cs="宋体"/>
                <w:b w:val="0"/>
                <w:bCs/>
                <w:color w:val="auto"/>
                <w:sz w:val="24"/>
                <w:szCs w:val="24"/>
                <w:highlight w:val="none"/>
              </w:rPr>
              <w:t>的签署盖章</w:t>
            </w:r>
          </w:p>
        </w:tc>
        <w:tc>
          <w:tcPr>
            <w:tcW w:w="6645" w:type="dxa"/>
            <w:vAlign w:val="center"/>
          </w:tcPr>
          <w:p>
            <w:pPr>
              <w:tabs>
                <w:tab w:val="left" w:pos="0"/>
              </w:tabs>
              <w:adjustRightInd w:val="0"/>
              <w:snapToGrid w:val="0"/>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谈判响应文件</w:t>
            </w:r>
            <w:r>
              <w:rPr>
                <w:rFonts w:hint="eastAsia" w:ascii="宋体" w:hAnsi="宋体" w:eastAsia="宋体" w:cs="宋体"/>
                <w:b w:val="0"/>
                <w:bCs/>
                <w:color w:val="auto"/>
                <w:sz w:val="24"/>
                <w:szCs w:val="24"/>
                <w:highlight w:val="none"/>
              </w:rPr>
              <w:t>上法定代表人或其授权代表人的签字齐全并加盖公章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1" w:type="dxa"/>
            <w:vMerge w:val="continue"/>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633" w:type="dxa"/>
            <w:vMerge w:val="continue"/>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1953" w:type="dxa"/>
            <w:vAlign w:val="center"/>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报价唯一</w:t>
            </w:r>
          </w:p>
        </w:tc>
        <w:tc>
          <w:tcPr>
            <w:tcW w:w="6645" w:type="dxa"/>
            <w:vAlign w:val="center"/>
          </w:tcPr>
          <w:p>
            <w:pPr>
              <w:tabs>
                <w:tab w:val="left" w:pos="0"/>
              </w:tabs>
              <w:adjustRightInd w:val="0"/>
              <w:snapToGrid w:val="0"/>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只能有一个有效报价，不得提交选择性报价，且报价不超过采购预算金额或最高限价。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1" w:type="dxa"/>
            <w:vMerge w:val="continue"/>
            <w:vAlign w:val="center"/>
          </w:tcPr>
          <w:p>
            <w:pPr>
              <w:tabs>
                <w:tab w:val="left" w:pos="0"/>
              </w:tabs>
              <w:adjustRightInd w:val="0"/>
              <w:snapToGrid w:val="0"/>
              <w:spacing w:line="360" w:lineRule="auto"/>
              <w:jc w:val="center"/>
              <w:rPr>
                <w:rFonts w:hint="eastAsia" w:ascii="宋体" w:hAnsi="宋体" w:eastAsia="宋体" w:cs="宋体"/>
                <w:b w:val="0"/>
                <w:bCs/>
                <w:color w:val="auto"/>
                <w:sz w:val="24"/>
                <w:szCs w:val="24"/>
                <w:highlight w:val="none"/>
              </w:rPr>
            </w:pPr>
          </w:p>
        </w:tc>
        <w:tc>
          <w:tcPr>
            <w:tcW w:w="633" w:type="dxa"/>
            <w:vMerge w:val="continue"/>
            <w:vAlign w:val="center"/>
          </w:tcPr>
          <w:p>
            <w:pPr>
              <w:tabs>
                <w:tab w:val="left" w:pos="0"/>
              </w:tabs>
              <w:adjustRightInd w:val="0"/>
              <w:snapToGrid w:val="0"/>
              <w:spacing w:line="360" w:lineRule="auto"/>
              <w:jc w:val="center"/>
              <w:rPr>
                <w:rFonts w:hint="eastAsia" w:ascii="宋体" w:hAnsi="宋体" w:eastAsia="宋体" w:cs="宋体"/>
                <w:b w:val="0"/>
                <w:bCs/>
                <w:color w:val="auto"/>
                <w:sz w:val="24"/>
                <w:szCs w:val="24"/>
                <w:highlight w:val="none"/>
              </w:rPr>
            </w:pPr>
          </w:p>
        </w:tc>
        <w:tc>
          <w:tcPr>
            <w:tcW w:w="1953" w:type="dxa"/>
            <w:vAlign w:val="center"/>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谈判响应文件</w:t>
            </w:r>
            <w:r>
              <w:rPr>
                <w:rFonts w:hint="eastAsia" w:ascii="宋体" w:hAnsi="宋体" w:eastAsia="宋体" w:cs="宋体"/>
                <w:b w:val="0"/>
                <w:bCs/>
                <w:color w:val="auto"/>
                <w:sz w:val="24"/>
                <w:szCs w:val="24"/>
                <w:highlight w:val="none"/>
              </w:rPr>
              <w:t>份数</w:t>
            </w:r>
          </w:p>
        </w:tc>
        <w:tc>
          <w:tcPr>
            <w:tcW w:w="6645" w:type="dxa"/>
            <w:vAlign w:val="center"/>
          </w:tcPr>
          <w:p>
            <w:pPr>
              <w:tabs>
                <w:tab w:val="left" w:pos="0"/>
              </w:tabs>
              <w:adjustRightInd w:val="0"/>
              <w:snapToGrid w:val="0"/>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应符合“</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须知前附表”规定的正本、副本、电子文件数量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1" w:type="dxa"/>
            <w:vMerge w:val="continue"/>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633" w:type="dxa"/>
            <w:vMerge w:val="continue"/>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1953" w:type="dxa"/>
            <w:vAlign w:val="center"/>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谈判响应文件</w:t>
            </w:r>
            <w:r>
              <w:rPr>
                <w:rFonts w:hint="eastAsia" w:ascii="宋体" w:hAnsi="宋体" w:eastAsia="宋体" w:cs="宋体"/>
                <w:b w:val="0"/>
                <w:bCs/>
                <w:color w:val="auto"/>
                <w:sz w:val="24"/>
                <w:szCs w:val="24"/>
                <w:highlight w:val="none"/>
              </w:rPr>
              <w:t>内容</w:t>
            </w:r>
          </w:p>
        </w:tc>
        <w:tc>
          <w:tcPr>
            <w:tcW w:w="6645" w:type="dxa"/>
            <w:vAlign w:val="center"/>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谈判响应文件</w:t>
            </w:r>
            <w:r>
              <w:rPr>
                <w:rFonts w:hint="eastAsia" w:ascii="宋体" w:hAnsi="宋体" w:eastAsia="宋体" w:cs="宋体"/>
                <w:b w:val="0"/>
                <w:bCs/>
                <w:color w:val="auto"/>
                <w:sz w:val="24"/>
                <w:szCs w:val="24"/>
                <w:highlight w:val="none"/>
              </w:rPr>
              <w:t>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1" w:type="dxa"/>
            <w:vMerge w:val="continue"/>
            <w:vAlign w:val="center"/>
          </w:tcPr>
          <w:p>
            <w:pPr>
              <w:tabs>
                <w:tab w:val="left" w:pos="0"/>
              </w:tabs>
              <w:adjustRightInd w:val="0"/>
              <w:snapToGrid w:val="0"/>
              <w:spacing w:line="360" w:lineRule="auto"/>
              <w:jc w:val="center"/>
              <w:rPr>
                <w:rFonts w:hint="eastAsia" w:ascii="宋体" w:hAnsi="宋体" w:eastAsia="宋体" w:cs="宋体"/>
                <w:b w:val="0"/>
                <w:bCs/>
                <w:color w:val="auto"/>
                <w:sz w:val="24"/>
                <w:szCs w:val="24"/>
                <w:highlight w:val="none"/>
              </w:rPr>
            </w:pPr>
          </w:p>
        </w:tc>
        <w:tc>
          <w:tcPr>
            <w:tcW w:w="633" w:type="dxa"/>
            <w:vMerge w:val="continue"/>
            <w:vAlign w:val="center"/>
          </w:tcPr>
          <w:p>
            <w:pPr>
              <w:tabs>
                <w:tab w:val="left" w:pos="0"/>
              </w:tabs>
              <w:adjustRightInd w:val="0"/>
              <w:snapToGrid w:val="0"/>
              <w:spacing w:line="360" w:lineRule="auto"/>
              <w:jc w:val="center"/>
              <w:rPr>
                <w:rFonts w:hint="eastAsia" w:ascii="宋体" w:hAnsi="宋体" w:eastAsia="宋体" w:cs="宋体"/>
                <w:b w:val="0"/>
                <w:bCs/>
                <w:color w:val="auto"/>
                <w:sz w:val="24"/>
                <w:szCs w:val="24"/>
                <w:highlight w:val="none"/>
              </w:rPr>
            </w:pPr>
          </w:p>
        </w:tc>
        <w:tc>
          <w:tcPr>
            <w:tcW w:w="1953" w:type="dxa"/>
            <w:vAlign w:val="center"/>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对</w:t>
            </w:r>
            <w:r>
              <w:rPr>
                <w:rFonts w:hint="eastAsia" w:ascii="宋体" w:hAnsi="宋体" w:eastAsia="宋体" w:cs="宋体"/>
                <w:b w:val="0"/>
                <w:bCs/>
                <w:color w:val="auto"/>
                <w:sz w:val="24"/>
                <w:szCs w:val="24"/>
                <w:highlight w:val="none"/>
                <w:lang w:eastAsia="zh-CN"/>
              </w:rPr>
              <w:t>谈判文件</w:t>
            </w:r>
            <w:r>
              <w:rPr>
                <w:rFonts w:hint="eastAsia" w:ascii="宋体" w:hAnsi="宋体" w:eastAsia="宋体" w:cs="宋体"/>
                <w:b w:val="0"/>
                <w:bCs/>
                <w:color w:val="auto"/>
                <w:sz w:val="24"/>
                <w:szCs w:val="24"/>
                <w:highlight w:val="none"/>
              </w:rPr>
              <w:t>响应程度</w:t>
            </w:r>
          </w:p>
        </w:tc>
        <w:tc>
          <w:tcPr>
            <w:tcW w:w="6645" w:type="dxa"/>
            <w:vAlign w:val="center"/>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要求全面响应，不能有任何采购人不能接受的附加条件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1" w:type="dxa"/>
            <w:vMerge w:val="continue"/>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633" w:type="dxa"/>
            <w:vMerge w:val="continue"/>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1953" w:type="dxa"/>
            <w:vAlign w:val="center"/>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交货</w:t>
            </w:r>
            <w:r>
              <w:rPr>
                <w:rFonts w:hint="eastAsia" w:ascii="宋体" w:hAnsi="宋体" w:eastAsia="宋体" w:cs="宋体"/>
                <w:b w:val="0"/>
                <w:bCs/>
                <w:color w:val="auto"/>
                <w:sz w:val="24"/>
                <w:szCs w:val="24"/>
                <w:highlight w:val="none"/>
              </w:rPr>
              <w:t>期</w:t>
            </w:r>
          </w:p>
        </w:tc>
        <w:tc>
          <w:tcPr>
            <w:tcW w:w="6645" w:type="dxa"/>
            <w:vAlign w:val="center"/>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应满足</w:t>
            </w:r>
            <w:r>
              <w:rPr>
                <w:rFonts w:hint="eastAsia" w:ascii="宋体" w:hAnsi="宋体" w:eastAsia="宋体" w:cs="宋体"/>
                <w:b w:val="0"/>
                <w:bCs/>
                <w:color w:val="auto"/>
                <w:sz w:val="24"/>
                <w:szCs w:val="24"/>
                <w:highlight w:val="none"/>
                <w:lang w:eastAsia="zh-CN"/>
              </w:rPr>
              <w:t>谈判文件</w:t>
            </w:r>
            <w:r>
              <w:rPr>
                <w:rFonts w:hint="eastAsia" w:ascii="宋体" w:hAnsi="宋体" w:eastAsia="宋体" w:cs="宋体"/>
                <w:b w:val="0"/>
                <w:bCs/>
                <w:color w:val="auto"/>
                <w:sz w:val="24"/>
                <w:szCs w:val="24"/>
                <w:highlight w:val="none"/>
              </w:rPr>
              <w:t>中要求的</w:t>
            </w:r>
            <w:r>
              <w:rPr>
                <w:rFonts w:hint="eastAsia" w:ascii="宋体" w:hAnsi="宋体" w:eastAsia="宋体" w:cs="宋体"/>
                <w:b w:val="0"/>
                <w:bCs/>
                <w:color w:val="auto"/>
                <w:sz w:val="24"/>
                <w:szCs w:val="24"/>
                <w:highlight w:val="none"/>
                <w:lang w:eastAsia="zh-CN"/>
              </w:rPr>
              <w:t>交货</w:t>
            </w:r>
            <w:r>
              <w:rPr>
                <w:rFonts w:hint="eastAsia" w:ascii="宋体" w:hAnsi="宋体" w:eastAsia="宋体" w:cs="宋体"/>
                <w:b w:val="0"/>
                <w:bCs/>
                <w:color w:val="auto"/>
                <w:sz w:val="24"/>
                <w:szCs w:val="24"/>
                <w:highlight w:val="none"/>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1" w:type="dxa"/>
            <w:vMerge w:val="continue"/>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633" w:type="dxa"/>
            <w:vMerge w:val="continue"/>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1953" w:type="dxa"/>
            <w:vAlign w:val="center"/>
          </w:tcPr>
          <w:p>
            <w:pPr>
              <w:tabs>
                <w:tab w:val="left" w:pos="0"/>
              </w:tabs>
              <w:adjustRightInd w:val="0"/>
              <w:snapToGrid w:val="0"/>
              <w:spacing w:line="360" w:lineRule="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质保期</w:t>
            </w:r>
          </w:p>
        </w:tc>
        <w:tc>
          <w:tcPr>
            <w:tcW w:w="6645" w:type="dxa"/>
            <w:vAlign w:val="center"/>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应满足</w:t>
            </w:r>
            <w:r>
              <w:rPr>
                <w:rFonts w:hint="eastAsia" w:ascii="宋体" w:hAnsi="宋体" w:eastAsia="宋体" w:cs="宋体"/>
                <w:b w:val="0"/>
                <w:bCs/>
                <w:color w:val="auto"/>
                <w:sz w:val="24"/>
                <w:szCs w:val="24"/>
                <w:highlight w:val="none"/>
                <w:lang w:eastAsia="zh-CN"/>
              </w:rPr>
              <w:t>谈判文件</w:t>
            </w:r>
            <w:r>
              <w:rPr>
                <w:rFonts w:hint="eastAsia" w:ascii="宋体" w:hAnsi="宋体" w:eastAsia="宋体" w:cs="宋体"/>
                <w:b w:val="0"/>
                <w:bCs/>
                <w:color w:val="auto"/>
                <w:sz w:val="24"/>
                <w:szCs w:val="24"/>
                <w:highlight w:val="none"/>
              </w:rPr>
              <w:t>中要求的</w:t>
            </w:r>
            <w:r>
              <w:rPr>
                <w:rFonts w:hint="eastAsia" w:ascii="宋体" w:hAnsi="宋体" w:eastAsia="宋体" w:cs="宋体"/>
                <w:b w:val="0"/>
                <w:bCs/>
                <w:color w:val="auto"/>
                <w:sz w:val="24"/>
                <w:szCs w:val="24"/>
                <w:highlight w:val="none"/>
                <w:lang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1" w:type="dxa"/>
            <w:vMerge w:val="continue"/>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633" w:type="dxa"/>
            <w:vMerge w:val="continue"/>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1953" w:type="dxa"/>
            <w:vAlign w:val="center"/>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实施</w:t>
            </w:r>
            <w:r>
              <w:rPr>
                <w:rFonts w:hint="eastAsia" w:ascii="宋体" w:hAnsi="宋体" w:eastAsia="宋体" w:cs="宋体"/>
                <w:b w:val="0"/>
                <w:bCs/>
                <w:color w:val="auto"/>
                <w:sz w:val="24"/>
                <w:szCs w:val="24"/>
                <w:highlight w:val="none"/>
              </w:rPr>
              <w:t>地点</w:t>
            </w:r>
          </w:p>
        </w:tc>
        <w:tc>
          <w:tcPr>
            <w:tcW w:w="6645" w:type="dxa"/>
            <w:vAlign w:val="center"/>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应满足</w:t>
            </w:r>
            <w:r>
              <w:rPr>
                <w:rFonts w:hint="eastAsia" w:ascii="宋体" w:hAnsi="宋体" w:eastAsia="宋体" w:cs="宋体"/>
                <w:b w:val="0"/>
                <w:bCs/>
                <w:color w:val="auto"/>
                <w:sz w:val="24"/>
                <w:szCs w:val="24"/>
                <w:highlight w:val="none"/>
                <w:lang w:eastAsia="zh-CN"/>
              </w:rPr>
              <w:t>谈判文件</w:t>
            </w:r>
            <w:r>
              <w:rPr>
                <w:rFonts w:hint="eastAsia" w:ascii="宋体" w:hAnsi="宋体" w:eastAsia="宋体" w:cs="宋体"/>
                <w:b w:val="0"/>
                <w:bCs/>
                <w:color w:val="auto"/>
                <w:sz w:val="24"/>
                <w:szCs w:val="24"/>
                <w:highlight w:val="none"/>
              </w:rPr>
              <w:t>中要求的</w:t>
            </w:r>
            <w:r>
              <w:rPr>
                <w:rFonts w:hint="eastAsia" w:ascii="宋体" w:hAnsi="宋体" w:eastAsia="宋体" w:cs="宋体"/>
                <w:b w:val="0"/>
                <w:bCs/>
                <w:color w:val="auto"/>
                <w:sz w:val="24"/>
                <w:szCs w:val="24"/>
                <w:highlight w:val="none"/>
                <w:lang w:eastAsia="zh-CN"/>
              </w:rPr>
              <w:t>实施</w:t>
            </w:r>
            <w:r>
              <w:rPr>
                <w:rFonts w:hint="eastAsia" w:ascii="宋体" w:hAnsi="宋体" w:eastAsia="宋体" w:cs="宋体"/>
                <w:b w:val="0"/>
                <w:bCs/>
                <w:color w:val="auto"/>
                <w:sz w:val="24"/>
                <w:szCs w:val="24"/>
                <w:highlight w:val="none"/>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1" w:type="dxa"/>
            <w:vMerge w:val="continue"/>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633" w:type="dxa"/>
            <w:vMerge w:val="continue"/>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1953" w:type="dxa"/>
            <w:vAlign w:val="center"/>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谈判</w:t>
            </w:r>
            <w:r>
              <w:rPr>
                <w:rFonts w:hint="eastAsia" w:ascii="宋体" w:hAnsi="宋体" w:eastAsia="宋体" w:cs="宋体"/>
                <w:b w:val="0"/>
                <w:bCs/>
                <w:color w:val="auto"/>
                <w:sz w:val="24"/>
                <w:szCs w:val="24"/>
                <w:highlight w:val="none"/>
              </w:rPr>
              <w:t>有效期</w:t>
            </w:r>
          </w:p>
        </w:tc>
        <w:tc>
          <w:tcPr>
            <w:tcW w:w="6645" w:type="dxa"/>
            <w:vAlign w:val="center"/>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应满足</w:t>
            </w:r>
            <w:r>
              <w:rPr>
                <w:rFonts w:hint="eastAsia" w:ascii="宋体" w:hAnsi="宋体" w:eastAsia="宋体" w:cs="宋体"/>
                <w:b w:val="0"/>
                <w:bCs/>
                <w:color w:val="auto"/>
                <w:sz w:val="24"/>
                <w:szCs w:val="24"/>
                <w:highlight w:val="none"/>
                <w:lang w:eastAsia="zh-CN"/>
              </w:rPr>
              <w:t>谈判文件</w:t>
            </w:r>
            <w:r>
              <w:rPr>
                <w:rFonts w:hint="eastAsia" w:ascii="宋体" w:hAnsi="宋体" w:eastAsia="宋体" w:cs="宋体"/>
                <w:b w:val="0"/>
                <w:bCs/>
                <w:color w:val="auto"/>
                <w:sz w:val="24"/>
                <w:szCs w:val="24"/>
                <w:highlight w:val="none"/>
              </w:rPr>
              <w:t>中的规定</w:t>
            </w:r>
          </w:p>
        </w:tc>
      </w:tr>
    </w:tbl>
    <w:p>
      <w:pPr>
        <w:pStyle w:val="9"/>
        <w:rPr>
          <w:rFonts w:hint="eastAsia" w:ascii="宋体" w:hAnsi="宋体" w:eastAsia="宋体" w:cs="宋体"/>
          <w:color w:val="FF0000"/>
          <w:spacing w:val="4"/>
          <w:kern w:val="2"/>
          <w:sz w:val="24"/>
          <w:szCs w:val="24"/>
          <w:highlight w:val="none"/>
          <w:lang w:val="en-US" w:eastAsia="zh-CN" w:bidi="ar-SA"/>
        </w:rPr>
        <w:sectPr>
          <w:pgSz w:w="11907" w:h="16840"/>
          <w:pgMar w:top="1417" w:right="1417" w:bottom="1417" w:left="1417" w:header="851" w:footer="850" w:gutter="0"/>
          <w:pgBorders>
            <w:top w:val="none" w:sz="0" w:space="0"/>
            <w:left w:val="none" w:sz="0" w:space="0"/>
            <w:bottom w:val="none" w:sz="0" w:space="0"/>
            <w:right w:val="none" w:sz="0" w:space="0"/>
          </w:pgBorders>
          <w:pgNumType w:fmt="decimal"/>
          <w:cols w:space="720" w:num="1"/>
          <w:rtlGutter w:val="0"/>
          <w:docGrid w:linePitch="286" w:charSpace="0"/>
        </w:sectPr>
      </w:pPr>
    </w:p>
    <w:bookmarkEnd w:id="63"/>
    <w:bookmarkEnd w:id="64"/>
    <w:bookmarkEnd w:id="65"/>
    <w:p>
      <w:pPr>
        <w:pStyle w:val="3"/>
        <w:numPr>
          <w:ilvl w:val="0"/>
          <w:numId w:val="5"/>
        </w:numPr>
        <w:rPr>
          <w:rFonts w:hint="eastAsia" w:ascii="宋体" w:hAnsi="宋体" w:eastAsia="宋体" w:cs="宋体"/>
          <w:b/>
          <w:bCs/>
          <w:sz w:val="36"/>
          <w:szCs w:val="36"/>
          <w:highlight w:val="none"/>
          <w:lang w:eastAsia="zh-CN"/>
        </w:rPr>
      </w:pPr>
      <w:bookmarkStart w:id="67" w:name="_Toc404670157"/>
      <w:bookmarkStart w:id="68" w:name="_Toc8169"/>
      <w:bookmarkStart w:id="69" w:name="_Toc20805"/>
      <w:r>
        <w:rPr>
          <w:rFonts w:hint="eastAsia" w:ascii="宋体" w:hAnsi="宋体" w:eastAsia="宋体" w:cs="宋体"/>
          <w:b/>
          <w:bCs/>
          <w:sz w:val="36"/>
          <w:szCs w:val="36"/>
          <w:highlight w:val="none"/>
          <w:lang w:eastAsia="zh-CN"/>
        </w:rPr>
        <w:t>竞争性谈判响应文件格式及构成</w:t>
      </w:r>
      <w:bookmarkEnd w:id="66"/>
      <w:bookmarkEnd w:id="67"/>
      <w:bookmarkEnd w:id="68"/>
      <w:bookmarkEnd w:id="69"/>
    </w:p>
    <w:p>
      <w:pPr>
        <w:rPr>
          <w:rFonts w:hint="eastAsia" w:ascii="宋体" w:hAnsi="宋体" w:eastAsia="宋体" w:cs="宋体"/>
          <w:b/>
          <w:sz w:val="36"/>
          <w:szCs w:val="36"/>
          <w:highlight w:val="none"/>
        </w:rPr>
      </w:pPr>
    </w:p>
    <w:p>
      <w:pPr>
        <w:rPr>
          <w:rFonts w:hint="eastAsia" w:ascii="宋体" w:hAnsi="宋体" w:eastAsia="宋体" w:cs="宋体"/>
          <w:b/>
          <w:sz w:val="32"/>
          <w:szCs w:val="32"/>
          <w:highlight w:val="none"/>
        </w:rPr>
      </w:pPr>
    </w:p>
    <w:p>
      <w:pPr>
        <w:pStyle w:val="5"/>
        <w:ind w:left="0" w:leftChars="0" w:firstLine="0" w:firstLineChars="0"/>
        <w:rPr>
          <w:rFonts w:hint="eastAsia" w:ascii="宋体" w:hAnsi="宋体" w:eastAsia="宋体" w:cs="宋体"/>
          <w:highlight w:val="none"/>
          <w:lang w:val="en-US" w:eastAsia="zh-CN"/>
        </w:rPr>
      </w:pPr>
      <w:r>
        <w:rPr>
          <w:rFonts w:hint="eastAsia" w:ascii="宋体" w:hAnsi="宋体" w:eastAsia="宋体" w:cs="宋体"/>
          <w:b/>
          <w:sz w:val="32"/>
          <w:szCs w:val="32"/>
          <w:highlight w:val="none"/>
        </w:rPr>
        <w:t>项目编号：</w:t>
      </w:r>
      <w:r>
        <w:rPr>
          <w:rFonts w:hint="eastAsia" w:ascii="宋体" w:hAnsi="宋体" w:cs="宋体"/>
          <w:b/>
          <w:sz w:val="32"/>
          <w:szCs w:val="32"/>
          <w:highlight w:val="none"/>
          <w:lang w:eastAsia="zh-CN"/>
        </w:rPr>
        <w:t>SXJTZB-ZC-JT20220718</w:t>
      </w:r>
    </w:p>
    <w:p>
      <w:pPr>
        <w:ind w:firstLine="5405" w:firstLineChars="1923"/>
        <w:rPr>
          <w:rFonts w:hint="eastAsia" w:ascii="宋体" w:hAnsi="宋体" w:eastAsia="宋体" w:cs="宋体"/>
          <w:b/>
          <w:sz w:val="36"/>
          <w:szCs w:val="36"/>
          <w:highlight w:val="none"/>
        </w:rPr>
      </w:pPr>
      <w:r>
        <w:rPr>
          <w:rFonts w:hint="eastAsia" w:ascii="宋体" w:hAnsi="宋体" w:eastAsia="宋体" w:cs="宋体"/>
          <w:b/>
          <w:sz w:val="28"/>
          <w:szCs w:val="28"/>
          <w:highlight w:val="none"/>
          <w:lang w:val="en-US" w:eastAsia="zh-CN"/>
        </w:rPr>
        <w:t xml:space="preserve">          </w:t>
      </w:r>
      <w:r>
        <w:rPr>
          <w:rFonts w:hint="eastAsia" w:ascii="宋体" w:hAnsi="宋体" w:eastAsia="宋体" w:cs="宋体"/>
          <w:b/>
          <w:sz w:val="28"/>
          <w:szCs w:val="28"/>
          <w:highlight w:val="none"/>
        </w:rPr>
        <w:t>（正本或副本）</w:t>
      </w:r>
    </w:p>
    <w:p>
      <w:pPr>
        <w:jc w:val="center"/>
        <w:rPr>
          <w:rFonts w:hint="eastAsia" w:ascii="宋体" w:hAnsi="宋体" w:eastAsia="宋体" w:cs="宋体"/>
          <w:b/>
          <w:sz w:val="36"/>
          <w:szCs w:val="36"/>
          <w:highlight w:val="none"/>
        </w:rPr>
      </w:pPr>
    </w:p>
    <w:p>
      <w:pPr>
        <w:jc w:val="both"/>
        <w:rPr>
          <w:rFonts w:hint="eastAsia" w:ascii="宋体" w:hAnsi="宋体" w:eastAsia="宋体" w:cs="宋体"/>
          <w:b/>
          <w:sz w:val="36"/>
          <w:szCs w:val="36"/>
          <w:highlight w:val="none"/>
        </w:rPr>
      </w:pPr>
    </w:p>
    <w:p>
      <w:pPr>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 xml:space="preserve">                   </w:t>
      </w:r>
    </w:p>
    <w:p>
      <w:pPr>
        <w:jc w:val="center"/>
        <w:rPr>
          <w:rFonts w:hint="eastAsia" w:ascii="宋体" w:hAnsi="宋体" w:eastAsia="宋体" w:cs="宋体"/>
          <w:b/>
          <w:sz w:val="48"/>
          <w:szCs w:val="48"/>
          <w:highlight w:val="none"/>
          <w:lang w:eastAsia="zh-CN"/>
        </w:rPr>
      </w:pPr>
      <w:r>
        <w:rPr>
          <w:rFonts w:hint="eastAsia" w:ascii="宋体" w:hAnsi="宋体" w:cs="宋体"/>
          <w:b/>
          <w:sz w:val="44"/>
          <w:szCs w:val="44"/>
          <w:highlight w:val="none"/>
          <w:lang w:eastAsia="zh-CN"/>
        </w:rPr>
        <w:t>西安市第八十六中学化学吊装实验室项目</w:t>
      </w:r>
    </w:p>
    <w:p>
      <w:pPr>
        <w:pStyle w:val="2"/>
        <w:outlineLvl w:val="9"/>
        <w:rPr>
          <w:rFonts w:hint="eastAsia" w:ascii="宋体" w:hAnsi="宋体" w:eastAsia="宋体" w:cs="宋体"/>
          <w:highlight w:val="none"/>
        </w:rPr>
      </w:pPr>
    </w:p>
    <w:p>
      <w:pPr>
        <w:rPr>
          <w:rFonts w:hint="eastAsia" w:ascii="宋体" w:hAnsi="宋体" w:eastAsia="宋体" w:cs="宋体"/>
          <w:highlight w:val="none"/>
        </w:rPr>
      </w:pPr>
    </w:p>
    <w:p>
      <w:pPr>
        <w:pStyle w:val="2"/>
        <w:outlineLvl w:val="9"/>
        <w:rPr>
          <w:rFonts w:hint="eastAsia" w:ascii="宋体" w:hAnsi="宋体" w:eastAsia="宋体" w:cs="宋体"/>
          <w:highlight w:val="none"/>
        </w:rPr>
      </w:pPr>
    </w:p>
    <w:p>
      <w:pPr>
        <w:pStyle w:val="9"/>
        <w:rPr>
          <w:rFonts w:hint="eastAsia" w:ascii="宋体" w:hAnsi="宋体" w:eastAsia="宋体" w:cs="宋体"/>
          <w:highlight w:val="none"/>
        </w:rPr>
      </w:pPr>
    </w:p>
    <w:p>
      <w:pPr>
        <w:jc w:val="center"/>
        <w:rPr>
          <w:rFonts w:hint="eastAsia" w:ascii="宋体" w:hAnsi="宋体" w:eastAsia="宋体" w:cs="宋体"/>
          <w:b/>
          <w:sz w:val="52"/>
          <w:szCs w:val="52"/>
          <w:highlight w:val="none"/>
        </w:rPr>
      </w:pPr>
      <w:r>
        <w:rPr>
          <w:rFonts w:hint="eastAsia" w:ascii="宋体" w:hAnsi="宋体" w:eastAsia="宋体" w:cs="宋体"/>
          <w:b/>
          <w:sz w:val="52"/>
          <w:szCs w:val="52"/>
          <w:highlight w:val="none"/>
        </w:rPr>
        <w:t>竞争性谈判响应文件</w:t>
      </w:r>
    </w:p>
    <w:p>
      <w:pPr>
        <w:jc w:val="center"/>
        <w:rPr>
          <w:rFonts w:hint="eastAsia" w:ascii="宋体" w:hAnsi="宋体" w:eastAsia="宋体" w:cs="宋体"/>
          <w:b/>
          <w:sz w:val="36"/>
          <w:szCs w:val="36"/>
          <w:highlight w:val="none"/>
        </w:rPr>
      </w:pPr>
    </w:p>
    <w:p>
      <w:pPr>
        <w:jc w:val="center"/>
        <w:rPr>
          <w:rFonts w:hint="eastAsia" w:ascii="宋体" w:hAnsi="宋体" w:eastAsia="宋体" w:cs="宋体"/>
          <w:b/>
          <w:sz w:val="36"/>
          <w:szCs w:val="36"/>
          <w:highlight w:val="none"/>
        </w:rPr>
      </w:pPr>
    </w:p>
    <w:p>
      <w:pPr>
        <w:jc w:val="center"/>
        <w:rPr>
          <w:rFonts w:hint="eastAsia" w:ascii="宋体" w:hAnsi="宋体" w:eastAsia="宋体" w:cs="宋体"/>
          <w:b/>
          <w:sz w:val="36"/>
          <w:szCs w:val="36"/>
          <w:highlight w:val="none"/>
        </w:rPr>
      </w:pPr>
    </w:p>
    <w:p>
      <w:pPr>
        <w:jc w:val="both"/>
        <w:rPr>
          <w:rFonts w:hint="eastAsia" w:ascii="宋体" w:hAnsi="宋体" w:eastAsia="宋体" w:cs="宋体"/>
          <w:b/>
          <w:sz w:val="36"/>
          <w:szCs w:val="36"/>
          <w:highlight w:val="none"/>
        </w:rPr>
      </w:pPr>
    </w:p>
    <w:p>
      <w:pPr>
        <w:rPr>
          <w:rFonts w:hint="eastAsia" w:ascii="宋体" w:hAnsi="宋体" w:eastAsia="宋体" w:cs="宋体"/>
          <w:b/>
          <w:sz w:val="36"/>
          <w:szCs w:val="36"/>
          <w:highlight w:val="none"/>
        </w:rPr>
      </w:pPr>
    </w:p>
    <w:p>
      <w:pPr>
        <w:rPr>
          <w:rFonts w:hint="eastAsia" w:ascii="宋体" w:hAnsi="宋体" w:eastAsia="宋体" w:cs="宋体"/>
          <w:b/>
          <w:sz w:val="36"/>
          <w:szCs w:val="36"/>
          <w:highlight w:val="none"/>
        </w:rPr>
      </w:pPr>
    </w:p>
    <w:p>
      <w:pPr>
        <w:rPr>
          <w:rFonts w:hint="eastAsia" w:ascii="宋体" w:hAnsi="宋体" w:eastAsia="宋体" w:cs="宋体"/>
          <w:b/>
          <w:sz w:val="36"/>
          <w:szCs w:val="36"/>
          <w:highlight w:val="none"/>
        </w:rPr>
      </w:pPr>
    </w:p>
    <w:p>
      <w:pPr>
        <w:rPr>
          <w:rFonts w:hint="eastAsia" w:ascii="宋体" w:hAnsi="宋体" w:eastAsia="宋体" w:cs="宋体"/>
          <w:b/>
          <w:sz w:val="36"/>
          <w:szCs w:val="36"/>
          <w:highlight w:val="none"/>
        </w:rPr>
      </w:pPr>
    </w:p>
    <w:p>
      <w:pPr>
        <w:tabs>
          <w:tab w:val="center" w:pos="5346"/>
        </w:tabs>
        <w:spacing w:line="42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谈判</w:t>
      </w:r>
      <w:r>
        <w:rPr>
          <w:rFonts w:hint="eastAsia" w:ascii="宋体" w:hAnsi="宋体" w:eastAsia="宋体" w:cs="宋体"/>
          <w:b/>
          <w:sz w:val="32"/>
          <w:szCs w:val="32"/>
          <w:highlight w:val="none"/>
          <w:lang w:eastAsia="zh-CN"/>
        </w:rPr>
        <w:t>供应商</w:t>
      </w:r>
      <w:r>
        <w:rPr>
          <w:rFonts w:hint="eastAsia" w:ascii="宋体" w:hAnsi="宋体" w:eastAsia="宋体" w:cs="宋体"/>
          <w:b/>
          <w:sz w:val="32"/>
          <w:szCs w:val="32"/>
          <w:highlight w:val="none"/>
        </w:rPr>
        <w:t>名称</w:t>
      </w:r>
      <w:r>
        <w:rPr>
          <w:rFonts w:hint="eastAsia" w:ascii="宋体" w:hAnsi="宋体" w:eastAsia="宋体" w:cs="宋体"/>
          <w:b/>
          <w:sz w:val="32"/>
          <w:szCs w:val="32"/>
          <w:highlight w:val="none"/>
          <w:lang w:eastAsia="zh-CN"/>
        </w:rPr>
        <w:t>：</w:t>
      </w:r>
      <w:r>
        <w:rPr>
          <w:rFonts w:hint="eastAsia" w:ascii="宋体" w:hAnsi="宋体" w:eastAsia="宋体" w:cs="宋体"/>
          <w:b/>
          <w:sz w:val="32"/>
          <w:szCs w:val="32"/>
          <w:highlight w:val="none"/>
        </w:rPr>
        <w:t>（盖章）</w:t>
      </w:r>
    </w:p>
    <w:p>
      <w:pPr>
        <w:ind w:firstLine="3036" w:firstLineChars="945"/>
        <w:rPr>
          <w:rFonts w:hint="eastAsia" w:ascii="宋体" w:hAnsi="宋体" w:eastAsia="宋体" w:cs="宋体"/>
          <w:b/>
          <w:sz w:val="36"/>
          <w:szCs w:val="36"/>
          <w:highlight w:val="none"/>
          <w:lang w:val="en-US" w:eastAsia="zh-CN"/>
        </w:rPr>
      </w:pPr>
      <w:r>
        <w:rPr>
          <w:rFonts w:hint="eastAsia" w:ascii="宋体" w:hAnsi="宋体" w:eastAsia="宋体" w:cs="宋体"/>
          <w:b/>
          <w:sz w:val="32"/>
          <w:szCs w:val="32"/>
          <w:highlight w:val="none"/>
          <w:lang w:val="en-US" w:eastAsia="zh-CN"/>
        </w:rPr>
        <w:t xml:space="preserve"> </w:t>
      </w:r>
      <w:r>
        <w:rPr>
          <w:rFonts w:hint="eastAsia" w:ascii="宋体" w:hAnsi="宋体" w:eastAsia="宋体" w:cs="宋体"/>
          <w:b/>
          <w:sz w:val="32"/>
          <w:szCs w:val="32"/>
          <w:highlight w:val="none"/>
        </w:rPr>
        <w:t>年   月</w:t>
      </w:r>
      <w:r>
        <w:rPr>
          <w:rFonts w:hint="eastAsia" w:ascii="宋体" w:hAnsi="宋体" w:eastAsia="宋体" w:cs="宋体"/>
          <w:b/>
          <w:sz w:val="32"/>
          <w:szCs w:val="32"/>
          <w:highlight w:val="none"/>
          <w:lang w:val="en-US" w:eastAsia="zh-CN"/>
        </w:rPr>
        <w:t xml:space="preserve">   日</w:t>
      </w:r>
    </w:p>
    <w:p>
      <w:pPr>
        <w:jc w:val="both"/>
        <w:rPr>
          <w:rFonts w:hint="eastAsia" w:ascii="宋体" w:hAnsi="宋体" w:eastAsia="宋体" w:cs="宋体"/>
          <w:b/>
          <w:bCs/>
          <w:spacing w:val="4"/>
          <w:sz w:val="32"/>
          <w:szCs w:val="32"/>
          <w:highlight w:val="none"/>
          <w:lang w:val="en-US" w:eastAsia="zh-CN"/>
        </w:rPr>
      </w:pPr>
      <w:r>
        <w:rPr>
          <w:rFonts w:hint="eastAsia" w:ascii="宋体" w:hAnsi="宋体" w:eastAsia="宋体" w:cs="宋体"/>
          <w:b/>
          <w:bCs/>
          <w:spacing w:val="4"/>
          <w:sz w:val="32"/>
          <w:szCs w:val="32"/>
          <w:highlight w:val="none"/>
          <w:lang w:val="en-US" w:eastAsia="zh-CN"/>
        </w:rPr>
        <w:t xml:space="preserve"> </w:t>
      </w:r>
    </w:p>
    <w:p>
      <w:pPr>
        <w:jc w:val="center"/>
        <w:rPr>
          <w:rFonts w:hint="eastAsia" w:ascii="宋体" w:hAnsi="宋体" w:eastAsia="宋体" w:cs="宋体"/>
          <w:b/>
          <w:bCs/>
          <w:spacing w:val="4"/>
          <w:sz w:val="32"/>
          <w:szCs w:val="32"/>
          <w:highlight w:val="none"/>
        </w:rPr>
      </w:pPr>
    </w:p>
    <w:p>
      <w:pPr>
        <w:pStyle w:val="9"/>
        <w:rPr>
          <w:rFonts w:hint="eastAsia" w:ascii="宋体" w:hAnsi="宋体" w:eastAsia="宋体" w:cs="宋体"/>
          <w:highlight w:val="none"/>
        </w:rPr>
      </w:pPr>
    </w:p>
    <w:p>
      <w:pPr>
        <w:jc w:val="center"/>
        <w:rPr>
          <w:rFonts w:hint="eastAsia" w:ascii="宋体" w:hAnsi="宋体" w:eastAsia="宋体" w:cs="宋体"/>
          <w:b/>
          <w:bCs/>
          <w:spacing w:val="4"/>
          <w:sz w:val="44"/>
          <w:szCs w:val="44"/>
          <w:highlight w:val="none"/>
        </w:rPr>
      </w:pPr>
    </w:p>
    <w:p>
      <w:pPr>
        <w:jc w:val="center"/>
        <w:rPr>
          <w:rFonts w:hint="eastAsia" w:ascii="宋体" w:hAnsi="宋体" w:eastAsia="宋体" w:cs="宋体"/>
          <w:b/>
          <w:bCs/>
          <w:spacing w:val="4"/>
          <w:sz w:val="44"/>
          <w:szCs w:val="44"/>
          <w:highlight w:val="none"/>
        </w:rPr>
      </w:pPr>
      <w:r>
        <w:rPr>
          <w:rFonts w:hint="eastAsia" w:ascii="宋体" w:hAnsi="宋体" w:eastAsia="宋体" w:cs="宋体"/>
          <w:b/>
          <w:bCs/>
          <w:spacing w:val="4"/>
          <w:sz w:val="44"/>
          <w:szCs w:val="44"/>
          <w:highlight w:val="none"/>
        </w:rPr>
        <w:t>目 录</w:t>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eastAsia="zh-CN"/>
        </w:rPr>
        <w:t>一、</w:t>
      </w:r>
      <w:r>
        <w:rPr>
          <w:rFonts w:hint="eastAsia" w:ascii="宋体" w:hAnsi="宋体" w:eastAsia="宋体" w:cs="宋体"/>
          <w:spacing w:val="4"/>
          <w:sz w:val="24"/>
          <w:szCs w:val="24"/>
          <w:highlight w:val="none"/>
        </w:rPr>
        <w:t>谈判响应函</w:t>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eastAsia="zh-CN"/>
        </w:rPr>
        <w:t>二、</w:t>
      </w:r>
      <w:r>
        <w:rPr>
          <w:rFonts w:hint="eastAsia" w:ascii="宋体" w:hAnsi="宋体" w:eastAsia="宋体" w:cs="宋体"/>
          <w:spacing w:val="4"/>
          <w:sz w:val="24"/>
          <w:szCs w:val="24"/>
          <w:highlight w:val="none"/>
        </w:rPr>
        <w:t>谈判报价表 (报价一览表)</w:t>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eastAsia="zh-CN"/>
        </w:rPr>
        <w:t>三、</w:t>
      </w:r>
      <w:r>
        <w:rPr>
          <w:rFonts w:hint="eastAsia" w:ascii="宋体" w:hAnsi="宋体" w:eastAsia="宋体" w:cs="宋体"/>
          <w:sz w:val="24"/>
          <w:szCs w:val="24"/>
          <w:highlight w:val="none"/>
        </w:rPr>
        <w:t>谈判方案说明书</w:t>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四、</w:t>
      </w:r>
      <w:r>
        <w:rPr>
          <w:rFonts w:hint="eastAsia" w:ascii="宋体" w:hAnsi="宋体" w:eastAsia="宋体" w:cs="宋体"/>
          <w:sz w:val="24"/>
          <w:szCs w:val="24"/>
          <w:highlight w:val="none"/>
        </w:rPr>
        <w:t>商务</w:t>
      </w:r>
      <w:r>
        <w:rPr>
          <w:rFonts w:hint="eastAsia" w:ascii="宋体" w:hAnsi="宋体" w:eastAsia="宋体" w:cs="宋体"/>
          <w:sz w:val="24"/>
          <w:szCs w:val="24"/>
          <w:highlight w:val="none"/>
          <w:lang w:eastAsia="zh-CN"/>
        </w:rPr>
        <w:t>条款偏离表</w:t>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五、</w:t>
      </w:r>
      <w:r>
        <w:rPr>
          <w:rFonts w:hint="eastAsia" w:ascii="宋体" w:hAnsi="宋体" w:eastAsia="宋体" w:cs="宋体"/>
          <w:sz w:val="24"/>
          <w:szCs w:val="24"/>
          <w:highlight w:val="none"/>
        </w:rPr>
        <w:t>陕西省政府采购供应商拒绝政府采购领域商业贿赂承诺书</w:t>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六、</w:t>
      </w:r>
      <w:r>
        <w:rPr>
          <w:rFonts w:hint="eastAsia" w:ascii="宋体" w:hAnsi="宋体" w:eastAsia="宋体" w:cs="宋体"/>
          <w:sz w:val="24"/>
          <w:szCs w:val="24"/>
          <w:highlight w:val="none"/>
        </w:rPr>
        <w:t>资格证明文件</w:t>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七、其它资料       </w:t>
      </w:r>
    </w:p>
    <w:p>
      <w:pPr>
        <w:spacing w:line="480" w:lineRule="auto"/>
        <w:ind w:firstLine="1574" w:firstLineChars="635"/>
        <w:rPr>
          <w:rFonts w:hint="eastAsia" w:ascii="宋体" w:hAnsi="宋体" w:eastAsia="宋体" w:cs="宋体"/>
          <w:spacing w:val="4"/>
          <w:sz w:val="24"/>
          <w:szCs w:val="24"/>
          <w:highlight w:val="none"/>
        </w:rPr>
      </w:pPr>
    </w:p>
    <w:p>
      <w:pPr>
        <w:spacing w:line="480" w:lineRule="auto"/>
        <w:ind w:left="105"/>
        <w:rPr>
          <w:rFonts w:hint="eastAsia" w:ascii="宋体" w:hAnsi="宋体" w:eastAsia="宋体" w:cs="宋体"/>
          <w:spacing w:val="4"/>
          <w:sz w:val="24"/>
          <w:szCs w:val="24"/>
          <w:highlight w:val="none"/>
        </w:rPr>
      </w:pPr>
    </w:p>
    <w:p>
      <w:pPr>
        <w:spacing w:line="440" w:lineRule="exact"/>
        <w:jc w:val="center"/>
        <w:rPr>
          <w:rFonts w:hint="eastAsia" w:ascii="宋体" w:hAnsi="宋体" w:eastAsia="宋体" w:cs="宋体"/>
          <w:b/>
          <w:spacing w:val="4"/>
          <w:sz w:val="32"/>
          <w:szCs w:val="32"/>
          <w:highlight w:val="none"/>
        </w:rPr>
      </w:pPr>
    </w:p>
    <w:p>
      <w:pPr>
        <w:spacing w:line="440" w:lineRule="exact"/>
        <w:jc w:val="center"/>
        <w:rPr>
          <w:rFonts w:hint="eastAsia" w:ascii="宋体" w:hAnsi="宋体" w:eastAsia="宋体" w:cs="宋体"/>
          <w:b/>
          <w:spacing w:val="4"/>
          <w:sz w:val="32"/>
          <w:szCs w:val="32"/>
          <w:highlight w:val="none"/>
        </w:rPr>
      </w:pPr>
    </w:p>
    <w:p>
      <w:pPr>
        <w:spacing w:line="440" w:lineRule="exact"/>
        <w:jc w:val="center"/>
        <w:rPr>
          <w:rFonts w:hint="eastAsia" w:ascii="宋体" w:hAnsi="宋体" w:eastAsia="宋体" w:cs="宋体"/>
          <w:b/>
          <w:spacing w:val="4"/>
          <w:sz w:val="32"/>
          <w:szCs w:val="32"/>
          <w:highlight w:val="none"/>
        </w:rPr>
      </w:pPr>
    </w:p>
    <w:p>
      <w:pPr>
        <w:spacing w:line="440" w:lineRule="exact"/>
        <w:jc w:val="center"/>
        <w:rPr>
          <w:rFonts w:hint="eastAsia" w:ascii="宋体" w:hAnsi="宋体" w:eastAsia="宋体" w:cs="宋体"/>
          <w:b/>
          <w:spacing w:val="4"/>
          <w:sz w:val="32"/>
          <w:szCs w:val="32"/>
          <w:highlight w:val="none"/>
        </w:rPr>
      </w:pPr>
    </w:p>
    <w:p>
      <w:pPr>
        <w:pStyle w:val="9"/>
        <w:rPr>
          <w:rFonts w:hint="eastAsia" w:ascii="宋体" w:hAnsi="宋体" w:eastAsia="宋体" w:cs="宋体"/>
          <w:b/>
          <w:spacing w:val="4"/>
          <w:sz w:val="32"/>
          <w:szCs w:val="32"/>
          <w:highlight w:val="none"/>
        </w:rPr>
      </w:pPr>
    </w:p>
    <w:p>
      <w:pPr>
        <w:pStyle w:val="9"/>
        <w:rPr>
          <w:rFonts w:hint="eastAsia" w:ascii="宋体" w:hAnsi="宋体" w:eastAsia="宋体" w:cs="宋体"/>
          <w:b/>
          <w:spacing w:val="4"/>
          <w:sz w:val="32"/>
          <w:szCs w:val="32"/>
          <w:highlight w:val="none"/>
        </w:rPr>
      </w:pPr>
    </w:p>
    <w:p>
      <w:pPr>
        <w:pStyle w:val="9"/>
        <w:rPr>
          <w:rFonts w:hint="eastAsia" w:ascii="宋体" w:hAnsi="宋体" w:eastAsia="宋体" w:cs="宋体"/>
          <w:b/>
          <w:spacing w:val="4"/>
          <w:sz w:val="32"/>
          <w:szCs w:val="32"/>
          <w:highlight w:val="none"/>
        </w:rPr>
      </w:pPr>
    </w:p>
    <w:p>
      <w:pPr>
        <w:rPr>
          <w:rFonts w:hint="eastAsia" w:ascii="宋体" w:hAnsi="宋体" w:eastAsia="宋体" w:cs="宋体"/>
          <w:b/>
          <w:spacing w:val="4"/>
          <w:sz w:val="32"/>
          <w:szCs w:val="32"/>
          <w:highlight w:val="none"/>
        </w:rPr>
      </w:pPr>
    </w:p>
    <w:p>
      <w:pPr>
        <w:pStyle w:val="2"/>
        <w:rPr>
          <w:rFonts w:hint="eastAsia" w:ascii="宋体" w:hAnsi="宋体" w:eastAsia="宋体" w:cs="宋体"/>
          <w:b/>
          <w:spacing w:val="4"/>
          <w:sz w:val="32"/>
          <w:szCs w:val="32"/>
          <w:highlight w:val="none"/>
        </w:rPr>
      </w:pPr>
    </w:p>
    <w:p>
      <w:pPr>
        <w:rPr>
          <w:rFonts w:hint="eastAsia"/>
          <w:highlight w:val="none"/>
        </w:rPr>
      </w:pPr>
    </w:p>
    <w:p>
      <w:pPr>
        <w:spacing w:line="440" w:lineRule="exact"/>
        <w:jc w:val="center"/>
        <w:rPr>
          <w:rFonts w:hint="eastAsia" w:ascii="宋体" w:hAnsi="宋体" w:eastAsia="宋体" w:cs="宋体"/>
          <w:b/>
          <w:spacing w:val="4"/>
          <w:sz w:val="32"/>
          <w:szCs w:val="32"/>
          <w:highlight w:val="none"/>
        </w:rPr>
      </w:pPr>
    </w:p>
    <w:p>
      <w:pPr>
        <w:spacing w:line="440" w:lineRule="exact"/>
        <w:jc w:val="center"/>
        <w:rPr>
          <w:rFonts w:hint="eastAsia" w:ascii="宋体" w:hAnsi="宋体" w:eastAsia="宋体" w:cs="宋体"/>
          <w:b/>
          <w:spacing w:val="4"/>
          <w:sz w:val="32"/>
          <w:szCs w:val="32"/>
          <w:highlight w:val="none"/>
        </w:rPr>
      </w:pPr>
    </w:p>
    <w:p>
      <w:pPr>
        <w:spacing w:line="440" w:lineRule="exact"/>
        <w:jc w:val="center"/>
        <w:rPr>
          <w:rFonts w:hint="eastAsia" w:ascii="宋体" w:hAnsi="宋体" w:eastAsia="宋体" w:cs="宋体"/>
          <w:b/>
          <w:spacing w:val="4"/>
          <w:sz w:val="32"/>
          <w:szCs w:val="32"/>
          <w:highlight w:val="none"/>
        </w:rPr>
      </w:pPr>
      <w:r>
        <w:rPr>
          <w:rFonts w:hint="eastAsia" w:ascii="宋体" w:hAnsi="宋体" w:eastAsia="宋体" w:cs="宋体"/>
          <w:b/>
          <w:spacing w:val="4"/>
          <w:sz w:val="32"/>
          <w:szCs w:val="32"/>
          <w:highlight w:val="none"/>
        </w:rPr>
        <w:t>一、谈判响应函</w:t>
      </w:r>
    </w:p>
    <w:p>
      <w:pPr>
        <w:spacing w:line="440" w:lineRule="exact"/>
        <w:jc w:val="left"/>
        <w:rPr>
          <w:rFonts w:hint="eastAsia" w:ascii="宋体" w:hAnsi="宋体" w:eastAsia="宋体" w:cs="宋体"/>
          <w:spacing w:val="4"/>
          <w:sz w:val="24"/>
          <w:highlight w:val="none"/>
        </w:rPr>
      </w:pPr>
    </w:p>
    <w:p>
      <w:pPr>
        <w:spacing w:line="440" w:lineRule="exact"/>
        <w:jc w:val="left"/>
        <w:rPr>
          <w:rFonts w:hint="eastAsia" w:ascii="宋体" w:hAnsi="宋体" w:eastAsia="宋体" w:cs="宋体"/>
          <w:spacing w:val="4"/>
          <w:sz w:val="24"/>
          <w:highlight w:val="none"/>
          <w:u w:val="single"/>
          <w:lang w:eastAsia="zh-CN"/>
        </w:rPr>
      </w:pPr>
      <w:r>
        <w:rPr>
          <w:rFonts w:hint="eastAsia" w:ascii="宋体" w:hAnsi="宋体" w:eastAsia="宋体" w:cs="宋体"/>
          <w:spacing w:val="4"/>
          <w:sz w:val="24"/>
          <w:highlight w:val="none"/>
        </w:rPr>
        <w:t>致：</w:t>
      </w:r>
      <w:r>
        <w:rPr>
          <w:rFonts w:hint="eastAsia" w:ascii="宋体" w:hAnsi="宋体" w:eastAsia="宋体" w:cs="宋体"/>
          <w:spacing w:val="4"/>
          <w:sz w:val="24"/>
          <w:highlight w:val="none"/>
          <w:u w:val="single"/>
          <w:lang w:eastAsia="zh-CN"/>
        </w:rPr>
        <w:t>采购人名称</w:t>
      </w:r>
      <w:r>
        <w:rPr>
          <w:rFonts w:hint="eastAsia" w:ascii="宋体" w:hAnsi="宋体" w:eastAsia="宋体" w:cs="宋体"/>
          <w:spacing w:val="4"/>
          <w:sz w:val="24"/>
          <w:highlight w:val="none"/>
          <w:u w:val="single"/>
          <w:lang w:val="en-US" w:eastAsia="zh-CN"/>
        </w:rPr>
        <w:t>/陕西嘉唐建设项目管理有限公司</w:t>
      </w:r>
    </w:p>
    <w:p>
      <w:pPr>
        <w:spacing w:line="440" w:lineRule="exact"/>
        <w:jc w:val="left"/>
        <w:rPr>
          <w:rFonts w:hint="eastAsia" w:ascii="宋体" w:hAnsi="宋体" w:eastAsia="宋体" w:cs="宋体"/>
          <w:spacing w:val="4"/>
          <w:sz w:val="24"/>
          <w:highlight w:val="none"/>
          <w:u w:val="single"/>
        </w:rPr>
      </w:pPr>
    </w:p>
    <w:p>
      <w:pPr>
        <w:spacing w:line="440" w:lineRule="exact"/>
        <w:ind w:firstLine="496" w:firstLineChars="200"/>
        <w:rPr>
          <w:rFonts w:hint="eastAsia" w:ascii="宋体" w:hAnsi="宋体" w:eastAsia="宋体" w:cs="宋体"/>
          <w:spacing w:val="4"/>
          <w:sz w:val="24"/>
          <w:highlight w:val="none"/>
        </w:rPr>
      </w:pPr>
      <w:r>
        <w:rPr>
          <w:rFonts w:hint="eastAsia" w:ascii="宋体" w:hAnsi="宋体" w:eastAsia="宋体" w:cs="宋体"/>
          <w:spacing w:val="4"/>
          <w:sz w:val="24"/>
          <w:highlight w:val="none"/>
        </w:rPr>
        <w:t xml:space="preserve">根据贵方“ </w:t>
      </w:r>
      <w:r>
        <w:rPr>
          <w:rFonts w:hint="eastAsia" w:ascii="宋体" w:hAnsi="宋体" w:eastAsia="宋体" w:cs="宋体"/>
          <w:spacing w:val="4"/>
          <w:sz w:val="24"/>
          <w:highlight w:val="none"/>
          <w:u w:val="single"/>
        </w:rPr>
        <w:t xml:space="preserve">  </w:t>
      </w:r>
      <w:r>
        <w:rPr>
          <w:rFonts w:hint="eastAsia" w:ascii="宋体" w:hAnsi="宋体" w:eastAsia="宋体" w:cs="宋体"/>
          <w:color w:val="auto"/>
          <w:spacing w:val="4"/>
          <w:sz w:val="24"/>
          <w:highlight w:val="none"/>
          <w:u w:val="single"/>
        </w:rPr>
        <w:t xml:space="preserve">                   </w:t>
      </w:r>
      <w:r>
        <w:rPr>
          <w:rFonts w:hint="eastAsia" w:ascii="宋体" w:hAnsi="宋体" w:eastAsia="宋体" w:cs="宋体"/>
          <w:color w:val="auto"/>
          <w:spacing w:val="4"/>
          <w:sz w:val="24"/>
          <w:highlight w:val="none"/>
        </w:rPr>
        <w:t>”项目的谈判邀请</w:t>
      </w:r>
      <w:r>
        <w:rPr>
          <w:rFonts w:hint="eastAsia" w:ascii="宋体" w:hAnsi="宋体" w:eastAsia="宋体" w:cs="宋体"/>
          <w:color w:val="auto"/>
          <w:spacing w:val="4"/>
          <w:sz w:val="24"/>
          <w:highlight w:val="none"/>
          <w:u w:val="single"/>
        </w:rPr>
        <w:t>(项目编号：            )</w:t>
      </w:r>
      <w:r>
        <w:rPr>
          <w:rFonts w:hint="eastAsia" w:ascii="宋体" w:hAnsi="宋体" w:eastAsia="宋体" w:cs="宋体"/>
          <w:color w:val="auto"/>
          <w:spacing w:val="4"/>
          <w:sz w:val="24"/>
          <w:highlight w:val="none"/>
        </w:rPr>
        <w:t>，签字代表</w:t>
      </w:r>
      <w:r>
        <w:rPr>
          <w:rFonts w:hint="eastAsia" w:ascii="宋体" w:hAnsi="宋体" w:eastAsia="宋体" w:cs="宋体"/>
          <w:color w:val="auto"/>
          <w:spacing w:val="4"/>
          <w:sz w:val="24"/>
          <w:highlight w:val="none"/>
          <w:u w:val="single"/>
        </w:rPr>
        <w:t>（全名、职务）</w:t>
      </w:r>
      <w:r>
        <w:rPr>
          <w:rFonts w:hint="eastAsia" w:ascii="宋体" w:hAnsi="宋体" w:eastAsia="宋体" w:cs="宋体"/>
          <w:color w:val="auto"/>
          <w:spacing w:val="4"/>
          <w:sz w:val="24"/>
          <w:highlight w:val="none"/>
        </w:rPr>
        <w:t>经正式授权并代表谈判</w:t>
      </w:r>
      <w:r>
        <w:rPr>
          <w:rFonts w:hint="eastAsia" w:ascii="宋体" w:hAnsi="宋体" w:eastAsia="宋体" w:cs="宋体"/>
          <w:color w:val="auto"/>
          <w:spacing w:val="4"/>
          <w:sz w:val="24"/>
          <w:highlight w:val="none"/>
          <w:lang w:eastAsia="zh-CN"/>
        </w:rPr>
        <w:t>供应商</w:t>
      </w:r>
      <w:r>
        <w:rPr>
          <w:rFonts w:hint="eastAsia" w:ascii="宋体" w:hAnsi="宋体" w:eastAsia="宋体" w:cs="宋体"/>
          <w:color w:val="auto"/>
          <w:spacing w:val="4"/>
          <w:sz w:val="24"/>
          <w:highlight w:val="none"/>
          <w:u w:val="single"/>
        </w:rPr>
        <w:t>(谈判</w:t>
      </w:r>
      <w:r>
        <w:rPr>
          <w:rFonts w:hint="eastAsia" w:ascii="宋体" w:hAnsi="宋体" w:eastAsia="宋体" w:cs="宋体"/>
          <w:color w:val="auto"/>
          <w:spacing w:val="4"/>
          <w:sz w:val="24"/>
          <w:highlight w:val="none"/>
          <w:u w:val="single"/>
          <w:lang w:eastAsia="zh-CN"/>
        </w:rPr>
        <w:t>供应商</w:t>
      </w:r>
      <w:r>
        <w:rPr>
          <w:rFonts w:hint="eastAsia" w:ascii="宋体" w:hAnsi="宋体" w:eastAsia="宋体" w:cs="宋体"/>
          <w:color w:val="auto"/>
          <w:spacing w:val="4"/>
          <w:sz w:val="24"/>
          <w:highlight w:val="none"/>
          <w:u w:val="single"/>
        </w:rPr>
        <w:t>名称、地址)</w:t>
      </w:r>
      <w:r>
        <w:rPr>
          <w:rFonts w:hint="eastAsia" w:ascii="宋体" w:hAnsi="宋体" w:eastAsia="宋体" w:cs="宋体"/>
          <w:color w:val="auto"/>
          <w:spacing w:val="4"/>
          <w:sz w:val="24"/>
          <w:highlight w:val="none"/>
        </w:rPr>
        <w:t xml:space="preserve"> 提交竞争性谈判响应文件正本一份、副本一式</w:t>
      </w:r>
      <w:r>
        <w:rPr>
          <w:rFonts w:hint="eastAsia" w:ascii="宋体" w:hAnsi="宋体" w:eastAsia="宋体" w:cs="宋体"/>
          <w:color w:val="auto"/>
          <w:spacing w:val="4"/>
          <w:sz w:val="24"/>
          <w:highlight w:val="none"/>
          <w:u w:val="single"/>
          <w:lang w:val="en-US" w:eastAsia="zh-CN"/>
        </w:rPr>
        <w:t xml:space="preserve">    </w:t>
      </w:r>
      <w:r>
        <w:rPr>
          <w:rFonts w:hint="eastAsia" w:ascii="宋体" w:hAnsi="宋体" w:eastAsia="宋体" w:cs="宋体"/>
          <w:color w:val="auto"/>
          <w:spacing w:val="4"/>
          <w:sz w:val="24"/>
          <w:highlight w:val="none"/>
        </w:rPr>
        <w:t>份</w:t>
      </w:r>
      <w:r>
        <w:rPr>
          <w:rFonts w:hint="eastAsia" w:ascii="宋体" w:hAnsi="宋体" w:eastAsia="宋体" w:cs="宋体"/>
          <w:color w:val="auto"/>
          <w:spacing w:val="4"/>
          <w:sz w:val="24"/>
          <w:highlight w:val="none"/>
          <w:lang w:eastAsia="zh-CN"/>
        </w:rPr>
        <w:t>，电子版</w:t>
      </w:r>
      <w:r>
        <w:rPr>
          <w:rFonts w:hint="eastAsia" w:ascii="宋体" w:hAnsi="宋体" w:eastAsia="宋体" w:cs="宋体"/>
          <w:color w:val="auto"/>
          <w:spacing w:val="4"/>
          <w:sz w:val="24"/>
          <w:highlight w:val="none"/>
          <w:u w:val="single"/>
          <w:lang w:val="en-US" w:eastAsia="zh-CN"/>
        </w:rPr>
        <w:t xml:space="preserve">    </w:t>
      </w:r>
      <w:r>
        <w:rPr>
          <w:rFonts w:hint="eastAsia" w:ascii="宋体" w:hAnsi="宋体" w:eastAsia="宋体" w:cs="宋体"/>
          <w:color w:val="auto"/>
          <w:spacing w:val="4"/>
          <w:sz w:val="24"/>
          <w:highlight w:val="none"/>
          <w:u w:val="none"/>
          <w:lang w:val="en-US" w:eastAsia="zh-CN"/>
        </w:rPr>
        <w:t>份，</w:t>
      </w:r>
      <w:r>
        <w:rPr>
          <w:rFonts w:hint="eastAsia" w:ascii="宋体" w:hAnsi="宋体" w:eastAsia="宋体" w:cs="宋体"/>
          <w:color w:val="auto"/>
          <w:spacing w:val="4"/>
          <w:sz w:val="24"/>
          <w:highlight w:val="none"/>
          <w:lang w:eastAsia="zh-CN"/>
        </w:rPr>
        <w:t>报价一览表</w:t>
      </w:r>
      <w:r>
        <w:rPr>
          <w:rFonts w:hint="eastAsia" w:ascii="宋体" w:hAnsi="宋体" w:eastAsia="宋体" w:cs="宋体"/>
          <w:color w:val="auto"/>
          <w:spacing w:val="4"/>
          <w:sz w:val="24"/>
          <w:highlight w:val="none"/>
          <w:u w:val="single"/>
          <w:lang w:val="en-US" w:eastAsia="zh-CN"/>
        </w:rPr>
        <w:t xml:space="preserve">    </w:t>
      </w:r>
      <w:r>
        <w:rPr>
          <w:rFonts w:hint="eastAsia" w:ascii="宋体" w:hAnsi="宋体" w:eastAsia="宋体" w:cs="宋体"/>
          <w:color w:val="auto"/>
          <w:spacing w:val="4"/>
          <w:sz w:val="24"/>
          <w:highlight w:val="none"/>
          <w:lang w:val="en-US" w:eastAsia="zh-CN"/>
        </w:rPr>
        <w:t>份</w:t>
      </w:r>
      <w:r>
        <w:rPr>
          <w:rFonts w:hint="eastAsia" w:ascii="宋体" w:hAnsi="宋体" w:eastAsia="宋体" w:cs="宋体"/>
          <w:color w:val="auto"/>
          <w:spacing w:val="4"/>
          <w:sz w:val="24"/>
          <w:highlight w:val="none"/>
        </w:rPr>
        <w:t>。</w:t>
      </w:r>
    </w:p>
    <w:p>
      <w:pPr>
        <w:spacing w:line="440" w:lineRule="exact"/>
        <w:ind w:left="549" w:leftChars="251" w:hanging="22" w:hangingChars="9"/>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我方承诺如下：</w:t>
      </w:r>
    </w:p>
    <w:p>
      <w:pPr>
        <w:numPr>
          <w:ilvl w:val="0"/>
          <w:numId w:val="6"/>
        </w:numPr>
        <w:tabs>
          <w:tab w:val="left" w:pos="2160"/>
        </w:tabs>
        <w:spacing w:line="440" w:lineRule="exact"/>
        <w:ind w:left="0" w:firstLine="0"/>
        <w:jc w:val="left"/>
        <w:rPr>
          <w:rFonts w:hint="eastAsia" w:ascii="宋体" w:hAnsi="宋体" w:eastAsia="宋体" w:cs="宋体"/>
          <w:spacing w:val="4"/>
          <w:sz w:val="24"/>
          <w:szCs w:val="24"/>
          <w:highlight w:val="none"/>
        </w:rPr>
      </w:pPr>
      <w:r>
        <w:rPr>
          <w:rFonts w:hint="eastAsia" w:ascii="宋体" w:hAnsi="宋体" w:eastAsia="宋体" w:cs="宋体"/>
          <w:spacing w:val="4"/>
          <w:sz w:val="24"/>
          <w:highlight w:val="none"/>
        </w:rPr>
        <w:t>谈判</w:t>
      </w:r>
      <w:r>
        <w:rPr>
          <w:rFonts w:hint="eastAsia" w:ascii="宋体" w:hAnsi="宋体" w:eastAsia="宋体" w:cs="宋体"/>
          <w:spacing w:val="4"/>
          <w:sz w:val="24"/>
          <w:szCs w:val="24"/>
          <w:highlight w:val="none"/>
        </w:rPr>
        <w:t>报价为</w:t>
      </w:r>
      <w:r>
        <w:rPr>
          <w:rFonts w:hint="eastAsia" w:ascii="宋体" w:hAnsi="宋体" w:eastAsia="宋体" w:cs="宋体"/>
          <w:spacing w:val="4"/>
          <w:sz w:val="24"/>
          <w:szCs w:val="24"/>
          <w:highlight w:val="none"/>
          <w:lang w:eastAsia="zh-CN"/>
        </w:rPr>
        <w:t>小写：</w:t>
      </w:r>
      <w:r>
        <w:rPr>
          <w:rFonts w:hint="eastAsia" w:ascii="宋体" w:hAnsi="宋体" w:eastAsia="宋体" w:cs="宋体"/>
          <w:spacing w:val="4"/>
          <w:sz w:val="24"/>
          <w:szCs w:val="24"/>
          <w:highlight w:val="none"/>
        </w:rPr>
        <w:t xml:space="preserve"> </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w:t>
      </w:r>
      <w:r>
        <w:rPr>
          <w:rFonts w:hint="eastAsia" w:ascii="宋体" w:hAnsi="宋体" w:eastAsia="宋体" w:cs="宋体"/>
          <w:spacing w:val="4"/>
          <w:sz w:val="24"/>
          <w:szCs w:val="24"/>
          <w:highlight w:val="none"/>
          <w:lang w:eastAsia="zh-CN"/>
        </w:rPr>
        <w:t>大写：</w:t>
      </w:r>
      <w:r>
        <w:rPr>
          <w:rFonts w:hint="eastAsia" w:ascii="宋体" w:hAnsi="宋体" w:eastAsia="宋体" w:cs="宋体"/>
          <w:spacing w:val="4"/>
          <w:sz w:val="24"/>
          <w:szCs w:val="24"/>
          <w:highlight w:val="none"/>
          <w:u w:val="single"/>
          <w:lang w:val="en-US" w:eastAsia="zh-CN"/>
        </w:rPr>
        <w:t xml:space="preserve">         </w:t>
      </w:r>
      <w:r>
        <w:rPr>
          <w:rFonts w:hint="eastAsia" w:ascii="宋体" w:hAnsi="宋体" w:eastAsia="宋体" w:cs="宋体"/>
          <w:spacing w:val="4"/>
          <w:sz w:val="24"/>
          <w:szCs w:val="24"/>
          <w:highlight w:val="none"/>
        </w:rPr>
        <w:t>）。</w:t>
      </w:r>
    </w:p>
    <w:p>
      <w:pPr>
        <w:numPr>
          <w:ilvl w:val="0"/>
          <w:numId w:val="6"/>
        </w:numPr>
        <w:tabs>
          <w:tab w:val="left" w:pos="2160"/>
        </w:tabs>
        <w:spacing w:line="440" w:lineRule="exact"/>
        <w:ind w:left="0" w:firstLine="0"/>
        <w:jc w:val="left"/>
        <w:rPr>
          <w:rFonts w:hint="eastAsia" w:ascii="宋体" w:hAnsi="宋体" w:eastAsia="宋体" w:cs="宋体"/>
          <w:spacing w:val="4"/>
          <w:sz w:val="24"/>
          <w:highlight w:val="none"/>
        </w:rPr>
      </w:pPr>
      <w:r>
        <w:rPr>
          <w:rFonts w:hint="eastAsia" w:ascii="宋体" w:hAnsi="宋体" w:eastAsia="宋体" w:cs="宋体"/>
          <w:spacing w:val="4"/>
          <w:sz w:val="24"/>
          <w:szCs w:val="24"/>
          <w:highlight w:val="none"/>
        </w:rPr>
        <w:t>如果成交，我们根据竞争性谈判文件的规定，履行合同的责任和义务</w:t>
      </w:r>
      <w:r>
        <w:rPr>
          <w:rFonts w:hint="eastAsia" w:ascii="宋体" w:hAnsi="宋体" w:eastAsia="宋体" w:cs="宋体"/>
          <w:spacing w:val="4"/>
          <w:sz w:val="24"/>
          <w:highlight w:val="none"/>
        </w:rPr>
        <w:t>。</w:t>
      </w:r>
    </w:p>
    <w:p>
      <w:pPr>
        <w:numPr>
          <w:ilvl w:val="0"/>
          <w:numId w:val="6"/>
        </w:numPr>
        <w:tabs>
          <w:tab w:val="left" w:pos="2160"/>
        </w:tabs>
        <w:spacing w:line="440" w:lineRule="exact"/>
        <w:ind w:left="0" w:firstLine="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我们已详细阅读和审核全部竞争性谈判文件（含修改部分，如有的话），及有关附件，我们知道必须放弃提出含糊不清或误解的问题的权利。</w:t>
      </w:r>
    </w:p>
    <w:p>
      <w:pPr>
        <w:numPr>
          <w:ilvl w:val="0"/>
          <w:numId w:val="6"/>
        </w:numPr>
        <w:tabs>
          <w:tab w:val="left" w:pos="2160"/>
        </w:tabs>
        <w:spacing w:line="440" w:lineRule="exact"/>
        <w:ind w:left="0" w:firstLine="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我们同意在谈判有效期内（自谈判之日起</w:t>
      </w:r>
      <w:r>
        <w:rPr>
          <w:rFonts w:hint="eastAsia" w:ascii="宋体" w:hAnsi="宋体" w:eastAsia="宋体" w:cs="宋体"/>
          <w:spacing w:val="4"/>
          <w:sz w:val="24"/>
          <w:highlight w:val="none"/>
          <w:u w:val="single"/>
        </w:rPr>
        <w:t xml:space="preserve"> </w:t>
      </w:r>
      <w:r>
        <w:rPr>
          <w:rFonts w:hint="eastAsia" w:ascii="宋体" w:hAnsi="宋体" w:eastAsia="宋体" w:cs="宋体"/>
          <w:spacing w:val="4"/>
          <w:sz w:val="24"/>
          <w:highlight w:val="none"/>
          <w:u w:val="single"/>
          <w:lang w:val="en-US" w:eastAsia="zh-CN"/>
        </w:rPr>
        <w:t xml:space="preserve">  </w:t>
      </w:r>
      <w:r>
        <w:rPr>
          <w:rFonts w:hint="eastAsia" w:ascii="宋体" w:hAnsi="宋体" w:eastAsia="宋体" w:cs="宋体"/>
          <w:spacing w:val="4"/>
          <w:sz w:val="24"/>
          <w:highlight w:val="none"/>
          <w:u w:val="single"/>
        </w:rPr>
        <w:t xml:space="preserve"> </w:t>
      </w:r>
      <w:r>
        <w:rPr>
          <w:rFonts w:hint="eastAsia" w:ascii="宋体" w:hAnsi="宋体" w:eastAsia="宋体" w:cs="宋体"/>
          <w:spacing w:val="4"/>
          <w:sz w:val="24"/>
          <w:highlight w:val="none"/>
        </w:rPr>
        <w:t>天），本谈判响应函对我方具有约束力。</w:t>
      </w:r>
    </w:p>
    <w:p>
      <w:pPr>
        <w:numPr>
          <w:ilvl w:val="0"/>
          <w:numId w:val="6"/>
        </w:numPr>
        <w:tabs>
          <w:tab w:val="left" w:pos="2160"/>
        </w:tabs>
        <w:spacing w:line="440" w:lineRule="exact"/>
        <w:ind w:left="0" w:firstLine="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 xml:space="preserve">同意提供贵方可能另外要求的与本谈判有关的任何证据和资料。 </w:t>
      </w:r>
    </w:p>
    <w:p>
      <w:pPr>
        <w:numPr>
          <w:ilvl w:val="0"/>
          <w:numId w:val="6"/>
        </w:numPr>
        <w:tabs>
          <w:tab w:val="left" w:pos="2160"/>
        </w:tabs>
        <w:spacing w:line="440" w:lineRule="exact"/>
        <w:ind w:left="0" w:firstLine="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我们同意，如果成交，向</w:t>
      </w:r>
      <w:r>
        <w:rPr>
          <w:rFonts w:hint="eastAsia" w:ascii="宋体" w:hAnsi="宋体" w:eastAsia="宋体" w:cs="宋体"/>
          <w:sz w:val="24"/>
          <w:szCs w:val="24"/>
          <w:highlight w:val="none"/>
        </w:rPr>
        <w:t>陕西嘉唐建设项目管理有限公司</w:t>
      </w:r>
      <w:r>
        <w:rPr>
          <w:rFonts w:hint="eastAsia" w:ascii="宋体" w:hAnsi="宋体" w:eastAsia="宋体" w:cs="宋体"/>
          <w:spacing w:val="4"/>
          <w:sz w:val="24"/>
          <w:highlight w:val="none"/>
        </w:rPr>
        <w:t>交纳</w:t>
      </w:r>
      <w:r>
        <w:rPr>
          <w:rFonts w:hint="eastAsia" w:ascii="宋体" w:hAnsi="宋体" w:eastAsia="宋体" w:cs="宋体"/>
          <w:spacing w:val="4"/>
          <w:sz w:val="24"/>
          <w:highlight w:val="none"/>
          <w:lang w:eastAsia="zh-CN"/>
        </w:rPr>
        <w:t>招标代理服务费</w:t>
      </w:r>
      <w:r>
        <w:rPr>
          <w:rFonts w:hint="eastAsia" w:ascii="宋体" w:hAnsi="宋体" w:eastAsia="宋体" w:cs="宋体"/>
          <w:spacing w:val="4"/>
          <w:sz w:val="24"/>
          <w:highlight w:val="none"/>
        </w:rPr>
        <w:t>。</w:t>
      </w:r>
    </w:p>
    <w:p>
      <w:pPr>
        <w:numPr>
          <w:ilvl w:val="0"/>
          <w:numId w:val="6"/>
        </w:numPr>
        <w:tabs>
          <w:tab w:val="left" w:pos="2160"/>
        </w:tabs>
        <w:spacing w:line="440" w:lineRule="exact"/>
        <w:ind w:left="0" w:firstLine="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与本谈判有关的一切正式往来通讯为：</w:t>
      </w:r>
    </w:p>
    <w:p>
      <w:pPr>
        <w:spacing w:line="440" w:lineRule="exact"/>
        <w:ind w:firstLine="1240" w:firstLineChars="50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联系地址：</w:t>
      </w:r>
    </w:p>
    <w:p>
      <w:pPr>
        <w:spacing w:line="440" w:lineRule="exact"/>
        <w:ind w:firstLine="1240" w:firstLineChars="50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邮政编码：</w:t>
      </w:r>
    </w:p>
    <w:p>
      <w:pPr>
        <w:spacing w:line="440" w:lineRule="exact"/>
        <w:ind w:firstLine="1240" w:firstLineChars="50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电    话：</w:t>
      </w:r>
    </w:p>
    <w:p>
      <w:pPr>
        <w:spacing w:line="440" w:lineRule="exact"/>
        <w:ind w:firstLine="1240" w:firstLineChars="50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传    真：</w:t>
      </w:r>
    </w:p>
    <w:p>
      <w:pPr>
        <w:spacing w:line="440" w:lineRule="exact"/>
        <w:ind w:firstLine="1240" w:firstLineChars="50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谈判</w:t>
      </w:r>
      <w:r>
        <w:rPr>
          <w:rFonts w:hint="eastAsia" w:ascii="宋体" w:hAnsi="宋体" w:eastAsia="宋体" w:cs="宋体"/>
          <w:spacing w:val="4"/>
          <w:sz w:val="24"/>
          <w:highlight w:val="none"/>
          <w:lang w:eastAsia="zh-CN"/>
        </w:rPr>
        <w:t>供应商</w:t>
      </w:r>
      <w:r>
        <w:rPr>
          <w:rFonts w:hint="eastAsia" w:ascii="宋体" w:hAnsi="宋体" w:eastAsia="宋体" w:cs="宋体"/>
          <w:spacing w:val="4"/>
          <w:sz w:val="24"/>
          <w:highlight w:val="none"/>
        </w:rPr>
        <w:t>名称（盖章）：</w:t>
      </w:r>
    </w:p>
    <w:p>
      <w:pPr>
        <w:spacing w:line="440" w:lineRule="exact"/>
        <w:ind w:firstLine="1240" w:firstLineChars="500"/>
        <w:jc w:val="left"/>
        <w:rPr>
          <w:rFonts w:hint="eastAsia" w:ascii="宋体" w:hAnsi="宋体" w:eastAsia="宋体" w:cs="宋体"/>
          <w:spacing w:val="4"/>
          <w:sz w:val="24"/>
          <w:highlight w:val="none"/>
        </w:rPr>
      </w:pPr>
      <w:r>
        <w:rPr>
          <w:rFonts w:hint="eastAsia" w:ascii="宋体" w:hAnsi="宋体" w:eastAsia="宋体" w:cs="宋体"/>
          <w:spacing w:val="4"/>
          <w:sz w:val="24"/>
          <w:highlight w:val="none"/>
          <w:lang w:eastAsia="zh-CN"/>
        </w:rPr>
        <w:t>法定代表人</w:t>
      </w:r>
      <w:r>
        <w:rPr>
          <w:rFonts w:hint="eastAsia" w:ascii="宋体" w:hAnsi="宋体" w:eastAsia="宋体" w:cs="宋体"/>
          <w:spacing w:val="4"/>
          <w:sz w:val="24"/>
          <w:highlight w:val="none"/>
          <w:lang w:val="en-US" w:eastAsia="zh-CN"/>
        </w:rPr>
        <w:t>或</w:t>
      </w:r>
      <w:r>
        <w:rPr>
          <w:rFonts w:hint="eastAsia" w:ascii="宋体" w:hAnsi="宋体" w:eastAsia="宋体" w:cs="宋体"/>
          <w:spacing w:val="4"/>
          <w:sz w:val="24"/>
          <w:highlight w:val="none"/>
          <w:lang w:eastAsia="zh-CN"/>
        </w:rPr>
        <w:t>被授权人</w:t>
      </w:r>
      <w:r>
        <w:rPr>
          <w:rFonts w:hint="eastAsia" w:ascii="宋体" w:hAnsi="宋体" w:eastAsia="宋体" w:cs="宋体"/>
          <w:spacing w:val="4"/>
          <w:sz w:val="24"/>
          <w:highlight w:val="none"/>
        </w:rPr>
        <w:t>：</w:t>
      </w:r>
      <w:r>
        <w:rPr>
          <w:rFonts w:hint="eastAsia" w:ascii="宋体" w:hAnsi="宋体" w:eastAsia="宋体" w:cs="宋体"/>
          <w:spacing w:val="4"/>
          <w:sz w:val="24"/>
          <w:highlight w:val="none"/>
          <w:u w:val="single"/>
          <w:lang w:val="en-US" w:eastAsia="zh-CN"/>
        </w:rPr>
        <w:t xml:space="preserve">      </w:t>
      </w:r>
      <w:r>
        <w:rPr>
          <w:rFonts w:hint="eastAsia" w:ascii="宋体" w:hAnsi="宋体" w:eastAsia="宋体" w:cs="宋体"/>
          <w:spacing w:val="4"/>
          <w:sz w:val="24"/>
          <w:highlight w:val="none"/>
          <w:lang w:val="en-US" w:eastAsia="zh-CN"/>
        </w:rPr>
        <w:t>（</w:t>
      </w:r>
      <w:r>
        <w:rPr>
          <w:rFonts w:hint="eastAsia" w:ascii="宋体" w:hAnsi="宋体" w:eastAsia="宋体" w:cs="宋体"/>
          <w:spacing w:val="4"/>
          <w:sz w:val="24"/>
          <w:highlight w:val="none"/>
        </w:rPr>
        <w:t>签字</w:t>
      </w:r>
      <w:r>
        <w:rPr>
          <w:rFonts w:hint="eastAsia" w:ascii="宋体" w:hAnsi="宋体" w:eastAsia="宋体" w:cs="宋体"/>
          <w:spacing w:val="4"/>
          <w:sz w:val="24"/>
          <w:highlight w:val="none"/>
          <w:lang w:eastAsia="zh-CN"/>
        </w:rPr>
        <w:t>或盖章</w:t>
      </w:r>
      <w:r>
        <w:rPr>
          <w:rFonts w:hint="eastAsia" w:ascii="宋体" w:hAnsi="宋体" w:eastAsia="宋体" w:cs="宋体"/>
          <w:spacing w:val="4"/>
          <w:sz w:val="24"/>
          <w:highlight w:val="none"/>
          <w:lang w:val="en-US" w:eastAsia="zh-CN"/>
        </w:rPr>
        <w:t>）</w:t>
      </w:r>
    </w:p>
    <w:p>
      <w:pPr>
        <w:spacing w:line="440" w:lineRule="exact"/>
        <w:ind w:firstLine="1240" w:firstLineChars="50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日    期：</w:t>
      </w:r>
    </w:p>
    <w:p>
      <w:pPr>
        <w:spacing w:line="440" w:lineRule="exact"/>
        <w:rPr>
          <w:rFonts w:hint="eastAsia" w:ascii="宋体" w:hAnsi="宋体" w:eastAsia="宋体" w:cs="宋体"/>
          <w:sz w:val="28"/>
          <w:highlight w:val="none"/>
        </w:rPr>
      </w:pPr>
      <w:r>
        <w:rPr>
          <w:rFonts w:hint="eastAsia" w:ascii="宋体" w:hAnsi="宋体" w:eastAsia="宋体" w:cs="宋体"/>
          <w:sz w:val="28"/>
          <w:highlight w:val="none"/>
        </w:rPr>
        <w:t xml:space="preserve">           </w:t>
      </w:r>
    </w:p>
    <w:p>
      <w:pPr>
        <w:jc w:val="center"/>
        <w:rPr>
          <w:rFonts w:hint="eastAsia" w:ascii="宋体" w:hAnsi="宋体" w:eastAsia="宋体" w:cs="宋体"/>
          <w:b/>
          <w:sz w:val="32"/>
          <w:szCs w:val="32"/>
          <w:highlight w:val="none"/>
        </w:rPr>
      </w:pPr>
      <w:r>
        <w:rPr>
          <w:rFonts w:hint="eastAsia" w:ascii="宋体" w:hAnsi="宋体" w:eastAsia="宋体" w:cs="宋体"/>
          <w:b/>
          <w:sz w:val="28"/>
          <w:highlight w:val="none"/>
        </w:rPr>
        <w:br w:type="page"/>
      </w:r>
      <w:r>
        <w:rPr>
          <w:rFonts w:hint="eastAsia" w:ascii="宋体" w:hAnsi="宋体" w:eastAsia="宋体" w:cs="宋体"/>
          <w:b/>
          <w:sz w:val="32"/>
          <w:szCs w:val="32"/>
          <w:highlight w:val="none"/>
          <w:lang w:eastAsia="zh-CN"/>
        </w:rPr>
        <w:t>二</w:t>
      </w:r>
      <w:r>
        <w:rPr>
          <w:rFonts w:hint="eastAsia" w:ascii="宋体" w:hAnsi="宋体" w:eastAsia="宋体" w:cs="宋体"/>
          <w:b/>
          <w:sz w:val="32"/>
          <w:szCs w:val="32"/>
          <w:highlight w:val="none"/>
        </w:rPr>
        <w:t>、谈判报价表</w:t>
      </w:r>
    </w:p>
    <w:p>
      <w:pPr>
        <w:jc w:val="center"/>
        <w:rPr>
          <w:rFonts w:hint="eastAsia" w:ascii="宋体" w:hAnsi="宋体" w:eastAsia="宋体" w:cs="宋体"/>
          <w:b/>
          <w:sz w:val="36"/>
          <w:szCs w:val="36"/>
          <w:highlight w:val="none"/>
        </w:rPr>
      </w:pPr>
    </w:p>
    <w:p>
      <w:pPr>
        <w:jc w:val="center"/>
        <w:rPr>
          <w:rFonts w:hint="eastAsia" w:ascii="宋体" w:hAnsi="宋体" w:eastAsia="宋体" w:cs="宋体"/>
          <w:sz w:val="30"/>
          <w:szCs w:val="30"/>
          <w:highlight w:val="none"/>
        </w:rPr>
      </w:pPr>
      <w:r>
        <w:rPr>
          <w:rFonts w:hint="eastAsia" w:ascii="宋体" w:hAnsi="宋体" w:eastAsia="宋体" w:cs="宋体"/>
          <w:sz w:val="30"/>
          <w:szCs w:val="30"/>
          <w:highlight w:val="none"/>
          <w:lang w:val="en-US" w:eastAsia="zh-CN"/>
        </w:rPr>
        <w:t>2</w:t>
      </w:r>
      <w:r>
        <w:rPr>
          <w:rFonts w:hint="eastAsia" w:ascii="宋体" w:hAnsi="宋体" w:eastAsia="宋体" w:cs="宋体"/>
          <w:sz w:val="30"/>
          <w:szCs w:val="30"/>
          <w:highlight w:val="none"/>
        </w:rPr>
        <w:t>.1报价一览表</w:t>
      </w:r>
    </w:p>
    <w:p>
      <w:pPr>
        <w:jc w:val="left"/>
        <w:rPr>
          <w:rFonts w:hint="eastAsia" w:ascii="宋体" w:hAnsi="宋体" w:eastAsia="宋体" w:cs="宋体"/>
          <w:sz w:val="24"/>
          <w:highlight w:val="none"/>
        </w:rPr>
      </w:pPr>
      <w:r>
        <w:rPr>
          <w:rFonts w:hint="eastAsia" w:ascii="宋体" w:hAnsi="宋体" w:eastAsia="宋体" w:cs="宋体"/>
          <w:sz w:val="24"/>
          <w:highlight w:val="none"/>
        </w:rPr>
        <w:t xml:space="preserve">                                                </w:t>
      </w:r>
    </w:p>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项目</w:t>
      </w:r>
      <w:r>
        <w:rPr>
          <w:rFonts w:hint="eastAsia" w:ascii="宋体" w:hAnsi="宋体" w:eastAsia="宋体" w:cs="宋体"/>
          <w:sz w:val="24"/>
          <w:szCs w:val="24"/>
          <w:highlight w:val="none"/>
        </w:rPr>
        <w:t xml:space="preserve">名称：                                                 </w:t>
      </w:r>
    </w:p>
    <w:p>
      <w:pPr>
        <w:jc w:val="left"/>
        <w:rPr>
          <w:rFonts w:hint="eastAsia" w:ascii="宋体" w:hAnsi="宋体" w:eastAsia="宋体" w:cs="宋体"/>
          <w:sz w:val="24"/>
          <w:highlight w:val="none"/>
        </w:rPr>
      </w:pPr>
      <w:r>
        <w:rPr>
          <w:rFonts w:hint="eastAsia" w:ascii="宋体" w:hAnsi="宋体" w:eastAsia="宋体" w:cs="宋体"/>
          <w:sz w:val="24"/>
          <w:szCs w:val="24"/>
          <w:highlight w:val="none"/>
        </w:rPr>
        <w:t xml:space="preserve">项目编号：  </w:t>
      </w:r>
      <w:r>
        <w:rPr>
          <w:rFonts w:hint="eastAsia" w:ascii="宋体" w:hAnsi="宋体" w:eastAsia="宋体" w:cs="宋体"/>
          <w:sz w:val="24"/>
          <w:highlight w:val="none"/>
        </w:rPr>
        <w:t xml:space="preserve">                                                  </w:t>
      </w:r>
    </w:p>
    <w:tbl>
      <w:tblPr>
        <w:tblStyle w:val="28"/>
        <w:tblW w:w="95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1"/>
        <w:gridCol w:w="2460"/>
        <w:gridCol w:w="1520"/>
        <w:gridCol w:w="2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2611" w:type="dxa"/>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谈判总报价</w:t>
            </w:r>
          </w:p>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（元）</w:t>
            </w:r>
          </w:p>
        </w:tc>
        <w:tc>
          <w:tcPr>
            <w:tcW w:w="2460" w:type="dxa"/>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交货</w:t>
            </w:r>
            <w:r>
              <w:rPr>
                <w:rFonts w:hint="eastAsia" w:ascii="宋体" w:hAnsi="宋体" w:eastAsia="宋体" w:cs="宋体"/>
                <w:sz w:val="24"/>
                <w:szCs w:val="24"/>
                <w:highlight w:val="none"/>
                <w:lang w:eastAsia="zh-CN"/>
              </w:rPr>
              <w:t>期</w:t>
            </w:r>
          </w:p>
        </w:tc>
        <w:tc>
          <w:tcPr>
            <w:tcW w:w="1520" w:type="dxa"/>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质保期</w:t>
            </w:r>
          </w:p>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（年）</w:t>
            </w:r>
          </w:p>
        </w:tc>
        <w:tc>
          <w:tcPr>
            <w:tcW w:w="2992" w:type="dxa"/>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2611" w:type="dxa"/>
            <w:vAlign w:val="center"/>
          </w:tcPr>
          <w:p>
            <w:pPr>
              <w:jc w:val="center"/>
              <w:rPr>
                <w:rFonts w:hint="eastAsia" w:ascii="宋体" w:hAnsi="宋体" w:eastAsia="宋体" w:cs="宋体"/>
                <w:sz w:val="24"/>
                <w:szCs w:val="24"/>
                <w:highlight w:val="none"/>
              </w:rPr>
            </w:pPr>
          </w:p>
        </w:tc>
        <w:tc>
          <w:tcPr>
            <w:tcW w:w="2460" w:type="dxa"/>
            <w:vAlign w:val="center"/>
          </w:tcPr>
          <w:p>
            <w:pPr>
              <w:jc w:val="center"/>
              <w:rPr>
                <w:rFonts w:hint="eastAsia" w:ascii="宋体" w:hAnsi="宋体" w:eastAsia="宋体" w:cs="宋体"/>
                <w:sz w:val="24"/>
                <w:szCs w:val="24"/>
                <w:highlight w:val="none"/>
              </w:rPr>
            </w:pPr>
          </w:p>
        </w:tc>
        <w:tc>
          <w:tcPr>
            <w:tcW w:w="1520" w:type="dxa"/>
            <w:vAlign w:val="center"/>
          </w:tcPr>
          <w:p>
            <w:pPr>
              <w:jc w:val="center"/>
              <w:rPr>
                <w:rFonts w:hint="eastAsia" w:ascii="宋体" w:hAnsi="宋体" w:eastAsia="宋体" w:cs="宋体"/>
                <w:sz w:val="24"/>
                <w:szCs w:val="24"/>
                <w:highlight w:val="none"/>
              </w:rPr>
            </w:pPr>
          </w:p>
        </w:tc>
        <w:tc>
          <w:tcPr>
            <w:tcW w:w="2992" w:type="dxa"/>
            <w:vAlign w:val="center"/>
          </w:tcPr>
          <w:p>
            <w:pPr>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9583" w:type="dxa"/>
            <w:gridSpan w:val="4"/>
            <w:vAlign w:val="center"/>
          </w:tcPr>
          <w:p>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总报价：人民币（大写）                                   （小写：￥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9583" w:type="dxa"/>
            <w:gridSpan w:val="4"/>
            <w:vAlign w:val="center"/>
          </w:tcPr>
          <w:p>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备注：表内报价内容以元为单位，保留小数点后</w:t>
            </w:r>
            <w:r>
              <w:rPr>
                <w:rFonts w:hint="eastAsia" w:ascii="宋体" w:hAnsi="宋体" w:eastAsia="宋体" w:cs="宋体"/>
                <w:b w:val="0"/>
                <w:bCs/>
                <w:sz w:val="24"/>
                <w:szCs w:val="24"/>
                <w:highlight w:val="none"/>
              </w:rPr>
              <w:t>两位。</w:t>
            </w:r>
          </w:p>
        </w:tc>
      </w:tr>
    </w:tbl>
    <w:p>
      <w:pPr>
        <w:spacing w:line="120" w:lineRule="exact"/>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p>
    <w:p>
      <w:pPr>
        <w:rPr>
          <w:rFonts w:hint="eastAsia" w:ascii="宋体" w:hAnsi="宋体" w:eastAsia="宋体" w:cs="宋体"/>
          <w:sz w:val="24"/>
          <w:highlight w:val="none"/>
        </w:rPr>
      </w:pPr>
    </w:p>
    <w:p>
      <w:pPr>
        <w:spacing w:line="280" w:lineRule="exact"/>
        <w:ind w:right="540" w:rightChars="257"/>
        <w:jc w:val="left"/>
        <w:rPr>
          <w:rFonts w:hint="eastAsia" w:ascii="宋体" w:hAnsi="宋体" w:eastAsia="宋体" w:cs="宋体"/>
          <w:sz w:val="24"/>
          <w:highlight w:val="none"/>
        </w:rPr>
      </w:pPr>
      <w:r>
        <w:rPr>
          <w:rFonts w:hint="eastAsia" w:ascii="宋体" w:hAnsi="宋体" w:eastAsia="宋体" w:cs="宋体"/>
          <w:sz w:val="24"/>
          <w:highlight w:val="none"/>
        </w:rPr>
        <w:t>谈判</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（加盖单位公章）      </w:t>
      </w:r>
    </w:p>
    <w:p>
      <w:pPr>
        <w:spacing w:line="280" w:lineRule="exact"/>
        <w:ind w:right="540" w:rightChars="257"/>
        <w:jc w:val="left"/>
        <w:rPr>
          <w:rFonts w:hint="eastAsia" w:ascii="宋体" w:hAnsi="宋体" w:eastAsia="宋体" w:cs="宋体"/>
          <w:sz w:val="24"/>
          <w:highlight w:val="none"/>
        </w:rPr>
      </w:pPr>
    </w:p>
    <w:p>
      <w:pPr>
        <w:spacing w:line="280" w:lineRule="exact"/>
        <w:ind w:right="540" w:rightChars="257"/>
        <w:jc w:val="left"/>
        <w:rPr>
          <w:rFonts w:hint="eastAsia" w:ascii="宋体" w:hAnsi="宋体" w:eastAsia="宋体" w:cs="宋体"/>
          <w:sz w:val="24"/>
          <w:highlight w:val="none"/>
        </w:rPr>
      </w:pPr>
    </w:p>
    <w:p>
      <w:pPr>
        <w:spacing w:line="280" w:lineRule="exact"/>
        <w:ind w:right="540" w:rightChars="257"/>
        <w:jc w:val="left"/>
        <w:rPr>
          <w:rFonts w:hint="eastAsia" w:ascii="宋体" w:hAnsi="宋体" w:eastAsia="宋体" w:cs="宋体"/>
          <w:sz w:val="24"/>
          <w:highlight w:val="none"/>
        </w:rPr>
      </w:pPr>
      <w:r>
        <w:rPr>
          <w:rFonts w:hint="eastAsia" w:ascii="宋体" w:hAnsi="宋体" w:eastAsia="宋体" w:cs="宋体"/>
          <w:sz w:val="24"/>
          <w:highlight w:val="none"/>
          <w:lang w:eastAsia="zh-CN"/>
        </w:rPr>
        <w:t>法定代表人</w:t>
      </w:r>
      <w:r>
        <w:rPr>
          <w:rFonts w:hint="eastAsia" w:ascii="宋体" w:hAnsi="宋体" w:eastAsia="宋体" w:cs="宋体"/>
          <w:sz w:val="24"/>
          <w:highlight w:val="none"/>
          <w:lang w:val="en-US" w:eastAsia="zh-CN"/>
        </w:rPr>
        <w:t>或</w:t>
      </w:r>
      <w:r>
        <w:rPr>
          <w:rFonts w:hint="eastAsia" w:ascii="宋体" w:hAnsi="宋体" w:eastAsia="宋体" w:cs="宋体"/>
          <w:sz w:val="24"/>
          <w:highlight w:val="none"/>
          <w:lang w:eastAsia="zh-CN"/>
        </w:rPr>
        <w:t>被授权人</w:t>
      </w:r>
      <w:r>
        <w:rPr>
          <w:rFonts w:hint="eastAsia" w:ascii="宋体" w:hAnsi="宋体" w:eastAsia="宋体" w:cs="宋体"/>
          <w:sz w:val="24"/>
          <w:highlight w:val="none"/>
        </w:rPr>
        <w:t>：</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签字</w:t>
      </w:r>
      <w:r>
        <w:rPr>
          <w:rFonts w:hint="eastAsia" w:ascii="宋体" w:hAnsi="宋体" w:eastAsia="宋体" w:cs="宋体"/>
          <w:sz w:val="24"/>
          <w:highlight w:val="none"/>
          <w:lang w:eastAsia="zh-CN"/>
        </w:rPr>
        <w:t>或盖章</w:t>
      </w:r>
      <w:r>
        <w:rPr>
          <w:rFonts w:hint="eastAsia" w:ascii="宋体" w:hAnsi="宋体" w:eastAsia="宋体" w:cs="宋体"/>
          <w:sz w:val="24"/>
          <w:highlight w:val="none"/>
          <w:lang w:val="en-US" w:eastAsia="zh-CN"/>
        </w:rPr>
        <w:t>）</w:t>
      </w:r>
    </w:p>
    <w:p>
      <w:pPr>
        <w:spacing w:line="280" w:lineRule="exact"/>
        <w:ind w:right="540" w:rightChars="257"/>
        <w:jc w:val="left"/>
        <w:rPr>
          <w:rFonts w:hint="eastAsia" w:ascii="宋体" w:hAnsi="宋体" w:eastAsia="宋体" w:cs="宋体"/>
          <w:sz w:val="24"/>
          <w:highlight w:val="none"/>
        </w:rPr>
      </w:pPr>
    </w:p>
    <w:p>
      <w:pPr>
        <w:spacing w:line="280" w:lineRule="exact"/>
        <w:ind w:right="540" w:rightChars="257"/>
        <w:rPr>
          <w:rFonts w:hint="eastAsia" w:ascii="宋体" w:hAnsi="宋体" w:eastAsia="宋体" w:cs="宋体"/>
          <w:sz w:val="24"/>
          <w:highlight w:val="none"/>
        </w:rPr>
      </w:pPr>
      <w:r>
        <w:rPr>
          <w:rFonts w:hint="eastAsia" w:ascii="宋体" w:hAnsi="宋体" w:eastAsia="宋体" w:cs="宋体"/>
          <w:sz w:val="24"/>
          <w:highlight w:val="none"/>
        </w:rPr>
        <w:t>日    期：</w:t>
      </w:r>
    </w:p>
    <w:p>
      <w:pPr>
        <w:jc w:val="center"/>
        <w:rPr>
          <w:rFonts w:hint="eastAsia" w:ascii="宋体" w:hAnsi="宋体" w:eastAsia="宋体" w:cs="宋体"/>
          <w:sz w:val="30"/>
          <w:szCs w:val="30"/>
          <w:highlight w:val="none"/>
        </w:rPr>
      </w:pPr>
    </w:p>
    <w:p>
      <w:pPr>
        <w:spacing w:before="120" w:beforeLines="50" w:after="120" w:afterLines="50" w:line="400" w:lineRule="atLeast"/>
        <w:rPr>
          <w:rFonts w:hint="eastAsia" w:ascii="宋体" w:hAnsi="宋体" w:eastAsia="宋体" w:cs="宋体"/>
          <w:szCs w:val="21"/>
          <w:highlight w:val="none"/>
          <w:u w:val="single"/>
        </w:rPr>
      </w:pPr>
      <w:r>
        <w:rPr>
          <w:rFonts w:hint="eastAsia" w:ascii="宋体" w:hAnsi="宋体" w:eastAsia="宋体" w:cs="宋体"/>
          <w:sz w:val="24"/>
          <w:highlight w:val="none"/>
        </w:rPr>
        <w:t>注：本表应按“</w:t>
      </w:r>
      <w:r>
        <w:rPr>
          <w:rFonts w:hint="eastAsia" w:ascii="宋体" w:hAnsi="宋体" w:eastAsia="宋体" w:cs="宋体"/>
          <w:sz w:val="24"/>
          <w:highlight w:val="none"/>
          <w:lang w:eastAsia="zh-CN"/>
        </w:rPr>
        <w:t>供应商须知</w:t>
      </w:r>
      <w:r>
        <w:rPr>
          <w:rFonts w:hint="eastAsia" w:ascii="宋体" w:hAnsi="宋体" w:eastAsia="宋体" w:cs="宋体"/>
          <w:sz w:val="24"/>
          <w:highlight w:val="none"/>
        </w:rPr>
        <w:t>”的规定密封单独提交。严格按照表格格式报价。</w:t>
      </w:r>
    </w:p>
    <w:p>
      <w:pPr>
        <w:jc w:val="center"/>
        <w:rPr>
          <w:rFonts w:hint="eastAsia" w:ascii="宋体" w:hAnsi="宋体" w:eastAsia="宋体" w:cs="宋体"/>
          <w:sz w:val="30"/>
          <w:szCs w:val="30"/>
          <w:highlight w:val="none"/>
        </w:rPr>
      </w:pPr>
    </w:p>
    <w:p>
      <w:pPr>
        <w:jc w:val="center"/>
        <w:rPr>
          <w:rFonts w:hint="eastAsia" w:ascii="宋体" w:hAnsi="宋体" w:eastAsia="宋体" w:cs="宋体"/>
          <w:sz w:val="30"/>
          <w:szCs w:val="30"/>
          <w:highlight w:val="none"/>
        </w:rPr>
      </w:pPr>
      <w:r>
        <w:rPr>
          <w:rFonts w:hint="eastAsia" w:ascii="宋体" w:hAnsi="宋体" w:eastAsia="宋体" w:cs="宋体"/>
          <w:sz w:val="30"/>
          <w:szCs w:val="30"/>
          <w:highlight w:val="none"/>
        </w:rPr>
        <w:br w:type="page"/>
      </w:r>
      <w:r>
        <w:rPr>
          <w:rFonts w:hint="eastAsia" w:ascii="宋体" w:hAnsi="宋体" w:eastAsia="宋体" w:cs="宋体"/>
          <w:b/>
          <w:bCs/>
          <w:sz w:val="30"/>
          <w:szCs w:val="30"/>
          <w:highlight w:val="none"/>
          <w:lang w:val="en-US" w:eastAsia="zh-CN"/>
        </w:rPr>
        <w:t>2</w:t>
      </w:r>
      <w:r>
        <w:rPr>
          <w:rFonts w:hint="eastAsia" w:ascii="宋体" w:hAnsi="宋体" w:eastAsia="宋体" w:cs="宋体"/>
          <w:b/>
          <w:bCs/>
          <w:sz w:val="30"/>
          <w:szCs w:val="30"/>
          <w:highlight w:val="none"/>
        </w:rPr>
        <w:t>.2谈判分项报价表</w:t>
      </w:r>
    </w:p>
    <w:p>
      <w:pPr>
        <w:jc w:val="center"/>
        <w:rPr>
          <w:rFonts w:hint="eastAsia" w:ascii="宋体" w:hAnsi="宋体" w:eastAsia="宋体" w:cs="宋体"/>
          <w:sz w:val="30"/>
          <w:szCs w:val="30"/>
          <w:highlight w:val="none"/>
        </w:rPr>
      </w:pPr>
    </w:p>
    <w:p>
      <w:pPr>
        <w:rPr>
          <w:rFonts w:hint="eastAsia" w:ascii="宋体" w:hAnsi="宋体" w:eastAsia="宋体" w:cs="宋体"/>
          <w:sz w:val="24"/>
          <w:highlight w:val="none"/>
        </w:rPr>
      </w:pPr>
      <w:r>
        <w:rPr>
          <w:rFonts w:hint="eastAsia" w:ascii="宋体" w:hAnsi="宋体" w:eastAsia="宋体" w:cs="宋体"/>
          <w:sz w:val="24"/>
          <w:highlight w:val="none"/>
        </w:rPr>
        <w:t xml:space="preserve">项目名称：                                                    </w:t>
      </w:r>
    </w:p>
    <w:p>
      <w:pPr>
        <w:rPr>
          <w:rFonts w:hint="eastAsia" w:ascii="宋体" w:hAnsi="宋体" w:eastAsia="宋体" w:cs="宋体"/>
          <w:sz w:val="24"/>
          <w:highlight w:val="none"/>
        </w:rPr>
      </w:pPr>
      <w:r>
        <w:rPr>
          <w:rFonts w:hint="eastAsia" w:ascii="宋体" w:hAnsi="宋体" w:eastAsia="宋体" w:cs="宋体"/>
          <w:sz w:val="24"/>
          <w:highlight w:val="none"/>
        </w:rPr>
        <w:t>项目编号：</w:t>
      </w:r>
    </w:p>
    <w:p>
      <w:pPr>
        <w:jc w:val="right"/>
        <w:rPr>
          <w:rFonts w:hint="eastAsia" w:ascii="宋体" w:hAnsi="宋体" w:eastAsia="宋体" w:cs="宋体"/>
          <w:sz w:val="24"/>
          <w:highlight w:val="none"/>
        </w:rPr>
      </w:pPr>
      <w:r>
        <w:rPr>
          <w:rFonts w:hint="eastAsia" w:ascii="宋体" w:hAnsi="宋体" w:eastAsia="宋体" w:cs="宋体"/>
          <w:sz w:val="24"/>
          <w:highlight w:val="none"/>
        </w:rPr>
        <w:t>单位：元</w:t>
      </w:r>
    </w:p>
    <w:tbl>
      <w:tblPr>
        <w:tblStyle w:val="28"/>
        <w:tblW w:w="4997" w:type="pct"/>
        <w:tblInd w:w="0" w:type="dxa"/>
        <w:tblLayout w:type="autofit"/>
        <w:tblCellMar>
          <w:top w:w="0" w:type="dxa"/>
          <w:left w:w="28" w:type="dxa"/>
          <w:bottom w:w="0" w:type="dxa"/>
          <w:right w:w="28" w:type="dxa"/>
        </w:tblCellMar>
      </w:tblPr>
      <w:tblGrid>
        <w:gridCol w:w="803"/>
        <w:gridCol w:w="594"/>
        <w:gridCol w:w="597"/>
        <w:gridCol w:w="1146"/>
        <w:gridCol w:w="1540"/>
        <w:gridCol w:w="1340"/>
        <w:gridCol w:w="781"/>
        <w:gridCol w:w="933"/>
        <w:gridCol w:w="1344"/>
      </w:tblGrid>
      <w:tr>
        <w:tblPrEx>
          <w:tblCellMar>
            <w:top w:w="0" w:type="dxa"/>
            <w:left w:w="28" w:type="dxa"/>
            <w:bottom w:w="0" w:type="dxa"/>
            <w:right w:w="28" w:type="dxa"/>
          </w:tblCellMar>
        </w:tblPrEx>
        <w:trPr>
          <w:trHeight w:val="941" w:hRule="atLeast"/>
        </w:trPr>
        <w:tc>
          <w:tcPr>
            <w:tcW w:w="442" w:type="pct"/>
            <w:vMerge w:val="restart"/>
            <w:tcBorders>
              <w:top w:val="single" w:color="auto" w:sz="6" w:space="0"/>
              <w:left w:val="single" w:color="auto" w:sz="6" w:space="0"/>
            </w:tcBorders>
            <w:vAlign w:val="center"/>
          </w:tcPr>
          <w:p>
            <w:pPr>
              <w:spacing w:after="12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设备</w:t>
            </w:r>
          </w:p>
          <w:p>
            <w:pPr>
              <w:spacing w:after="12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费用</w:t>
            </w:r>
          </w:p>
        </w:tc>
        <w:tc>
          <w:tcPr>
            <w:tcW w:w="327" w:type="pct"/>
            <w:tcBorders>
              <w:top w:val="single" w:color="auto" w:sz="6" w:space="0"/>
              <w:left w:val="single" w:color="auto" w:sz="6" w:space="0"/>
              <w:bottom w:val="single" w:color="auto" w:sz="6" w:space="0"/>
              <w:right w:val="single" w:color="auto" w:sz="6" w:space="0"/>
            </w:tcBorders>
            <w:vAlign w:val="center"/>
          </w:tcPr>
          <w:p>
            <w:pPr>
              <w:spacing w:after="12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327" w:type="pct"/>
            <w:tcBorders>
              <w:top w:val="single" w:color="auto" w:sz="6" w:space="0"/>
              <w:left w:val="single" w:color="auto" w:sz="6" w:space="0"/>
              <w:bottom w:val="single" w:color="auto" w:sz="6" w:space="0"/>
              <w:right w:val="single" w:color="auto" w:sz="6" w:space="0"/>
            </w:tcBorders>
            <w:vAlign w:val="center"/>
          </w:tcPr>
          <w:p>
            <w:pPr>
              <w:spacing w:after="12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名称</w:t>
            </w:r>
          </w:p>
        </w:tc>
        <w:tc>
          <w:tcPr>
            <w:tcW w:w="631" w:type="pct"/>
            <w:tcBorders>
              <w:top w:val="single" w:color="auto" w:sz="6" w:space="0"/>
              <w:left w:val="single" w:color="auto" w:sz="6" w:space="0"/>
              <w:bottom w:val="single" w:color="auto" w:sz="6" w:space="0"/>
              <w:right w:val="single" w:color="auto" w:sz="6" w:space="0"/>
            </w:tcBorders>
            <w:vAlign w:val="center"/>
          </w:tcPr>
          <w:p>
            <w:pPr>
              <w:spacing w:after="120"/>
              <w:jc w:val="center"/>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厂家/品牌</w:t>
            </w:r>
          </w:p>
        </w:tc>
        <w:tc>
          <w:tcPr>
            <w:tcW w:w="848" w:type="pct"/>
            <w:tcBorders>
              <w:top w:val="single" w:color="auto" w:sz="6" w:space="0"/>
              <w:left w:val="single" w:color="auto" w:sz="6" w:space="0"/>
              <w:bottom w:val="single" w:color="auto" w:sz="6" w:space="0"/>
              <w:right w:val="single" w:color="auto" w:sz="6" w:space="0"/>
            </w:tcBorders>
            <w:vAlign w:val="center"/>
          </w:tcPr>
          <w:p>
            <w:pPr>
              <w:spacing w:after="12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规格型号</w:t>
            </w:r>
          </w:p>
        </w:tc>
        <w:tc>
          <w:tcPr>
            <w:tcW w:w="738" w:type="pct"/>
            <w:tcBorders>
              <w:top w:val="single" w:color="auto" w:sz="6" w:space="0"/>
              <w:left w:val="single" w:color="auto" w:sz="6" w:space="0"/>
              <w:bottom w:val="single" w:color="auto" w:sz="6" w:space="0"/>
              <w:right w:val="single" w:color="auto" w:sz="6" w:space="0"/>
            </w:tcBorders>
            <w:vAlign w:val="center"/>
          </w:tcPr>
          <w:p>
            <w:pPr>
              <w:spacing w:after="12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430" w:type="pct"/>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单位</w:t>
            </w:r>
          </w:p>
        </w:tc>
        <w:tc>
          <w:tcPr>
            <w:tcW w:w="514" w:type="pct"/>
            <w:tcBorders>
              <w:top w:val="single" w:color="auto" w:sz="6" w:space="0"/>
              <w:left w:val="single" w:color="auto" w:sz="6" w:space="0"/>
              <w:bottom w:val="single" w:color="auto" w:sz="6" w:space="0"/>
              <w:right w:val="single" w:color="auto" w:sz="6" w:space="0"/>
            </w:tcBorders>
            <w:vAlign w:val="center"/>
          </w:tcPr>
          <w:p>
            <w:pPr>
              <w:spacing w:after="12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单价</w:t>
            </w:r>
          </w:p>
        </w:tc>
        <w:tc>
          <w:tcPr>
            <w:tcW w:w="736" w:type="pct"/>
            <w:tcBorders>
              <w:top w:val="single" w:color="auto" w:sz="6" w:space="0"/>
              <w:left w:val="single" w:color="auto" w:sz="6" w:space="0"/>
              <w:bottom w:val="single" w:color="auto" w:sz="6" w:space="0"/>
              <w:right w:val="single" w:color="auto" w:sz="6" w:space="0"/>
            </w:tcBorders>
            <w:vAlign w:val="center"/>
          </w:tcPr>
          <w:p>
            <w:pPr>
              <w:spacing w:after="12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总价</w:t>
            </w:r>
          </w:p>
        </w:tc>
      </w:tr>
      <w:tr>
        <w:tblPrEx>
          <w:tblCellMar>
            <w:top w:w="0" w:type="dxa"/>
            <w:left w:w="28" w:type="dxa"/>
            <w:bottom w:w="0" w:type="dxa"/>
            <w:right w:w="28" w:type="dxa"/>
          </w:tblCellMar>
        </w:tblPrEx>
        <w:trPr>
          <w:trHeight w:val="1188" w:hRule="atLeast"/>
        </w:trPr>
        <w:tc>
          <w:tcPr>
            <w:tcW w:w="442" w:type="pct"/>
            <w:vMerge w:val="continue"/>
            <w:tcBorders>
              <w:left w:val="single" w:color="auto" w:sz="6" w:space="0"/>
            </w:tcBorders>
            <w:vAlign w:val="center"/>
          </w:tcPr>
          <w:p>
            <w:pPr>
              <w:spacing w:before="240" w:beforeLines="100"/>
              <w:jc w:val="center"/>
              <w:rPr>
                <w:rFonts w:hint="eastAsia" w:ascii="宋体" w:hAnsi="宋体" w:eastAsia="宋体" w:cs="宋体"/>
                <w:sz w:val="24"/>
                <w:szCs w:val="24"/>
                <w:highlight w:val="none"/>
              </w:rPr>
            </w:pPr>
          </w:p>
        </w:tc>
        <w:tc>
          <w:tcPr>
            <w:tcW w:w="327" w:type="pct"/>
            <w:tcBorders>
              <w:top w:val="single" w:color="auto" w:sz="6" w:space="0"/>
              <w:left w:val="single" w:color="auto" w:sz="6" w:space="0"/>
              <w:bottom w:val="single" w:color="auto" w:sz="4" w:space="0"/>
              <w:right w:val="single" w:color="auto" w:sz="6" w:space="0"/>
            </w:tcBorders>
            <w:vAlign w:val="center"/>
          </w:tcPr>
          <w:p>
            <w:pPr>
              <w:spacing w:before="120" w:beforeLines="5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27" w:type="pct"/>
            <w:tcBorders>
              <w:top w:val="single" w:color="auto" w:sz="6" w:space="0"/>
              <w:left w:val="single" w:color="auto" w:sz="6" w:space="0"/>
              <w:bottom w:val="single" w:color="auto" w:sz="4" w:space="0"/>
              <w:right w:val="single" w:color="auto" w:sz="6" w:space="0"/>
            </w:tcBorders>
            <w:vAlign w:val="center"/>
          </w:tcPr>
          <w:p>
            <w:pPr>
              <w:spacing w:before="120" w:beforeLines="50"/>
              <w:jc w:val="center"/>
              <w:rPr>
                <w:rFonts w:hint="eastAsia" w:ascii="宋体" w:hAnsi="宋体" w:eastAsia="宋体" w:cs="宋体"/>
                <w:sz w:val="24"/>
                <w:szCs w:val="24"/>
                <w:highlight w:val="none"/>
              </w:rPr>
            </w:pPr>
          </w:p>
        </w:tc>
        <w:tc>
          <w:tcPr>
            <w:tcW w:w="631" w:type="pct"/>
            <w:tcBorders>
              <w:top w:val="single" w:color="auto" w:sz="6" w:space="0"/>
              <w:left w:val="single" w:color="auto" w:sz="6" w:space="0"/>
              <w:bottom w:val="single" w:color="auto" w:sz="4" w:space="0"/>
              <w:right w:val="single" w:color="auto" w:sz="6" w:space="0"/>
            </w:tcBorders>
            <w:vAlign w:val="center"/>
          </w:tcPr>
          <w:p>
            <w:pPr>
              <w:jc w:val="center"/>
              <w:rPr>
                <w:rFonts w:hint="eastAsia" w:ascii="宋体" w:hAnsi="宋体" w:eastAsia="宋体" w:cs="宋体"/>
                <w:sz w:val="24"/>
                <w:szCs w:val="24"/>
                <w:highlight w:val="none"/>
              </w:rPr>
            </w:pPr>
          </w:p>
        </w:tc>
        <w:tc>
          <w:tcPr>
            <w:tcW w:w="848" w:type="pct"/>
            <w:tcBorders>
              <w:top w:val="single" w:color="auto" w:sz="6" w:space="0"/>
              <w:left w:val="single" w:color="auto" w:sz="6" w:space="0"/>
              <w:bottom w:val="single" w:color="auto" w:sz="4" w:space="0"/>
              <w:right w:val="single" w:color="auto" w:sz="6" w:space="0"/>
            </w:tcBorders>
            <w:vAlign w:val="center"/>
          </w:tcPr>
          <w:p>
            <w:pPr>
              <w:jc w:val="center"/>
              <w:rPr>
                <w:rFonts w:hint="eastAsia" w:ascii="宋体" w:hAnsi="宋体" w:eastAsia="宋体" w:cs="宋体"/>
                <w:sz w:val="24"/>
                <w:szCs w:val="24"/>
                <w:highlight w:val="none"/>
              </w:rPr>
            </w:pPr>
          </w:p>
        </w:tc>
        <w:tc>
          <w:tcPr>
            <w:tcW w:w="738" w:type="pct"/>
            <w:tcBorders>
              <w:top w:val="single" w:color="auto" w:sz="6" w:space="0"/>
              <w:left w:val="single" w:color="auto" w:sz="6" w:space="0"/>
              <w:bottom w:val="single" w:color="auto" w:sz="4" w:space="0"/>
              <w:right w:val="single" w:color="auto" w:sz="6" w:space="0"/>
            </w:tcBorders>
            <w:vAlign w:val="center"/>
          </w:tcPr>
          <w:p>
            <w:pPr>
              <w:jc w:val="center"/>
              <w:rPr>
                <w:rFonts w:hint="eastAsia" w:ascii="宋体" w:hAnsi="宋体" w:eastAsia="宋体" w:cs="宋体"/>
                <w:sz w:val="24"/>
                <w:szCs w:val="24"/>
                <w:highlight w:val="none"/>
              </w:rPr>
            </w:pPr>
          </w:p>
        </w:tc>
        <w:tc>
          <w:tcPr>
            <w:tcW w:w="430" w:type="pct"/>
            <w:tcBorders>
              <w:top w:val="single" w:color="auto" w:sz="6" w:space="0"/>
              <w:left w:val="single" w:color="auto" w:sz="6" w:space="0"/>
              <w:bottom w:val="single" w:color="auto" w:sz="4" w:space="0"/>
              <w:right w:val="single" w:color="auto" w:sz="6" w:space="0"/>
            </w:tcBorders>
            <w:vAlign w:val="center"/>
          </w:tcPr>
          <w:p>
            <w:pPr>
              <w:jc w:val="center"/>
              <w:rPr>
                <w:rFonts w:hint="eastAsia" w:ascii="宋体" w:hAnsi="宋体" w:eastAsia="宋体" w:cs="宋体"/>
                <w:sz w:val="24"/>
                <w:szCs w:val="24"/>
                <w:highlight w:val="none"/>
              </w:rPr>
            </w:pPr>
          </w:p>
        </w:tc>
        <w:tc>
          <w:tcPr>
            <w:tcW w:w="514" w:type="pct"/>
            <w:tcBorders>
              <w:top w:val="single" w:color="auto" w:sz="6" w:space="0"/>
              <w:left w:val="single" w:color="auto" w:sz="6" w:space="0"/>
              <w:bottom w:val="single" w:color="auto" w:sz="4" w:space="0"/>
              <w:right w:val="single" w:color="auto" w:sz="6" w:space="0"/>
            </w:tcBorders>
            <w:vAlign w:val="center"/>
          </w:tcPr>
          <w:p>
            <w:pPr>
              <w:spacing w:before="120" w:beforeLines="50"/>
              <w:jc w:val="center"/>
              <w:rPr>
                <w:rFonts w:hint="eastAsia" w:ascii="宋体" w:hAnsi="宋体" w:eastAsia="宋体" w:cs="宋体"/>
                <w:sz w:val="24"/>
                <w:szCs w:val="24"/>
                <w:highlight w:val="none"/>
              </w:rPr>
            </w:pPr>
          </w:p>
        </w:tc>
        <w:tc>
          <w:tcPr>
            <w:tcW w:w="736" w:type="pct"/>
            <w:tcBorders>
              <w:top w:val="single" w:color="auto" w:sz="6" w:space="0"/>
              <w:left w:val="single" w:color="auto" w:sz="6" w:space="0"/>
              <w:bottom w:val="single" w:color="auto" w:sz="4" w:space="0"/>
              <w:right w:val="single" w:color="auto" w:sz="6" w:space="0"/>
            </w:tcBorders>
            <w:vAlign w:val="center"/>
          </w:tcPr>
          <w:p>
            <w:pPr>
              <w:spacing w:before="120" w:beforeLines="50"/>
              <w:jc w:val="center"/>
              <w:rPr>
                <w:rFonts w:hint="eastAsia" w:ascii="宋体" w:hAnsi="宋体" w:eastAsia="宋体" w:cs="宋体"/>
                <w:sz w:val="24"/>
                <w:szCs w:val="24"/>
                <w:highlight w:val="none"/>
              </w:rPr>
            </w:pPr>
          </w:p>
        </w:tc>
      </w:tr>
      <w:tr>
        <w:tblPrEx>
          <w:tblCellMar>
            <w:top w:w="0" w:type="dxa"/>
            <w:left w:w="28" w:type="dxa"/>
            <w:bottom w:w="0" w:type="dxa"/>
            <w:right w:w="28" w:type="dxa"/>
          </w:tblCellMar>
        </w:tblPrEx>
        <w:trPr>
          <w:trHeight w:val="1000" w:hRule="atLeast"/>
        </w:trPr>
        <w:tc>
          <w:tcPr>
            <w:tcW w:w="442" w:type="pct"/>
            <w:vMerge w:val="continue"/>
            <w:tcBorders>
              <w:left w:val="single" w:color="auto" w:sz="6" w:space="0"/>
            </w:tcBorders>
            <w:vAlign w:val="center"/>
          </w:tcPr>
          <w:p>
            <w:pPr>
              <w:spacing w:before="240" w:beforeLines="100"/>
              <w:jc w:val="center"/>
              <w:rPr>
                <w:rFonts w:hint="eastAsia" w:ascii="宋体" w:hAnsi="宋体" w:eastAsia="宋体" w:cs="宋体"/>
                <w:sz w:val="24"/>
                <w:szCs w:val="24"/>
                <w:highlight w:val="none"/>
              </w:rPr>
            </w:pPr>
          </w:p>
        </w:tc>
        <w:tc>
          <w:tcPr>
            <w:tcW w:w="327" w:type="pct"/>
            <w:tcBorders>
              <w:top w:val="single" w:color="auto" w:sz="4" w:space="0"/>
              <w:left w:val="single" w:color="auto" w:sz="6" w:space="0"/>
              <w:bottom w:val="single" w:color="auto" w:sz="4" w:space="0"/>
              <w:right w:val="single" w:color="auto" w:sz="6" w:space="0"/>
            </w:tcBorders>
            <w:vAlign w:val="center"/>
          </w:tcPr>
          <w:p>
            <w:pPr>
              <w:spacing w:before="240" w:beforeLines="1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27" w:type="pct"/>
            <w:tcBorders>
              <w:top w:val="single" w:color="auto" w:sz="4" w:space="0"/>
              <w:left w:val="single" w:color="auto" w:sz="6" w:space="0"/>
              <w:bottom w:val="single" w:color="auto" w:sz="4" w:space="0"/>
              <w:right w:val="single" w:color="auto" w:sz="6" w:space="0"/>
            </w:tcBorders>
            <w:vAlign w:val="center"/>
          </w:tcPr>
          <w:p>
            <w:pPr>
              <w:jc w:val="center"/>
              <w:rPr>
                <w:rFonts w:hint="eastAsia" w:ascii="宋体" w:hAnsi="宋体" w:eastAsia="宋体" w:cs="宋体"/>
                <w:sz w:val="24"/>
                <w:szCs w:val="24"/>
                <w:highlight w:val="none"/>
              </w:rPr>
            </w:pPr>
          </w:p>
        </w:tc>
        <w:tc>
          <w:tcPr>
            <w:tcW w:w="631" w:type="pct"/>
            <w:tcBorders>
              <w:top w:val="single" w:color="auto" w:sz="4" w:space="0"/>
              <w:left w:val="single" w:color="auto" w:sz="6" w:space="0"/>
              <w:bottom w:val="single" w:color="auto" w:sz="4" w:space="0"/>
              <w:right w:val="single" w:color="auto" w:sz="6" w:space="0"/>
            </w:tcBorders>
            <w:vAlign w:val="center"/>
          </w:tcPr>
          <w:p>
            <w:pPr>
              <w:jc w:val="center"/>
              <w:rPr>
                <w:rFonts w:hint="eastAsia" w:ascii="宋体" w:hAnsi="宋体" w:eastAsia="宋体" w:cs="宋体"/>
                <w:sz w:val="24"/>
                <w:szCs w:val="24"/>
                <w:highlight w:val="none"/>
              </w:rPr>
            </w:pPr>
          </w:p>
        </w:tc>
        <w:tc>
          <w:tcPr>
            <w:tcW w:w="848" w:type="pct"/>
            <w:tcBorders>
              <w:top w:val="single" w:color="auto" w:sz="4" w:space="0"/>
              <w:left w:val="single" w:color="auto" w:sz="6" w:space="0"/>
              <w:bottom w:val="single" w:color="auto" w:sz="4" w:space="0"/>
              <w:right w:val="single" w:color="auto" w:sz="6" w:space="0"/>
            </w:tcBorders>
            <w:vAlign w:val="center"/>
          </w:tcPr>
          <w:p>
            <w:pPr>
              <w:jc w:val="center"/>
              <w:rPr>
                <w:rFonts w:hint="eastAsia" w:ascii="宋体" w:hAnsi="宋体" w:eastAsia="宋体" w:cs="宋体"/>
                <w:sz w:val="24"/>
                <w:szCs w:val="24"/>
                <w:highlight w:val="none"/>
              </w:rPr>
            </w:pPr>
          </w:p>
        </w:tc>
        <w:tc>
          <w:tcPr>
            <w:tcW w:w="738" w:type="pct"/>
            <w:tcBorders>
              <w:top w:val="single" w:color="auto" w:sz="4" w:space="0"/>
              <w:left w:val="single" w:color="auto" w:sz="6" w:space="0"/>
              <w:bottom w:val="single" w:color="auto" w:sz="4" w:space="0"/>
              <w:right w:val="single" w:color="auto" w:sz="6" w:space="0"/>
            </w:tcBorders>
            <w:vAlign w:val="center"/>
          </w:tcPr>
          <w:p>
            <w:pPr>
              <w:jc w:val="center"/>
              <w:rPr>
                <w:rFonts w:hint="eastAsia" w:ascii="宋体" w:hAnsi="宋体" w:eastAsia="宋体" w:cs="宋体"/>
                <w:sz w:val="24"/>
                <w:szCs w:val="24"/>
                <w:highlight w:val="none"/>
                <w:lang w:val="en-US" w:eastAsia="zh-CN"/>
              </w:rPr>
            </w:pPr>
          </w:p>
        </w:tc>
        <w:tc>
          <w:tcPr>
            <w:tcW w:w="430" w:type="pct"/>
            <w:tcBorders>
              <w:top w:val="single" w:color="auto" w:sz="4" w:space="0"/>
              <w:left w:val="single" w:color="auto" w:sz="6" w:space="0"/>
              <w:bottom w:val="single" w:color="auto" w:sz="4" w:space="0"/>
              <w:right w:val="single" w:color="auto" w:sz="6" w:space="0"/>
            </w:tcBorders>
            <w:vAlign w:val="center"/>
          </w:tcPr>
          <w:p>
            <w:pPr>
              <w:jc w:val="center"/>
              <w:rPr>
                <w:rFonts w:hint="eastAsia" w:ascii="宋体" w:hAnsi="宋体" w:eastAsia="宋体" w:cs="宋体"/>
                <w:sz w:val="24"/>
                <w:szCs w:val="24"/>
                <w:highlight w:val="none"/>
              </w:rPr>
            </w:pPr>
          </w:p>
        </w:tc>
        <w:tc>
          <w:tcPr>
            <w:tcW w:w="514" w:type="pct"/>
            <w:tcBorders>
              <w:top w:val="single" w:color="auto" w:sz="4" w:space="0"/>
              <w:left w:val="single" w:color="auto" w:sz="6" w:space="0"/>
              <w:bottom w:val="single" w:color="auto" w:sz="4" w:space="0"/>
              <w:right w:val="single" w:color="auto" w:sz="6" w:space="0"/>
            </w:tcBorders>
            <w:vAlign w:val="center"/>
          </w:tcPr>
          <w:p>
            <w:pPr>
              <w:spacing w:before="120" w:beforeLines="50"/>
              <w:jc w:val="center"/>
              <w:rPr>
                <w:rFonts w:hint="eastAsia" w:ascii="宋体" w:hAnsi="宋体" w:eastAsia="宋体" w:cs="宋体"/>
                <w:sz w:val="24"/>
                <w:szCs w:val="24"/>
                <w:highlight w:val="none"/>
              </w:rPr>
            </w:pPr>
          </w:p>
        </w:tc>
        <w:tc>
          <w:tcPr>
            <w:tcW w:w="736" w:type="pct"/>
            <w:tcBorders>
              <w:top w:val="single" w:color="auto" w:sz="4" w:space="0"/>
              <w:left w:val="single" w:color="auto" w:sz="6" w:space="0"/>
              <w:bottom w:val="single" w:color="auto" w:sz="4" w:space="0"/>
              <w:right w:val="single" w:color="auto" w:sz="6" w:space="0"/>
            </w:tcBorders>
            <w:vAlign w:val="center"/>
          </w:tcPr>
          <w:p>
            <w:pPr>
              <w:spacing w:before="120" w:beforeLines="50"/>
              <w:jc w:val="center"/>
              <w:rPr>
                <w:rFonts w:hint="eastAsia" w:ascii="宋体" w:hAnsi="宋体" w:eastAsia="宋体" w:cs="宋体"/>
                <w:sz w:val="24"/>
                <w:szCs w:val="24"/>
                <w:highlight w:val="none"/>
              </w:rPr>
            </w:pPr>
          </w:p>
        </w:tc>
      </w:tr>
      <w:tr>
        <w:tblPrEx>
          <w:tblCellMar>
            <w:top w:w="0" w:type="dxa"/>
            <w:left w:w="28" w:type="dxa"/>
            <w:bottom w:w="0" w:type="dxa"/>
            <w:right w:w="28" w:type="dxa"/>
          </w:tblCellMar>
        </w:tblPrEx>
        <w:trPr>
          <w:trHeight w:val="1052" w:hRule="atLeast"/>
        </w:trPr>
        <w:tc>
          <w:tcPr>
            <w:tcW w:w="442" w:type="pct"/>
            <w:vMerge w:val="continue"/>
            <w:tcBorders>
              <w:left w:val="single" w:color="auto" w:sz="6" w:space="0"/>
            </w:tcBorders>
            <w:vAlign w:val="center"/>
          </w:tcPr>
          <w:p>
            <w:pPr>
              <w:spacing w:before="240" w:beforeLines="100"/>
              <w:jc w:val="center"/>
              <w:rPr>
                <w:rFonts w:hint="eastAsia" w:ascii="宋体" w:hAnsi="宋体" w:eastAsia="宋体" w:cs="宋体"/>
                <w:sz w:val="24"/>
                <w:szCs w:val="24"/>
                <w:highlight w:val="none"/>
              </w:rPr>
            </w:pPr>
          </w:p>
        </w:tc>
        <w:tc>
          <w:tcPr>
            <w:tcW w:w="327" w:type="pct"/>
            <w:tcBorders>
              <w:top w:val="single" w:color="auto" w:sz="4" w:space="0"/>
              <w:left w:val="single" w:color="auto" w:sz="6" w:space="0"/>
              <w:bottom w:val="single" w:color="auto" w:sz="6" w:space="0"/>
              <w:right w:val="single" w:color="auto" w:sz="6" w:space="0"/>
            </w:tcBorders>
            <w:vAlign w:val="center"/>
          </w:tcPr>
          <w:p>
            <w:pPr>
              <w:spacing w:before="240" w:beforeLines="1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27" w:type="pct"/>
            <w:tcBorders>
              <w:top w:val="single" w:color="auto" w:sz="4" w:space="0"/>
              <w:left w:val="single" w:color="auto" w:sz="6" w:space="0"/>
              <w:bottom w:val="single" w:color="auto" w:sz="6" w:space="0"/>
              <w:right w:val="single" w:color="auto" w:sz="6" w:space="0"/>
            </w:tcBorders>
            <w:vAlign w:val="center"/>
          </w:tcPr>
          <w:p>
            <w:pPr>
              <w:jc w:val="center"/>
              <w:rPr>
                <w:rFonts w:hint="eastAsia" w:ascii="宋体" w:hAnsi="宋体" w:eastAsia="宋体" w:cs="宋体"/>
                <w:sz w:val="24"/>
                <w:szCs w:val="24"/>
                <w:highlight w:val="none"/>
              </w:rPr>
            </w:pPr>
          </w:p>
        </w:tc>
        <w:tc>
          <w:tcPr>
            <w:tcW w:w="631" w:type="pct"/>
            <w:tcBorders>
              <w:top w:val="single" w:color="auto" w:sz="4" w:space="0"/>
              <w:left w:val="single" w:color="auto" w:sz="6" w:space="0"/>
              <w:bottom w:val="single" w:color="auto" w:sz="6" w:space="0"/>
              <w:right w:val="single" w:color="auto" w:sz="6" w:space="0"/>
            </w:tcBorders>
            <w:vAlign w:val="center"/>
          </w:tcPr>
          <w:p>
            <w:pPr>
              <w:jc w:val="center"/>
              <w:rPr>
                <w:rFonts w:hint="eastAsia" w:ascii="宋体" w:hAnsi="宋体" w:eastAsia="宋体" w:cs="宋体"/>
                <w:sz w:val="24"/>
                <w:szCs w:val="24"/>
                <w:highlight w:val="none"/>
              </w:rPr>
            </w:pPr>
          </w:p>
        </w:tc>
        <w:tc>
          <w:tcPr>
            <w:tcW w:w="848" w:type="pct"/>
            <w:tcBorders>
              <w:top w:val="single" w:color="auto" w:sz="4" w:space="0"/>
              <w:left w:val="single" w:color="auto" w:sz="6" w:space="0"/>
              <w:bottom w:val="single" w:color="auto" w:sz="6" w:space="0"/>
              <w:right w:val="single" w:color="auto" w:sz="6" w:space="0"/>
            </w:tcBorders>
            <w:vAlign w:val="center"/>
          </w:tcPr>
          <w:p>
            <w:pPr>
              <w:jc w:val="center"/>
              <w:rPr>
                <w:rFonts w:hint="eastAsia" w:ascii="宋体" w:hAnsi="宋体" w:eastAsia="宋体" w:cs="宋体"/>
                <w:sz w:val="24"/>
                <w:szCs w:val="24"/>
                <w:highlight w:val="none"/>
              </w:rPr>
            </w:pPr>
          </w:p>
        </w:tc>
        <w:tc>
          <w:tcPr>
            <w:tcW w:w="738" w:type="pct"/>
            <w:tcBorders>
              <w:top w:val="single" w:color="auto" w:sz="4" w:space="0"/>
              <w:left w:val="single" w:color="auto" w:sz="6" w:space="0"/>
              <w:bottom w:val="single" w:color="auto" w:sz="6" w:space="0"/>
              <w:right w:val="single" w:color="auto" w:sz="6" w:space="0"/>
            </w:tcBorders>
            <w:vAlign w:val="center"/>
          </w:tcPr>
          <w:p>
            <w:pPr>
              <w:jc w:val="center"/>
              <w:rPr>
                <w:rFonts w:hint="eastAsia" w:ascii="宋体" w:hAnsi="宋体" w:eastAsia="宋体" w:cs="宋体"/>
                <w:sz w:val="24"/>
                <w:szCs w:val="24"/>
                <w:highlight w:val="none"/>
              </w:rPr>
            </w:pPr>
          </w:p>
        </w:tc>
        <w:tc>
          <w:tcPr>
            <w:tcW w:w="430" w:type="pct"/>
            <w:tcBorders>
              <w:top w:val="single" w:color="auto" w:sz="4" w:space="0"/>
              <w:left w:val="single" w:color="auto" w:sz="6" w:space="0"/>
              <w:bottom w:val="single" w:color="auto" w:sz="6" w:space="0"/>
              <w:right w:val="single" w:color="auto" w:sz="6" w:space="0"/>
            </w:tcBorders>
            <w:vAlign w:val="center"/>
          </w:tcPr>
          <w:p>
            <w:pPr>
              <w:jc w:val="center"/>
              <w:rPr>
                <w:rFonts w:hint="eastAsia" w:ascii="宋体" w:hAnsi="宋体" w:eastAsia="宋体" w:cs="宋体"/>
                <w:sz w:val="24"/>
                <w:szCs w:val="24"/>
                <w:highlight w:val="none"/>
              </w:rPr>
            </w:pPr>
          </w:p>
        </w:tc>
        <w:tc>
          <w:tcPr>
            <w:tcW w:w="514" w:type="pct"/>
            <w:tcBorders>
              <w:top w:val="single" w:color="auto" w:sz="4" w:space="0"/>
              <w:left w:val="single" w:color="auto" w:sz="6" w:space="0"/>
              <w:bottom w:val="single" w:color="auto" w:sz="6" w:space="0"/>
              <w:right w:val="single" w:color="auto" w:sz="6" w:space="0"/>
            </w:tcBorders>
            <w:vAlign w:val="center"/>
          </w:tcPr>
          <w:p>
            <w:pPr>
              <w:spacing w:before="120" w:beforeLines="50"/>
              <w:jc w:val="center"/>
              <w:rPr>
                <w:rFonts w:hint="eastAsia" w:ascii="宋体" w:hAnsi="宋体" w:eastAsia="宋体" w:cs="宋体"/>
                <w:sz w:val="24"/>
                <w:szCs w:val="24"/>
                <w:highlight w:val="none"/>
              </w:rPr>
            </w:pPr>
          </w:p>
        </w:tc>
        <w:tc>
          <w:tcPr>
            <w:tcW w:w="736" w:type="pct"/>
            <w:tcBorders>
              <w:top w:val="single" w:color="auto" w:sz="4" w:space="0"/>
              <w:left w:val="single" w:color="auto" w:sz="6" w:space="0"/>
              <w:bottom w:val="single" w:color="auto" w:sz="6" w:space="0"/>
              <w:right w:val="single" w:color="auto" w:sz="6" w:space="0"/>
            </w:tcBorders>
            <w:vAlign w:val="center"/>
          </w:tcPr>
          <w:p>
            <w:pPr>
              <w:spacing w:before="120" w:beforeLines="50"/>
              <w:jc w:val="center"/>
              <w:rPr>
                <w:rFonts w:hint="eastAsia" w:ascii="宋体" w:hAnsi="宋体" w:eastAsia="宋体" w:cs="宋体"/>
                <w:sz w:val="24"/>
                <w:szCs w:val="24"/>
                <w:highlight w:val="none"/>
              </w:rPr>
            </w:pPr>
          </w:p>
        </w:tc>
      </w:tr>
      <w:tr>
        <w:tblPrEx>
          <w:tblCellMar>
            <w:top w:w="0" w:type="dxa"/>
            <w:left w:w="28" w:type="dxa"/>
            <w:bottom w:w="0" w:type="dxa"/>
            <w:right w:w="28" w:type="dxa"/>
          </w:tblCellMar>
        </w:tblPrEx>
        <w:trPr>
          <w:trHeight w:val="1052" w:hRule="atLeast"/>
        </w:trPr>
        <w:tc>
          <w:tcPr>
            <w:tcW w:w="442" w:type="pct"/>
            <w:vMerge w:val="continue"/>
            <w:tcBorders>
              <w:left w:val="single" w:color="auto" w:sz="6" w:space="0"/>
            </w:tcBorders>
            <w:vAlign w:val="center"/>
          </w:tcPr>
          <w:p>
            <w:pPr>
              <w:spacing w:before="240" w:beforeLines="100"/>
              <w:jc w:val="center"/>
              <w:rPr>
                <w:rFonts w:hint="eastAsia" w:ascii="宋体" w:hAnsi="宋体" w:eastAsia="宋体" w:cs="宋体"/>
                <w:sz w:val="24"/>
                <w:szCs w:val="24"/>
                <w:highlight w:val="none"/>
              </w:rPr>
            </w:pPr>
          </w:p>
        </w:tc>
        <w:tc>
          <w:tcPr>
            <w:tcW w:w="327" w:type="pct"/>
            <w:tcBorders>
              <w:top w:val="single" w:color="auto" w:sz="4" w:space="0"/>
              <w:left w:val="single" w:color="auto" w:sz="6" w:space="0"/>
              <w:bottom w:val="single" w:color="auto" w:sz="6" w:space="0"/>
              <w:right w:val="single" w:color="auto" w:sz="6" w:space="0"/>
            </w:tcBorders>
            <w:vAlign w:val="center"/>
          </w:tcPr>
          <w:p>
            <w:pPr>
              <w:spacing w:before="240" w:beforeLines="1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27" w:type="pct"/>
            <w:tcBorders>
              <w:top w:val="single" w:color="auto" w:sz="4" w:space="0"/>
              <w:left w:val="single" w:color="auto" w:sz="6" w:space="0"/>
              <w:bottom w:val="single" w:color="auto" w:sz="6" w:space="0"/>
              <w:right w:val="single" w:color="auto" w:sz="6" w:space="0"/>
            </w:tcBorders>
            <w:vAlign w:val="center"/>
          </w:tcPr>
          <w:p>
            <w:pPr>
              <w:jc w:val="center"/>
              <w:rPr>
                <w:rFonts w:hint="eastAsia" w:ascii="宋体" w:hAnsi="宋体" w:eastAsia="宋体" w:cs="宋体"/>
                <w:sz w:val="24"/>
                <w:szCs w:val="24"/>
                <w:highlight w:val="none"/>
              </w:rPr>
            </w:pPr>
          </w:p>
        </w:tc>
        <w:tc>
          <w:tcPr>
            <w:tcW w:w="631" w:type="pct"/>
            <w:tcBorders>
              <w:top w:val="single" w:color="auto" w:sz="4" w:space="0"/>
              <w:left w:val="single" w:color="auto" w:sz="6" w:space="0"/>
              <w:bottom w:val="single" w:color="auto" w:sz="6" w:space="0"/>
              <w:right w:val="single" w:color="auto" w:sz="6" w:space="0"/>
            </w:tcBorders>
            <w:vAlign w:val="center"/>
          </w:tcPr>
          <w:p>
            <w:pPr>
              <w:jc w:val="center"/>
              <w:rPr>
                <w:rFonts w:hint="eastAsia" w:ascii="宋体" w:hAnsi="宋体" w:eastAsia="宋体" w:cs="宋体"/>
                <w:sz w:val="24"/>
                <w:szCs w:val="24"/>
                <w:highlight w:val="none"/>
              </w:rPr>
            </w:pPr>
          </w:p>
        </w:tc>
        <w:tc>
          <w:tcPr>
            <w:tcW w:w="848" w:type="pct"/>
            <w:tcBorders>
              <w:top w:val="single" w:color="auto" w:sz="4" w:space="0"/>
              <w:left w:val="single" w:color="auto" w:sz="6" w:space="0"/>
              <w:bottom w:val="single" w:color="auto" w:sz="6" w:space="0"/>
              <w:right w:val="single" w:color="auto" w:sz="6" w:space="0"/>
            </w:tcBorders>
            <w:vAlign w:val="center"/>
          </w:tcPr>
          <w:p>
            <w:pPr>
              <w:jc w:val="center"/>
              <w:rPr>
                <w:rFonts w:hint="eastAsia" w:ascii="宋体" w:hAnsi="宋体" w:eastAsia="宋体" w:cs="宋体"/>
                <w:sz w:val="24"/>
                <w:szCs w:val="24"/>
                <w:highlight w:val="none"/>
              </w:rPr>
            </w:pPr>
          </w:p>
        </w:tc>
        <w:tc>
          <w:tcPr>
            <w:tcW w:w="738" w:type="pct"/>
            <w:tcBorders>
              <w:top w:val="single" w:color="auto" w:sz="4" w:space="0"/>
              <w:left w:val="single" w:color="auto" w:sz="6" w:space="0"/>
              <w:bottom w:val="single" w:color="auto" w:sz="6" w:space="0"/>
              <w:right w:val="single" w:color="auto" w:sz="6" w:space="0"/>
            </w:tcBorders>
            <w:vAlign w:val="center"/>
          </w:tcPr>
          <w:p>
            <w:pPr>
              <w:jc w:val="center"/>
              <w:rPr>
                <w:rFonts w:hint="eastAsia" w:ascii="宋体" w:hAnsi="宋体" w:eastAsia="宋体" w:cs="宋体"/>
                <w:sz w:val="24"/>
                <w:szCs w:val="24"/>
                <w:highlight w:val="none"/>
              </w:rPr>
            </w:pPr>
          </w:p>
        </w:tc>
        <w:tc>
          <w:tcPr>
            <w:tcW w:w="430" w:type="pct"/>
            <w:tcBorders>
              <w:top w:val="single" w:color="auto" w:sz="4" w:space="0"/>
              <w:left w:val="single" w:color="auto" w:sz="6" w:space="0"/>
              <w:bottom w:val="single" w:color="auto" w:sz="6" w:space="0"/>
              <w:right w:val="single" w:color="auto" w:sz="6" w:space="0"/>
            </w:tcBorders>
            <w:vAlign w:val="center"/>
          </w:tcPr>
          <w:p>
            <w:pPr>
              <w:jc w:val="center"/>
              <w:rPr>
                <w:rFonts w:hint="eastAsia" w:ascii="宋体" w:hAnsi="宋体" w:eastAsia="宋体" w:cs="宋体"/>
                <w:sz w:val="24"/>
                <w:szCs w:val="24"/>
                <w:highlight w:val="none"/>
              </w:rPr>
            </w:pPr>
          </w:p>
        </w:tc>
        <w:tc>
          <w:tcPr>
            <w:tcW w:w="514" w:type="pct"/>
            <w:tcBorders>
              <w:top w:val="single" w:color="auto" w:sz="4" w:space="0"/>
              <w:left w:val="single" w:color="auto" w:sz="6" w:space="0"/>
              <w:bottom w:val="single" w:color="auto" w:sz="6" w:space="0"/>
              <w:right w:val="single" w:color="auto" w:sz="6" w:space="0"/>
            </w:tcBorders>
            <w:vAlign w:val="center"/>
          </w:tcPr>
          <w:p>
            <w:pPr>
              <w:spacing w:before="120" w:beforeLines="50"/>
              <w:jc w:val="center"/>
              <w:rPr>
                <w:rFonts w:hint="eastAsia" w:ascii="宋体" w:hAnsi="宋体" w:eastAsia="宋体" w:cs="宋体"/>
                <w:sz w:val="24"/>
                <w:szCs w:val="24"/>
                <w:highlight w:val="none"/>
              </w:rPr>
            </w:pPr>
          </w:p>
        </w:tc>
        <w:tc>
          <w:tcPr>
            <w:tcW w:w="736" w:type="pct"/>
            <w:tcBorders>
              <w:top w:val="single" w:color="auto" w:sz="4" w:space="0"/>
              <w:left w:val="single" w:color="auto" w:sz="6" w:space="0"/>
              <w:bottom w:val="single" w:color="auto" w:sz="6" w:space="0"/>
              <w:right w:val="single" w:color="auto" w:sz="6" w:space="0"/>
            </w:tcBorders>
            <w:vAlign w:val="center"/>
          </w:tcPr>
          <w:p>
            <w:pPr>
              <w:spacing w:before="120" w:beforeLines="50"/>
              <w:jc w:val="center"/>
              <w:rPr>
                <w:rFonts w:hint="eastAsia" w:ascii="宋体" w:hAnsi="宋体" w:eastAsia="宋体" w:cs="宋体"/>
                <w:sz w:val="24"/>
                <w:szCs w:val="24"/>
                <w:highlight w:val="none"/>
              </w:rPr>
            </w:pPr>
          </w:p>
        </w:tc>
      </w:tr>
      <w:tr>
        <w:tblPrEx>
          <w:tblCellMar>
            <w:top w:w="0" w:type="dxa"/>
            <w:left w:w="28" w:type="dxa"/>
            <w:bottom w:w="0" w:type="dxa"/>
            <w:right w:w="28" w:type="dxa"/>
          </w:tblCellMar>
        </w:tblPrEx>
        <w:trPr>
          <w:trHeight w:val="930" w:hRule="atLeast"/>
        </w:trPr>
        <w:tc>
          <w:tcPr>
            <w:tcW w:w="1098" w:type="pct"/>
            <w:gridSpan w:val="3"/>
            <w:tcBorders>
              <w:top w:val="single" w:color="auto" w:sz="4" w:space="0"/>
              <w:left w:val="single" w:color="auto" w:sz="6" w:space="0"/>
              <w:bottom w:val="single" w:color="auto" w:sz="4" w:space="0"/>
              <w:right w:val="single" w:color="auto" w:sz="4" w:space="0"/>
            </w:tcBorders>
            <w:vAlign w:val="center"/>
          </w:tcPr>
          <w:p>
            <w:pPr>
              <w:spacing w:before="120" w:beforeLines="50"/>
              <w:jc w:val="center"/>
              <w:rPr>
                <w:rFonts w:hint="eastAsia" w:ascii="宋体" w:hAnsi="宋体" w:eastAsia="宋体" w:cs="宋体"/>
                <w:sz w:val="24"/>
                <w:highlight w:val="none"/>
              </w:rPr>
            </w:pPr>
            <w:r>
              <w:rPr>
                <w:rFonts w:hint="eastAsia" w:ascii="宋体" w:hAnsi="宋体" w:eastAsia="宋体" w:cs="宋体"/>
                <w:sz w:val="24"/>
                <w:highlight w:val="none"/>
              </w:rPr>
              <w:t>合计</w:t>
            </w:r>
          </w:p>
        </w:tc>
        <w:tc>
          <w:tcPr>
            <w:tcW w:w="3901" w:type="pct"/>
            <w:gridSpan w:val="6"/>
            <w:tcBorders>
              <w:top w:val="single" w:color="auto" w:sz="4" w:space="0"/>
              <w:left w:val="single" w:color="auto" w:sz="4" w:space="0"/>
              <w:bottom w:val="single" w:color="auto" w:sz="4" w:space="0"/>
              <w:right w:val="single" w:color="auto" w:sz="6" w:space="0"/>
            </w:tcBorders>
            <w:vAlign w:val="center"/>
          </w:tcPr>
          <w:p>
            <w:pPr>
              <w:spacing w:before="120" w:beforeLines="50"/>
              <w:jc w:val="both"/>
              <w:rPr>
                <w:rFonts w:hint="eastAsia" w:ascii="宋体" w:hAnsi="宋体" w:eastAsia="宋体" w:cs="宋体"/>
                <w:sz w:val="24"/>
                <w:highlight w:val="none"/>
              </w:rPr>
            </w:pPr>
            <w:r>
              <w:rPr>
                <w:rFonts w:hint="eastAsia" w:ascii="宋体" w:hAnsi="宋体" w:eastAsia="宋体" w:cs="宋体"/>
                <w:sz w:val="24"/>
                <w:highlight w:val="none"/>
              </w:rPr>
              <w:t xml:space="preserve"> 大写：                            小写：      </w:t>
            </w:r>
          </w:p>
        </w:tc>
      </w:tr>
      <w:tr>
        <w:tblPrEx>
          <w:tblCellMar>
            <w:top w:w="0" w:type="dxa"/>
            <w:left w:w="28" w:type="dxa"/>
            <w:bottom w:w="0" w:type="dxa"/>
            <w:right w:w="28" w:type="dxa"/>
          </w:tblCellMar>
        </w:tblPrEx>
        <w:trPr>
          <w:trHeight w:val="995" w:hRule="atLeast"/>
        </w:trPr>
        <w:tc>
          <w:tcPr>
            <w:tcW w:w="1098" w:type="pct"/>
            <w:gridSpan w:val="3"/>
            <w:tcBorders>
              <w:top w:val="single" w:color="auto" w:sz="4" w:space="0"/>
              <w:left w:val="single" w:color="auto" w:sz="6" w:space="0"/>
              <w:bottom w:val="single" w:color="auto" w:sz="6" w:space="0"/>
              <w:right w:val="single" w:color="auto" w:sz="4" w:space="0"/>
            </w:tcBorders>
            <w:vAlign w:val="center"/>
          </w:tcPr>
          <w:p>
            <w:pPr>
              <w:spacing w:before="120" w:beforeLines="50"/>
              <w:jc w:val="center"/>
              <w:rPr>
                <w:rFonts w:hint="eastAsia" w:ascii="宋体" w:hAnsi="宋体" w:eastAsia="宋体" w:cs="宋体"/>
                <w:sz w:val="24"/>
                <w:highlight w:val="none"/>
              </w:rPr>
            </w:pPr>
            <w:r>
              <w:rPr>
                <w:rFonts w:hint="eastAsia" w:ascii="宋体" w:hAnsi="宋体" w:eastAsia="宋体" w:cs="宋体"/>
                <w:sz w:val="24"/>
                <w:highlight w:val="none"/>
              </w:rPr>
              <w:t>备注：</w:t>
            </w:r>
          </w:p>
        </w:tc>
        <w:tc>
          <w:tcPr>
            <w:tcW w:w="3901" w:type="pct"/>
            <w:gridSpan w:val="6"/>
            <w:tcBorders>
              <w:top w:val="single" w:color="auto" w:sz="4" w:space="0"/>
              <w:left w:val="single" w:color="auto" w:sz="4" w:space="0"/>
              <w:bottom w:val="single" w:color="auto" w:sz="6" w:space="0"/>
              <w:right w:val="single" w:color="auto" w:sz="6" w:space="0"/>
            </w:tcBorders>
            <w:vAlign w:val="center"/>
          </w:tcPr>
          <w:p>
            <w:pPr>
              <w:spacing w:before="120" w:beforeLines="50"/>
              <w:jc w:val="both"/>
              <w:rPr>
                <w:rFonts w:hint="eastAsia" w:ascii="宋体" w:hAnsi="宋体" w:eastAsia="宋体" w:cs="宋体"/>
                <w:sz w:val="24"/>
                <w:highlight w:val="none"/>
              </w:rPr>
            </w:pPr>
            <w:r>
              <w:rPr>
                <w:rFonts w:hint="eastAsia" w:ascii="宋体" w:hAnsi="宋体" w:eastAsia="宋体" w:cs="宋体"/>
                <w:sz w:val="24"/>
                <w:highlight w:val="none"/>
              </w:rPr>
              <w:t>表内报价内容以元为单位，保留小数点后两位。</w:t>
            </w:r>
          </w:p>
        </w:tc>
      </w:tr>
    </w:tbl>
    <w:p>
      <w:pPr>
        <w:spacing w:line="280" w:lineRule="exact"/>
        <w:ind w:right="540" w:rightChars="257"/>
        <w:jc w:val="left"/>
        <w:rPr>
          <w:rFonts w:hint="eastAsia" w:ascii="宋体" w:hAnsi="宋体" w:eastAsia="宋体" w:cs="宋体"/>
          <w:sz w:val="24"/>
          <w:highlight w:val="none"/>
        </w:rPr>
      </w:pPr>
    </w:p>
    <w:p>
      <w:pPr>
        <w:spacing w:line="280" w:lineRule="exact"/>
        <w:ind w:right="540" w:rightChars="257"/>
        <w:jc w:val="left"/>
        <w:rPr>
          <w:rFonts w:hint="eastAsia" w:ascii="宋体" w:hAnsi="宋体" w:eastAsia="宋体" w:cs="宋体"/>
          <w:sz w:val="24"/>
          <w:highlight w:val="none"/>
          <w:u w:val="single"/>
        </w:rPr>
      </w:pPr>
      <w:r>
        <w:rPr>
          <w:rFonts w:hint="eastAsia" w:ascii="宋体" w:hAnsi="宋体" w:eastAsia="宋体" w:cs="宋体"/>
          <w:sz w:val="24"/>
          <w:highlight w:val="none"/>
        </w:rPr>
        <w:t>谈判</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（加盖单位公章）      </w:t>
      </w:r>
    </w:p>
    <w:p>
      <w:pPr>
        <w:spacing w:line="280" w:lineRule="exact"/>
        <w:ind w:right="540" w:rightChars="257"/>
        <w:jc w:val="left"/>
        <w:rPr>
          <w:rFonts w:hint="eastAsia" w:ascii="宋体" w:hAnsi="宋体" w:eastAsia="宋体" w:cs="宋体"/>
          <w:sz w:val="24"/>
          <w:highlight w:val="none"/>
        </w:rPr>
      </w:pPr>
    </w:p>
    <w:p>
      <w:pPr>
        <w:spacing w:line="280" w:lineRule="exact"/>
        <w:ind w:right="540" w:rightChars="257"/>
        <w:jc w:val="left"/>
        <w:rPr>
          <w:rFonts w:hint="eastAsia" w:ascii="宋体" w:hAnsi="宋体" w:eastAsia="宋体" w:cs="宋体"/>
          <w:sz w:val="24"/>
          <w:highlight w:val="none"/>
        </w:rPr>
      </w:pPr>
      <w:r>
        <w:rPr>
          <w:rFonts w:hint="eastAsia" w:ascii="宋体" w:hAnsi="宋体" w:eastAsia="宋体" w:cs="宋体"/>
          <w:sz w:val="24"/>
          <w:highlight w:val="none"/>
          <w:lang w:eastAsia="zh-CN"/>
        </w:rPr>
        <w:t>法定代表人</w:t>
      </w:r>
      <w:r>
        <w:rPr>
          <w:rFonts w:hint="eastAsia" w:ascii="宋体" w:hAnsi="宋体" w:eastAsia="宋体" w:cs="宋体"/>
          <w:sz w:val="24"/>
          <w:highlight w:val="none"/>
          <w:lang w:val="en-US" w:eastAsia="zh-CN"/>
        </w:rPr>
        <w:t>或</w:t>
      </w:r>
      <w:r>
        <w:rPr>
          <w:rFonts w:hint="eastAsia" w:ascii="宋体" w:hAnsi="宋体" w:eastAsia="宋体" w:cs="宋体"/>
          <w:sz w:val="24"/>
          <w:highlight w:val="none"/>
          <w:lang w:eastAsia="zh-CN"/>
        </w:rPr>
        <w:t>被授权人</w:t>
      </w:r>
      <w:r>
        <w:rPr>
          <w:rFonts w:hint="eastAsia" w:ascii="宋体" w:hAnsi="宋体" w:eastAsia="宋体" w:cs="宋体"/>
          <w:sz w:val="24"/>
          <w:highlight w:val="none"/>
        </w:rPr>
        <w:t>：</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签字</w:t>
      </w:r>
      <w:r>
        <w:rPr>
          <w:rFonts w:hint="eastAsia" w:ascii="宋体" w:hAnsi="宋体" w:eastAsia="宋体" w:cs="宋体"/>
          <w:sz w:val="24"/>
          <w:highlight w:val="none"/>
          <w:lang w:eastAsia="zh-CN"/>
        </w:rPr>
        <w:t>或盖章</w:t>
      </w:r>
      <w:r>
        <w:rPr>
          <w:rFonts w:hint="eastAsia" w:ascii="宋体" w:hAnsi="宋体" w:eastAsia="宋体" w:cs="宋体"/>
          <w:sz w:val="24"/>
          <w:highlight w:val="none"/>
          <w:lang w:val="en-US" w:eastAsia="zh-CN"/>
        </w:rPr>
        <w:t>）</w:t>
      </w:r>
    </w:p>
    <w:p>
      <w:pPr>
        <w:spacing w:line="280" w:lineRule="exact"/>
        <w:ind w:right="540" w:rightChars="257"/>
        <w:jc w:val="left"/>
        <w:rPr>
          <w:rFonts w:hint="eastAsia" w:ascii="宋体" w:hAnsi="宋体" w:eastAsia="宋体" w:cs="宋体"/>
          <w:sz w:val="24"/>
          <w:highlight w:val="none"/>
        </w:rPr>
      </w:pPr>
    </w:p>
    <w:p>
      <w:pPr>
        <w:spacing w:line="280" w:lineRule="exact"/>
        <w:ind w:right="540" w:rightChars="257"/>
        <w:rPr>
          <w:rFonts w:hint="eastAsia" w:ascii="宋体" w:hAnsi="宋体" w:eastAsia="宋体" w:cs="宋体"/>
          <w:sz w:val="24"/>
          <w:highlight w:val="none"/>
        </w:rPr>
      </w:pPr>
      <w:r>
        <w:rPr>
          <w:rFonts w:hint="eastAsia" w:ascii="宋体" w:hAnsi="宋体" w:eastAsia="宋体" w:cs="宋体"/>
          <w:sz w:val="24"/>
          <w:highlight w:val="none"/>
        </w:rPr>
        <w:t>日    期：</w:t>
      </w:r>
    </w:p>
    <w:p>
      <w:pPr>
        <w:spacing w:line="440" w:lineRule="exact"/>
        <w:rPr>
          <w:rFonts w:hint="eastAsia" w:ascii="宋体" w:hAnsi="宋体" w:eastAsia="宋体" w:cs="宋体"/>
          <w:sz w:val="36"/>
          <w:highlight w:val="none"/>
        </w:rPr>
      </w:pPr>
    </w:p>
    <w:p>
      <w:pPr>
        <w:spacing w:line="440" w:lineRule="exact"/>
        <w:rPr>
          <w:rFonts w:hint="eastAsia" w:ascii="宋体" w:hAnsi="宋体" w:eastAsia="宋体" w:cs="宋体"/>
          <w:sz w:val="24"/>
          <w:highlight w:val="none"/>
        </w:rPr>
      </w:pPr>
      <w:r>
        <w:rPr>
          <w:rFonts w:hint="eastAsia" w:ascii="宋体" w:hAnsi="宋体" w:eastAsia="宋体" w:cs="宋体"/>
          <w:sz w:val="24"/>
          <w:highlight w:val="none"/>
        </w:rPr>
        <w:t>注：1. 如果按单价计算的结果与总价不一致，以单价为准修正总价。</w:t>
      </w:r>
    </w:p>
    <w:p>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2．如果不提供详细分项报价将视为没有实质性响应竞争性谈判文件。</w:t>
      </w:r>
    </w:p>
    <w:p>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可适当调整该表格式，但不得减少信息内容。</w:t>
      </w:r>
    </w:p>
    <w:p>
      <w:pPr>
        <w:spacing w:line="360" w:lineRule="auto"/>
        <w:jc w:val="center"/>
        <w:rPr>
          <w:rFonts w:hint="eastAsia" w:ascii="宋体" w:hAnsi="宋体" w:eastAsia="宋体" w:cs="宋体"/>
          <w:b/>
          <w:sz w:val="32"/>
          <w:szCs w:val="32"/>
          <w:highlight w:val="none"/>
        </w:rPr>
      </w:pPr>
      <w:r>
        <w:rPr>
          <w:rFonts w:hint="eastAsia" w:ascii="宋体" w:hAnsi="宋体" w:eastAsia="宋体" w:cs="宋体"/>
          <w:sz w:val="24"/>
          <w:highlight w:val="none"/>
        </w:rPr>
        <w:br w:type="page"/>
      </w:r>
      <w:r>
        <w:rPr>
          <w:rFonts w:hint="eastAsia" w:ascii="宋体" w:hAnsi="宋体" w:eastAsia="宋体" w:cs="宋体"/>
          <w:b/>
          <w:sz w:val="32"/>
          <w:szCs w:val="32"/>
          <w:highlight w:val="none"/>
          <w:lang w:eastAsia="zh-CN"/>
        </w:rPr>
        <w:t>三</w:t>
      </w:r>
      <w:r>
        <w:rPr>
          <w:rFonts w:hint="eastAsia" w:ascii="宋体" w:hAnsi="宋体" w:eastAsia="宋体" w:cs="宋体"/>
          <w:b/>
          <w:sz w:val="32"/>
          <w:szCs w:val="32"/>
          <w:highlight w:val="none"/>
        </w:rPr>
        <w:t>、谈判方案说明书</w:t>
      </w:r>
    </w:p>
    <w:p>
      <w:pPr>
        <w:keepNext w:val="0"/>
        <w:keepLines w:val="0"/>
        <w:pageBreakBefore w:val="0"/>
        <w:widowControl w:val="0"/>
        <w:kinsoku w:val="0"/>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按照竞争性谈判文件的要求编制的谈判方案说明书，内容包括设备（产品）技术说明、组织供货和和服务的详细说明、技术规格响应表、设备（产品）配置说明彩页</w:t>
      </w:r>
      <w:r>
        <w:rPr>
          <w:rFonts w:hint="eastAsia" w:ascii="宋体" w:hAnsi="宋体" w:eastAsia="宋体" w:cs="宋体"/>
          <w:sz w:val="24"/>
          <w:szCs w:val="24"/>
          <w:highlight w:val="none"/>
          <w:lang w:eastAsia="zh-CN"/>
        </w:rPr>
        <w:t>（如有）</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生产厂家出具的、相应的功能证明材料（包括但不限于测试报告、官网和功能截图等）</w:t>
      </w:r>
      <w:r>
        <w:rPr>
          <w:rFonts w:hint="eastAsia" w:ascii="宋体" w:hAnsi="宋体" w:eastAsia="宋体" w:cs="宋体"/>
          <w:sz w:val="24"/>
          <w:szCs w:val="24"/>
          <w:highlight w:val="none"/>
        </w:rPr>
        <w:t>，质量保证和售后服务承诺等。</w:t>
      </w:r>
      <w:r>
        <w:rPr>
          <w:rFonts w:hint="eastAsia" w:ascii="宋体" w:hAnsi="宋体" w:eastAsia="宋体" w:cs="宋体"/>
          <w:b/>
          <w:sz w:val="24"/>
          <w:szCs w:val="24"/>
          <w:highlight w:val="none"/>
        </w:rPr>
        <w:t>至少应包括</w:t>
      </w:r>
      <w:r>
        <w:rPr>
          <w:rFonts w:hint="eastAsia" w:ascii="宋体" w:hAnsi="宋体" w:eastAsia="宋体" w:cs="宋体"/>
          <w:b/>
          <w:sz w:val="24"/>
          <w:szCs w:val="24"/>
          <w:highlight w:val="none"/>
          <w:lang w:eastAsia="zh-CN"/>
        </w:rPr>
        <w:t>：</w:t>
      </w:r>
    </w:p>
    <w:p>
      <w:pPr>
        <w:keepNext w:val="0"/>
        <w:keepLines w:val="0"/>
        <w:pageBreakBefore w:val="0"/>
        <w:widowControl w:val="0"/>
        <w:kinsoku w:val="0"/>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1、完成项目的技术方案，要求谈判</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针对本项目的需求提出全面、完整的技术方案；</w:t>
      </w:r>
    </w:p>
    <w:p>
      <w:pPr>
        <w:keepNext w:val="0"/>
        <w:keepLines w:val="0"/>
        <w:pageBreakBefore w:val="0"/>
        <w:widowControl w:val="0"/>
        <w:kinsoku w:val="0"/>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2、谈判设备（产品）的商标、型号、功能、技术规格、详细的供货配置清单（原材料说明、结构图、效果图如有）；</w:t>
      </w:r>
    </w:p>
    <w:p>
      <w:pPr>
        <w:keepNext w:val="0"/>
        <w:keepLines w:val="0"/>
        <w:pageBreakBefore w:val="0"/>
        <w:widowControl w:val="0"/>
        <w:kinsoku w:val="0"/>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highlight w:val="none"/>
          <w:lang w:eastAsia="zh-CN"/>
        </w:rPr>
        <w:t>产品来源渠道合法的证明文件（包括但不限于销售协议、代理协议、原厂授权等）；</w:t>
      </w:r>
    </w:p>
    <w:p>
      <w:pPr>
        <w:keepNext w:val="0"/>
        <w:keepLines w:val="0"/>
        <w:pageBreakBefore w:val="0"/>
        <w:widowControl w:val="0"/>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、填写技术规格响应表（见附表）并提供支持文件；</w:t>
      </w:r>
    </w:p>
    <w:p>
      <w:pPr>
        <w:keepNext w:val="0"/>
        <w:keepLines w:val="0"/>
        <w:pageBreakBefore w:val="0"/>
        <w:widowControl w:val="0"/>
        <w:kinsoku w:val="0"/>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、谈判产品的制造商情况及原产地、质量标准、检测标准、是否符合国家规范及相关认证等；</w:t>
      </w:r>
    </w:p>
    <w:p>
      <w:pPr>
        <w:keepNext w:val="0"/>
        <w:keepLines w:val="0"/>
        <w:pageBreakBefore w:val="0"/>
        <w:widowControl w:val="0"/>
        <w:kinsoku w:val="0"/>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、谈判产品的彩页</w:t>
      </w:r>
      <w:r>
        <w:rPr>
          <w:rFonts w:hint="eastAsia" w:ascii="宋体" w:hAnsi="宋体" w:eastAsia="宋体" w:cs="宋体"/>
          <w:sz w:val="24"/>
          <w:szCs w:val="24"/>
          <w:highlight w:val="none"/>
          <w:lang w:eastAsia="zh-CN"/>
        </w:rPr>
        <w:t>（如有）</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生产厂家出具的、相应的功能证明材料（包括但不限于测试报告、官网和功能截图等）</w:t>
      </w:r>
      <w:r>
        <w:rPr>
          <w:rFonts w:hint="eastAsia" w:ascii="宋体" w:hAnsi="宋体" w:eastAsia="宋体" w:cs="宋体"/>
          <w:sz w:val="24"/>
          <w:szCs w:val="24"/>
          <w:highlight w:val="none"/>
        </w:rPr>
        <w:t>；</w:t>
      </w:r>
    </w:p>
    <w:p>
      <w:pPr>
        <w:keepNext w:val="0"/>
        <w:keepLines w:val="0"/>
        <w:pageBreakBefore w:val="0"/>
        <w:widowControl w:val="0"/>
        <w:kinsoku w:val="0"/>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、技术规格优于或偏离谈判要求的指标；</w:t>
      </w:r>
    </w:p>
    <w:p>
      <w:pPr>
        <w:keepNext w:val="0"/>
        <w:keepLines w:val="0"/>
        <w:pageBreakBefore w:val="0"/>
        <w:widowControl w:val="0"/>
        <w:kinsoku w:val="0"/>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、服务范围和服务内容的详细说明；</w:t>
      </w:r>
    </w:p>
    <w:p>
      <w:pPr>
        <w:keepNext w:val="0"/>
        <w:keepLines w:val="0"/>
        <w:pageBreakBefore w:val="0"/>
        <w:widowControl w:val="0"/>
        <w:kinsoku w:val="0"/>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、质量保证措施、培训方案、售后服务方案、响应时间、验收依据等。</w:t>
      </w:r>
    </w:p>
    <w:p>
      <w:pPr>
        <w:keepNext w:val="0"/>
        <w:keepLines w:val="0"/>
        <w:pageBreakBefore w:val="0"/>
        <w:widowControl w:val="0"/>
        <w:kinsoku w:val="0"/>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、提供的维保服务点的名称、地址、电话联系人、应在谈判文件中说明；</w:t>
      </w:r>
    </w:p>
    <w:p>
      <w:pPr>
        <w:keepNext w:val="0"/>
        <w:keepLines w:val="0"/>
        <w:pageBreakBefore w:val="0"/>
        <w:widowControl w:val="0"/>
        <w:kinsoku w:val="0"/>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、供应商服务承诺书；</w:t>
      </w:r>
    </w:p>
    <w:p>
      <w:pPr>
        <w:keepNext w:val="0"/>
        <w:keepLines w:val="0"/>
        <w:pageBreakBefore w:val="0"/>
        <w:widowControl w:val="0"/>
        <w:kinsoku w:val="0"/>
        <w:wordWrap/>
        <w:overflowPunct/>
        <w:topLinePunct w:val="0"/>
        <w:autoSpaceDE/>
        <w:autoSpaceDN/>
        <w:bidi w:val="0"/>
        <w:adjustRightInd/>
        <w:snapToGrid/>
        <w:spacing w:line="480" w:lineRule="exact"/>
        <w:ind w:right="0" w:rightChars="0"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、供应商认为有必要说明的问题。</w:t>
      </w:r>
    </w:p>
    <w:p>
      <w:pPr>
        <w:keepNext w:val="0"/>
        <w:keepLines w:val="0"/>
        <w:pageBreakBefore w:val="0"/>
        <w:widowControl w:val="0"/>
        <w:wordWrap/>
        <w:overflowPunct/>
        <w:topLinePunct w:val="0"/>
        <w:autoSpaceDE/>
        <w:autoSpaceDN/>
        <w:bidi w:val="0"/>
        <w:adjustRightInd/>
        <w:snapToGrid/>
        <w:spacing w:line="480" w:lineRule="exact"/>
        <w:ind w:left="3259" w:leftChars="1552" w:right="0" w:rightChars="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法定代表人</w:t>
      </w: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lang w:eastAsia="zh-CN"/>
        </w:rPr>
        <w:t>被授权人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eastAsia="zh-CN"/>
        </w:rPr>
        <w:t>或盖章</w:t>
      </w:r>
      <w:r>
        <w:rPr>
          <w:rFonts w:hint="eastAsia" w:ascii="宋体" w:hAnsi="宋体" w:eastAsia="宋体" w:cs="宋体"/>
          <w:sz w:val="24"/>
          <w:szCs w:val="24"/>
          <w:highlight w:val="none"/>
          <w:lang w:val="en-US" w:eastAsia="zh-CN"/>
        </w:rPr>
        <w:t>）</w:t>
      </w:r>
    </w:p>
    <w:p>
      <w:pPr>
        <w:keepNext w:val="0"/>
        <w:keepLines w:val="0"/>
        <w:pageBreakBefore w:val="0"/>
        <w:widowControl w:val="0"/>
        <w:wordWrap/>
        <w:overflowPunct/>
        <w:topLinePunct w:val="0"/>
        <w:autoSpaceDE/>
        <w:autoSpaceDN/>
        <w:bidi w:val="0"/>
        <w:adjustRightInd/>
        <w:snapToGrid/>
        <w:spacing w:line="480" w:lineRule="exact"/>
        <w:ind w:left="3259" w:leftChars="1552" w:right="0" w:rightChars="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公      章：</w:t>
      </w:r>
    </w:p>
    <w:p>
      <w:pPr>
        <w:keepNext w:val="0"/>
        <w:keepLines w:val="0"/>
        <w:pageBreakBefore w:val="0"/>
        <w:widowControl w:val="0"/>
        <w:wordWrap/>
        <w:overflowPunct/>
        <w:topLinePunct w:val="0"/>
        <w:autoSpaceDE/>
        <w:autoSpaceDN/>
        <w:bidi w:val="0"/>
        <w:adjustRightInd/>
        <w:snapToGrid/>
        <w:spacing w:line="480" w:lineRule="exact"/>
        <w:ind w:left="3259" w:leftChars="1552" w:right="0" w:rightChars="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p>
    <w:p>
      <w:pPr>
        <w:keepNext w:val="0"/>
        <w:keepLines w:val="0"/>
        <w:pageBreakBefore w:val="0"/>
        <w:widowControl w:val="0"/>
        <w:wordWrap/>
        <w:overflowPunct/>
        <w:topLinePunct w:val="0"/>
        <w:autoSpaceDE/>
        <w:autoSpaceDN/>
        <w:bidi w:val="0"/>
        <w:adjustRightInd/>
        <w:snapToGrid/>
        <w:spacing w:line="480" w:lineRule="exact"/>
        <w:ind w:right="0" w:rightChars="0"/>
        <w:jc w:val="both"/>
        <w:textAlignment w:val="auto"/>
        <w:outlineLvl w:val="9"/>
        <w:rPr>
          <w:rFonts w:hint="eastAsia" w:ascii="宋体" w:hAnsi="宋体" w:eastAsia="宋体" w:cs="宋体"/>
          <w:b/>
          <w:sz w:val="24"/>
          <w:szCs w:val="24"/>
          <w:highlight w:val="none"/>
        </w:rPr>
      </w:pPr>
      <w:r>
        <w:rPr>
          <w:rFonts w:hint="eastAsia" w:ascii="宋体" w:hAnsi="宋体" w:eastAsia="宋体" w:cs="宋体"/>
          <w:b/>
          <w:sz w:val="36"/>
          <w:highlight w:val="none"/>
        </w:rPr>
        <w:br w:type="page"/>
      </w:r>
      <w:r>
        <w:rPr>
          <w:rFonts w:hint="eastAsia" w:ascii="宋体" w:hAnsi="宋体" w:eastAsia="宋体" w:cs="宋体"/>
          <w:b/>
          <w:sz w:val="24"/>
          <w:szCs w:val="24"/>
          <w:highlight w:val="none"/>
        </w:rPr>
        <w:t>附表1：</w:t>
      </w:r>
    </w:p>
    <w:p>
      <w:pPr>
        <w:spacing w:after="120"/>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技术规格响应表</w:t>
      </w:r>
    </w:p>
    <w:p>
      <w:pPr>
        <w:spacing w:after="120"/>
        <w:ind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p>
      <w:pPr>
        <w:spacing w:after="120"/>
        <w:ind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tbl>
      <w:tblPr>
        <w:tblStyle w:val="28"/>
        <w:tblW w:w="884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10"/>
        <w:gridCol w:w="1853"/>
        <w:gridCol w:w="1985"/>
        <w:gridCol w:w="2268"/>
        <w:gridCol w:w="1006"/>
        <w:gridCol w:w="7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jc w:val="center"/>
        </w:trPr>
        <w:tc>
          <w:tcPr>
            <w:tcW w:w="1010" w:type="dxa"/>
            <w:tcBorders>
              <w:bottom w:val="nil"/>
            </w:tcBorders>
            <w:vAlign w:val="top"/>
          </w:tcPr>
          <w:p>
            <w:pPr>
              <w:spacing w:before="120" w:beforeLines="5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853" w:type="dxa"/>
            <w:tcBorders>
              <w:bottom w:val="nil"/>
            </w:tcBorders>
            <w:vAlign w:val="top"/>
          </w:tcPr>
          <w:p>
            <w:pPr>
              <w:spacing w:before="120" w:beforeLines="5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产品名称</w:t>
            </w:r>
          </w:p>
        </w:tc>
        <w:tc>
          <w:tcPr>
            <w:tcW w:w="1985" w:type="dxa"/>
            <w:tcBorders>
              <w:bottom w:val="nil"/>
            </w:tcBorders>
            <w:vAlign w:val="top"/>
          </w:tcPr>
          <w:p>
            <w:pPr>
              <w:spacing w:before="120" w:beforeLines="5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竞争性谈判规格 ☆1</w:t>
            </w:r>
          </w:p>
        </w:tc>
        <w:tc>
          <w:tcPr>
            <w:tcW w:w="2268" w:type="dxa"/>
            <w:tcBorders>
              <w:bottom w:val="nil"/>
            </w:tcBorders>
            <w:vAlign w:val="top"/>
          </w:tcPr>
          <w:p>
            <w:pPr>
              <w:spacing w:before="120" w:beforeLines="5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竞争性谈判响应规格 ☆2</w:t>
            </w:r>
          </w:p>
        </w:tc>
        <w:tc>
          <w:tcPr>
            <w:tcW w:w="1006" w:type="dxa"/>
            <w:tcBorders>
              <w:bottom w:val="nil"/>
            </w:tcBorders>
            <w:vAlign w:val="top"/>
          </w:tcPr>
          <w:p>
            <w:pPr>
              <w:spacing w:before="120" w:beforeLines="5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偏离</w:t>
            </w:r>
            <w:r>
              <w:rPr>
                <w:rFonts w:hint="eastAsia" w:ascii="宋体" w:hAnsi="宋体" w:eastAsia="宋体" w:cs="宋体"/>
                <w:sz w:val="24"/>
                <w:szCs w:val="24"/>
                <w:highlight w:val="none"/>
                <w:lang w:eastAsia="zh-CN"/>
              </w:rPr>
              <w:t>说明</w:t>
            </w:r>
          </w:p>
        </w:tc>
        <w:tc>
          <w:tcPr>
            <w:tcW w:w="722" w:type="dxa"/>
            <w:tcBorders>
              <w:bottom w:val="nil"/>
            </w:tcBorders>
            <w:vAlign w:val="top"/>
          </w:tcPr>
          <w:p>
            <w:pPr>
              <w:spacing w:before="120" w:beforeLines="5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7" w:hRule="atLeast"/>
          <w:jc w:val="center"/>
        </w:trPr>
        <w:tc>
          <w:tcPr>
            <w:tcW w:w="1010" w:type="dxa"/>
            <w:tcBorders>
              <w:top w:val="single" w:color="auto" w:sz="12" w:space="0"/>
              <w:left w:val="single" w:color="auto" w:sz="12" w:space="0"/>
              <w:bottom w:val="single" w:color="auto" w:sz="12" w:space="0"/>
              <w:right w:val="single" w:color="auto" w:sz="6" w:space="0"/>
            </w:tcBorders>
            <w:vAlign w:val="top"/>
          </w:tcPr>
          <w:p>
            <w:pPr>
              <w:rPr>
                <w:rFonts w:hint="eastAsia" w:ascii="宋体" w:hAnsi="宋体" w:eastAsia="宋体" w:cs="宋体"/>
                <w:sz w:val="24"/>
                <w:szCs w:val="24"/>
                <w:highlight w:val="none"/>
              </w:rPr>
            </w:pPr>
          </w:p>
        </w:tc>
        <w:tc>
          <w:tcPr>
            <w:tcW w:w="1853" w:type="dxa"/>
            <w:tcBorders>
              <w:top w:val="single" w:color="auto" w:sz="12" w:space="0"/>
              <w:left w:val="single" w:color="auto" w:sz="6" w:space="0"/>
              <w:bottom w:val="single" w:color="auto" w:sz="12" w:space="0"/>
              <w:right w:val="single" w:color="auto" w:sz="6" w:space="0"/>
            </w:tcBorders>
            <w:vAlign w:val="top"/>
          </w:tcPr>
          <w:p>
            <w:pPr>
              <w:rPr>
                <w:rFonts w:hint="eastAsia" w:ascii="宋体" w:hAnsi="宋体" w:eastAsia="宋体" w:cs="宋体"/>
                <w:sz w:val="24"/>
                <w:szCs w:val="24"/>
                <w:highlight w:val="none"/>
              </w:rPr>
            </w:pPr>
          </w:p>
        </w:tc>
        <w:tc>
          <w:tcPr>
            <w:tcW w:w="1985" w:type="dxa"/>
            <w:tcBorders>
              <w:top w:val="single" w:color="auto" w:sz="12" w:space="0"/>
              <w:left w:val="single" w:color="auto" w:sz="6" w:space="0"/>
              <w:bottom w:val="single" w:color="auto" w:sz="12" w:space="0"/>
              <w:right w:val="single" w:color="auto" w:sz="6" w:space="0"/>
            </w:tcBorders>
            <w:vAlign w:val="top"/>
          </w:tcPr>
          <w:p>
            <w:pPr>
              <w:rPr>
                <w:rFonts w:hint="eastAsia" w:ascii="宋体" w:hAnsi="宋体" w:eastAsia="宋体" w:cs="宋体"/>
                <w:sz w:val="24"/>
                <w:szCs w:val="24"/>
                <w:highlight w:val="none"/>
              </w:rPr>
            </w:pPr>
          </w:p>
        </w:tc>
        <w:tc>
          <w:tcPr>
            <w:tcW w:w="2268" w:type="dxa"/>
            <w:tcBorders>
              <w:top w:val="single" w:color="auto" w:sz="12" w:space="0"/>
              <w:left w:val="single" w:color="auto" w:sz="6" w:space="0"/>
              <w:bottom w:val="single" w:color="auto" w:sz="12" w:space="0"/>
              <w:right w:val="single" w:color="auto" w:sz="6" w:space="0"/>
            </w:tcBorders>
            <w:vAlign w:val="top"/>
          </w:tcPr>
          <w:p>
            <w:pPr>
              <w:rPr>
                <w:rFonts w:hint="eastAsia" w:ascii="宋体" w:hAnsi="宋体" w:eastAsia="宋体" w:cs="宋体"/>
                <w:sz w:val="24"/>
                <w:szCs w:val="24"/>
                <w:highlight w:val="none"/>
              </w:rPr>
            </w:pPr>
          </w:p>
        </w:tc>
        <w:tc>
          <w:tcPr>
            <w:tcW w:w="1006" w:type="dxa"/>
            <w:tcBorders>
              <w:top w:val="single" w:color="auto" w:sz="12" w:space="0"/>
              <w:left w:val="single" w:color="auto" w:sz="6" w:space="0"/>
              <w:bottom w:val="single" w:color="auto" w:sz="12" w:space="0"/>
              <w:right w:val="single" w:color="auto" w:sz="6" w:space="0"/>
            </w:tcBorders>
            <w:vAlign w:val="top"/>
          </w:tcPr>
          <w:p>
            <w:pPr>
              <w:rPr>
                <w:rFonts w:hint="eastAsia" w:ascii="宋体" w:hAnsi="宋体" w:eastAsia="宋体" w:cs="宋体"/>
                <w:sz w:val="24"/>
                <w:szCs w:val="24"/>
                <w:highlight w:val="none"/>
              </w:rPr>
            </w:pPr>
          </w:p>
        </w:tc>
        <w:tc>
          <w:tcPr>
            <w:tcW w:w="722" w:type="dxa"/>
            <w:tcBorders>
              <w:top w:val="single" w:color="auto" w:sz="12" w:space="0"/>
              <w:left w:val="single" w:color="auto" w:sz="6" w:space="0"/>
              <w:bottom w:val="single" w:color="auto" w:sz="12" w:space="0"/>
              <w:right w:val="single" w:color="auto" w:sz="12" w:space="0"/>
            </w:tcBorders>
            <w:vAlign w:val="top"/>
          </w:tcPr>
          <w:p>
            <w:pPr>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7" w:hRule="atLeast"/>
          <w:jc w:val="center"/>
        </w:trPr>
        <w:tc>
          <w:tcPr>
            <w:tcW w:w="1010" w:type="dxa"/>
            <w:tcBorders>
              <w:top w:val="single" w:color="auto" w:sz="12" w:space="0"/>
              <w:left w:val="single" w:color="auto" w:sz="12" w:space="0"/>
              <w:bottom w:val="single" w:color="auto" w:sz="12" w:space="0"/>
              <w:right w:val="single" w:color="auto" w:sz="6" w:space="0"/>
            </w:tcBorders>
            <w:vAlign w:val="top"/>
          </w:tcPr>
          <w:p>
            <w:pPr>
              <w:rPr>
                <w:rFonts w:hint="eastAsia" w:ascii="宋体" w:hAnsi="宋体" w:eastAsia="宋体" w:cs="宋体"/>
                <w:sz w:val="24"/>
                <w:szCs w:val="24"/>
                <w:highlight w:val="none"/>
              </w:rPr>
            </w:pPr>
          </w:p>
        </w:tc>
        <w:tc>
          <w:tcPr>
            <w:tcW w:w="1853" w:type="dxa"/>
            <w:tcBorders>
              <w:top w:val="single" w:color="auto" w:sz="12" w:space="0"/>
              <w:left w:val="single" w:color="auto" w:sz="6" w:space="0"/>
              <w:bottom w:val="single" w:color="auto" w:sz="12" w:space="0"/>
              <w:right w:val="single" w:color="auto" w:sz="6" w:space="0"/>
            </w:tcBorders>
            <w:vAlign w:val="top"/>
          </w:tcPr>
          <w:p>
            <w:pPr>
              <w:rPr>
                <w:rFonts w:hint="eastAsia" w:ascii="宋体" w:hAnsi="宋体" w:eastAsia="宋体" w:cs="宋体"/>
                <w:sz w:val="24"/>
                <w:szCs w:val="24"/>
                <w:highlight w:val="none"/>
              </w:rPr>
            </w:pPr>
          </w:p>
        </w:tc>
        <w:tc>
          <w:tcPr>
            <w:tcW w:w="1985" w:type="dxa"/>
            <w:tcBorders>
              <w:top w:val="single" w:color="auto" w:sz="12" w:space="0"/>
              <w:left w:val="single" w:color="auto" w:sz="6" w:space="0"/>
              <w:bottom w:val="single" w:color="auto" w:sz="12" w:space="0"/>
              <w:right w:val="single" w:color="auto" w:sz="6" w:space="0"/>
            </w:tcBorders>
            <w:vAlign w:val="top"/>
          </w:tcPr>
          <w:p>
            <w:pPr>
              <w:rPr>
                <w:rFonts w:hint="eastAsia" w:ascii="宋体" w:hAnsi="宋体" w:eastAsia="宋体" w:cs="宋体"/>
                <w:sz w:val="24"/>
                <w:szCs w:val="24"/>
                <w:highlight w:val="none"/>
              </w:rPr>
            </w:pPr>
          </w:p>
        </w:tc>
        <w:tc>
          <w:tcPr>
            <w:tcW w:w="2268" w:type="dxa"/>
            <w:tcBorders>
              <w:top w:val="single" w:color="auto" w:sz="12" w:space="0"/>
              <w:left w:val="single" w:color="auto" w:sz="6" w:space="0"/>
              <w:bottom w:val="single" w:color="auto" w:sz="12" w:space="0"/>
              <w:right w:val="single" w:color="auto" w:sz="6" w:space="0"/>
            </w:tcBorders>
            <w:vAlign w:val="top"/>
          </w:tcPr>
          <w:p>
            <w:pPr>
              <w:rPr>
                <w:rFonts w:hint="eastAsia" w:ascii="宋体" w:hAnsi="宋体" w:eastAsia="宋体" w:cs="宋体"/>
                <w:sz w:val="24"/>
                <w:szCs w:val="24"/>
                <w:highlight w:val="none"/>
              </w:rPr>
            </w:pPr>
          </w:p>
        </w:tc>
        <w:tc>
          <w:tcPr>
            <w:tcW w:w="1006" w:type="dxa"/>
            <w:tcBorders>
              <w:top w:val="single" w:color="auto" w:sz="12" w:space="0"/>
              <w:left w:val="single" w:color="auto" w:sz="6" w:space="0"/>
              <w:bottom w:val="single" w:color="auto" w:sz="12" w:space="0"/>
              <w:right w:val="single" w:color="auto" w:sz="6" w:space="0"/>
            </w:tcBorders>
            <w:vAlign w:val="top"/>
          </w:tcPr>
          <w:p>
            <w:pPr>
              <w:rPr>
                <w:rFonts w:hint="eastAsia" w:ascii="宋体" w:hAnsi="宋体" w:eastAsia="宋体" w:cs="宋体"/>
                <w:sz w:val="24"/>
                <w:szCs w:val="24"/>
                <w:highlight w:val="none"/>
              </w:rPr>
            </w:pPr>
          </w:p>
        </w:tc>
        <w:tc>
          <w:tcPr>
            <w:tcW w:w="722" w:type="dxa"/>
            <w:tcBorders>
              <w:top w:val="single" w:color="auto" w:sz="12" w:space="0"/>
              <w:left w:val="single" w:color="auto" w:sz="6" w:space="0"/>
              <w:bottom w:val="single" w:color="auto" w:sz="12" w:space="0"/>
              <w:right w:val="single" w:color="auto" w:sz="12" w:space="0"/>
            </w:tcBorders>
            <w:vAlign w:val="top"/>
          </w:tcPr>
          <w:p>
            <w:pPr>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7" w:hRule="atLeast"/>
          <w:jc w:val="center"/>
        </w:trPr>
        <w:tc>
          <w:tcPr>
            <w:tcW w:w="1010" w:type="dxa"/>
            <w:tcBorders>
              <w:top w:val="single" w:color="auto" w:sz="12" w:space="0"/>
              <w:left w:val="single" w:color="auto" w:sz="12" w:space="0"/>
              <w:bottom w:val="single" w:color="auto" w:sz="12" w:space="0"/>
              <w:right w:val="single" w:color="auto" w:sz="6" w:space="0"/>
            </w:tcBorders>
            <w:vAlign w:val="top"/>
          </w:tcPr>
          <w:p>
            <w:pPr>
              <w:rPr>
                <w:rFonts w:hint="eastAsia" w:ascii="宋体" w:hAnsi="宋体" w:eastAsia="宋体" w:cs="宋体"/>
                <w:sz w:val="24"/>
                <w:szCs w:val="24"/>
                <w:highlight w:val="none"/>
              </w:rPr>
            </w:pPr>
          </w:p>
        </w:tc>
        <w:tc>
          <w:tcPr>
            <w:tcW w:w="1853" w:type="dxa"/>
            <w:tcBorders>
              <w:top w:val="single" w:color="auto" w:sz="12" w:space="0"/>
              <w:left w:val="single" w:color="auto" w:sz="6" w:space="0"/>
              <w:bottom w:val="single" w:color="auto" w:sz="12" w:space="0"/>
              <w:right w:val="single" w:color="auto" w:sz="6" w:space="0"/>
            </w:tcBorders>
            <w:vAlign w:val="top"/>
          </w:tcPr>
          <w:p>
            <w:pPr>
              <w:rPr>
                <w:rFonts w:hint="eastAsia" w:ascii="宋体" w:hAnsi="宋体" w:eastAsia="宋体" w:cs="宋体"/>
                <w:sz w:val="24"/>
                <w:szCs w:val="24"/>
                <w:highlight w:val="none"/>
              </w:rPr>
            </w:pPr>
          </w:p>
        </w:tc>
        <w:tc>
          <w:tcPr>
            <w:tcW w:w="1985" w:type="dxa"/>
            <w:tcBorders>
              <w:top w:val="single" w:color="auto" w:sz="12" w:space="0"/>
              <w:left w:val="single" w:color="auto" w:sz="6" w:space="0"/>
              <w:bottom w:val="single" w:color="auto" w:sz="12" w:space="0"/>
              <w:right w:val="single" w:color="auto" w:sz="6" w:space="0"/>
            </w:tcBorders>
            <w:vAlign w:val="top"/>
          </w:tcPr>
          <w:p>
            <w:pPr>
              <w:rPr>
                <w:rFonts w:hint="eastAsia" w:ascii="宋体" w:hAnsi="宋体" w:eastAsia="宋体" w:cs="宋体"/>
                <w:sz w:val="24"/>
                <w:szCs w:val="24"/>
                <w:highlight w:val="none"/>
              </w:rPr>
            </w:pPr>
          </w:p>
        </w:tc>
        <w:tc>
          <w:tcPr>
            <w:tcW w:w="2268" w:type="dxa"/>
            <w:tcBorders>
              <w:top w:val="single" w:color="auto" w:sz="12" w:space="0"/>
              <w:left w:val="single" w:color="auto" w:sz="6" w:space="0"/>
              <w:bottom w:val="single" w:color="auto" w:sz="12" w:space="0"/>
              <w:right w:val="single" w:color="auto" w:sz="6" w:space="0"/>
            </w:tcBorders>
            <w:vAlign w:val="top"/>
          </w:tcPr>
          <w:p>
            <w:pPr>
              <w:rPr>
                <w:rFonts w:hint="eastAsia" w:ascii="宋体" w:hAnsi="宋体" w:eastAsia="宋体" w:cs="宋体"/>
                <w:sz w:val="24"/>
                <w:szCs w:val="24"/>
                <w:highlight w:val="none"/>
              </w:rPr>
            </w:pPr>
          </w:p>
        </w:tc>
        <w:tc>
          <w:tcPr>
            <w:tcW w:w="1006" w:type="dxa"/>
            <w:tcBorders>
              <w:top w:val="single" w:color="auto" w:sz="12" w:space="0"/>
              <w:left w:val="single" w:color="auto" w:sz="6" w:space="0"/>
              <w:bottom w:val="single" w:color="auto" w:sz="12" w:space="0"/>
              <w:right w:val="single" w:color="auto" w:sz="6" w:space="0"/>
            </w:tcBorders>
            <w:vAlign w:val="top"/>
          </w:tcPr>
          <w:p>
            <w:pPr>
              <w:rPr>
                <w:rFonts w:hint="eastAsia" w:ascii="宋体" w:hAnsi="宋体" w:eastAsia="宋体" w:cs="宋体"/>
                <w:sz w:val="24"/>
                <w:szCs w:val="24"/>
                <w:highlight w:val="none"/>
              </w:rPr>
            </w:pPr>
          </w:p>
        </w:tc>
        <w:tc>
          <w:tcPr>
            <w:tcW w:w="722" w:type="dxa"/>
            <w:tcBorders>
              <w:top w:val="single" w:color="auto" w:sz="12" w:space="0"/>
              <w:left w:val="single" w:color="auto" w:sz="6" w:space="0"/>
              <w:bottom w:val="single" w:color="auto" w:sz="12" w:space="0"/>
              <w:right w:val="single" w:color="auto" w:sz="12" w:space="0"/>
            </w:tcBorders>
            <w:vAlign w:val="top"/>
          </w:tcPr>
          <w:p>
            <w:pPr>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7" w:hRule="atLeast"/>
          <w:jc w:val="center"/>
        </w:trPr>
        <w:tc>
          <w:tcPr>
            <w:tcW w:w="1010" w:type="dxa"/>
            <w:tcBorders>
              <w:top w:val="single" w:color="auto" w:sz="12" w:space="0"/>
              <w:left w:val="single" w:color="auto" w:sz="12" w:space="0"/>
              <w:bottom w:val="single" w:color="auto" w:sz="12" w:space="0"/>
              <w:right w:val="single" w:color="auto" w:sz="6" w:space="0"/>
            </w:tcBorders>
            <w:vAlign w:val="top"/>
          </w:tcPr>
          <w:p>
            <w:pPr>
              <w:rPr>
                <w:rFonts w:hint="eastAsia" w:ascii="宋体" w:hAnsi="宋体" w:eastAsia="宋体" w:cs="宋体"/>
                <w:sz w:val="24"/>
                <w:szCs w:val="24"/>
                <w:highlight w:val="none"/>
              </w:rPr>
            </w:pPr>
          </w:p>
        </w:tc>
        <w:tc>
          <w:tcPr>
            <w:tcW w:w="1853" w:type="dxa"/>
            <w:tcBorders>
              <w:top w:val="single" w:color="auto" w:sz="12" w:space="0"/>
              <w:left w:val="single" w:color="auto" w:sz="6" w:space="0"/>
              <w:bottom w:val="single" w:color="auto" w:sz="12" w:space="0"/>
              <w:right w:val="single" w:color="auto" w:sz="6" w:space="0"/>
            </w:tcBorders>
            <w:vAlign w:val="top"/>
          </w:tcPr>
          <w:p>
            <w:pPr>
              <w:rPr>
                <w:rFonts w:hint="eastAsia" w:ascii="宋体" w:hAnsi="宋体" w:eastAsia="宋体" w:cs="宋体"/>
                <w:sz w:val="24"/>
                <w:szCs w:val="24"/>
                <w:highlight w:val="none"/>
              </w:rPr>
            </w:pPr>
          </w:p>
        </w:tc>
        <w:tc>
          <w:tcPr>
            <w:tcW w:w="1985" w:type="dxa"/>
            <w:tcBorders>
              <w:top w:val="single" w:color="auto" w:sz="12" w:space="0"/>
              <w:left w:val="single" w:color="auto" w:sz="6" w:space="0"/>
              <w:bottom w:val="single" w:color="auto" w:sz="12" w:space="0"/>
              <w:right w:val="single" w:color="auto" w:sz="6" w:space="0"/>
            </w:tcBorders>
            <w:vAlign w:val="top"/>
          </w:tcPr>
          <w:p>
            <w:pPr>
              <w:rPr>
                <w:rFonts w:hint="eastAsia" w:ascii="宋体" w:hAnsi="宋体" w:eastAsia="宋体" w:cs="宋体"/>
                <w:sz w:val="24"/>
                <w:szCs w:val="24"/>
                <w:highlight w:val="none"/>
              </w:rPr>
            </w:pPr>
          </w:p>
        </w:tc>
        <w:tc>
          <w:tcPr>
            <w:tcW w:w="2268" w:type="dxa"/>
            <w:tcBorders>
              <w:top w:val="single" w:color="auto" w:sz="12" w:space="0"/>
              <w:left w:val="single" w:color="auto" w:sz="6" w:space="0"/>
              <w:bottom w:val="single" w:color="auto" w:sz="12" w:space="0"/>
              <w:right w:val="single" w:color="auto" w:sz="6" w:space="0"/>
            </w:tcBorders>
            <w:vAlign w:val="top"/>
          </w:tcPr>
          <w:p>
            <w:pPr>
              <w:rPr>
                <w:rFonts w:hint="eastAsia" w:ascii="宋体" w:hAnsi="宋体" w:eastAsia="宋体" w:cs="宋体"/>
                <w:sz w:val="24"/>
                <w:szCs w:val="24"/>
                <w:highlight w:val="none"/>
              </w:rPr>
            </w:pPr>
          </w:p>
        </w:tc>
        <w:tc>
          <w:tcPr>
            <w:tcW w:w="1006" w:type="dxa"/>
            <w:tcBorders>
              <w:top w:val="single" w:color="auto" w:sz="12" w:space="0"/>
              <w:left w:val="single" w:color="auto" w:sz="6" w:space="0"/>
              <w:bottom w:val="single" w:color="auto" w:sz="12" w:space="0"/>
              <w:right w:val="single" w:color="auto" w:sz="6" w:space="0"/>
            </w:tcBorders>
            <w:vAlign w:val="top"/>
          </w:tcPr>
          <w:p>
            <w:pPr>
              <w:rPr>
                <w:rFonts w:hint="eastAsia" w:ascii="宋体" w:hAnsi="宋体" w:eastAsia="宋体" w:cs="宋体"/>
                <w:sz w:val="24"/>
                <w:szCs w:val="24"/>
                <w:highlight w:val="none"/>
              </w:rPr>
            </w:pPr>
          </w:p>
        </w:tc>
        <w:tc>
          <w:tcPr>
            <w:tcW w:w="722" w:type="dxa"/>
            <w:tcBorders>
              <w:top w:val="single" w:color="auto" w:sz="12" w:space="0"/>
              <w:left w:val="single" w:color="auto" w:sz="6" w:space="0"/>
              <w:bottom w:val="single" w:color="auto" w:sz="12" w:space="0"/>
              <w:right w:val="single" w:color="auto" w:sz="12" w:space="0"/>
            </w:tcBorders>
            <w:vAlign w:val="top"/>
          </w:tcPr>
          <w:p>
            <w:pPr>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7" w:hRule="atLeast"/>
          <w:jc w:val="center"/>
        </w:trPr>
        <w:tc>
          <w:tcPr>
            <w:tcW w:w="1010" w:type="dxa"/>
            <w:tcBorders>
              <w:top w:val="single" w:color="auto" w:sz="12" w:space="0"/>
              <w:left w:val="single" w:color="auto" w:sz="12" w:space="0"/>
              <w:bottom w:val="single" w:color="auto" w:sz="12" w:space="0"/>
              <w:right w:val="single" w:color="auto" w:sz="6" w:space="0"/>
            </w:tcBorders>
            <w:vAlign w:val="top"/>
          </w:tcPr>
          <w:p>
            <w:pPr>
              <w:rPr>
                <w:rFonts w:hint="eastAsia" w:ascii="宋体" w:hAnsi="宋体" w:eastAsia="宋体" w:cs="宋体"/>
                <w:sz w:val="24"/>
                <w:szCs w:val="24"/>
                <w:highlight w:val="none"/>
              </w:rPr>
            </w:pPr>
          </w:p>
        </w:tc>
        <w:tc>
          <w:tcPr>
            <w:tcW w:w="1853" w:type="dxa"/>
            <w:tcBorders>
              <w:top w:val="single" w:color="auto" w:sz="12" w:space="0"/>
              <w:left w:val="single" w:color="auto" w:sz="6" w:space="0"/>
              <w:bottom w:val="single" w:color="auto" w:sz="12" w:space="0"/>
              <w:right w:val="single" w:color="auto" w:sz="6" w:space="0"/>
            </w:tcBorders>
            <w:vAlign w:val="top"/>
          </w:tcPr>
          <w:p>
            <w:pPr>
              <w:rPr>
                <w:rFonts w:hint="eastAsia" w:ascii="宋体" w:hAnsi="宋体" w:eastAsia="宋体" w:cs="宋体"/>
                <w:sz w:val="24"/>
                <w:szCs w:val="24"/>
                <w:highlight w:val="none"/>
              </w:rPr>
            </w:pPr>
          </w:p>
        </w:tc>
        <w:tc>
          <w:tcPr>
            <w:tcW w:w="1985" w:type="dxa"/>
            <w:tcBorders>
              <w:top w:val="single" w:color="auto" w:sz="12" w:space="0"/>
              <w:left w:val="single" w:color="auto" w:sz="6" w:space="0"/>
              <w:bottom w:val="single" w:color="auto" w:sz="12" w:space="0"/>
              <w:right w:val="single" w:color="auto" w:sz="6" w:space="0"/>
            </w:tcBorders>
            <w:vAlign w:val="top"/>
          </w:tcPr>
          <w:p>
            <w:pPr>
              <w:rPr>
                <w:rFonts w:hint="eastAsia" w:ascii="宋体" w:hAnsi="宋体" w:eastAsia="宋体" w:cs="宋体"/>
                <w:sz w:val="24"/>
                <w:szCs w:val="24"/>
                <w:highlight w:val="none"/>
              </w:rPr>
            </w:pPr>
          </w:p>
        </w:tc>
        <w:tc>
          <w:tcPr>
            <w:tcW w:w="2268" w:type="dxa"/>
            <w:tcBorders>
              <w:top w:val="single" w:color="auto" w:sz="12" w:space="0"/>
              <w:left w:val="single" w:color="auto" w:sz="6" w:space="0"/>
              <w:bottom w:val="single" w:color="auto" w:sz="12" w:space="0"/>
              <w:right w:val="single" w:color="auto" w:sz="6" w:space="0"/>
            </w:tcBorders>
            <w:vAlign w:val="top"/>
          </w:tcPr>
          <w:p>
            <w:pPr>
              <w:rPr>
                <w:rFonts w:hint="eastAsia" w:ascii="宋体" w:hAnsi="宋体" w:eastAsia="宋体" w:cs="宋体"/>
                <w:sz w:val="24"/>
                <w:szCs w:val="24"/>
                <w:highlight w:val="none"/>
              </w:rPr>
            </w:pPr>
          </w:p>
        </w:tc>
        <w:tc>
          <w:tcPr>
            <w:tcW w:w="1006" w:type="dxa"/>
            <w:tcBorders>
              <w:top w:val="single" w:color="auto" w:sz="12" w:space="0"/>
              <w:left w:val="single" w:color="auto" w:sz="6" w:space="0"/>
              <w:bottom w:val="single" w:color="auto" w:sz="12" w:space="0"/>
              <w:right w:val="single" w:color="auto" w:sz="6" w:space="0"/>
            </w:tcBorders>
            <w:vAlign w:val="top"/>
          </w:tcPr>
          <w:p>
            <w:pPr>
              <w:rPr>
                <w:rFonts w:hint="eastAsia" w:ascii="宋体" w:hAnsi="宋体" w:eastAsia="宋体" w:cs="宋体"/>
                <w:sz w:val="24"/>
                <w:szCs w:val="24"/>
                <w:highlight w:val="none"/>
              </w:rPr>
            </w:pPr>
          </w:p>
        </w:tc>
        <w:tc>
          <w:tcPr>
            <w:tcW w:w="722" w:type="dxa"/>
            <w:tcBorders>
              <w:top w:val="single" w:color="auto" w:sz="12" w:space="0"/>
              <w:left w:val="single" w:color="auto" w:sz="6" w:space="0"/>
              <w:bottom w:val="single" w:color="auto" w:sz="12" w:space="0"/>
              <w:right w:val="single" w:color="auto" w:sz="12" w:space="0"/>
            </w:tcBorders>
            <w:vAlign w:val="top"/>
          </w:tcPr>
          <w:p>
            <w:pPr>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7" w:hRule="atLeast"/>
          <w:jc w:val="center"/>
        </w:trPr>
        <w:tc>
          <w:tcPr>
            <w:tcW w:w="1010" w:type="dxa"/>
            <w:tcBorders>
              <w:top w:val="single" w:color="auto" w:sz="12" w:space="0"/>
              <w:left w:val="single" w:color="auto" w:sz="12" w:space="0"/>
              <w:bottom w:val="single" w:color="auto" w:sz="12" w:space="0"/>
              <w:right w:val="single" w:color="auto" w:sz="6" w:space="0"/>
            </w:tcBorders>
            <w:vAlign w:val="top"/>
          </w:tcPr>
          <w:p>
            <w:pPr>
              <w:rPr>
                <w:rFonts w:hint="eastAsia" w:ascii="宋体" w:hAnsi="宋体" w:eastAsia="宋体" w:cs="宋体"/>
                <w:sz w:val="24"/>
                <w:szCs w:val="24"/>
                <w:highlight w:val="none"/>
              </w:rPr>
            </w:pPr>
          </w:p>
        </w:tc>
        <w:tc>
          <w:tcPr>
            <w:tcW w:w="1853" w:type="dxa"/>
            <w:tcBorders>
              <w:top w:val="single" w:color="auto" w:sz="12" w:space="0"/>
              <w:left w:val="single" w:color="auto" w:sz="6" w:space="0"/>
              <w:bottom w:val="single" w:color="auto" w:sz="12" w:space="0"/>
              <w:right w:val="single" w:color="auto" w:sz="6" w:space="0"/>
            </w:tcBorders>
            <w:vAlign w:val="top"/>
          </w:tcPr>
          <w:p>
            <w:pPr>
              <w:rPr>
                <w:rFonts w:hint="eastAsia" w:ascii="宋体" w:hAnsi="宋体" w:eastAsia="宋体" w:cs="宋体"/>
                <w:sz w:val="24"/>
                <w:szCs w:val="24"/>
                <w:highlight w:val="none"/>
              </w:rPr>
            </w:pPr>
          </w:p>
        </w:tc>
        <w:tc>
          <w:tcPr>
            <w:tcW w:w="1985" w:type="dxa"/>
            <w:tcBorders>
              <w:top w:val="single" w:color="auto" w:sz="12" w:space="0"/>
              <w:left w:val="single" w:color="auto" w:sz="6" w:space="0"/>
              <w:bottom w:val="single" w:color="auto" w:sz="12" w:space="0"/>
              <w:right w:val="single" w:color="auto" w:sz="6" w:space="0"/>
            </w:tcBorders>
            <w:vAlign w:val="top"/>
          </w:tcPr>
          <w:p>
            <w:pPr>
              <w:rPr>
                <w:rFonts w:hint="eastAsia" w:ascii="宋体" w:hAnsi="宋体" w:eastAsia="宋体" w:cs="宋体"/>
                <w:sz w:val="24"/>
                <w:szCs w:val="24"/>
                <w:highlight w:val="none"/>
              </w:rPr>
            </w:pPr>
          </w:p>
        </w:tc>
        <w:tc>
          <w:tcPr>
            <w:tcW w:w="2268" w:type="dxa"/>
            <w:tcBorders>
              <w:top w:val="single" w:color="auto" w:sz="12" w:space="0"/>
              <w:left w:val="single" w:color="auto" w:sz="6" w:space="0"/>
              <w:bottom w:val="single" w:color="auto" w:sz="12" w:space="0"/>
              <w:right w:val="single" w:color="auto" w:sz="6" w:space="0"/>
            </w:tcBorders>
            <w:vAlign w:val="top"/>
          </w:tcPr>
          <w:p>
            <w:pPr>
              <w:rPr>
                <w:rFonts w:hint="eastAsia" w:ascii="宋体" w:hAnsi="宋体" w:eastAsia="宋体" w:cs="宋体"/>
                <w:sz w:val="24"/>
                <w:szCs w:val="24"/>
                <w:highlight w:val="none"/>
              </w:rPr>
            </w:pPr>
          </w:p>
        </w:tc>
        <w:tc>
          <w:tcPr>
            <w:tcW w:w="1006" w:type="dxa"/>
            <w:tcBorders>
              <w:top w:val="single" w:color="auto" w:sz="12" w:space="0"/>
              <w:left w:val="single" w:color="auto" w:sz="6" w:space="0"/>
              <w:bottom w:val="single" w:color="auto" w:sz="12" w:space="0"/>
              <w:right w:val="single" w:color="auto" w:sz="6" w:space="0"/>
            </w:tcBorders>
            <w:vAlign w:val="top"/>
          </w:tcPr>
          <w:p>
            <w:pPr>
              <w:rPr>
                <w:rFonts w:hint="eastAsia" w:ascii="宋体" w:hAnsi="宋体" w:eastAsia="宋体" w:cs="宋体"/>
                <w:sz w:val="24"/>
                <w:szCs w:val="24"/>
                <w:highlight w:val="none"/>
              </w:rPr>
            </w:pPr>
          </w:p>
        </w:tc>
        <w:tc>
          <w:tcPr>
            <w:tcW w:w="722" w:type="dxa"/>
            <w:tcBorders>
              <w:top w:val="single" w:color="auto" w:sz="12" w:space="0"/>
              <w:left w:val="single" w:color="auto" w:sz="6" w:space="0"/>
              <w:bottom w:val="single" w:color="auto" w:sz="12" w:space="0"/>
              <w:right w:val="single" w:color="auto" w:sz="12" w:space="0"/>
            </w:tcBorders>
            <w:vAlign w:val="top"/>
          </w:tcPr>
          <w:p>
            <w:pPr>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7" w:hRule="atLeast"/>
          <w:jc w:val="center"/>
        </w:trPr>
        <w:tc>
          <w:tcPr>
            <w:tcW w:w="1010" w:type="dxa"/>
            <w:tcBorders>
              <w:top w:val="single" w:color="auto" w:sz="12" w:space="0"/>
              <w:left w:val="single" w:color="auto" w:sz="12" w:space="0"/>
              <w:bottom w:val="single" w:color="auto" w:sz="12" w:space="0"/>
              <w:right w:val="single" w:color="auto" w:sz="6" w:space="0"/>
            </w:tcBorders>
            <w:vAlign w:val="top"/>
          </w:tcPr>
          <w:p>
            <w:pPr>
              <w:rPr>
                <w:rFonts w:hint="eastAsia" w:ascii="宋体" w:hAnsi="宋体" w:eastAsia="宋体" w:cs="宋体"/>
                <w:sz w:val="24"/>
                <w:szCs w:val="24"/>
                <w:highlight w:val="none"/>
              </w:rPr>
            </w:pPr>
          </w:p>
        </w:tc>
        <w:tc>
          <w:tcPr>
            <w:tcW w:w="1853" w:type="dxa"/>
            <w:tcBorders>
              <w:top w:val="single" w:color="auto" w:sz="12" w:space="0"/>
              <w:left w:val="single" w:color="auto" w:sz="6" w:space="0"/>
              <w:bottom w:val="single" w:color="auto" w:sz="12" w:space="0"/>
              <w:right w:val="single" w:color="auto" w:sz="6" w:space="0"/>
            </w:tcBorders>
            <w:vAlign w:val="top"/>
          </w:tcPr>
          <w:p>
            <w:pPr>
              <w:rPr>
                <w:rFonts w:hint="eastAsia" w:ascii="宋体" w:hAnsi="宋体" w:eastAsia="宋体" w:cs="宋体"/>
                <w:sz w:val="24"/>
                <w:szCs w:val="24"/>
                <w:highlight w:val="none"/>
              </w:rPr>
            </w:pPr>
          </w:p>
        </w:tc>
        <w:tc>
          <w:tcPr>
            <w:tcW w:w="1985" w:type="dxa"/>
            <w:tcBorders>
              <w:top w:val="single" w:color="auto" w:sz="12" w:space="0"/>
              <w:left w:val="single" w:color="auto" w:sz="6" w:space="0"/>
              <w:bottom w:val="single" w:color="auto" w:sz="12" w:space="0"/>
              <w:right w:val="single" w:color="auto" w:sz="6" w:space="0"/>
            </w:tcBorders>
            <w:vAlign w:val="top"/>
          </w:tcPr>
          <w:p>
            <w:pPr>
              <w:rPr>
                <w:rFonts w:hint="eastAsia" w:ascii="宋体" w:hAnsi="宋体" w:eastAsia="宋体" w:cs="宋体"/>
                <w:sz w:val="24"/>
                <w:szCs w:val="24"/>
                <w:highlight w:val="none"/>
              </w:rPr>
            </w:pPr>
          </w:p>
        </w:tc>
        <w:tc>
          <w:tcPr>
            <w:tcW w:w="2268" w:type="dxa"/>
            <w:tcBorders>
              <w:top w:val="single" w:color="auto" w:sz="12" w:space="0"/>
              <w:left w:val="single" w:color="auto" w:sz="6" w:space="0"/>
              <w:bottom w:val="single" w:color="auto" w:sz="12" w:space="0"/>
              <w:right w:val="single" w:color="auto" w:sz="6" w:space="0"/>
            </w:tcBorders>
            <w:vAlign w:val="top"/>
          </w:tcPr>
          <w:p>
            <w:pPr>
              <w:rPr>
                <w:rFonts w:hint="eastAsia" w:ascii="宋体" w:hAnsi="宋体" w:eastAsia="宋体" w:cs="宋体"/>
                <w:sz w:val="24"/>
                <w:szCs w:val="24"/>
                <w:highlight w:val="none"/>
              </w:rPr>
            </w:pPr>
          </w:p>
        </w:tc>
        <w:tc>
          <w:tcPr>
            <w:tcW w:w="1006" w:type="dxa"/>
            <w:tcBorders>
              <w:top w:val="single" w:color="auto" w:sz="12" w:space="0"/>
              <w:left w:val="single" w:color="auto" w:sz="6" w:space="0"/>
              <w:bottom w:val="single" w:color="auto" w:sz="12" w:space="0"/>
              <w:right w:val="single" w:color="auto" w:sz="6" w:space="0"/>
            </w:tcBorders>
            <w:vAlign w:val="top"/>
          </w:tcPr>
          <w:p>
            <w:pPr>
              <w:rPr>
                <w:rFonts w:hint="eastAsia" w:ascii="宋体" w:hAnsi="宋体" w:eastAsia="宋体" w:cs="宋体"/>
                <w:sz w:val="24"/>
                <w:szCs w:val="24"/>
                <w:highlight w:val="none"/>
              </w:rPr>
            </w:pPr>
          </w:p>
        </w:tc>
        <w:tc>
          <w:tcPr>
            <w:tcW w:w="722" w:type="dxa"/>
            <w:tcBorders>
              <w:top w:val="single" w:color="auto" w:sz="12" w:space="0"/>
              <w:left w:val="single" w:color="auto" w:sz="6" w:space="0"/>
              <w:bottom w:val="single" w:color="auto" w:sz="12" w:space="0"/>
              <w:right w:val="single" w:color="auto" w:sz="12" w:space="0"/>
            </w:tcBorders>
            <w:vAlign w:val="top"/>
          </w:tcPr>
          <w:p>
            <w:pPr>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7" w:hRule="atLeast"/>
          <w:jc w:val="center"/>
        </w:trPr>
        <w:tc>
          <w:tcPr>
            <w:tcW w:w="1010" w:type="dxa"/>
            <w:tcBorders>
              <w:top w:val="single" w:color="auto" w:sz="12" w:space="0"/>
              <w:left w:val="single" w:color="auto" w:sz="12" w:space="0"/>
              <w:right w:val="single" w:color="auto" w:sz="6" w:space="0"/>
            </w:tcBorders>
            <w:vAlign w:val="top"/>
          </w:tcPr>
          <w:p>
            <w:pPr>
              <w:rPr>
                <w:rFonts w:hint="eastAsia" w:ascii="宋体" w:hAnsi="宋体" w:eastAsia="宋体" w:cs="宋体"/>
                <w:sz w:val="24"/>
                <w:szCs w:val="24"/>
                <w:highlight w:val="none"/>
              </w:rPr>
            </w:pPr>
          </w:p>
        </w:tc>
        <w:tc>
          <w:tcPr>
            <w:tcW w:w="1853" w:type="dxa"/>
            <w:tcBorders>
              <w:top w:val="single" w:color="auto" w:sz="12" w:space="0"/>
              <w:left w:val="single" w:color="auto" w:sz="6" w:space="0"/>
              <w:right w:val="single" w:color="auto" w:sz="6" w:space="0"/>
            </w:tcBorders>
            <w:vAlign w:val="top"/>
          </w:tcPr>
          <w:p>
            <w:pPr>
              <w:rPr>
                <w:rFonts w:hint="eastAsia" w:ascii="宋体" w:hAnsi="宋体" w:eastAsia="宋体" w:cs="宋体"/>
                <w:sz w:val="24"/>
                <w:szCs w:val="24"/>
                <w:highlight w:val="none"/>
              </w:rPr>
            </w:pPr>
          </w:p>
        </w:tc>
        <w:tc>
          <w:tcPr>
            <w:tcW w:w="1985" w:type="dxa"/>
            <w:tcBorders>
              <w:top w:val="single" w:color="auto" w:sz="12" w:space="0"/>
              <w:left w:val="single" w:color="auto" w:sz="6" w:space="0"/>
              <w:right w:val="single" w:color="auto" w:sz="6" w:space="0"/>
            </w:tcBorders>
            <w:vAlign w:val="top"/>
          </w:tcPr>
          <w:p>
            <w:pPr>
              <w:rPr>
                <w:rFonts w:hint="eastAsia" w:ascii="宋体" w:hAnsi="宋体" w:eastAsia="宋体" w:cs="宋体"/>
                <w:sz w:val="24"/>
                <w:szCs w:val="24"/>
                <w:highlight w:val="none"/>
              </w:rPr>
            </w:pPr>
          </w:p>
        </w:tc>
        <w:tc>
          <w:tcPr>
            <w:tcW w:w="2268" w:type="dxa"/>
            <w:tcBorders>
              <w:top w:val="single" w:color="auto" w:sz="12" w:space="0"/>
              <w:left w:val="single" w:color="auto" w:sz="6" w:space="0"/>
              <w:right w:val="single" w:color="auto" w:sz="6" w:space="0"/>
            </w:tcBorders>
            <w:vAlign w:val="top"/>
          </w:tcPr>
          <w:p>
            <w:pPr>
              <w:rPr>
                <w:rFonts w:hint="eastAsia" w:ascii="宋体" w:hAnsi="宋体" w:eastAsia="宋体" w:cs="宋体"/>
                <w:sz w:val="24"/>
                <w:szCs w:val="24"/>
                <w:highlight w:val="none"/>
              </w:rPr>
            </w:pPr>
          </w:p>
        </w:tc>
        <w:tc>
          <w:tcPr>
            <w:tcW w:w="1006" w:type="dxa"/>
            <w:tcBorders>
              <w:top w:val="single" w:color="auto" w:sz="12" w:space="0"/>
              <w:left w:val="single" w:color="auto" w:sz="6" w:space="0"/>
              <w:right w:val="single" w:color="auto" w:sz="6" w:space="0"/>
            </w:tcBorders>
            <w:vAlign w:val="top"/>
          </w:tcPr>
          <w:p>
            <w:pPr>
              <w:rPr>
                <w:rFonts w:hint="eastAsia" w:ascii="宋体" w:hAnsi="宋体" w:eastAsia="宋体" w:cs="宋体"/>
                <w:sz w:val="24"/>
                <w:szCs w:val="24"/>
                <w:highlight w:val="none"/>
              </w:rPr>
            </w:pPr>
          </w:p>
        </w:tc>
        <w:tc>
          <w:tcPr>
            <w:tcW w:w="722" w:type="dxa"/>
            <w:tcBorders>
              <w:top w:val="single" w:color="auto" w:sz="12" w:space="0"/>
              <w:left w:val="single" w:color="auto" w:sz="6" w:space="0"/>
              <w:right w:val="single" w:color="auto" w:sz="12" w:space="0"/>
            </w:tcBorders>
            <w:vAlign w:val="top"/>
          </w:tcPr>
          <w:p>
            <w:pPr>
              <w:rPr>
                <w:rFonts w:hint="eastAsia" w:ascii="宋体" w:hAnsi="宋体" w:eastAsia="宋体" w:cs="宋体"/>
                <w:sz w:val="24"/>
                <w:szCs w:val="24"/>
                <w:highlight w:val="none"/>
              </w:rPr>
            </w:pPr>
          </w:p>
        </w:tc>
      </w:tr>
    </w:tbl>
    <w:p>
      <w:pPr>
        <w:rPr>
          <w:rFonts w:hint="eastAsia" w:ascii="宋体" w:hAnsi="宋体" w:eastAsia="宋体" w:cs="宋体"/>
          <w:highlight w:val="none"/>
        </w:rPr>
      </w:pPr>
    </w:p>
    <w:p>
      <w:pPr>
        <w:rPr>
          <w:rFonts w:hint="eastAsia" w:ascii="宋体" w:hAnsi="宋体" w:eastAsia="宋体" w:cs="宋体"/>
          <w:highlight w:val="none"/>
        </w:rPr>
      </w:pPr>
    </w:p>
    <w:p>
      <w:pPr>
        <w:rPr>
          <w:rFonts w:hint="eastAsia" w:ascii="宋体" w:hAnsi="宋体" w:eastAsia="宋体" w:cs="宋体"/>
          <w:sz w:val="24"/>
          <w:szCs w:val="24"/>
          <w:highlight w:val="none"/>
        </w:rPr>
      </w:pPr>
    </w:p>
    <w:p>
      <w:pPr>
        <w:tabs>
          <w:tab w:val="left" w:pos="3045"/>
        </w:tabs>
        <w:spacing w:line="28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法定代表人</w:t>
      </w: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lang w:eastAsia="zh-CN"/>
        </w:rPr>
        <w:t>被授权人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eastAsia="zh-CN"/>
        </w:rPr>
        <w:t>或盖章</w:t>
      </w:r>
      <w:r>
        <w:rPr>
          <w:rFonts w:hint="eastAsia" w:ascii="宋体" w:hAnsi="宋体" w:eastAsia="宋体" w:cs="宋体"/>
          <w:sz w:val="24"/>
          <w:szCs w:val="24"/>
          <w:highlight w:val="none"/>
          <w:lang w:val="en-US" w:eastAsia="zh-CN"/>
        </w:rPr>
        <w:t>）</w:t>
      </w:r>
    </w:p>
    <w:p>
      <w:pPr>
        <w:tabs>
          <w:tab w:val="left" w:pos="3045"/>
        </w:tabs>
        <w:spacing w:line="280" w:lineRule="exact"/>
        <w:rPr>
          <w:rFonts w:hint="eastAsia" w:ascii="宋体" w:hAnsi="宋体" w:eastAsia="宋体" w:cs="宋体"/>
          <w:sz w:val="24"/>
          <w:szCs w:val="24"/>
          <w:highlight w:val="none"/>
        </w:rPr>
      </w:pPr>
    </w:p>
    <w:p>
      <w:pPr>
        <w:spacing w:line="280" w:lineRule="exact"/>
        <w:rPr>
          <w:rFonts w:hint="eastAsia" w:ascii="宋体" w:hAnsi="宋体" w:eastAsia="宋体" w:cs="宋体"/>
          <w:sz w:val="24"/>
          <w:szCs w:val="24"/>
          <w:highlight w:val="none"/>
        </w:rPr>
      </w:pPr>
    </w:p>
    <w:p>
      <w:pPr>
        <w:spacing w:line="280" w:lineRule="exact"/>
        <w:ind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公      章：</w:t>
      </w:r>
    </w:p>
    <w:p>
      <w:pPr>
        <w:rPr>
          <w:rFonts w:hint="eastAsia" w:ascii="宋体" w:hAnsi="宋体" w:eastAsia="宋体" w:cs="宋体"/>
          <w:sz w:val="24"/>
          <w:szCs w:val="24"/>
          <w:highlight w:val="none"/>
        </w:rPr>
      </w:pPr>
    </w:p>
    <w:p>
      <w:pPr>
        <w:rPr>
          <w:rFonts w:hint="eastAsia" w:ascii="宋体" w:hAnsi="宋体" w:eastAsia="宋体" w:cs="宋体"/>
          <w:sz w:val="24"/>
          <w:szCs w:val="24"/>
          <w:highlight w:val="none"/>
        </w:rPr>
      </w:pPr>
    </w:p>
    <w:p>
      <w:pPr>
        <w:spacing w:line="360" w:lineRule="auto"/>
        <w:ind w:left="-59" w:leftChars="-28" w:firstLine="57" w:firstLineChars="24"/>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注: </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 xml:space="preserve"> ☆1 指竞争性谈判文件中的技术规格(参数),谈判</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应按照竞争性谈判文件中的内容逐条抄写。</w:t>
      </w:r>
    </w:p>
    <w:p>
      <w:pPr>
        <w:spacing w:line="360" w:lineRule="auto"/>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 xml:space="preserve">  ☆2 指谈判</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拟提供的谈判产品的功能及技术规格(参数),</w:t>
      </w:r>
      <w:r>
        <w:rPr>
          <w:rFonts w:hint="eastAsia" w:ascii="宋体" w:hAnsi="宋体" w:eastAsia="宋体" w:cs="宋体"/>
          <w:sz w:val="24"/>
          <w:szCs w:val="24"/>
          <w:highlight w:val="none"/>
          <w:lang w:eastAsia="zh-CN"/>
        </w:rPr>
        <w:t>谈判供应商</w:t>
      </w:r>
      <w:r>
        <w:rPr>
          <w:rFonts w:hint="eastAsia" w:ascii="宋体" w:hAnsi="宋体" w:eastAsia="宋体" w:cs="宋体"/>
          <w:sz w:val="24"/>
          <w:szCs w:val="24"/>
          <w:highlight w:val="none"/>
        </w:rPr>
        <w:t>应逐条如实填写。</w:t>
      </w:r>
    </w:p>
    <w:p>
      <w:pPr>
        <w:tabs>
          <w:tab w:val="left" w:pos="668"/>
        </w:tabs>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偏离说明填写：优于、满足或低于</w:t>
      </w:r>
      <w:r>
        <w:rPr>
          <w:rFonts w:hint="eastAsia" w:ascii="宋体" w:hAnsi="宋体" w:eastAsia="宋体" w:cs="宋体"/>
          <w:sz w:val="24"/>
          <w:szCs w:val="24"/>
          <w:highlight w:val="none"/>
          <w:lang w:eastAsia="zh-CN"/>
        </w:rPr>
        <w:t>。</w:t>
      </w:r>
    </w:p>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pStyle w:val="6"/>
        <w:spacing w:before="327" w:beforeLines="100"/>
        <w:jc w:val="center"/>
        <w:rPr>
          <w:rFonts w:hint="eastAsia" w:ascii="宋体" w:hAnsi="宋体" w:eastAsia="宋体" w:cs="宋体"/>
          <w:sz w:val="32"/>
          <w:szCs w:val="32"/>
          <w:highlight w:val="none"/>
        </w:rPr>
      </w:pPr>
      <w:bookmarkStart w:id="70" w:name="_Toc21284"/>
      <w:bookmarkStart w:id="71" w:name="_Toc1379"/>
      <w:bookmarkStart w:id="72" w:name="_Toc23455"/>
      <w:bookmarkStart w:id="73" w:name="_Toc9218"/>
      <w:bookmarkStart w:id="74" w:name="_Toc2621"/>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w:t>
      </w:r>
      <w:bookmarkEnd w:id="70"/>
      <w:bookmarkEnd w:id="71"/>
      <w:bookmarkEnd w:id="72"/>
      <w:bookmarkEnd w:id="73"/>
      <w:bookmarkEnd w:id="74"/>
      <w:r>
        <w:rPr>
          <w:rFonts w:hint="eastAsia" w:ascii="宋体" w:hAnsi="宋体" w:eastAsia="宋体" w:cs="宋体"/>
          <w:sz w:val="32"/>
          <w:szCs w:val="32"/>
          <w:highlight w:val="none"/>
          <w:lang w:val="en-US" w:eastAsia="zh-CN"/>
        </w:rPr>
        <w:t>商务条款偏离表</w:t>
      </w:r>
    </w:p>
    <w:p>
      <w:pPr>
        <w:pStyle w:val="23"/>
        <w:keepNext w:val="0"/>
        <w:keepLines w:val="0"/>
        <w:widowControl w:val="0"/>
        <w:suppressLineNumbers w:val="0"/>
        <w:spacing w:before="0" w:beforeAutospacing="0" w:after="0" w:afterAutospacing="0"/>
        <w:ind w:right="0"/>
        <w:jc w:val="both"/>
        <w:rPr>
          <w:rFonts w:hint="eastAsia" w:ascii="宋体" w:hAnsi="宋体" w:eastAsia="宋体" w:cs="宋体"/>
          <w:highlight w:val="none"/>
          <w:lang w:val="en-US"/>
        </w:rPr>
      </w:pPr>
    </w:p>
    <w:p>
      <w:pPr>
        <w:pStyle w:val="23"/>
        <w:keepNext w:val="0"/>
        <w:keepLines w:val="0"/>
        <w:pageBreakBefore w:val="0"/>
        <w:widowControl w:val="0"/>
        <w:suppressLineNumbers w:val="0"/>
        <w:kinsoku/>
        <w:wordWrap/>
        <w:overflowPunct/>
        <w:topLinePunct w:val="0"/>
        <w:autoSpaceDE/>
        <w:autoSpaceDN/>
        <w:bidi w:val="0"/>
        <w:adjustRightInd/>
        <w:snapToGrid/>
        <w:spacing w:before="165" w:beforeLines="50" w:beforeAutospacing="0" w:after="165" w:afterLines="50" w:afterAutospacing="0"/>
        <w:ind w:right="0"/>
        <w:jc w:val="left"/>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项目编号：</w:t>
      </w:r>
    </w:p>
    <w:p>
      <w:pPr>
        <w:pStyle w:val="23"/>
        <w:keepNext w:val="0"/>
        <w:keepLines w:val="0"/>
        <w:pageBreakBefore w:val="0"/>
        <w:widowControl w:val="0"/>
        <w:suppressLineNumbers w:val="0"/>
        <w:kinsoku/>
        <w:wordWrap/>
        <w:overflowPunct/>
        <w:topLinePunct w:val="0"/>
        <w:autoSpaceDE/>
        <w:autoSpaceDN/>
        <w:bidi w:val="0"/>
        <w:adjustRightInd/>
        <w:snapToGrid/>
        <w:spacing w:before="165" w:beforeLines="50" w:beforeAutospacing="0" w:after="165" w:afterLines="50" w:afterAutospacing="0"/>
        <w:ind w:right="0"/>
        <w:jc w:val="left"/>
        <w:textAlignment w:val="auto"/>
        <w:outlineLvl w:val="9"/>
        <w:rPr>
          <w:rFonts w:hint="eastAsia" w:ascii="宋体" w:hAnsi="宋体" w:eastAsia="宋体" w:cs="宋体"/>
          <w:highlight w:val="none"/>
          <w:u w:val="single"/>
          <w:lang w:val="en-US" w:eastAsia="zh-CN"/>
        </w:rPr>
      </w:pPr>
      <w:r>
        <w:rPr>
          <w:rFonts w:hint="eastAsia" w:ascii="宋体" w:hAnsi="宋体" w:eastAsia="宋体" w:cs="宋体"/>
          <w:highlight w:val="none"/>
          <w:lang w:val="en-US" w:eastAsia="zh-CN"/>
        </w:rPr>
        <w:t>项目名称：</w:t>
      </w:r>
    </w:p>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bl>
      <w:tblPr>
        <w:tblStyle w:val="28"/>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935"/>
        <w:gridCol w:w="1995"/>
        <w:gridCol w:w="2085"/>
        <w:gridCol w:w="1260"/>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right="0"/>
              <w:jc w:val="center"/>
              <w:rPr>
                <w:rFonts w:hint="eastAsia" w:ascii="宋体" w:hAnsi="宋体" w:eastAsia="宋体" w:cs="宋体"/>
                <w:highlight w:val="none"/>
                <w:lang w:val="en-US"/>
              </w:rPr>
            </w:pPr>
            <w:r>
              <w:rPr>
                <w:rFonts w:hint="eastAsia" w:ascii="宋体" w:hAnsi="宋体" w:eastAsia="宋体" w:cs="宋体"/>
                <w:highlight w:val="none"/>
                <w:lang w:val="en-US" w:eastAsia="zh-CN"/>
              </w:rPr>
              <w:t>序号</w:t>
            </w:r>
          </w:p>
        </w:tc>
        <w:tc>
          <w:tcPr>
            <w:tcW w:w="1935"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right="0"/>
              <w:jc w:val="center"/>
              <w:rPr>
                <w:rFonts w:hint="eastAsia" w:ascii="宋体" w:hAnsi="宋体" w:eastAsia="宋体" w:cs="宋体"/>
                <w:highlight w:val="none"/>
                <w:lang w:val="en-US"/>
              </w:rPr>
            </w:pPr>
            <w:r>
              <w:rPr>
                <w:rFonts w:hint="eastAsia" w:ascii="宋体" w:hAnsi="宋体" w:eastAsia="宋体" w:cs="宋体"/>
                <w:highlight w:val="none"/>
                <w:lang w:val="en-US" w:eastAsia="zh-CN"/>
              </w:rPr>
              <w:t>谈判文件条目号</w:t>
            </w:r>
          </w:p>
        </w:tc>
        <w:tc>
          <w:tcPr>
            <w:tcW w:w="1995"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right="0"/>
              <w:jc w:val="center"/>
              <w:rPr>
                <w:rFonts w:hint="eastAsia" w:ascii="宋体" w:hAnsi="宋体" w:eastAsia="宋体" w:cs="宋体"/>
                <w:highlight w:val="none"/>
                <w:lang w:val="en-US"/>
              </w:rPr>
            </w:pPr>
            <w:r>
              <w:rPr>
                <w:rFonts w:hint="eastAsia" w:ascii="宋体" w:hAnsi="宋体" w:eastAsia="宋体" w:cs="宋体"/>
                <w:highlight w:val="none"/>
                <w:lang w:val="en-US" w:eastAsia="zh-CN"/>
              </w:rPr>
              <w:t>谈判文件的商务条款</w:t>
            </w:r>
          </w:p>
        </w:tc>
        <w:tc>
          <w:tcPr>
            <w:tcW w:w="2085"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right="0"/>
              <w:jc w:val="center"/>
              <w:rPr>
                <w:rFonts w:hint="eastAsia" w:ascii="宋体" w:hAnsi="宋体" w:eastAsia="宋体" w:cs="宋体"/>
                <w:highlight w:val="none"/>
                <w:lang w:val="en-US"/>
              </w:rPr>
            </w:pPr>
            <w:r>
              <w:rPr>
                <w:rFonts w:hint="eastAsia" w:ascii="宋体" w:hAnsi="宋体" w:eastAsia="宋体" w:cs="宋体"/>
                <w:highlight w:val="none"/>
                <w:lang w:val="en-US" w:eastAsia="zh-CN"/>
              </w:rPr>
              <w:t>谈判响应文件的商务条款</w:t>
            </w:r>
          </w:p>
        </w:tc>
        <w:tc>
          <w:tcPr>
            <w:tcW w:w="1260"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right="0"/>
              <w:jc w:val="center"/>
              <w:rPr>
                <w:rFonts w:hint="eastAsia" w:ascii="宋体" w:hAnsi="宋体" w:eastAsia="宋体" w:cs="宋体"/>
                <w:highlight w:val="none"/>
                <w:lang w:val="en-US"/>
              </w:rPr>
            </w:pPr>
            <w:r>
              <w:rPr>
                <w:rFonts w:hint="eastAsia" w:ascii="宋体" w:hAnsi="宋体" w:eastAsia="宋体" w:cs="宋体"/>
                <w:highlight w:val="none"/>
                <w:lang w:val="en-US" w:eastAsia="zh-CN"/>
              </w:rPr>
              <w:t>偏离</w:t>
            </w:r>
          </w:p>
        </w:tc>
        <w:tc>
          <w:tcPr>
            <w:tcW w:w="944"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right="0"/>
              <w:jc w:val="center"/>
              <w:rPr>
                <w:rFonts w:hint="eastAsia" w:ascii="宋体" w:hAnsi="宋体" w:eastAsia="宋体" w:cs="宋体"/>
                <w:highlight w:val="none"/>
                <w:lang w:val="en-US"/>
              </w:rPr>
            </w:pPr>
            <w:r>
              <w:rPr>
                <w:rFonts w:hint="eastAsia" w:ascii="宋体" w:hAnsi="宋体" w:eastAsia="宋体" w:cs="宋体"/>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r>
    </w:tbl>
    <w:p>
      <w:pPr>
        <w:pStyle w:val="23"/>
        <w:keepNext w:val="0"/>
        <w:keepLines w:val="0"/>
        <w:widowControl w:val="0"/>
        <w:suppressLineNumbers w:val="0"/>
        <w:spacing w:before="0" w:beforeAutospacing="0" w:after="0" w:afterAutospacing="0"/>
        <w:ind w:right="0"/>
        <w:jc w:val="left"/>
        <w:rPr>
          <w:rFonts w:hint="eastAsia" w:ascii="宋体" w:hAnsi="宋体" w:eastAsia="宋体" w:cs="宋体"/>
          <w:highlight w:val="none"/>
          <w:lang w:val="en-US"/>
        </w:rPr>
      </w:pPr>
      <w:r>
        <w:rPr>
          <w:rFonts w:hint="eastAsia" w:ascii="宋体" w:hAnsi="宋体" w:eastAsia="宋体" w:cs="宋体"/>
          <w:highlight w:val="none"/>
          <w:lang w:val="en-US"/>
        </w:rPr>
        <w:t>说明：</w:t>
      </w:r>
    </w:p>
    <w:p>
      <w:pPr>
        <w:pStyle w:val="23"/>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highlight w:val="none"/>
          <w:lang w:val="en-US"/>
        </w:rPr>
      </w:pPr>
      <w:r>
        <w:rPr>
          <w:rFonts w:hint="eastAsia" w:ascii="宋体" w:hAnsi="宋体" w:eastAsia="宋体" w:cs="宋体"/>
          <w:highlight w:val="none"/>
          <w:lang w:val="en-US"/>
        </w:rPr>
        <w:t>1.本表只填写</w:t>
      </w:r>
      <w:r>
        <w:rPr>
          <w:rFonts w:hint="eastAsia" w:ascii="宋体" w:hAnsi="宋体" w:eastAsia="宋体" w:cs="宋体"/>
          <w:highlight w:val="none"/>
          <w:lang w:val="en-US" w:eastAsia="zh-CN"/>
        </w:rPr>
        <w:t>谈判响应</w:t>
      </w:r>
      <w:r>
        <w:rPr>
          <w:rFonts w:hint="eastAsia" w:ascii="宋体" w:hAnsi="宋体" w:eastAsia="宋体" w:cs="宋体"/>
          <w:highlight w:val="none"/>
          <w:lang w:val="en-US"/>
        </w:rPr>
        <w:t>文件中与</w:t>
      </w:r>
      <w:r>
        <w:rPr>
          <w:rFonts w:hint="eastAsia" w:ascii="宋体" w:hAnsi="宋体" w:eastAsia="宋体" w:cs="宋体"/>
          <w:highlight w:val="none"/>
          <w:lang w:val="en-US" w:eastAsia="zh-CN"/>
        </w:rPr>
        <w:t>谈判</w:t>
      </w:r>
      <w:r>
        <w:rPr>
          <w:rFonts w:hint="eastAsia" w:ascii="宋体" w:hAnsi="宋体" w:eastAsia="宋体" w:cs="宋体"/>
          <w:highlight w:val="none"/>
          <w:lang w:val="en-US"/>
        </w:rPr>
        <w:t>文件有偏离（包括正偏离和负偏离）的内容，</w:t>
      </w:r>
      <w:r>
        <w:rPr>
          <w:rFonts w:hint="eastAsia" w:ascii="宋体" w:hAnsi="宋体" w:eastAsia="宋体" w:cs="宋体"/>
          <w:highlight w:val="none"/>
          <w:lang w:val="en-US" w:eastAsia="zh-CN"/>
        </w:rPr>
        <w:t>谈判响应</w:t>
      </w:r>
      <w:r>
        <w:rPr>
          <w:rFonts w:hint="eastAsia" w:ascii="宋体" w:hAnsi="宋体" w:eastAsia="宋体" w:cs="宋体"/>
          <w:highlight w:val="none"/>
          <w:lang w:val="en-US"/>
        </w:rPr>
        <w:t>文件中商务响应与</w:t>
      </w:r>
      <w:r>
        <w:rPr>
          <w:rFonts w:hint="eastAsia" w:ascii="宋体" w:hAnsi="宋体" w:eastAsia="宋体" w:cs="宋体"/>
          <w:highlight w:val="none"/>
          <w:lang w:val="en-US" w:eastAsia="zh-CN"/>
        </w:rPr>
        <w:t>谈判</w:t>
      </w:r>
      <w:r>
        <w:rPr>
          <w:rFonts w:hint="eastAsia" w:ascii="宋体" w:hAnsi="宋体" w:eastAsia="宋体" w:cs="宋体"/>
          <w:highlight w:val="none"/>
          <w:lang w:val="en-US"/>
        </w:rPr>
        <w:t>文件要求完全一致的，不用在此表中列出，但必须提交空白表。</w:t>
      </w:r>
    </w:p>
    <w:p>
      <w:pPr>
        <w:pStyle w:val="23"/>
        <w:keepNext w:val="0"/>
        <w:keepLines w:val="0"/>
        <w:widowControl w:val="0"/>
        <w:suppressLineNumbers w:val="0"/>
        <w:spacing w:before="0" w:beforeAutospacing="0" w:after="0" w:afterAutospacing="0"/>
        <w:ind w:left="0" w:right="0" w:firstLine="480" w:firstLineChars="200"/>
        <w:jc w:val="left"/>
        <w:rPr>
          <w:rFonts w:hint="eastAsia" w:ascii="宋体" w:hAnsi="宋体" w:eastAsia="宋体" w:cs="宋体"/>
          <w:highlight w:val="none"/>
          <w:lang w:val="en-US"/>
        </w:rPr>
      </w:pPr>
      <w:r>
        <w:rPr>
          <w:rFonts w:hint="eastAsia" w:ascii="宋体" w:hAnsi="宋体" w:eastAsia="宋体" w:cs="宋体"/>
          <w:highlight w:val="none"/>
          <w:lang w:val="en-US"/>
        </w:rPr>
        <w:t>2.</w:t>
      </w:r>
      <w:r>
        <w:rPr>
          <w:rFonts w:hint="eastAsia" w:ascii="宋体" w:hAnsi="宋体" w:eastAsia="宋体" w:cs="宋体"/>
          <w:highlight w:val="none"/>
          <w:lang w:val="en-US" w:eastAsia="zh-CN"/>
        </w:rPr>
        <w:t>供应商</w:t>
      </w:r>
      <w:r>
        <w:rPr>
          <w:rFonts w:hint="eastAsia" w:ascii="宋体" w:hAnsi="宋体" w:eastAsia="宋体" w:cs="宋体"/>
          <w:highlight w:val="none"/>
          <w:lang w:val="en-US"/>
        </w:rPr>
        <w:t>必须据实填写，不得虚假响应，否则将取消其</w:t>
      </w:r>
      <w:r>
        <w:rPr>
          <w:rFonts w:hint="eastAsia" w:ascii="宋体" w:hAnsi="宋体" w:eastAsia="宋体" w:cs="宋体"/>
          <w:highlight w:val="none"/>
          <w:lang w:val="en-US" w:eastAsia="zh-CN"/>
        </w:rPr>
        <w:t>谈判或成交</w:t>
      </w:r>
      <w:r>
        <w:rPr>
          <w:rFonts w:hint="eastAsia" w:ascii="宋体" w:hAnsi="宋体" w:eastAsia="宋体" w:cs="宋体"/>
          <w:highlight w:val="none"/>
          <w:lang w:val="en-US"/>
        </w:rPr>
        <w:t>资格，并按有关规定进处罚。</w:t>
      </w:r>
    </w:p>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p>
      <w:pPr>
        <w:pStyle w:val="23"/>
        <w:keepNext w:val="0"/>
        <w:keepLines w:val="0"/>
        <w:widowControl w:val="0"/>
        <w:suppressLineNumbers w:val="0"/>
        <w:spacing w:before="0" w:beforeAutospacing="0" w:after="0" w:afterAutospacing="0"/>
        <w:ind w:left="0" w:right="0" w:firstLine="480" w:firstLineChars="200"/>
        <w:jc w:val="left"/>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en-US"/>
        </w:rPr>
        <w:t>名称：</w:t>
      </w:r>
      <w:r>
        <w:rPr>
          <w:rFonts w:hint="eastAsia" w:ascii="宋体" w:hAnsi="宋体" w:eastAsia="宋体" w:cs="宋体"/>
          <w:sz w:val="24"/>
          <w:szCs w:val="24"/>
          <w:highlight w:val="none"/>
          <w:u w:val="single"/>
          <w:lang w:val="en-US"/>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rPr>
        <w:t>（单位公章）</w:t>
      </w:r>
    </w:p>
    <w:p>
      <w:pPr>
        <w:pStyle w:val="23"/>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sz w:val="24"/>
          <w:szCs w:val="24"/>
          <w:highlight w:val="none"/>
          <w:lang w:val="en-US"/>
        </w:rPr>
      </w:pPr>
    </w:p>
    <w:p>
      <w:pPr>
        <w:tabs>
          <w:tab w:val="left" w:pos="3045"/>
        </w:tabs>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法定代表人</w:t>
      </w: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lang w:eastAsia="zh-CN"/>
        </w:rPr>
        <w:t>被授权人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eastAsia="zh-CN"/>
        </w:rPr>
        <w:t>或盖章</w:t>
      </w:r>
      <w:r>
        <w:rPr>
          <w:rFonts w:hint="eastAsia" w:ascii="宋体" w:hAnsi="宋体" w:eastAsia="宋体" w:cs="宋体"/>
          <w:sz w:val="24"/>
          <w:szCs w:val="24"/>
          <w:highlight w:val="none"/>
          <w:lang w:val="en-US" w:eastAsia="zh-CN"/>
        </w:rPr>
        <w:t>）</w:t>
      </w:r>
    </w:p>
    <w:p>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 xml:space="preserve"> </w:t>
      </w:r>
    </w:p>
    <w:p>
      <w:pPr>
        <w:spacing w:line="400" w:lineRule="exact"/>
        <w:ind w:firstLine="480" w:firstLineChars="200"/>
        <w:jc w:val="center"/>
        <w:rPr>
          <w:rFonts w:hint="eastAsia" w:ascii="宋体" w:hAnsi="宋体" w:eastAsia="宋体" w:cs="宋体"/>
          <w:sz w:val="24"/>
          <w:szCs w:val="24"/>
          <w:highlight w:val="none"/>
        </w:rPr>
      </w:pPr>
    </w:p>
    <w:p>
      <w:pPr>
        <w:spacing w:line="360" w:lineRule="auto"/>
        <w:ind w:left="525" w:leftChars="250"/>
        <w:rPr>
          <w:rFonts w:hint="eastAsia" w:ascii="宋体" w:hAnsi="宋体" w:eastAsia="宋体" w:cs="宋体"/>
          <w:b/>
          <w:bCs/>
          <w:sz w:val="28"/>
          <w:szCs w:val="28"/>
          <w:highlight w:val="none"/>
        </w:rPr>
      </w:pPr>
    </w:p>
    <w:p>
      <w:pPr>
        <w:jc w:val="center"/>
        <w:rPr>
          <w:rFonts w:hint="eastAsia" w:ascii="宋体" w:hAnsi="宋体" w:eastAsia="宋体" w:cs="宋体"/>
          <w:b/>
          <w:sz w:val="32"/>
          <w:szCs w:val="32"/>
          <w:highlight w:val="none"/>
        </w:rPr>
      </w:pPr>
      <w:r>
        <w:rPr>
          <w:rFonts w:hint="eastAsia" w:ascii="宋体" w:hAnsi="宋体" w:eastAsia="宋体" w:cs="宋体"/>
          <w:highlight w:val="none"/>
        </w:rPr>
        <w:br w:type="page"/>
      </w:r>
      <w:r>
        <w:rPr>
          <w:rFonts w:hint="eastAsia" w:ascii="宋体" w:hAnsi="宋体" w:eastAsia="宋体" w:cs="宋体"/>
          <w:b/>
          <w:sz w:val="32"/>
          <w:szCs w:val="32"/>
          <w:highlight w:val="none"/>
          <w:lang w:eastAsia="zh-CN"/>
        </w:rPr>
        <w:t>五</w:t>
      </w:r>
      <w:r>
        <w:rPr>
          <w:rFonts w:hint="eastAsia" w:ascii="宋体" w:hAnsi="宋体" w:eastAsia="宋体" w:cs="宋体"/>
          <w:b/>
          <w:sz w:val="32"/>
          <w:szCs w:val="32"/>
          <w:highlight w:val="none"/>
        </w:rPr>
        <w:t>、陕西省政府采购供应商拒绝政府采购领域商业贿赂承诺书</w:t>
      </w:r>
    </w:p>
    <w:p>
      <w:pPr>
        <w:widowControl/>
        <w:spacing w:line="408" w:lineRule="auto"/>
        <w:ind w:left="239" w:leftChars="114" w:firstLine="470" w:firstLineChars="196"/>
        <w:jc w:val="left"/>
        <w:rPr>
          <w:rFonts w:hint="eastAsia" w:ascii="宋体" w:hAnsi="宋体" w:eastAsia="宋体" w:cs="宋体"/>
          <w:kern w:val="0"/>
          <w:sz w:val="24"/>
          <w:highlight w:val="none"/>
        </w:rPr>
      </w:pP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为响应党中央、国务院关于治理政府采购领域商业贿赂行为的号召，我公司在此庄严承诺：</w:t>
      </w: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1、在参与政府采购活动中遵纪守法、诚信经营、公平竞标。</w:t>
      </w: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2、不向政府采购人、采购代理机构和政府采购评审专家进行任何形式的商业贿赂以谋取交易机会。</w:t>
      </w: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3、不向政府采购代理机构和采购人提供虚假资质文件或采用虚假应标方式参与政府采购市场竞争并谋取成交。</w:t>
      </w: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4、不采取“围标、陪标”等商业欺诈手段获得政府采购定单。</w:t>
      </w: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5、不采取不正当手段诋毁、排挤其他供应商。</w:t>
      </w: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6、不在提供商品和服务时“偷梁换柱、以次充好”损害采购人的合法权益。</w:t>
      </w: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7、不与采购人、采购代理机构政府采购评审专家或其它供应商恶意串通，进行质疑和投诉，维护政府采购市场秩序。</w:t>
      </w: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8、尊重和接受政府采购监督管理部门的监督和政府采购代理机构竞争性谈判采购要求，承担因违约行为给采购人造成的损失。</w:t>
      </w: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9、不发生其他有悖于政府采购公开、公平、公正和诚信原则的行为。</w:t>
      </w:r>
    </w:p>
    <w:p>
      <w:pPr>
        <w:widowControl/>
        <w:spacing w:line="408" w:lineRule="auto"/>
        <w:ind w:left="239" w:leftChars="114" w:firstLine="470" w:firstLineChars="196"/>
        <w:jc w:val="left"/>
        <w:rPr>
          <w:rFonts w:hint="eastAsia" w:ascii="宋体" w:hAnsi="宋体" w:eastAsia="宋体" w:cs="宋体"/>
          <w:kern w:val="0"/>
          <w:sz w:val="24"/>
          <w:highlight w:val="none"/>
        </w:rPr>
      </w:pPr>
    </w:p>
    <w:p>
      <w:pPr>
        <w:widowControl/>
        <w:spacing w:line="408"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承诺单位：（盖章）</w:t>
      </w:r>
    </w:p>
    <w:p>
      <w:pPr>
        <w:widowControl/>
        <w:spacing w:line="408"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lang w:eastAsia="zh-CN"/>
        </w:rPr>
        <w:t>法定代表人</w:t>
      </w:r>
      <w:r>
        <w:rPr>
          <w:rFonts w:hint="eastAsia" w:ascii="宋体" w:hAnsi="宋体" w:eastAsia="宋体" w:cs="宋体"/>
          <w:kern w:val="0"/>
          <w:sz w:val="24"/>
          <w:highlight w:val="none"/>
          <w:lang w:val="en-US" w:eastAsia="zh-CN"/>
        </w:rPr>
        <w:t>或</w:t>
      </w:r>
      <w:r>
        <w:rPr>
          <w:rFonts w:hint="eastAsia" w:ascii="宋体" w:hAnsi="宋体" w:eastAsia="宋体" w:cs="宋体"/>
          <w:kern w:val="0"/>
          <w:sz w:val="24"/>
          <w:highlight w:val="none"/>
          <w:lang w:eastAsia="zh-CN"/>
        </w:rPr>
        <w:t>被授权人</w:t>
      </w:r>
      <w:r>
        <w:rPr>
          <w:rFonts w:hint="eastAsia" w:ascii="宋体" w:hAnsi="宋体" w:eastAsia="宋体" w:cs="宋体"/>
          <w:kern w:val="0"/>
          <w:sz w:val="24"/>
          <w:highlight w:val="none"/>
        </w:rPr>
        <w:t>：</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签字</w:t>
      </w:r>
      <w:r>
        <w:rPr>
          <w:rFonts w:hint="eastAsia" w:ascii="宋体" w:hAnsi="宋体" w:eastAsia="宋体" w:cs="宋体"/>
          <w:kern w:val="0"/>
          <w:sz w:val="24"/>
          <w:highlight w:val="none"/>
          <w:lang w:eastAsia="zh-CN"/>
        </w:rPr>
        <w:t>或盖章</w:t>
      </w:r>
      <w:r>
        <w:rPr>
          <w:rFonts w:hint="eastAsia" w:ascii="宋体" w:hAnsi="宋体" w:eastAsia="宋体" w:cs="宋体"/>
          <w:kern w:val="0"/>
          <w:sz w:val="24"/>
          <w:highlight w:val="none"/>
          <w:lang w:val="en-US" w:eastAsia="zh-CN"/>
        </w:rPr>
        <w:t>）</w:t>
      </w:r>
    </w:p>
    <w:p>
      <w:pPr>
        <w:widowControl/>
        <w:spacing w:line="408"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地  址：       </w:t>
      </w:r>
    </w:p>
    <w:p>
      <w:pPr>
        <w:widowControl/>
        <w:spacing w:line="408"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邮  编：</w:t>
      </w:r>
    </w:p>
    <w:p>
      <w:pPr>
        <w:widowControl/>
        <w:spacing w:line="408"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电  话：                        </w:t>
      </w:r>
    </w:p>
    <w:p>
      <w:pPr>
        <w:widowControl/>
        <w:spacing w:line="408" w:lineRule="auto"/>
        <w:ind w:left="239" w:leftChars="114"/>
        <w:jc w:val="right"/>
        <w:rPr>
          <w:rFonts w:hint="eastAsia" w:ascii="宋体" w:hAnsi="宋体" w:eastAsia="宋体" w:cs="宋体"/>
          <w:kern w:val="0"/>
          <w:sz w:val="24"/>
          <w:highlight w:val="none"/>
        </w:rPr>
      </w:pPr>
      <w:r>
        <w:rPr>
          <w:rFonts w:hint="eastAsia" w:ascii="宋体" w:hAnsi="宋体" w:eastAsia="宋体" w:cs="宋体"/>
          <w:kern w:val="0"/>
          <w:sz w:val="24"/>
          <w:highlight w:val="none"/>
        </w:rPr>
        <w:t>                                     年  月  日</w:t>
      </w:r>
    </w:p>
    <w:p>
      <w:pPr>
        <w:numPr>
          <w:ilvl w:val="0"/>
          <w:numId w:val="7"/>
        </w:numPr>
        <w:spacing w:before="240" w:line="360" w:lineRule="auto"/>
        <w:ind w:left="1"/>
        <w:jc w:val="center"/>
        <w:rPr>
          <w:rFonts w:hint="eastAsia" w:ascii="宋体" w:hAnsi="宋体" w:eastAsia="宋体" w:cs="宋体"/>
          <w:b/>
          <w:sz w:val="32"/>
          <w:szCs w:val="32"/>
          <w:highlight w:val="none"/>
        </w:rPr>
      </w:pPr>
      <w:r>
        <w:rPr>
          <w:rFonts w:hint="eastAsia" w:ascii="宋体" w:hAnsi="宋体" w:eastAsia="宋体" w:cs="宋体"/>
          <w:b/>
          <w:sz w:val="36"/>
          <w:szCs w:val="36"/>
          <w:highlight w:val="none"/>
        </w:rPr>
        <w:br w:type="page"/>
      </w:r>
      <w:r>
        <w:rPr>
          <w:rFonts w:hint="eastAsia" w:ascii="宋体" w:hAnsi="宋体" w:eastAsia="宋体" w:cs="宋体"/>
          <w:b/>
          <w:sz w:val="32"/>
          <w:szCs w:val="32"/>
          <w:highlight w:val="none"/>
        </w:rPr>
        <w:t>资格证明文件</w:t>
      </w:r>
    </w:p>
    <w:p>
      <w:pPr>
        <w:pStyle w:val="27"/>
        <w:spacing w:line="480" w:lineRule="auto"/>
        <w:ind w:left="0" w:leftChars="0" w:firstLine="241" w:firstLineChars="100"/>
        <w:rPr>
          <w:rFonts w:hint="eastAsia" w:ascii="宋体" w:hAnsi="宋体" w:eastAsia="宋体" w:cs="宋体"/>
          <w:b/>
          <w:bCs/>
          <w:i w:val="0"/>
          <w:caps w:val="0"/>
          <w:color w:val="auto"/>
          <w:spacing w:val="0"/>
          <w:sz w:val="24"/>
          <w:szCs w:val="24"/>
          <w:highlight w:val="none"/>
          <w:shd w:val="clear" w:color="auto" w:fill="FFFFFF"/>
          <w:lang w:val="en-US" w:eastAsia="zh-CN"/>
        </w:rPr>
      </w:pPr>
      <w:r>
        <w:rPr>
          <w:rFonts w:hint="eastAsia" w:ascii="宋体" w:hAnsi="宋体" w:eastAsia="宋体" w:cs="宋体"/>
          <w:b/>
          <w:bCs/>
          <w:i w:val="0"/>
          <w:caps w:val="0"/>
          <w:color w:val="auto"/>
          <w:spacing w:val="0"/>
          <w:sz w:val="24"/>
          <w:szCs w:val="24"/>
          <w:highlight w:val="none"/>
          <w:shd w:val="clear" w:color="auto" w:fill="FFFFFF"/>
          <w:lang w:val="en-US" w:eastAsia="zh-CN"/>
        </w:rPr>
        <w:t>（一）基本资格条件：符合《中华人民共和国政府采购法》第二十二条的规定，并提供以下资料：</w:t>
      </w:r>
    </w:p>
    <w:p>
      <w:pPr>
        <w:pStyle w:val="27"/>
        <w:spacing w:line="480" w:lineRule="auto"/>
        <w:ind w:left="0" w:leftChars="0" w:firstLine="240" w:firstLineChars="100"/>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（1）具有独立承担民事责任能力的法人或其他组织，提供有效存续的营业执照或事业单位法人证书或非企业专业服务机构执业许可证或民办非企业单位登记证书或自然人的身份证明；</w:t>
      </w:r>
    </w:p>
    <w:p>
      <w:pPr>
        <w:pStyle w:val="27"/>
        <w:spacing w:line="480" w:lineRule="auto"/>
        <w:ind w:left="0" w:leftChars="0" w:firstLine="240" w:firstLineChars="100"/>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（2）财务状况报告：提供经审计的2020年或2021年财务报告，包括 “四表一注”（即资产负债表、利润表、现金流量表、所有者权益变动表（没有可不提供）及其附注，成立时间至提交响应文件截止时间不足一年的可提供成立后任意时段的资产负债表）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p>
    <w:p>
      <w:pPr>
        <w:pStyle w:val="27"/>
        <w:spacing w:line="480" w:lineRule="auto"/>
        <w:ind w:left="0" w:leftChars="0" w:firstLine="240" w:firstLineChars="100"/>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（3）税收缴纳证明：提供已缴纳的2021年7月至今任意一个月的纳税证明或完税证明，纳税证明或完税证明上应有代收机构或税务机关的公章。依法免税的供应商应提供相关文件证明；</w:t>
      </w:r>
    </w:p>
    <w:p>
      <w:pPr>
        <w:pStyle w:val="27"/>
        <w:spacing w:line="480" w:lineRule="auto"/>
        <w:ind w:left="0" w:leftChars="0" w:firstLine="240" w:firstLineChars="100"/>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（4）供应商须提供具有履行合同所必需的设备和专业技术能力的承诺；</w:t>
      </w:r>
    </w:p>
    <w:p>
      <w:pPr>
        <w:pStyle w:val="27"/>
        <w:spacing w:line="480" w:lineRule="auto"/>
        <w:ind w:left="0" w:leftChars="0" w:firstLine="240" w:firstLineChars="100"/>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5）社会保障资金缴纳证明：提供已缴存的2021年7月至今任意一个月的社会保障资金缴存单据或社保机构开具的社会保险参保缴费情况证明，单据或证明上应有社保机构或代收机构的公章。依法不需要缴纳社会保障资金的供应商应提供相关文件证明；</w:t>
      </w:r>
    </w:p>
    <w:p>
      <w:pPr>
        <w:pStyle w:val="27"/>
        <w:spacing w:line="480" w:lineRule="auto"/>
        <w:ind w:left="0" w:leftChars="0" w:firstLine="240" w:firstLineChars="100"/>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（6）出具参加本次政府采购活动前三年内在经营活动中没有重大违法记录的书面声明；</w:t>
      </w:r>
    </w:p>
    <w:p>
      <w:pPr>
        <w:pStyle w:val="27"/>
        <w:spacing w:line="480" w:lineRule="auto"/>
        <w:ind w:left="0" w:leftChars="0" w:firstLine="241" w:firstLineChars="100"/>
        <w:rPr>
          <w:rFonts w:hint="eastAsia" w:ascii="宋体" w:hAnsi="宋体" w:eastAsia="宋体" w:cs="宋体"/>
          <w:b/>
          <w:bCs/>
          <w:i w:val="0"/>
          <w:caps w:val="0"/>
          <w:color w:val="auto"/>
          <w:spacing w:val="0"/>
          <w:sz w:val="24"/>
          <w:szCs w:val="24"/>
          <w:highlight w:val="none"/>
          <w:shd w:val="clear" w:color="auto" w:fill="FFFFFF"/>
          <w:lang w:val="en-US" w:eastAsia="zh-CN"/>
        </w:rPr>
      </w:pPr>
      <w:r>
        <w:rPr>
          <w:rFonts w:hint="eastAsia" w:ascii="宋体" w:hAnsi="宋体" w:eastAsia="宋体" w:cs="宋体"/>
          <w:b/>
          <w:bCs/>
          <w:i w:val="0"/>
          <w:caps w:val="0"/>
          <w:color w:val="auto"/>
          <w:spacing w:val="0"/>
          <w:sz w:val="24"/>
          <w:szCs w:val="24"/>
          <w:highlight w:val="none"/>
          <w:shd w:val="clear" w:color="auto" w:fill="FFFFFF"/>
          <w:lang w:val="en-US" w:eastAsia="zh-CN"/>
        </w:rPr>
        <w:t>（二）落实政府采购政策需满足的资格要求：</w:t>
      </w:r>
      <w:r>
        <w:rPr>
          <w:rFonts w:hint="eastAsia" w:ascii="宋体" w:hAnsi="宋体" w:cs="宋体"/>
          <w:b/>
          <w:bCs/>
          <w:i w:val="0"/>
          <w:caps w:val="0"/>
          <w:color w:val="auto"/>
          <w:spacing w:val="0"/>
          <w:sz w:val="24"/>
          <w:szCs w:val="24"/>
          <w:highlight w:val="none"/>
          <w:shd w:val="clear" w:color="auto" w:fill="FFFFFF"/>
          <w:lang w:val="en-US" w:eastAsia="zh-CN"/>
        </w:rPr>
        <w:t>本项目专门面向中小企业采购（残疾人福利性单位及监狱企业视同小型、微型企业）（提供声明函）。</w:t>
      </w:r>
    </w:p>
    <w:p>
      <w:pPr>
        <w:pStyle w:val="27"/>
        <w:spacing w:line="480" w:lineRule="auto"/>
        <w:ind w:left="0" w:leftChars="0" w:firstLine="241" w:firstLineChars="100"/>
        <w:rPr>
          <w:rFonts w:hint="eastAsia" w:ascii="宋体" w:hAnsi="宋体" w:eastAsia="宋体" w:cs="宋体"/>
          <w:b/>
          <w:bCs/>
          <w:i w:val="0"/>
          <w:caps w:val="0"/>
          <w:color w:val="auto"/>
          <w:spacing w:val="0"/>
          <w:sz w:val="24"/>
          <w:szCs w:val="24"/>
          <w:highlight w:val="none"/>
          <w:shd w:val="clear" w:color="auto" w:fill="FFFFFF"/>
          <w:lang w:val="en-US" w:eastAsia="zh-CN"/>
        </w:rPr>
      </w:pPr>
      <w:r>
        <w:rPr>
          <w:rFonts w:hint="eastAsia" w:ascii="宋体" w:hAnsi="宋体" w:eastAsia="宋体" w:cs="宋体"/>
          <w:b/>
          <w:bCs/>
          <w:i w:val="0"/>
          <w:caps w:val="0"/>
          <w:color w:val="auto"/>
          <w:spacing w:val="0"/>
          <w:sz w:val="24"/>
          <w:szCs w:val="24"/>
          <w:highlight w:val="none"/>
          <w:shd w:val="clear" w:color="auto" w:fill="FFFFFF"/>
          <w:lang w:val="en-US" w:eastAsia="zh-CN"/>
        </w:rPr>
        <w:t>（三）特定资格条件：</w:t>
      </w:r>
    </w:p>
    <w:p>
      <w:pPr>
        <w:pStyle w:val="27"/>
        <w:spacing w:line="480" w:lineRule="auto"/>
        <w:ind w:left="0" w:leftChars="0" w:firstLine="240" w:firstLineChars="100"/>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（1）法定代表人授权书（附法定代表人、被授权人身份证复印件）及被授权人身份证（法定代表人直接参加谈判活动，须提供法定代表人身份证明及身份证原件）；</w:t>
      </w:r>
    </w:p>
    <w:p>
      <w:pPr>
        <w:pStyle w:val="27"/>
        <w:spacing w:line="480" w:lineRule="auto"/>
        <w:ind w:left="0" w:leftChars="0" w:firstLine="240" w:firstLineChars="100"/>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i w:val="0"/>
          <w:caps w:val="0"/>
          <w:color w:val="auto"/>
          <w:spacing w:val="0"/>
          <w:sz w:val="24"/>
          <w:szCs w:val="24"/>
          <w:highlight w:val="none"/>
          <w:shd w:val="clear" w:color="auto" w:fill="FFFFFF"/>
          <w:lang w:val="en-US" w:eastAsia="zh-CN"/>
        </w:rPr>
        <w:t>（2）本项目不接受联合体谈判（提供书面声明）。</w:t>
      </w:r>
    </w:p>
    <w:p>
      <w:pPr>
        <w:pStyle w:val="27"/>
        <w:rPr>
          <w:rFonts w:hint="eastAsia" w:ascii="宋体" w:hAnsi="宋体" w:eastAsia="宋体" w:cs="宋体"/>
          <w:highlight w:val="none"/>
          <w:lang w:val="en-US" w:eastAsia="zh-CN"/>
        </w:rPr>
      </w:pPr>
    </w:p>
    <w:p>
      <w:pPr>
        <w:pStyle w:val="27"/>
        <w:rPr>
          <w:rFonts w:hint="eastAsia" w:ascii="宋体" w:hAnsi="宋体" w:eastAsia="宋体" w:cs="宋体"/>
          <w:highlight w:val="none"/>
          <w:lang w:val="en-US" w:eastAsia="zh-CN"/>
        </w:rPr>
      </w:pPr>
    </w:p>
    <w:p>
      <w:pPr>
        <w:spacing w:line="440" w:lineRule="exact"/>
        <w:ind w:left="-359" w:leftChars="-171" w:firstLine="496" w:firstLineChars="200"/>
        <w:jc w:val="center"/>
        <w:rPr>
          <w:rFonts w:hint="eastAsia" w:ascii="宋体" w:hAnsi="宋体" w:eastAsia="宋体" w:cs="宋体"/>
          <w:spacing w:val="4"/>
          <w:sz w:val="24"/>
          <w:highlight w:val="none"/>
        </w:rPr>
      </w:pPr>
    </w:p>
    <w:p>
      <w:pPr>
        <w:spacing w:line="440" w:lineRule="exact"/>
        <w:ind w:left="-359" w:leftChars="-171" w:firstLine="496" w:firstLineChars="200"/>
        <w:jc w:val="center"/>
        <w:rPr>
          <w:rFonts w:hint="eastAsia" w:ascii="宋体" w:hAnsi="宋体" w:eastAsia="宋体" w:cs="宋体"/>
          <w:spacing w:val="4"/>
          <w:sz w:val="24"/>
          <w:highlight w:val="none"/>
        </w:rPr>
      </w:pPr>
    </w:p>
    <w:p>
      <w:pPr>
        <w:spacing w:line="440" w:lineRule="exact"/>
        <w:ind w:left="-359" w:leftChars="-171" w:firstLine="496" w:firstLineChars="200"/>
        <w:jc w:val="center"/>
        <w:rPr>
          <w:rFonts w:hint="eastAsia" w:ascii="宋体" w:hAnsi="宋体" w:eastAsia="宋体" w:cs="宋体"/>
          <w:spacing w:val="4"/>
          <w:sz w:val="24"/>
          <w:highlight w:val="none"/>
        </w:rPr>
      </w:pPr>
    </w:p>
    <w:p>
      <w:pPr>
        <w:spacing w:line="440" w:lineRule="exact"/>
        <w:ind w:left="-359" w:leftChars="-171" w:firstLine="496" w:firstLineChars="200"/>
        <w:jc w:val="center"/>
        <w:rPr>
          <w:rFonts w:hint="eastAsia" w:ascii="宋体" w:hAnsi="宋体" w:eastAsia="宋体" w:cs="宋体"/>
          <w:spacing w:val="4"/>
          <w:sz w:val="24"/>
          <w:highlight w:val="none"/>
        </w:rPr>
      </w:pPr>
    </w:p>
    <w:p>
      <w:pPr>
        <w:spacing w:line="440" w:lineRule="exact"/>
        <w:ind w:left="-359" w:leftChars="-171" w:firstLine="496" w:firstLineChars="200"/>
        <w:jc w:val="center"/>
        <w:rPr>
          <w:rFonts w:hint="eastAsia" w:ascii="宋体" w:hAnsi="宋体" w:eastAsia="宋体" w:cs="宋体"/>
          <w:spacing w:val="4"/>
          <w:sz w:val="24"/>
          <w:highlight w:val="none"/>
        </w:rPr>
      </w:pPr>
    </w:p>
    <w:p>
      <w:pPr>
        <w:spacing w:line="440" w:lineRule="exact"/>
        <w:ind w:left="-359" w:leftChars="-171" w:firstLine="496" w:firstLineChars="200"/>
        <w:jc w:val="center"/>
        <w:rPr>
          <w:rFonts w:hint="eastAsia" w:ascii="宋体" w:hAnsi="宋体" w:eastAsia="宋体" w:cs="宋体"/>
          <w:spacing w:val="4"/>
          <w:sz w:val="24"/>
          <w:highlight w:val="none"/>
        </w:rPr>
      </w:pPr>
    </w:p>
    <w:p>
      <w:pPr>
        <w:spacing w:line="440" w:lineRule="exact"/>
        <w:ind w:left="-359" w:leftChars="-171" w:firstLine="496" w:firstLineChars="200"/>
        <w:jc w:val="center"/>
        <w:rPr>
          <w:rFonts w:hint="eastAsia" w:ascii="宋体" w:hAnsi="宋体" w:eastAsia="宋体" w:cs="宋体"/>
          <w:spacing w:val="4"/>
          <w:sz w:val="24"/>
          <w:highlight w:val="none"/>
        </w:rPr>
      </w:pPr>
    </w:p>
    <w:p>
      <w:pPr>
        <w:spacing w:line="440" w:lineRule="exact"/>
        <w:ind w:left="-359" w:leftChars="-171" w:firstLine="496" w:firstLineChars="200"/>
        <w:jc w:val="center"/>
        <w:rPr>
          <w:rFonts w:hint="eastAsia" w:ascii="宋体" w:hAnsi="宋体" w:eastAsia="宋体" w:cs="宋体"/>
          <w:spacing w:val="4"/>
          <w:sz w:val="24"/>
          <w:highlight w:val="none"/>
        </w:rPr>
      </w:pPr>
    </w:p>
    <w:p>
      <w:pPr>
        <w:spacing w:line="440" w:lineRule="exact"/>
        <w:ind w:left="-359" w:leftChars="-171" w:firstLine="496" w:firstLineChars="200"/>
        <w:jc w:val="center"/>
        <w:rPr>
          <w:rFonts w:hint="eastAsia" w:ascii="宋体" w:hAnsi="宋体" w:eastAsia="宋体" w:cs="宋体"/>
          <w:spacing w:val="4"/>
          <w:sz w:val="24"/>
          <w:highlight w:val="none"/>
        </w:rPr>
      </w:pPr>
    </w:p>
    <w:p>
      <w:pPr>
        <w:spacing w:line="440" w:lineRule="exact"/>
        <w:ind w:left="-359" w:leftChars="-171" w:firstLine="496" w:firstLineChars="200"/>
        <w:jc w:val="center"/>
        <w:rPr>
          <w:rFonts w:hint="eastAsia" w:ascii="宋体" w:hAnsi="宋体" w:eastAsia="宋体" w:cs="宋体"/>
          <w:spacing w:val="4"/>
          <w:sz w:val="24"/>
          <w:highlight w:val="none"/>
        </w:rPr>
      </w:pPr>
    </w:p>
    <w:p>
      <w:pPr>
        <w:spacing w:line="440" w:lineRule="exact"/>
        <w:ind w:left="-359" w:leftChars="-171" w:firstLine="496" w:firstLineChars="200"/>
        <w:jc w:val="center"/>
        <w:rPr>
          <w:rFonts w:hint="eastAsia" w:ascii="宋体" w:hAnsi="宋体" w:eastAsia="宋体" w:cs="宋体"/>
          <w:spacing w:val="4"/>
          <w:sz w:val="24"/>
          <w:highlight w:val="none"/>
        </w:rPr>
      </w:pPr>
    </w:p>
    <w:p>
      <w:pPr>
        <w:spacing w:line="440" w:lineRule="exact"/>
        <w:ind w:left="-359" w:leftChars="-171" w:firstLine="496" w:firstLineChars="200"/>
        <w:jc w:val="center"/>
        <w:rPr>
          <w:rFonts w:hint="eastAsia" w:ascii="宋体" w:hAnsi="宋体" w:eastAsia="宋体" w:cs="宋体"/>
          <w:spacing w:val="4"/>
          <w:sz w:val="24"/>
          <w:highlight w:val="none"/>
        </w:rPr>
      </w:pPr>
    </w:p>
    <w:p>
      <w:pPr>
        <w:spacing w:line="440" w:lineRule="exact"/>
        <w:ind w:left="-359" w:leftChars="-171" w:firstLine="496" w:firstLineChars="200"/>
        <w:jc w:val="center"/>
        <w:rPr>
          <w:rFonts w:hint="eastAsia" w:ascii="宋体" w:hAnsi="宋体" w:eastAsia="宋体" w:cs="宋体"/>
          <w:spacing w:val="4"/>
          <w:sz w:val="24"/>
          <w:highlight w:val="none"/>
        </w:rPr>
      </w:pPr>
    </w:p>
    <w:p>
      <w:pPr>
        <w:spacing w:line="440" w:lineRule="exact"/>
        <w:ind w:left="-359" w:leftChars="-171" w:firstLine="496" w:firstLineChars="200"/>
        <w:jc w:val="center"/>
        <w:rPr>
          <w:rFonts w:hint="eastAsia" w:ascii="宋体" w:hAnsi="宋体" w:eastAsia="宋体" w:cs="宋体"/>
          <w:spacing w:val="4"/>
          <w:sz w:val="24"/>
          <w:highlight w:val="none"/>
        </w:rPr>
      </w:pPr>
    </w:p>
    <w:p>
      <w:pPr>
        <w:spacing w:line="440" w:lineRule="exact"/>
        <w:ind w:left="-359" w:leftChars="-171" w:firstLine="496" w:firstLineChars="200"/>
        <w:jc w:val="center"/>
        <w:rPr>
          <w:rFonts w:hint="eastAsia" w:ascii="宋体" w:hAnsi="宋体" w:eastAsia="宋体" w:cs="宋体"/>
          <w:spacing w:val="4"/>
          <w:sz w:val="24"/>
          <w:highlight w:val="none"/>
        </w:rPr>
      </w:pPr>
    </w:p>
    <w:p>
      <w:pPr>
        <w:spacing w:line="440" w:lineRule="exact"/>
        <w:ind w:left="-359" w:leftChars="-171" w:firstLine="496" w:firstLineChars="200"/>
        <w:jc w:val="center"/>
        <w:rPr>
          <w:rFonts w:hint="eastAsia" w:ascii="宋体" w:hAnsi="宋体" w:eastAsia="宋体" w:cs="宋体"/>
          <w:spacing w:val="4"/>
          <w:sz w:val="24"/>
          <w:highlight w:val="none"/>
        </w:rPr>
      </w:pPr>
    </w:p>
    <w:p>
      <w:pPr>
        <w:spacing w:line="440" w:lineRule="exact"/>
        <w:jc w:val="both"/>
        <w:rPr>
          <w:rFonts w:hint="eastAsia" w:ascii="宋体" w:hAnsi="宋体" w:eastAsia="宋体" w:cs="宋体"/>
          <w:spacing w:val="4"/>
          <w:sz w:val="24"/>
          <w:highlight w:val="none"/>
        </w:rPr>
      </w:pPr>
    </w:p>
    <w:p>
      <w:pPr>
        <w:spacing w:line="440" w:lineRule="exact"/>
        <w:ind w:left="-359" w:leftChars="-171" w:firstLine="496" w:firstLineChars="200"/>
        <w:jc w:val="center"/>
        <w:rPr>
          <w:rFonts w:hint="eastAsia" w:ascii="宋体" w:hAnsi="宋体" w:eastAsia="宋体" w:cs="宋体"/>
          <w:spacing w:val="4"/>
          <w:sz w:val="24"/>
          <w:szCs w:val="32"/>
          <w:highlight w:val="none"/>
        </w:rPr>
      </w:pPr>
      <w:r>
        <w:rPr>
          <w:rFonts w:hint="eastAsia" w:ascii="宋体" w:hAnsi="宋体" w:eastAsia="宋体" w:cs="宋体"/>
          <w:spacing w:val="4"/>
          <w:sz w:val="24"/>
          <w:highlight w:val="none"/>
        </w:rPr>
        <w:t xml:space="preserve">  </w:t>
      </w:r>
      <w:r>
        <w:rPr>
          <w:rFonts w:hint="eastAsia" w:ascii="宋体" w:hAnsi="宋体" w:eastAsia="宋体" w:cs="宋体"/>
          <w:spacing w:val="4"/>
          <w:sz w:val="24"/>
          <w:szCs w:val="32"/>
          <w:highlight w:val="none"/>
        </w:rPr>
        <w:t xml:space="preserve"> </w:t>
      </w:r>
    </w:p>
    <w:p>
      <w:pPr>
        <w:spacing w:line="440" w:lineRule="exact"/>
        <w:ind w:left="-359" w:leftChars="-171" w:firstLine="643" w:firstLineChars="200"/>
        <w:jc w:val="center"/>
        <w:rPr>
          <w:rFonts w:hint="eastAsia" w:ascii="宋体" w:hAnsi="宋体" w:eastAsia="宋体" w:cs="宋体"/>
          <w:b/>
          <w:bCs/>
          <w:kern w:val="2"/>
          <w:sz w:val="32"/>
          <w:szCs w:val="32"/>
          <w:highlight w:val="none"/>
          <w:lang w:val="en-US" w:eastAsia="zh-CN" w:bidi="ar-SA"/>
        </w:rPr>
      </w:pPr>
      <w:r>
        <w:rPr>
          <w:rFonts w:hint="eastAsia" w:ascii="宋体" w:hAnsi="宋体" w:eastAsia="宋体" w:cs="宋体"/>
          <w:b/>
          <w:bCs/>
          <w:kern w:val="2"/>
          <w:sz w:val="32"/>
          <w:szCs w:val="32"/>
          <w:highlight w:val="none"/>
          <w:lang w:val="en-US" w:eastAsia="zh-CN" w:bidi="ar-SA"/>
        </w:rPr>
        <w:t>法定代表人身份证明</w:t>
      </w:r>
    </w:p>
    <w:p>
      <w:pPr>
        <w:autoSpaceDE w:val="0"/>
        <w:autoSpaceDN w:val="0"/>
        <w:adjustRightInd w:val="0"/>
        <w:snapToGrid w:val="0"/>
        <w:spacing w:before="120" w:beforeLines="50" w:line="360" w:lineRule="auto"/>
        <w:jc w:val="left"/>
        <w:rPr>
          <w:rFonts w:hint="eastAsia" w:ascii="宋体" w:hAnsi="宋体" w:eastAsia="宋体" w:cs="宋体"/>
          <w:kern w:val="0"/>
          <w:sz w:val="24"/>
          <w:highlight w:val="none"/>
        </w:rPr>
      </w:pPr>
      <w:r>
        <w:rPr>
          <w:rFonts w:hint="eastAsia" w:ascii="宋体" w:hAnsi="宋体" w:eastAsia="宋体" w:cs="宋体"/>
          <w:sz w:val="24"/>
          <w:highlight w:val="none"/>
          <w:lang w:eastAsia="zh-CN"/>
        </w:rPr>
        <w:t>供应商</w:t>
      </w:r>
      <w:r>
        <w:rPr>
          <w:rFonts w:hint="eastAsia" w:ascii="宋体" w:hAnsi="宋体" w:eastAsia="宋体" w:cs="宋体"/>
          <w:kern w:val="0"/>
          <w:sz w:val="24"/>
          <w:highlight w:val="none"/>
        </w:rPr>
        <w:t>名称：</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 </w:t>
      </w:r>
    </w:p>
    <w:p>
      <w:pPr>
        <w:autoSpaceDE w:val="0"/>
        <w:autoSpaceDN w:val="0"/>
        <w:adjustRightInd w:val="0"/>
        <w:snapToGrid w:val="0"/>
        <w:spacing w:before="120" w:beforeLines="5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统一社会信用代码：</w:t>
      </w:r>
      <w:r>
        <w:rPr>
          <w:rFonts w:hint="eastAsia" w:ascii="宋体" w:hAnsi="宋体" w:eastAsia="宋体" w:cs="宋体"/>
          <w:kern w:val="0"/>
          <w:sz w:val="24"/>
          <w:highlight w:val="none"/>
          <w:u w:val="single"/>
        </w:rPr>
        <w:t xml:space="preserve">                </w:t>
      </w:r>
    </w:p>
    <w:p>
      <w:pPr>
        <w:autoSpaceDE w:val="0"/>
        <w:autoSpaceDN w:val="0"/>
        <w:adjustRightInd w:val="0"/>
        <w:snapToGrid w:val="0"/>
        <w:spacing w:before="120" w:beforeLines="5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注册地址：</w:t>
      </w:r>
      <w:r>
        <w:rPr>
          <w:rFonts w:hint="eastAsia" w:ascii="宋体" w:hAnsi="宋体" w:eastAsia="宋体" w:cs="宋体"/>
          <w:kern w:val="0"/>
          <w:sz w:val="24"/>
          <w:highlight w:val="none"/>
          <w:u w:val="single"/>
        </w:rPr>
        <w:t xml:space="preserve">                        </w:t>
      </w:r>
    </w:p>
    <w:p>
      <w:pPr>
        <w:autoSpaceDE w:val="0"/>
        <w:autoSpaceDN w:val="0"/>
        <w:adjustRightInd w:val="0"/>
        <w:snapToGrid w:val="0"/>
        <w:spacing w:before="120" w:beforeLines="5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成立时间：</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年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月</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日</w:t>
      </w:r>
    </w:p>
    <w:p>
      <w:pPr>
        <w:autoSpaceDE w:val="0"/>
        <w:autoSpaceDN w:val="0"/>
        <w:adjustRightInd w:val="0"/>
        <w:snapToGrid w:val="0"/>
        <w:spacing w:before="120" w:beforeLines="50" w:line="360" w:lineRule="auto"/>
        <w:jc w:val="left"/>
        <w:rPr>
          <w:rFonts w:hint="eastAsia" w:ascii="宋体" w:hAnsi="宋体" w:eastAsia="宋体" w:cs="宋体"/>
          <w:kern w:val="0"/>
          <w:sz w:val="24"/>
          <w:highlight w:val="none"/>
          <w:u w:val="single"/>
        </w:rPr>
      </w:pPr>
      <w:r>
        <w:rPr>
          <w:rFonts w:hint="eastAsia" w:ascii="宋体" w:hAnsi="宋体" w:eastAsia="宋体" w:cs="宋体"/>
          <w:kern w:val="0"/>
          <w:sz w:val="24"/>
          <w:highlight w:val="none"/>
        </w:rPr>
        <w:t>经营期限：</w:t>
      </w:r>
      <w:r>
        <w:rPr>
          <w:rFonts w:hint="eastAsia" w:ascii="宋体" w:hAnsi="宋体" w:eastAsia="宋体" w:cs="宋体"/>
          <w:kern w:val="0"/>
          <w:sz w:val="24"/>
          <w:highlight w:val="none"/>
          <w:u w:val="single"/>
        </w:rPr>
        <w:t xml:space="preserve">                  </w:t>
      </w:r>
    </w:p>
    <w:p>
      <w:pPr>
        <w:autoSpaceDE w:val="0"/>
        <w:autoSpaceDN w:val="0"/>
        <w:adjustRightInd w:val="0"/>
        <w:snapToGrid w:val="0"/>
        <w:spacing w:before="120" w:beforeLines="5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姓名：</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 性别：</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u w:val="single"/>
          <w:lang w:val="en-US" w:eastAsia="zh-CN"/>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 年龄：</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u w:val="single"/>
          <w:lang w:val="en-US" w:eastAsia="zh-CN"/>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 系</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w:t>
      </w:r>
      <w:r>
        <w:rPr>
          <w:rFonts w:hint="eastAsia" w:ascii="宋体" w:hAnsi="宋体" w:eastAsia="宋体" w:cs="宋体"/>
          <w:kern w:val="0"/>
          <w:sz w:val="24"/>
          <w:highlight w:val="none"/>
          <w:lang w:eastAsia="zh-CN"/>
        </w:rPr>
        <w:t>供应商</w:t>
      </w:r>
      <w:r>
        <w:rPr>
          <w:rFonts w:hint="eastAsia" w:ascii="宋体" w:hAnsi="宋体" w:eastAsia="宋体" w:cs="宋体"/>
          <w:kern w:val="0"/>
          <w:sz w:val="24"/>
          <w:highlight w:val="none"/>
        </w:rPr>
        <w:t>名称）的法定代表人。</w:t>
      </w:r>
    </w:p>
    <w:p>
      <w:pPr>
        <w:autoSpaceDE w:val="0"/>
        <w:autoSpaceDN w:val="0"/>
        <w:adjustRightInd w:val="0"/>
        <w:snapToGrid w:val="0"/>
        <w:spacing w:before="120" w:beforeLines="5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特此证明。</w:t>
      </w:r>
    </w:p>
    <w:p>
      <w:pPr>
        <w:autoSpaceDE w:val="0"/>
        <w:autoSpaceDN w:val="0"/>
        <w:adjustRightInd w:val="0"/>
        <w:snapToGrid w:val="0"/>
        <w:spacing w:before="120" w:beforeLines="50" w:line="360" w:lineRule="auto"/>
        <w:jc w:val="left"/>
        <w:rPr>
          <w:rFonts w:hint="eastAsia" w:ascii="宋体" w:hAnsi="宋体" w:eastAsia="宋体" w:cs="宋体"/>
          <w:kern w:val="0"/>
          <w:szCs w:val="21"/>
          <w:highlight w:val="none"/>
        </w:rPr>
      </w:pPr>
      <w:r>
        <w:rPr>
          <w:rFonts w:hint="eastAsia" w:ascii="宋体" w:hAnsi="宋体" w:eastAsia="宋体" w:cs="宋体"/>
          <w:szCs w:val="21"/>
          <w:highlight w:val="none"/>
        </w:rPr>
        <w:t>附：法定代表人身份证复印件</w:t>
      </w:r>
    </w:p>
    <w:tbl>
      <w:tblPr>
        <w:tblStyle w:val="29"/>
        <w:tblpPr w:leftFromText="180" w:rightFromText="180" w:vertAnchor="text" w:horzAnchor="margin" w:tblpXSpec="center" w:tblpY="104"/>
        <w:tblW w:w="5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pPr>
              <w:snapToGrid w:val="0"/>
              <w:spacing w:line="480" w:lineRule="auto"/>
              <w:jc w:val="center"/>
              <w:rPr>
                <w:rFonts w:hint="eastAsia" w:ascii="宋体" w:hAnsi="宋体" w:eastAsia="宋体" w:cs="宋体"/>
                <w:szCs w:val="21"/>
                <w:highlight w:val="none"/>
              </w:rPr>
            </w:pPr>
          </w:p>
          <w:p>
            <w:pPr>
              <w:snapToGrid w:val="0"/>
              <w:spacing w:line="480" w:lineRule="auto"/>
              <w:jc w:val="center"/>
              <w:rPr>
                <w:rFonts w:hint="eastAsia" w:ascii="宋体" w:hAnsi="宋体" w:eastAsia="宋体" w:cs="宋体"/>
                <w:szCs w:val="21"/>
                <w:highlight w:val="none"/>
              </w:rPr>
            </w:pPr>
          </w:p>
          <w:p>
            <w:pPr>
              <w:autoSpaceDE w:val="0"/>
              <w:autoSpaceDN w:val="0"/>
              <w:adjustRightInd w:val="0"/>
              <w:snapToGrid w:val="0"/>
              <w:spacing w:before="120" w:beforeLines="50"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法定代表人身份证复印件</w:t>
            </w:r>
            <w:r>
              <w:rPr>
                <w:rFonts w:hint="eastAsia" w:ascii="宋体" w:hAnsi="宋体" w:eastAsia="宋体" w:cs="宋体"/>
                <w:szCs w:val="21"/>
                <w:highlight w:val="none"/>
                <w:lang w:eastAsia="zh-CN"/>
              </w:rPr>
              <w:t>粘</w:t>
            </w:r>
            <w:r>
              <w:rPr>
                <w:rFonts w:hint="eastAsia" w:ascii="宋体" w:hAnsi="宋体" w:eastAsia="宋体" w:cs="宋体"/>
                <w:szCs w:val="21"/>
                <w:highlight w:val="none"/>
              </w:rPr>
              <w:t>贴处</w:t>
            </w:r>
          </w:p>
          <w:p>
            <w:pPr>
              <w:autoSpaceDE w:val="0"/>
              <w:autoSpaceDN w:val="0"/>
              <w:adjustRightInd w:val="0"/>
              <w:snapToGrid w:val="0"/>
              <w:spacing w:before="120" w:beforeLines="50" w:line="360" w:lineRule="auto"/>
              <w:jc w:val="center"/>
              <w:rPr>
                <w:rFonts w:hint="eastAsia" w:ascii="宋体" w:hAnsi="宋体" w:eastAsia="宋体" w:cs="宋体"/>
                <w:kern w:val="0"/>
                <w:szCs w:val="21"/>
                <w:highlight w:val="none"/>
                <w:lang w:val="en-US" w:eastAsia="zh-CN"/>
              </w:rPr>
            </w:pPr>
            <w:r>
              <w:rPr>
                <w:rFonts w:hint="eastAsia" w:ascii="宋体" w:hAnsi="宋体" w:eastAsia="宋体" w:cs="宋体"/>
                <w:szCs w:val="21"/>
                <w:highlight w:val="none"/>
                <w:lang w:val="en-US" w:eastAsia="zh-CN"/>
              </w:rPr>
              <w:t>(正反面）</w:t>
            </w:r>
          </w:p>
          <w:p>
            <w:pPr>
              <w:snapToGrid w:val="0"/>
              <w:spacing w:line="480" w:lineRule="auto"/>
              <w:jc w:val="center"/>
              <w:rPr>
                <w:rFonts w:hint="eastAsia" w:ascii="宋体" w:hAnsi="宋体" w:eastAsia="宋体" w:cs="宋体"/>
                <w:szCs w:val="21"/>
                <w:highlight w:val="none"/>
              </w:rPr>
            </w:pPr>
          </w:p>
          <w:p>
            <w:pPr>
              <w:snapToGrid w:val="0"/>
              <w:spacing w:line="480" w:lineRule="auto"/>
              <w:jc w:val="center"/>
              <w:rPr>
                <w:rFonts w:hint="eastAsia" w:ascii="宋体" w:hAnsi="宋体" w:eastAsia="宋体" w:cs="宋体"/>
                <w:szCs w:val="21"/>
                <w:highlight w:val="none"/>
              </w:rPr>
            </w:pPr>
          </w:p>
        </w:tc>
      </w:tr>
    </w:tbl>
    <w:p>
      <w:pPr>
        <w:snapToGrid w:val="0"/>
        <w:spacing w:line="480" w:lineRule="auto"/>
        <w:rPr>
          <w:rFonts w:hint="eastAsia" w:ascii="宋体" w:hAnsi="宋体" w:eastAsia="宋体" w:cs="宋体"/>
          <w:szCs w:val="21"/>
          <w:highlight w:val="none"/>
        </w:rPr>
      </w:pPr>
    </w:p>
    <w:p>
      <w:pPr>
        <w:snapToGrid w:val="0"/>
        <w:rPr>
          <w:rFonts w:hint="eastAsia" w:ascii="宋体" w:hAnsi="宋体" w:eastAsia="宋体" w:cs="宋体"/>
          <w:szCs w:val="21"/>
          <w:highlight w:val="none"/>
        </w:rPr>
      </w:pPr>
    </w:p>
    <w:p>
      <w:pPr>
        <w:snapToGrid w:val="0"/>
        <w:rPr>
          <w:rFonts w:hint="eastAsia" w:ascii="宋体" w:hAnsi="宋体" w:eastAsia="宋体" w:cs="宋体"/>
          <w:szCs w:val="21"/>
          <w:highlight w:val="none"/>
        </w:rPr>
      </w:pPr>
    </w:p>
    <w:p>
      <w:pPr>
        <w:snapToGrid w:val="0"/>
        <w:rPr>
          <w:rFonts w:hint="eastAsia" w:ascii="宋体" w:hAnsi="宋体" w:eastAsia="宋体" w:cs="宋体"/>
          <w:szCs w:val="21"/>
          <w:highlight w:val="none"/>
        </w:rPr>
      </w:pPr>
    </w:p>
    <w:p>
      <w:pPr>
        <w:snapToGrid w:val="0"/>
        <w:rPr>
          <w:rFonts w:hint="eastAsia" w:ascii="宋体" w:hAnsi="宋体" w:eastAsia="宋体" w:cs="宋体"/>
          <w:szCs w:val="21"/>
          <w:highlight w:val="none"/>
        </w:rPr>
      </w:pPr>
    </w:p>
    <w:p>
      <w:pPr>
        <w:adjustRightInd w:val="0"/>
        <w:snapToGrid w:val="0"/>
        <w:spacing w:line="360" w:lineRule="auto"/>
        <w:rPr>
          <w:rFonts w:hint="eastAsia" w:ascii="宋体" w:hAnsi="宋体" w:eastAsia="宋体" w:cs="宋体"/>
          <w:sz w:val="24"/>
          <w:highlight w:val="none"/>
        </w:rPr>
      </w:pPr>
    </w:p>
    <w:p>
      <w:pPr>
        <w:adjustRightInd w:val="0"/>
        <w:snapToGrid w:val="0"/>
        <w:spacing w:line="360" w:lineRule="auto"/>
        <w:ind w:right="420"/>
        <w:rPr>
          <w:rFonts w:hint="eastAsia" w:ascii="宋体" w:hAnsi="宋体" w:eastAsia="宋体" w:cs="宋体"/>
          <w:sz w:val="24"/>
          <w:highlight w:val="none"/>
        </w:rPr>
      </w:pPr>
    </w:p>
    <w:p>
      <w:pPr>
        <w:adjustRightInd w:val="0"/>
        <w:snapToGrid w:val="0"/>
        <w:spacing w:line="360" w:lineRule="auto"/>
        <w:ind w:right="420"/>
        <w:rPr>
          <w:rFonts w:hint="eastAsia" w:ascii="宋体" w:hAnsi="宋体" w:eastAsia="宋体" w:cs="宋体"/>
          <w:sz w:val="24"/>
          <w:highlight w:val="none"/>
        </w:rPr>
      </w:pPr>
    </w:p>
    <w:p>
      <w:pPr>
        <w:adjustRightInd w:val="0"/>
        <w:snapToGrid w:val="0"/>
        <w:spacing w:line="360" w:lineRule="auto"/>
        <w:ind w:right="420"/>
        <w:rPr>
          <w:rFonts w:hint="eastAsia" w:ascii="宋体" w:hAnsi="宋体" w:eastAsia="宋体" w:cs="宋体"/>
          <w:sz w:val="24"/>
          <w:highlight w:val="none"/>
        </w:rPr>
      </w:pPr>
    </w:p>
    <w:p>
      <w:pPr>
        <w:adjustRightInd w:val="0"/>
        <w:snapToGrid w:val="0"/>
        <w:spacing w:line="360" w:lineRule="auto"/>
        <w:ind w:right="420"/>
        <w:rPr>
          <w:rFonts w:hint="eastAsia" w:ascii="宋体" w:hAnsi="宋体" w:eastAsia="宋体" w:cs="宋体"/>
          <w:sz w:val="24"/>
          <w:highlight w:val="none"/>
        </w:rPr>
      </w:pPr>
    </w:p>
    <w:p>
      <w:pPr>
        <w:adjustRightInd w:val="0"/>
        <w:snapToGrid w:val="0"/>
        <w:spacing w:line="360" w:lineRule="auto"/>
        <w:ind w:right="420"/>
        <w:rPr>
          <w:rFonts w:hint="eastAsia" w:ascii="宋体" w:hAnsi="宋体" w:eastAsia="宋体" w:cs="宋体"/>
          <w:sz w:val="24"/>
          <w:highlight w:val="non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名称（</w:t>
      </w:r>
      <w:r>
        <w:rPr>
          <w:rFonts w:hint="eastAsia" w:ascii="宋体" w:hAnsi="宋体" w:eastAsia="宋体" w:cs="宋体"/>
          <w:sz w:val="24"/>
          <w:highlight w:val="none"/>
          <w:lang w:eastAsia="zh-CN"/>
        </w:rPr>
        <w:t>公章</w:t>
      </w:r>
      <w:r>
        <w:rPr>
          <w:rFonts w:hint="eastAsia" w:ascii="宋体" w:hAnsi="宋体" w:eastAsia="宋体" w:cs="宋体"/>
          <w:sz w:val="24"/>
          <w:highlight w:val="none"/>
        </w:rPr>
        <w:t>）：</w:t>
      </w:r>
    </w:p>
    <w:p>
      <w:pPr>
        <w:adjustRightInd w:val="0"/>
        <w:snapToGrid w:val="0"/>
        <w:spacing w:line="360" w:lineRule="auto"/>
        <w:ind w:right="420"/>
        <w:rPr>
          <w:rFonts w:hint="eastAsia" w:ascii="宋体" w:hAnsi="宋体" w:eastAsia="宋体" w:cs="宋体"/>
          <w:sz w:val="24"/>
          <w:highlight w:val="none"/>
        </w:rPr>
      </w:pPr>
      <w:r>
        <w:rPr>
          <w:rFonts w:hint="eastAsia" w:ascii="宋体" w:hAnsi="宋体" w:eastAsia="宋体" w:cs="宋体"/>
          <w:sz w:val="24"/>
          <w:highlight w:val="none"/>
        </w:rPr>
        <w:t>日期：    年  月  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sz w:val="24"/>
          <w:szCs w:val="24"/>
          <w:highlight w:val="none"/>
          <w:lang w:val="en-US" w:eastAsia="zh-CN"/>
        </w:rPr>
      </w:pPr>
    </w:p>
    <w:p>
      <w:pPr>
        <w:pStyle w:val="9"/>
        <w:rPr>
          <w:rFonts w:hint="eastAsia" w:ascii="宋体" w:hAnsi="宋体" w:eastAsia="宋体" w:cs="宋体"/>
          <w:b/>
          <w:bCs/>
          <w:sz w:val="24"/>
          <w:szCs w:val="24"/>
          <w:highlight w:val="none"/>
          <w:lang w:val="en-US" w:eastAsia="zh-CN"/>
        </w:rPr>
      </w:pPr>
    </w:p>
    <w:p>
      <w:pPr>
        <w:pStyle w:val="9"/>
        <w:rPr>
          <w:rFonts w:hint="eastAsia" w:ascii="宋体" w:hAnsi="宋体" w:eastAsia="宋体" w:cs="宋体"/>
          <w:b/>
          <w:bCs/>
          <w:sz w:val="24"/>
          <w:szCs w:val="24"/>
          <w:highlight w:val="none"/>
          <w:lang w:val="en-US" w:eastAsia="zh-CN"/>
        </w:rPr>
      </w:pPr>
    </w:p>
    <w:p>
      <w:pPr>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p>
    <w:p>
      <w:pPr>
        <w:pStyle w:val="6"/>
        <w:spacing w:before="327" w:beforeLines="100"/>
        <w:jc w:val="center"/>
        <w:rPr>
          <w:rFonts w:hint="eastAsia" w:ascii="宋体" w:hAnsi="宋体" w:eastAsia="宋体" w:cs="宋体"/>
          <w:spacing w:val="4"/>
          <w:sz w:val="24"/>
          <w:szCs w:val="30"/>
          <w:highlight w:val="none"/>
        </w:rPr>
      </w:pPr>
      <w:r>
        <w:rPr>
          <w:rFonts w:hint="eastAsia" w:ascii="宋体" w:hAnsi="宋体" w:eastAsia="宋体" w:cs="宋体"/>
          <w:sz w:val="32"/>
          <w:szCs w:val="32"/>
          <w:highlight w:val="none"/>
        </w:rPr>
        <w:t>法定代表人授权书</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spacing w:val="4"/>
          <w:sz w:val="24"/>
          <w:szCs w:val="30"/>
          <w:highlight w:val="none"/>
          <w:lang w:eastAsia="zh-CN"/>
        </w:rPr>
      </w:pPr>
      <w:r>
        <w:rPr>
          <w:rFonts w:hint="eastAsia" w:ascii="宋体" w:hAnsi="宋体" w:eastAsia="宋体" w:cs="宋体"/>
          <w:spacing w:val="4"/>
          <w:sz w:val="24"/>
          <w:szCs w:val="30"/>
          <w:highlight w:val="none"/>
        </w:rPr>
        <w:t>致：</w:t>
      </w:r>
      <w:r>
        <w:rPr>
          <w:rFonts w:hint="eastAsia" w:ascii="宋体" w:hAnsi="宋体" w:eastAsia="宋体" w:cs="宋体"/>
          <w:b w:val="0"/>
          <w:bCs/>
          <w:spacing w:val="4"/>
          <w:sz w:val="24"/>
          <w:szCs w:val="24"/>
          <w:highlight w:val="none"/>
          <w:u w:val="single"/>
          <w:lang w:eastAsia="zh-CN"/>
        </w:rPr>
        <w:t>采购人名称</w:t>
      </w:r>
      <w:r>
        <w:rPr>
          <w:rFonts w:hint="eastAsia" w:ascii="宋体" w:hAnsi="宋体" w:eastAsia="宋体" w:cs="宋体"/>
          <w:b w:val="0"/>
          <w:bCs/>
          <w:spacing w:val="4"/>
          <w:sz w:val="24"/>
          <w:szCs w:val="24"/>
          <w:highlight w:val="none"/>
          <w:u w:val="single"/>
          <w:lang w:val="en-US" w:eastAsia="zh-CN"/>
        </w:rPr>
        <w:t>/陕西嘉唐建设项目管理有限公司</w:t>
      </w:r>
    </w:p>
    <w:p>
      <w:pPr>
        <w:keepNext w:val="0"/>
        <w:keepLines w:val="0"/>
        <w:pageBreakBefore w:val="0"/>
        <w:widowControl w:val="0"/>
        <w:kinsoku/>
        <w:wordWrap/>
        <w:overflowPunct/>
        <w:topLinePunct w:val="0"/>
        <w:autoSpaceDE/>
        <w:autoSpaceDN/>
        <w:bidi w:val="0"/>
        <w:adjustRightInd/>
        <w:snapToGrid/>
        <w:spacing w:line="500" w:lineRule="exact"/>
        <w:ind w:firstLine="744" w:firstLineChars="300"/>
        <w:jc w:val="left"/>
        <w:textAlignment w:val="auto"/>
        <w:outlineLvl w:val="9"/>
        <w:rPr>
          <w:rFonts w:hint="eastAsia" w:ascii="宋体" w:hAnsi="宋体" w:eastAsia="宋体" w:cs="宋体"/>
          <w:spacing w:val="4"/>
          <w:sz w:val="24"/>
          <w:szCs w:val="30"/>
          <w:highlight w:val="none"/>
        </w:rPr>
      </w:pPr>
      <w:r>
        <w:rPr>
          <w:rFonts w:hint="eastAsia" w:ascii="宋体" w:hAnsi="宋体" w:eastAsia="宋体" w:cs="宋体"/>
          <w:spacing w:val="4"/>
          <w:sz w:val="24"/>
          <w:szCs w:val="30"/>
          <w:highlight w:val="none"/>
          <w:u w:val="single"/>
        </w:rPr>
        <w:t>(</w:t>
      </w:r>
      <w:r>
        <w:rPr>
          <w:rFonts w:hint="eastAsia" w:ascii="宋体" w:hAnsi="宋体" w:eastAsia="宋体" w:cs="宋体"/>
          <w:spacing w:val="4"/>
          <w:sz w:val="24"/>
          <w:szCs w:val="30"/>
          <w:highlight w:val="none"/>
          <w:u w:val="single"/>
          <w:lang w:val="en-US" w:eastAsia="zh-CN"/>
        </w:rPr>
        <w:t xml:space="preserve"> </w:t>
      </w:r>
      <w:r>
        <w:rPr>
          <w:rFonts w:hint="eastAsia" w:ascii="宋体" w:hAnsi="宋体" w:eastAsia="宋体" w:cs="宋体"/>
          <w:spacing w:val="4"/>
          <w:sz w:val="24"/>
          <w:szCs w:val="30"/>
          <w:highlight w:val="none"/>
          <w:u w:val="single"/>
          <w:lang w:eastAsia="zh-CN"/>
        </w:rPr>
        <w:t>供应商</w:t>
      </w:r>
      <w:r>
        <w:rPr>
          <w:rFonts w:hint="eastAsia" w:ascii="宋体" w:hAnsi="宋体" w:eastAsia="宋体" w:cs="宋体"/>
          <w:spacing w:val="4"/>
          <w:sz w:val="24"/>
          <w:szCs w:val="30"/>
          <w:highlight w:val="none"/>
          <w:u w:val="single"/>
        </w:rPr>
        <w:t xml:space="preserve">名称)      </w:t>
      </w:r>
      <w:r>
        <w:rPr>
          <w:rFonts w:hint="eastAsia" w:ascii="宋体" w:hAnsi="宋体" w:eastAsia="宋体" w:cs="宋体"/>
          <w:spacing w:val="4"/>
          <w:sz w:val="24"/>
          <w:szCs w:val="30"/>
          <w:highlight w:val="none"/>
        </w:rPr>
        <w:t>按中华人民共和国法律于</w:t>
      </w:r>
      <w:r>
        <w:rPr>
          <w:rFonts w:hint="eastAsia" w:ascii="宋体" w:hAnsi="宋体" w:eastAsia="宋体" w:cs="宋体"/>
          <w:spacing w:val="4"/>
          <w:sz w:val="24"/>
          <w:szCs w:val="30"/>
          <w:highlight w:val="none"/>
          <w:u w:val="single"/>
        </w:rPr>
        <w:t>（  年  月  日 ）</w:t>
      </w:r>
      <w:r>
        <w:rPr>
          <w:rFonts w:hint="eastAsia" w:ascii="宋体" w:hAnsi="宋体" w:eastAsia="宋体" w:cs="宋体"/>
          <w:spacing w:val="4"/>
          <w:sz w:val="24"/>
          <w:szCs w:val="30"/>
          <w:highlight w:val="none"/>
          <w:u w:val="single"/>
          <w:lang w:val="en-US" w:eastAsia="zh-CN"/>
        </w:rPr>
        <w:t xml:space="preserve"> </w:t>
      </w:r>
      <w:r>
        <w:rPr>
          <w:rFonts w:hint="eastAsia" w:ascii="宋体" w:hAnsi="宋体" w:eastAsia="宋体" w:cs="宋体"/>
          <w:spacing w:val="4"/>
          <w:sz w:val="24"/>
          <w:szCs w:val="30"/>
          <w:highlight w:val="none"/>
        </w:rPr>
        <w:t xml:space="preserve">成立。      </w:t>
      </w:r>
      <w:r>
        <w:rPr>
          <w:rFonts w:hint="eastAsia" w:ascii="宋体" w:hAnsi="宋体" w:eastAsia="宋体" w:cs="宋体"/>
          <w:spacing w:val="4"/>
          <w:sz w:val="24"/>
          <w:szCs w:val="30"/>
          <w:highlight w:val="none"/>
          <w:u w:val="single"/>
        </w:rPr>
        <w:t xml:space="preserve">     </w:t>
      </w:r>
      <w:r>
        <w:rPr>
          <w:rFonts w:hint="eastAsia" w:ascii="宋体" w:hAnsi="宋体" w:eastAsia="宋体" w:cs="宋体"/>
          <w:spacing w:val="4"/>
          <w:sz w:val="24"/>
          <w:szCs w:val="30"/>
          <w:highlight w:val="none"/>
          <w:u w:val="none"/>
        </w:rPr>
        <w:t>法定代表人</w:t>
      </w:r>
      <w:r>
        <w:rPr>
          <w:rFonts w:hint="eastAsia" w:ascii="宋体" w:hAnsi="宋体" w:eastAsia="宋体" w:cs="宋体"/>
          <w:spacing w:val="4"/>
          <w:sz w:val="24"/>
          <w:szCs w:val="30"/>
          <w:highlight w:val="none"/>
          <w:u w:val="single"/>
          <w:lang w:val="en-US" w:eastAsia="zh-CN"/>
        </w:rPr>
        <w:t xml:space="preserve">  </w:t>
      </w:r>
      <w:r>
        <w:rPr>
          <w:rFonts w:hint="eastAsia" w:ascii="宋体" w:hAnsi="宋体" w:eastAsia="宋体" w:cs="宋体"/>
          <w:spacing w:val="4"/>
          <w:sz w:val="24"/>
          <w:szCs w:val="30"/>
          <w:highlight w:val="none"/>
          <w:u w:val="single"/>
        </w:rPr>
        <w:t>姓名</w:t>
      </w:r>
      <w:r>
        <w:rPr>
          <w:rFonts w:hint="eastAsia" w:ascii="宋体" w:hAnsi="宋体" w:eastAsia="宋体" w:cs="宋体"/>
          <w:spacing w:val="4"/>
          <w:sz w:val="24"/>
          <w:szCs w:val="30"/>
          <w:highlight w:val="none"/>
          <w:u w:val="single"/>
          <w:lang w:val="en-US" w:eastAsia="zh-CN"/>
        </w:rPr>
        <w:t xml:space="preserve">   </w:t>
      </w:r>
      <w:r>
        <w:rPr>
          <w:rFonts w:hint="eastAsia" w:ascii="宋体" w:hAnsi="宋体" w:eastAsia="宋体" w:cs="宋体"/>
          <w:spacing w:val="4"/>
          <w:sz w:val="24"/>
          <w:szCs w:val="30"/>
          <w:highlight w:val="none"/>
          <w:u w:val="none"/>
        </w:rPr>
        <w:t>特授权</w:t>
      </w:r>
      <w:r>
        <w:rPr>
          <w:rFonts w:hint="eastAsia" w:ascii="宋体" w:hAnsi="宋体" w:eastAsia="宋体" w:cs="宋体"/>
          <w:spacing w:val="4"/>
          <w:sz w:val="24"/>
          <w:szCs w:val="30"/>
          <w:highlight w:val="none"/>
          <w:u w:val="single"/>
          <w:lang w:val="en-US" w:eastAsia="zh-CN"/>
        </w:rPr>
        <w:t xml:space="preserve">  </w:t>
      </w:r>
      <w:r>
        <w:rPr>
          <w:rFonts w:hint="eastAsia" w:ascii="宋体" w:hAnsi="宋体" w:eastAsia="宋体" w:cs="宋体"/>
          <w:spacing w:val="4"/>
          <w:sz w:val="24"/>
          <w:szCs w:val="30"/>
          <w:highlight w:val="none"/>
          <w:u w:val="single"/>
          <w:lang w:eastAsia="zh-CN"/>
        </w:rPr>
        <w:t>被授权人</w:t>
      </w:r>
      <w:r>
        <w:rPr>
          <w:rFonts w:hint="eastAsia" w:ascii="宋体" w:hAnsi="宋体" w:eastAsia="宋体" w:cs="宋体"/>
          <w:spacing w:val="4"/>
          <w:sz w:val="24"/>
          <w:szCs w:val="30"/>
          <w:highlight w:val="none"/>
          <w:u w:val="single"/>
        </w:rPr>
        <w:t>姓名</w:t>
      </w:r>
      <w:r>
        <w:rPr>
          <w:rFonts w:hint="eastAsia" w:ascii="宋体" w:hAnsi="宋体" w:eastAsia="宋体" w:cs="宋体"/>
          <w:spacing w:val="4"/>
          <w:sz w:val="24"/>
          <w:szCs w:val="30"/>
          <w:highlight w:val="none"/>
          <w:u w:val="single"/>
          <w:lang w:val="en-US" w:eastAsia="zh-CN"/>
        </w:rPr>
        <w:t xml:space="preserve">  </w:t>
      </w:r>
      <w:r>
        <w:rPr>
          <w:rFonts w:hint="eastAsia" w:ascii="宋体" w:hAnsi="宋体" w:eastAsia="宋体" w:cs="宋体"/>
          <w:spacing w:val="4"/>
          <w:sz w:val="24"/>
          <w:szCs w:val="30"/>
          <w:highlight w:val="none"/>
          <w:u w:val="none"/>
        </w:rPr>
        <w:t>代表我公司全权办理针对本次</w:t>
      </w:r>
      <w:r>
        <w:rPr>
          <w:rFonts w:hint="eastAsia" w:ascii="宋体" w:hAnsi="宋体" w:eastAsia="宋体" w:cs="宋体"/>
          <w:spacing w:val="4"/>
          <w:sz w:val="24"/>
          <w:szCs w:val="30"/>
          <w:highlight w:val="none"/>
          <w:u w:val="single"/>
          <w:lang w:val="en-US" w:eastAsia="zh-CN"/>
        </w:rPr>
        <w:t xml:space="preserve">  </w:t>
      </w:r>
      <w:r>
        <w:rPr>
          <w:rFonts w:hint="eastAsia" w:ascii="宋体" w:hAnsi="宋体" w:eastAsia="宋体" w:cs="宋体"/>
          <w:spacing w:val="4"/>
          <w:sz w:val="24"/>
          <w:szCs w:val="30"/>
          <w:highlight w:val="none"/>
          <w:u w:val="single"/>
          <w:lang w:eastAsia="zh-CN"/>
        </w:rPr>
        <w:t>项目名称、</w:t>
      </w:r>
      <w:r>
        <w:rPr>
          <w:rFonts w:hint="eastAsia" w:ascii="宋体" w:hAnsi="宋体" w:eastAsia="宋体" w:cs="宋体"/>
          <w:spacing w:val="4"/>
          <w:sz w:val="24"/>
          <w:szCs w:val="30"/>
          <w:highlight w:val="none"/>
          <w:u w:val="single"/>
        </w:rPr>
        <w:t xml:space="preserve">项目编号   </w:t>
      </w:r>
      <w:r>
        <w:rPr>
          <w:rFonts w:hint="eastAsia" w:ascii="宋体" w:hAnsi="宋体" w:eastAsia="宋体" w:cs="宋体"/>
          <w:spacing w:val="4"/>
          <w:sz w:val="24"/>
          <w:szCs w:val="30"/>
          <w:highlight w:val="none"/>
        </w:rPr>
        <w:t>项目的谈判、签约等具体工作，并签署全部有关的文件、协议及合同。</w:t>
      </w:r>
    </w:p>
    <w:p>
      <w:pPr>
        <w:keepNext w:val="0"/>
        <w:keepLines w:val="0"/>
        <w:pageBreakBefore w:val="0"/>
        <w:widowControl w:val="0"/>
        <w:kinsoku/>
        <w:wordWrap/>
        <w:overflowPunct/>
        <w:topLinePunct w:val="0"/>
        <w:autoSpaceDE/>
        <w:autoSpaceDN/>
        <w:bidi w:val="0"/>
        <w:adjustRightInd/>
        <w:snapToGrid/>
        <w:spacing w:line="500" w:lineRule="exact"/>
        <w:ind w:firstLine="496" w:firstLineChars="200"/>
        <w:jc w:val="left"/>
        <w:textAlignment w:val="auto"/>
        <w:outlineLvl w:val="9"/>
        <w:rPr>
          <w:rFonts w:hint="eastAsia" w:ascii="宋体" w:hAnsi="宋体" w:eastAsia="宋体" w:cs="宋体"/>
          <w:spacing w:val="4"/>
          <w:sz w:val="24"/>
          <w:szCs w:val="30"/>
          <w:highlight w:val="none"/>
        </w:rPr>
      </w:pPr>
      <w:r>
        <w:rPr>
          <w:rFonts w:hint="eastAsia" w:ascii="宋体" w:hAnsi="宋体" w:eastAsia="宋体" w:cs="宋体"/>
          <w:spacing w:val="4"/>
          <w:sz w:val="24"/>
          <w:szCs w:val="30"/>
          <w:highlight w:val="none"/>
        </w:rPr>
        <w:t>我公司对被授权人的签名负全部责任。</w:t>
      </w:r>
    </w:p>
    <w:p>
      <w:pPr>
        <w:keepNext w:val="0"/>
        <w:keepLines w:val="0"/>
        <w:pageBreakBefore w:val="0"/>
        <w:widowControl w:val="0"/>
        <w:kinsoku/>
        <w:wordWrap/>
        <w:overflowPunct/>
        <w:topLinePunct w:val="0"/>
        <w:autoSpaceDE/>
        <w:autoSpaceDN/>
        <w:bidi w:val="0"/>
        <w:adjustRightInd/>
        <w:snapToGrid/>
        <w:spacing w:line="500" w:lineRule="exact"/>
        <w:ind w:firstLine="496" w:firstLineChars="200"/>
        <w:jc w:val="left"/>
        <w:textAlignment w:val="auto"/>
        <w:outlineLvl w:val="9"/>
        <w:rPr>
          <w:rFonts w:hint="eastAsia" w:ascii="宋体" w:hAnsi="宋体" w:eastAsia="宋体" w:cs="宋体"/>
          <w:spacing w:val="4"/>
          <w:sz w:val="24"/>
          <w:szCs w:val="30"/>
          <w:highlight w:val="none"/>
        </w:rPr>
      </w:pPr>
      <w:r>
        <w:rPr>
          <w:rFonts w:hint="eastAsia" w:ascii="宋体" w:hAnsi="宋体" w:eastAsia="宋体" w:cs="宋体"/>
          <w:spacing w:val="4"/>
          <w:sz w:val="24"/>
          <w:szCs w:val="30"/>
          <w:highlight w:val="none"/>
        </w:rPr>
        <w:t>本授权有效期：      年      月      日至      年      月      日。</w:t>
      </w:r>
    </w:p>
    <w:p>
      <w:pPr>
        <w:keepNext w:val="0"/>
        <w:keepLines w:val="0"/>
        <w:pageBreakBefore w:val="0"/>
        <w:widowControl w:val="0"/>
        <w:kinsoku/>
        <w:wordWrap/>
        <w:overflowPunct/>
        <w:topLinePunct w:val="0"/>
        <w:autoSpaceDE/>
        <w:autoSpaceDN/>
        <w:bidi w:val="0"/>
        <w:adjustRightInd/>
        <w:snapToGrid/>
        <w:spacing w:line="500" w:lineRule="exact"/>
        <w:ind w:firstLine="496" w:firstLineChars="200"/>
        <w:jc w:val="left"/>
        <w:textAlignment w:val="auto"/>
        <w:outlineLvl w:val="9"/>
        <w:rPr>
          <w:rFonts w:hint="eastAsia" w:ascii="宋体" w:hAnsi="宋体" w:eastAsia="宋体" w:cs="宋体"/>
          <w:spacing w:val="4"/>
          <w:sz w:val="24"/>
          <w:szCs w:val="30"/>
          <w:highlight w:val="none"/>
        </w:rPr>
      </w:pPr>
    </w:p>
    <w:tbl>
      <w:tblPr>
        <w:tblStyle w:val="28"/>
        <w:tblW w:w="8190" w:type="dxa"/>
        <w:tblInd w:w="633"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spacing w:val="4"/>
                <w:sz w:val="24"/>
                <w:highlight w:val="none"/>
              </w:rPr>
            </w:pPr>
            <w:r>
              <w:rPr>
                <w:rFonts w:hint="eastAsia" w:ascii="宋体" w:hAnsi="宋体" w:eastAsia="宋体" w:cs="宋体"/>
                <w:spacing w:val="4"/>
                <w:sz w:val="24"/>
                <w:highlight w:val="none"/>
                <w:lang w:val="en-US" w:eastAsia="zh-CN"/>
              </w:rPr>
              <w:t>被授权人</w:t>
            </w:r>
            <w:r>
              <w:rPr>
                <w:rFonts w:hint="eastAsia" w:ascii="宋体" w:hAnsi="宋体" w:eastAsia="宋体" w:cs="宋体"/>
                <w:spacing w:val="4"/>
                <w:sz w:val="24"/>
                <w:highlight w:val="none"/>
                <w:lang w:eastAsia="zh-CN"/>
              </w:rPr>
              <w:t>签字或盖章</w:t>
            </w:r>
            <w:r>
              <w:rPr>
                <w:rFonts w:hint="eastAsia" w:ascii="宋体" w:hAnsi="宋体" w:eastAsia="宋体" w:cs="宋体"/>
                <w:spacing w:val="4"/>
                <w:sz w:val="24"/>
                <w:highlight w:val="none"/>
              </w:rPr>
              <w:t>：</w:t>
            </w:r>
          </w:p>
        </w:tc>
        <w:tc>
          <w:tcPr>
            <w:tcW w:w="3990" w:type="dxa"/>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spacing w:val="4"/>
                <w:sz w:val="24"/>
                <w:highlight w:val="none"/>
              </w:rPr>
            </w:pPr>
            <w:r>
              <w:rPr>
                <w:rFonts w:hint="eastAsia" w:ascii="宋体" w:hAnsi="宋体" w:eastAsia="宋体" w:cs="宋体"/>
                <w:spacing w:val="4"/>
                <w:sz w:val="24"/>
                <w:highlight w:val="none"/>
                <w:lang w:eastAsia="zh-CN"/>
              </w:rPr>
              <w:t>法定代表人签字或盖章</w:t>
            </w:r>
            <w:r>
              <w:rPr>
                <w:rFonts w:hint="eastAsia" w:ascii="宋体" w:hAnsi="宋体" w:eastAsia="宋体" w:cs="宋体"/>
                <w:spacing w:val="4"/>
                <w:sz w:val="24"/>
                <w:highlight w:val="none"/>
              </w:rPr>
              <w:t>：</w:t>
            </w:r>
          </w:p>
        </w:tc>
      </w:tr>
      <w:tr>
        <w:tblPrEx>
          <w:tblCellMar>
            <w:top w:w="0" w:type="dxa"/>
            <w:left w:w="108" w:type="dxa"/>
            <w:bottom w:w="0" w:type="dxa"/>
            <w:right w:w="108" w:type="dxa"/>
          </w:tblCellMar>
        </w:tblPrEx>
        <w:trPr>
          <w:trHeight w:val="600" w:hRule="atLeast"/>
        </w:trPr>
        <w:tc>
          <w:tcPr>
            <w:tcW w:w="4200" w:type="dxa"/>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spacing w:val="4"/>
                <w:sz w:val="24"/>
                <w:highlight w:val="none"/>
              </w:rPr>
            </w:pPr>
            <w:r>
              <w:rPr>
                <w:rFonts w:hint="eastAsia" w:ascii="宋体" w:hAnsi="宋体" w:eastAsia="宋体" w:cs="宋体"/>
                <w:spacing w:val="4"/>
                <w:sz w:val="24"/>
                <w:highlight w:val="none"/>
              </w:rPr>
              <w:t>职务：</w:t>
            </w:r>
          </w:p>
        </w:tc>
        <w:tc>
          <w:tcPr>
            <w:tcW w:w="3990" w:type="dxa"/>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spacing w:val="4"/>
                <w:sz w:val="24"/>
                <w:highlight w:val="none"/>
              </w:rPr>
            </w:pPr>
            <w:r>
              <w:rPr>
                <w:rFonts w:hint="eastAsia" w:ascii="宋体" w:hAnsi="宋体" w:eastAsia="宋体" w:cs="宋体"/>
                <w:spacing w:val="4"/>
                <w:sz w:val="24"/>
                <w:highlight w:val="none"/>
              </w:rPr>
              <w:t>职务：</w:t>
            </w:r>
          </w:p>
        </w:tc>
      </w:tr>
      <w:tr>
        <w:tblPrEx>
          <w:tblCellMar>
            <w:top w:w="0" w:type="dxa"/>
            <w:left w:w="108" w:type="dxa"/>
            <w:bottom w:w="0" w:type="dxa"/>
            <w:right w:w="108" w:type="dxa"/>
          </w:tblCellMar>
        </w:tblPrEx>
        <w:trPr>
          <w:trHeight w:val="600" w:hRule="atLeast"/>
        </w:trPr>
        <w:tc>
          <w:tcPr>
            <w:tcW w:w="4200" w:type="dxa"/>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spacing w:val="4"/>
                <w:sz w:val="24"/>
                <w:highlight w:val="none"/>
              </w:rPr>
            </w:pPr>
            <w:r>
              <w:rPr>
                <w:rFonts w:hint="eastAsia" w:ascii="宋体" w:hAnsi="宋体" w:eastAsia="宋体" w:cs="宋体"/>
                <w:spacing w:val="4"/>
                <w:sz w:val="24"/>
                <w:highlight w:val="none"/>
              </w:rPr>
              <w:t>身份证号：</w:t>
            </w:r>
          </w:p>
        </w:tc>
        <w:tc>
          <w:tcPr>
            <w:tcW w:w="3990" w:type="dxa"/>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spacing w:val="4"/>
                <w:sz w:val="24"/>
                <w:highlight w:val="none"/>
              </w:rPr>
            </w:pPr>
            <w:r>
              <w:rPr>
                <w:rFonts w:hint="eastAsia" w:ascii="宋体" w:hAnsi="宋体" w:eastAsia="宋体" w:cs="宋体"/>
                <w:spacing w:val="4"/>
                <w:sz w:val="24"/>
                <w:highlight w:val="none"/>
              </w:rPr>
              <w:t>身份证号：</w:t>
            </w:r>
          </w:p>
        </w:tc>
      </w:tr>
      <w:tr>
        <w:tblPrEx>
          <w:tblCellMar>
            <w:top w:w="0" w:type="dxa"/>
            <w:left w:w="108" w:type="dxa"/>
            <w:bottom w:w="0" w:type="dxa"/>
            <w:right w:w="108" w:type="dxa"/>
          </w:tblCellMar>
        </w:tblPrEx>
        <w:trPr>
          <w:trHeight w:val="600" w:hRule="atLeast"/>
        </w:trPr>
        <w:tc>
          <w:tcPr>
            <w:tcW w:w="4200" w:type="dxa"/>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spacing w:val="4"/>
                <w:sz w:val="24"/>
                <w:highlight w:val="none"/>
              </w:rPr>
            </w:pPr>
            <w:r>
              <w:rPr>
                <w:rFonts w:hint="eastAsia" w:ascii="宋体" w:hAnsi="宋体" w:eastAsia="宋体" w:cs="宋体"/>
                <w:spacing w:val="4"/>
                <w:sz w:val="24"/>
                <w:highlight w:val="none"/>
              </w:rPr>
              <w:t>所在部门：</w:t>
            </w:r>
          </w:p>
        </w:tc>
        <w:tc>
          <w:tcPr>
            <w:tcW w:w="3990" w:type="dxa"/>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spacing w:val="4"/>
                <w:sz w:val="24"/>
                <w:highlight w:val="none"/>
              </w:rPr>
            </w:pPr>
          </w:p>
        </w:tc>
      </w:tr>
    </w:tbl>
    <w:p>
      <w:pPr>
        <w:keepNext w:val="0"/>
        <w:keepLines w:val="0"/>
        <w:pageBreakBefore w:val="0"/>
        <w:widowControl w:val="0"/>
        <w:kinsoku/>
        <w:wordWrap/>
        <w:overflowPunct/>
        <w:topLinePunct w:val="0"/>
        <w:autoSpaceDE/>
        <w:autoSpaceDN/>
        <w:bidi w:val="0"/>
        <w:adjustRightInd/>
        <w:snapToGrid/>
        <w:spacing w:line="500" w:lineRule="exact"/>
        <w:ind w:firstLine="496" w:firstLineChars="200"/>
        <w:jc w:val="left"/>
        <w:textAlignment w:val="auto"/>
        <w:outlineLvl w:val="9"/>
        <w:rPr>
          <w:rFonts w:hint="eastAsia" w:ascii="宋体" w:hAnsi="宋体" w:eastAsia="宋体" w:cs="宋体"/>
          <w:spacing w:val="4"/>
          <w:sz w:val="24"/>
          <w:highlight w:val="none"/>
        </w:rPr>
      </w:pPr>
    </w:p>
    <w:p>
      <w:pPr>
        <w:spacing w:line="440" w:lineRule="exact"/>
        <w:ind w:firstLine="505" w:firstLineChars="204"/>
        <w:rPr>
          <w:rFonts w:hint="eastAsia" w:ascii="宋体" w:hAnsi="宋体" w:eastAsia="宋体" w:cs="宋体"/>
          <w:spacing w:val="4"/>
          <w:sz w:val="24"/>
          <w:szCs w:val="30"/>
          <w:highlight w:val="none"/>
        </w:rPr>
      </w:pPr>
      <w:r>
        <w:rPr>
          <w:rFonts w:hint="eastAsia" w:ascii="宋体" w:hAnsi="宋体" w:eastAsia="宋体" w:cs="宋体"/>
          <w:spacing w:val="4"/>
          <w:sz w:val="24"/>
          <w:szCs w:val="30"/>
          <w:highlight w:val="none"/>
        </w:rPr>
        <w:t>附：</w:t>
      </w:r>
      <w:r>
        <w:rPr>
          <w:rFonts w:hint="eastAsia" w:ascii="宋体" w:hAnsi="宋体" w:eastAsia="宋体" w:cs="宋体"/>
          <w:spacing w:val="4"/>
          <w:sz w:val="24"/>
          <w:szCs w:val="30"/>
          <w:highlight w:val="none"/>
          <w:lang w:eastAsia="zh-CN"/>
        </w:rPr>
        <w:t>法定代表人</w:t>
      </w:r>
      <w:r>
        <w:rPr>
          <w:rFonts w:hint="eastAsia" w:ascii="宋体" w:hAnsi="宋体" w:eastAsia="宋体" w:cs="宋体"/>
          <w:spacing w:val="4"/>
          <w:sz w:val="24"/>
          <w:szCs w:val="30"/>
          <w:highlight w:val="none"/>
        </w:rPr>
        <w:t>、</w:t>
      </w:r>
      <w:r>
        <w:rPr>
          <w:rFonts w:hint="eastAsia" w:ascii="宋体" w:hAnsi="宋体" w:eastAsia="宋体" w:cs="宋体"/>
          <w:spacing w:val="4"/>
          <w:sz w:val="24"/>
          <w:highlight w:val="none"/>
          <w:lang w:val="en-US" w:eastAsia="zh-CN"/>
        </w:rPr>
        <w:t>被授权人</w:t>
      </w:r>
      <w:r>
        <w:rPr>
          <w:rFonts w:hint="eastAsia" w:ascii="宋体" w:hAnsi="宋体" w:eastAsia="宋体" w:cs="宋体"/>
          <w:spacing w:val="4"/>
          <w:sz w:val="24"/>
          <w:szCs w:val="30"/>
          <w:highlight w:val="none"/>
        </w:rPr>
        <w:t>身份证复印件</w:t>
      </w:r>
      <w:r>
        <w:rPr>
          <w:rFonts w:hint="eastAsia" w:ascii="宋体" w:hAnsi="宋体" w:eastAsia="宋体" w:cs="宋体"/>
          <w:spacing w:val="4"/>
          <w:sz w:val="24"/>
          <w:szCs w:val="30"/>
          <w:highlight w:val="none"/>
          <w:lang w:eastAsia="zh-CN"/>
        </w:rPr>
        <w:t>（正反面）</w:t>
      </w:r>
    </w:p>
    <w:p>
      <w:pPr>
        <w:spacing w:line="440" w:lineRule="exact"/>
        <w:rPr>
          <w:rFonts w:hint="eastAsia" w:ascii="宋体" w:hAnsi="宋体" w:eastAsia="宋体" w:cs="宋体"/>
          <w:spacing w:val="4"/>
          <w:sz w:val="24"/>
          <w:szCs w:val="30"/>
          <w:highlight w:val="none"/>
        </w:rPr>
      </w:pPr>
    </w:p>
    <w:p>
      <w:pPr>
        <w:pStyle w:val="9"/>
        <w:rPr>
          <w:rFonts w:hint="eastAsia" w:ascii="宋体" w:hAnsi="宋体" w:eastAsia="宋体" w:cs="宋体"/>
          <w:spacing w:val="4"/>
          <w:sz w:val="24"/>
          <w:szCs w:val="30"/>
          <w:highlight w:val="none"/>
        </w:rPr>
      </w:pPr>
    </w:p>
    <w:p>
      <w:pPr>
        <w:pStyle w:val="9"/>
        <w:rPr>
          <w:rFonts w:hint="eastAsia" w:ascii="宋体" w:hAnsi="宋体" w:eastAsia="宋体" w:cs="宋体"/>
          <w:spacing w:val="4"/>
          <w:sz w:val="24"/>
          <w:szCs w:val="30"/>
          <w:highlight w:val="none"/>
        </w:rPr>
      </w:pPr>
    </w:p>
    <w:p>
      <w:pPr>
        <w:pStyle w:val="9"/>
        <w:rPr>
          <w:rFonts w:hint="eastAsia" w:ascii="宋体" w:hAnsi="宋体" w:eastAsia="宋体" w:cs="宋体"/>
          <w:spacing w:val="4"/>
          <w:sz w:val="24"/>
          <w:szCs w:val="30"/>
          <w:highlight w:val="none"/>
        </w:rPr>
      </w:pPr>
    </w:p>
    <w:p>
      <w:pPr>
        <w:pStyle w:val="9"/>
        <w:rPr>
          <w:rFonts w:hint="eastAsia" w:ascii="宋体" w:hAnsi="宋体" w:eastAsia="宋体" w:cs="宋体"/>
          <w:spacing w:val="4"/>
          <w:sz w:val="24"/>
          <w:szCs w:val="30"/>
          <w:highlight w:val="none"/>
        </w:rPr>
      </w:pPr>
    </w:p>
    <w:p>
      <w:pPr>
        <w:spacing w:line="440" w:lineRule="exact"/>
        <w:ind w:firstLine="496" w:firstLineChars="200"/>
        <w:jc w:val="both"/>
        <w:rPr>
          <w:rFonts w:hint="eastAsia" w:ascii="宋体" w:hAnsi="宋体" w:eastAsia="宋体" w:cs="宋体"/>
          <w:spacing w:val="4"/>
          <w:sz w:val="24"/>
          <w:szCs w:val="24"/>
          <w:highlight w:val="none"/>
        </w:rPr>
      </w:pPr>
      <w:r>
        <w:rPr>
          <w:rFonts w:hint="eastAsia" w:ascii="宋体" w:hAnsi="宋体" w:eastAsia="宋体" w:cs="宋体"/>
          <w:spacing w:val="4"/>
          <w:sz w:val="24"/>
          <w:szCs w:val="30"/>
          <w:highlight w:val="none"/>
        </w:rPr>
        <w:t>谈</w:t>
      </w:r>
      <w:r>
        <w:rPr>
          <w:rFonts w:hint="eastAsia" w:ascii="宋体" w:hAnsi="宋体" w:eastAsia="宋体" w:cs="宋体"/>
          <w:spacing w:val="4"/>
          <w:sz w:val="24"/>
          <w:szCs w:val="24"/>
          <w:highlight w:val="none"/>
        </w:rPr>
        <w:t>判</w:t>
      </w:r>
      <w:r>
        <w:rPr>
          <w:rFonts w:hint="eastAsia" w:ascii="宋体" w:hAnsi="宋体" w:eastAsia="宋体" w:cs="宋体"/>
          <w:spacing w:val="4"/>
          <w:sz w:val="24"/>
          <w:szCs w:val="24"/>
          <w:highlight w:val="none"/>
          <w:lang w:eastAsia="zh-CN"/>
        </w:rPr>
        <w:t>供应商</w:t>
      </w:r>
      <w:r>
        <w:rPr>
          <w:rFonts w:hint="eastAsia" w:ascii="宋体" w:hAnsi="宋体" w:eastAsia="宋体" w:cs="宋体"/>
          <w:spacing w:val="4"/>
          <w:sz w:val="24"/>
          <w:szCs w:val="24"/>
          <w:highlight w:val="none"/>
        </w:rPr>
        <w:t>名称（盖章）：</w:t>
      </w:r>
    </w:p>
    <w:p>
      <w:pPr>
        <w:spacing w:line="440" w:lineRule="exact"/>
        <w:ind w:firstLine="496" w:firstLineChars="200"/>
        <w:rPr>
          <w:rFonts w:hint="eastAsia" w:ascii="宋体" w:hAnsi="宋体" w:eastAsia="宋体" w:cs="宋体"/>
          <w:spacing w:val="4"/>
          <w:sz w:val="24"/>
          <w:szCs w:val="24"/>
          <w:highlight w:val="none"/>
        </w:rPr>
      </w:pPr>
    </w:p>
    <w:p>
      <w:pPr>
        <w:spacing w:line="440" w:lineRule="exact"/>
        <w:ind w:firstLine="496" w:firstLineChars="200"/>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日</w:t>
      </w:r>
      <w:r>
        <w:rPr>
          <w:rFonts w:hint="eastAsia" w:ascii="宋体" w:hAnsi="宋体" w:eastAsia="宋体" w:cs="宋体"/>
          <w:spacing w:val="4"/>
          <w:sz w:val="24"/>
          <w:szCs w:val="24"/>
          <w:highlight w:val="none"/>
          <w:lang w:val="en-US" w:eastAsia="zh-CN"/>
        </w:rPr>
        <w:t xml:space="preserve"> </w:t>
      </w:r>
      <w:r>
        <w:rPr>
          <w:rFonts w:hint="eastAsia" w:ascii="宋体" w:hAnsi="宋体" w:eastAsia="宋体" w:cs="宋体"/>
          <w:spacing w:val="4"/>
          <w:sz w:val="24"/>
          <w:szCs w:val="24"/>
          <w:highlight w:val="none"/>
        </w:rPr>
        <w:t>期：</w:t>
      </w:r>
    </w:p>
    <w:p>
      <w:pPr>
        <w:pStyle w:val="9"/>
        <w:rPr>
          <w:rFonts w:hint="eastAsia" w:ascii="宋体" w:hAnsi="宋体" w:eastAsia="宋体" w:cs="宋体"/>
          <w:highlight w:val="none"/>
        </w:rPr>
      </w:pPr>
    </w:p>
    <w:p>
      <w:pPr>
        <w:spacing w:line="440" w:lineRule="exact"/>
        <w:ind w:firstLine="482" w:firstLineChars="200"/>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说明：本授权书有效期自谈判之日起不得少于90天，仅限被授权人参加谈判时提供。</w:t>
      </w:r>
    </w:p>
    <w:p>
      <w:pPr>
        <w:pStyle w:val="9"/>
        <w:rPr>
          <w:rFonts w:hint="eastAsia" w:ascii="宋体" w:hAnsi="宋体" w:eastAsia="宋体" w:cs="宋体"/>
          <w:b/>
          <w:bCs/>
          <w:sz w:val="24"/>
          <w:szCs w:val="24"/>
          <w:highlight w:val="none"/>
          <w:lang w:val="zh-CN"/>
        </w:rPr>
      </w:pPr>
    </w:p>
    <w:p>
      <w:pPr>
        <w:pStyle w:val="9"/>
        <w:rPr>
          <w:rFonts w:hint="eastAsia" w:ascii="宋体" w:hAnsi="宋体" w:eastAsia="宋体" w:cs="宋体"/>
          <w:b/>
          <w:bCs/>
          <w:sz w:val="24"/>
          <w:szCs w:val="24"/>
          <w:highlight w:val="none"/>
          <w:lang w:val="zh-CN"/>
        </w:rPr>
      </w:pPr>
    </w:p>
    <w:p>
      <w:pPr>
        <w:numPr>
          <w:ilvl w:val="0"/>
          <w:numId w:val="7"/>
        </w:numPr>
        <w:ind w:left="1" w:leftChars="0" w:firstLine="0" w:firstLineChars="0"/>
        <w:jc w:val="center"/>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lang w:eastAsia="zh-CN"/>
        </w:rPr>
        <w:t>其他资料</w:t>
      </w:r>
    </w:p>
    <w:p>
      <w:pPr>
        <w:pStyle w:val="9"/>
        <w:widowControl w:val="0"/>
        <w:numPr>
          <w:ilvl w:val="0"/>
          <w:numId w:val="0"/>
        </w:numPr>
        <w:spacing w:after="120" w:afterLines="0"/>
        <w:jc w:val="both"/>
        <w:rPr>
          <w:rFonts w:hint="eastAsia" w:ascii="宋体" w:hAnsi="宋体" w:eastAsia="宋体" w:cs="宋体"/>
          <w:highlight w:val="none"/>
          <w:lang w:eastAsia="zh-CN"/>
        </w:rPr>
      </w:pPr>
    </w:p>
    <w:p>
      <w:pPr>
        <w:rPr>
          <w:rFonts w:hint="eastAsia" w:ascii="宋体" w:hAnsi="宋体" w:eastAsia="宋体" w:cs="宋体"/>
          <w:b/>
          <w:sz w:val="28"/>
          <w:szCs w:val="28"/>
          <w:highlight w:val="none"/>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val="en-US" w:eastAsia="zh-CN"/>
        </w:rPr>
        <w:t>1</w:t>
      </w:r>
      <w:r>
        <w:rPr>
          <w:rFonts w:hint="eastAsia" w:ascii="宋体" w:hAnsi="宋体" w:eastAsia="宋体" w:cs="宋体"/>
          <w:b w:val="0"/>
          <w:bCs w:val="0"/>
          <w:color w:val="auto"/>
          <w:sz w:val="28"/>
          <w:szCs w:val="28"/>
          <w:highlight w:val="none"/>
          <w:lang w:eastAsia="zh-CN"/>
        </w:rPr>
        <w:t>、依据竞争性谈判文件要求，供应商认为有必要说明的其他内容。</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lang w:eastAsia="zh-CN"/>
        </w:rPr>
        <w:t>、其他可以证明供应商实力的文件。</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宋体" w:hAnsi="宋体" w:eastAsia="宋体" w:cs="宋体"/>
          <w:b w:val="0"/>
          <w:bCs w:val="0"/>
          <w:color w:val="auto"/>
          <w:sz w:val="28"/>
          <w:szCs w:val="28"/>
          <w:highlight w:val="none"/>
          <w:lang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宋体" w:hAnsi="宋体" w:eastAsia="宋体" w:cs="宋体"/>
          <w:b w:val="0"/>
          <w:bCs w:val="0"/>
          <w:color w:val="auto"/>
          <w:sz w:val="28"/>
          <w:szCs w:val="28"/>
          <w:highlight w:val="none"/>
          <w:lang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宋体" w:hAnsi="宋体" w:eastAsia="宋体" w:cs="宋体"/>
          <w:b w:val="0"/>
          <w:bCs w:val="0"/>
          <w:color w:val="auto"/>
          <w:sz w:val="28"/>
          <w:szCs w:val="28"/>
          <w:highlight w:val="none"/>
          <w:lang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宋体" w:hAnsi="宋体" w:eastAsia="宋体" w:cs="宋体"/>
          <w:b w:val="0"/>
          <w:bCs w:val="0"/>
          <w:color w:val="auto"/>
          <w:sz w:val="28"/>
          <w:szCs w:val="28"/>
          <w:highlight w:val="none"/>
          <w:lang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宋体" w:hAnsi="宋体" w:eastAsia="宋体" w:cs="宋体"/>
          <w:b w:val="0"/>
          <w:bCs w:val="0"/>
          <w:color w:val="auto"/>
          <w:sz w:val="28"/>
          <w:szCs w:val="28"/>
          <w:highlight w:val="none"/>
          <w:lang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宋体" w:hAnsi="宋体" w:eastAsia="宋体" w:cs="宋体"/>
          <w:b w:val="0"/>
          <w:bCs w:val="0"/>
          <w:color w:val="auto"/>
          <w:sz w:val="28"/>
          <w:szCs w:val="28"/>
          <w:highlight w:val="none"/>
          <w:lang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宋体" w:hAnsi="宋体" w:eastAsia="宋体" w:cs="宋体"/>
          <w:b w:val="0"/>
          <w:bCs w:val="0"/>
          <w:color w:val="auto"/>
          <w:sz w:val="28"/>
          <w:szCs w:val="28"/>
          <w:highlight w:val="none"/>
          <w:lang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宋体" w:hAnsi="宋体" w:eastAsia="宋体" w:cs="宋体"/>
          <w:b w:val="0"/>
          <w:bCs w:val="0"/>
          <w:color w:val="auto"/>
          <w:sz w:val="28"/>
          <w:szCs w:val="28"/>
          <w:highlight w:val="none"/>
          <w:lang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宋体" w:hAnsi="宋体" w:eastAsia="宋体" w:cs="宋体"/>
          <w:b w:val="0"/>
          <w:bCs w:val="0"/>
          <w:color w:val="auto"/>
          <w:sz w:val="28"/>
          <w:szCs w:val="28"/>
          <w:highlight w:val="none"/>
          <w:lang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宋体" w:hAnsi="宋体" w:eastAsia="宋体" w:cs="宋体"/>
          <w:b w:val="0"/>
          <w:bCs w:val="0"/>
          <w:color w:val="auto"/>
          <w:sz w:val="28"/>
          <w:szCs w:val="28"/>
          <w:highlight w:val="none"/>
          <w:lang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宋体" w:hAnsi="宋体" w:eastAsia="宋体" w:cs="宋体"/>
          <w:b w:val="0"/>
          <w:bCs w:val="0"/>
          <w:color w:val="auto"/>
          <w:sz w:val="28"/>
          <w:szCs w:val="28"/>
          <w:highlight w:val="none"/>
          <w:lang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宋体" w:hAnsi="宋体" w:eastAsia="宋体" w:cs="宋体"/>
          <w:b w:val="0"/>
          <w:bCs w:val="0"/>
          <w:color w:val="auto"/>
          <w:sz w:val="28"/>
          <w:szCs w:val="28"/>
          <w:highlight w:val="none"/>
          <w:lang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宋体" w:hAnsi="宋体" w:eastAsia="宋体" w:cs="宋体"/>
          <w:b w:val="0"/>
          <w:bCs w:val="0"/>
          <w:color w:val="auto"/>
          <w:sz w:val="28"/>
          <w:szCs w:val="28"/>
          <w:highlight w:val="none"/>
          <w:lang w:eastAsia="zh-CN"/>
        </w:rPr>
      </w:pPr>
    </w:p>
    <w:p>
      <w:pPr>
        <w:rPr>
          <w:rFonts w:hint="eastAsia" w:ascii="宋体" w:hAnsi="宋体" w:eastAsia="宋体" w:cs="宋体"/>
          <w:b/>
          <w:sz w:val="28"/>
          <w:szCs w:val="28"/>
          <w:highlight w:val="none"/>
        </w:rPr>
      </w:pPr>
    </w:p>
    <w:p>
      <w:pPr>
        <w:rPr>
          <w:rFonts w:hint="eastAsia" w:ascii="宋体" w:hAnsi="宋体" w:eastAsia="宋体" w:cs="宋体"/>
          <w:b/>
          <w:sz w:val="28"/>
          <w:szCs w:val="28"/>
          <w:highlight w:val="none"/>
        </w:rPr>
      </w:pPr>
      <w:r>
        <w:rPr>
          <w:rFonts w:hint="eastAsia" w:ascii="宋体" w:hAnsi="宋体" w:eastAsia="宋体" w:cs="宋体"/>
          <w:b/>
          <w:sz w:val="28"/>
          <w:szCs w:val="28"/>
          <w:highlight w:val="none"/>
        </w:rPr>
        <w:t>附件</w:t>
      </w:r>
      <w:r>
        <w:rPr>
          <w:rFonts w:hint="eastAsia" w:ascii="宋体" w:hAnsi="宋体" w:eastAsia="宋体" w:cs="宋体"/>
          <w:b/>
          <w:sz w:val="28"/>
          <w:szCs w:val="28"/>
          <w:highlight w:val="none"/>
          <w:lang w:val="en-US" w:eastAsia="zh-CN"/>
        </w:rPr>
        <w:t>1</w:t>
      </w:r>
      <w:r>
        <w:rPr>
          <w:rFonts w:hint="eastAsia" w:ascii="宋体" w:hAnsi="宋体" w:eastAsia="宋体" w:cs="宋体"/>
          <w:b/>
          <w:sz w:val="28"/>
          <w:szCs w:val="28"/>
          <w:highlight w:val="none"/>
        </w:rPr>
        <w:t>：</w:t>
      </w:r>
    </w:p>
    <w:p>
      <w:pPr>
        <w:autoSpaceDE w:val="0"/>
        <w:autoSpaceDN w:val="0"/>
        <w:adjustRightInd w:val="0"/>
        <w:spacing w:line="360" w:lineRule="auto"/>
        <w:jc w:val="center"/>
        <w:rPr>
          <w:rFonts w:hint="eastAsia" w:ascii="宋体" w:hAnsi="宋体" w:eastAsia="宋体" w:cs="宋体"/>
          <w:b/>
          <w:color w:val="auto"/>
          <w:sz w:val="28"/>
          <w:szCs w:val="28"/>
          <w:highlight w:val="none"/>
          <w:lang w:val="zh-CN"/>
        </w:rPr>
      </w:pPr>
      <w:r>
        <w:rPr>
          <w:rFonts w:hint="eastAsia" w:ascii="宋体" w:hAnsi="宋体" w:eastAsia="宋体" w:cs="宋体"/>
          <w:b/>
          <w:color w:val="auto"/>
          <w:sz w:val="28"/>
          <w:szCs w:val="28"/>
          <w:highlight w:val="none"/>
          <w:lang w:val="zh-CN"/>
        </w:rPr>
        <w:t>一、中小企业声明函（货物）</w:t>
      </w:r>
    </w:p>
    <w:p>
      <w:pPr>
        <w:autoSpaceDE w:val="0"/>
        <w:autoSpaceDN w:val="0"/>
        <w:adjustRightInd w:val="0"/>
        <w:spacing w:line="360" w:lineRule="auto"/>
        <w:ind w:firstLine="420" w:firstLineChars="200"/>
        <w:jc w:val="left"/>
        <w:rPr>
          <w:rFonts w:hint="eastAsia" w:ascii="宋体" w:hAnsi="宋体" w:eastAsia="宋体" w:cs="宋体"/>
          <w:color w:val="auto"/>
          <w:szCs w:val="21"/>
          <w:highlight w:val="none"/>
          <w:lang w:val="zh-CN"/>
        </w:rPr>
      </w:pPr>
    </w:p>
    <w:p>
      <w:pPr>
        <w:autoSpaceDE w:val="0"/>
        <w:autoSpaceDN w:val="0"/>
        <w:adjustRightInd w:val="0"/>
        <w:spacing w:line="360" w:lineRule="auto"/>
        <w:ind w:firstLine="480" w:firstLineChars="20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本公司（联合体）郑重声明，根据《政府采购促进中小企业发展管理办法》（财库〔2020〕46号）的规定，本公司（联合体）参加</w:t>
      </w:r>
      <w:r>
        <w:rPr>
          <w:rFonts w:hint="eastAsia" w:ascii="宋体" w:hAnsi="宋体" w:eastAsia="宋体" w:cs="宋体"/>
          <w:color w:val="auto"/>
          <w:sz w:val="24"/>
          <w:highlight w:val="none"/>
          <w:u w:val="single"/>
          <w:lang w:val="zh-CN"/>
        </w:rPr>
        <w:t>（单位名称）</w:t>
      </w:r>
      <w:r>
        <w:rPr>
          <w:rFonts w:hint="eastAsia" w:ascii="宋体" w:hAnsi="宋体" w:eastAsia="宋体" w:cs="宋体"/>
          <w:color w:val="auto"/>
          <w:sz w:val="24"/>
          <w:highlight w:val="none"/>
          <w:lang w:val="zh-CN"/>
        </w:rPr>
        <w:t>的</w:t>
      </w:r>
      <w:r>
        <w:rPr>
          <w:rFonts w:hint="eastAsia" w:ascii="宋体" w:hAnsi="宋体" w:eastAsia="宋体" w:cs="宋体"/>
          <w:color w:val="auto"/>
          <w:sz w:val="24"/>
          <w:highlight w:val="none"/>
          <w:u w:val="single"/>
          <w:lang w:val="zh-CN"/>
        </w:rPr>
        <w:t>（项目名称）</w:t>
      </w:r>
      <w:r>
        <w:rPr>
          <w:rFonts w:hint="eastAsia" w:ascii="宋体" w:hAnsi="宋体" w:eastAsia="宋体" w:cs="宋体"/>
          <w:color w:val="auto"/>
          <w:sz w:val="24"/>
          <w:highlight w:val="none"/>
          <w:lang w:val="zh-CN"/>
        </w:rPr>
        <w:t>采购活动，提 供的货物全部由符合政策要求的中小企业制造。相关企业 （含联合体中的中小企业、签订分包意向协议的中小企业） 的具体情况如下：</w:t>
      </w:r>
    </w:p>
    <w:p>
      <w:pPr>
        <w:autoSpaceDE w:val="0"/>
        <w:autoSpaceDN w:val="0"/>
        <w:adjustRightInd w:val="0"/>
        <w:spacing w:line="360" w:lineRule="auto"/>
        <w:ind w:firstLine="480" w:firstLineChars="20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lang w:val="zh-CN"/>
        </w:rPr>
        <w:t xml:space="preserve">（标的名称） </w:t>
      </w:r>
      <w:r>
        <w:rPr>
          <w:rFonts w:hint="eastAsia" w:ascii="宋体" w:hAnsi="宋体" w:eastAsia="宋体" w:cs="宋体"/>
          <w:color w:val="auto"/>
          <w:sz w:val="24"/>
          <w:highlight w:val="none"/>
          <w:lang w:val="zh-CN"/>
        </w:rPr>
        <w:t>，属于</w:t>
      </w:r>
      <w:r>
        <w:rPr>
          <w:rFonts w:hint="eastAsia" w:ascii="宋体" w:hAnsi="宋体" w:eastAsia="宋体" w:cs="宋体"/>
          <w:color w:val="auto"/>
          <w:sz w:val="24"/>
          <w:highlight w:val="none"/>
          <w:u w:val="single"/>
          <w:lang w:val="zh-CN"/>
        </w:rPr>
        <w:t>（采购文件中明确的所属行业）行业</w:t>
      </w:r>
      <w:r>
        <w:rPr>
          <w:rFonts w:hint="eastAsia" w:ascii="宋体" w:hAnsi="宋体" w:eastAsia="宋体" w:cs="宋体"/>
          <w:color w:val="auto"/>
          <w:sz w:val="24"/>
          <w:highlight w:val="none"/>
          <w:lang w:val="zh-CN"/>
        </w:rPr>
        <w:t>；制造商为</w:t>
      </w:r>
      <w:r>
        <w:rPr>
          <w:rFonts w:hint="eastAsia" w:ascii="宋体" w:hAnsi="宋体" w:eastAsia="宋体" w:cs="宋体"/>
          <w:color w:val="auto"/>
          <w:sz w:val="24"/>
          <w:highlight w:val="none"/>
          <w:u w:val="single"/>
          <w:lang w:val="zh-CN"/>
        </w:rPr>
        <w:t>（企业名称）</w:t>
      </w:r>
      <w:r>
        <w:rPr>
          <w:rFonts w:hint="eastAsia" w:ascii="宋体" w:hAnsi="宋体" w:eastAsia="宋体" w:cs="宋体"/>
          <w:color w:val="auto"/>
          <w:sz w:val="24"/>
          <w:highlight w:val="none"/>
          <w:lang w:val="zh-CN"/>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val="zh-CN"/>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val="zh-CN"/>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val="zh-CN"/>
        </w:rPr>
        <w:t>万元</w:t>
      </w:r>
      <w:r>
        <w:rPr>
          <w:rFonts w:hint="eastAsia" w:ascii="宋体" w:hAnsi="宋体" w:eastAsia="宋体" w:cs="宋体"/>
          <w:color w:val="auto"/>
          <w:sz w:val="30"/>
          <w:szCs w:val="30"/>
          <w:highlight w:val="none"/>
          <w:vertAlign w:val="superscript"/>
        </w:rPr>
        <w:t>1</w:t>
      </w:r>
      <w:r>
        <w:rPr>
          <w:rFonts w:hint="eastAsia" w:ascii="宋体" w:hAnsi="宋体" w:eastAsia="宋体" w:cs="宋体"/>
          <w:color w:val="auto"/>
          <w:sz w:val="24"/>
          <w:highlight w:val="none"/>
          <w:lang w:val="zh-CN"/>
        </w:rPr>
        <w:t>，属于（</w:t>
      </w:r>
      <w:r>
        <w:rPr>
          <w:rFonts w:hint="eastAsia" w:ascii="宋体" w:hAnsi="宋体" w:eastAsia="宋体" w:cs="宋体"/>
          <w:color w:val="auto"/>
          <w:sz w:val="24"/>
          <w:highlight w:val="none"/>
          <w:u w:val="single"/>
          <w:lang w:val="zh-CN"/>
        </w:rPr>
        <w:t>中型企业、小型企业、微型企业）</w:t>
      </w:r>
      <w:r>
        <w:rPr>
          <w:rFonts w:hint="eastAsia" w:ascii="宋体" w:hAnsi="宋体" w:eastAsia="宋体" w:cs="宋体"/>
          <w:color w:val="auto"/>
          <w:sz w:val="24"/>
          <w:highlight w:val="none"/>
          <w:lang w:val="zh-CN"/>
        </w:rPr>
        <w:t xml:space="preserve">； </w:t>
      </w:r>
    </w:p>
    <w:p>
      <w:pPr>
        <w:autoSpaceDE w:val="0"/>
        <w:autoSpaceDN w:val="0"/>
        <w:adjustRightInd w:val="0"/>
        <w:spacing w:line="360" w:lineRule="auto"/>
        <w:ind w:firstLine="480" w:firstLineChars="20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2. </w:t>
      </w:r>
      <w:r>
        <w:rPr>
          <w:rFonts w:hint="eastAsia" w:ascii="宋体" w:hAnsi="宋体" w:eastAsia="宋体" w:cs="宋体"/>
          <w:color w:val="auto"/>
          <w:sz w:val="24"/>
          <w:highlight w:val="none"/>
          <w:u w:val="single"/>
          <w:lang w:val="zh-CN"/>
        </w:rPr>
        <w:t xml:space="preserve">（标的名称） </w:t>
      </w:r>
      <w:r>
        <w:rPr>
          <w:rFonts w:hint="eastAsia" w:ascii="宋体" w:hAnsi="宋体" w:eastAsia="宋体" w:cs="宋体"/>
          <w:color w:val="auto"/>
          <w:sz w:val="24"/>
          <w:highlight w:val="none"/>
          <w:lang w:val="zh-CN"/>
        </w:rPr>
        <w:t>，属于</w:t>
      </w:r>
      <w:r>
        <w:rPr>
          <w:rFonts w:hint="eastAsia" w:ascii="宋体" w:hAnsi="宋体" w:eastAsia="宋体" w:cs="宋体"/>
          <w:color w:val="auto"/>
          <w:sz w:val="24"/>
          <w:highlight w:val="none"/>
          <w:u w:val="single"/>
          <w:lang w:val="zh-CN"/>
        </w:rPr>
        <w:t>（采购文件中明确的所属行业）行业</w:t>
      </w:r>
      <w:r>
        <w:rPr>
          <w:rFonts w:hint="eastAsia" w:ascii="宋体" w:hAnsi="宋体" w:eastAsia="宋体" w:cs="宋体"/>
          <w:color w:val="auto"/>
          <w:sz w:val="24"/>
          <w:highlight w:val="none"/>
          <w:lang w:val="zh-CN"/>
        </w:rPr>
        <w:t>；制造商为</w:t>
      </w:r>
      <w:r>
        <w:rPr>
          <w:rFonts w:hint="eastAsia" w:ascii="宋体" w:hAnsi="宋体" w:eastAsia="宋体" w:cs="宋体"/>
          <w:color w:val="auto"/>
          <w:sz w:val="24"/>
          <w:highlight w:val="none"/>
          <w:u w:val="single"/>
          <w:lang w:val="zh-CN"/>
        </w:rPr>
        <w:t>（企业名称）</w:t>
      </w:r>
      <w:r>
        <w:rPr>
          <w:rFonts w:hint="eastAsia" w:ascii="宋体" w:hAnsi="宋体" w:eastAsia="宋体" w:cs="宋体"/>
          <w:color w:val="auto"/>
          <w:sz w:val="24"/>
          <w:highlight w:val="none"/>
          <w:lang w:val="zh-CN"/>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val="zh-CN"/>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val="zh-CN"/>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val="zh-CN"/>
        </w:rPr>
        <w:t>万元，属于</w:t>
      </w:r>
      <w:r>
        <w:rPr>
          <w:rFonts w:hint="eastAsia" w:ascii="宋体" w:hAnsi="宋体" w:eastAsia="宋体" w:cs="宋体"/>
          <w:color w:val="auto"/>
          <w:sz w:val="24"/>
          <w:highlight w:val="none"/>
          <w:u w:val="single"/>
          <w:lang w:val="zh-CN"/>
        </w:rPr>
        <w:t>（中型企业、小型 企业、微型企业）</w:t>
      </w:r>
      <w:r>
        <w:rPr>
          <w:rFonts w:hint="eastAsia" w:ascii="宋体" w:hAnsi="宋体" w:eastAsia="宋体" w:cs="宋体"/>
          <w:color w:val="auto"/>
          <w:sz w:val="24"/>
          <w:highlight w:val="none"/>
          <w:lang w:val="zh-CN"/>
        </w:rPr>
        <w:t xml:space="preserve">； </w:t>
      </w:r>
    </w:p>
    <w:p>
      <w:pPr>
        <w:autoSpaceDE w:val="0"/>
        <w:autoSpaceDN w:val="0"/>
        <w:adjustRightInd w:val="0"/>
        <w:spacing w:line="360" w:lineRule="auto"/>
        <w:ind w:firstLine="480" w:firstLineChars="20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w:t>
      </w:r>
    </w:p>
    <w:p>
      <w:pPr>
        <w:autoSpaceDE w:val="0"/>
        <w:autoSpaceDN w:val="0"/>
        <w:adjustRightInd w:val="0"/>
        <w:spacing w:line="360" w:lineRule="auto"/>
        <w:ind w:firstLine="480" w:firstLineChars="20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以上企业，不属于大企业的分支机构，不存在控股股东为大企业的情形，也不存在与大企业的负责人为同一人的情形。</w:t>
      </w:r>
    </w:p>
    <w:p>
      <w:pPr>
        <w:autoSpaceDE w:val="0"/>
        <w:autoSpaceDN w:val="0"/>
        <w:adjustRightInd w:val="0"/>
        <w:spacing w:line="360" w:lineRule="auto"/>
        <w:ind w:firstLine="480" w:firstLineChars="20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本企业对上述声明内容的真实性负责。如有虚假，将依法承担相应责任。 </w:t>
      </w:r>
    </w:p>
    <w:p>
      <w:pPr>
        <w:pStyle w:val="2"/>
        <w:outlineLvl w:val="9"/>
        <w:rPr>
          <w:rFonts w:hint="eastAsia" w:ascii="宋体" w:hAnsi="宋体" w:eastAsia="宋体" w:cs="宋体"/>
          <w:color w:val="auto"/>
          <w:highlight w:val="none"/>
          <w:lang w:val="zh-CN"/>
        </w:rPr>
      </w:pPr>
    </w:p>
    <w:p>
      <w:pPr>
        <w:autoSpaceDE w:val="0"/>
        <w:autoSpaceDN w:val="0"/>
        <w:adjustRightInd w:val="0"/>
        <w:spacing w:line="360" w:lineRule="auto"/>
        <w:ind w:firstLine="4320" w:firstLineChars="180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企业名称（盖章）：</w:t>
      </w:r>
    </w:p>
    <w:p>
      <w:pPr>
        <w:autoSpaceDE w:val="0"/>
        <w:autoSpaceDN w:val="0"/>
        <w:adjustRightInd w:val="0"/>
        <w:spacing w:line="360" w:lineRule="auto"/>
        <w:ind w:firstLine="4320" w:firstLineChars="180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日 期：</w:t>
      </w:r>
    </w:p>
    <w:p>
      <w:pPr>
        <w:autoSpaceDE w:val="0"/>
        <w:autoSpaceDN w:val="0"/>
        <w:adjustRightInd w:val="0"/>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pPr>
        <w:widowControl/>
        <w:jc w:val="left"/>
        <w:rPr>
          <w:rFonts w:hint="eastAsia" w:ascii="宋体" w:hAnsi="宋体" w:eastAsia="宋体" w:cs="宋体"/>
          <w:color w:val="auto"/>
          <w:kern w:val="0"/>
          <w:sz w:val="18"/>
          <w:szCs w:val="18"/>
          <w:highlight w:val="none"/>
          <w:lang w:bidi="ar"/>
        </w:rPr>
      </w:pPr>
      <w:r>
        <w:rPr>
          <w:rFonts w:hint="eastAsia" w:ascii="宋体" w:hAnsi="宋体" w:eastAsia="宋体" w:cs="宋体"/>
          <w:color w:val="auto"/>
          <w:sz w:val="30"/>
          <w:szCs w:val="30"/>
          <w:highlight w:val="none"/>
          <w:vertAlign w:val="superscript"/>
        </w:rPr>
        <w:t>1</w:t>
      </w:r>
      <w:r>
        <w:rPr>
          <w:rFonts w:hint="eastAsia" w:ascii="宋体" w:hAnsi="宋体" w:eastAsia="宋体" w:cs="宋体"/>
          <w:color w:val="auto"/>
          <w:kern w:val="0"/>
          <w:sz w:val="18"/>
          <w:szCs w:val="18"/>
          <w:highlight w:val="none"/>
          <w:lang w:bidi="ar"/>
        </w:rPr>
        <w:t>从业人员、营业收入、资产总额填报上一年度数据，无上一年度数据的新成立企业可不填报。</w:t>
      </w:r>
    </w:p>
    <w:p>
      <w:pPr>
        <w:pStyle w:val="9"/>
        <w:rPr>
          <w:rFonts w:hint="eastAsia" w:ascii="宋体" w:hAnsi="宋体" w:eastAsia="宋体" w:cs="宋体"/>
          <w:color w:val="auto"/>
          <w:kern w:val="0"/>
          <w:sz w:val="18"/>
          <w:szCs w:val="18"/>
          <w:highlight w:val="none"/>
          <w:lang w:bidi="ar"/>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宋体" w:hAnsi="宋体" w:eastAsia="宋体" w:cs="宋体"/>
          <w:b w:val="0"/>
          <w:bCs w:val="0"/>
          <w:sz w:val="21"/>
          <w:szCs w:val="21"/>
          <w:highlight w:val="none"/>
          <w:lang w:eastAsia="zh-CN"/>
        </w:rPr>
      </w:pPr>
    </w:p>
    <w:p>
      <w:pPr>
        <w:spacing w:before="240" w:beforeLines="100" w:after="120" w:afterLines="50"/>
        <w:outlineLvl w:val="9"/>
        <w:rPr>
          <w:rFonts w:hint="eastAsia" w:ascii="宋体" w:hAnsi="宋体" w:eastAsia="宋体" w:cs="宋体"/>
          <w:b/>
          <w:sz w:val="28"/>
          <w:szCs w:val="28"/>
          <w:highlight w:val="none"/>
        </w:rPr>
      </w:pPr>
    </w:p>
    <w:p>
      <w:pPr>
        <w:spacing w:before="240" w:beforeLines="100" w:after="120" w:afterLines="50"/>
        <w:jc w:val="left"/>
        <w:outlineLvl w:val="9"/>
        <w:rPr>
          <w:rFonts w:hint="eastAsia" w:ascii="宋体" w:hAnsi="宋体" w:eastAsia="宋体" w:cs="宋体"/>
          <w:b/>
          <w:sz w:val="28"/>
          <w:szCs w:val="28"/>
          <w:highlight w:val="none"/>
        </w:rPr>
      </w:pPr>
      <w:bookmarkStart w:id="75" w:name="_Toc8591"/>
    </w:p>
    <w:p>
      <w:pPr>
        <w:spacing w:before="240" w:beforeLines="100" w:after="120" w:afterLines="50"/>
        <w:jc w:val="left"/>
        <w:outlineLvl w:val="9"/>
        <w:rPr>
          <w:rFonts w:hint="eastAsia" w:ascii="宋体" w:hAnsi="宋体" w:eastAsia="宋体" w:cs="宋体"/>
          <w:b/>
          <w:sz w:val="28"/>
          <w:szCs w:val="28"/>
          <w:highlight w:val="none"/>
        </w:rPr>
      </w:pPr>
    </w:p>
    <w:p>
      <w:pPr>
        <w:spacing w:before="240" w:beforeLines="100" w:after="120" w:afterLines="50"/>
        <w:jc w:val="left"/>
        <w:outlineLvl w:val="0"/>
        <w:rPr>
          <w:rFonts w:hint="eastAsia" w:ascii="宋体" w:hAnsi="宋体" w:eastAsia="宋体" w:cs="宋体"/>
          <w:b/>
          <w:sz w:val="28"/>
          <w:szCs w:val="28"/>
          <w:highlight w:val="none"/>
        </w:rPr>
      </w:pPr>
      <w:bookmarkStart w:id="76" w:name="_Toc13128"/>
      <w:r>
        <w:rPr>
          <w:rFonts w:hint="eastAsia" w:ascii="宋体" w:hAnsi="宋体" w:eastAsia="宋体" w:cs="宋体"/>
          <w:b/>
          <w:sz w:val="28"/>
          <w:szCs w:val="28"/>
          <w:highlight w:val="none"/>
        </w:rPr>
        <w:t>附件</w:t>
      </w:r>
      <w:r>
        <w:rPr>
          <w:rFonts w:hint="eastAsia" w:ascii="宋体" w:hAnsi="宋体" w:eastAsia="宋体" w:cs="宋体"/>
          <w:b/>
          <w:sz w:val="28"/>
          <w:szCs w:val="28"/>
          <w:highlight w:val="none"/>
          <w:lang w:val="en-US" w:eastAsia="zh-CN"/>
        </w:rPr>
        <w:t>2</w:t>
      </w:r>
      <w:r>
        <w:rPr>
          <w:rFonts w:hint="eastAsia" w:ascii="宋体" w:hAnsi="宋体" w:eastAsia="宋体" w:cs="宋体"/>
          <w:b/>
          <w:sz w:val="28"/>
          <w:szCs w:val="28"/>
          <w:highlight w:val="none"/>
        </w:rPr>
        <w:t>：</w:t>
      </w:r>
      <w:bookmarkEnd w:id="76"/>
    </w:p>
    <w:p>
      <w:pPr>
        <w:spacing w:before="240" w:beforeLines="100" w:after="120" w:afterLines="50"/>
        <w:jc w:val="center"/>
        <w:outlineLvl w:val="0"/>
        <w:rPr>
          <w:rFonts w:hint="eastAsia" w:ascii="宋体" w:hAnsi="宋体" w:eastAsia="宋体" w:cs="宋体"/>
          <w:b/>
          <w:sz w:val="28"/>
          <w:szCs w:val="28"/>
          <w:highlight w:val="none"/>
          <w:lang w:eastAsia="zh-CN"/>
        </w:rPr>
      </w:pPr>
      <w:bookmarkStart w:id="77" w:name="_Toc13472"/>
      <w:r>
        <w:rPr>
          <w:rFonts w:hint="eastAsia" w:ascii="宋体" w:hAnsi="宋体" w:eastAsia="宋体" w:cs="宋体"/>
          <w:b/>
          <w:sz w:val="28"/>
          <w:szCs w:val="28"/>
          <w:highlight w:val="none"/>
        </w:rPr>
        <w:t>谈判产品属节能</w:t>
      </w:r>
      <w:r>
        <w:rPr>
          <w:rFonts w:hint="eastAsia" w:ascii="宋体" w:hAnsi="宋体" w:eastAsia="宋体" w:cs="宋体"/>
          <w:b/>
          <w:sz w:val="28"/>
          <w:szCs w:val="28"/>
          <w:highlight w:val="none"/>
          <w:lang w:eastAsia="zh-CN"/>
        </w:rPr>
        <w:t>、环境标志</w:t>
      </w:r>
      <w:r>
        <w:rPr>
          <w:rFonts w:hint="eastAsia" w:ascii="宋体" w:hAnsi="宋体" w:eastAsia="宋体" w:cs="宋体"/>
          <w:b/>
          <w:sz w:val="28"/>
          <w:szCs w:val="28"/>
          <w:highlight w:val="none"/>
        </w:rPr>
        <w:t>产品列表</w:t>
      </w:r>
      <w:bookmarkEnd w:id="75"/>
      <w:bookmarkEnd w:id="77"/>
    </w:p>
    <w:p>
      <w:pPr>
        <w:spacing w:before="240" w:beforeLines="100" w:after="120" w:afterLines="50"/>
        <w:outlineLvl w:val="9"/>
        <w:rPr>
          <w:rFonts w:hint="eastAsia" w:ascii="宋体" w:hAnsi="宋体" w:eastAsia="宋体" w:cs="宋体"/>
          <w:b/>
          <w:sz w:val="28"/>
          <w:szCs w:val="28"/>
          <w:highlight w:val="none"/>
        </w:rPr>
      </w:pPr>
    </w:p>
    <w:p>
      <w:pPr>
        <w:spacing w:before="240" w:beforeLines="100" w:after="120" w:afterLines="50"/>
        <w:outlineLvl w:val="0"/>
        <w:rPr>
          <w:rFonts w:hint="eastAsia" w:ascii="宋体" w:hAnsi="宋体" w:eastAsia="宋体" w:cs="宋体"/>
          <w:b w:val="0"/>
          <w:bCs/>
          <w:sz w:val="24"/>
          <w:szCs w:val="24"/>
          <w:highlight w:val="none"/>
          <w:lang w:eastAsia="zh-CN"/>
        </w:rPr>
      </w:pPr>
      <w:bookmarkStart w:id="78" w:name="_Toc18028"/>
      <w:r>
        <w:rPr>
          <w:rFonts w:hint="eastAsia" w:ascii="宋体" w:hAnsi="宋体" w:eastAsia="宋体" w:cs="宋体"/>
          <w:b w:val="0"/>
          <w:bCs/>
          <w:sz w:val="24"/>
          <w:szCs w:val="24"/>
          <w:highlight w:val="none"/>
          <w:lang w:eastAsia="zh-CN"/>
        </w:rPr>
        <w:t>项目名称：</w:t>
      </w:r>
      <w:bookmarkEnd w:id="78"/>
    </w:p>
    <w:p>
      <w:pPr>
        <w:spacing w:before="240" w:beforeLines="100" w:after="120" w:afterLines="50"/>
        <w:outlineLvl w:val="0"/>
        <w:rPr>
          <w:rFonts w:hint="eastAsia" w:ascii="宋体" w:hAnsi="宋体" w:eastAsia="宋体" w:cs="宋体"/>
          <w:b w:val="0"/>
          <w:bCs/>
          <w:sz w:val="24"/>
          <w:szCs w:val="24"/>
          <w:highlight w:val="none"/>
        </w:rPr>
      </w:pPr>
      <w:bookmarkStart w:id="79" w:name="_Toc14079"/>
      <w:r>
        <w:rPr>
          <w:rFonts w:hint="eastAsia" w:ascii="宋体" w:hAnsi="宋体" w:eastAsia="宋体" w:cs="宋体"/>
          <w:b w:val="0"/>
          <w:bCs/>
          <w:sz w:val="24"/>
          <w:szCs w:val="24"/>
          <w:highlight w:val="none"/>
        </w:rPr>
        <w:t>项目编号：</w:t>
      </w:r>
      <w:bookmarkEnd w:id="79"/>
    </w:p>
    <w:tbl>
      <w:tblPr>
        <w:tblStyle w:val="28"/>
        <w:tblW w:w="8930" w:type="dxa"/>
        <w:tblInd w:w="0" w:type="dxa"/>
        <w:tblLayout w:type="fixed"/>
        <w:tblCellMar>
          <w:top w:w="0" w:type="dxa"/>
          <w:left w:w="28" w:type="dxa"/>
          <w:bottom w:w="0" w:type="dxa"/>
          <w:right w:w="28" w:type="dxa"/>
        </w:tblCellMar>
      </w:tblPr>
      <w:tblGrid>
        <w:gridCol w:w="886"/>
        <w:gridCol w:w="1863"/>
        <w:gridCol w:w="2250"/>
        <w:gridCol w:w="1311"/>
        <w:gridCol w:w="1307"/>
        <w:gridCol w:w="1313"/>
      </w:tblGrid>
      <w:tr>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186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名称</w:t>
            </w:r>
          </w:p>
        </w:tc>
        <w:tc>
          <w:tcPr>
            <w:tcW w:w="2250" w:type="dxa"/>
            <w:tcBorders>
              <w:top w:val="single" w:color="auto" w:sz="6" w:space="0"/>
              <w:left w:val="single" w:color="auto" w:sz="6" w:space="0"/>
              <w:bottom w:val="single" w:color="auto" w:sz="6" w:space="0"/>
              <w:right w:val="single" w:color="auto" w:sz="6" w:space="0"/>
            </w:tcBorders>
            <w:vAlign w:val="center"/>
          </w:tcPr>
          <w:p>
            <w:pPr>
              <w:spacing w:before="120" w:beforeLines="50" w:after="120"/>
              <w:jc w:val="center"/>
              <w:rPr>
                <w:rFonts w:hint="eastAsia" w:ascii="宋体" w:hAnsi="宋体" w:eastAsia="宋体" w:cs="宋体"/>
                <w:sz w:val="24"/>
                <w:highlight w:val="none"/>
              </w:rPr>
            </w:pPr>
            <w:r>
              <w:rPr>
                <w:rFonts w:hint="eastAsia" w:ascii="宋体" w:hAnsi="宋体" w:eastAsia="宋体" w:cs="宋体"/>
                <w:sz w:val="24"/>
                <w:highlight w:val="none"/>
              </w:rPr>
              <w:t>型号和规格</w:t>
            </w:r>
          </w:p>
        </w:tc>
        <w:tc>
          <w:tcPr>
            <w:tcW w:w="1311"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数量</w:t>
            </w:r>
          </w:p>
        </w:tc>
        <w:tc>
          <w:tcPr>
            <w:tcW w:w="1307"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int="eastAsia" w:ascii="宋体" w:hAnsi="宋体" w:eastAsia="宋体" w:cs="宋体"/>
                <w:sz w:val="24"/>
                <w:highlight w:val="none"/>
              </w:rPr>
            </w:pPr>
            <w:r>
              <w:rPr>
                <w:rFonts w:hint="eastAsia" w:ascii="宋体" w:hAnsi="宋体" w:eastAsia="宋体" w:cs="宋体"/>
                <w:sz w:val="24"/>
                <w:highlight w:val="none"/>
              </w:rPr>
              <w:t>单价</w:t>
            </w:r>
          </w:p>
          <w:p>
            <w:pPr>
              <w:spacing w:after="120"/>
              <w:jc w:val="center"/>
              <w:rPr>
                <w:rFonts w:hint="eastAsia" w:ascii="宋体" w:hAnsi="宋体" w:eastAsia="宋体" w:cs="宋体"/>
                <w:bCs/>
                <w:sz w:val="24"/>
                <w:highlight w:val="none"/>
              </w:rPr>
            </w:pPr>
            <w:r>
              <w:rPr>
                <w:rFonts w:hint="eastAsia" w:ascii="宋体" w:hAnsi="宋体" w:eastAsia="宋体" w:cs="宋体"/>
                <w:sz w:val="24"/>
                <w:highlight w:val="none"/>
              </w:rPr>
              <w:t>（元）</w:t>
            </w:r>
          </w:p>
        </w:tc>
        <w:tc>
          <w:tcPr>
            <w:tcW w:w="131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int="eastAsia" w:ascii="宋体" w:hAnsi="宋体" w:eastAsia="宋体" w:cs="宋体"/>
                <w:bCs/>
                <w:sz w:val="24"/>
                <w:highlight w:val="none"/>
              </w:rPr>
            </w:pPr>
            <w:r>
              <w:rPr>
                <w:rFonts w:hint="eastAsia" w:ascii="宋体" w:hAnsi="宋体" w:eastAsia="宋体" w:cs="宋体"/>
                <w:bCs/>
                <w:sz w:val="24"/>
                <w:highlight w:val="none"/>
              </w:rPr>
              <w:t>总价</w:t>
            </w:r>
          </w:p>
          <w:p>
            <w:pPr>
              <w:spacing w:after="120"/>
              <w:jc w:val="center"/>
              <w:rPr>
                <w:rFonts w:hint="eastAsia" w:ascii="宋体" w:hAnsi="宋体" w:eastAsia="宋体" w:cs="宋体"/>
                <w:bCs/>
                <w:sz w:val="24"/>
                <w:highlight w:val="none"/>
              </w:rPr>
            </w:pPr>
            <w:r>
              <w:rPr>
                <w:rFonts w:hint="eastAsia" w:ascii="宋体" w:hAnsi="宋体" w:eastAsia="宋体" w:cs="宋体"/>
                <w:bCs/>
                <w:sz w:val="24"/>
                <w:highlight w:val="none"/>
              </w:rPr>
              <w:t>（元）</w:t>
            </w:r>
          </w:p>
        </w:tc>
      </w:tr>
      <w:tr>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vAlign w:val="center"/>
          </w:tcPr>
          <w:p>
            <w:pPr>
              <w:spacing w:before="240" w:beforeLines="100"/>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1863" w:type="dxa"/>
            <w:tcBorders>
              <w:top w:val="single" w:color="auto" w:sz="6" w:space="0"/>
              <w:left w:val="single" w:color="auto" w:sz="6" w:space="0"/>
              <w:bottom w:val="single" w:color="auto" w:sz="4" w:space="0"/>
              <w:right w:val="single" w:color="auto" w:sz="6" w:space="0"/>
            </w:tcBorders>
            <w:vAlign w:val="center"/>
          </w:tcPr>
          <w:p>
            <w:pPr>
              <w:spacing w:before="120" w:beforeLines="50"/>
              <w:jc w:val="center"/>
              <w:rPr>
                <w:rFonts w:hint="eastAsia" w:ascii="宋体" w:hAnsi="宋体" w:eastAsia="宋体" w:cs="宋体"/>
                <w:sz w:val="24"/>
                <w:highlight w:val="none"/>
              </w:rPr>
            </w:pPr>
          </w:p>
        </w:tc>
        <w:tc>
          <w:tcPr>
            <w:tcW w:w="2250" w:type="dxa"/>
            <w:tcBorders>
              <w:top w:val="single" w:color="auto" w:sz="6" w:space="0"/>
              <w:left w:val="single" w:color="auto" w:sz="6" w:space="0"/>
              <w:bottom w:val="single" w:color="auto" w:sz="4" w:space="0"/>
              <w:right w:val="single" w:color="auto" w:sz="6" w:space="0"/>
            </w:tcBorders>
            <w:vAlign w:val="center"/>
          </w:tcPr>
          <w:p>
            <w:pPr>
              <w:spacing w:before="120" w:beforeLines="50"/>
              <w:jc w:val="center"/>
              <w:rPr>
                <w:rFonts w:hint="eastAsia" w:ascii="宋体" w:hAnsi="宋体" w:eastAsia="宋体" w:cs="宋体"/>
                <w:sz w:val="24"/>
                <w:highlight w:val="none"/>
              </w:rPr>
            </w:pPr>
          </w:p>
        </w:tc>
        <w:tc>
          <w:tcPr>
            <w:tcW w:w="1311" w:type="dxa"/>
            <w:tcBorders>
              <w:top w:val="single" w:color="auto" w:sz="6" w:space="0"/>
              <w:left w:val="single" w:color="auto" w:sz="6" w:space="0"/>
              <w:bottom w:val="single" w:color="auto" w:sz="4" w:space="0"/>
              <w:right w:val="single" w:color="auto" w:sz="6" w:space="0"/>
            </w:tcBorders>
            <w:vAlign w:val="center"/>
          </w:tcPr>
          <w:p>
            <w:pPr>
              <w:spacing w:before="120" w:beforeLines="50"/>
              <w:jc w:val="center"/>
              <w:rPr>
                <w:rFonts w:hint="eastAsia" w:ascii="宋体" w:hAnsi="宋体" w:eastAsia="宋体" w:cs="宋体"/>
                <w:sz w:val="24"/>
                <w:highlight w:val="none"/>
              </w:rPr>
            </w:pPr>
          </w:p>
        </w:tc>
        <w:tc>
          <w:tcPr>
            <w:tcW w:w="1307" w:type="dxa"/>
            <w:tcBorders>
              <w:top w:val="single" w:color="auto" w:sz="6" w:space="0"/>
              <w:left w:val="single" w:color="auto" w:sz="6" w:space="0"/>
              <w:bottom w:val="single" w:color="auto" w:sz="4" w:space="0"/>
              <w:right w:val="single" w:color="auto" w:sz="6" w:space="0"/>
            </w:tcBorders>
            <w:vAlign w:val="center"/>
          </w:tcPr>
          <w:p>
            <w:pPr>
              <w:spacing w:before="120" w:beforeLines="50"/>
              <w:jc w:val="center"/>
              <w:rPr>
                <w:rFonts w:hint="eastAsia" w:ascii="宋体" w:hAnsi="宋体" w:eastAsia="宋体" w:cs="宋体"/>
                <w:sz w:val="24"/>
                <w:highlight w:val="none"/>
              </w:rPr>
            </w:pPr>
          </w:p>
        </w:tc>
        <w:tc>
          <w:tcPr>
            <w:tcW w:w="1313" w:type="dxa"/>
            <w:tcBorders>
              <w:top w:val="single" w:color="auto" w:sz="6" w:space="0"/>
              <w:left w:val="single" w:color="auto" w:sz="6" w:space="0"/>
              <w:bottom w:val="single" w:color="auto" w:sz="4" w:space="0"/>
              <w:right w:val="single" w:color="auto" w:sz="6" w:space="0"/>
            </w:tcBorders>
            <w:vAlign w:val="center"/>
          </w:tcPr>
          <w:p>
            <w:pPr>
              <w:spacing w:before="120" w:beforeLines="50"/>
              <w:jc w:val="center"/>
              <w:rPr>
                <w:rFonts w:hint="eastAsia" w:ascii="宋体" w:hAnsi="宋体" w:eastAsia="宋体" w:cs="宋体"/>
                <w:sz w:val="24"/>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240" w:beforeLines="100"/>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240" w:beforeLines="100"/>
              <w:jc w:val="center"/>
              <w:rPr>
                <w:rFonts w:hint="eastAsia" w:ascii="宋体" w:hAnsi="宋体" w:eastAsia="宋体" w:cs="宋体"/>
                <w:sz w:val="24"/>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20" w:beforeLines="50"/>
              <w:jc w:val="center"/>
              <w:rPr>
                <w:rFonts w:hint="eastAsia" w:ascii="宋体" w:hAnsi="宋体" w:eastAsia="宋体" w:cs="宋体"/>
                <w:sz w:val="24"/>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20" w:beforeLines="50"/>
              <w:jc w:val="center"/>
              <w:rPr>
                <w:rFonts w:hint="eastAsia" w:ascii="宋体" w:hAnsi="宋体" w:eastAsia="宋体" w:cs="宋体"/>
                <w:sz w:val="24"/>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20" w:beforeLines="50"/>
              <w:jc w:val="center"/>
              <w:rPr>
                <w:rFonts w:hint="eastAsia" w:ascii="宋体" w:hAnsi="宋体" w:eastAsia="宋体" w:cs="宋体"/>
                <w:sz w:val="24"/>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20" w:beforeLines="50"/>
              <w:jc w:val="center"/>
              <w:rPr>
                <w:rFonts w:hint="eastAsia" w:ascii="宋体" w:hAnsi="宋体" w:eastAsia="宋体" w:cs="宋体"/>
                <w:sz w:val="24"/>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240" w:beforeLines="100"/>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240" w:beforeLines="100"/>
              <w:jc w:val="center"/>
              <w:rPr>
                <w:rFonts w:hint="eastAsia" w:ascii="宋体" w:hAnsi="宋体" w:eastAsia="宋体" w:cs="宋体"/>
                <w:sz w:val="24"/>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20" w:beforeLines="50"/>
              <w:jc w:val="center"/>
              <w:rPr>
                <w:rFonts w:hint="eastAsia" w:ascii="宋体" w:hAnsi="宋体" w:eastAsia="宋体" w:cs="宋体"/>
                <w:sz w:val="24"/>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20" w:beforeLines="50"/>
              <w:jc w:val="center"/>
              <w:rPr>
                <w:rFonts w:hint="eastAsia" w:ascii="宋体" w:hAnsi="宋体" w:eastAsia="宋体" w:cs="宋体"/>
                <w:sz w:val="24"/>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20" w:beforeLines="50"/>
              <w:jc w:val="center"/>
              <w:rPr>
                <w:rFonts w:hint="eastAsia" w:ascii="宋体" w:hAnsi="宋体" w:eastAsia="宋体" w:cs="宋体"/>
                <w:sz w:val="24"/>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20" w:beforeLines="50"/>
              <w:jc w:val="center"/>
              <w:rPr>
                <w:rFonts w:hint="eastAsia" w:ascii="宋体" w:hAnsi="宋体" w:eastAsia="宋体" w:cs="宋体"/>
                <w:sz w:val="24"/>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240" w:beforeLines="100"/>
              <w:jc w:val="center"/>
              <w:rPr>
                <w:rFonts w:hint="eastAsia" w:ascii="宋体" w:hAnsi="宋体" w:eastAsia="宋体" w:cs="宋体"/>
                <w:sz w:val="24"/>
                <w:highlight w:val="none"/>
              </w:rPr>
            </w:pPr>
            <w:r>
              <w:rPr>
                <w:rFonts w:hint="eastAsia" w:ascii="宋体" w:hAnsi="宋体" w:eastAsia="宋体" w:cs="宋体"/>
                <w:sz w:val="24"/>
                <w:szCs w:val="24"/>
                <w:highlight w:val="none"/>
              </w:rPr>
              <w:t>……</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120" w:beforeLines="50"/>
              <w:jc w:val="center"/>
              <w:rPr>
                <w:rFonts w:hint="eastAsia" w:ascii="宋体" w:hAnsi="宋体" w:eastAsia="宋体" w:cs="宋体"/>
                <w:sz w:val="24"/>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20" w:beforeLines="50"/>
              <w:jc w:val="center"/>
              <w:rPr>
                <w:rFonts w:hint="eastAsia" w:ascii="宋体" w:hAnsi="宋体" w:eastAsia="宋体" w:cs="宋体"/>
                <w:sz w:val="24"/>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20" w:beforeLines="50"/>
              <w:jc w:val="center"/>
              <w:rPr>
                <w:rFonts w:hint="eastAsia" w:ascii="宋体" w:hAnsi="宋体" w:eastAsia="宋体" w:cs="宋体"/>
                <w:sz w:val="24"/>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20" w:beforeLines="50"/>
              <w:jc w:val="center"/>
              <w:rPr>
                <w:rFonts w:hint="eastAsia" w:ascii="宋体" w:hAnsi="宋体" w:eastAsia="宋体" w:cs="宋体"/>
                <w:sz w:val="24"/>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20" w:beforeLines="50"/>
              <w:jc w:val="center"/>
              <w:rPr>
                <w:rFonts w:hint="eastAsia" w:ascii="宋体" w:hAnsi="宋体" w:eastAsia="宋体" w:cs="宋体"/>
                <w:sz w:val="24"/>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240" w:beforeLines="100"/>
              <w:jc w:val="center"/>
              <w:rPr>
                <w:rFonts w:hint="eastAsia" w:ascii="宋体" w:hAnsi="宋体" w:eastAsia="宋体" w:cs="宋体"/>
                <w:b/>
                <w:sz w:val="24"/>
                <w:highlight w:val="none"/>
              </w:rPr>
            </w:pPr>
            <w:r>
              <w:rPr>
                <w:rFonts w:hint="eastAsia" w:ascii="宋体" w:hAnsi="宋体" w:eastAsia="宋体" w:cs="宋体"/>
                <w:sz w:val="24"/>
                <w:szCs w:val="24"/>
                <w:highlight w:val="none"/>
              </w:rPr>
              <w:t>……</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120" w:beforeLines="50"/>
              <w:jc w:val="center"/>
              <w:rPr>
                <w:rFonts w:hint="eastAsia" w:ascii="宋体" w:hAnsi="宋体" w:eastAsia="宋体" w:cs="宋体"/>
                <w:sz w:val="24"/>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20" w:beforeLines="50"/>
              <w:jc w:val="center"/>
              <w:rPr>
                <w:rFonts w:hint="eastAsia" w:ascii="宋体" w:hAnsi="宋体" w:eastAsia="宋体" w:cs="宋体"/>
                <w:sz w:val="24"/>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20" w:beforeLines="50"/>
              <w:jc w:val="center"/>
              <w:rPr>
                <w:rFonts w:hint="eastAsia" w:ascii="宋体" w:hAnsi="宋体" w:eastAsia="宋体" w:cs="宋体"/>
                <w:sz w:val="24"/>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20" w:beforeLines="50"/>
              <w:jc w:val="center"/>
              <w:rPr>
                <w:rFonts w:hint="eastAsia" w:ascii="宋体" w:hAnsi="宋体" w:eastAsia="宋体" w:cs="宋体"/>
                <w:sz w:val="24"/>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20" w:beforeLines="50"/>
              <w:jc w:val="center"/>
              <w:rPr>
                <w:rFonts w:hint="eastAsia" w:ascii="宋体" w:hAnsi="宋体" w:eastAsia="宋体" w:cs="宋体"/>
                <w:sz w:val="24"/>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合计：</w:t>
            </w:r>
          </w:p>
        </w:tc>
        <w:tc>
          <w:tcPr>
            <w:tcW w:w="8044" w:type="dxa"/>
            <w:gridSpan w:val="5"/>
            <w:tcBorders>
              <w:top w:val="single" w:color="auto" w:sz="4" w:space="0"/>
              <w:left w:val="single" w:color="auto" w:sz="6" w:space="0"/>
              <w:bottom w:val="single" w:color="auto" w:sz="6" w:space="0"/>
              <w:right w:val="single" w:color="auto" w:sz="6" w:space="0"/>
            </w:tcBorders>
            <w:vAlign w:val="center"/>
          </w:tcPr>
          <w:p>
            <w:pPr>
              <w:spacing w:before="120" w:beforeLines="50"/>
              <w:jc w:val="left"/>
              <w:rPr>
                <w:rFonts w:hint="eastAsia" w:ascii="宋体" w:hAnsi="宋体" w:eastAsia="宋体" w:cs="宋体"/>
                <w:sz w:val="24"/>
                <w:highlight w:val="none"/>
              </w:rPr>
            </w:pPr>
            <w:r>
              <w:rPr>
                <w:rFonts w:hint="eastAsia" w:ascii="宋体" w:hAnsi="宋体" w:eastAsia="宋体" w:cs="宋体"/>
                <w:sz w:val="24"/>
                <w:highlight w:val="none"/>
              </w:rPr>
              <w:t>大写：                                小写：</w:t>
            </w: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pPr>
              <w:jc w:val="center"/>
              <w:rPr>
                <w:rFonts w:hint="eastAsia" w:ascii="宋体" w:hAnsi="宋体" w:eastAsia="宋体" w:cs="宋体"/>
                <w:sz w:val="24"/>
                <w:highlight w:val="none"/>
              </w:rPr>
            </w:pPr>
            <w:r>
              <w:rPr>
                <w:rFonts w:hint="eastAsia" w:ascii="宋体" w:hAnsi="宋体" w:eastAsia="宋体" w:cs="宋体"/>
                <w:sz w:val="24"/>
                <w:highlight w:val="none"/>
              </w:rPr>
              <w:t>备注</w:t>
            </w:r>
          </w:p>
        </w:tc>
        <w:tc>
          <w:tcPr>
            <w:tcW w:w="8044" w:type="dxa"/>
            <w:gridSpan w:val="5"/>
            <w:tcBorders>
              <w:top w:val="single" w:color="auto" w:sz="4" w:space="0"/>
              <w:left w:val="single" w:color="auto" w:sz="6" w:space="0"/>
              <w:bottom w:val="single" w:color="auto" w:sz="6" w:space="0"/>
              <w:right w:val="single" w:color="auto" w:sz="6" w:space="0"/>
            </w:tcBorders>
            <w:vAlign w:val="center"/>
          </w:tcPr>
          <w:p>
            <w:pPr>
              <w:spacing w:before="120" w:beforeLines="50"/>
              <w:jc w:val="center"/>
              <w:rPr>
                <w:rFonts w:hint="eastAsia" w:ascii="宋体" w:hAnsi="宋体" w:eastAsia="宋体" w:cs="宋体"/>
                <w:sz w:val="24"/>
                <w:highlight w:val="none"/>
              </w:rPr>
            </w:pPr>
            <w:r>
              <w:rPr>
                <w:rFonts w:hint="eastAsia" w:ascii="宋体" w:hAnsi="宋体" w:eastAsia="宋体" w:cs="宋体"/>
                <w:spacing w:val="-6"/>
                <w:sz w:val="24"/>
                <w:highlight w:val="none"/>
              </w:rPr>
              <w:t>保留小数点后两位。</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说明：1、</w:t>
      </w:r>
      <w:r>
        <w:rPr>
          <w:rFonts w:hint="eastAsia" w:ascii="宋体" w:hAnsi="宋体" w:eastAsia="宋体" w:cs="宋体"/>
          <w:sz w:val="24"/>
          <w:szCs w:val="24"/>
          <w:highlight w:val="none"/>
          <w:lang w:eastAsia="zh-CN"/>
        </w:rPr>
        <w:t>供应商提供的属于节能、环境标志产品品目清单中优先采购的产品，须按谈判文件要求提供相关证明材料。</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720" w:firstLineChars="3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2、未按上述要求提供、填写的，评</w:t>
      </w:r>
      <w:r>
        <w:rPr>
          <w:rFonts w:hint="eastAsia" w:ascii="宋体" w:hAnsi="宋体" w:eastAsia="宋体" w:cs="宋体"/>
          <w:sz w:val="24"/>
          <w:szCs w:val="24"/>
          <w:highlight w:val="none"/>
          <w:lang w:eastAsia="zh-CN"/>
        </w:rPr>
        <w:t>审</w:t>
      </w:r>
      <w:r>
        <w:rPr>
          <w:rFonts w:hint="eastAsia" w:ascii="宋体" w:hAnsi="宋体" w:eastAsia="宋体" w:cs="宋体"/>
          <w:sz w:val="24"/>
          <w:szCs w:val="24"/>
          <w:highlight w:val="none"/>
        </w:rPr>
        <w:t>时不予以考虑。</w:t>
      </w:r>
    </w:p>
    <w:p>
      <w:pPr>
        <w:spacing w:before="100" w:beforeAutospacing="1" w:after="163" w:afterLines="50" w:line="360" w:lineRule="auto"/>
        <w:rPr>
          <w:rFonts w:hint="eastAsia" w:ascii="宋体" w:hAnsi="宋体" w:eastAsia="宋体" w:cs="宋体"/>
          <w:b/>
          <w:bCs/>
          <w:spacing w:val="6"/>
          <w:sz w:val="30"/>
          <w:szCs w:val="30"/>
          <w:highlight w:val="none"/>
        </w:rPr>
      </w:pPr>
    </w:p>
    <w:p>
      <w:pPr>
        <w:spacing w:before="100" w:beforeAutospacing="1" w:after="163" w:afterLines="50" w:line="360" w:lineRule="auto"/>
        <w:rPr>
          <w:rFonts w:hint="eastAsia" w:ascii="宋体" w:hAnsi="宋体" w:eastAsia="宋体" w:cs="宋体"/>
          <w:b/>
          <w:bCs/>
          <w:spacing w:val="6"/>
          <w:sz w:val="30"/>
          <w:szCs w:val="30"/>
          <w:highlight w:val="none"/>
        </w:rPr>
      </w:pPr>
    </w:p>
    <w:p>
      <w:pPr>
        <w:spacing w:before="100" w:beforeAutospacing="1" w:after="163" w:afterLines="50" w:line="360" w:lineRule="auto"/>
        <w:rPr>
          <w:rFonts w:hint="eastAsia" w:ascii="宋体" w:hAnsi="宋体" w:eastAsia="宋体" w:cs="宋体"/>
          <w:b/>
          <w:bCs/>
          <w:spacing w:val="6"/>
          <w:sz w:val="30"/>
          <w:szCs w:val="30"/>
          <w:highlight w:val="none"/>
        </w:rPr>
      </w:pPr>
    </w:p>
    <w:p>
      <w:pPr>
        <w:spacing w:before="100" w:beforeAutospacing="1" w:after="163" w:afterLines="50" w:line="360" w:lineRule="auto"/>
        <w:rPr>
          <w:rFonts w:hint="eastAsia" w:ascii="宋体" w:hAnsi="宋体" w:eastAsia="宋体" w:cs="宋体"/>
          <w:b/>
          <w:bCs/>
          <w:spacing w:val="6"/>
          <w:sz w:val="30"/>
          <w:szCs w:val="30"/>
          <w:highlight w:val="none"/>
        </w:rPr>
      </w:pPr>
      <w:r>
        <w:rPr>
          <w:rFonts w:hint="eastAsia" w:ascii="宋体" w:hAnsi="宋体" w:eastAsia="宋体" w:cs="宋体"/>
          <w:b/>
          <w:bCs/>
          <w:spacing w:val="6"/>
          <w:sz w:val="30"/>
          <w:szCs w:val="30"/>
          <w:highlight w:val="none"/>
        </w:rPr>
        <w:t>附件</w:t>
      </w:r>
      <w:r>
        <w:rPr>
          <w:rFonts w:hint="eastAsia" w:ascii="宋体" w:hAnsi="宋体" w:eastAsia="宋体" w:cs="宋体"/>
          <w:b/>
          <w:bCs/>
          <w:spacing w:val="6"/>
          <w:sz w:val="30"/>
          <w:szCs w:val="30"/>
          <w:highlight w:val="none"/>
          <w:lang w:val="en-US" w:eastAsia="zh-CN"/>
        </w:rPr>
        <w:t>3：</w:t>
      </w:r>
    </w:p>
    <w:p>
      <w:pPr>
        <w:spacing w:line="588" w:lineRule="exact"/>
        <w:jc w:val="center"/>
        <w:rPr>
          <w:rFonts w:hint="eastAsia" w:ascii="宋体" w:hAnsi="宋体" w:eastAsia="宋体" w:cs="宋体"/>
          <w:b/>
          <w:spacing w:val="6"/>
          <w:sz w:val="32"/>
          <w:szCs w:val="32"/>
          <w:highlight w:val="none"/>
        </w:rPr>
      </w:pPr>
      <w:bookmarkStart w:id="80" w:name="OLE_LINK13"/>
      <w:r>
        <w:rPr>
          <w:rFonts w:hint="eastAsia" w:ascii="宋体" w:hAnsi="宋体" w:eastAsia="宋体" w:cs="宋体"/>
          <w:b/>
          <w:spacing w:val="6"/>
          <w:sz w:val="32"/>
          <w:szCs w:val="32"/>
          <w:highlight w:val="none"/>
        </w:rPr>
        <w:t>残疾人福利性单位声明函</w:t>
      </w:r>
    </w:p>
    <w:bookmarkEnd w:id="80"/>
    <w:p>
      <w:pPr>
        <w:spacing w:line="588" w:lineRule="exact"/>
        <w:rPr>
          <w:rFonts w:hint="eastAsia" w:ascii="宋体" w:hAnsi="宋体" w:eastAsia="宋体" w:cs="宋体"/>
          <w:b/>
          <w:spacing w:val="6"/>
          <w:sz w:val="30"/>
          <w:szCs w:val="30"/>
          <w:highlight w:val="none"/>
        </w:rPr>
      </w:pPr>
    </w:p>
    <w:p>
      <w:pPr>
        <w:spacing w:line="588" w:lineRule="exact"/>
        <w:ind w:firstLine="504" w:firstLineChars="200"/>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sz w:val="24"/>
          <w:szCs w:val="24"/>
          <w:highlight w:val="none"/>
        </w:rPr>
        <w:t>〔2017〕 141</w:t>
      </w:r>
      <w:r>
        <w:rPr>
          <w:rFonts w:hint="eastAsia" w:ascii="宋体" w:hAnsi="宋体" w:eastAsia="宋体" w:cs="宋体"/>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本单位对上述声明的真实性负责。如有虚假，将依法承担相应责任。</w:t>
      </w:r>
    </w:p>
    <w:p>
      <w:pPr>
        <w:spacing w:line="588" w:lineRule="exact"/>
        <w:ind w:firstLine="504" w:firstLineChars="200"/>
        <w:rPr>
          <w:rFonts w:hint="eastAsia" w:ascii="宋体" w:hAnsi="宋体" w:eastAsia="宋体" w:cs="宋体"/>
          <w:spacing w:val="6"/>
          <w:sz w:val="24"/>
          <w:szCs w:val="24"/>
          <w:highlight w:val="none"/>
        </w:rPr>
      </w:pPr>
    </w:p>
    <w:p>
      <w:pPr>
        <w:spacing w:line="588" w:lineRule="exact"/>
        <w:ind w:firstLine="504" w:firstLineChars="200"/>
        <w:rPr>
          <w:rFonts w:hint="eastAsia" w:ascii="宋体" w:hAnsi="宋体" w:eastAsia="宋体" w:cs="宋体"/>
          <w:spacing w:val="6"/>
          <w:sz w:val="24"/>
          <w:szCs w:val="24"/>
          <w:highlight w:val="none"/>
        </w:rPr>
      </w:pPr>
    </w:p>
    <w:p>
      <w:pPr>
        <w:spacing w:line="588" w:lineRule="exact"/>
        <w:ind w:firstLine="504" w:firstLineChars="200"/>
        <w:rPr>
          <w:rFonts w:hint="eastAsia" w:ascii="宋体" w:hAnsi="宋体" w:eastAsia="宋体" w:cs="宋体"/>
          <w:spacing w:val="6"/>
          <w:sz w:val="24"/>
          <w:szCs w:val="24"/>
          <w:highlight w:val="none"/>
        </w:rPr>
      </w:pPr>
    </w:p>
    <w:p>
      <w:pPr>
        <w:spacing w:line="588" w:lineRule="exact"/>
        <w:ind w:firstLine="504" w:firstLineChars="200"/>
        <w:rPr>
          <w:rFonts w:hint="eastAsia" w:ascii="宋体" w:hAnsi="宋体" w:eastAsia="宋体" w:cs="宋体"/>
          <w:spacing w:val="6"/>
          <w:sz w:val="24"/>
          <w:szCs w:val="24"/>
          <w:highlight w:val="none"/>
        </w:rPr>
      </w:pPr>
    </w:p>
    <w:p>
      <w:pPr>
        <w:tabs>
          <w:tab w:val="left" w:pos="4860"/>
        </w:tabs>
        <w:spacing w:line="588" w:lineRule="exact"/>
        <w:ind w:right="1560" w:firstLine="504" w:firstLineChars="200"/>
        <w:jc w:val="center"/>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 xml:space="preserve">               单位名称（盖章）：</w:t>
      </w:r>
    </w:p>
    <w:p>
      <w:pPr>
        <w:tabs>
          <w:tab w:val="left" w:pos="4860"/>
        </w:tabs>
        <w:spacing w:line="588" w:lineRule="exact"/>
        <w:ind w:right="1560" w:firstLine="504" w:firstLineChars="200"/>
        <w:jc w:val="center"/>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 xml:space="preserve">      </w:t>
      </w:r>
      <w:r>
        <w:rPr>
          <w:rFonts w:hint="eastAsia" w:ascii="宋体" w:hAnsi="宋体" w:eastAsia="宋体" w:cs="宋体"/>
          <w:spacing w:val="6"/>
          <w:sz w:val="24"/>
          <w:szCs w:val="24"/>
          <w:highlight w:val="none"/>
          <w:lang w:val="en-US" w:eastAsia="zh-CN"/>
        </w:rPr>
        <w:t xml:space="preserve"> </w:t>
      </w:r>
      <w:r>
        <w:rPr>
          <w:rFonts w:hint="eastAsia" w:ascii="宋体" w:hAnsi="宋体" w:eastAsia="宋体" w:cs="宋体"/>
          <w:spacing w:val="6"/>
          <w:sz w:val="24"/>
          <w:szCs w:val="24"/>
          <w:highlight w:val="none"/>
        </w:rPr>
        <w:t xml:space="preserve">日  </w:t>
      </w:r>
      <w:r>
        <w:rPr>
          <w:rFonts w:hint="eastAsia" w:ascii="宋体" w:hAnsi="宋体" w:eastAsia="宋体" w:cs="宋体"/>
          <w:spacing w:val="6"/>
          <w:sz w:val="24"/>
          <w:szCs w:val="24"/>
          <w:highlight w:val="none"/>
          <w:lang w:val="en-US" w:eastAsia="zh-CN"/>
        </w:rPr>
        <w:t xml:space="preserve">  </w:t>
      </w:r>
      <w:r>
        <w:rPr>
          <w:rFonts w:hint="eastAsia" w:ascii="宋体" w:hAnsi="宋体" w:eastAsia="宋体" w:cs="宋体"/>
          <w:spacing w:val="6"/>
          <w:sz w:val="24"/>
          <w:szCs w:val="24"/>
          <w:highlight w:val="none"/>
        </w:rPr>
        <w:t>期：</w:t>
      </w:r>
    </w:p>
    <w:p>
      <w:pPr>
        <w:tabs>
          <w:tab w:val="left" w:pos="1620"/>
          <w:tab w:val="left" w:pos="1800"/>
        </w:tabs>
        <w:spacing w:line="440" w:lineRule="exact"/>
        <w:ind w:right="540" w:rightChars="257"/>
        <w:rPr>
          <w:rFonts w:hint="eastAsia" w:ascii="宋体" w:hAnsi="宋体" w:eastAsia="宋体" w:cs="宋体"/>
          <w:highlight w:val="none"/>
        </w:rPr>
      </w:pPr>
    </w:p>
    <w:p>
      <w:pPr>
        <w:tabs>
          <w:tab w:val="left" w:pos="1620"/>
          <w:tab w:val="left" w:pos="1800"/>
        </w:tabs>
        <w:spacing w:line="440" w:lineRule="exact"/>
        <w:ind w:right="540" w:rightChars="257"/>
        <w:rPr>
          <w:rFonts w:hint="eastAsia" w:ascii="宋体" w:hAnsi="宋体" w:eastAsia="宋体" w:cs="宋体"/>
          <w:highlight w:val="none"/>
        </w:rPr>
      </w:pPr>
    </w:p>
    <w:p>
      <w:pPr>
        <w:rPr>
          <w:rFonts w:hint="eastAsia" w:ascii="宋体" w:hAnsi="宋体" w:eastAsia="宋体" w:cs="宋体"/>
          <w:b/>
          <w:kern w:val="0"/>
          <w:sz w:val="28"/>
          <w:szCs w:val="28"/>
          <w:highlight w:val="none"/>
          <w:lang w:eastAsia="en-US"/>
        </w:rPr>
      </w:pPr>
    </w:p>
    <w:p>
      <w:pPr>
        <w:rPr>
          <w:rFonts w:hint="eastAsia" w:ascii="宋体" w:hAnsi="宋体" w:eastAsia="宋体" w:cs="宋体"/>
          <w:b/>
          <w:kern w:val="0"/>
          <w:sz w:val="28"/>
          <w:szCs w:val="28"/>
          <w:highlight w:val="none"/>
          <w:lang w:eastAsia="en-US"/>
        </w:rPr>
      </w:pPr>
    </w:p>
    <w:p>
      <w:pPr>
        <w:rPr>
          <w:rFonts w:hint="eastAsia" w:ascii="宋体" w:hAnsi="宋体" w:eastAsia="宋体" w:cs="宋体"/>
          <w:b/>
          <w:kern w:val="0"/>
          <w:sz w:val="28"/>
          <w:szCs w:val="28"/>
          <w:highlight w:val="none"/>
          <w:lang w:eastAsia="en-US"/>
        </w:rPr>
      </w:pPr>
    </w:p>
    <w:p>
      <w:pPr>
        <w:rPr>
          <w:rFonts w:hint="eastAsia" w:ascii="宋体" w:hAnsi="宋体" w:eastAsia="宋体" w:cs="宋体"/>
          <w:b/>
          <w:kern w:val="0"/>
          <w:sz w:val="28"/>
          <w:szCs w:val="28"/>
          <w:highlight w:val="none"/>
          <w:lang w:eastAsia="en-US"/>
        </w:rPr>
      </w:pPr>
    </w:p>
    <w:p>
      <w:pPr>
        <w:rPr>
          <w:rFonts w:hint="eastAsia" w:ascii="宋体" w:hAnsi="宋体" w:eastAsia="宋体" w:cs="宋体"/>
          <w:b/>
          <w:kern w:val="0"/>
          <w:sz w:val="28"/>
          <w:szCs w:val="28"/>
          <w:highlight w:val="none"/>
          <w:lang w:eastAsia="en-US"/>
        </w:rPr>
      </w:pPr>
    </w:p>
    <w:p>
      <w:pPr>
        <w:rPr>
          <w:rFonts w:hint="eastAsia" w:ascii="宋体" w:hAnsi="宋体" w:eastAsia="宋体" w:cs="宋体"/>
          <w:b/>
          <w:kern w:val="0"/>
          <w:sz w:val="28"/>
          <w:szCs w:val="28"/>
          <w:highlight w:val="none"/>
          <w:lang w:eastAsia="en-US"/>
        </w:rPr>
      </w:pPr>
    </w:p>
    <w:p>
      <w:pPr>
        <w:rPr>
          <w:rFonts w:hint="eastAsia" w:ascii="宋体" w:hAnsi="宋体" w:eastAsia="宋体" w:cs="宋体"/>
          <w:b/>
          <w:kern w:val="0"/>
          <w:sz w:val="28"/>
          <w:szCs w:val="28"/>
          <w:highlight w:val="none"/>
          <w:lang w:eastAsia="en-US"/>
        </w:rPr>
      </w:pPr>
    </w:p>
    <w:p>
      <w:pPr>
        <w:rPr>
          <w:rFonts w:hint="eastAsia" w:ascii="宋体" w:hAnsi="宋体" w:eastAsia="宋体" w:cs="宋体"/>
          <w:b/>
          <w:kern w:val="0"/>
          <w:sz w:val="28"/>
          <w:szCs w:val="28"/>
          <w:highlight w:val="none"/>
          <w:lang w:eastAsia="en-US"/>
        </w:rPr>
      </w:pPr>
    </w:p>
    <w:p>
      <w:pPr>
        <w:pStyle w:val="9"/>
        <w:rPr>
          <w:rFonts w:hint="eastAsia" w:ascii="宋体" w:hAnsi="宋体" w:eastAsia="宋体" w:cs="宋体"/>
          <w:highlight w:val="none"/>
          <w:lang w:eastAsia="en-US"/>
        </w:rPr>
      </w:pPr>
    </w:p>
    <w:bookmarkEnd w:id="17"/>
    <w:bookmarkEnd w:id="18"/>
    <w:bookmarkEnd w:id="19"/>
    <w:bookmarkEnd w:id="20"/>
    <w:bookmarkEnd w:id="21"/>
    <w:p>
      <w:pPr>
        <w:pStyle w:val="9"/>
        <w:rPr>
          <w:rFonts w:hint="eastAsia" w:ascii="宋体" w:hAnsi="宋体" w:eastAsia="宋体" w:cs="宋体"/>
          <w:b/>
          <w:bCs/>
          <w:spacing w:val="6"/>
          <w:kern w:val="0"/>
          <w:sz w:val="30"/>
          <w:szCs w:val="30"/>
          <w:highlight w:val="none"/>
          <w:lang w:val="en-US" w:eastAsia="zh-CN" w:bidi="ar-SA"/>
        </w:rPr>
      </w:pPr>
      <w:r>
        <w:rPr>
          <w:rFonts w:hint="eastAsia" w:ascii="宋体" w:hAnsi="宋体" w:eastAsia="宋体" w:cs="宋体"/>
          <w:b/>
          <w:bCs/>
          <w:spacing w:val="6"/>
          <w:kern w:val="0"/>
          <w:sz w:val="30"/>
          <w:szCs w:val="30"/>
          <w:highlight w:val="none"/>
          <w:lang w:val="en-US" w:eastAsia="zh-CN" w:bidi="ar-SA"/>
        </w:rPr>
        <w:t>附件4</w:t>
      </w:r>
      <w:r>
        <w:rPr>
          <w:rFonts w:hint="eastAsia" w:ascii="宋体" w:hAnsi="宋体" w:eastAsia="宋体" w:cs="宋体"/>
          <w:b/>
          <w:bCs/>
          <w:spacing w:val="6"/>
          <w:sz w:val="30"/>
          <w:szCs w:val="30"/>
          <w:highlight w:val="none"/>
          <w:lang w:val="en-US" w:eastAsia="zh-CN"/>
        </w:rPr>
        <w:t>：</w:t>
      </w:r>
    </w:p>
    <w:p>
      <w:pPr>
        <w:spacing w:line="500" w:lineRule="exact"/>
        <w:ind w:firstLine="643" w:firstLineChars="200"/>
        <w:jc w:val="center"/>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监狱企业证明文件</w:t>
      </w:r>
    </w:p>
    <w:p>
      <w:pPr>
        <w:pStyle w:val="9"/>
        <w:rPr>
          <w:rFonts w:hint="eastAsia" w:ascii="宋体" w:hAnsi="宋体" w:eastAsia="宋体" w:cs="宋体"/>
          <w:highlight w:val="none"/>
          <w:lang w:eastAsia="zh-CN"/>
        </w:rPr>
      </w:pPr>
    </w:p>
    <w:p>
      <w:pPr>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监狱企业参加政府采购活动时，应当提供由省级以上监狱管理局、戒毒管理局（含新疆生产建设兵团）出具的属于监狱企业的证明文件。</w:t>
      </w:r>
    </w:p>
    <w:p>
      <w:pPr>
        <w:spacing w:line="360" w:lineRule="auto"/>
        <w:ind w:right="640"/>
        <w:rPr>
          <w:rFonts w:hint="eastAsia" w:ascii="宋体" w:hAnsi="宋体" w:eastAsia="宋体" w:cs="宋体"/>
          <w:sz w:val="24"/>
          <w:szCs w:val="24"/>
          <w:highlight w:val="none"/>
        </w:rPr>
      </w:pPr>
    </w:p>
    <w:p>
      <w:pPr>
        <w:spacing w:line="360" w:lineRule="auto"/>
        <w:ind w:right="640"/>
        <w:rPr>
          <w:rFonts w:hint="eastAsia" w:ascii="宋体" w:hAnsi="宋体" w:eastAsia="宋体" w:cs="宋体"/>
          <w:sz w:val="24"/>
          <w:szCs w:val="24"/>
          <w:highlight w:val="none"/>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lang w:eastAsia="zh-CN"/>
        </w:rPr>
      </w:pPr>
    </w:p>
    <w:p>
      <w:pPr>
        <w:spacing w:line="360" w:lineRule="auto"/>
        <w:ind w:right="640"/>
        <w:rPr>
          <w:rFonts w:hint="eastAsia" w:ascii="宋体" w:hAnsi="宋体" w:eastAsia="宋体" w:cs="宋体"/>
          <w:sz w:val="24"/>
          <w:szCs w:val="24"/>
          <w:highlight w:val="none"/>
        </w:rPr>
      </w:pPr>
    </w:p>
    <w:sectPr>
      <w:headerReference r:id="rId12" w:type="default"/>
      <w:pgSz w:w="11907" w:h="16840"/>
      <w:pgMar w:top="1440" w:right="1440" w:bottom="1440" w:left="1440" w:header="851" w:footer="851" w:gutter="0"/>
      <w:pgBorders>
        <w:top w:val="none" w:sz="0" w:space="0"/>
        <w:left w:val="none" w:sz="0" w:space="0"/>
        <w:bottom w:val="none" w:sz="0" w:space="0"/>
        <w:right w:val="none" w:sz="0" w:space="0"/>
      </w:pgBorders>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Be+EI21AEAAKYDAAAOAAAAAAAAAAEAIAAA&#10;ACIBAABkcnMvZTJvRG9jLnhtbFBLBQYAAAAABgAGAFkBAABoBQ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223"/>
      </w:tabs>
      <w:rPr>
        <w:rFonts w:ascii="宋体" w:hAnsi="宋体"/>
        <w:szCs w:val="18"/>
        <w:lang w:eastAsia="zh-CN"/>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6"/>
                            <w:rPr>
                              <w:rFonts w:hint="eastAsia" w:eastAsia="宋体"/>
                              <w:b w:val="0"/>
                              <w:bCs/>
                              <w:lang w:eastAsia="zh-CN"/>
                            </w:rPr>
                          </w:pPr>
                        </w:p>
                      </w:txbxContent>
                    </wps:txbx>
                    <wps:bodyPr vert="horz" wrap="none" lIns="0" tIns="0" rIns="0" bIns="0" anchor="t" upright="0">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oaYJL0wAAAAUBAAAP&#10;AAAAAAAAAAEAIAAAACIAAABkcnMvZG93bnJldi54bWxQSwECFAAUAAAACACHTuJAampk9eQBAAC9&#10;AwAADgAAAAAAAAABACAAAAAiAQAAZHJzL2Uyb0RvYy54bWxQSwUGAAAAAAYABgBZAQAAeAUAAAAA&#10;">
              <v:fill on="f" focussize="0,0"/>
              <v:stroke on="f" weight="1.25pt"/>
              <v:imagedata o:title=""/>
              <o:lock v:ext="edit" aspectratio="f"/>
              <v:textbox inset="0mm,0mm,0mm,0mm" style="mso-fit-shape-to-text:t;">
                <w:txbxContent>
                  <w:p>
                    <w:pPr>
                      <w:pStyle w:val="16"/>
                      <w:rPr>
                        <w:rFonts w:hint="eastAsia" w:eastAsia="宋体"/>
                        <w:b w:val="0"/>
                        <w:bCs/>
                        <w:lang w:eastAsia="zh-CN"/>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34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34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500" w:lineRule="exact"/>
      <w:ind w:left="1530" w:hanging="1530" w:hangingChars="850"/>
      <w:rPr>
        <w:rFonts w:hint="default" w:hAnsi="宋体" w:eastAsia="宋体" w:cs="宋体"/>
        <w:sz w:val="18"/>
        <w:szCs w:val="18"/>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line="500" w:lineRule="exact"/>
      <w:ind w:left="1530" w:hanging="1530" w:hangingChars="850"/>
      <w:jc w:val="left"/>
      <w:rPr>
        <w:rFonts w:hint="default" w:hAnsi="宋体" w:eastAsia="宋体" w:cs="宋体"/>
        <w:sz w:val="18"/>
        <w:szCs w:val="18"/>
        <w:lang w:val="en-US" w:eastAsia="zh-CN"/>
      </w:rPr>
    </w:pPr>
    <w:r>
      <w:rPr>
        <w:rFonts w:hint="eastAsia" w:hAnsi="宋体" w:cs="宋体"/>
        <w:sz w:val="18"/>
        <w:szCs w:val="18"/>
        <w:lang w:val="en-US" w:eastAsia="zh-CN"/>
      </w:rPr>
      <w:t>西安市第八十六中学化学吊装实验室项目                                                竞争性谈判文件</w:t>
    </w:r>
  </w:p>
  <w:p>
    <w:pPr>
      <w:pBdr>
        <w:bottom w:val="none" w:color="auto" w:sz="0" w:space="0"/>
      </w:pBdr>
      <w:jc w:val="left"/>
      <w:rPr>
        <w:rFonts w:hint="eastAsia" w:ascii="宋体" w:hAnsi="宋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line="500" w:lineRule="exact"/>
      <w:ind w:left="1530" w:hanging="1530" w:hangingChars="850"/>
      <w:rPr>
        <w:rFonts w:hint="default" w:hAnsi="宋体" w:eastAsia="宋体" w:cs="宋体"/>
        <w:sz w:val="18"/>
        <w:szCs w:val="18"/>
        <w:lang w:val="en-US" w:eastAsia="zh-CN"/>
      </w:rPr>
    </w:pPr>
    <w:r>
      <w:rPr>
        <w:rFonts w:hint="eastAsia" w:hAnsi="宋体" w:cs="宋体"/>
        <w:sz w:val="18"/>
        <w:szCs w:val="18"/>
        <w:lang w:val="en-US" w:eastAsia="zh-CN"/>
      </w:rPr>
      <w:t>西安市第八十六中学化学吊装实验室项目                                                 竞争性谈判文件</w:t>
    </w:r>
  </w:p>
  <w:p>
    <w:pPr>
      <w:pBdr>
        <w:bottom w:val="none" w:color="auto" w:sz="0" w:space="0"/>
      </w:pBdr>
      <w:jc w:val="left"/>
      <w:rPr>
        <w:rFonts w:hint="default" w:ascii="宋体" w:hAnsi="宋体" w:eastAsia="宋体"/>
        <w:sz w:val="18"/>
        <w:szCs w:val="18"/>
        <w:lang w:val="en-US" w:eastAsia="zh-CN"/>
      </w:rPr>
    </w:pPr>
    <w:r>
      <w:rPr>
        <w:rFonts w:hint="eastAsia" w:ascii="宋体" w:hAnsi="宋体"/>
        <w:sz w:val="18"/>
        <w:szCs w:val="18"/>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B0AAAD"/>
    <w:multiLevelType w:val="singleLevel"/>
    <w:tmpl w:val="D1B0AAAD"/>
    <w:lvl w:ilvl="0" w:tentative="0">
      <w:start w:val="3"/>
      <w:numFmt w:val="decimal"/>
      <w:suff w:val="nothing"/>
      <w:lvlText w:val="%1、"/>
      <w:lvlJc w:val="left"/>
    </w:lvl>
  </w:abstractNum>
  <w:abstractNum w:abstractNumId="1">
    <w:nsid w:val="E0724B35"/>
    <w:multiLevelType w:val="singleLevel"/>
    <w:tmpl w:val="E0724B35"/>
    <w:lvl w:ilvl="0" w:tentative="0">
      <w:start w:val="6"/>
      <w:numFmt w:val="chineseCounting"/>
      <w:suff w:val="nothing"/>
      <w:lvlText w:val="%1、"/>
      <w:lvlJc w:val="left"/>
      <w:rPr>
        <w:rFonts w:hint="eastAsia"/>
      </w:rPr>
    </w:lvl>
  </w:abstractNum>
  <w:abstractNum w:abstractNumId="2">
    <w:nsid w:val="0000000C"/>
    <w:multiLevelType w:val="singleLevel"/>
    <w:tmpl w:val="0000000C"/>
    <w:lvl w:ilvl="0" w:tentative="0">
      <w:start w:val="1"/>
      <w:numFmt w:val="decimal"/>
      <w:lvlText w:val="（%1）"/>
      <w:lvlJc w:val="left"/>
      <w:pPr>
        <w:tabs>
          <w:tab w:val="left" w:pos="720"/>
        </w:tabs>
        <w:ind w:left="720" w:hanging="720"/>
      </w:pPr>
      <w:rPr>
        <w:rFonts w:hint="eastAsia"/>
      </w:rPr>
    </w:lvl>
  </w:abstractNum>
  <w:abstractNum w:abstractNumId="3">
    <w:nsid w:val="53F7C726"/>
    <w:multiLevelType w:val="singleLevel"/>
    <w:tmpl w:val="53F7C726"/>
    <w:lvl w:ilvl="0" w:tentative="0">
      <w:start w:val="4"/>
      <w:numFmt w:val="chineseCounting"/>
      <w:suff w:val="space"/>
      <w:lvlText w:val="第%1章"/>
      <w:lvlJc w:val="left"/>
      <w:rPr>
        <w:rFonts w:hint="eastAsia"/>
      </w:rPr>
    </w:lvl>
  </w:abstractNum>
  <w:abstractNum w:abstractNumId="4">
    <w:nsid w:val="57036E04"/>
    <w:multiLevelType w:val="singleLevel"/>
    <w:tmpl w:val="57036E04"/>
    <w:lvl w:ilvl="0" w:tentative="0">
      <w:start w:val="11"/>
      <w:numFmt w:val="chineseCounting"/>
      <w:suff w:val="nothing"/>
      <w:lvlText w:val="%1、"/>
      <w:lvlJc w:val="left"/>
    </w:lvl>
  </w:abstractNum>
  <w:abstractNum w:abstractNumId="5">
    <w:nsid w:val="59B2460E"/>
    <w:multiLevelType w:val="singleLevel"/>
    <w:tmpl w:val="59B2460E"/>
    <w:lvl w:ilvl="0" w:tentative="0">
      <w:start w:val="2"/>
      <w:numFmt w:val="decimal"/>
      <w:suff w:val="nothing"/>
      <w:lvlText w:val="%1."/>
      <w:lvlJc w:val="left"/>
    </w:lvl>
  </w:abstractNum>
  <w:abstractNum w:abstractNumId="6">
    <w:nsid w:val="59CC62DA"/>
    <w:multiLevelType w:val="singleLevel"/>
    <w:tmpl w:val="59CC62DA"/>
    <w:lvl w:ilvl="0" w:tentative="0">
      <w:start w:val="5"/>
      <w:numFmt w:val="chineseCounting"/>
      <w:suff w:val="space"/>
      <w:lvlText w:val="第%1章"/>
      <w:lvlJc w:val="left"/>
    </w:lvl>
  </w:abstractNum>
  <w:num w:numId="1">
    <w:abstractNumId w:val="0"/>
  </w:num>
  <w:num w:numId="2">
    <w:abstractNumId w:val="5"/>
  </w:num>
  <w:num w:numId="3">
    <w:abstractNumId w:val="4"/>
  </w:num>
  <w:num w:numId="4">
    <w:abstractNumId w:val="3"/>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5"/>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2MTY0MzFjMzU0MDRhZTA0MzJkYTZkZjIzODE1ZTQifQ=="/>
  </w:docVars>
  <w:rsids>
    <w:rsidRoot w:val="00172A27"/>
    <w:rsid w:val="00002484"/>
    <w:rsid w:val="00006BA7"/>
    <w:rsid w:val="00006F34"/>
    <w:rsid w:val="00010923"/>
    <w:rsid w:val="000111C7"/>
    <w:rsid w:val="0001276B"/>
    <w:rsid w:val="00014C80"/>
    <w:rsid w:val="00016233"/>
    <w:rsid w:val="00021033"/>
    <w:rsid w:val="00025B34"/>
    <w:rsid w:val="000267AF"/>
    <w:rsid w:val="00027955"/>
    <w:rsid w:val="0003649E"/>
    <w:rsid w:val="00043A6E"/>
    <w:rsid w:val="00045639"/>
    <w:rsid w:val="000521D7"/>
    <w:rsid w:val="00056ACE"/>
    <w:rsid w:val="00060EEB"/>
    <w:rsid w:val="00064588"/>
    <w:rsid w:val="000674B2"/>
    <w:rsid w:val="00073361"/>
    <w:rsid w:val="00074585"/>
    <w:rsid w:val="000872DF"/>
    <w:rsid w:val="00091472"/>
    <w:rsid w:val="000A0EEC"/>
    <w:rsid w:val="000A61CD"/>
    <w:rsid w:val="000B0658"/>
    <w:rsid w:val="000B093E"/>
    <w:rsid w:val="000B278D"/>
    <w:rsid w:val="000B459C"/>
    <w:rsid w:val="000B7981"/>
    <w:rsid w:val="000C1C43"/>
    <w:rsid w:val="000D4AFC"/>
    <w:rsid w:val="000E0A5C"/>
    <w:rsid w:val="000E36B6"/>
    <w:rsid w:val="000E4B09"/>
    <w:rsid w:val="000E5810"/>
    <w:rsid w:val="000F12B3"/>
    <w:rsid w:val="000F1FAB"/>
    <w:rsid w:val="000F43C4"/>
    <w:rsid w:val="000F4EF5"/>
    <w:rsid w:val="001012D3"/>
    <w:rsid w:val="00101D2E"/>
    <w:rsid w:val="00114F25"/>
    <w:rsid w:val="00120BDC"/>
    <w:rsid w:val="001235CE"/>
    <w:rsid w:val="00143899"/>
    <w:rsid w:val="00161F97"/>
    <w:rsid w:val="001678B3"/>
    <w:rsid w:val="001700C1"/>
    <w:rsid w:val="00170B2B"/>
    <w:rsid w:val="00173268"/>
    <w:rsid w:val="00174104"/>
    <w:rsid w:val="00182880"/>
    <w:rsid w:val="00187357"/>
    <w:rsid w:val="00197147"/>
    <w:rsid w:val="00197406"/>
    <w:rsid w:val="001A17D4"/>
    <w:rsid w:val="001A5DCD"/>
    <w:rsid w:val="001A64D0"/>
    <w:rsid w:val="001B44D8"/>
    <w:rsid w:val="001C20E2"/>
    <w:rsid w:val="001D1D85"/>
    <w:rsid w:val="001E79C0"/>
    <w:rsid w:val="001F1213"/>
    <w:rsid w:val="001F12EF"/>
    <w:rsid w:val="001F19DA"/>
    <w:rsid w:val="001F5B4E"/>
    <w:rsid w:val="0020082E"/>
    <w:rsid w:val="00201522"/>
    <w:rsid w:val="00203FA8"/>
    <w:rsid w:val="00212DC4"/>
    <w:rsid w:val="002343D2"/>
    <w:rsid w:val="00236362"/>
    <w:rsid w:val="00236FA1"/>
    <w:rsid w:val="00244B0A"/>
    <w:rsid w:val="00247CA3"/>
    <w:rsid w:val="00250B9E"/>
    <w:rsid w:val="002520A6"/>
    <w:rsid w:val="0025545C"/>
    <w:rsid w:val="00257D4E"/>
    <w:rsid w:val="002637B7"/>
    <w:rsid w:val="002638C3"/>
    <w:rsid w:val="00271A48"/>
    <w:rsid w:val="00274316"/>
    <w:rsid w:val="002758B1"/>
    <w:rsid w:val="002849DA"/>
    <w:rsid w:val="0029418A"/>
    <w:rsid w:val="002A27C1"/>
    <w:rsid w:val="002B278F"/>
    <w:rsid w:val="002C0CB3"/>
    <w:rsid w:val="002C437F"/>
    <w:rsid w:val="002C54D6"/>
    <w:rsid w:val="002C71C7"/>
    <w:rsid w:val="002D1022"/>
    <w:rsid w:val="002D102D"/>
    <w:rsid w:val="002D1755"/>
    <w:rsid w:val="002D3B1A"/>
    <w:rsid w:val="002D6F88"/>
    <w:rsid w:val="002E56ED"/>
    <w:rsid w:val="002F05B0"/>
    <w:rsid w:val="002F078B"/>
    <w:rsid w:val="002F4A1D"/>
    <w:rsid w:val="00302AD2"/>
    <w:rsid w:val="00303867"/>
    <w:rsid w:val="00304CAD"/>
    <w:rsid w:val="00304D6D"/>
    <w:rsid w:val="00304F0F"/>
    <w:rsid w:val="003063B1"/>
    <w:rsid w:val="00312BED"/>
    <w:rsid w:val="00323890"/>
    <w:rsid w:val="00330651"/>
    <w:rsid w:val="00334C3F"/>
    <w:rsid w:val="00336AD7"/>
    <w:rsid w:val="003458C1"/>
    <w:rsid w:val="003465CC"/>
    <w:rsid w:val="00347D2F"/>
    <w:rsid w:val="00357CE2"/>
    <w:rsid w:val="003721E8"/>
    <w:rsid w:val="00375743"/>
    <w:rsid w:val="00386872"/>
    <w:rsid w:val="00393017"/>
    <w:rsid w:val="00394148"/>
    <w:rsid w:val="00395C68"/>
    <w:rsid w:val="003966C4"/>
    <w:rsid w:val="00396B47"/>
    <w:rsid w:val="003B78E9"/>
    <w:rsid w:val="003C0FAF"/>
    <w:rsid w:val="003C6DC2"/>
    <w:rsid w:val="003C776F"/>
    <w:rsid w:val="003D1D16"/>
    <w:rsid w:val="003D6284"/>
    <w:rsid w:val="003E4915"/>
    <w:rsid w:val="003E6081"/>
    <w:rsid w:val="003F130B"/>
    <w:rsid w:val="003F2F12"/>
    <w:rsid w:val="003F4456"/>
    <w:rsid w:val="004020A1"/>
    <w:rsid w:val="00411179"/>
    <w:rsid w:val="0041260E"/>
    <w:rsid w:val="00420ED1"/>
    <w:rsid w:val="00422D6B"/>
    <w:rsid w:val="00424A4F"/>
    <w:rsid w:val="0042612D"/>
    <w:rsid w:val="0043280F"/>
    <w:rsid w:val="00435505"/>
    <w:rsid w:val="00435769"/>
    <w:rsid w:val="00436607"/>
    <w:rsid w:val="00443716"/>
    <w:rsid w:val="00445BE2"/>
    <w:rsid w:val="004479C1"/>
    <w:rsid w:val="0045391E"/>
    <w:rsid w:val="004546A4"/>
    <w:rsid w:val="00456CBF"/>
    <w:rsid w:val="00466E45"/>
    <w:rsid w:val="0047581D"/>
    <w:rsid w:val="0047700F"/>
    <w:rsid w:val="00480B75"/>
    <w:rsid w:val="00482488"/>
    <w:rsid w:val="00490528"/>
    <w:rsid w:val="00492676"/>
    <w:rsid w:val="004A58AE"/>
    <w:rsid w:val="004B31F6"/>
    <w:rsid w:val="004C71F0"/>
    <w:rsid w:val="004C7C3F"/>
    <w:rsid w:val="004D235F"/>
    <w:rsid w:val="004E2C94"/>
    <w:rsid w:val="004E58C8"/>
    <w:rsid w:val="004E5C98"/>
    <w:rsid w:val="004F130E"/>
    <w:rsid w:val="004F44DC"/>
    <w:rsid w:val="00500550"/>
    <w:rsid w:val="005022A4"/>
    <w:rsid w:val="00503EB9"/>
    <w:rsid w:val="00505BCA"/>
    <w:rsid w:val="00510717"/>
    <w:rsid w:val="005136E4"/>
    <w:rsid w:val="00516F35"/>
    <w:rsid w:val="0051772E"/>
    <w:rsid w:val="005228EE"/>
    <w:rsid w:val="00523125"/>
    <w:rsid w:val="005238CA"/>
    <w:rsid w:val="00525409"/>
    <w:rsid w:val="005467AF"/>
    <w:rsid w:val="00546DE0"/>
    <w:rsid w:val="005506AB"/>
    <w:rsid w:val="005568B5"/>
    <w:rsid w:val="00556A7D"/>
    <w:rsid w:val="00560560"/>
    <w:rsid w:val="00574A3F"/>
    <w:rsid w:val="00576C50"/>
    <w:rsid w:val="00580A39"/>
    <w:rsid w:val="00580E5D"/>
    <w:rsid w:val="00585FC1"/>
    <w:rsid w:val="005862C6"/>
    <w:rsid w:val="00590687"/>
    <w:rsid w:val="0059373E"/>
    <w:rsid w:val="00595C1B"/>
    <w:rsid w:val="005A1E24"/>
    <w:rsid w:val="005B4922"/>
    <w:rsid w:val="005C0638"/>
    <w:rsid w:val="005C7F79"/>
    <w:rsid w:val="005D18C7"/>
    <w:rsid w:val="005D1FFA"/>
    <w:rsid w:val="005D4C29"/>
    <w:rsid w:val="005D6D64"/>
    <w:rsid w:val="005E2EC5"/>
    <w:rsid w:val="005E4467"/>
    <w:rsid w:val="005E7A43"/>
    <w:rsid w:val="005F2312"/>
    <w:rsid w:val="005F3E77"/>
    <w:rsid w:val="00602483"/>
    <w:rsid w:val="00602B05"/>
    <w:rsid w:val="0060391A"/>
    <w:rsid w:val="006048E4"/>
    <w:rsid w:val="00604F10"/>
    <w:rsid w:val="006054D7"/>
    <w:rsid w:val="00607FC4"/>
    <w:rsid w:val="006107D5"/>
    <w:rsid w:val="0061116E"/>
    <w:rsid w:val="006214A4"/>
    <w:rsid w:val="006240CB"/>
    <w:rsid w:val="0062506D"/>
    <w:rsid w:val="006320E0"/>
    <w:rsid w:val="00634E1C"/>
    <w:rsid w:val="00637BBF"/>
    <w:rsid w:val="00640DF1"/>
    <w:rsid w:val="006439FA"/>
    <w:rsid w:val="00645583"/>
    <w:rsid w:val="00646579"/>
    <w:rsid w:val="006504F2"/>
    <w:rsid w:val="0065092C"/>
    <w:rsid w:val="00652252"/>
    <w:rsid w:val="00655FE4"/>
    <w:rsid w:val="00656230"/>
    <w:rsid w:val="00660EEC"/>
    <w:rsid w:val="0066512E"/>
    <w:rsid w:val="006710E0"/>
    <w:rsid w:val="00671D58"/>
    <w:rsid w:val="0068218B"/>
    <w:rsid w:val="006832C3"/>
    <w:rsid w:val="006846B1"/>
    <w:rsid w:val="006858B9"/>
    <w:rsid w:val="00687D13"/>
    <w:rsid w:val="006A4D4A"/>
    <w:rsid w:val="006B132E"/>
    <w:rsid w:val="006B18D1"/>
    <w:rsid w:val="006B6CFF"/>
    <w:rsid w:val="006C2EE1"/>
    <w:rsid w:val="006C749A"/>
    <w:rsid w:val="006D4545"/>
    <w:rsid w:val="006E21EE"/>
    <w:rsid w:val="006E45AD"/>
    <w:rsid w:val="006E5B3B"/>
    <w:rsid w:val="006E610B"/>
    <w:rsid w:val="00703A99"/>
    <w:rsid w:val="00704388"/>
    <w:rsid w:val="007109F1"/>
    <w:rsid w:val="007156B8"/>
    <w:rsid w:val="00721BCE"/>
    <w:rsid w:val="00726635"/>
    <w:rsid w:val="00726FF5"/>
    <w:rsid w:val="0072740A"/>
    <w:rsid w:val="00734D36"/>
    <w:rsid w:val="00740FA0"/>
    <w:rsid w:val="00741CA8"/>
    <w:rsid w:val="00741CBF"/>
    <w:rsid w:val="00742668"/>
    <w:rsid w:val="00745DF7"/>
    <w:rsid w:val="00746CC0"/>
    <w:rsid w:val="00750456"/>
    <w:rsid w:val="00754DC6"/>
    <w:rsid w:val="00755638"/>
    <w:rsid w:val="00756757"/>
    <w:rsid w:val="007579B2"/>
    <w:rsid w:val="00760EDD"/>
    <w:rsid w:val="007621AD"/>
    <w:rsid w:val="00763F56"/>
    <w:rsid w:val="00767E1F"/>
    <w:rsid w:val="00770C95"/>
    <w:rsid w:val="0077438F"/>
    <w:rsid w:val="00775B3B"/>
    <w:rsid w:val="00777275"/>
    <w:rsid w:val="00783CF7"/>
    <w:rsid w:val="00793C1E"/>
    <w:rsid w:val="007A11EC"/>
    <w:rsid w:val="007A3764"/>
    <w:rsid w:val="007A41A4"/>
    <w:rsid w:val="007A45FA"/>
    <w:rsid w:val="007A5254"/>
    <w:rsid w:val="007A5CFB"/>
    <w:rsid w:val="007C2A9E"/>
    <w:rsid w:val="007C3E1B"/>
    <w:rsid w:val="007C3FE7"/>
    <w:rsid w:val="007D0DD1"/>
    <w:rsid w:val="007D19A6"/>
    <w:rsid w:val="007D1C9C"/>
    <w:rsid w:val="007D2D4E"/>
    <w:rsid w:val="007D5019"/>
    <w:rsid w:val="007E0D4C"/>
    <w:rsid w:val="007E4A4D"/>
    <w:rsid w:val="007E4EE7"/>
    <w:rsid w:val="007F25FF"/>
    <w:rsid w:val="00800C29"/>
    <w:rsid w:val="00801792"/>
    <w:rsid w:val="0080314D"/>
    <w:rsid w:val="0080405B"/>
    <w:rsid w:val="0080427A"/>
    <w:rsid w:val="00806763"/>
    <w:rsid w:val="008102D3"/>
    <w:rsid w:val="008124A4"/>
    <w:rsid w:val="00823966"/>
    <w:rsid w:val="00826E6D"/>
    <w:rsid w:val="00827BD1"/>
    <w:rsid w:val="008329B1"/>
    <w:rsid w:val="008447A8"/>
    <w:rsid w:val="00846A5A"/>
    <w:rsid w:val="0085008C"/>
    <w:rsid w:val="008515A8"/>
    <w:rsid w:val="008516EA"/>
    <w:rsid w:val="0085376C"/>
    <w:rsid w:val="008556C2"/>
    <w:rsid w:val="00855C2F"/>
    <w:rsid w:val="0086021E"/>
    <w:rsid w:val="008615E8"/>
    <w:rsid w:val="008678C0"/>
    <w:rsid w:val="00871E4A"/>
    <w:rsid w:val="00872BEA"/>
    <w:rsid w:val="00884BBE"/>
    <w:rsid w:val="00894278"/>
    <w:rsid w:val="008B1132"/>
    <w:rsid w:val="008B139E"/>
    <w:rsid w:val="008C3053"/>
    <w:rsid w:val="008C3D7B"/>
    <w:rsid w:val="008C7925"/>
    <w:rsid w:val="008C7FB7"/>
    <w:rsid w:val="008D2B75"/>
    <w:rsid w:val="008D2E45"/>
    <w:rsid w:val="008D32F1"/>
    <w:rsid w:val="008F3403"/>
    <w:rsid w:val="008F45B9"/>
    <w:rsid w:val="00902CE0"/>
    <w:rsid w:val="0090590A"/>
    <w:rsid w:val="00912624"/>
    <w:rsid w:val="00914258"/>
    <w:rsid w:val="00917EBE"/>
    <w:rsid w:val="00921262"/>
    <w:rsid w:val="009240CC"/>
    <w:rsid w:val="00925120"/>
    <w:rsid w:val="0093209F"/>
    <w:rsid w:val="0093299B"/>
    <w:rsid w:val="0094567A"/>
    <w:rsid w:val="00946D2F"/>
    <w:rsid w:val="00951617"/>
    <w:rsid w:val="00954051"/>
    <w:rsid w:val="00955741"/>
    <w:rsid w:val="00964241"/>
    <w:rsid w:val="00984701"/>
    <w:rsid w:val="009860B3"/>
    <w:rsid w:val="009A4659"/>
    <w:rsid w:val="009B60E6"/>
    <w:rsid w:val="009B7089"/>
    <w:rsid w:val="009C40B4"/>
    <w:rsid w:val="009C6C91"/>
    <w:rsid w:val="009D734C"/>
    <w:rsid w:val="009E20EF"/>
    <w:rsid w:val="009E4788"/>
    <w:rsid w:val="009E50EB"/>
    <w:rsid w:val="009E57B8"/>
    <w:rsid w:val="009E7BBD"/>
    <w:rsid w:val="009F357F"/>
    <w:rsid w:val="009F495B"/>
    <w:rsid w:val="009F6915"/>
    <w:rsid w:val="00A0107C"/>
    <w:rsid w:val="00A051C5"/>
    <w:rsid w:val="00A109B9"/>
    <w:rsid w:val="00A116EB"/>
    <w:rsid w:val="00A21EB2"/>
    <w:rsid w:val="00A23952"/>
    <w:rsid w:val="00A2527A"/>
    <w:rsid w:val="00A25B2D"/>
    <w:rsid w:val="00A2604F"/>
    <w:rsid w:val="00A30864"/>
    <w:rsid w:val="00A31A52"/>
    <w:rsid w:val="00A327C7"/>
    <w:rsid w:val="00A40EA1"/>
    <w:rsid w:val="00A44E18"/>
    <w:rsid w:val="00A60E14"/>
    <w:rsid w:val="00A61011"/>
    <w:rsid w:val="00A616D1"/>
    <w:rsid w:val="00A6390F"/>
    <w:rsid w:val="00A650D0"/>
    <w:rsid w:val="00A65719"/>
    <w:rsid w:val="00A667EC"/>
    <w:rsid w:val="00A72D9F"/>
    <w:rsid w:val="00A77E99"/>
    <w:rsid w:val="00A81A9C"/>
    <w:rsid w:val="00A823D4"/>
    <w:rsid w:val="00A85445"/>
    <w:rsid w:val="00A87528"/>
    <w:rsid w:val="00A96AB8"/>
    <w:rsid w:val="00AA1A8C"/>
    <w:rsid w:val="00AA62A6"/>
    <w:rsid w:val="00AA64FB"/>
    <w:rsid w:val="00AB2636"/>
    <w:rsid w:val="00AB3F25"/>
    <w:rsid w:val="00AB4980"/>
    <w:rsid w:val="00AB64F0"/>
    <w:rsid w:val="00AC1C3F"/>
    <w:rsid w:val="00AC50D2"/>
    <w:rsid w:val="00AD57E5"/>
    <w:rsid w:val="00AE08E3"/>
    <w:rsid w:val="00AE336A"/>
    <w:rsid w:val="00AE6E8A"/>
    <w:rsid w:val="00AE7981"/>
    <w:rsid w:val="00AF3C41"/>
    <w:rsid w:val="00B01B4B"/>
    <w:rsid w:val="00B06FF2"/>
    <w:rsid w:val="00B13C41"/>
    <w:rsid w:val="00B140EC"/>
    <w:rsid w:val="00B15A19"/>
    <w:rsid w:val="00B16AAE"/>
    <w:rsid w:val="00B2635F"/>
    <w:rsid w:val="00B265AB"/>
    <w:rsid w:val="00B27B37"/>
    <w:rsid w:val="00B332F3"/>
    <w:rsid w:val="00B337AB"/>
    <w:rsid w:val="00B33EA4"/>
    <w:rsid w:val="00B354CB"/>
    <w:rsid w:val="00B359FE"/>
    <w:rsid w:val="00B36015"/>
    <w:rsid w:val="00B40F30"/>
    <w:rsid w:val="00B42D1A"/>
    <w:rsid w:val="00B44F18"/>
    <w:rsid w:val="00B53568"/>
    <w:rsid w:val="00B53AB0"/>
    <w:rsid w:val="00B56BE3"/>
    <w:rsid w:val="00B5714D"/>
    <w:rsid w:val="00B57678"/>
    <w:rsid w:val="00B62168"/>
    <w:rsid w:val="00B63BAD"/>
    <w:rsid w:val="00B76AB7"/>
    <w:rsid w:val="00B91D32"/>
    <w:rsid w:val="00B95A23"/>
    <w:rsid w:val="00B95C3A"/>
    <w:rsid w:val="00B966AF"/>
    <w:rsid w:val="00BA15F3"/>
    <w:rsid w:val="00BA1C49"/>
    <w:rsid w:val="00BA4526"/>
    <w:rsid w:val="00BB1248"/>
    <w:rsid w:val="00BB26DA"/>
    <w:rsid w:val="00BB4176"/>
    <w:rsid w:val="00BB6D10"/>
    <w:rsid w:val="00BC27B0"/>
    <w:rsid w:val="00BC3A78"/>
    <w:rsid w:val="00BC40FA"/>
    <w:rsid w:val="00BC58A2"/>
    <w:rsid w:val="00BC5B8E"/>
    <w:rsid w:val="00BD2ACF"/>
    <w:rsid w:val="00BE09FE"/>
    <w:rsid w:val="00BF778C"/>
    <w:rsid w:val="00C01E33"/>
    <w:rsid w:val="00C0337B"/>
    <w:rsid w:val="00C03B72"/>
    <w:rsid w:val="00C0518C"/>
    <w:rsid w:val="00C06071"/>
    <w:rsid w:val="00C104F4"/>
    <w:rsid w:val="00C11F2C"/>
    <w:rsid w:val="00C15EBA"/>
    <w:rsid w:val="00C23B45"/>
    <w:rsid w:val="00C24915"/>
    <w:rsid w:val="00C31911"/>
    <w:rsid w:val="00C349A5"/>
    <w:rsid w:val="00C4027F"/>
    <w:rsid w:val="00C40483"/>
    <w:rsid w:val="00C41A13"/>
    <w:rsid w:val="00C4280E"/>
    <w:rsid w:val="00C50F71"/>
    <w:rsid w:val="00C5749B"/>
    <w:rsid w:val="00C664AE"/>
    <w:rsid w:val="00C66ACE"/>
    <w:rsid w:val="00C73478"/>
    <w:rsid w:val="00C7786A"/>
    <w:rsid w:val="00C82CDC"/>
    <w:rsid w:val="00C90053"/>
    <w:rsid w:val="00C95981"/>
    <w:rsid w:val="00CA78D0"/>
    <w:rsid w:val="00CA7BCC"/>
    <w:rsid w:val="00CC09EB"/>
    <w:rsid w:val="00CC24D4"/>
    <w:rsid w:val="00CC3A70"/>
    <w:rsid w:val="00CC791E"/>
    <w:rsid w:val="00CD202B"/>
    <w:rsid w:val="00CD33A5"/>
    <w:rsid w:val="00CD4629"/>
    <w:rsid w:val="00CE6428"/>
    <w:rsid w:val="00CE6EB1"/>
    <w:rsid w:val="00CF0B02"/>
    <w:rsid w:val="00CF2BE5"/>
    <w:rsid w:val="00CF3854"/>
    <w:rsid w:val="00CF507B"/>
    <w:rsid w:val="00D02A34"/>
    <w:rsid w:val="00D16F70"/>
    <w:rsid w:val="00D2021D"/>
    <w:rsid w:val="00D20BA2"/>
    <w:rsid w:val="00D21D5D"/>
    <w:rsid w:val="00D23072"/>
    <w:rsid w:val="00D23CFF"/>
    <w:rsid w:val="00D24FCE"/>
    <w:rsid w:val="00D264DF"/>
    <w:rsid w:val="00D31ADC"/>
    <w:rsid w:val="00D32601"/>
    <w:rsid w:val="00D330A6"/>
    <w:rsid w:val="00D37A18"/>
    <w:rsid w:val="00D40049"/>
    <w:rsid w:val="00D41968"/>
    <w:rsid w:val="00D4650C"/>
    <w:rsid w:val="00D509D2"/>
    <w:rsid w:val="00D523FC"/>
    <w:rsid w:val="00D5285E"/>
    <w:rsid w:val="00D52A96"/>
    <w:rsid w:val="00D55192"/>
    <w:rsid w:val="00D60B26"/>
    <w:rsid w:val="00D60C0D"/>
    <w:rsid w:val="00D61DBA"/>
    <w:rsid w:val="00D61ED8"/>
    <w:rsid w:val="00D63BD8"/>
    <w:rsid w:val="00D6736C"/>
    <w:rsid w:val="00D673F3"/>
    <w:rsid w:val="00D72246"/>
    <w:rsid w:val="00D739D6"/>
    <w:rsid w:val="00D8054C"/>
    <w:rsid w:val="00D8066E"/>
    <w:rsid w:val="00D813F3"/>
    <w:rsid w:val="00D84245"/>
    <w:rsid w:val="00D8555B"/>
    <w:rsid w:val="00D85DA3"/>
    <w:rsid w:val="00D863CB"/>
    <w:rsid w:val="00D86E22"/>
    <w:rsid w:val="00D86EF6"/>
    <w:rsid w:val="00D91700"/>
    <w:rsid w:val="00D930CE"/>
    <w:rsid w:val="00D97D1B"/>
    <w:rsid w:val="00DA21B2"/>
    <w:rsid w:val="00DA3AE4"/>
    <w:rsid w:val="00DA50A1"/>
    <w:rsid w:val="00DA519C"/>
    <w:rsid w:val="00DA6B5B"/>
    <w:rsid w:val="00DB143C"/>
    <w:rsid w:val="00DB332D"/>
    <w:rsid w:val="00DB6CFA"/>
    <w:rsid w:val="00DC13F2"/>
    <w:rsid w:val="00DC5BB4"/>
    <w:rsid w:val="00DD4F1B"/>
    <w:rsid w:val="00DE6561"/>
    <w:rsid w:val="00DF5581"/>
    <w:rsid w:val="00DF576E"/>
    <w:rsid w:val="00E01C24"/>
    <w:rsid w:val="00E04436"/>
    <w:rsid w:val="00E048DA"/>
    <w:rsid w:val="00E04CEB"/>
    <w:rsid w:val="00E1194E"/>
    <w:rsid w:val="00E12B32"/>
    <w:rsid w:val="00E14213"/>
    <w:rsid w:val="00E14B2D"/>
    <w:rsid w:val="00E21415"/>
    <w:rsid w:val="00E26204"/>
    <w:rsid w:val="00E3016B"/>
    <w:rsid w:val="00E34E6C"/>
    <w:rsid w:val="00E354D6"/>
    <w:rsid w:val="00E36357"/>
    <w:rsid w:val="00E40A47"/>
    <w:rsid w:val="00E446FF"/>
    <w:rsid w:val="00E525D1"/>
    <w:rsid w:val="00E53B87"/>
    <w:rsid w:val="00E57714"/>
    <w:rsid w:val="00E61B2C"/>
    <w:rsid w:val="00E74E8D"/>
    <w:rsid w:val="00E80065"/>
    <w:rsid w:val="00E81FCD"/>
    <w:rsid w:val="00E91031"/>
    <w:rsid w:val="00E94BEB"/>
    <w:rsid w:val="00E950BD"/>
    <w:rsid w:val="00E96609"/>
    <w:rsid w:val="00EA2AC7"/>
    <w:rsid w:val="00EB591B"/>
    <w:rsid w:val="00EC03B2"/>
    <w:rsid w:val="00EC0ACD"/>
    <w:rsid w:val="00EC20F9"/>
    <w:rsid w:val="00ED26B7"/>
    <w:rsid w:val="00ED707B"/>
    <w:rsid w:val="00EE2ECB"/>
    <w:rsid w:val="00EE5257"/>
    <w:rsid w:val="00F07923"/>
    <w:rsid w:val="00F1682B"/>
    <w:rsid w:val="00F16F91"/>
    <w:rsid w:val="00F20AD3"/>
    <w:rsid w:val="00F23757"/>
    <w:rsid w:val="00F40C3B"/>
    <w:rsid w:val="00F40F9D"/>
    <w:rsid w:val="00F4770A"/>
    <w:rsid w:val="00F4774A"/>
    <w:rsid w:val="00F47F7D"/>
    <w:rsid w:val="00F5035A"/>
    <w:rsid w:val="00F508C4"/>
    <w:rsid w:val="00F547BA"/>
    <w:rsid w:val="00F66744"/>
    <w:rsid w:val="00F811E3"/>
    <w:rsid w:val="00F872F7"/>
    <w:rsid w:val="00F95149"/>
    <w:rsid w:val="00FA2251"/>
    <w:rsid w:val="00FA2A52"/>
    <w:rsid w:val="00FA435D"/>
    <w:rsid w:val="00FA5505"/>
    <w:rsid w:val="00FB0DA1"/>
    <w:rsid w:val="00FC4FE5"/>
    <w:rsid w:val="00FE7439"/>
    <w:rsid w:val="00FF002E"/>
    <w:rsid w:val="011C1B4B"/>
    <w:rsid w:val="011F33CD"/>
    <w:rsid w:val="01380C45"/>
    <w:rsid w:val="01391806"/>
    <w:rsid w:val="01550293"/>
    <w:rsid w:val="01734D39"/>
    <w:rsid w:val="01C21AE5"/>
    <w:rsid w:val="02255673"/>
    <w:rsid w:val="023963FF"/>
    <w:rsid w:val="024B788D"/>
    <w:rsid w:val="025F5076"/>
    <w:rsid w:val="026C7F56"/>
    <w:rsid w:val="02720C98"/>
    <w:rsid w:val="029370C7"/>
    <w:rsid w:val="029E0CDB"/>
    <w:rsid w:val="02A5798A"/>
    <w:rsid w:val="02CC0768"/>
    <w:rsid w:val="02E16ED5"/>
    <w:rsid w:val="02EA4873"/>
    <w:rsid w:val="02ED361E"/>
    <w:rsid w:val="02F656C1"/>
    <w:rsid w:val="0314419D"/>
    <w:rsid w:val="03376B2F"/>
    <w:rsid w:val="03406F5E"/>
    <w:rsid w:val="0342363C"/>
    <w:rsid w:val="03467098"/>
    <w:rsid w:val="03633FCC"/>
    <w:rsid w:val="038D72DF"/>
    <w:rsid w:val="03A27284"/>
    <w:rsid w:val="03AC1B29"/>
    <w:rsid w:val="03B5557A"/>
    <w:rsid w:val="03BE79C2"/>
    <w:rsid w:val="03CE35CB"/>
    <w:rsid w:val="03D64DF2"/>
    <w:rsid w:val="03FD2A29"/>
    <w:rsid w:val="03FE52CF"/>
    <w:rsid w:val="040510A4"/>
    <w:rsid w:val="041026CE"/>
    <w:rsid w:val="04204165"/>
    <w:rsid w:val="04325783"/>
    <w:rsid w:val="044871BE"/>
    <w:rsid w:val="04593C3C"/>
    <w:rsid w:val="04716658"/>
    <w:rsid w:val="0476673E"/>
    <w:rsid w:val="048552F8"/>
    <w:rsid w:val="04A2687F"/>
    <w:rsid w:val="04AD1F01"/>
    <w:rsid w:val="04B3368A"/>
    <w:rsid w:val="04BD253A"/>
    <w:rsid w:val="050A5168"/>
    <w:rsid w:val="051E6A56"/>
    <w:rsid w:val="05550E2D"/>
    <w:rsid w:val="056B3C24"/>
    <w:rsid w:val="05A44566"/>
    <w:rsid w:val="05C4432F"/>
    <w:rsid w:val="05D07DCA"/>
    <w:rsid w:val="060F05B3"/>
    <w:rsid w:val="06143FA1"/>
    <w:rsid w:val="062B640B"/>
    <w:rsid w:val="06894CA3"/>
    <w:rsid w:val="068B5F77"/>
    <w:rsid w:val="06925B6D"/>
    <w:rsid w:val="06C26EFB"/>
    <w:rsid w:val="06D864CC"/>
    <w:rsid w:val="06D909FA"/>
    <w:rsid w:val="06F4316F"/>
    <w:rsid w:val="06FA1444"/>
    <w:rsid w:val="06FB02F8"/>
    <w:rsid w:val="06FC6897"/>
    <w:rsid w:val="07215155"/>
    <w:rsid w:val="073238F9"/>
    <w:rsid w:val="07335CA7"/>
    <w:rsid w:val="0747745C"/>
    <w:rsid w:val="07593FB1"/>
    <w:rsid w:val="07596B6C"/>
    <w:rsid w:val="076F78AC"/>
    <w:rsid w:val="078157D1"/>
    <w:rsid w:val="07CF65FF"/>
    <w:rsid w:val="07D15135"/>
    <w:rsid w:val="07E433CB"/>
    <w:rsid w:val="07E56838"/>
    <w:rsid w:val="07F570D1"/>
    <w:rsid w:val="08194C23"/>
    <w:rsid w:val="082552E5"/>
    <w:rsid w:val="08315D7E"/>
    <w:rsid w:val="08712944"/>
    <w:rsid w:val="08C66B0F"/>
    <w:rsid w:val="08EE067E"/>
    <w:rsid w:val="08FB19A4"/>
    <w:rsid w:val="08FB3435"/>
    <w:rsid w:val="09015CED"/>
    <w:rsid w:val="09103136"/>
    <w:rsid w:val="091D7921"/>
    <w:rsid w:val="091F66B7"/>
    <w:rsid w:val="09362AAF"/>
    <w:rsid w:val="09510A7C"/>
    <w:rsid w:val="096C4452"/>
    <w:rsid w:val="09813404"/>
    <w:rsid w:val="099224C2"/>
    <w:rsid w:val="09993138"/>
    <w:rsid w:val="09A0016F"/>
    <w:rsid w:val="09A202AD"/>
    <w:rsid w:val="09A94FEB"/>
    <w:rsid w:val="09D92C37"/>
    <w:rsid w:val="09E05EEC"/>
    <w:rsid w:val="09EE4538"/>
    <w:rsid w:val="09FE0774"/>
    <w:rsid w:val="0A1F33AB"/>
    <w:rsid w:val="0A3D4F01"/>
    <w:rsid w:val="0A43061B"/>
    <w:rsid w:val="0A552B46"/>
    <w:rsid w:val="0A581C4D"/>
    <w:rsid w:val="0A636D3F"/>
    <w:rsid w:val="0A7950D7"/>
    <w:rsid w:val="0A912549"/>
    <w:rsid w:val="0AAE27CA"/>
    <w:rsid w:val="0AF1320B"/>
    <w:rsid w:val="0AF17010"/>
    <w:rsid w:val="0B325978"/>
    <w:rsid w:val="0B3E5287"/>
    <w:rsid w:val="0B443E7C"/>
    <w:rsid w:val="0B8B73D1"/>
    <w:rsid w:val="0B973E91"/>
    <w:rsid w:val="0BAB070F"/>
    <w:rsid w:val="0BB0283D"/>
    <w:rsid w:val="0BBB7301"/>
    <w:rsid w:val="0BCB7666"/>
    <w:rsid w:val="0BFC08A9"/>
    <w:rsid w:val="0C404B6D"/>
    <w:rsid w:val="0C46506D"/>
    <w:rsid w:val="0C4D4EF2"/>
    <w:rsid w:val="0C52142A"/>
    <w:rsid w:val="0C6D40AD"/>
    <w:rsid w:val="0C7A0B07"/>
    <w:rsid w:val="0C9238A7"/>
    <w:rsid w:val="0CC9377A"/>
    <w:rsid w:val="0CE65F5C"/>
    <w:rsid w:val="0CEB1CAC"/>
    <w:rsid w:val="0D002471"/>
    <w:rsid w:val="0D1A6EAD"/>
    <w:rsid w:val="0D2B0CC3"/>
    <w:rsid w:val="0D523EEC"/>
    <w:rsid w:val="0D631E83"/>
    <w:rsid w:val="0D7116ED"/>
    <w:rsid w:val="0D795B47"/>
    <w:rsid w:val="0D9C4FE1"/>
    <w:rsid w:val="0DA53787"/>
    <w:rsid w:val="0DB830F2"/>
    <w:rsid w:val="0DC12C53"/>
    <w:rsid w:val="0DD451C6"/>
    <w:rsid w:val="0DE46F59"/>
    <w:rsid w:val="0E053A23"/>
    <w:rsid w:val="0E1529C0"/>
    <w:rsid w:val="0E175F85"/>
    <w:rsid w:val="0E1A3232"/>
    <w:rsid w:val="0E6E1FAD"/>
    <w:rsid w:val="0E7A3FA8"/>
    <w:rsid w:val="0E9E01A5"/>
    <w:rsid w:val="0EBB6851"/>
    <w:rsid w:val="0EC11AEA"/>
    <w:rsid w:val="0ED168E7"/>
    <w:rsid w:val="0F192865"/>
    <w:rsid w:val="0F1F0F16"/>
    <w:rsid w:val="0F2913B8"/>
    <w:rsid w:val="0F2A60F9"/>
    <w:rsid w:val="0F360424"/>
    <w:rsid w:val="0F5831AD"/>
    <w:rsid w:val="0F7F0EF9"/>
    <w:rsid w:val="0F8643C8"/>
    <w:rsid w:val="0F970C16"/>
    <w:rsid w:val="0FAE1933"/>
    <w:rsid w:val="0FC51C5B"/>
    <w:rsid w:val="0FD6660F"/>
    <w:rsid w:val="0FDB7A2F"/>
    <w:rsid w:val="0FE9742C"/>
    <w:rsid w:val="0FF7696F"/>
    <w:rsid w:val="0FFD3487"/>
    <w:rsid w:val="100D0BAA"/>
    <w:rsid w:val="103F61FB"/>
    <w:rsid w:val="10564FC5"/>
    <w:rsid w:val="1061315C"/>
    <w:rsid w:val="106C1DE0"/>
    <w:rsid w:val="107D0FFB"/>
    <w:rsid w:val="108937EC"/>
    <w:rsid w:val="10997A37"/>
    <w:rsid w:val="10BE3BEC"/>
    <w:rsid w:val="10BE76B9"/>
    <w:rsid w:val="11193AC1"/>
    <w:rsid w:val="1137099C"/>
    <w:rsid w:val="113D31BD"/>
    <w:rsid w:val="11452DE3"/>
    <w:rsid w:val="11595AEB"/>
    <w:rsid w:val="116E43FC"/>
    <w:rsid w:val="1184339C"/>
    <w:rsid w:val="11A90675"/>
    <w:rsid w:val="11B5219D"/>
    <w:rsid w:val="11CA4701"/>
    <w:rsid w:val="12271C6A"/>
    <w:rsid w:val="122D1F2F"/>
    <w:rsid w:val="122E4D1B"/>
    <w:rsid w:val="12301BDC"/>
    <w:rsid w:val="123861DF"/>
    <w:rsid w:val="123F6E4A"/>
    <w:rsid w:val="12423403"/>
    <w:rsid w:val="1251756F"/>
    <w:rsid w:val="12922A85"/>
    <w:rsid w:val="12932D51"/>
    <w:rsid w:val="129912C1"/>
    <w:rsid w:val="12A13F4A"/>
    <w:rsid w:val="12D9642F"/>
    <w:rsid w:val="12E73A02"/>
    <w:rsid w:val="12E94609"/>
    <w:rsid w:val="12EE73D0"/>
    <w:rsid w:val="130D65BB"/>
    <w:rsid w:val="132A7A92"/>
    <w:rsid w:val="135037EB"/>
    <w:rsid w:val="135757F5"/>
    <w:rsid w:val="13683567"/>
    <w:rsid w:val="137F4E4D"/>
    <w:rsid w:val="139C2E50"/>
    <w:rsid w:val="139C423C"/>
    <w:rsid w:val="13BE14CF"/>
    <w:rsid w:val="13EA46AC"/>
    <w:rsid w:val="14082AAE"/>
    <w:rsid w:val="141253DE"/>
    <w:rsid w:val="14761934"/>
    <w:rsid w:val="148C161B"/>
    <w:rsid w:val="1493244B"/>
    <w:rsid w:val="14933133"/>
    <w:rsid w:val="14F11BE1"/>
    <w:rsid w:val="150A61A4"/>
    <w:rsid w:val="150B2B45"/>
    <w:rsid w:val="151762C4"/>
    <w:rsid w:val="152775F9"/>
    <w:rsid w:val="152C403C"/>
    <w:rsid w:val="15365590"/>
    <w:rsid w:val="155E369E"/>
    <w:rsid w:val="158540DD"/>
    <w:rsid w:val="158F698D"/>
    <w:rsid w:val="159077EE"/>
    <w:rsid w:val="15A725B4"/>
    <w:rsid w:val="162C478D"/>
    <w:rsid w:val="167A6EE1"/>
    <w:rsid w:val="168B106C"/>
    <w:rsid w:val="168F788A"/>
    <w:rsid w:val="16937499"/>
    <w:rsid w:val="169E4C62"/>
    <w:rsid w:val="169E6C73"/>
    <w:rsid w:val="16E21383"/>
    <w:rsid w:val="16EE4D8D"/>
    <w:rsid w:val="16F7073B"/>
    <w:rsid w:val="170C2A11"/>
    <w:rsid w:val="171218BF"/>
    <w:rsid w:val="172E4372"/>
    <w:rsid w:val="17577BA6"/>
    <w:rsid w:val="17716DCB"/>
    <w:rsid w:val="17A15E8D"/>
    <w:rsid w:val="17D900FC"/>
    <w:rsid w:val="17E5449F"/>
    <w:rsid w:val="17EC6088"/>
    <w:rsid w:val="17F50ECB"/>
    <w:rsid w:val="17FF3E78"/>
    <w:rsid w:val="180E1BDB"/>
    <w:rsid w:val="18234875"/>
    <w:rsid w:val="187301E8"/>
    <w:rsid w:val="187F72BD"/>
    <w:rsid w:val="188324CC"/>
    <w:rsid w:val="188B3FAB"/>
    <w:rsid w:val="18B05AB3"/>
    <w:rsid w:val="18B12C39"/>
    <w:rsid w:val="18BA6132"/>
    <w:rsid w:val="18E616BD"/>
    <w:rsid w:val="18F00A9C"/>
    <w:rsid w:val="18FB62CE"/>
    <w:rsid w:val="19002A77"/>
    <w:rsid w:val="19712C8F"/>
    <w:rsid w:val="198A0A74"/>
    <w:rsid w:val="19A741F4"/>
    <w:rsid w:val="19A74B16"/>
    <w:rsid w:val="19BD559E"/>
    <w:rsid w:val="19BF30E4"/>
    <w:rsid w:val="19C525B4"/>
    <w:rsid w:val="19D053A5"/>
    <w:rsid w:val="19D55C48"/>
    <w:rsid w:val="19D90C8C"/>
    <w:rsid w:val="19E77780"/>
    <w:rsid w:val="1A277E78"/>
    <w:rsid w:val="1A3801B5"/>
    <w:rsid w:val="1A393AF1"/>
    <w:rsid w:val="1A526D38"/>
    <w:rsid w:val="1A667B51"/>
    <w:rsid w:val="1A846B3C"/>
    <w:rsid w:val="1AAB12DF"/>
    <w:rsid w:val="1AC43989"/>
    <w:rsid w:val="1AE6541E"/>
    <w:rsid w:val="1B1425D4"/>
    <w:rsid w:val="1B155FFD"/>
    <w:rsid w:val="1B402A55"/>
    <w:rsid w:val="1B6B5962"/>
    <w:rsid w:val="1B8E43E1"/>
    <w:rsid w:val="1B996F7A"/>
    <w:rsid w:val="1BB033C0"/>
    <w:rsid w:val="1BB905CA"/>
    <w:rsid w:val="1BB97074"/>
    <w:rsid w:val="1BD42381"/>
    <w:rsid w:val="1BF666F7"/>
    <w:rsid w:val="1C0376A9"/>
    <w:rsid w:val="1C134A9D"/>
    <w:rsid w:val="1C352691"/>
    <w:rsid w:val="1C3C2C49"/>
    <w:rsid w:val="1C46561A"/>
    <w:rsid w:val="1C583D58"/>
    <w:rsid w:val="1C741799"/>
    <w:rsid w:val="1C976027"/>
    <w:rsid w:val="1CB373FC"/>
    <w:rsid w:val="1CB42226"/>
    <w:rsid w:val="1CC11963"/>
    <w:rsid w:val="1CFF7226"/>
    <w:rsid w:val="1D0F3782"/>
    <w:rsid w:val="1D375495"/>
    <w:rsid w:val="1D5C5BEF"/>
    <w:rsid w:val="1D6F2478"/>
    <w:rsid w:val="1DAD49C3"/>
    <w:rsid w:val="1DBC198B"/>
    <w:rsid w:val="1DCE386D"/>
    <w:rsid w:val="1DF319BC"/>
    <w:rsid w:val="1DF512A5"/>
    <w:rsid w:val="1E077263"/>
    <w:rsid w:val="1E447513"/>
    <w:rsid w:val="1E625FC7"/>
    <w:rsid w:val="1E79088D"/>
    <w:rsid w:val="1EA02CCB"/>
    <w:rsid w:val="1EA53280"/>
    <w:rsid w:val="1F2532ED"/>
    <w:rsid w:val="1F4413C4"/>
    <w:rsid w:val="1F5336B8"/>
    <w:rsid w:val="1F58729C"/>
    <w:rsid w:val="1F613645"/>
    <w:rsid w:val="1F7A32C0"/>
    <w:rsid w:val="1F9D516C"/>
    <w:rsid w:val="1FDE0E64"/>
    <w:rsid w:val="1FF41D4F"/>
    <w:rsid w:val="1FFB5125"/>
    <w:rsid w:val="20046DF4"/>
    <w:rsid w:val="201261E5"/>
    <w:rsid w:val="2033658E"/>
    <w:rsid w:val="20362A4E"/>
    <w:rsid w:val="20584083"/>
    <w:rsid w:val="205F62C2"/>
    <w:rsid w:val="2076109D"/>
    <w:rsid w:val="208F4B9E"/>
    <w:rsid w:val="20A40058"/>
    <w:rsid w:val="20CC7A2F"/>
    <w:rsid w:val="20CF37AF"/>
    <w:rsid w:val="20D94630"/>
    <w:rsid w:val="20E436DD"/>
    <w:rsid w:val="20F40FA1"/>
    <w:rsid w:val="21025613"/>
    <w:rsid w:val="21180122"/>
    <w:rsid w:val="21241857"/>
    <w:rsid w:val="218A6D21"/>
    <w:rsid w:val="218E342C"/>
    <w:rsid w:val="21930149"/>
    <w:rsid w:val="21B06551"/>
    <w:rsid w:val="21CF79E5"/>
    <w:rsid w:val="21DF2183"/>
    <w:rsid w:val="21E2253A"/>
    <w:rsid w:val="21ED7819"/>
    <w:rsid w:val="21F532B8"/>
    <w:rsid w:val="220940AD"/>
    <w:rsid w:val="221148DD"/>
    <w:rsid w:val="222C02AA"/>
    <w:rsid w:val="224710EE"/>
    <w:rsid w:val="225E5E41"/>
    <w:rsid w:val="22D01E29"/>
    <w:rsid w:val="23007D7C"/>
    <w:rsid w:val="230B30C5"/>
    <w:rsid w:val="23186C79"/>
    <w:rsid w:val="239E66C2"/>
    <w:rsid w:val="23D531F5"/>
    <w:rsid w:val="23DF77B4"/>
    <w:rsid w:val="23EA7CFA"/>
    <w:rsid w:val="23EF0B7C"/>
    <w:rsid w:val="23F55045"/>
    <w:rsid w:val="23F66E49"/>
    <w:rsid w:val="240750AB"/>
    <w:rsid w:val="242E7C30"/>
    <w:rsid w:val="24395BDE"/>
    <w:rsid w:val="24397886"/>
    <w:rsid w:val="243C0FB3"/>
    <w:rsid w:val="244A407E"/>
    <w:rsid w:val="244F54A0"/>
    <w:rsid w:val="249B5864"/>
    <w:rsid w:val="24A468C4"/>
    <w:rsid w:val="250A47A5"/>
    <w:rsid w:val="254C7941"/>
    <w:rsid w:val="25693BC7"/>
    <w:rsid w:val="256C655A"/>
    <w:rsid w:val="256E4ED7"/>
    <w:rsid w:val="25812DAF"/>
    <w:rsid w:val="258B6430"/>
    <w:rsid w:val="259C1015"/>
    <w:rsid w:val="25B31C90"/>
    <w:rsid w:val="25DE628A"/>
    <w:rsid w:val="25E93E9C"/>
    <w:rsid w:val="25EE7FBB"/>
    <w:rsid w:val="26057846"/>
    <w:rsid w:val="261B3668"/>
    <w:rsid w:val="26202593"/>
    <w:rsid w:val="26464556"/>
    <w:rsid w:val="26862B83"/>
    <w:rsid w:val="26D73AE1"/>
    <w:rsid w:val="26D809B6"/>
    <w:rsid w:val="26E4095C"/>
    <w:rsid w:val="272A4E71"/>
    <w:rsid w:val="272C4A21"/>
    <w:rsid w:val="273A5C3F"/>
    <w:rsid w:val="273B6ADE"/>
    <w:rsid w:val="275554D5"/>
    <w:rsid w:val="279D398E"/>
    <w:rsid w:val="27B80983"/>
    <w:rsid w:val="27CD66DB"/>
    <w:rsid w:val="27F70507"/>
    <w:rsid w:val="2817327F"/>
    <w:rsid w:val="28395610"/>
    <w:rsid w:val="28676D94"/>
    <w:rsid w:val="287F2EC6"/>
    <w:rsid w:val="289C400E"/>
    <w:rsid w:val="28BF6579"/>
    <w:rsid w:val="28D90011"/>
    <w:rsid w:val="28E22C2F"/>
    <w:rsid w:val="28F65342"/>
    <w:rsid w:val="292A65D8"/>
    <w:rsid w:val="29322093"/>
    <w:rsid w:val="293B36DC"/>
    <w:rsid w:val="29423CBE"/>
    <w:rsid w:val="297476BF"/>
    <w:rsid w:val="29870B96"/>
    <w:rsid w:val="29E04A1D"/>
    <w:rsid w:val="2A1B6413"/>
    <w:rsid w:val="2A846F27"/>
    <w:rsid w:val="2A886FF1"/>
    <w:rsid w:val="2AB253C7"/>
    <w:rsid w:val="2AB57E9E"/>
    <w:rsid w:val="2AD84DC3"/>
    <w:rsid w:val="2AD872B4"/>
    <w:rsid w:val="2AEF2C7F"/>
    <w:rsid w:val="2AFC7CED"/>
    <w:rsid w:val="2AFE7725"/>
    <w:rsid w:val="2B0706DE"/>
    <w:rsid w:val="2B32082B"/>
    <w:rsid w:val="2B4B2633"/>
    <w:rsid w:val="2B575859"/>
    <w:rsid w:val="2B5A5DEA"/>
    <w:rsid w:val="2B69017C"/>
    <w:rsid w:val="2B7B7EAF"/>
    <w:rsid w:val="2BB71DD4"/>
    <w:rsid w:val="2C057206"/>
    <w:rsid w:val="2C07741C"/>
    <w:rsid w:val="2C1D71CD"/>
    <w:rsid w:val="2C4151B7"/>
    <w:rsid w:val="2C46687F"/>
    <w:rsid w:val="2C562B05"/>
    <w:rsid w:val="2C5E32BD"/>
    <w:rsid w:val="2C6D1F78"/>
    <w:rsid w:val="2C942F95"/>
    <w:rsid w:val="2C9E175F"/>
    <w:rsid w:val="2CA52151"/>
    <w:rsid w:val="2CA87275"/>
    <w:rsid w:val="2CBA4A07"/>
    <w:rsid w:val="2CDD4A0E"/>
    <w:rsid w:val="2CE9341F"/>
    <w:rsid w:val="2D0D48D4"/>
    <w:rsid w:val="2D2710C4"/>
    <w:rsid w:val="2D2D3275"/>
    <w:rsid w:val="2D497DF2"/>
    <w:rsid w:val="2D663E7F"/>
    <w:rsid w:val="2D8518F4"/>
    <w:rsid w:val="2D8661EA"/>
    <w:rsid w:val="2D8B72BF"/>
    <w:rsid w:val="2DA76189"/>
    <w:rsid w:val="2DEA41FB"/>
    <w:rsid w:val="2E090714"/>
    <w:rsid w:val="2E194A59"/>
    <w:rsid w:val="2E1A4EAC"/>
    <w:rsid w:val="2E2744B0"/>
    <w:rsid w:val="2EB11D52"/>
    <w:rsid w:val="2EB71FA8"/>
    <w:rsid w:val="2EC42D2F"/>
    <w:rsid w:val="2EFD7A07"/>
    <w:rsid w:val="2F095137"/>
    <w:rsid w:val="2F1D714F"/>
    <w:rsid w:val="2F335304"/>
    <w:rsid w:val="2F6F00BF"/>
    <w:rsid w:val="2F763A70"/>
    <w:rsid w:val="2F82488D"/>
    <w:rsid w:val="2FA64B80"/>
    <w:rsid w:val="2FAF543E"/>
    <w:rsid w:val="2FC371AB"/>
    <w:rsid w:val="2FD34B5B"/>
    <w:rsid w:val="2FF67B04"/>
    <w:rsid w:val="3018109B"/>
    <w:rsid w:val="30235A50"/>
    <w:rsid w:val="302A727F"/>
    <w:rsid w:val="303E5A10"/>
    <w:rsid w:val="304D6F7E"/>
    <w:rsid w:val="30561B0B"/>
    <w:rsid w:val="306E189E"/>
    <w:rsid w:val="307008BB"/>
    <w:rsid w:val="3070414A"/>
    <w:rsid w:val="307837AF"/>
    <w:rsid w:val="30873FAB"/>
    <w:rsid w:val="30AB1E19"/>
    <w:rsid w:val="30E078FE"/>
    <w:rsid w:val="310C1815"/>
    <w:rsid w:val="31114F97"/>
    <w:rsid w:val="312471E7"/>
    <w:rsid w:val="31782CAF"/>
    <w:rsid w:val="31DF7A93"/>
    <w:rsid w:val="31FA2350"/>
    <w:rsid w:val="3207269E"/>
    <w:rsid w:val="32365EB8"/>
    <w:rsid w:val="324B2A14"/>
    <w:rsid w:val="325F7707"/>
    <w:rsid w:val="326B6899"/>
    <w:rsid w:val="326F0CAF"/>
    <w:rsid w:val="327015D3"/>
    <w:rsid w:val="32933712"/>
    <w:rsid w:val="32B07654"/>
    <w:rsid w:val="32C13380"/>
    <w:rsid w:val="32E77493"/>
    <w:rsid w:val="332924F5"/>
    <w:rsid w:val="335E5CD2"/>
    <w:rsid w:val="33726344"/>
    <w:rsid w:val="337F0E2B"/>
    <w:rsid w:val="339A7D0A"/>
    <w:rsid w:val="33C66C8F"/>
    <w:rsid w:val="33C803EC"/>
    <w:rsid w:val="33C96759"/>
    <w:rsid w:val="33D07485"/>
    <w:rsid w:val="33DF4510"/>
    <w:rsid w:val="33F20F2A"/>
    <w:rsid w:val="33FB7DDF"/>
    <w:rsid w:val="3401164F"/>
    <w:rsid w:val="34022123"/>
    <w:rsid w:val="343A7E40"/>
    <w:rsid w:val="343C732F"/>
    <w:rsid w:val="343F0519"/>
    <w:rsid w:val="34777188"/>
    <w:rsid w:val="347A2C1E"/>
    <w:rsid w:val="34827ADC"/>
    <w:rsid w:val="34856DB9"/>
    <w:rsid w:val="34A03DA1"/>
    <w:rsid w:val="34C05C2C"/>
    <w:rsid w:val="34E03C50"/>
    <w:rsid w:val="350E432D"/>
    <w:rsid w:val="3522062B"/>
    <w:rsid w:val="352660D9"/>
    <w:rsid w:val="353B029B"/>
    <w:rsid w:val="35410549"/>
    <w:rsid w:val="35484737"/>
    <w:rsid w:val="3554290A"/>
    <w:rsid w:val="357E6FD1"/>
    <w:rsid w:val="358D5123"/>
    <w:rsid w:val="360E412D"/>
    <w:rsid w:val="364A24B6"/>
    <w:rsid w:val="365B4B65"/>
    <w:rsid w:val="36647EB9"/>
    <w:rsid w:val="36697252"/>
    <w:rsid w:val="367C1894"/>
    <w:rsid w:val="368A57DF"/>
    <w:rsid w:val="36A56119"/>
    <w:rsid w:val="36B167E4"/>
    <w:rsid w:val="36BD28DB"/>
    <w:rsid w:val="36C97071"/>
    <w:rsid w:val="36D27F85"/>
    <w:rsid w:val="36D50DB9"/>
    <w:rsid w:val="36D96EDE"/>
    <w:rsid w:val="36F47289"/>
    <w:rsid w:val="370666B6"/>
    <w:rsid w:val="37220FC2"/>
    <w:rsid w:val="372F6108"/>
    <w:rsid w:val="377214E8"/>
    <w:rsid w:val="37862E84"/>
    <w:rsid w:val="37AF3FEE"/>
    <w:rsid w:val="37F07439"/>
    <w:rsid w:val="37FF7451"/>
    <w:rsid w:val="38064FA4"/>
    <w:rsid w:val="381A11ED"/>
    <w:rsid w:val="384523F2"/>
    <w:rsid w:val="38575800"/>
    <w:rsid w:val="385F3CC8"/>
    <w:rsid w:val="38A31056"/>
    <w:rsid w:val="38D14BAE"/>
    <w:rsid w:val="38D94FF8"/>
    <w:rsid w:val="38FF73E9"/>
    <w:rsid w:val="392F3EDF"/>
    <w:rsid w:val="398F43C6"/>
    <w:rsid w:val="399177DC"/>
    <w:rsid w:val="39994E95"/>
    <w:rsid w:val="39A105E9"/>
    <w:rsid w:val="39AB2A00"/>
    <w:rsid w:val="39C656D7"/>
    <w:rsid w:val="39E319A4"/>
    <w:rsid w:val="39E43EB9"/>
    <w:rsid w:val="39FA244A"/>
    <w:rsid w:val="3A061A3B"/>
    <w:rsid w:val="3A0636E9"/>
    <w:rsid w:val="3A2C3E02"/>
    <w:rsid w:val="3A7D39C5"/>
    <w:rsid w:val="3AAD7671"/>
    <w:rsid w:val="3AD60D98"/>
    <w:rsid w:val="3AFD0385"/>
    <w:rsid w:val="3B001CCA"/>
    <w:rsid w:val="3B0332E7"/>
    <w:rsid w:val="3B0911E6"/>
    <w:rsid w:val="3B1C57B2"/>
    <w:rsid w:val="3B305869"/>
    <w:rsid w:val="3B3B1C9B"/>
    <w:rsid w:val="3B496345"/>
    <w:rsid w:val="3B6A1A68"/>
    <w:rsid w:val="3B6B5099"/>
    <w:rsid w:val="3B87005B"/>
    <w:rsid w:val="3B902053"/>
    <w:rsid w:val="3BAD25DA"/>
    <w:rsid w:val="3BBD2733"/>
    <w:rsid w:val="3BC66196"/>
    <w:rsid w:val="3BD92149"/>
    <w:rsid w:val="3BF1547D"/>
    <w:rsid w:val="3C1E0393"/>
    <w:rsid w:val="3C2577C6"/>
    <w:rsid w:val="3C364171"/>
    <w:rsid w:val="3C744C18"/>
    <w:rsid w:val="3CAC1FA7"/>
    <w:rsid w:val="3CC750D9"/>
    <w:rsid w:val="3CD4535C"/>
    <w:rsid w:val="3CD47E60"/>
    <w:rsid w:val="3CE92652"/>
    <w:rsid w:val="3D304760"/>
    <w:rsid w:val="3D4B5F1A"/>
    <w:rsid w:val="3D5D315C"/>
    <w:rsid w:val="3D70539A"/>
    <w:rsid w:val="3D735430"/>
    <w:rsid w:val="3D794BE3"/>
    <w:rsid w:val="3DCF2323"/>
    <w:rsid w:val="3DDF7630"/>
    <w:rsid w:val="3E292D05"/>
    <w:rsid w:val="3E2E4EC5"/>
    <w:rsid w:val="3E603030"/>
    <w:rsid w:val="3E92361A"/>
    <w:rsid w:val="3E941F30"/>
    <w:rsid w:val="3E9D1661"/>
    <w:rsid w:val="3EA57E41"/>
    <w:rsid w:val="3EAF6883"/>
    <w:rsid w:val="3EC7742B"/>
    <w:rsid w:val="3EDF43A1"/>
    <w:rsid w:val="3EF34430"/>
    <w:rsid w:val="3F48456C"/>
    <w:rsid w:val="3F495391"/>
    <w:rsid w:val="3F587059"/>
    <w:rsid w:val="3F892B0E"/>
    <w:rsid w:val="3F8E3458"/>
    <w:rsid w:val="3F8F416A"/>
    <w:rsid w:val="3FAC5D6A"/>
    <w:rsid w:val="3FF664DD"/>
    <w:rsid w:val="40076DAF"/>
    <w:rsid w:val="40551718"/>
    <w:rsid w:val="40BF4E05"/>
    <w:rsid w:val="40D043A1"/>
    <w:rsid w:val="411F25C7"/>
    <w:rsid w:val="41D3417C"/>
    <w:rsid w:val="41DC634A"/>
    <w:rsid w:val="41F97BB5"/>
    <w:rsid w:val="420A6E05"/>
    <w:rsid w:val="42493F55"/>
    <w:rsid w:val="42557857"/>
    <w:rsid w:val="4260284A"/>
    <w:rsid w:val="42817A5C"/>
    <w:rsid w:val="42B809A5"/>
    <w:rsid w:val="42C20897"/>
    <w:rsid w:val="42C2516F"/>
    <w:rsid w:val="42D83A36"/>
    <w:rsid w:val="42F71237"/>
    <w:rsid w:val="4323183B"/>
    <w:rsid w:val="43432ECC"/>
    <w:rsid w:val="437C019B"/>
    <w:rsid w:val="437E1E93"/>
    <w:rsid w:val="438216A4"/>
    <w:rsid w:val="43A51688"/>
    <w:rsid w:val="43BB59F2"/>
    <w:rsid w:val="43D76BD2"/>
    <w:rsid w:val="440D2682"/>
    <w:rsid w:val="441C78B8"/>
    <w:rsid w:val="444E1587"/>
    <w:rsid w:val="445D1832"/>
    <w:rsid w:val="446332EA"/>
    <w:rsid w:val="44944E80"/>
    <w:rsid w:val="44D51E4A"/>
    <w:rsid w:val="44EF0953"/>
    <w:rsid w:val="44F608DF"/>
    <w:rsid w:val="45320E4E"/>
    <w:rsid w:val="454F78C2"/>
    <w:rsid w:val="4554231A"/>
    <w:rsid w:val="457A458F"/>
    <w:rsid w:val="45854404"/>
    <w:rsid w:val="459F0EDF"/>
    <w:rsid w:val="45A75D52"/>
    <w:rsid w:val="45AD537D"/>
    <w:rsid w:val="45C35A65"/>
    <w:rsid w:val="45C949EF"/>
    <w:rsid w:val="45D149DF"/>
    <w:rsid w:val="45E365E3"/>
    <w:rsid w:val="45F66D93"/>
    <w:rsid w:val="45FB5B2D"/>
    <w:rsid w:val="46190610"/>
    <w:rsid w:val="462907DC"/>
    <w:rsid w:val="463B4A7C"/>
    <w:rsid w:val="464B5DC3"/>
    <w:rsid w:val="465848A1"/>
    <w:rsid w:val="4666290D"/>
    <w:rsid w:val="466D2592"/>
    <w:rsid w:val="469429F8"/>
    <w:rsid w:val="469F6918"/>
    <w:rsid w:val="46C7392C"/>
    <w:rsid w:val="46DE7CD6"/>
    <w:rsid w:val="46F6477A"/>
    <w:rsid w:val="46FE6849"/>
    <w:rsid w:val="471805EA"/>
    <w:rsid w:val="471A2A66"/>
    <w:rsid w:val="471C03F9"/>
    <w:rsid w:val="472D26D6"/>
    <w:rsid w:val="473145F6"/>
    <w:rsid w:val="473B56EE"/>
    <w:rsid w:val="47415BA7"/>
    <w:rsid w:val="4742580A"/>
    <w:rsid w:val="47563AFE"/>
    <w:rsid w:val="475C14A6"/>
    <w:rsid w:val="476A59FF"/>
    <w:rsid w:val="47731BD0"/>
    <w:rsid w:val="47785046"/>
    <w:rsid w:val="4781333C"/>
    <w:rsid w:val="4791240D"/>
    <w:rsid w:val="47AB0DF7"/>
    <w:rsid w:val="47B47F78"/>
    <w:rsid w:val="47DB3AD2"/>
    <w:rsid w:val="481276E8"/>
    <w:rsid w:val="481B3258"/>
    <w:rsid w:val="48554282"/>
    <w:rsid w:val="486726B7"/>
    <w:rsid w:val="486A78E9"/>
    <w:rsid w:val="4871662B"/>
    <w:rsid w:val="48895761"/>
    <w:rsid w:val="48977A58"/>
    <w:rsid w:val="48A36C7C"/>
    <w:rsid w:val="48EB1FE9"/>
    <w:rsid w:val="48F06E9C"/>
    <w:rsid w:val="49014E2B"/>
    <w:rsid w:val="490913F6"/>
    <w:rsid w:val="491C76A2"/>
    <w:rsid w:val="49710197"/>
    <w:rsid w:val="49802A51"/>
    <w:rsid w:val="49975C79"/>
    <w:rsid w:val="49BD0AEA"/>
    <w:rsid w:val="49BE28CA"/>
    <w:rsid w:val="49C35B92"/>
    <w:rsid w:val="49FB02FC"/>
    <w:rsid w:val="4A0324B3"/>
    <w:rsid w:val="4A08255B"/>
    <w:rsid w:val="4A6E3956"/>
    <w:rsid w:val="4A8571F4"/>
    <w:rsid w:val="4A873352"/>
    <w:rsid w:val="4AB3145E"/>
    <w:rsid w:val="4AB42320"/>
    <w:rsid w:val="4AC71EB0"/>
    <w:rsid w:val="4AD25863"/>
    <w:rsid w:val="4B6551FB"/>
    <w:rsid w:val="4B96350F"/>
    <w:rsid w:val="4B9A6686"/>
    <w:rsid w:val="4BBA2890"/>
    <w:rsid w:val="4BD62F9A"/>
    <w:rsid w:val="4BFC52F4"/>
    <w:rsid w:val="4BFD56FB"/>
    <w:rsid w:val="4C0D09E6"/>
    <w:rsid w:val="4C0E5FCB"/>
    <w:rsid w:val="4C1F2E7F"/>
    <w:rsid w:val="4C3D3DF8"/>
    <w:rsid w:val="4C3E44E4"/>
    <w:rsid w:val="4C5A702F"/>
    <w:rsid w:val="4C730EA7"/>
    <w:rsid w:val="4CA42BB5"/>
    <w:rsid w:val="4CAF36BC"/>
    <w:rsid w:val="4CD25AC5"/>
    <w:rsid w:val="4CEC603F"/>
    <w:rsid w:val="4CF21890"/>
    <w:rsid w:val="4D134BD5"/>
    <w:rsid w:val="4D147203"/>
    <w:rsid w:val="4D231310"/>
    <w:rsid w:val="4D2E60E3"/>
    <w:rsid w:val="4D3006A2"/>
    <w:rsid w:val="4D303CCD"/>
    <w:rsid w:val="4D754416"/>
    <w:rsid w:val="4D812256"/>
    <w:rsid w:val="4D87560F"/>
    <w:rsid w:val="4D9E2C43"/>
    <w:rsid w:val="4DBE32EF"/>
    <w:rsid w:val="4DDB3621"/>
    <w:rsid w:val="4DF35554"/>
    <w:rsid w:val="4E021EB1"/>
    <w:rsid w:val="4E6B6E41"/>
    <w:rsid w:val="4E7F7D35"/>
    <w:rsid w:val="4E9253A6"/>
    <w:rsid w:val="4EC454A1"/>
    <w:rsid w:val="4EDF1038"/>
    <w:rsid w:val="4EF91953"/>
    <w:rsid w:val="4EF94AC3"/>
    <w:rsid w:val="4F6B03BF"/>
    <w:rsid w:val="4F843D25"/>
    <w:rsid w:val="4FB37D58"/>
    <w:rsid w:val="4FC93118"/>
    <w:rsid w:val="4FCC508E"/>
    <w:rsid w:val="4FF31BBA"/>
    <w:rsid w:val="5007302C"/>
    <w:rsid w:val="5031768D"/>
    <w:rsid w:val="504E44A1"/>
    <w:rsid w:val="50DA14F7"/>
    <w:rsid w:val="50DE7320"/>
    <w:rsid w:val="50E177A6"/>
    <w:rsid w:val="51151F25"/>
    <w:rsid w:val="51196930"/>
    <w:rsid w:val="51237D2E"/>
    <w:rsid w:val="51266F6D"/>
    <w:rsid w:val="514E7348"/>
    <w:rsid w:val="51512233"/>
    <w:rsid w:val="51935A63"/>
    <w:rsid w:val="51937DEA"/>
    <w:rsid w:val="519E1B03"/>
    <w:rsid w:val="51A8518B"/>
    <w:rsid w:val="51CD01CB"/>
    <w:rsid w:val="51E23031"/>
    <w:rsid w:val="51E60C5B"/>
    <w:rsid w:val="51E717F1"/>
    <w:rsid w:val="51FF7A45"/>
    <w:rsid w:val="520410A5"/>
    <w:rsid w:val="52097713"/>
    <w:rsid w:val="5251752C"/>
    <w:rsid w:val="525967BF"/>
    <w:rsid w:val="525E649B"/>
    <w:rsid w:val="5269418D"/>
    <w:rsid w:val="5279675E"/>
    <w:rsid w:val="52B15409"/>
    <w:rsid w:val="52DE4579"/>
    <w:rsid w:val="531E4C24"/>
    <w:rsid w:val="533A0663"/>
    <w:rsid w:val="53612521"/>
    <w:rsid w:val="539443E3"/>
    <w:rsid w:val="53A768F2"/>
    <w:rsid w:val="53F14C59"/>
    <w:rsid w:val="53F3657F"/>
    <w:rsid w:val="54103BF9"/>
    <w:rsid w:val="54160288"/>
    <w:rsid w:val="543419E9"/>
    <w:rsid w:val="548475FE"/>
    <w:rsid w:val="548B6C5C"/>
    <w:rsid w:val="54C73FBF"/>
    <w:rsid w:val="54D413B8"/>
    <w:rsid w:val="54E43AFF"/>
    <w:rsid w:val="54E766AF"/>
    <w:rsid w:val="55200136"/>
    <w:rsid w:val="55852ADB"/>
    <w:rsid w:val="558624F4"/>
    <w:rsid w:val="55965550"/>
    <w:rsid w:val="559F5B7A"/>
    <w:rsid w:val="55C077CA"/>
    <w:rsid w:val="55D1587F"/>
    <w:rsid w:val="55D4502F"/>
    <w:rsid w:val="55EF0CE8"/>
    <w:rsid w:val="55F31C41"/>
    <w:rsid w:val="55F47291"/>
    <w:rsid w:val="56091739"/>
    <w:rsid w:val="565E68F9"/>
    <w:rsid w:val="566442D9"/>
    <w:rsid w:val="56686B67"/>
    <w:rsid w:val="56EC69FC"/>
    <w:rsid w:val="57074F18"/>
    <w:rsid w:val="571651EF"/>
    <w:rsid w:val="573E3DB0"/>
    <w:rsid w:val="574127B6"/>
    <w:rsid w:val="57443494"/>
    <w:rsid w:val="574F6831"/>
    <w:rsid w:val="57874D27"/>
    <w:rsid w:val="57DC6531"/>
    <w:rsid w:val="58154293"/>
    <w:rsid w:val="585F19CC"/>
    <w:rsid w:val="585F66A5"/>
    <w:rsid w:val="58982D68"/>
    <w:rsid w:val="58AE61CC"/>
    <w:rsid w:val="58AF2E9F"/>
    <w:rsid w:val="58D4319A"/>
    <w:rsid w:val="5903488B"/>
    <w:rsid w:val="591D5698"/>
    <w:rsid w:val="592A208F"/>
    <w:rsid w:val="592F6FA9"/>
    <w:rsid w:val="59407485"/>
    <w:rsid w:val="594076DC"/>
    <w:rsid w:val="59476A66"/>
    <w:rsid w:val="595823EF"/>
    <w:rsid w:val="596461F5"/>
    <w:rsid w:val="598451C7"/>
    <w:rsid w:val="59A6736A"/>
    <w:rsid w:val="59AF2530"/>
    <w:rsid w:val="59C81783"/>
    <w:rsid w:val="59D26CD0"/>
    <w:rsid w:val="59DF7D2A"/>
    <w:rsid w:val="5A0A5710"/>
    <w:rsid w:val="5A0E1B4B"/>
    <w:rsid w:val="5A21156A"/>
    <w:rsid w:val="5A221942"/>
    <w:rsid w:val="5A2C4568"/>
    <w:rsid w:val="5A312487"/>
    <w:rsid w:val="5A5E224A"/>
    <w:rsid w:val="5A8137AF"/>
    <w:rsid w:val="5A8E4C59"/>
    <w:rsid w:val="5ABA1897"/>
    <w:rsid w:val="5B556B4B"/>
    <w:rsid w:val="5B763405"/>
    <w:rsid w:val="5BA15428"/>
    <w:rsid w:val="5BB23B5A"/>
    <w:rsid w:val="5BC14D25"/>
    <w:rsid w:val="5BDB5BEC"/>
    <w:rsid w:val="5BE0492F"/>
    <w:rsid w:val="5BEA5DCE"/>
    <w:rsid w:val="5C08720C"/>
    <w:rsid w:val="5C116A97"/>
    <w:rsid w:val="5C427E37"/>
    <w:rsid w:val="5C602C23"/>
    <w:rsid w:val="5C6F4841"/>
    <w:rsid w:val="5C7D5081"/>
    <w:rsid w:val="5C82091C"/>
    <w:rsid w:val="5C8735BF"/>
    <w:rsid w:val="5C883263"/>
    <w:rsid w:val="5C8E34A7"/>
    <w:rsid w:val="5CD87D14"/>
    <w:rsid w:val="5D142B37"/>
    <w:rsid w:val="5D252479"/>
    <w:rsid w:val="5D2F1EF0"/>
    <w:rsid w:val="5D3759FF"/>
    <w:rsid w:val="5D784DCE"/>
    <w:rsid w:val="5D8D3122"/>
    <w:rsid w:val="5D8E7E8B"/>
    <w:rsid w:val="5DEE7E37"/>
    <w:rsid w:val="5DEF48FB"/>
    <w:rsid w:val="5DF265F6"/>
    <w:rsid w:val="5DFC25F6"/>
    <w:rsid w:val="5E3B4CE0"/>
    <w:rsid w:val="5E3C4585"/>
    <w:rsid w:val="5E6428F2"/>
    <w:rsid w:val="5E6B7CA5"/>
    <w:rsid w:val="5EA7453C"/>
    <w:rsid w:val="5EC800B2"/>
    <w:rsid w:val="5EDF42AC"/>
    <w:rsid w:val="5EE16635"/>
    <w:rsid w:val="5EEF7822"/>
    <w:rsid w:val="5EF80BA4"/>
    <w:rsid w:val="5EFE0751"/>
    <w:rsid w:val="5F0C48FF"/>
    <w:rsid w:val="5F3A18F5"/>
    <w:rsid w:val="5F822590"/>
    <w:rsid w:val="5F9F0352"/>
    <w:rsid w:val="5FF24FD6"/>
    <w:rsid w:val="5FFC52A9"/>
    <w:rsid w:val="5FFF3FF3"/>
    <w:rsid w:val="600128D7"/>
    <w:rsid w:val="60265EBF"/>
    <w:rsid w:val="602B0BD5"/>
    <w:rsid w:val="602F7576"/>
    <w:rsid w:val="60317DF6"/>
    <w:rsid w:val="60865C34"/>
    <w:rsid w:val="60976052"/>
    <w:rsid w:val="60A027A4"/>
    <w:rsid w:val="60A9153E"/>
    <w:rsid w:val="60B91430"/>
    <w:rsid w:val="61020C17"/>
    <w:rsid w:val="612A65CB"/>
    <w:rsid w:val="612D1A7D"/>
    <w:rsid w:val="616A76ED"/>
    <w:rsid w:val="61787F54"/>
    <w:rsid w:val="61973FCF"/>
    <w:rsid w:val="61B9596F"/>
    <w:rsid w:val="61C0205B"/>
    <w:rsid w:val="61D70680"/>
    <w:rsid w:val="61F71E87"/>
    <w:rsid w:val="61FB1489"/>
    <w:rsid w:val="620F67EC"/>
    <w:rsid w:val="6245659C"/>
    <w:rsid w:val="625C74BD"/>
    <w:rsid w:val="62627429"/>
    <w:rsid w:val="626D5A4E"/>
    <w:rsid w:val="626F590C"/>
    <w:rsid w:val="627915D4"/>
    <w:rsid w:val="62791C6E"/>
    <w:rsid w:val="629B31C2"/>
    <w:rsid w:val="62B110A2"/>
    <w:rsid w:val="62BF6EC8"/>
    <w:rsid w:val="62CA59B1"/>
    <w:rsid w:val="62E73862"/>
    <w:rsid w:val="62FD69DA"/>
    <w:rsid w:val="631141BF"/>
    <w:rsid w:val="633D2BA7"/>
    <w:rsid w:val="63485C21"/>
    <w:rsid w:val="635F0CDB"/>
    <w:rsid w:val="63B90BAF"/>
    <w:rsid w:val="63D964CB"/>
    <w:rsid w:val="63DF01E1"/>
    <w:rsid w:val="63E01C96"/>
    <w:rsid w:val="63E16C2B"/>
    <w:rsid w:val="6407617A"/>
    <w:rsid w:val="641E13AB"/>
    <w:rsid w:val="64374225"/>
    <w:rsid w:val="64460FA7"/>
    <w:rsid w:val="64471245"/>
    <w:rsid w:val="64551292"/>
    <w:rsid w:val="646C5D5E"/>
    <w:rsid w:val="647C416F"/>
    <w:rsid w:val="64811D01"/>
    <w:rsid w:val="648E0CC6"/>
    <w:rsid w:val="64AA13C2"/>
    <w:rsid w:val="64AE3C3D"/>
    <w:rsid w:val="64C23E7D"/>
    <w:rsid w:val="64E61BEE"/>
    <w:rsid w:val="64E624B6"/>
    <w:rsid w:val="64EF292A"/>
    <w:rsid w:val="64F403D3"/>
    <w:rsid w:val="65094CA5"/>
    <w:rsid w:val="65285389"/>
    <w:rsid w:val="656D720C"/>
    <w:rsid w:val="658A09A8"/>
    <w:rsid w:val="659B5144"/>
    <w:rsid w:val="65B456E9"/>
    <w:rsid w:val="65BC6B1F"/>
    <w:rsid w:val="65C663D9"/>
    <w:rsid w:val="65C821A5"/>
    <w:rsid w:val="65F86CC8"/>
    <w:rsid w:val="65FE5949"/>
    <w:rsid w:val="66063E6E"/>
    <w:rsid w:val="66094538"/>
    <w:rsid w:val="661013CA"/>
    <w:rsid w:val="662D3495"/>
    <w:rsid w:val="66354252"/>
    <w:rsid w:val="66650F64"/>
    <w:rsid w:val="666839E8"/>
    <w:rsid w:val="666B10A2"/>
    <w:rsid w:val="668167CA"/>
    <w:rsid w:val="66827D25"/>
    <w:rsid w:val="66A7352E"/>
    <w:rsid w:val="66A76785"/>
    <w:rsid w:val="66AD1797"/>
    <w:rsid w:val="66D9246B"/>
    <w:rsid w:val="66E05BD7"/>
    <w:rsid w:val="66EB374E"/>
    <w:rsid w:val="670F7F24"/>
    <w:rsid w:val="67472418"/>
    <w:rsid w:val="67590B78"/>
    <w:rsid w:val="675F1FB6"/>
    <w:rsid w:val="678D1A58"/>
    <w:rsid w:val="67997863"/>
    <w:rsid w:val="67D20654"/>
    <w:rsid w:val="67D37FA9"/>
    <w:rsid w:val="67ED44E4"/>
    <w:rsid w:val="682560DB"/>
    <w:rsid w:val="684E012A"/>
    <w:rsid w:val="68725BBA"/>
    <w:rsid w:val="68731759"/>
    <w:rsid w:val="688D6E28"/>
    <w:rsid w:val="68AA326C"/>
    <w:rsid w:val="68D42608"/>
    <w:rsid w:val="691E2698"/>
    <w:rsid w:val="692E7C4F"/>
    <w:rsid w:val="693862AF"/>
    <w:rsid w:val="69513F80"/>
    <w:rsid w:val="69892DD9"/>
    <w:rsid w:val="698F6CBE"/>
    <w:rsid w:val="699C03E1"/>
    <w:rsid w:val="69AB2D6B"/>
    <w:rsid w:val="69B35074"/>
    <w:rsid w:val="69BC7E73"/>
    <w:rsid w:val="69C208A8"/>
    <w:rsid w:val="69C45FA2"/>
    <w:rsid w:val="69C956EA"/>
    <w:rsid w:val="6A294785"/>
    <w:rsid w:val="6A385E52"/>
    <w:rsid w:val="6A4F4C12"/>
    <w:rsid w:val="6AC7350B"/>
    <w:rsid w:val="6AC771D0"/>
    <w:rsid w:val="6AEF4F14"/>
    <w:rsid w:val="6B002DB9"/>
    <w:rsid w:val="6B4828A5"/>
    <w:rsid w:val="6B4E45EC"/>
    <w:rsid w:val="6B7A5565"/>
    <w:rsid w:val="6B867D33"/>
    <w:rsid w:val="6B8E3FA0"/>
    <w:rsid w:val="6BC333DB"/>
    <w:rsid w:val="6BDFC473"/>
    <w:rsid w:val="6BE31711"/>
    <w:rsid w:val="6BE956B3"/>
    <w:rsid w:val="6BEF2C93"/>
    <w:rsid w:val="6BF73E01"/>
    <w:rsid w:val="6C187B15"/>
    <w:rsid w:val="6C230991"/>
    <w:rsid w:val="6C403D92"/>
    <w:rsid w:val="6C436D34"/>
    <w:rsid w:val="6C687BEB"/>
    <w:rsid w:val="6C783074"/>
    <w:rsid w:val="6CA44C94"/>
    <w:rsid w:val="6CE07F29"/>
    <w:rsid w:val="6CE56250"/>
    <w:rsid w:val="6D5A2765"/>
    <w:rsid w:val="6D6B59F2"/>
    <w:rsid w:val="6D73577F"/>
    <w:rsid w:val="6D737000"/>
    <w:rsid w:val="6DAA59BA"/>
    <w:rsid w:val="6DAB17F7"/>
    <w:rsid w:val="6DC30630"/>
    <w:rsid w:val="6DD726CA"/>
    <w:rsid w:val="6DE43B5D"/>
    <w:rsid w:val="6DFF5B0D"/>
    <w:rsid w:val="6E4D50B9"/>
    <w:rsid w:val="6E4F0506"/>
    <w:rsid w:val="6E5967B9"/>
    <w:rsid w:val="6E612BCD"/>
    <w:rsid w:val="6E813859"/>
    <w:rsid w:val="6EA16692"/>
    <w:rsid w:val="6EB26C3D"/>
    <w:rsid w:val="6F205941"/>
    <w:rsid w:val="6F8011C4"/>
    <w:rsid w:val="6FBB7E47"/>
    <w:rsid w:val="6FBF609B"/>
    <w:rsid w:val="6FC10BB2"/>
    <w:rsid w:val="6FC733A2"/>
    <w:rsid w:val="6FCF6002"/>
    <w:rsid w:val="6FE00C06"/>
    <w:rsid w:val="6FEA50D6"/>
    <w:rsid w:val="700E2DED"/>
    <w:rsid w:val="704476BC"/>
    <w:rsid w:val="70483B44"/>
    <w:rsid w:val="704D5DCD"/>
    <w:rsid w:val="70577F08"/>
    <w:rsid w:val="706332AE"/>
    <w:rsid w:val="70970C45"/>
    <w:rsid w:val="70DD2E8D"/>
    <w:rsid w:val="70E2512E"/>
    <w:rsid w:val="70E57245"/>
    <w:rsid w:val="70FB0F30"/>
    <w:rsid w:val="71037C95"/>
    <w:rsid w:val="7117547A"/>
    <w:rsid w:val="71301A47"/>
    <w:rsid w:val="71560F55"/>
    <w:rsid w:val="716F40E8"/>
    <w:rsid w:val="71803E88"/>
    <w:rsid w:val="71993415"/>
    <w:rsid w:val="719D0B20"/>
    <w:rsid w:val="71AA48DB"/>
    <w:rsid w:val="71B302D5"/>
    <w:rsid w:val="71CA62CE"/>
    <w:rsid w:val="71FC7BE0"/>
    <w:rsid w:val="722E2B52"/>
    <w:rsid w:val="723D1AC4"/>
    <w:rsid w:val="725E6713"/>
    <w:rsid w:val="72745145"/>
    <w:rsid w:val="72AD72E8"/>
    <w:rsid w:val="72E5585D"/>
    <w:rsid w:val="72EF1650"/>
    <w:rsid w:val="72FA61BE"/>
    <w:rsid w:val="73192D6C"/>
    <w:rsid w:val="73263C33"/>
    <w:rsid w:val="73534607"/>
    <w:rsid w:val="735D1848"/>
    <w:rsid w:val="73930709"/>
    <w:rsid w:val="73A3477D"/>
    <w:rsid w:val="73BFC59A"/>
    <w:rsid w:val="73DD1CA1"/>
    <w:rsid w:val="73E44D0F"/>
    <w:rsid w:val="7404143B"/>
    <w:rsid w:val="74180D9F"/>
    <w:rsid w:val="744A1CA1"/>
    <w:rsid w:val="7460768F"/>
    <w:rsid w:val="7463018C"/>
    <w:rsid w:val="747169C8"/>
    <w:rsid w:val="747E21A4"/>
    <w:rsid w:val="74892243"/>
    <w:rsid w:val="74964153"/>
    <w:rsid w:val="74B159CC"/>
    <w:rsid w:val="74C45759"/>
    <w:rsid w:val="74C46AF7"/>
    <w:rsid w:val="74CB6BAB"/>
    <w:rsid w:val="750061C9"/>
    <w:rsid w:val="751E6F30"/>
    <w:rsid w:val="752F3ED9"/>
    <w:rsid w:val="75350194"/>
    <w:rsid w:val="7566482B"/>
    <w:rsid w:val="7575513A"/>
    <w:rsid w:val="75887FA9"/>
    <w:rsid w:val="75890323"/>
    <w:rsid w:val="758903BD"/>
    <w:rsid w:val="75B312CC"/>
    <w:rsid w:val="75EC0074"/>
    <w:rsid w:val="762A506B"/>
    <w:rsid w:val="762B1882"/>
    <w:rsid w:val="764D4710"/>
    <w:rsid w:val="76592DDA"/>
    <w:rsid w:val="76913E01"/>
    <w:rsid w:val="76A9128B"/>
    <w:rsid w:val="76B729EE"/>
    <w:rsid w:val="76F459ED"/>
    <w:rsid w:val="770E7A7F"/>
    <w:rsid w:val="770F484F"/>
    <w:rsid w:val="77597671"/>
    <w:rsid w:val="776A72A3"/>
    <w:rsid w:val="778147E4"/>
    <w:rsid w:val="77AF0DED"/>
    <w:rsid w:val="77BB4FCC"/>
    <w:rsid w:val="77F55C80"/>
    <w:rsid w:val="780761D6"/>
    <w:rsid w:val="781E5C42"/>
    <w:rsid w:val="78240358"/>
    <w:rsid w:val="783C557E"/>
    <w:rsid w:val="78476FE9"/>
    <w:rsid w:val="78561BCA"/>
    <w:rsid w:val="78733A5F"/>
    <w:rsid w:val="788E4559"/>
    <w:rsid w:val="789E3D88"/>
    <w:rsid w:val="78A44B63"/>
    <w:rsid w:val="78A501F4"/>
    <w:rsid w:val="78B26191"/>
    <w:rsid w:val="78B7777B"/>
    <w:rsid w:val="78C5495A"/>
    <w:rsid w:val="78C63AB1"/>
    <w:rsid w:val="78DB5F7A"/>
    <w:rsid w:val="78E52D4B"/>
    <w:rsid w:val="78EF3943"/>
    <w:rsid w:val="78F22F1D"/>
    <w:rsid w:val="79047074"/>
    <w:rsid w:val="79110144"/>
    <w:rsid w:val="79165D8E"/>
    <w:rsid w:val="792C7B1C"/>
    <w:rsid w:val="79365D23"/>
    <w:rsid w:val="7941716A"/>
    <w:rsid w:val="79501ED7"/>
    <w:rsid w:val="795C49CC"/>
    <w:rsid w:val="796B11C3"/>
    <w:rsid w:val="79725F32"/>
    <w:rsid w:val="79735A39"/>
    <w:rsid w:val="79790747"/>
    <w:rsid w:val="79A17F37"/>
    <w:rsid w:val="79BB270F"/>
    <w:rsid w:val="79E33B70"/>
    <w:rsid w:val="79EB04D4"/>
    <w:rsid w:val="79F45CC1"/>
    <w:rsid w:val="79FF575B"/>
    <w:rsid w:val="7A094227"/>
    <w:rsid w:val="7A426292"/>
    <w:rsid w:val="7A426386"/>
    <w:rsid w:val="7A431FA0"/>
    <w:rsid w:val="7A4A7503"/>
    <w:rsid w:val="7A636281"/>
    <w:rsid w:val="7A983DCD"/>
    <w:rsid w:val="7AA72164"/>
    <w:rsid w:val="7AB818FD"/>
    <w:rsid w:val="7ADA7A89"/>
    <w:rsid w:val="7B1115C5"/>
    <w:rsid w:val="7B2C71D8"/>
    <w:rsid w:val="7B5551B6"/>
    <w:rsid w:val="7B5573A2"/>
    <w:rsid w:val="7B5D6256"/>
    <w:rsid w:val="7B603BC0"/>
    <w:rsid w:val="7B6334FC"/>
    <w:rsid w:val="7B695904"/>
    <w:rsid w:val="7B763128"/>
    <w:rsid w:val="7B763940"/>
    <w:rsid w:val="7B8008AE"/>
    <w:rsid w:val="7B8038CC"/>
    <w:rsid w:val="7B812306"/>
    <w:rsid w:val="7BA05750"/>
    <w:rsid w:val="7BC437DD"/>
    <w:rsid w:val="7BD52323"/>
    <w:rsid w:val="7C141DD7"/>
    <w:rsid w:val="7C331CAB"/>
    <w:rsid w:val="7C4C347A"/>
    <w:rsid w:val="7C594163"/>
    <w:rsid w:val="7C7A2537"/>
    <w:rsid w:val="7C7C54C8"/>
    <w:rsid w:val="7C966F9B"/>
    <w:rsid w:val="7C9B3417"/>
    <w:rsid w:val="7CA61704"/>
    <w:rsid w:val="7CD95239"/>
    <w:rsid w:val="7CDA1DE4"/>
    <w:rsid w:val="7D070B58"/>
    <w:rsid w:val="7D08374B"/>
    <w:rsid w:val="7D45265E"/>
    <w:rsid w:val="7D8064AF"/>
    <w:rsid w:val="7DC74949"/>
    <w:rsid w:val="7DCC57C0"/>
    <w:rsid w:val="7E0F43DF"/>
    <w:rsid w:val="7E4D5DC2"/>
    <w:rsid w:val="7E6D684F"/>
    <w:rsid w:val="7E761DB4"/>
    <w:rsid w:val="7E7D4C3C"/>
    <w:rsid w:val="7EB2722A"/>
    <w:rsid w:val="7EB378B9"/>
    <w:rsid w:val="7EB476E6"/>
    <w:rsid w:val="7EBA57DE"/>
    <w:rsid w:val="7EC37706"/>
    <w:rsid w:val="7ED026CE"/>
    <w:rsid w:val="7EE13909"/>
    <w:rsid w:val="7F0C7452"/>
    <w:rsid w:val="7F1D6B1B"/>
    <w:rsid w:val="7F605361"/>
    <w:rsid w:val="7F7052A0"/>
    <w:rsid w:val="7F946C96"/>
    <w:rsid w:val="7F992922"/>
    <w:rsid w:val="7FB47D79"/>
    <w:rsid w:val="7FC43B94"/>
    <w:rsid w:val="7FF2666D"/>
    <w:rsid w:val="9DFF183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qFormat="1" w:unhideWhenUsed="0" w:uiPriority="0" w:semiHidden="0" w:name="Body Text Indent 2"/>
    <w:lsdException w:qFormat="1" w:uiPriority="99"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jc w:val="center"/>
      <w:outlineLvl w:val="0"/>
    </w:pPr>
    <w:rPr>
      <w:sz w:val="28"/>
    </w:rPr>
  </w:style>
  <w:style w:type="paragraph" w:styleId="4">
    <w:name w:val="heading 2"/>
    <w:basedOn w:val="1"/>
    <w:next w:val="5"/>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beforeLines="0" w:after="260" w:afterLines="0" w:line="416" w:lineRule="auto"/>
      <w:outlineLvl w:val="2"/>
    </w:pPr>
    <w:rPr>
      <w:b/>
      <w:bCs/>
      <w:sz w:val="32"/>
      <w:szCs w:val="32"/>
    </w:rPr>
  </w:style>
  <w:style w:type="paragraph" w:styleId="2">
    <w:name w:val="heading 4"/>
    <w:basedOn w:val="1"/>
    <w:next w:val="1"/>
    <w:link w:val="60"/>
    <w:qFormat/>
    <w:uiPriority w:val="0"/>
    <w:pPr>
      <w:keepNext/>
      <w:keepLines/>
      <w:spacing w:before="280" w:beforeLines="0" w:after="290" w:afterLines="0" w:line="376" w:lineRule="auto"/>
      <w:outlineLvl w:val="3"/>
    </w:pPr>
    <w:rPr>
      <w:rFonts w:ascii="Cambria" w:hAnsi="Cambria"/>
      <w:b/>
      <w:bCs/>
      <w:sz w:val="28"/>
      <w:szCs w:val="28"/>
      <w:lang w:eastAsia="en-US"/>
    </w:rPr>
  </w:style>
  <w:style w:type="character" w:default="1" w:styleId="30">
    <w:name w:val="Default Paragraph Font"/>
    <w:qFormat/>
    <w:uiPriority w:val="0"/>
    <w:rPr>
      <w:rFonts w:ascii="Arial" w:hAnsi="Arial" w:eastAsia="Times New Roman" w:cs="Verdana"/>
      <w:b/>
      <w:kern w:val="0"/>
      <w:sz w:val="24"/>
      <w:szCs w:val="24"/>
      <w:lang w:eastAsia="en-US"/>
    </w:rPr>
  </w:style>
  <w:style w:type="table" w:default="1" w:styleId="28">
    <w:name w:val="Normal Table"/>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spacing w:line="300" w:lineRule="auto"/>
      <w:ind w:firstLine="420" w:firstLineChars="200"/>
    </w:pPr>
    <w:rPr>
      <w:rFonts w:ascii="Times New Roman"/>
      <w:kern w:val="2"/>
      <w:sz w:val="21"/>
      <w:szCs w:val="24"/>
    </w:rPr>
  </w:style>
  <w:style w:type="paragraph" w:styleId="7">
    <w:name w:val="Document Map"/>
    <w:basedOn w:val="1"/>
    <w:qFormat/>
    <w:uiPriority w:val="0"/>
    <w:pPr>
      <w:shd w:val="clear" w:color="auto" w:fill="000080"/>
    </w:pPr>
  </w:style>
  <w:style w:type="paragraph" w:styleId="8">
    <w:name w:val="annotation text"/>
    <w:basedOn w:val="1"/>
    <w:link w:val="65"/>
    <w:unhideWhenUsed/>
    <w:qFormat/>
    <w:uiPriority w:val="99"/>
    <w:pPr>
      <w:jc w:val="left"/>
    </w:pPr>
    <w:rPr>
      <w:rFonts w:ascii="Arial" w:hAnsi="Arial" w:eastAsia="Times New Roman"/>
      <w:b/>
      <w:szCs w:val="24"/>
      <w:lang w:eastAsia="en-US"/>
    </w:rPr>
  </w:style>
  <w:style w:type="paragraph" w:styleId="9">
    <w:name w:val="Body Text"/>
    <w:basedOn w:val="1"/>
    <w:next w:val="1"/>
    <w:qFormat/>
    <w:uiPriority w:val="0"/>
    <w:pPr>
      <w:spacing w:after="120" w:afterLines="0"/>
    </w:pPr>
    <w:rPr>
      <w:rFonts w:ascii="Times New Roman"/>
      <w:kern w:val="2"/>
      <w:sz w:val="21"/>
    </w:rPr>
  </w:style>
  <w:style w:type="paragraph" w:styleId="10">
    <w:name w:val="Body Text Indent"/>
    <w:basedOn w:val="1"/>
    <w:qFormat/>
    <w:uiPriority w:val="0"/>
    <w:pPr>
      <w:ind w:firstLine="552"/>
    </w:pPr>
    <w:rPr>
      <w:rFonts w:ascii="宋体"/>
      <w:sz w:val="28"/>
    </w:rPr>
  </w:style>
  <w:style w:type="paragraph" w:styleId="11">
    <w:name w:val="toc 3"/>
    <w:basedOn w:val="1"/>
    <w:next w:val="1"/>
    <w:qFormat/>
    <w:uiPriority w:val="39"/>
    <w:pPr>
      <w:ind w:left="840" w:leftChars="400"/>
    </w:pPr>
  </w:style>
  <w:style w:type="paragraph" w:styleId="12">
    <w:name w:val="Plain Text"/>
    <w:basedOn w:val="1"/>
    <w:link w:val="73"/>
    <w:qFormat/>
    <w:uiPriority w:val="0"/>
    <w:rPr>
      <w:rFonts w:ascii="宋体" w:hAnsi="Courier New"/>
      <w:szCs w:val="21"/>
    </w:rPr>
  </w:style>
  <w:style w:type="paragraph" w:styleId="13">
    <w:name w:val="Date"/>
    <w:basedOn w:val="1"/>
    <w:next w:val="1"/>
    <w:link w:val="72"/>
    <w:qFormat/>
    <w:uiPriority w:val="0"/>
    <w:rPr>
      <w:rFonts w:ascii="宋体" w:hAnsi="Arial" w:eastAsia="Times New Roman"/>
      <w:b/>
      <w:sz w:val="24"/>
      <w:szCs w:val="24"/>
      <w:lang w:eastAsia="en-US"/>
    </w:rPr>
  </w:style>
  <w:style w:type="paragraph" w:styleId="14">
    <w:name w:val="Body Text Indent 2"/>
    <w:basedOn w:val="1"/>
    <w:link w:val="62"/>
    <w:qFormat/>
    <w:uiPriority w:val="0"/>
    <w:pPr>
      <w:spacing w:after="120" w:afterLines="0" w:line="480" w:lineRule="auto"/>
      <w:ind w:left="420" w:leftChars="200"/>
    </w:pPr>
    <w:rPr>
      <w:rFonts w:ascii="Arial" w:hAnsi="Arial" w:eastAsia="Times New Roman"/>
      <w:b/>
      <w:szCs w:val="24"/>
      <w:lang w:eastAsia="en-US"/>
    </w:rPr>
  </w:style>
  <w:style w:type="paragraph" w:styleId="15">
    <w:name w:val="Balloon Text"/>
    <w:basedOn w:val="1"/>
    <w:qFormat/>
    <w:uiPriority w:val="0"/>
    <w:rPr>
      <w:sz w:val="18"/>
      <w:szCs w:val="18"/>
    </w:rPr>
  </w:style>
  <w:style w:type="paragraph" w:styleId="16">
    <w:name w:val="footer"/>
    <w:basedOn w:val="1"/>
    <w:link w:val="74"/>
    <w:qFormat/>
    <w:uiPriority w:val="99"/>
    <w:pPr>
      <w:tabs>
        <w:tab w:val="center" w:pos="4153"/>
        <w:tab w:val="right" w:pos="8306"/>
      </w:tabs>
      <w:adjustRightInd w:val="0"/>
      <w:spacing w:line="240" w:lineRule="atLeast"/>
      <w:jc w:val="left"/>
      <w:textAlignment w:val="baseline"/>
    </w:pPr>
    <w:rPr>
      <w:rFonts w:ascii="Arial" w:hAnsi="Arial" w:eastAsia="Times New Roman"/>
      <w:b/>
      <w:kern w:val="0"/>
      <w:sz w:val="18"/>
      <w:szCs w:val="24"/>
      <w:lang w:eastAsia="en-US"/>
    </w:rPr>
  </w:style>
  <w:style w:type="paragraph" w:styleId="17">
    <w:name w:val="header"/>
    <w:basedOn w:val="1"/>
    <w:link w:val="58"/>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Body Text Indent 3"/>
    <w:basedOn w:val="1"/>
    <w:link w:val="64"/>
    <w:unhideWhenUsed/>
    <w:qFormat/>
    <w:uiPriority w:val="99"/>
    <w:pPr>
      <w:spacing w:after="120"/>
      <w:ind w:left="420" w:leftChars="200"/>
    </w:pPr>
    <w:rPr>
      <w:rFonts w:ascii="Arial" w:hAnsi="Arial" w:eastAsia="Times New Roman"/>
      <w:b/>
      <w:sz w:val="16"/>
      <w:szCs w:val="16"/>
      <w:lang w:eastAsia="en-US"/>
    </w:rPr>
  </w:style>
  <w:style w:type="paragraph" w:styleId="20">
    <w:name w:val="toc 2"/>
    <w:basedOn w:val="1"/>
    <w:next w:val="1"/>
    <w:unhideWhenUsed/>
    <w:qFormat/>
    <w:uiPriority w:val="39"/>
    <w:pPr>
      <w:ind w:left="420" w:leftChars="200"/>
    </w:pPr>
  </w:style>
  <w:style w:type="paragraph" w:styleId="21">
    <w:name w:val="Body Text 2"/>
    <w:basedOn w:val="1"/>
    <w:unhideWhenUsed/>
    <w:qFormat/>
    <w:uiPriority w:val="99"/>
    <w:pPr>
      <w:spacing w:after="120" w:line="480" w:lineRule="auto"/>
    </w:pPr>
  </w:style>
  <w:style w:type="paragraph" w:styleId="2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23">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color w:val="3D3D3D"/>
      <w:kern w:val="0"/>
      <w:sz w:val="24"/>
      <w:lang w:val="en-US" w:eastAsia="zh-CN" w:bidi="ar"/>
    </w:rPr>
  </w:style>
  <w:style w:type="paragraph" w:styleId="24">
    <w:name w:val="Title"/>
    <w:basedOn w:val="1"/>
    <w:next w:val="1"/>
    <w:link w:val="63"/>
    <w:qFormat/>
    <w:uiPriority w:val="0"/>
    <w:pPr>
      <w:spacing w:before="240" w:beforeLines="0" w:after="60" w:afterLines="0"/>
      <w:jc w:val="center"/>
      <w:outlineLvl w:val="0"/>
    </w:pPr>
    <w:rPr>
      <w:rFonts w:ascii="Cambria" w:hAnsi="Cambria" w:eastAsia="Times New Roman"/>
      <w:b/>
      <w:bCs/>
      <w:sz w:val="32"/>
      <w:szCs w:val="32"/>
      <w:lang w:eastAsia="en-US"/>
    </w:rPr>
  </w:style>
  <w:style w:type="paragraph" w:styleId="25">
    <w:name w:val="annotation subject"/>
    <w:basedOn w:val="8"/>
    <w:next w:val="8"/>
    <w:link w:val="71"/>
    <w:unhideWhenUsed/>
    <w:qFormat/>
    <w:uiPriority w:val="99"/>
    <w:rPr>
      <w:bCs/>
    </w:rPr>
  </w:style>
  <w:style w:type="paragraph" w:styleId="26">
    <w:name w:val="Body Text First Indent"/>
    <w:basedOn w:val="9"/>
    <w:qFormat/>
    <w:uiPriority w:val="0"/>
    <w:pPr>
      <w:widowControl/>
      <w:ind w:firstLine="420" w:firstLineChars="100"/>
      <w:jc w:val="left"/>
    </w:pPr>
    <w:rPr>
      <w:rFonts w:ascii="Times New Roman" w:hAnsi="Times New Roman" w:eastAsia="宋体" w:cs="Times New Roman"/>
      <w:kern w:val="0"/>
      <w:szCs w:val="24"/>
    </w:rPr>
  </w:style>
  <w:style w:type="paragraph" w:styleId="27">
    <w:name w:val="Body Text First Indent 2"/>
    <w:basedOn w:val="21"/>
    <w:qFormat/>
    <w:uiPriority w:val="0"/>
    <w:pPr>
      <w:tabs>
        <w:tab w:val="left" w:pos="0"/>
      </w:tabs>
      <w:ind w:firstLine="420" w:firstLineChars="200"/>
    </w:pPr>
  </w:style>
  <w:style w:type="table" w:styleId="29">
    <w:name w:val="Table Grid"/>
    <w:basedOn w:val="2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Cs/>
    </w:rPr>
  </w:style>
  <w:style w:type="character" w:styleId="32">
    <w:name w:val="page number"/>
    <w:basedOn w:val="30"/>
    <w:qFormat/>
    <w:uiPriority w:val="0"/>
  </w:style>
  <w:style w:type="character" w:styleId="33">
    <w:name w:val="FollowedHyperlink"/>
    <w:unhideWhenUsed/>
    <w:qFormat/>
    <w:uiPriority w:val="99"/>
    <w:rPr>
      <w:rFonts w:ascii="Arial" w:hAnsi="Arial" w:eastAsia="Times New Roman" w:cs="Verdana"/>
      <w:b/>
      <w:color w:val="3D3D3D"/>
      <w:kern w:val="0"/>
      <w:sz w:val="24"/>
      <w:szCs w:val="24"/>
      <w:u w:val="none"/>
      <w:lang w:eastAsia="en-US"/>
    </w:rPr>
  </w:style>
  <w:style w:type="character" w:styleId="34">
    <w:name w:val="Hyperlink"/>
    <w:qFormat/>
    <w:uiPriority w:val="99"/>
    <w:rPr>
      <w:rFonts w:ascii="Arial" w:hAnsi="Arial" w:eastAsia="Times New Roman" w:cs="Verdana"/>
      <w:b/>
      <w:color w:val="0000FF"/>
      <w:kern w:val="0"/>
      <w:sz w:val="24"/>
      <w:szCs w:val="24"/>
      <w:u w:val="single"/>
      <w:lang w:eastAsia="en-US"/>
    </w:rPr>
  </w:style>
  <w:style w:type="character" w:styleId="35">
    <w:name w:val="annotation reference"/>
    <w:unhideWhenUsed/>
    <w:qFormat/>
    <w:uiPriority w:val="99"/>
    <w:rPr>
      <w:rFonts w:ascii="Arial" w:hAnsi="Arial" w:eastAsia="Times New Roman" w:cs="Verdana"/>
      <w:b/>
      <w:kern w:val="0"/>
      <w:sz w:val="21"/>
      <w:szCs w:val="21"/>
      <w:lang w:eastAsia="en-US"/>
    </w:rPr>
  </w:style>
  <w:style w:type="paragraph" w:customStyle="1" w:styleId="3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7">
    <w:name w:val="Body Text Indent 3"/>
    <w:basedOn w:val="1"/>
    <w:qFormat/>
    <w:uiPriority w:val="0"/>
    <w:pPr>
      <w:spacing w:line="410" w:lineRule="exact"/>
      <w:ind w:left="619" w:leftChars="295" w:firstLine="390" w:firstLineChars="179"/>
    </w:pPr>
    <w:rPr>
      <w:rFonts w:ascii="宋体" w:hAnsi="宋体"/>
      <w:spacing w:val="4"/>
    </w:rPr>
  </w:style>
  <w:style w:type="paragraph" w:customStyle="1" w:styleId="38">
    <w:name w:val="List Paragraph"/>
    <w:basedOn w:val="1"/>
    <w:qFormat/>
    <w:uiPriority w:val="34"/>
    <w:pPr>
      <w:ind w:firstLine="420" w:firstLineChars="200"/>
    </w:pPr>
    <w:rPr>
      <w:rFonts w:ascii="Calibri" w:hAnsi="Calibri"/>
      <w:sz w:val="28"/>
      <w:szCs w:val="28"/>
    </w:rPr>
  </w:style>
  <w:style w:type="paragraph" w:customStyle="1" w:styleId="39">
    <w:name w:val="正文 A"/>
    <w:qFormat/>
    <w:uiPriority w:val="0"/>
    <w:pPr>
      <w:widowControl w:val="0"/>
      <w:spacing w:line="288" w:lineRule="auto"/>
      <w:ind w:firstLine="200"/>
      <w:jc w:val="both"/>
    </w:pPr>
    <w:rPr>
      <w:rFonts w:ascii="Times New Roman" w:hAnsi="Times New Roman" w:eastAsia="Times New Roman" w:cs="Times New Roman"/>
      <w:color w:val="000000"/>
      <w:kern w:val="2"/>
      <w:sz w:val="21"/>
      <w:szCs w:val="21"/>
      <w:lang w:val="en-US" w:eastAsia="zh-CN" w:bidi="ar-SA"/>
    </w:rPr>
  </w:style>
  <w:style w:type="paragraph" w:customStyle="1" w:styleId="40">
    <w:name w:val="列出段落1"/>
    <w:basedOn w:val="1"/>
    <w:qFormat/>
    <w:uiPriority w:val="34"/>
    <w:pPr>
      <w:ind w:firstLine="420" w:firstLineChars="200"/>
    </w:pPr>
    <w:rPr>
      <w:rFonts w:ascii="Calibri" w:hAnsi="Calibri"/>
      <w:szCs w:val="22"/>
    </w:rPr>
  </w:style>
  <w:style w:type="paragraph" w:customStyle="1" w:styleId="41">
    <w:name w:val="List Paragraph1"/>
    <w:basedOn w:val="1"/>
    <w:qFormat/>
    <w:uiPriority w:val="34"/>
    <w:pPr>
      <w:ind w:firstLine="420" w:firstLineChars="200"/>
    </w:pPr>
  </w:style>
  <w:style w:type="paragraph" w:customStyle="1" w:styleId="42">
    <w:name w:val="段"/>
    <w:link w:val="75"/>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kern w:val="2"/>
      <w:sz w:val="21"/>
      <w:szCs w:val="22"/>
      <w:lang w:val="en-US" w:eastAsia="zh-CN" w:bidi="ar-SA"/>
    </w:rPr>
  </w:style>
  <w:style w:type="paragraph" w:customStyle="1" w:styleId="43">
    <w:name w:val="(a)正文"/>
    <w:basedOn w:val="1"/>
    <w:qFormat/>
    <w:uiPriority w:val="0"/>
    <w:pPr>
      <w:widowControl/>
      <w:tabs>
        <w:tab w:val="left" w:pos="1871"/>
        <w:tab w:val="left" w:pos="2081"/>
      </w:tabs>
      <w:spacing w:line="360" w:lineRule="exact"/>
      <w:ind w:left="1871" w:hanging="510"/>
    </w:pPr>
    <w:rPr>
      <w:sz w:val="24"/>
    </w:rPr>
  </w:style>
  <w:style w:type="paragraph" w:customStyle="1" w:styleId="44">
    <w:name w:val="方案正文"/>
    <w:basedOn w:val="1"/>
    <w:qFormat/>
    <w:uiPriority w:val="0"/>
    <w:pPr>
      <w:adjustRightInd w:val="0"/>
      <w:snapToGrid w:val="0"/>
      <w:spacing w:line="360" w:lineRule="auto"/>
      <w:ind w:firstLine="480" w:firstLineChars="200"/>
      <w:jc w:val="left"/>
    </w:pPr>
    <w:rPr>
      <w:sz w:val="24"/>
      <w:szCs w:val="24"/>
    </w:rPr>
  </w:style>
  <w:style w:type="paragraph" w:customStyle="1" w:styleId="45">
    <w:name w:val="Body Text Indent"/>
    <w:basedOn w:val="1"/>
    <w:qFormat/>
    <w:uiPriority w:val="0"/>
    <w:pPr>
      <w:widowControl/>
      <w:ind w:firstLine="652" w:firstLineChars="233"/>
    </w:pPr>
    <w:rPr>
      <w:kern w:val="0"/>
      <w:sz w:val="28"/>
    </w:rPr>
  </w:style>
  <w:style w:type="paragraph" w:customStyle="1" w:styleId="46">
    <w:name w:val="样式 首行缩进:  0.8 厘米1"/>
    <w:basedOn w:val="1"/>
    <w:qFormat/>
    <w:uiPriority w:val="0"/>
    <w:pPr>
      <w:spacing w:before="60" w:after="60" w:line="288" w:lineRule="auto"/>
      <w:ind w:firstLine="454"/>
    </w:pPr>
    <w:rPr>
      <w:rFonts w:cs="宋体"/>
      <w:kern w:val="0"/>
      <w:sz w:val="24"/>
      <w:lang w:eastAsia="en-US"/>
    </w:rPr>
  </w:style>
  <w:style w:type="paragraph" w:customStyle="1" w:styleId="47">
    <w:name w:val="Normal"/>
    <w:qFormat/>
    <w:uiPriority w:val="0"/>
    <w:pPr>
      <w:widowControl w:val="0"/>
      <w:adjustRightInd w:val="0"/>
      <w:spacing w:line="315" w:lineRule="atLeast"/>
      <w:textAlignment w:val="baseline"/>
    </w:pPr>
    <w:rPr>
      <w:rFonts w:ascii="宋体" w:hAnsi="Times New Roman" w:eastAsia="宋体" w:cs="Times New Roman"/>
      <w:sz w:val="24"/>
      <w:szCs w:val="22"/>
      <w:lang w:val="en-US" w:eastAsia="zh-CN" w:bidi="ar-SA"/>
    </w:rPr>
  </w:style>
  <w:style w:type="paragraph" w:customStyle="1" w:styleId="48">
    <w:name w:val="【正文】"/>
    <w:basedOn w:val="21"/>
    <w:link w:val="69"/>
    <w:qFormat/>
    <w:uiPriority w:val="0"/>
    <w:pPr>
      <w:spacing w:after="0" w:line="360" w:lineRule="auto"/>
      <w:ind w:firstLine="200" w:firstLineChars="200"/>
    </w:pPr>
    <w:rPr>
      <w:rFonts w:ascii="仿宋" w:hAnsi="仿宋" w:eastAsia="仿宋"/>
      <w:sz w:val="24"/>
      <w:szCs w:val="28"/>
    </w:rPr>
  </w:style>
  <w:style w:type="paragraph" w:customStyle="1" w:styleId="49">
    <w:name w:val="Char1"/>
    <w:basedOn w:val="1"/>
    <w:qFormat/>
    <w:uiPriority w:val="0"/>
    <w:pPr>
      <w:tabs>
        <w:tab w:val="left" w:pos="360"/>
      </w:tabs>
      <w:ind w:left="360" w:hanging="360" w:hangingChars="200"/>
    </w:pPr>
    <w:rPr>
      <w:sz w:val="24"/>
      <w:szCs w:val="24"/>
    </w:rPr>
  </w:style>
  <w:style w:type="paragraph" w:customStyle="1" w:styleId="50">
    <w:name w:val="_Style 47"/>
    <w:basedOn w:val="3"/>
    <w:next w:val="1"/>
    <w:qFormat/>
    <w:uiPriority w:val="0"/>
    <w:pPr>
      <w:keepLines/>
      <w:widowControl/>
      <w:spacing w:before="480" w:beforeLines="0" w:line="276" w:lineRule="auto"/>
      <w:jc w:val="left"/>
      <w:outlineLvl w:val="9"/>
    </w:pPr>
    <w:rPr>
      <w:rFonts w:ascii="Cambria" w:hAnsi="Cambria" w:eastAsia="宋体" w:cs="Times New Roman"/>
      <w:b/>
      <w:bCs/>
      <w:color w:val="365F91"/>
      <w:kern w:val="0"/>
      <w:szCs w:val="28"/>
    </w:rPr>
  </w:style>
  <w:style w:type="paragraph" w:customStyle="1" w:styleId="51">
    <w:name w:val=" Char Char3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52">
    <w:name w:val="表格标题"/>
    <w:basedOn w:val="1"/>
    <w:qFormat/>
    <w:uiPriority w:val="0"/>
    <w:pPr>
      <w:adjustRightInd w:val="0"/>
      <w:snapToGrid w:val="0"/>
      <w:spacing w:before="50" w:beforeLines="50" w:after="50" w:afterLines="50"/>
      <w:ind w:left="22" w:leftChars="8"/>
      <w:jc w:val="center"/>
    </w:pPr>
    <w:rPr>
      <w:b/>
      <w:bCs/>
      <w:color w:val="000000"/>
      <w:sz w:val="32"/>
      <w:szCs w:val="32"/>
    </w:rPr>
  </w:style>
  <w:style w:type="paragraph" w:customStyle="1" w:styleId="53">
    <w:name w:val=" Char1"/>
    <w:basedOn w:val="1"/>
    <w:qFormat/>
    <w:uiPriority w:val="0"/>
    <w:pPr>
      <w:tabs>
        <w:tab w:val="left" w:pos="360"/>
      </w:tabs>
      <w:ind w:left="360" w:hanging="360" w:hangingChars="200"/>
    </w:pPr>
    <w:rPr>
      <w:sz w:val="24"/>
      <w:szCs w:val="24"/>
    </w:rPr>
  </w:style>
  <w:style w:type="paragraph" w:customStyle="1" w:styleId="54">
    <w:name w:val="表格文字中"/>
    <w:basedOn w:val="1"/>
    <w:qFormat/>
    <w:uiPriority w:val="0"/>
    <w:pPr>
      <w:adjustRightInd w:val="0"/>
      <w:snapToGrid w:val="0"/>
      <w:ind w:left="22" w:leftChars="8"/>
      <w:jc w:val="center"/>
    </w:pPr>
    <w:rPr>
      <w:kern w:val="0"/>
      <w:szCs w:val="24"/>
    </w:rPr>
  </w:style>
  <w:style w:type="paragraph" w:customStyle="1" w:styleId="55">
    <w:name w:val="Char Char Char Char"/>
    <w:basedOn w:val="1"/>
    <w:qFormat/>
    <w:uiPriority w:val="0"/>
    <w:pPr>
      <w:widowControl/>
      <w:spacing w:after="160" w:afterLines="0" w:line="240" w:lineRule="exact"/>
      <w:jc w:val="center"/>
    </w:pPr>
    <w:rPr>
      <w:rFonts w:ascii="宋体" w:hAnsi="宋体"/>
      <w:b/>
      <w:kern w:val="0"/>
      <w:sz w:val="28"/>
      <w:szCs w:val="28"/>
      <w:lang w:eastAsia="en-US"/>
    </w:rPr>
  </w:style>
  <w:style w:type="paragraph" w:customStyle="1" w:styleId="56">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57">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character" w:customStyle="1" w:styleId="58">
    <w:name w:val="页眉 Char"/>
    <w:link w:val="17"/>
    <w:qFormat/>
    <w:uiPriority w:val="0"/>
    <w:rPr>
      <w:kern w:val="2"/>
      <w:sz w:val="18"/>
      <w:szCs w:val="18"/>
    </w:rPr>
  </w:style>
  <w:style w:type="character" w:customStyle="1" w:styleId="59">
    <w:name w:val="displayarti"/>
    <w:basedOn w:val="30"/>
    <w:qFormat/>
    <w:uiPriority w:val="0"/>
    <w:rPr>
      <w:color w:val="FFFFFF"/>
      <w:shd w:val="clear" w:color="auto" w:fill="A00000"/>
    </w:rPr>
  </w:style>
  <w:style w:type="character" w:customStyle="1" w:styleId="60">
    <w:name w:val="标题 4 Char"/>
    <w:link w:val="2"/>
    <w:qFormat/>
    <w:uiPriority w:val="0"/>
    <w:rPr>
      <w:rFonts w:ascii="Cambria" w:hAnsi="Cambria" w:eastAsia="宋体" w:cs="Times New Roman"/>
      <w:b/>
      <w:bCs/>
      <w:kern w:val="2"/>
      <w:sz w:val="28"/>
      <w:szCs w:val="28"/>
      <w:lang w:eastAsia="en-US"/>
    </w:rPr>
  </w:style>
  <w:style w:type="character" w:customStyle="1" w:styleId="61">
    <w:name w:val="page number"/>
    <w:basedOn w:val="30"/>
    <w:qFormat/>
    <w:uiPriority w:val="0"/>
  </w:style>
  <w:style w:type="character" w:customStyle="1" w:styleId="62">
    <w:name w:val="正文文本缩进 2 Char"/>
    <w:link w:val="14"/>
    <w:qFormat/>
    <w:uiPriority w:val="0"/>
    <w:rPr>
      <w:rFonts w:ascii="Arial" w:hAnsi="Arial" w:eastAsia="Times New Roman" w:cs="Verdana"/>
      <w:b/>
      <w:kern w:val="2"/>
      <w:sz w:val="21"/>
      <w:szCs w:val="24"/>
      <w:lang w:eastAsia="en-US"/>
    </w:rPr>
  </w:style>
  <w:style w:type="character" w:customStyle="1" w:styleId="63">
    <w:name w:val="标题 Char"/>
    <w:link w:val="24"/>
    <w:qFormat/>
    <w:uiPriority w:val="0"/>
    <w:rPr>
      <w:rFonts w:ascii="Cambria" w:hAnsi="Cambria" w:eastAsia="Times New Roman" w:cs="Verdana"/>
      <w:b/>
      <w:bCs/>
      <w:kern w:val="2"/>
      <w:sz w:val="32"/>
      <w:szCs w:val="32"/>
      <w:lang w:eastAsia="en-US"/>
    </w:rPr>
  </w:style>
  <w:style w:type="character" w:customStyle="1" w:styleId="64">
    <w:name w:val="正文文本缩进 3 Char"/>
    <w:link w:val="19"/>
    <w:semiHidden/>
    <w:qFormat/>
    <w:uiPriority w:val="99"/>
    <w:rPr>
      <w:rFonts w:ascii="Arial" w:hAnsi="Arial" w:eastAsia="Times New Roman" w:cs="Verdana"/>
      <w:b/>
      <w:kern w:val="2"/>
      <w:sz w:val="16"/>
      <w:szCs w:val="16"/>
      <w:lang w:eastAsia="en-US"/>
    </w:rPr>
  </w:style>
  <w:style w:type="character" w:customStyle="1" w:styleId="65">
    <w:name w:val="批注文字 Char"/>
    <w:link w:val="8"/>
    <w:qFormat/>
    <w:uiPriority w:val="99"/>
    <w:rPr>
      <w:rFonts w:ascii="Arial" w:hAnsi="Arial" w:eastAsia="Times New Roman" w:cs="Verdana"/>
      <w:b/>
      <w:kern w:val="2"/>
      <w:sz w:val="21"/>
      <w:szCs w:val="24"/>
      <w:lang w:eastAsia="en-US"/>
    </w:rPr>
  </w:style>
  <w:style w:type="character" w:customStyle="1" w:styleId="66">
    <w:name w:val="selected"/>
    <w:basedOn w:val="30"/>
    <w:qFormat/>
    <w:uiPriority w:val="0"/>
    <w:rPr>
      <w:shd w:val="clear" w:color="auto" w:fill="B00006"/>
    </w:rPr>
  </w:style>
  <w:style w:type="character" w:customStyle="1" w:styleId="67">
    <w:name w:val="apple-style-span"/>
    <w:basedOn w:val="30"/>
    <w:qFormat/>
    <w:uiPriority w:val="0"/>
  </w:style>
  <w:style w:type="character" w:customStyle="1" w:styleId="68">
    <w:name w:val="gpa"/>
    <w:basedOn w:val="30"/>
    <w:qFormat/>
    <w:uiPriority w:val="0"/>
    <w:rPr>
      <w:rFonts w:ascii="Arial" w:hAnsi="Arial" w:cs="Arial"/>
      <w:sz w:val="15"/>
      <w:szCs w:val="15"/>
    </w:rPr>
  </w:style>
  <w:style w:type="character" w:customStyle="1" w:styleId="69">
    <w:name w:val="【正文】 Char"/>
    <w:link w:val="48"/>
    <w:qFormat/>
    <w:uiPriority w:val="0"/>
    <w:rPr>
      <w:rFonts w:ascii="仿宋" w:hAnsi="仿宋" w:eastAsia="仿宋" w:cs="仿宋_GB2312"/>
      <w:kern w:val="2"/>
      <w:sz w:val="24"/>
      <w:szCs w:val="28"/>
    </w:rPr>
  </w:style>
  <w:style w:type="character" w:customStyle="1" w:styleId="70">
    <w:name w:val="普通文字1 Char2"/>
    <w:qFormat/>
    <w:uiPriority w:val="0"/>
    <w:rPr>
      <w:rFonts w:ascii="宋体" w:hAnsi="Courier New" w:eastAsia="宋体"/>
      <w:kern w:val="2"/>
      <w:sz w:val="21"/>
      <w:lang w:val="en-US" w:eastAsia="zh-CN" w:bidi="ar-SA"/>
    </w:rPr>
  </w:style>
  <w:style w:type="character" w:customStyle="1" w:styleId="71">
    <w:name w:val="批注主题 Char"/>
    <w:link w:val="25"/>
    <w:semiHidden/>
    <w:qFormat/>
    <w:uiPriority w:val="99"/>
    <w:rPr>
      <w:rFonts w:ascii="Arial" w:hAnsi="Arial" w:eastAsia="Times New Roman" w:cs="Verdana"/>
      <w:b/>
      <w:bCs/>
      <w:kern w:val="2"/>
      <w:sz w:val="21"/>
      <w:szCs w:val="24"/>
      <w:lang w:eastAsia="en-US"/>
    </w:rPr>
  </w:style>
  <w:style w:type="character" w:customStyle="1" w:styleId="72">
    <w:name w:val="日期 Char"/>
    <w:link w:val="13"/>
    <w:qFormat/>
    <w:uiPriority w:val="0"/>
    <w:rPr>
      <w:rFonts w:ascii="宋体" w:hAnsi="Arial" w:eastAsia="Times New Roman" w:cs="Verdana"/>
      <w:b/>
      <w:kern w:val="2"/>
      <w:sz w:val="24"/>
      <w:szCs w:val="24"/>
      <w:lang w:eastAsia="en-US"/>
    </w:rPr>
  </w:style>
  <w:style w:type="character" w:customStyle="1" w:styleId="73">
    <w:name w:val="纯文本 Char"/>
    <w:link w:val="12"/>
    <w:qFormat/>
    <w:uiPriority w:val="0"/>
    <w:rPr>
      <w:rFonts w:ascii="宋体" w:hAnsi="Courier New" w:cs="Courier New"/>
      <w:kern w:val="2"/>
      <w:sz w:val="21"/>
      <w:szCs w:val="21"/>
    </w:rPr>
  </w:style>
  <w:style w:type="character" w:customStyle="1" w:styleId="74">
    <w:name w:val="页脚 Char"/>
    <w:link w:val="16"/>
    <w:qFormat/>
    <w:uiPriority w:val="99"/>
    <w:rPr>
      <w:rFonts w:ascii="Arial" w:hAnsi="Arial" w:eastAsia="Times New Roman" w:cs="Verdana"/>
      <w:b/>
      <w:kern w:val="0"/>
      <w:sz w:val="18"/>
      <w:szCs w:val="24"/>
      <w:lang w:eastAsia="en-US"/>
    </w:rPr>
  </w:style>
  <w:style w:type="character" w:customStyle="1" w:styleId="75">
    <w:name w:val="段 Char Char"/>
    <w:link w:val="42"/>
    <w:qFormat/>
    <w:locked/>
    <w:uiPriority w:val="0"/>
    <w:rPr>
      <w:rFonts w:ascii="宋体" w:eastAsia="Times New Roman"/>
      <w:kern w:val="2"/>
      <w:sz w:val="21"/>
      <w:szCs w:val="22"/>
      <w:lang w:val="en-US" w:eastAsia="zh-CN" w:bidi="ar-SA"/>
    </w:rPr>
  </w:style>
  <w:style w:type="character" w:customStyle="1" w:styleId="76">
    <w:name w:val="style5 style5"/>
    <w:basedOn w:val="30"/>
    <w:qFormat/>
    <w:uiPriority w:val="0"/>
  </w:style>
  <w:style w:type="character" w:customStyle="1" w:styleId="77">
    <w:name w:val="纯文本 Char1"/>
    <w:qFormat/>
    <w:uiPriority w:val="0"/>
    <w:rPr>
      <w:rFonts w:ascii="宋体" w:hAnsi="Courier New" w:eastAsia="Times New Roman" w:cs="Courier New"/>
      <w:b/>
      <w:kern w:val="2"/>
      <w:sz w:val="21"/>
      <w:szCs w:val="21"/>
      <w:lang w:eastAsia="en-US"/>
    </w:rPr>
  </w:style>
  <w:style w:type="character" w:customStyle="1" w:styleId="78">
    <w:name w:val="font61"/>
    <w:basedOn w:val="30"/>
    <w:qFormat/>
    <w:uiPriority w:val="0"/>
    <w:rPr>
      <w:rFonts w:hint="eastAsia" w:ascii="宋体" w:hAnsi="宋体" w:eastAsia="宋体" w:cs="宋体"/>
      <w:color w:val="000000"/>
      <w:sz w:val="32"/>
      <w:szCs w:val="32"/>
      <w:u w:val="none"/>
    </w:rPr>
  </w:style>
  <w:style w:type="character" w:customStyle="1" w:styleId="79">
    <w:name w:val="font41"/>
    <w:basedOn w:val="30"/>
    <w:qFormat/>
    <w:uiPriority w:val="0"/>
    <w:rPr>
      <w:rFonts w:hint="eastAsia" w:ascii="宋体" w:hAnsi="宋体" w:eastAsia="宋体" w:cs="宋体"/>
      <w:color w:val="000000"/>
      <w:sz w:val="16"/>
      <w:szCs w:val="16"/>
      <w:u w:val="none"/>
    </w:rPr>
  </w:style>
  <w:style w:type="character" w:customStyle="1" w:styleId="80">
    <w:name w:val="font31"/>
    <w:basedOn w:val="30"/>
    <w:qFormat/>
    <w:uiPriority w:val="0"/>
    <w:rPr>
      <w:rFonts w:hint="eastAsia" w:ascii="宋体" w:hAnsi="宋体" w:eastAsia="宋体" w:cs="宋体"/>
      <w:color w:val="000000"/>
      <w:sz w:val="16"/>
      <w:szCs w:val="16"/>
      <w:u w:val="none"/>
    </w:rPr>
  </w:style>
  <w:style w:type="character" w:customStyle="1" w:styleId="81">
    <w:name w:val="font81"/>
    <w:basedOn w:val="30"/>
    <w:qFormat/>
    <w:uiPriority w:val="0"/>
    <w:rPr>
      <w:rFonts w:hint="eastAsia" w:ascii="宋体" w:hAnsi="宋体" w:eastAsia="宋体" w:cs="宋体"/>
      <w:color w:val="000000"/>
      <w:sz w:val="16"/>
      <w:szCs w:val="16"/>
      <w:u w:val="none"/>
    </w:rPr>
  </w:style>
  <w:style w:type="character" w:customStyle="1" w:styleId="82">
    <w:name w:val="font91"/>
    <w:basedOn w:val="30"/>
    <w:qFormat/>
    <w:uiPriority w:val="0"/>
    <w:rPr>
      <w:rFonts w:hint="eastAsia" w:ascii="宋体" w:hAnsi="宋体" w:eastAsia="宋体" w:cs="宋体"/>
      <w:color w:val="000000"/>
      <w:sz w:val="16"/>
      <w:szCs w:val="16"/>
      <w:u w:val="single"/>
    </w:rPr>
  </w:style>
  <w:style w:type="character" w:customStyle="1" w:styleId="83">
    <w:name w:val="font51"/>
    <w:basedOn w:val="30"/>
    <w:qFormat/>
    <w:uiPriority w:val="0"/>
    <w:rPr>
      <w:rFonts w:hint="eastAsia" w:ascii="宋体" w:hAnsi="宋体" w:eastAsia="宋体" w:cs="宋体"/>
      <w:color w:val="000000"/>
      <w:sz w:val="16"/>
      <w:szCs w:val="16"/>
      <w:u w:val="none"/>
    </w:rPr>
  </w:style>
  <w:style w:type="character" w:customStyle="1" w:styleId="84">
    <w:name w:val="font11"/>
    <w:basedOn w:val="30"/>
    <w:qFormat/>
    <w:uiPriority w:val="0"/>
    <w:rPr>
      <w:rFonts w:hint="eastAsia" w:ascii="宋体" w:hAnsi="宋体" w:eastAsia="宋体" w:cs="宋体"/>
      <w:color w:val="000000"/>
      <w:sz w:val="16"/>
      <w:szCs w:val="16"/>
      <w:u w:val="single"/>
    </w:rPr>
  </w:style>
  <w:style w:type="paragraph" w:customStyle="1" w:styleId="85">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86">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87">
    <w:name w:val="font21"/>
    <w:basedOn w:val="30"/>
    <w:qFormat/>
    <w:uiPriority w:val="0"/>
    <w:rPr>
      <w:rFonts w:hint="eastAsia" w:ascii="仿宋_GB2312" w:eastAsia="仿宋_GB2312" w:cs="仿宋_GB2312"/>
      <w:color w:val="000000"/>
      <w:sz w:val="24"/>
      <w:szCs w:val="24"/>
      <w:u w:val="none"/>
    </w:rPr>
  </w:style>
  <w:style w:type="character" w:customStyle="1" w:styleId="88">
    <w:name w:val="font112"/>
    <w:basedOn w:val="30"/>
    <w:qFormat/>
    <w:uiPriority w:val="0"/>
    <w:rPr>
      <w:rFonts w:hint="default" w:ascii="Times New Roman" w:hAnsi="Times New Roman" w:cs="Times New Roman"/>
      <w:color w:val="000000"/>
      <w:sz w:val="18"/>
      <w:szCs w:val="18"/>
      <w:u w:val="none"/>
      <w:vertAlign w:val="superscript"/>
    </w:rPr>
  </w:style>
  <w:style w:type="character" w:customStyle="1" w:styleId="89">
    <w:name w:val="font181"/>
    <w:basedOn w:val="30"/>
    <w:qFormat/>
    <w:uiPriority w:val="0"/>
    <w:rPr>
      <w:rFonts w:hint="eastAsia" w:ascii="宋体" w:hAnsi="宋体" w:eastAsia="宋体" w:cs="宋体"/>
      <w:color w:val="969696"/>
      <w:sz w:val="18"/>
      <w:szCs w:val="18"/>
      <w:u w:val="none"/>
    </w:rPr>
  </w:style>
  <w:style w:type="character" w:customStyle="1" w:styleId="90">
    <w:name w:val="font201"/>
    <w:basedOn w:val="30"/>
    <w:qFormat/>
    <w:uiPriority w:val="0"/>
    <w:rPr>
      <w:rFonts w:hint="eastAsia" w:ascii="宋体" w:hAnsi="宋体" w:eastAsia="宋体" w:cs="宋体"/>
      <w:color w:val="000000"/>
      <w:sz w:val="18"/>
      <w:szCs w:val="18"/>
      <w:u w:val="none"/>
    </w:rPr>
  </w:style>
  <w:style w:type="character" w:customStyle="1" w:styleId="91">
    <w:name w:val="font191"/>
    <w:basedOn w:val="30"/>
    <w:qFormat/>
    <w:uiPriority w:val="0"/>
    <w:rPr>
      <w:rFonts w:hint="default" w:ascii="Tahoma" w:hAnsi="Tahoma" w:eastAsia="Tahoma" w:cs="Tahoma"/>
      <w:color w:val="000000"/>
      <w:sz w:val="18"/>
      <w:szCs w:val="18"/>
      <w:u w:val="none"/>
    </w:rPr>
  </w:style>
  <w:style w:type="character" w:customStyle="1" w:styleId="92">
    <w:name w:val="font161"/>
    <w:basedOn w:val="30"/>
    <w:qFormat/>
    <w:uiPriority w:val="0"/>
    <w:rPr>
      <w:rFonts w:hint="default" w:ascii="Tahoma" w:hAnsi="Tahoma" w:eastAsia="Tahoma" w:cs="Tahoma"/>
      <w:color w:val="000000"/>
      <w:sz w:val="18"/>
      <w:szCs w:val="18"/>
      <w:u w:val="none"/>
    </w:rPr>
  </w:style>
  <w:style w:type="character" w:customStyle="1" w:styleId="93">
    <w:name w:val="font171"/>
    <w:basedOn w:val="30"/>
    <w:qFormat/>
    <w:uiPriority w:val="0"/>
    <w:rPr>
      <w:rFonts w:hint="eastAsia" w:ascii="宋体" w:hAnsi="宋体" w:eastAsia="宋体" w:cs="宋体"/>
      <w:color w:val="000000"/>
      <w:sz w:val="18"/>
      <w:szCs w:val="18"/>
      <w:u w:val="none"/>
    </w:rPr>
  </w:style>
  <w:style w:type="character" w:customStyle="1" w:styleId="94">
    <w:name w:val="NormalCharacter"/>
    <w:qFormat/>
    <w:uiPriority w:val="99"/>
    <w:rPr>
      <w:rFonts w:ascii="宋体"/>
      <w:sz w:val="24"/>
      <w:lang w:val="en-US" w:eastAsia="zh-CN" w:bidi="ar-SA"/>
    </w:rPr>
  </w:style>
  <w:style w:type="paragraph" w:customStyle="1" w:styleId="95">
    <w:name w:val="4"/>
    <w:basedOn w:val="1"/>
    <w:next w:val="38"/>
    <w:qFormat/>
    <w:uiPriority w:val="34"/>
    <w:pPr>
      <w:ind w:firstLine="420" w:firstLineChars="200"/>
    </w:pPr>
  </w:style>
  <w:style w:type="paragraph" w:customStyle="1" w:styleId="96">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陕西招标局</Company>
  <Pages>70</Pages>
  <Words>34929</Words>
  <Characters>37387</Characters>
  <Lines>215</Lines>
  <Paragraphs>60</Paragraphs>
  <TotalTime>1</TotalTime>
  <ScaleCrop>false</ScaleCrop>
  <LinksUpToDate>false</LinksUpToDate>
  <CharactersWithSpaces>39420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2016-03-17T00:58:00Z</dcterms:created>
  <dc:creator>HXZB</dc:creator>
  <cp:keywords>Birthday</cp:keywords>
  <cp:lastModifiedBy>Administrator</cp:lastModifiedBy>
  <cp:lastPrinted>2022-07-27T11:52:00Z</cp:lastPrinted>
  <dcterms:modified xsi:type="dcterms:W3CDTF">2022-08-02T08:36:58Z</dcterms:modified>
  <dc:subject>Birthday</dc:subject>
  <dc:title>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E3D6370C497C4905AB7B2292DEC72707</vt:lpwstr>
  </property>
</Properties>
</file>