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
          <w:color w:val="auto"/>
          <w:sz w:val="32"/>
          <w:highlight w:val="none"/>
        </w:rPr>
      </w:pPr>
      <w:r>
        <w:rPr>
          <w:rFonts w:hint="eastAsia" w:ascii="宋体" w:hAnsi="宋体" w:cs="宋体"/>
          <w:b/>
          <w:color w:val="auto"/>
          <w:sz w:val="32"/>
          <w:highlight w:val="none"/>
        </w:rPr>
        <w:t xml:space="preserve"> </w:t>
      </w:r>
      <w:r>
        <w:rPr>
          <w:rFonts w:hint="eastAsia" w:ascii="宋体" w:hAnsi="宋体" w:cs="宋体"/>
          <w:color w:val="auto"/>
          <w:sz w:val="24"/>
          <w:highlight w:val="none"/>
        </w:rPr>
        <w:drawing>
          <wp:inline distT="0" distB="0" distL="0" distR="0">
            <wp:extent cx="4690745" cy="711200"/>
            <wp:effectExtent l="0" t="0" r="0" b="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90745" cy="711200"/>
                    </a:xfrm>
                    <a:prstGeom prst="rect">
                      <a:avLst/>
                    </a:prstGeom>
                    <a:noFill/>
                    <a:ln>
                      <a:noFill/>
                    </a:ln>
                  </pic:spPr>
                </pic:pic>
              </a:graphicData>
            </a:graphic>
          </wp:inline>
        </w:drawing>
      </w:r>
    </w:p>
    <w:p>
      <w:pPr>
        <w:tabs>
          <w:tab w:val="left" w:pos="8640"/>
        </w:tabs>
        <w:jc w:val="right"/>
        <w:rPr>
          <w:rFonts w:ascii="宋体" w:hAnsi="宋体" w:cs="宋体"/>
          <w:color w:val="auto"/>
          <w:sz w:val="24"/>
          <w:highlight w:val="none"/>
        </w:rPr>
      </w:pPr>
    </w:p>
    <w:p>
      <w:pPr>
        <w:tabs>
          <w:tab w:val="left" w:pos="8640"/>
        </w:tabs>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Cs w:val="16"/>
          <w:highlight w:val="none"/>
        </w:rPr>
        <w:t xml:space="preserve"> </w:t>
      </w:r>
      <w:r>
        <w:rPr>
          <w:rFonts w:hint="eastAsia" w:ascii="宋体" w:hAnsi="宋体" w:cs="宋体"/>
          <w:b/>
          <w:color w:val="auto"/>
          <w:sz w:val="28"/>
          <w:szCs w:val="18"/>
          <w:highlight w:val="none"/>
        </w:rPr>
        <w:t>项目编号：ZXHC2023-ZCBL-0112</w:t>
      </w:r>
    </w:p>
    <w:p>
      <w:pPr>
        <w:spacing w:line="360" w:lineRule="auto"/>
        <w:rPr>
          <w:rFonts w:ascii="宋体" w:hAnsi="宋体" w:cs="宋体"/>
          <w:color w:val="auto"/>
          <w:sz w:val="24"/>
          <w:highlight w:val="none"/>
        </w:rPr>
      </w:pPr>
    </w:p>
    <w:p>
      <w:pPr>
        <w:jc w:val="center"/>
        <w:rPr>
          <w:rFonts w:ascii="宋体" w:hAnsi="宋体" w:cs="宋体"/>
          <w:b/>
          <w:bCs/>
          <w:color w:val="auto"/>
          <w:sz w:val="48"/>
          <w:highlight w:val="none"/>
        </w:rPr>
      </w:pPr>
    </w:p>
    <w:p>
      <w:pPr>
        <w:jc w:val="center"/>
        <w:rPr>
          <w:rFonts w:ascii="宋体" w:hAnsi="宋体" w:cs="宋体"/>
          <w:b/>
          <w:bCs/>
          <w:color w:val="auto"/>
          <w:sz w:val="48"/>
          <w:highlight w:val="none"/>
        </w:rPr>
      </w:pPr>
      <w:r>
        <w:rPr>
          <w:rFonts w:hint="eastAsia" w:ascii="宋体" w:hAnsi="宋体" w:cs="宋体"/>
          <w:b/>
          <w:bCs/>
          <w:color w:val="auto"/>
          <w:sz w:val="48"/>
          <w:highlight w:val="none"/>
        </w:rPr>
        <w:t>西安市第六中学分校初中理化生实验考试系统采购项目</w:t>
      </w:r>
    </w:p>
    <w:p>
      <w:pPr>
        <w:jc w:val="center"/>
        <w:rPr>
          <w:rFonts w:ascii="宋体" w:hAnsi="宋体" w:cs="宋体"/>
          <w:color w:val="auto"/>
          <w:sz w:val="48"/>
          <w:highlight w:val="none"/>
        </w:rPr>
      </w:pPr>
    </w:p>
    <w:p>
      <w:pPr>
        <w:rPr>
          <w:rFonts w:ascii="宋体" w:hAnsi="宋体" w:cs="宋体"/>
          <w:color w:val="auto"/>
          <w:sz w:val="48"/>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jc w:val="center"/>
        <w:rPr>
          <w:rFonts w:ascii="宋体" w:hAnsi="宋体" w:cs="宋体"/>
          <w:color w:val="auto"/>
          <w:sz w:val="48"/>
          <w:highlight w:val="none"/>
        </w:rPr>
      </w:pPr>
    </w:p>
    <w:p>
      <w:pPr>
        <w:jc w:val="center"/>
        <w:rPr>
          <w:rFonts w:ascii="宋体" w:hAnsi="宋体" w:cs="宋体"/>
          <w:b/>
          <w:color w:val="auto"/>
          <w:sz w:val="84"/>
          <w:szCs w:val="84"/>
          <w:highlight w:val="none"/>
        </w:rPr>
      </w:pPr>
      <w:r>
        <w:rPr>
          <w:rFonts w:hint="eastAsia" w:ascii="宋体" w:hAnsi="宋体" w:cs="宋体"/>
          <w:b/>
          <w:color w:val="auto"/>
          <w:sz w:val="84"/>
          <w:szCs w:val="84"/>
          <w:highlight w:val="none"/>
        </w:rPr>
        <w:t>竞争性谈判文件</w:t>
      </w:r>
    </w:p>
    <w:p>
      <w:pPr>
        <w:spacing w:line="360" w:lineRule="auto"/>
        <w:rPr>
          <w:rFonts w:ascii="宋体" w:hAnsi="宋体" w:cs="宋体"/>
          <w:color w:val="auto"/>
          <w:sz w:val="32"/>
          <w:highlight w:val="none"/>
        </w:rPr>
      </w:pPr>
    </w:p>
    <w:p>
      <w:pPr>
        <w:rPr>
          <w:rFonts w:ascii="宋体" w:hAnsi="宋体" w:cs="宋体"/>
          <w:color w:val="auto"/>
          <w:highlight w:val="none"/>
        </w:rPr>
      </w:pPr>
    </w:p>
    <w:p>
      <w:pPr>
        <w:rPr>
          <w:rFonts w:ascii="宋体" w:hAnsi="宋体" w:cs="宋体"/>
          <w:color w:val="auto"/>
          <w:highlight w:val="none"/>
        </w:rPr>
      </w:pPr>
    </w:p>
    <w:p>
      <w:pPr>
        <w:spacing w:line="360" w:lineRule="auto"/>
        <w:rPr>
          <w:rFonts w:ascii="宋体" w:hAnsi="宋体" w:cs="宋体"/>
          <w:color w:val="auto"/>
          <w:sz w:val="32"/>
          <w:highlight w:val="none"/>
        </w:rPr>
      </w:pPr>
    </w:p>
    <w:p>
      <w:pPr>
        <w:spacing w:line="360" w:lineRule="auto"/>
        <w:rPr>
          <w:rFonts w:ascii="宋体" w:hAnsi="宋体" w:cs="宋体"/>
          <w:color w:val="auto"/>
          <w:sz w:val="32"/>
          <w:highlight w:val="none"/>
        </w:rPr>
      </w:pPr>
    </w:p>
    <w:p>
      <w:pPr>
        <w:spacing w:line="360" w:lineRule="auto"/>
        <w:rPr>
          <w:rFonts w:ascii="宋体" w:hAnsi="宋体" w:cs="宋体"/>
          <w:color w:val="auto"/>
          <w:sz w:val="32"/>
          <w:highlight w:val="none"/>
        </w:rPr>
      </w:pPr>
    </w:p>
    <w:p>
      <w:pPr>
        <w:rPr>
          <w:rFonts w:ascii="宋体" w:hAnsi="宋体" w:cs="宋体"/>
          <w:color w:val="auto"/>
          <w:highlight w:val="none"/>
        </w:rPr>
      </w:pPr>
    </w:p>
    <w:p>
      <w:pPr>
        <w:spacing w:line="360" w:lineRule="auto"/>
        <w:rPr>
          <w:rFonts w:ascii="宋体" w:hAnsi="宋体" w:cs="宋体"/>
          <w:color w:val="auto"/>
          <w:sz w:val="32"/>
          <w:highlight w:val="none"/>
        </w:rPr>
      </w:pPr>
    </w:p>
    <w:p>
      <w:pPr>
        <w:spacing w:line="360" w:lineRule="auto"/>
        <w:ind w:firstLine="1968" w:firstLineChars="700"/>
        <w:rPr>
          <w:rFonts w:ascii="宋体" w:hAnsi="宋体" w:cs="宋体"/>
          <w:b/>
          <w:color w:val="auto"/>
          <w:sz w:val="28"/>
          <w:szCs w:val="28"/>
          <w:highlight w:val="none"/>
          <w:u w:val="single"/>
        </w:rPr>
      </w:pPr>
      <w:r>
        <w:rPr>
          <w:rFonts w:hint="eastAsia" w:ascii="宋体" w:hAnsi="宋体" w:cs="宋体"/>
          <w:b/>
          <w:color w:val="auto"/>
          <w:sz w:val="28"/>
          <w:szCs w:val="28"/>
          <w:highlight w:val="none"/>
        </w:rPr>
        <w:t>采   购   人：</w:t>
      </w:r>
      <w:r>
        <w:rPr>
          <w:rFonts w:hint="eastAsia" w:ascii="宋体" w:hAnsi="宋体" w:cs="宋体"/>
          <w:b/>
          <w:color w:val="auto"/>
          <w:sz w:val="28"/>
          <w:szCs w:val="28"/>
          <w:highlight w:val="none"/>
          <w:u w:val="single"/>
        </w:rPr>
        <w:t xml:space="preserve">西安市第六中学分校          </w:t>
      </w:r>
    </w:p>
    <w:p>
      <w:pPr>
        <w:spacing w:line="360" w:lineRule="auto"/>
        <w:ind w:firstLine="1968" w:firstLineChars="700"/>
        <w:rPr>
          <w:rFonts w:ascii="宋体" w:hAnsi="宋体" w:cs="宋体"/>
          <w:b/>
          <w:color w:val="auto"/>
          <w:sz w:val="28"/>
          <w:szCs w:val="28"/>
          <w:highlight w:val="none"/>
          <w:u w:val="single"/>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rPr>
        <w:t>陕西中信海诚造价咨询有限公司</w:t>
      </w:r>
    </w:p>
    <w:p>
      <w:pPr>
        <w:spacing w:line="360" w:lineRule="auto"/>
        <w:rPr>
          <w:rFonts w:ascii="宋体" w:hAnsi="宋体" w:cs="宋体"/>
          <w:b/>
          <w:color w:val="auto"/>
          <w:szCs w:val="21"/>
          <w:highlight w:val="none"/>
        </w:rPr>
      </w:pPr>
    </w:p>
    <w:p>
      <w:pPr>
        <w:spacing w:line="360" w:lineRule="auto"/>
        <w:jc w:val="center"/>
        <w:rPr>
          <w:rFonts w:ascii="宋体" w:hAnsi="宋体" w:cs="宋体"/>
          <w:color w:val="auto"/>
          <w:sz w:val="36"/>
          <w:szCs w:val="21"/>
          <w:highlight w:val="none"/>
        </w:rPr>
      </w:pPr>
      <w:r>
        <w:rPr>
          <w:rFonts w:hint="eastAsia" w:ascii="宋体" w:hAnsi="宋体" w:cs="宋体"/>
          <w:b/>
          <w:color w:val="auto"/>
          <w:sz w:val="32"/>
          <w:szCs w:val="32"/>
          <w:highlight w:val="none"/>
        </w:rPr>
        <w:t>二〇二三年一月</w:t>
      </w:r>
    </w:p>
    <w:p>
      <w:pPr>
        <w:jc w:val="center"/>
        <w:rPr>
          <w:rFonts w:ascii="宋体" w:hAnsi="宋体" w:cs="宋体"/>
          <w:b/>
          <w:color w:val="auto"/>
          <w:sz w:val="40"/>
          <w:szCs w:val="40"/>
          <w:highlight w:val="none"/>
        </w:rPr>
        <w:sectPr>
          <w:headerReference r:id="rId3" w:type="default"/>
          <w:headerReference r:id="rId4" w:type="even"/>
          <w:footerReference r:id="rId5" w:type="even"/>
          <w:footnotePr>
            <w:pos w:val="beneathText"/>
          </w:footnotePr>
          <w:pgSz w:w="11906" w:h="16838"/>
          <w:pgMar w:top="1417" w:right="1644" w:bottom="1191" w:left="1757" w:header="850" w:footer="992" w:gutter="0"/>
          <w:cols w:space="0" w:num="1"/>
          <w:titlePg/>
          <w:docGrid w:linePitch="312" w:charSpace="0"/>
        </w:sectPr>
      </w:pPr>
    </w:p>
    <w:p>
      <w:pPr>
        <w:pStyle w:val="39"/>
        <w:jc w:val="center"/>
        <w:rPr>
          <w:rFonts w:ascii="宋体" w:hAnsi="宋体" w:eastAsia="宋体" w:cs="宋体"/>
          <w:b/>
          <w:color w:val="auto"/>
          <w:highlight w:val="none"/>
        </w:rPr>
      </w:pPr>
      <w:r>
        <w:rPr>
          <w:rFonts w:hint="eastAsia" w:ascii="宋体" w:hAnsi="宋体" w:eastAsia="宋体" w:cs="宋体"/>
          <w:b/>
          <w:color w:val="auto"/>
          <w:highlight w:val="none"/>
          <w:lang w:val="zh-CN"/>
        </w:rPr>
        <w:t>目录</w:t>
      </w:r>
    </w:p>
    <w:p>
      <w:pPr>
        <w:pStyle w:val="18"/>
        <w:tabs>
          <w:tab w:val="right" w:leader="dot" w:pos="8505"/>
        </w:tabs>
        <w:spacing w:line="360" w:lineRule="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"1-2" \h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"_Toc29245" </w:instrText>
      </w:r>
      <w:r>
        <w:rPr>
          <w:color w:val="auto"/>
          <w:highlight w:val="none"/>
        </w:rPr>
        <w:fldChar w:fldCharType="separate"/>
      </w:r>
      <w:r>
        <w:rPr>
          <w:rFonts w:hint="eastAsia" w:ascii="宋体" w:hAnsi="宋体" w:cs="宋体"/>
          <w:color w:val="auto"/>
          <w:highlight w:val="none"/>
        </w:rPr>
        <w:t>第一章  竞争性谈判公告</w:t>
      </w:r>
      <w:r>
        <w:rPr>
          <w:color w:val="auto"/>
          <w:highlight w:val="none"/>
        </w:rPr>
        <w:tab/>
      </w:r>
      <w:r>
        <w:rPr>
          <w:color w:val="auto"/>
          <w:highlight w:val="none"/>
        </w:rPr>
        <w:fldChar w:fldCharType="begin"/>
      </w:r>
      <w:r>
        <w:rPr>
          <w:color w:val="auto"/>
          <w:highlight w:val="none"/>
        </w:rPr>
        <w:instrText xml:space="preserve"> PAGEREF _Toc29245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8"/>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"_Toc26739" </w:instrText>
      </w:r>
      <w:r>
        <w:rPr>
          <w:color w:val="auto"/>
          <w:highlight w:val="none"/>
        </w:rPr>
        <w:fldChar w:fldCharType="separate"/>
      </w:r>
      <w:r>
        <w:rPr>
          <w:rFonts w:hint="eastAsia" w:ascii="宋体" w:hAnsi="宋体" w:cs="宋体"/>
          <w:color w:val="auto"/>
          <w:highlight w:val="none"/>
        </w:rPr>
        <w:t>第二章  谈判须知前附表</w:t>
      </w:r>
      <w:r>
        <w:rPr>
          <w:color w:val="auto"/>
          <w:highlight w:val="none"/>
        </w:rPr>
        <w:tab/>
      </w:r>
      <w:r>
        <w:rPr>
          <w:color w:val="auto"/>
          <w:highlight w:val="none"/>
        </w:rPr>
        <w:fldChar w:fldCharType="begin"/>
      </w:r>
      <w:r>
        <w:rPr>
          <w:color w:val="auto"/>
          <w:highlight w:val="none"/>
        </w:rPr>
        <w:instrText xml:space="preserve"> PAGEREF _Toc26739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"_Toc17745" </w:instrText>
      </w:r>
      <w:r>
        <w:rPr>
          <w:color w:val="auto"/>
          <w:highlight w:val="none"/>
        </w:rPr>
        <w:fldChar w:fldCharType="separate"/>
      </w:r>
      <w:r>
        <w:rPr>
          <w:rFonts w:hint="eastAsia" w:ascii="宋体" w:hAnsi="宋体" w:cs="宋体"/>
          <w:color w:val="auto"/>
          <w:szCs w:val="24"/>
          <w:highlight w:val="none"/>
        </w:rPr>
        <w:t>（一）总则</w:t>
      </w:r>
      <w:r>
        <w:rPr>
          <w:color w:val="auto"/>
          <w:highlight w:val="none"/>
        </w:rPr>
        <w:tab/>
      </w:r>
      <w:r>
        <w:rPr>
          <w:color w:val="auto"/>
          <w:highlight w:val="none"/>
        </w:rPr>
        <w:fldChar w:fldCharType="begin"/>
      </w:r>
      <w:r>
        <w:rPr>
          <w:color w:val="auto"/>
          <w:highlight w:val="none"/>
        </w:rPr>
        <w:instrText xml:space="preserve"> PAGEREF _Toc17745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"_Toc26083" </w:instrText>
      </w:r>
      <w:r>
        <w:rPr>
          <w:color w:val="auto"/>
          <w:highlight w:val="none"/>
        </w:rPr>
        <w:fldChar w:fldCharType="separate"/>
      </w:r>
      <w:r>
        <w:rPr>
          <w:rFonts w:hint="eastAsia" w:ascii="宋体" w:hAnsi="宋体" w:cs="宋体"/>
          <w:color w:val="auto"/>
          <w:szCs w:val="24"/>
          <w:highlight w:val="none"/>
        </w:rPr>
        <w:t>（二）谈判文件说明</w:t>
      </w:r>
      <w:r>
        <w:rPr>
          <w:color w:val="auto"/>
          <w:highlight w:val="none"/>
        </w:rPr>
        <w:tab/>
      </w:r>
      <w:r>
        <w:rPr>
          <w:color w:val="auto"/>
          <w:highlight w:val="none"/>
        </w:rPr>
        <w:fldChar w:fldCharType="begin"/>
      </w:r>
      <w:r>
        <w:rPr>
          <w:color w:val="auto"/>
          <w:highlight w:val="none"/>
        </w:rPr>
        <w:instrText xml:space="preserve"> PAGEREF _Toc26083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"_Toc15771" </w:instrText>
      </w:r>
      <w:r>
        <w:rPr>
          <w:color w:val="auto"/>
          <w:highlight w:val="none"/>
        </w:rPr>
        <w:fldChar w:fldCharType="separate"/>
      </w:r>
      <w:r>
        <w:rPr>
          <w:rFonts w:hint="eastAsia" w:ascii="宋体" w:hAnsi="宋体" w:cs="宋体"/>
          <w:color w:val="auto"/>
          <w:szCs w:val="24"/>
          <w:highlight w:val="none"/>
        </w:rPr>
        <w:t>（三）谈判响应文件的编写</w:t>
      </w:r>
      <w:r>
        <w:rPr>
          <w:color w:val="auto"/>
          <w:highlight w:val="none"/>
        </w:rPr>
        <w:tab/>
      </w:r>
      <w:r>
        <w:rPr>
          <w:color w:val="auto"/>
          <w:highlight w:val="none"/>
        </w:rPr>
        <w:fldChar w:fldCharType="begin"/>
      </w:r>
      <w:r>
        <w:rPr>
          <w:color w:val="auto"/>
          <w:highlight w:val="none"/>
        </w:rPr>
        <w:instrText xml:space="preserve"> PAGEREF _Toc15771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"_Toc11608" </w:instrText>
      </w:r>
      <w:r>
        <w:rPr>
          <w:color w:val="auto"/>
          <w:highlight w:val="none"/>
        </w:rPr>
        <w:fldChar w:fldCharType="separate"/>
      </w:r>
      <w:r>
        <w:rPr>
          <w:rFonts w:hint="eastAsia" w:ascii="宋体" w:hAnsi="宋体" w:cs="宋体"/>
          <w:color w:val="auto"/>
          <w:szCs w:val="24"/>
          <w:highlight w:val="none"/>
        </w:rPr>
        <w:t>（四）谈判响应文件的递交</w:t>
      </w:r>
      <w:r>
        <w:rPr>
          <w:color w:val="auto"/>
          <w:highlight w:val="none"/>
        </w:rPr>
        <w:tab/>
      </w:r>
      <w:r>
        <w:rPr>
          <w:color w:val="auto"/>
          <w:highlight w:val="none"/>
        </w:rPr>
        <w:fldChar w:fldCharType="begin"/>
      </w:r>
      <w:r>
        <w:rPr>
          <w:color w:val="auto"/>
          <w:highlight w:val="none"/>
        </w:rPr>
        <w:instrText xml:space="preserve"> PAGEREF _Toc11608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"_Toc20456" </w:instrText>
      </w:r>
      <w:r>
        <w:rPr>
          <w:color w:val="auto"/>
          <w:highlight w:val="none"/>
        </w:rPr>
        <w:fldChar w:fldCharType="separate"/>
      </w:r>
      <w:r>
        <w:rPr>
          <w:rFonts w:hint="eastAsia" w:ascii="宋体" w:hAnsi="宋体" w:cs="宋体"/>
          <w:color w:val="auto"/>
          <w:szCs w:val="24"/>
          <w:highlight w:val="none"/>
        </w:rPr>
        <w:t>（五） 开标/评审</w:t>
      </w:r>
      <w:r>
        <w:rPr>
          <w:color w:val="auto"/>
          <w:highlight w:val="none"/>
        </w:rPr>
        <w:tab/>
      </w:r>
      <w:r>
        <w:rPr>
          <w:color w:val="auto"/>
          <w:highlight w:val="none"/>
        </w:rPr>
        <w:fldChar w:fldCharType="begin"/>
      </w:r>
      <w:r>
        <w:rPr>
          <w:color w:val="auto"/>
          <w:highlight w:val="none"/>
        </w:rPr>
        <w:instrText xml:space="preserve"> PAGEREF _Toc20456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"_Toc20369" </w:instrText>
      </w:r>
      <w:r>
        <w:rPr>
          <w:color w:val="auto"/>
          <w:highlight w:val="none"/>
        </w:rPr>
        <w:fldChar w:fldCharType="separate"/>
      </w:r>
      <w:r>
        <w:rPr>
          <w:rFonts w:hint="eastAsia" w:ascii="宋体" w:hAnsi="宋体" w:cs="宋体"/>
          <w:color w:val="auto"/>
          <w:szCs w:val="24"/>
          <w:highlight w:val="none"/>
        </w:rPr>
        <w:t>（六） 授予合同</w:t>
      </w:r>
      <w:r>
        <w:rPr>
          <w:color w:val="auto"/>
          <w:highlight w:val="none"/>
        </w:rPr>
        <w:tab/>
      </w:r>
      <w:r>
        <w:rPr>
          <w:color w:val="auto"/>
          <w:highlight w:val="none"/>
        </w:rPr>
        <w:fldChar w:fldCharType="begin"/>
      </w:r>
      <w:r>
        <w:rPr>
          <w:color w:val="auto"/>
          <w:highlight w:val="none"/>
        </w:rPr>
        <w:instrText xml:space="preserve"> PAGEREF _Toc20369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8"/>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"_Toc9337" </w:instrText>
      </w:r>
      <w:r>
        <w:rPr>
          <w:color w:val="auto"/>
          <w:highlight w:val="none"/>
        </w:rPr>
        <w:fldChar w:fldCharType="separate"/>
      </w:r>
      <w:r>
        <w:rPr>
          <w:rFonts w:hint="eastAsia" w:ascii="宋体" w:hAnsi="宋体" w:cs="宋体"/>
          <w:color w:val="auto"/>
          <w:highlight w:val="none"/>
        </w:rPr>
        <w:t>第三章  采购内容及要求</w:t>
      </w:r>
      <w:r>
        <w:rPr>
          <w:color w:val="auto"/>
          <w:highlight w:val="none"/>
        </w:rPr>
        <w:tab/>
      </w:r>
      <w:r>
        <w:rPr>
          <w:color w:val="auto"/>
          <w:highlight w:val="none"/>
        </w:rPr>
        <w:fldChar w:fldCharType="begin"/>
      </w:r>
      <w:r>
        <w:rPr>
          <w:color w:val="auto"/>
          <w:highlight w:val="none"/>
        </w:rPr>
        <w:instrText xml:space="preserve"> PAGEREF _Toc9337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8"/>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"_Toc19530" </w:instrText>
      </w:r>
      <w:r>
        <w:rPr>
          <w:color w:val="auto"/>
          <w:highlight w:val="none"/>
        </w:rPr>
        <w:fldChar w:fldCharType="separate"/>
      </w:r>
      <w:r>
        <w:rPr>
          <w:rFonts w:hint="eastAsia" w:ascii="宋体" w:hAnsi="宋体" w:cs="宋体"/>
          <w:color w:val="auto"/>
          <w:highlight w:val="none"/>
        </w:rPr>
        <w:t>第四章  合同一般条款</w:t>
      </w:r>
      <w:r>
        <w:rPr>
          <w:color w:val="auto"/>
          <w:highlight w:val="none"/>
        </w:rPr>
        <w:tab/>
      </w:r>
      <w:r>
        <w:rPr>
          <w:color w:val="auto"/>
          <w:highlight w:val="none"/>
        </w:rPr>
        <w:fldChar w:fldCharType="begin"/>
      </w:r>
      <w:r>
        <w:rPr>
          <w:color w:val="auto"/>
          <w:highlight w:val="none"/>
        </w:rPr>
        <w:instrText xml:space="preserve"> PAGEREF _Toc19530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8"/>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"_Toc15023" </w:instrText>
      </w:r>
      <w:r>
        <w:rPr>
          <w:color w:val="auto"/>
          <w:highlight w:val="none"/>
        </w:rPr>
        <w:fldChar w:fldCharType="separate"/>
      </w:r>
      <w:r>
        <w:rPr>
          <w:rFonts w:hint="eastAsia" w:ascii="宋体" w:hAnsi="宋体" w:cs="宋体"/>
          <w:color w:val="auto"/>
          <w:highlight w:val="none"/>
        </w:rPr>
        <w:t>第五章  附件--谈判响应文件格式</w:t>
      </w:r>
      <w:r>
        <w:rPr>
          <w:color w:val="auto"/>
          <w:highlight w:val="none"/>
        </w:rPr>
        <w:tab/>
      </w:r>
      <w:r>
        <w:rPr>
          <w:color w:val="auto"/>
          <w:highlight w:val="none"/>
        </w:rPr>
        <w:fldChar w:fldCharType="begin"/>
      </w:r>
      <w:r>
        <w:rPr>
          <w:color w:val="auto"/>
          <w:highlight w:val="none"/>
        </w:rPr>
        <w:instrText xml:space="preserve"> PAGEREF _Toc15023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"_Toc29093" </w:instrText>
      </w:r>
      <w:r>
        <w:rPr>
          <w:color w:val="auto"/>
          <w:highlight w:val="none"/>
        </w:rPr>
        <w:fldChar w:fldCharType="separate"/>
      </w:r>
      <w:r>
        <w:rPr>
          <w:rFonts w:hint="eastAsia" w:ascii="宋体" w:hAnsi="宋体" w:cs="宋体"/>
          <w:bCs/>
          <w:color w:val="auto"/>
          <w:szCs w:val="24"/>
          <w:highlight w:val="none"/>
        </w:rPr>
        <w:t>一、封面</w:t>
      </w:r>
      <w:r>
        <w:rPr>
          <w:color w:val="auto"/>
          <w:highlight w:val="none"/>
        </w:rPr>
        <w:tab/>
      </w:r>
      <w:r>
        <w:rPr>
          <w:color w:val="auto"/>
          <w:highlight w:val="none"/>
        </w:rPr>
        <w:fldChar w:fldCharType="begin"/>
      </w:r>
      <w:r>
        <w:rPr>
          <w:color w:val="auto"/>
          <w:highlight w:val="none"/>
        </w:rPr>
        <w:instrText xml:space="preserve"> PAGEREF _Toc29093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"_Toc27462" </w:instrText>
      </w:r>
      <w:r>
        <w:rPr>
          <w:color w:val="auto"/>
          <w:highlight w:val="none"/>
        </w:rPr>
        <w:fldChar w:fldCharType="separate"/>
      </w:r>
      <w:r>
        <w:rPr>
          <w:rFonts w:hint="eastAsia" w:ascii="宋体" w:hAnsi="宋体" w:cs="宋体"/>
          <w:color w:val="auto"/>
          <w:szCs w:val="24"/>
          <w:highlight w:val="none"/>
        </w:rPr>
        <w:t>二、目录</w:t>
      </w:r>
      <w:r>
        <w:rPr>
          <w:color w:val="auto"/>
          <w:highlight w:val="none"/>
        </w:rPr>
        <w:tab/>
      </w:r>
      <w:r>
        <w:rPr>
          <w:color w:val="auto"/>
          <w:highlight w:val="none"/>
        </w:rPr>
        <w:fldChar w:fldCharType="begin"/>
      </w:r>
      <w:r>
        <w:rPr>
          <w:color w:val="auto"/>
          <w:highlight w:val="none"/>
        </w:rPr>
        <w:instrText xml:space="preserve"> PAGEREF _Toc27462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"_Toc29707" </w:instrText>
      </w:r>
      <w:r>
        <w:rPr>
          <w:color w:val="auto"/>
          <w:highlight w:val="none"/>
        </w:rPr>
        <w:fldChar w:fldCharType="separate"/>
      </w:r>
      <w:r>
        <w:rPr>
          <w:rFonts w:hint="eastAsia" w:ascii="宋体" w:hAnsi="宋体" w:cs="宋体"/>
          <w:color w:val="auto"/>
          <w:szCs w:val="24"/>
          <w:highlight w:val="none"/>
        </w:rPr>
        <w:t>三、谈判响应函</w:t>
      </w:r>
      <w:r>
        <w:rPr>
          <w:color w:val="auto"/>
          <w:highlight w:val="none"/>
        </w:rPr>
        <w:tab/>
      </w:r>
      <w:r>
        <w:rPr>
          <w:color w:val="auto"/>
          <w:highlight w:val="none"/>
        </w:rPr>
        <w:fldChar w:fldCharType="begin"/>
      </w:r>
      <w:r>
        <w:rPr>
          <w:color w:val="auto"/>
          <w:highlight w:val="none"/>
        </w:rPr>
        <w:instrText xml:space="preserve"> PAGEREF _Toc29707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"_Toc17715" </w:instrText>
      </w:r>
      <w:r>
        <w:rPr>
          <w:color w:val="auto"/>
          <w:highlight w:val="none"/>
        </w:rPr>
        <w:fldChar w:fldCharType="separate"/>
      </w:r>
      <w:r>
        <w:rPr>
          <w:rFonts w:hint="eastAsia" w:ascii="宋体" w:hAnsi="宋体" w:cs="宋体"/>
          <w:color w:val="auto"/>
          <w:szCs w:val="24"/>
          <w:highlight w:val="none"/>
        </w:rPr>
        <w:t>四、首次谈判报价表</w:t>
      </w:r>
      <w:r>
        <w:rPr>
          <w:color w:val="auto"/>
          <w:highlight w:val="none"/>
        </w:rPr>
        <w:tab/>
      </w:r>
      <w:r>
        <w:rPr>
          <w:color w:val="auto"/>
          <w:highlight w:val="none"/>
        </w:rPr>
        <w:fldChar w:fldCharType="begin"/>
      </w:r>
      <w:r>
        <w:rPr>
          <w:color w:val="auto"/>
          <w:highlight w:val="none"/>
        </w:rPr>
        <w:instrText xml:space="preserve"> PAGEREF _Toc17715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"_Toc27140" </w:instrText>
      </w:r>
      <w:r>
        <w:rPr>
          <w:color w:val="auto"/>
          <w:highlight w:val="none"/>
        </w:rPr>
        <w:fldChar w:fldCharType="separate"/>
      </w:r>
      <w:r>
        <w:rPr>
          <w:rFonts w:hint="eastAsia" w:ascii="宋体" w:hAnsi="宋体" w:cs="宋体"/>
          <w:color w:val="auto"/>
          <w:szCs w:val="24"/>
          <w:highlight w:val="none"/>
        </w:rPr>
        <w:t>五、响应方案</w:t>
      </w:r>
      <w:r>
        <w:rPr>
          <w:color w:val="auto"/>
          <w:highlight w:val="none"/>
        </w:rPr>
        <w:tab/>
      </w:r>
      <w:r>
        <w:rPr>
          <w:color w:val="auto"/>
          <w:highlight w:val="none"/>
        </w:rPr>
        <w:fldChar w:fldCharType="begin"/>
      </w:r>
      <w:r>
        <w:rPr>
          <w:color w:val="auto"/>
          <w:highlight w:val="none"/>
        </w:rPr>
        <w:instrText xml:space="preserve"> PAGEREF _Toc27140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"_Toc25248" </w:instrText>
      </w:r>
      <w:r>
        <w:rPr>
          <w:color w:val="auto"/>
          <w:highlight w:val="none"/>
        </w:rPr>
        <w:fldChar w:fldCharType="separate"/>
      </w:r>
      <w:r>
        <w:rPr>
          <w:rFonts w:hint="eastAsia" w:ascii="宋体" w:hAnsi="宋体" w:cs="宋体"/>
          <w:color w:val="auto"/>
          <w:szCs w:val="24"/>
          <w:highlight w:val="none"/>
        </w:rPr>
        <w:t>六、供应商资格证明文件及其他</w:t>
      </w:r>
      <w:r>
        <w:rPr>
          <w:color w:val="auto"/>
          <w:highlight w:val="none"/>
        </w:rPr>
        <w:tab/>
      </w:r>
      <w:r>
        <w:rPr>
          <w:color w:val="auto"/>
          <w:highlight w:val="none"/>
        </w:rPr>
        <w:fldChar w:fldCharType="begin"/>
      </w:r>
      <w:r>
        <w:rPr>
          <w:color w:val="auto"/>
          <w:highlight w:val="none"/>
        </w:rPr>
        <w:instrText xml:space="preserve"> PAGEREF _Toc25248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"_Toc29651" </w:instrText>
      </w:r>
      <w:r>
        <w:rPr>
          <w:color w:val="auto"/>
          <w:highlight w:val="none"/>
        </w:rPr>
        <w:fldChar w:fldCharType="separate"/>
      </w:r>
      <w:r>
        <w:rPr>
          <w:rFonts w:hint="eastAsia" w:ascii="宋体" w:hAnsi="宋体" w:cs="宋体"/>
          <w:color w:val="auto"/>
          <w:szCs w:val="24"/>
          <w:highlight w:val="none"/>
        </w:rPr>
        <w:t>七、陕西省政府采购供应商拒绝政府采购领域商业贿赂承诺书</w:t>
      </w:r>
      <w:r>
        <w:rPr>
          <w:color w:val="auto"/>
          <w:highlight w:val="none"/>
        </w:rPr>
        <w:tab/>
      </w:r>
      <w:r>
        <w:rPr>
          <w:color w:val="auto"/>
          <w:highlight w:val="none"/>
        </w:rPr>
        <w:fldChar w:fldCharType="begin"/>
      </w:r>
      <w:r>
        <w:rPr>
          <w:color w:val="auto"/>
          <w:highlight w:val="none"/>
        </w:rPr>
        <w:instrText xml:space="preserve"> PAGEREF _Toc29651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19"/>
        <w:tabs>
          <w:tab w:val="right" w:leader="dot" w:pos="8505"/>
        </w:tabs>
        <w:spacing w:line="360" w:lineRule="auto"/>
        <w:rPr>
          <w:color w:val="auto"/>
          <w:highlight w:val="none"/>
        </w:rPr>
      </w:pPr>
      <w:r>
        <w:rPr>
          <w:color w:val="auto"/>
          <w:highlight w:val="none"/>
        </w:rPr>
        <w:fldChar w:fldCharType="begin"/>
      </w:r>
      <w:r>
        <w:rPr>
          <w:color w:val="auto"/>
          <w:highlight w:val="none"/>
        </w:rPr>
        <w:instrText xml:space="preserve"> HYPERLINK \l "_Toc32411" </w:instrText>
      </w:r>
      <w:r>
        <w:rPr>
          <w:color w:val="auto"/>
          <w:highlight w:val="none"/>
        </w:rPr>
        <w:fldChar w:fldCharType="separate"/>
      </w:r>
      <w:r>
        <w:rPr>
          <w:rFonts w:hint="eastAsia" w:ascii="宋体" w:hAnsi="宋体" w:cs="宋体"/>
          <w:color w:val="auto"/>
          <w:szCs w:val="24"/>
          <w:highlight w:val="none"/>
        </w:rPr>
        <w:t>八、供应商满足政府采购相关优惠政策的声明或证明材料</w:t>
      </w:r>
      <w:r>
        <w:rPr>
          <w:color w:val="auto"/>
          <w:highlight w:val="none"/>
        </w:rPr>
        <w:tab/>
      </w:r>
      <w:r>
        <w:rPr>
          <w:color w:val="auto"/>
          <w:highlight w:val="none"/>
        </w:rPr>
        <w:fldChar w:fldCharType="begin"/>
      </w:r>
      <w:r>
        <w:rPr>
          <w:color w:val="auto"/>
          <w:highlight w:val="none"/>
        </w:rPr>
        <w:instrText xml:space="preserve"> PAGEREF _Toc32411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spacing w:line="360" w:lineRule="auto"/>
        <w:rPr>
          <w:rFonts w:ascii="宋体" w:hAnsi="宋体" w:cs="宋体"/>
          <w:b/>
          <w:color w:val="auto"/>
          <w:sz w:val="36"/>
          <w:szCs w:val="36"/>
          <w:highlight w:val="none"/>
        </w:rPr>
      </w:pPr>
      <w:r>
        <w:rPr>
          <w:rFonts w:hint="eastAsia" w:ascii="宋体" w:hAnsi="宋体" w:cs="宋体"/>
          <w:color w:val="auto"/>
          <w:highlight w:val="none"/>
        </w:rPr>
        <w:fldChar w:fldCharType="end"/>
      </w:r>
      <w:r>
        <w:rPr>
          <w:rFonts w:hint="eastAsia" w:ascii="宋体" w:hAnsi="宋体" w:cs="宋体"/>
          <w:b/>
          <w:color w:val="auto"/>
          <w:sz w:val="36"/>
          <w:szCs w:val="36"/>
          <w:highlight w:val="none"/>
        </w:rPr>
        <w:t xml:space="preserve"> </w:t>
      </w:r>
    </w:p>
    <w:p>
      <w:pPr>
        <w:pStyle w:val="19"/>
        <w:tabs>
          <w:tab w:val="right" w:leader="dot" w:pos="8504"/>
        </w:tabs>
        <w:spacing w:line="360" w:lineRule="auto"/>
        <w:rPr>
          <w:rFonts w:ascii="宋体" w:hAnsi="宋体" w:cs="宋体"/>
          <w:b/>
          <w:bCs/>
          <w:color w:val="auto"/>
          <w:sz w:val="28"/>
          <w:szCs w:val="28"/>
          <w:highlight w:val="none"/>
        </w:rPr>
      </w:pPr>
    </w:p>
    <w:p>
      <w:pPr>
        <w:pStyle w:val="2"/>
        <w:rPr>
          <w:rFonts w:ascii="宋体" w:hAnsi="宋体" w:cs="宋体"/>
          <w:b w:val="0"/>
          <w:color w:val="auto"/>
          <w:sz w:val="28"/>
          <w:szCs w:val="28"/>
          <w:highlight w:val="none"/>
        </w:rPr>
        <w:sectPr>
          <w:headerReference r:id="rId6" w:type="first"/>
          <w:footerReference r:id="rId8" w:type="first"/>
          <w:footerReference r:id="rId7" w:type="default"/>
          <w:footnotePr>
            <w:pos w:val="beneathText"/>
          </w:footnotePr>
          <w:pgSz w:w="11906" w:h="16838"/>
          <w:pgMar w:top="1417" w:right="1644" w:bottom="1191" w:left="1757" w:header="850" w:footer="992" w:gutter="0"/>
          <w:pgNumType w:start="2"/>
          <w:cols w:space="0" w:num="1"/>
          <w:titlePg/>
          <w:docGrid w:linePitch="312" w:charSpace="0"/>
        </w:sectPr>
      </w:pPr>
      <w:bookmarkStart w:id="0" w:name="_Toc193702467"/>
      <w:bookmarkStart w:id="1" w:name="_Toc246928891"/>
    </w:p>
    <w:p>
      <w:pPr>
        <w:pStyle w:val="21"/>
        <w:rPr>
          <w:rFonts w:ascii="宋体" w:hAnsi="宋体" w:cs="宋体"/>
          <w:color w:val="auto"/>
          <w:highlight w:val="none"/>
        </w:rPr>
      </w:pPr>
      <w:bookmarkStart w:id="2" w:name="_Toc519091192"/>
      <w:bookmarkStart w:id="3" w:name="_Toc20476"/>
      <w:bookmarkStart w:id="4" w:name="_Toc519091920"/>
      <w:bookmarkStart w:id="5" w:name="_Toc519085725"/>
      <w:bookmarkStart w:id="6" w:name="_Toc29245"/>
      <w:bookmarkStart w:id="7" w:name="_Toc18412"/>
      <w:r>
        <w:rPr>
          <w:rFonts w:hint="eastAsia" w:ascii="宋体" w:hAnsi="宋体" w:cs="宋体"/>
          <w:color w:val="auto"/>
          <w:highlight w:val="none"/>
        </w:rPr>
        <w:t>第一</w:t>
      </w:r>
      <w:bookmarkEnd w:id="0"/>
      <w:r>
        <w:rPr>
          <w:rFonts w:hint="eastAsia" w:ascii="宋体" w:hAnsi="宋体" w:cs="宋体"/>
          <w:color w:val="auto"/>
          <w:highlight w:val="none"/>
        </w:rPr>
        <w:t>章  竞争性谈判公告</w:t>
      </w:r>
      <w:bookmarkEnd w:id="1"/>
      <w:bookmarkEnd w:id="2"/>
      <w:bookmarkEnd w:id="3"/>
      <w:bookmarkEnd w:id="4"/>
      <w:bookmarkEnd w:id="5"/>
      <w:bookmarkEnd w:id="6"/>
      <w:bookmarkEnd w:id="7"/>
    </w:p>
    <w:p>
      <w:pPr>
        <w:pStyle w:val="7"/>
        <w:widowControl/>
        <w:shd w:val="clear" w:color="auto" w:fill="FFFFFF"/>
        <w:spacing w:beforeAutospacing="0" w:afterAutospacing="0" w:line="30" w:lineRule="atLeast"/>
        <w:rPr>
          <w:rFonts w:hint="default" w:ascii="微软雅黑" w:hAnsi="微软雅黑" w:eastAsia="微软雅黑" w:cs="微软雅黑"/>
          <w:b w:val="0"/>
          <w:bCs w:val="0"/>
          <w:color w:val="auto"/>
          <w:sz w:val="21"/>
          <w:szCs w:val="21"/>
          <w:highlight w:val="none"/>
        </w:rPr>
      </w:pPr>
      <w:bookmarkStart w:id="8" w:name="_Toc519091921"/>
      <w:bookmarkStart w:id="9" w:name="_Toc519091202"/>
      <w:bookmarkStart w:id="10" w:name="_Toc246928893"/>
      <w:bookmarkStart w:id="11" w:name="_Toc519085735"/>
      <w:r>
        <w:rPr>
          <w:rStyle w:val="28"/>
          <w:rFonts w:ascii="微软雅黑" w:hAnsi="微软雅黑" w:eastAsia="微软雅黑" w:cs="微软雅黑"/>
          <w:b/>
          <w:bCs/>
          <w:color w:val="auto"/>
          <w:sz w:val="21"/>
          <w:szCs w:val="21"/>
          <w:highlight w:val="none"/>
          <w:shd w:val="clear" w:color="auto" w:fill="FFFFFF"/>
        </w:rPr>
        <w:t>项目概况</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初中理化生实验考试系统采购采购项目的潜在供应商应在采购文件获取时间内，请携带单位介绍信到西安市碑林区含光北路 2 号广丰国际大厦Ⅱ区 806室获取采购文件，并于 2023年01月1</w:t>
      </w:r>
      <w:r>
        <w:rPr>
          <w:rFonts w:hint="eastAsia" w:ascii="微软雅黑" w:hAnsi="微软雅黑" w:eastAsia="微软雅黑" w:cs="微软雅黑"/>
          <w:color w:val="auto"/>
          <w:sz w:val="21"/>
          <w:szCs w:val="21"/>
          <w:highlight w:val="none"/>
          <w:shd w:val="clear" w:color="auto" w:fill="FFFFFF"/>
          <w:lang w:val="en-US" w:eastAsia="zh-CN"/>
        </w:rPr>
        <w:t>9</w:t>
      </w:r>
      <w:r>
        <w:rPr>
          <w:rFonts w:hint="eastAsia" w:ascii="微软雅黑" w:hAnsi="微软雅黑" w:eastAsia="微软雅黑" w:cs="微软雅黑"/>
          <w:color w:val="auto"/>
          <w:sz w:val="21"/>
          <w:szCs w:val="21"/>
          <w:highlight w:val="none"/>
          <w:shd w:val="clear" w:color="auto" w:fill="FFFFFF"/>
        </w:rPr>
        <w:t>日 10时00分 （北京时间）前提交响应文件。</w:t>
      </w:r>
    </w:p>
    <w:p>
      <w:pPr>
        <w:pStyle w:val="5"/>
        <w:keepNext w:val="0"/>
        <w:keepLines w:val="0"/>
        <w:widowControl/>
        <w:shd w:val="clear" w:color="auto" w:fill="FFFFFF"/>
        <w:spacing w:before="150" w:line="750" w:lineRule="atLeast"/>
        <w:jc w:val="left"/>
        <w:rPr>
          <w:rFonts w:ascii="微软雅黑" w:hAnsi="微软雅黑" w:eastAsia="微软雅黑" w:cs="微软雅黑"/>
          <w:b w:val="0"/>
          <w:color w:val="auto"/>
          <w:sz w:val="21"/>
          <w:szCs w:val="21"/>
          <w:highlight w:val="none"/>
        </w:rPr>
      </w:pPr>
      <w:r>
        <w:rPr>
          <w:rStyle w:val="28"/>
          <w:rFonts w:hint="eastAsia" w:ascii="微软雅黑" w:hAnsi="微软雅黑" w:eastAsia="微软雅黑" w:cs="微软雅黑"/>
          <w:b/>
          <w:color w:val="auto"/>
          <w:sz w:val="21"/>
          <w:szCs w:val="21"/>
          <w:highlight w:val="none"/>
          <w:shd w:val="clear" w:color="auto" w:fill="FFFFFF"/>
        </w:rPr>
        <w:t>一、项目基本情况</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项目编号：ZXHC2023-ZCBL-0112</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项目名称：初中理化生实验考试系统采购</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采购方式：竞争性谈判</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预算金额：1,700,000.00元</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采购需求：</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合同包1(初中理化生实验考试系统采购):</w:t>
      </w:r>
    </w:p>
    <w:p>
      <w:pPr>
        <w:pStyle w:val="20"/>
        <w:spacing w:beforeAutospacing="0" w:afterAutospacing="0" w:line="480" w:lineRule="atLeast"/>
        <w:ind w:firstLine="63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合同包预算金额：1,700,000.00元</w:t>
      </w:r>
    </w:p>
    <w:p>
      <w:pPr>
        <w:pStyle w:val="20"/>
        <w:spacing w:beforeAutospacing="0" w:afterAutospacing="0" w:line="480" w:lineRule="atLeast"/>
        <w:ind w:firstLine="63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合同包最高限价：1,700,000.00元</w:t>
      </w:r>
    </w:p>
    <w:tbl>
      <w:tblPr>
        <w:tblStyle w:val="2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7"/>
        <w:gridCol w:w="910"/>
        <w:gridCol w:w="910"/>
        <w:gridCol w:w="1273"/>
        <w:gridCol w:w="1886"/>
        <w:gridCol w:w="1504"/>
        <w:gridCol w:w="15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b/>
                <w:bCs/>
                <w:color w:val="auto"/>
                <w:szCs w:val="21"/>
                <w:highlight w:val="none"/>
              </w:rPr>
            </w:pPr>
            <w:r>
              <w:rPr>
                <w:rFonts w:ascii="宋体" w:hAnsi="宋体" w:cs="宋体"/>
                <w:b/>
                <w:bCs/>
                <w:color w:val="auto"/>
                <w:kern w:val="0"/>
                <w:szCs w:val="21"/>
                <w:highlight w:val="none"/>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b/>
                <w:bCs/>
                <w:color w:val="auto"/>
                <w:szCs w:val="21"/>
                <w:highlight w:val="none"/>
              </w:rPr>
            </w:pPr>
            <w:r>
              <w:rPr>
                <w:rFonts w:ascii="宋体" w:hAnsi="宋体" w:cs="宋体"/>
                <w:b/>
                <w:bCs/>
                <w:color w:val="auto"/>
                <w:kern w:val="0"/>
                <w:szCs w:val="21"/>
                <w:highlight w:val="none"/>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b/>
                <w:bCs/>
                <w:color w:val="auto"/>
                <w:szCs w:val="21"/>
                <w:highlight w:val="none"/>
              </w:rPr>
            </w:pPr>
            <w:r>
              <w:rPr>
                <w:rFonts w:ascii="宋体" w:hAnsi="宋体" w:cs="宋体"/>
                <w:b/>
                <w:bCs/>
                <w:color w:val="auto"/>
                <w:kern w:val="0"/>
                <w:szCs w:val="21"/>
                <w:highlight w:val="none"/>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b/>
                <w:bCs/>
                <w:color w:val="auto"/>
                <w:szCs w:val="21"/>
                <w:highlight w:val="none"/>
              </w:rPr>
            </w:pPr>
            <w:r>
              <w:rPr>
                <w:rFonts w:ascii="宋体" w:hAnsi="宋体" w:cs="宋体"/>
                <w:b/>
                <w:bCs/>
                <w:color w:val="auto"/>
                <w:kern w:val="0"/>
                <w:szCs w:val="21"/>
                <w:highlight w:val="none"/>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b/>
                <w:bCs/>
                <w:color w:val="auto"/>
                <w:szCs w:val="21"/>
                <w:highlight w:val="none"/>
              </w:rPr>
            </w:pPr>
            <w:r>
              <w:rPr>
                <w:rFonts w:ascii="宋体" w:hAnsi="宋体" w:cs="宋体"/>
                <w:b/>
                <w:bCs/>
                <w:color w:val="auto"/>
                <w:kern w:val="0"/>
                <w:szCs w:val="21"/>
                <w:highlight w:val="none"/>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b/>
                <w:bCs/>
                <w:color w:val="auto"/>
                <w:szCs w:val="21"/>
                <w:highlight w:val="none"/>
              </w:rPr>
            </w:pPr>
            <w:r>
              <w:rPr>
                <w:rFonts w:ascii="宋体" w:hAnsi="宋体" w:cs="宋体"/>
                <w:b/>
                <w:bCs/>
                <w:color w:val="auto"/>
                <w:kern w:val="0"/>
                <w:szCs w:val="21"/>
                <w:highlight w:val="none"/>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b/>
                <w:bCs/>
                <w:color w:val="auto"/>
                <w:szCs w:val="21"/>
                <w:highlight w:val="none"/>
              </w:rPr>
            </w:pPr>
            <w:r>
              <w:rPr>
                <w:rFonts w:ascii="宋体" w:hAnsi="宋体" w:cs="宋体"/>
                <w:b/>
                <w:bCs/>
                <w:color w:val="auto"/>
                <w:kern w:val="0"/>
                <w:szCs w:val="21"/>
                <w:highlight w:val="none"/>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color w:val="auto"/>
                <w:szCs w:val="21"/>
                <w:highlight w:val="none"/>
              </w:rPr>
            </w:pPr>
            <w:r>
              <w:rPr>
                <w:rFonts w:ascii="宋体" w:hAnsi="宋体" w:cs="宋体"/>
                <w:color w:val="auto"/>
                <w:kern w:val="0"/>
                <w:szCs w:val="21"/>
                <w:highlight w:val="none"/>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color w:val="auto"/>
                <w:szCs w:val="21"/>
                <w:highlight w:val="none"/>
              </w:rPr>
            </w:pPr>
            <w:r>
              <w:rPr>
                <w:rFonts w:ascii="宋体" w:hAnsi="宋体" w:cs="宋体"/>
                <w:color w:val="auto"/>
                <w:kern w:val="0"/>
                <w:szCs w:val="21"/>
                <w:highlight w:val="none"/>
              </w:rPr>
              <w:t>教学仪器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color w:val="auto"/>
                <w:szCs w:val="21"/>
                <w:highlight w:val="none"/>
              </w:rPr>
            </w:pPr>
            <w:r>
              <w:rPr>
                <w:rFonts w:ascii="宋体" w:hAnsi="宋体" w:cs="宋体"/>
                <w:color w:val="auto"/>
                <w:kern w:val="0"/>
                <w:szCs w:val="21"/>
                <w:highlight w:val="none"/>
              </w:rPr>
              <w:t>1700000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color w:val="auto"/>
                <w:szCs w:val="21"/>
                <w:highlight w:val="none"/>
              </w:rPr>
            </w:pPr>
            <w:r>
              <w:rPr>
                <w:rFonts w:ascii="宋体" w:hAnsi="宋体" w:cs="宋体"/>
                <w:color w:val="auto"/>
                <w:kern w:val="0"/>
                <w:szCs w:val="21"/>
                <w:highlight w:val="none"/>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color w:val="auto"/>
                <w:szCs w:val="21"/>
                <w:highlight w:val="none"/>
              </w:rPr>
            </w:pPr>
            <w:r>
              <w:rPr>
                <w:rFonts w:ascii="宋体" w:hAnsi="宋体" w:cs="宋体"/>
                <w:color w:val="auto"/>
                <w:kern w:val="0"/>
                <w:szCs w:val="21"/>
                <w:highlight w:val="none"/>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color w:val="auto"/>
                <w:szCs w:val="21"/>
                <w:highlight w:val="none"/>
              </w:rPr>
            </w:pPr>
            <w:r>
              <w:rPr>
                <w:rFonts w:ascii="宋体" w:hAnsi="宋体" w:cs="宋体"/>
                <w:color w:val="auto"/>
                <w:kern w:val="0"/>
                <w:szCs w:val="21"/>
                <w:highlight w:val="none"/>
              </w:rPr>
              <w:t>1,700,000.00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color w:val="auto"/>
                <w:szCs w:val="21"/>
                <w:highlight w:val="none"/>
              </w:rPr>
            </w:pPr>
            <w:r>
              <w:rPr>
                <w:rFonts w:ascii="宋体" w:hAnsi="宋体" w:cs="宋体"/>
                <w:color w:val="auto"/>
                <w:kern w:val="0"/>
                <w:szCs w:val="21"/>
                <w:highlight w:val="none"/>
              </w:rPr>
              <w:t>1,700,000.00</w:t>
            </w:r>
          </w:p>
        </w:tc>
      </w:tr>
    </w:tbl>
    <w:p>
      <w:pPr>
        <w:pStyle w:val="20"/>
        <w:spacing w:beforeAutospacing="0" w:afterAutospacing="0" w:line="480" w:lineRule="atLeast"/>
        <w:ind w:firstLine="63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本合同包不接受联合体投标</w:t>
      </w:r>
    </w:p>
    <w:p>
      <w:pPr>
        <w:pStyle w:val="20"/>
        <w:spacing w:beforeAutospacing="0" w:afterAutospacing="0" w:line="480" w:lineRule="atLeast"/>
        <w:ind w:firstLine="63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合同履行期限：在合同签订后15日内交货完毕，且安装调试完成。</w:t>
      </w:r>
    </w:p>
    <w:p>
      <w:pPr>
        <w:pStyle w:val="5"/>
        <w:keepNext w:val="0"/>
        <w:keepLines w:val="0"/>
        <w:widowControl/>
        <w:shd w:val="clear" w:color="auto" w:fill="FFFFFF"/>
        <w:spacing w:before="150" w:line="750" w:lineRule="atLeast"/>
        <w:jc w:val="left"/>
        <w:rPr>
          <w:rFonts w:ascii="微软雅黑" w:hAnsi="微软雅黑" w:eastAsia="微软雅黑" w:cs="微软雅黑"/>
          <w:b w:val="0"/>
          <w:color w:val="auto"/>
          <w:sz w:val="21"/>
          <w:szCs w:val="21"/>
          <w:highlight w:val="none"/>
        </w:rPr>
      </w:pPr>
      <w:r>
        <w:rPr>
          <w:rStyle w:val="28"/>
          <w:rFonts w:hint="eastAsia" w:ascii="微软雅黑" w:hAnsi="微软雅黑" w:eastAsia="微软雅黑" w:cs="微软雅黑"/>
          <w:b/>
          <w:color w:val="auto"/>
          <w:sz w:val="21"/>
          <w:szCs w:val="21"/>
          <w:highlight w:val="none"/>
          <w:shd w:val="clear" w:color="auto" w:fill="FFFFFF"/>
        </w:rPr>
        <w:t>二、申请人的资格要求：</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1.满足《中华人民共和国政府采购法》第二十二条规定;</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2.落实政府采购政策需满足的资格要求：</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合同包1(初中理化生实验考试系统采购)落实政府采购政策需满足的资格要求如下:</w:t>
      </w:r>
    </w:p>
    <w:p>
      <w:pPr>
        <w:pStyle w:val="20"/>
        <w:spacing w:beforeAutospacing="0" w:afterAutospacing="0" w:line="480" w:lineRule="atLeast"/>
        <w:ind w:left="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及《关于进一步加大政府采购支持中小企业力度的通知》（财库〔2022〕19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乡村产业振兴的通知》（财库〔2021〕19号）；⑨.《陕西省财政厅关于加快推进我省中小企业政府采购信用融资工作的通知》（陕财办采〔2020〕15 号）及《陕西省财政厅关于印发《陕西省中小企业政府采购信用融资办法》（陕财办采〔2018〕23号）；⑩.《关于扩大政府采购支持绿色建材促进建筑品质提升政策实施范围的通知》（财库〔2022〕35号）。</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3.本项目的特定资格要求：</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合同包1(初中理化生实验考试系统采购)特定资格要求如下:</w:t>
      </w:r>
    </w:p>
    <w:p>
      <w:pPr>
        <w:pStyle w:val="20"/>
        <w:spacing w:beforeAutospacing="0" w:afterAutospacing="0" w:line="480" w:lineRule="atLeast"/>
        <w:ind w:left="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①.单位负责人为同一人或者存在直接控股、管理关系的不同供应商，不得同时参加本项目采购活动；②.本项目为不专门面向中小企业采购项目。</w:t>
      </w:r>
    </w:p>
    <w:p>
      <w:pPr>
        <w:pStyle w:val="5"/>
        <w:keepNext w:val="0"/>
        <w:keepLines w:val="0"/>
        <w:widowControl/>
        <w:shd w:val="clear" w:color="auto" w:fill="FFFFFF"/>
        <w:spacing w:before="150" w:line="750" w:lineRule="atLeast"/>
        <w:jc w:val="left"/>
        <w:rPr>
          <w:rFonts w:ascii="微软雅黑" w:hAnsi="微软雅黑" w:eastAsia="微软雅黑" w:cs="微软雅黑"/>
          <w:b w:val="0"/>
          <w:color w:val="auto"/>
          <w:sz w:val="21"/>
          <w:szCs w:val="21"/>
          <w:highlight w:val="none"/>
        </w:rPr>
      </w:pPr>
      <w:r>
        <w:rPr>
          <w:rStyle w:val="28"/>
          <w:rFonts w:hint="eastAsia" w:ascii="微软雅黑" w:hAnsi="微软雅黑" w:eastAsia="微软雅黑" w:cs="微软雅黑"/>
          <w:b/>
          <w:color w:val="auto"/>
          <w:sz w:val="21"/>
          <w:szCs w:val="21"/>
          <w:highlight w:val="none"/>
          <w:shd w:val="clear" w:color="auto" w:fill="FFFFFF"/>
        </w:rPr>
        <w:t>三、获取招标文件</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时间： 2023年01月1</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日 至 2023年01月1</w:t>
      </w:r>
      <w:r>
        <w:rPr>
          <w:rFonts w:hint="eastAsia" w:ascii="微软雅黑" w:hAnsi="微软雅黑" w:eastAsia="微软雅黑" w:cs="微软雅黑"/>
          <w:color w:val="auto"/>
          <w:sz w:val="21"/>
          <w:szCs w:val="21"/>
          <w:highlight w:val="none"/>
          <w:shd w:val="clear" w:color="auto" w:fill="FFFFFF"/>
          <w:lang w:val="en-US" w:eastAsia="zh-CN"/>
        </w:rPr>
        <w:t>8</w:t>
      </w:r>
      <w:r>
        <w:rPr>
          <w:rFonts w:hint="eastAsia" w:ascii="微软雅黑" w:hAnsi="微软雅黑" w:eastAsia="微软雅黑" w:cs="微软雅黑"/>
          <w:color w:val="auto"/>
          <w:sz w:val="21"/>
          <w:szCs w:val="21"/>
          <w:highlight w:val="none"/>
          <w:shd w:val="clear" w:color="auto" w:fill="FFFFFF"/>
        </w:rPr>
        <w:t>日 ，每天上午 08:</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0:00 至 12:00:00 ，下午 1</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0:00 至 1</w:t>
      </w:r>
      <w:r>
        <w:rPr>
          <w:rFonts w:hint="eastAsia" w:ascii="微软雅黑" w:hAnsi="微软雅黑" w:eastAsia="微软雅黑" w:cs="微软雅黑"/>
          <w:color w:val="auto"/>
          <w:sz w:val="21"/>
          <w:szCs w:val="21"/>
          <w:highlight w:val="none"/>
          <w:shd w:val="clear" w:color="auto" w:fill="FFFFFF"/>
          <w:lang w:val="en-US" w:eastAsia="zh-CN"/>
        </w:rPr>
        <w:t>7</w:t>
      </w:r>
      <w:r>
        <w:rPr>
          <w:rFonts w:hint="eastAsia" w:ascii="微软雅黑" w:hAnsi="微软雅黑" w:eastAsia="微软雅黑" w:cs="微软雅黑"/>
          <w:color w:val="auto"/>
          <w:sz w:val="21"/>
          <w:szCs w:val="21"/>
          <w:highlight w:val="none"/>
          <w:shd w:val="clear" w:color="auto" w:fill="FFFFFF"/>
        </w:rPr>
        <w:t>:</w:t>
      </w:r>
      <w:r>
        <w:rPr>
          <w:rFonts w:hint="eastAsia" w:ascii="微软雅黑" w:hAnsi="微软雅黑" w:eastAsia="微软雅黑" w:cs="微软雅黑"/>
          <w:color w:val="auto"/>
          <w:sz w:val="21"/>
          <w:szCs w:val="21"/>
          <w:highlight w:val="none"/>
          <w:shd w:val="clear" w:color="auto" w:fill="FFFFFF"/>
          <w:lang w:val="en-US" w:eastAsia="zh-CN"/>
        </w:rPr>
        <w:t>3</w:t>
      </w:r>
      <w:r>
        <w:rPr>
          <w:rFonts w:hint="eastAsia" w:ascii="微软雅黑" w:hAnsi="微软雅黑" w:eastAsia="微软雅黑" w:cs="微软雅黑"/>
          <w:color w:val="auto"/>
          <w:sz w:val="21"/>
          <w:szCs w:val="21"/>
          <w:highlight w:val="none"/>
          <w:shd w:val="clear" w:color="auto" w:fill="FFFFFF"/>
        </w:rPr>
        <w:t>0:00 （北京时间）</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途径：采购文件获取时间内，请携带单位介绍信到西安市碑林区含光北路 2 号广丰国际大厦Ⅱ区 806室</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方式：现场获取</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售价： 0元</w:t>
      </w:r>
    </w:p>
    <w:p>
      <w:pPr>
        <w:pStyle w:val="5"/>
        <w:keepNext w:val="0"/>
        <w:keepLines w:val="0"/>
        <w:widowControl/>
        <w:shd w:val="clear" w:color="auto" w:fill="FFFFFF"/>
        <w:spacing w:before="150" w:line="750" w:lineRule="atLeast"/>
        <w:jc w:val="left"/>
        <w:rPr>
          <w:rFonts w:ascii="微软雅黑" w:hAnsi="微软雅黑" w:eastAsia="微软雅黑" w:cs="微软雅黑"/>
          <w:b w:val="0"/>
          <w:color w:val="auto"/>
          <w:sz w:val="21"/>
          <w:szCs w:val="21"/>
          <w:highlight w:val="none"/>
        </w:rPr>
      </w:pPr>
      <w:r>
        <w:rPr>
          <w:rStyle w:val="28"/>
          <w:rFonts w:hint="eastAsia" w:ascii="微软雅黑" w:hAnsi="微软雅黑" w:eastAsia="微软雅黑" w:cs="微软雅黑"/>
          <w:b/>
          <w:color w:val="auto"/>
          <w:sz w:val="21"/>
          <w:szCs w:val="21"/>
          <w:highlight w:val="none"/>
          <w:shd w:val="clear" w:color="auto" w:fill="FFFFFF"/>
        </w:rPr>
        <w:t>四、提交投标文件截止时间、开标时间和地点</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时间： 2023年01月1</w:t>
      </w:r>
      <w:r>
        <w:rPr>
          <w:rFonts w:hint="eastAsia" w:ascii="微软雅黑" w:hAnsi="微软雅黑" w:eastAsia="微软雅黑" w:cs="微软雅黑"/>
          <w:color w:val="auto"/>
          <w:sz w:val="21"/>
          <w:szCs w:val="21"/>
          <w:highlight w:val="none"/>
          <w:shd w:val="clear" w:color="auto" w:fill="FFFFFF"/>
          <w:lang w:val="en-US" w:eastAsia="zh-CN"/>
        </w:rPr>
        <w:t>9</w:t>
      </w:r>
      <w:r>
        <w:rPr>
          <w:rFonts w:hint="eastAsia" w:ascii="微软雅黑" w:hAnsi="微软雅黑" w:eastAsia="微软雅黑" w:cs="微软雅黑"/>
          <w:color w:val="auto"/>
          <w:sz w:val="21"/>
          <w:szCs w:val="21"/>
          <w:highlight w:val="none"/>
          <w:shd w:val="clear" w:color="auto" w:fill="FFFFFF"/>
        </w:rPr>
        <w:t>日 10时00分00秒 （北京时间）</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提交投标文件地点：西安市碑林区含光北路 2 号广丰国际大厦Ⅱ区 806室开标室</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开标地点：西安市碑林区含光北路 2 号广丰国际大厦Ⅱ区 806室开标室</w:t>
      </w:r>
    </w:p>
    <w:p>
      <w:pPr>
        <w:pStyle w:val="5"/>
        <w:keepNext w:val="0"/>
        <w:keepLines w:val="0"/>
        <w:widowControl/>
        <w:shd w:val="clear" w:color="auto" w:fill="FFFFFF"/>
        <w:spacing w:before="150" w:line="750" w:lineRule="atLeast"/>
        <w:jc w:val="left"/>
        <w:rPr>
          <w:rFonts w:ascii="微软雅黑" w:hAnsi="微软雅黑" w:eastAsia="微软雅黑" w:cs="微软雅黑"/>
          <w:b w:val="0"/>
          <w:color w:val="auto"/>
          <w:sz w:val="21"/>
          <w:szCs w:val="21"/>
          <w:highlight w:val="none"/>
        </w:rPr>
      </w:pPr>
      <w:r>
        <w:rPr>
          <w:rStyle w:val="28"/>
          <w:rFonts w:hint="eastAsia" w:ascii="微软雅黑" w:hAnsi="微软雅黑" w:eastAsia="微软雅黑" w:cs="微软雅黑"/>
          <w:b/>
          <w:color w:val="auto"/>
          <w:sz w:val="21"/>
          <w:szCs w:val="21"/>
          <w:highlight w:val="none"/>
          <w:shd w:val="clear" w:color="auto" w:fill="FFFFFF"/>
        </w:rPr>
        <w:t>五、公告期限</w:t>
      </w:r>
    </w:p>
    <w:p>
      <w:pPr>
        <w:pStyle w:val="20"/>
        <w:shd w:val="clear" w:color="auto" w:fill="FFFFFF"/>
        <w:spacing w:beforeAutospacing="0" w:afterAutospacing="0" w:line="480" w:lineRule="atLeast"/>
        <w:ind w:firstLine="48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自本公告发布之日起3个工作日。</w:t>
      </w:r>
    </w:p>
    <w:p>
      <w:pPr>
        <w:pStyle w:val="5"/>
        <w:keepNext w:val="0"/>
        <w:keepLines w:val="0"/>
        <w:widowControl/>
        <w:shd w:val="clear" w:color="auto" w:fill="FFFFFF"/>
        <w:spacing w:before="150" w:line="750" w:lineRule="atLeast"/>
        <w:jc w:val="left"/>
        <w:rPr>
          <w:rFonts w:ascii="微软雅黑" w:hAnsi="微软雅黑" w:eastAsia="微软雅黑" w:cs="微软雅黑"/>
          <w:b w:val="0"/>
          <w:color w:val="auto"/>
          <w:sz w:val="21"/>
          <w:szCs w:val="21"/>
          <w:highlight w:val="none"/>
        </w:rPr>
      </w:pPr>
      <w:r>
        <w:rPr>
          <w:rStyle w:val="28"/>
          <w:rFonts w:hint="eastAsia" w:ascii="微软雅黑" w:hAnsi="微软雅黑" w:eastAsia="微软雅黑" w:cs="微软雅黑"/>
          <w:b/>
          <w:color w:val="auto"/>
          <w:sz w:val="21"/>
          <w:szCs w:val="21"/>
          <w:highlight w:val="none"/>
          <w:shd w:val="clear" w:color="auto" w:fill="FFFFFF"/>
        </w:rPr>
        <w:t>六、其他补充事宜</w:t>
      </w:r>
    </w:p>
    <w:p>
      <w:pPr>
        <w:pStyle w:val="20"/>
        <w:spacing w:before="105" w:beforeAutospacing="0" w:after="105" w:afterAutospacing="0" w:line="480" w:lineRule="atLeast"/>
        <w:ind w:firstLine="480"/>
        <w:rPr>
          <w:color w:val="auto"/>
          <w:sz w:val="21"/>
          <w:szCs w:val="21"/>
          <w:highlight w:val="none"/>
        </w:rPr>
      </w:pPr>
      <w:r>
        <w:rPr>
          <w:rFonts w:hint="eastAsia" w:cs="宋体"/>
          <w:color w:val="auto"/>
          <w:sz w:val="21"/>
          <w:szCs w:val="21"/>
          <w:highlight w:val="none"/>
          <w:shd w:val="clear" w:color="auto" w:fill="FFFFFF"/>
        </w:rPr>
        <w:t>根据《陕西省财政厅关于政府采购供应商注册登记有关事项的通知》的规定，供应商在领取采购文件前，应及时注册登记加入政府采购供应商库。因供应商自身原因未及时登记入库而导致的一切后果由供应商自行承担。</w:t>
      </w:r>
    </w:p>
    <w:p>
      <w:pPr>
        <w:pStyle w:val="5"/>
        <w:keepNext w:val="0"/>
        <w:keepLines w:val="0"/>
        <w:widowControl/>
        <w:shd w:val="clear" w:color="auto" w:fill="FFFFFF"/>
        <w:spacing w:before="150" w:line="750" w:lineRule="atLeast"/>
        <w:jc w:val="left"/>
        <w:rPr>
          <w:rFonts w:ascii="微软雅黑" w:hAnsi="微软雅黑" w:eastAsia="微软雅黑" w:cs="微软雅黑"/>
          <w:b w:val="0"/>
          <w:color w:val="auto"/>
          <w:sz w:val="21"/>
          <w:szCs w:val="21"/>
          <w:highlight w:val="none"/>
        </w:rPr>
      </w:pPr>
      <w:r>
        <w:rPr>
          <w:rStyle w:val="28"/>
          <w:rFonts w:hint="eastAsia" w:ascii="微软雅黑" w:hAnsi="微软雅黑" w:eastAsia="微软雅黑" w:cs="微软雅黑"/>
          <w:b/>
          <w:color w:val="auto"/>
          <w:sz w:val="21"/>
          <w:szCs w:val="21"/>
          <w:highlight w:val="none"/>
          <w:shd w:val="clear" w:color="auto" w:fill="FFFFFF"/>
        </w:rPr>
        <w:t>七、对本次招标提出询问，请按以下方式联系。</w:t>
      </w:r>
    </w:p>
    <w:p>
      <w:pPr>
        <w:pStyle w:val="7"/>
        <w:widowControl/>
        <w:spacing w:beforeAutospacing="0" w:afterAutospacing="0" w:line="30" w:lineRule="atLeast"/>
        <w:rPr>
          <w:rFonts w:hint="default"/>
          <w:b w:val="0"/>
          <w:bCs w:val="0"/>
          <w:color w:val="auto"/>
          <w:sz w:val="21"/>
          <w:szCs w:val="21"/>
          <w:highlight w:val="none"/>
        </w:rPr>
      </w:pPr>
      <w:r>
        <w:rPr>
          <w:b w:val="0"/>
          <w:bCs w:val="0"/>
          <w:color w:val="auto"/>
          <w:sz w:val="21"/>
          <w:szCs w:val="21"/>
          <w:highlight w:val="none"/>
          <w:shd w:val="clear" w:color="auto" w:fill="FFFFFF"/>
        </w:rPr>
        <w:t>1.采购人信息</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名称：西安市第六中学分校</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地址：雁塔寺街5号</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联系方式：艾老师029-87619067</w:t>
      </w:r>
      <w:bookmarkStart w:id="220" w:name="_GoBack"/>
      <w:bookmarkEnd w:id="220"/>
    </w:p>
    <w:p>
      <w:pPr>
        <w:pStyle w:val="7"/>
        <w:widowControl/>
        <w:spacing w:beforeAutospacing="0" w:afterAutospacing="0" w:line="30" w:lineRule="atLeast"/>
        <w:rPr>
          <w:rFonts w:hint="default"/>
          <w:b w:val="0"/>
          <w:bCs w:val="0"/>
          <w:color w:val="auto"/>
          <w:sz w:val="21"/>
          <w:szCs w:val="21"/>
          <w:highlight w:val="none"/>
        </w:rPr>
      </w:pPr>
      <w:r>
        <w:rPr>
          <w:b w:val="0"/>
          <w:bCs w:val="0"/>
          <w:color w:val="auto"/>
          <w:sz w:val="21"/>
          <w:szCs w:val="21"/>
          <w:highlight w:val="none"/>
          <w:shd w:val="clear" w:color="auto" w:fill="FFFFFF"/>
        </w:rPr>
        <w:t>2.采购代理机构信息</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名称：陕西中信海诚造价咨询有限公司</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地址：西安市碑林区含光北路 2 号广丰国际大厦Ⅱ区 806</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联系方式：029-85262287</w:t>
      </w:r>
    </w:p>
    <w:p>
      <w:pPr>
        <w:pStyle w:val="7"/>
        <w:widowControl/>
        <w:spacing w:beforeAutospacing="0" w:afterAutospacing="0" w:line="30" w:lineRule="atLeast"/>
        <w:rPr>
          <w:rFonts w:hint="default"/>
          <w:b w:val="0"/>
          <w:bCs w:val="0"/>
          <w:color w:val="auto"/>
          <w:sz w:val="21"/>
          <w:szCs w:val="21"/>
          <w:highlight w:val="none"/>
        </w:rPr>
      </w:pPr>
      <w:r>
        <w:rPr>
          <w:b w:val="0"/>
          <w:bCs w:val="0"/>
          <w:color w:val="auto"/>
          <w:sz w:val="21"/>
          <w:szCs w:val="21"/>
          <w:highlight w:val="none"/>
          <w:shd w:val="clear" w:color="auto" w:fill="FFFFFF"/>
        </w:rPr>
        <w:t>3.项目联系方式</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项目联系人：田雨</w:t>
      </w:r>
    </w:p>
    <w:p>
      <w:pPr>
        <w:pStyle w:val="20"/>
        <w:spacing w:beforeAutospacing="0" w:afterAutospacing="0" w:line="480" w:lineRule="atLeast"/>
        <w:ind w:firstLine="480"/>
        <w:jc w:val="both"/>
        <w:rPr>
          <w:color w:val="auto"/>
          <w:sz w:val="21"/>
          <w:szCs w:val="21"/>
          <w:highlight w:val="none"/>
        </w:rPr>
      </w:pPr>
      <w:r>
        <w:rPr>
          <w:rFonts w:hint="eastAsia" w:ascii="微软雅黑" w:hAnsi="微软雅黑" w:eastAsia="微软雅黑" w:cs="微软雅黑"/>
          <w:color w:val="auto"/>
          <w:sz w:val="21"/>
          <w:szCs w:val="21"/>
          <w:highlight w:val="none"/>
          <w:shd w:val="clear" w:color="auto" w:fill="FFFFFF"/>
        </w:rPr>
        <w:t>电话：029-85262287</w:t>
      </w:r>
    </w:p>
    <w:p>
      <w:pPr>
        <w:pStyle w:val="20"/>
        <w:wordWrap w:val="0"/>
        <w:spacing w:beforeAutospacing="0" w:afterAutospacing="0" w:line="360" w:lineRule="auto"/>
        <w:ind w:firstLine="320"/>
        <w:jc w:val="both"/>
        <w:rPr>
          <w:rFonts w:cs="宋体"/>
          <w:color w:val="auto"/>
          <w:szCs w:val="24"/>
          <w:highlight w:val="none"/>
        </w:rPr>
      </w:pPr>
    </w:p>
    <w:p>
      <w:pPr>
        <w:pStyle w:val="20"/>
        <w:spacing w:beforeAutospacing="0" w:afterAutospacing="0" w:line="360" w:lineRule="auto"/>
        <w:ind w:firstLine="480"/>
        <w:jc w:val="both"/>
        <w:textAlignment w:val="baseline"/>
        <w:rPr>
          <w:rFonts w:cs="宋体"/>
          <w:color w:val="auto"/>
          <w:szCs w:val="24"/>
          <w:highlight w:val="none"/>
        </w:rPr>
      </w:pPr>
    </w:p>
    <w:p>
      <w:pPr>
        <w:widowControl/>
        <w:spacing w:line="360" w:lineRule="auto"/>
        <w:jc w:val="left"/>
        <w:rPr>
          <w:rFonts w:ascii="宋体" w:hAnsi="宋体" w:cs="宋体"/>
          <w:color w:val="auto"/>
          <w:highlight w:val="none"/>
        </w:rPr>
      </w:pPr>
      <w:r>
        <w:rPr>
          <w:rFonts w:hint="eastAsia" w:ascii="宋体" w:hAnsi="宋体" w:cs="宋体"/>
          <w:color w:val="auto"/>
          <w:sz w:val="24"/>
          <w:szCs w:val="24"/>
          <w:highlight w:val="none"/>
        </w:rPr>
        <w:br w:type="page"/>
      </w:r>
    </w:p>
    <w:p>
      <w:pPr>
        <w:pStyle w:val="21"/>
        <w:rPr>
          <w:rFonts w:ascii="宋体" w:hAnsi="宋体" w:cs="宋体"/>
          <w:color w:val="auto"/>
          <w:highlight w:val="none"/>
        </w:rPr>
      </w:pPr>
      <w:bookmarkStart w:id="12" w:name="_Toc21986"/>
      <w:bookmarkStart w:id="13" w:name="_Toc23234"/>
      <w:bookmarkStart w:id="14" w:name="_Toc26739"/>
      <w:r>
        <w:rPr>
          <w:rFonts w:hint="eastAsia" w:ascii="宋体" w:hAnsi="宋体" w:cs="宋体"/>
          <w:color w:val="auto"/>
          <w:highlight w:val="none"/>
        </w:rPr>
        <w:t>第二章  谈判须知前附表</w:t>
      </w:r>
      <w:bookmarkEnd w:id="8"/>
      <w:bookmarkEnd w:id="9"/>
      <w:bookmarkEnd w:id="10"/>
      <w:bookmarkEnd w:id="11"/>
      <w:bookmarkEnd w:id="12"/>
      <w:bookmarkEnd w:id="13"/>
      <w:bookmarkEnd w:id="14"/>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96"/>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408" w:type="pct"/>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项号</w:t>
            </w:r>
          </w:p>
        </w:tc>
        <w:tc>
          <w:tcPr>
            <w:tcW w:w="1087" w:type="pct"/>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3503" w:type="pct"/>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503" w:type="pct"/>
            <w:vAlign w:val="center"/>
          </w:tcPr>
          <w:p>
            <w:pPr>
              <w:spacing w:line="360" w:lineRule="auto"/>
              <w:ind w:leftChars="-9" w:hanging="19" w:hangingChars="8"/>
              <w:rPr>
                <w:rFonts w:ascii="宋体" w:hAnsi="宋体" w:cs="宋体"/>
                <w:color w:val="auto"/>
                <w:sz w:val="24"/>
                <w:highlight w:val="none"/>
              </w:rPr>
            </w:pPr>
            <w:r>
              <w:rPr>
                <w:rFonts w:hint="eastAsia" w:ascii="宋体" w:hAnsi="宋体" w:cs="宋体"/>
                <w:color w:val="auto"/>
                <w:sz w:val="24"/>
                <w:highlight w:val="none"/>
              </w:rPr>
              <w:t>西安市第六中学分校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项目编号</w:t>
            </w:r>
          </w:p>
        </w:tc>
        <w:tc>
          <w:tcPr>
            <w:tcW w:w="3503" w:type="pct"/>
            <w:vAlign w:val="center"/>
          </w:tcPr>
          <w:p>
            <w:pPr>
              <w:adjustRightInd w:val="0"/>
              <w:snapToGrid w:val="0"/>
              <w:spacing w:line="466" w:lineRule="exact"/>
              <w:rPr>
                <w:rFonts w:ascii="宋体" w:hAnsi="宋体" w:cs="宋体"/>
                <w:color w:val="auto"/>
                <w:sz w:val="24"/>
                <w:highlight w:val="none"/>
              </w:rPr>
            </w:pPr>
            <w:r>
              <w:rPr>
                <w:rFonts w:hint="eastAsia" w:ascii="宋体" w:hAnsi="宋体" w:cs="宋体"/>
                <w:color w:val="auto"/>
                <w:sz w:val="24"/>
                <w:szCs w:val="24"/>
                <w:highlight w:val="none"/>
              </w:rPr>
              <w:t>ZXHC2023-ZCBL-0112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采购代理机构</w:t>
            </w:r>
          </w:p>
        </w:tc>
        <w:tc>
          <w:tcPr>
            <w:tcW w:w="3503" w:type="pct"/>
            <w:vAlign w:val="center"/>
          </w:tcPr>
          <w:p>
            <w:pPr>
              <w:spacing w:line="360" w:lineRule="auto"/>
              <w:ind w:leftChars="-9" w:hanging="19" w:hangingChars="8"/>
              <w:rPr>
                <w:rFonts w:ascii="宋体" w:hAnsi="宋体" w:cs="宋体"/>
                <w:color w:val="auto"/>
                <w:sz w:val="24"/>
                <w:highlight w:val="none"/>
              </w:rPr>
            </w:pPr>
            <w:r>
              <w:rPr>
                <w:rFonts w:hint="eastAsia" w:ascii="宋体" w:hAnsi="宋体" w:cs="宋体"/>
                <w:color w:val="auto"/>
                <w:sz w:val="24"/>
                <w:highlight w:val="none"/>
              </w:rPr>
              <w:t>陕西中信海诚造价咨询有限公司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采购内容及要求</w:t>
            </w:r>
          </w:p>
        </w:tc>
        <w:tc>
          <w:tcPr>
            <w:tcW w:w="3503" w:type="pct"/>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详见竞争性谈判文件第三章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谈判有效期</w:t>
            </w:r>
          </w:p>
        </w:tc>
        <w:tc>
          <w:tcPr>
            <w:tcW w:w="3503" w:type="pct"/>
            <w:vAlign w:val="center"/>
          </w:tcPr>
          <w:p>
            <w:pPr>
              <w:pStyle w:val="40"/>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90日历日（从提交谈判响应文件的截止之日起算）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谈判保证金</w:t>
            </w:r>
          </w:p>
        </w:tc>
        <w:tc>
          <w:tcPr>
            <w:tcW w:w="3503" w:type="pct"/>
            <w:vAlign w:val="center"/>
          </w:tcPr>
          <w:p>
            <w:pPr>
              <w:pStyle w:val="40"/>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本项目无需缴纳谈判保证金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highlight w:val="none"/>
              </w:rPr>
            </w:pPr>
          </w:p>
        </w:tc>
        <w:tc>
          <w:tcPr>
            <w:tcW w:w="1087" w:type="pct"/>
            <w:vAlign w:val="center"/>
          </w:tcPr>
          <w:p>
            <w:pPr>
              <w:spacing w:line="360" w:lineRule="auto"/>
              <w:jc w:val="center"/>
              <w:rPr>
                <w:rFonts w:ascii="宋体" w:hAnsi="宋体" w:cs="宋体"/>
                <w:color w:val="auto"/>
                <w:szCs w:val="21"/>
                <w:highlight w:val="none"/>
              </w:rPr>
            </w:pPr>
            <w:bookmarkStart w:id="15" w:name="_Toc519085736"/>
            <w:bookmarkStart w:id="16" w:name="_Toc519091203"/>
            <w:r>
              <w:rPr>
                <w:rFonts w:hint="eastAsia" w:ascii="宋体" w:hAnsi="宋体" w:cs="宋体"/>
                <w:color w:val="auto"/>
                <w:sz w:val="24"/>
                <w:szCs w:val="24"/>
                <w:highlight w:val="none"/>
              </w:rPr>
              <w:t>谈判响应文件份数</w:t>
            </w:r>
            <w:bookmarkEnd w:id="15"/>
            <w:bookmarkEnd w:id="16"/>
          </w:p>
        </w:tc>
        <w:tc>
          <w:tcPr>
            <w:tcW w:w="3503" w:type="pct"/>
            <w:vAlign w:val="center"/>
          </w:tcPr>
          <w:p>
            <w:pPr>
              <w:spacing w:line="360" w:lineRule="auto"/>
              <w:rPr>
                <w:rFonts w:ascii="宋体" w:hAnsi="宋体" w:cs="宋体"/>
                <w:color w:val="auto"/>
                <w:sz w:val="24"/>
                <w:szCs w:val="24"/>
                <w:highlight w:val="none"/>
              </w:rPr>
            </w:pPr>
            <w:r>
              <w:rPr>
                <w:rFonts w:hint="eastAsia" w:ascii="宋体" w:hAnsi="宋体" w:cs="宋体"/>
                <w:color w:val="auto"/>
                <w:kern w:val="0"/>
                <w:sz w:val="24"/>
                <w:highlight w:val="none"/>
              </w:rPr>
              <w:t>正本壹份，副本贰份，电子版（U盘，含谈判响应文件所有内容word版）一套。副本可以是正本的复印件（但有盖章的页或封面必须加盖红章）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制作及装订</w:t>
            </w:r>
          </w:p>
          <w:p>
            <w:pPr>
              <w:spacing w:line="360" w:lineRule="auto"/>
              <w:jc w:val="center"/>
              <w:rPr>
                <w:rFonts w:ascii="宋体" w:hAnsi="宋体" w:cs="宋体"/>
                <w:color w:val="auto"/>
                <w:sz w:val="24"/>
                <w:szCs w:val="24"/>
                <w:highlight w:val="none"/>
              </w:rPr>
            </w:pPr>
            <w:r>
              <w:rPr>
                <w:rFonts w:hint="eastAsia" w:ascii="宋体" w:hAnsi="宋体" w:cs="宋体"/>
                <w:color w:val="auto"/>
                <w:sz w:val="24"/>
                <w:highlight w:val="none"/>
              </w:rPr>
              <w:t>要求</w:t>
            </w:r>
          </w:p>
        </w:tc>
        <w:tc>
          <w:tcPr>
            <w:tcW w:w="3503" w:type="pct"/>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谈判响应文件</w:t>
            </w:r>
            <w:r>
              <w:rPr>
                <w:rFonts w:hint="eastAsia" w:ascii="宋体" w:hAnsi="宋体" w:cs="宋体"/>
                <w:color w:val="auto"/>
                <w:sz w:val="24"/>
                <w:highlight w:val="none"/>
                <w:u w:val="single"/>
              </w:rPr>
              <w:t>制作规范、书脊及目录清晰、页码标注、对应精准、双面打印</w:t>
            </w:r>
            <w:r>
              <w:rPr>
                <w:rFonts w:hint="eastAsia" w:ascii="宋体" w:hAnsi="宋体" w:cs="宋体"/>
                <w:color w:val="auto"/>
                <w:sz w:val="24"/>
                <w:highlight w:val="none"/>
              </w:rPr>
              <w:t>。</w:t>
            </w:r>
          </w:p>
          <w:p>
            <w:pPr>
              <w:autoSpaceDE w:val="0"/>
              <w:autoSpaceDN w:val="0"/>
              <w:adjustRightInd w:val="0"/>
              <w:spacing w:line="360" w:lineRule="auto"/>
              <w:rPr>
                <w:rFonts w:ascii="宋体" w:hAnsi="宋体" w:cs="宋体"/>
                <w:color w:val="auto"/>
                <w:sz w:val="24"/>
                <w:szCs w:val="24"/>
                <w:highlight w:val="none"/>
              </w:rPr>
            </w:pPr>
            <w:r>
              <w:rPr>
                <w:rFonts w:hint="eastAsia" w:ascii="宋体" w:hAnsi="宋体" w:cs="宋体"/>
                <w:color w:val="auto"/>
                <w:kern w:val="0"/>
                <w:sz w:val="24"/>
                <w:highlight w:val="none"/>
              </w:rPr>
              <w:t>谈判响应文件应牢固装订成册，不可插页抽页。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widowControl/>
              <w:spacing w:line="360" w:lineRule="auto"/>
              <w:ind w:right="-197" w:rightChars="-94"/>
              <w:jc w:val="center"/>
              <w:rPr>
                <w:rFonts w:ascii="宋体" w:hAnsi="宋体" w:cs="宋体"/>
                <w:color w:val="auto"/>
                <w:sz w:val="24"/>
                <w:szCs w:val="24"/>
                <w:highlight w:val="none"/>
              </w:rPr>
            </w:pPr>
            <w:r>
              <w:rPr>
                <w:rFonts w:hint="eastAsia" w:ascii="宋体" w:hAnsi="宋体" w:cs="宋体"/>
                <w:color w:val="auto"/>
                <w:sz w:val="24"/>
                <w:szCs w:val="24"/>
                <w:highlight w:val="none"/>
              </w:rPr>
              <w:t>评审方法</w:t>
            </w:r>
          </w:p>
        </w:tc>
        <w:tc>
          <w:tcPr>
            <w:tcW w:w="3503" w:type="pct"/>
            <w:vAlign w:val="center"/>
          </w:tcPr>
          <w:p>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谈判小组从质量和服务均能满足采购文件实质性响应要求的供应商中，按照最后报价（评审价格）由低到高的顺序提出3名成交候选人。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pStyle w:val="41"/>
              <w:ind w:firstLine="0" w:firstLineChars="0"/>
              <w:jc w:val="center"/>
              <w:rPr>
                <w:rFonts w:ascii="宋体" w:hAnsi="宋体" w:cs="宋体"/>
                <w:color w:val="auto"/>
                <w:kern w:val="2"/>
                <w:sz w:val="24"/>
                <w:szCs w:val="24"/>
                <w:highlight w:val="none"/>
              </w:rPr>
            </w:pPr>
            <w:bookmarkStart w:id="17" w:name="_Toc519085737"/>
            <w:bookmarkStart w:id="18" w:name="_Toc519091204"/>
            <w:r>
              <w:rPr>
                <w:rFonts w:hint="eastAsia" w:ascii="宋体" w:hAnsi="宋体" w:cs="宋体"/>
                <w:color w:val="auto"/>
                <w:kern w:val="2"/>
                <w:sz w:val="24"/>
                <w:szCs w:val="24"/>
                <w:highlight w:val="none"/>
              </w:rPr>
              <w:t>代理服务费</w:t>
            </w:r>
            <w:bookmarkEnd w:id="17"/>
            <w:bookmarkEnd w:id="18"/>
          </w:p>
        </w:tc>
        <w:tc>
          <w:tcPr>
            <w:tcW w:w="3503" w:type="pct"/>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成交供应商应向采购代理机构交纳招标代理服务费。招标代理服务费收取按照国家计委关于印发国家发展改革委关于进一步放开建设项目专业服务价格的通知（发改价格〔2015〕299号），以及《西安市深化政府采购制度改革实施方案》、《西安市财政局关于推进政府采购代理机构转型升级相关工作的通知》（市财函[2022]1299号）的相关要求，按定额取费：人民币贰万伍仟元整（￥25000.00）。</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采购代理机构开户名称:陕西中信海诚造价咨询有限公司</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开户行名称:</w:t>
            </w:r>
            <w:r>
              <w:rPr>
                <w:rFonts w:hint="eastAsia" w:ascii="宋体" w:hAnsi="宋体" w:cs="宋体"/>
                <w:color w:val="auto"/>
                <w:highlight w:val="none"/>
              </w:rPr>
              <w:t xml:space="preserve"> </w:t>
            </w:r>
            <w:r>
              <w:rPr>
                <w:rFonts w:hint="eastAsia" w:ascii="宋体" w:hAnsi="宋体" w:cs="宋体"/>
                <w:color w:val="auto"/>
                <w:sz w:val="24"/>
                <w:szCs w:val="24"/>
                <w:highlight w:val="none"/>
              </w:rPr>
              <w:t>中国建设银行股份有限公司西安含光南路支行</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账      号：61050172650000000220</w:t>
            </w:r>
          </w:p>
          <w:p>
            <w:pPr>
              <w:spacing w:line="360" w:lineRule="auto"/>
              <w:rPr>
                <w:rFonts w:ascii="宋体" w:hAnsi="宋体" w:cs="宋体"/>
                <w:color w:val="auto"/>
                <w:sz w:val="24"/>
                <w:szCs w:val="24"/>
                <w:highlight w:val="none"/>
              </w:rPr>
            </w:pPr>
            <w:r>
              <w:rPr>
                <w:rFonts w:hint="eastAsia" w:ascii="宋体" w:hAnsi="宋体" w:cs="宋体"/>
                <w:color w:val="auto"/>
                <w:sz w:val="24"/>
                <w:szCs w:val="22"/>
                <w:highlight w:val="none"/>
              </w:rPr>
              <w:t>转账事由：</w:t>
            </w:r>
            <w:r>
              <w:rPr>
                <w:rFonts w:hint="eastAsia" w:ascii="宋体" w:hAnsi="宋体" w:cs="宋体"/>
                <w:color w:val="auto"/>
                <w:sz w:val="24"/>
                <w:szCs w:val="22"/>
                <w:highlight w:val="none"/>
                <w:u w:val="single"/>
              </w:rPr>
              <w:t xml:space="preserve"> （名称或编号） </w:t>
            </w:r>
            <w:r>
              <w:rPr>
                <w:rFonts w:hint="eastAsia" w:ascii="宋体" w:hAnsi="宋体" w:cs="宋体"/>
                <w:color w:val="auto"/>
                <w:sz w:val="24"/>
                <w:szCs w:val="22"/>
                <w:highlight w:val="none"/>
              </w:rPr>
              <w:t>项目服务费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知识产权</w:t>
            </w:r>
          </w:p>
        </w:tc>
        <w:tc>
          <w:tcPr>
            <w:tcW w:w="3503" w:type="pct"/>
            <w:vAlign w:val="center"/>
          </w:tcPr>
          <w:p>
            <w:pPr>
              <w:spacing w:line="360" w:lineRule="auto"/>
              <w:rPr>
                <w:rFonts w:ascii="宋体" w:hAnsi="宋体" w:cs="宋体"/>
                <w:b/>
                <w:bCs/>
                <w:color w:val="auto"/>
                <w:sz w:val="24"/>
                <w:highlight w:val="none"/>
              </w:rPr>
            </w:pPr>
            <w:r>
              <w:rPr>
                <w:rFonts w:hint="eastAsia" w:ascii="宋体" w:hAnsi="宋体" w:cs="宋体"/>
                <w:color w:val="auto"/>
                <w:sz w:val="24"/>
                <w:highlight w:val="none"/>
              </w:rPr>
              <w:t>供应商应保证，在中华人民共和国境内使用投标货物、服务或其任何一部分时，不会产生因第三方提出侵犯其专利权或其他知识产权而引起的法律和经济纠纷。如供应商不拥有相应的知识产权，则在报价中须包括合法获取该知识产权的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分包或转包</w:t>
            </w:r>
          </w:p>
        </w:tc>
        <w:tc>
          <w:tcPr>
            <w:tcW w:w="3503" w:type="pct"/>
            <w:vAlign w:val="center"/>
          </w:tcPr>
          <w:p>
            <w:pPr>
              <w:spacing w:line="360" w:lineRule="auto"/>
              <w:rPr>
                <w:rFonts w:ascii="宋体" w:hAnsi="宋体" w:cs="宋体"/>
                <w:b/>
                <w:bCs/>
                <w:color w:val="auto"/>
                <w:sz w:val="24"/>
                <w:highlight w:val="none"/>
              </w:rPr>
            </w:pPr>
            <w:r>
              <w:rPr>
                <w:rFonts w:hint="eastAsia" w:ascii="宋体" w:hAnsi="宋体" w:cs="宋体"/>
                <w:color w:val="auto"/>
                <w:sz w:val="24"/>
                <w:highlight w:val="none"/>
              </w:rPr>
              <w:t>本项目不允许将成交项目分包或转包。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备选方案</w:t>
            </w:r>
          </w:p>
        </w:tc>
        <w:tc>
          <w:tcPr>
            <w:tcW w:w="3503" w:type="pct"/>
            <w:vAlign w:val="center"/>
          </w:tcPr>
          <w:p>
            <w:pPr>
              <w:spacing w:line="360" w:lineRule="auto"/>
              <w:rPr>
                <w:rFonts w:ascii="宋体" w:hAnsi="宋体" w:cs="宋体"/>
                <w:b/>
                <w:bCs/>
                <w:color w:val="auto"/>
                <w:sz w:val="24"/>
                <w:highlight w:val="none"/>
              </w:rPr>
            </w:pPr>
            <w:r>
              <w:rPr>
                <w:rFonts w:hint="eastAsia" w:ascii="宋体" w:hAnsi="宋体" w:cs="宋体"/>
                <w:color w:val="auto"/>
                <w:sz w:val="24"/>
                <w:highlight w:val="none"/>
              </w:rPr>
              <w:t>本项目不接受备选方案。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虚假响应</w:t>
            </w:r>
          </w:p>
        </w:tc>
        <w:tc>
          <w:tcPr>
            <w:tcW w:w="3503" w:type="pct"/>
            <w:vAlign w:val="center"/>
          </w:tcPr>
          <w:p>
            <w:pPr>
              <w:spacing w:line="360" w:lineRule="auto"/>
              <w:rPr>
                <w:rFonts w:ascii="宋体" w:hAnsi="宋体" w:cs="宋体"/>
                <w:b/>
                <w:bCs/>
                <w:color w:val="auto"/>
                <w:sz w:val="24"/>
                <w:highlight w:val="none"/>
              </w:rPr>
            </w:pPr>
            <w:r>
              <w:rPr>
                <w:rFonts w:hint="eastAsia" w:ascii="宋体" w:hAnsi="宋体" w:cs="宋体"/>
                <w:color w:val="auto"/>
                <w:sz w:val="24"/>
                <w:highlight w:val="none"/>
                <w:u w:val="single"/>
              </w:rPr>
              <w:t>响应文件中提供虚假或失实材料的，采购人或谈判小组向财政部门报告说明，按照《中华人民共和国政府采购采购法》第七十七条处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rPr>
              <w:t>供应商失信行为</w:t>
            </w:r>
          </w:p>
        </w:tc>
        <w:tc>
          <w:tcPr>
            <w:tcW w:w="3503" w:type="pct"/>
            <w:vAlign w:val="center"/>
          </w:tcPr>
          <w:p>
            <w:pPr>
              <w:spacing w:line="360" w:lineRule="auto"/>
              <w:rPr>
                <w:rFonts w:ascii="宋体" w:hAnsi="宋体" w:cs="宋体"/>
                <w:b/>
                <w:bCs/>
                <w:color w:val="auto"/>
                <w:sz w:val="24"/>
                <w:highlight w:val="none"/>
              </w:rPr>
            </w:pPr>
            <w:r>
              <w:rPr>
                <w:rFonts w:hint="eastAsia" w:ascii="宋体" w:hAnsi="宋体" w:cs="宋体"/>
                <w:color w:val="auto"/>
                <w:sz w:val="24"/>
                <w:szCs w:val="24"/>
                <w:highlight w:val="none"/>
                <w:shd w:val="clear" w:color="auto" w:fill="FFFFFF"/>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szCs w:val="22"/>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供应商质疑</w:t>
            </w:r>
          </w:p>
        </w:tc>
        <w:tc>
          <w:tcPr>
            <w:tcW w:w="3503" w:type="pct"/>
            <w:vAlign w:val="center"/>
          </w:tcPr>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（1）质疑</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1、投标人认为采购文件、采购过程或中标/成交结果使自身的合法权益受到损害，可以在法定期限内，以书面形式一次性向采购代理机构或采购人提出质疑。</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（1）提出质疑应当提交质疑函和必要的证明材料，质疑函应当包括以下主要内容：</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 xml:space="preserve">①投标人的姓名或者名称、地址、邮编、联系人及联系电话；②质疑项目的名称、编号；③具体、明确的质疑事项和与质疑事项相关的请求；④事实依据；⑤必要的法律依据；⑥提出质疑的日期。 </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（2）质疑函应当由法定代表人签字并加盖公章，公章不得以合同章或其他印章代替。</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（3）质疑人可以委托代理人办理质疑事项，代理人办理质疑事项时，除提交质疑函外，还应当提交法人授权委托书及代理人的有效身份证明，授权委托书应当载明委托代理的具体权限和事项。</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（4）有下列情形之一的，属于无效质疑：</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①质疑人不是参与本次政府采购项目的投标人或潜在投标人；</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②质疑人与质疑事项不存在利害关系的；</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③未在法定期限内提出质疑的；</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④质疑未以书面形式提出，或质疑函主要内容构成不完整的；</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⑤质疑函没有合法有效的签字、盖章或授权的；</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⑥以非法手段取得证据、材料的；</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⑦质疑答复后，同一质疑人就同一事项再次提出质疑的；</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⑧不符合法律、法规、规章和政府采购监管机构规定的其他条件的。</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2、符合要求的质疑，采购代理机构将予以受理并答复，具体联系方式如下：</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联 系 人：蔺工</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 xml:space="preserve">联系电话：029-85262287 </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3、采购代理机构或采购人将在收到书面质疑后7个工作日内（不含接收当日）做出答复，并以书面形式通知质疑人和其他有关投标人。</w:t>
            </w:r>
          </w:p>
          <w:p>
            <w:pPr>
              <w:snapToGrid w:val="0"/>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（2）投诉</w:t>
            </w:r>
          </w:p>
          <w:p>
            <w:pPr>
              <w:spacing w:line="360" w:lineRule="auto"/>
              <w:jc w:val="left"/>
              <w:rPr>
                <w:rFonts w:ascii="宋体" w:hAnsi="宋体" w:cs="宋体"/>
                <w:color w:val="auto"/>
                <w:sz w:val="24"/>
                <w:szCs w:val="22"/>
                <w:highlight w:val="none"/>
              </w:rPr>
            </w:pPr>
            <w:r>
              <w:rPr>
                <w:rFonts w:hint="eastAsia" w:ascii="宋体" w:hAnsi="宋体" w:cs="宋体"/>
                <w:color w:val="auto"/>
                <w:sz w:val="24"/>
                <w:szCs w:val="22"/>
                <w:highlight w:val="none"/>
              </w:rPr>
              <w:t>1、质疑人对采购代理机构或采购人的答复不满意，以及采购代理机构或采购人未在规定时间内做出答复的，可以在答复期满后15个工作日内向政府采购监管机构提出投诉。</w:t>
            </w:r>
          </w:p>
          <w:p>
            <w:pPr>
              <w:spacing w:line="360" w:lineRule="auto"/>
              <w:rPr>
                <w:rFonts w:ascii="宋体" w:hAnsi="宋体" w:cs="宋体"/>
                <w:b/>
                <w:bCs/>
                <w:color w:val="auto"/>
                <w:sz w:val="24"/>
                <w:highlight w:val="none"/>
              </w:rPr>
            </w:pPr>
            <w:r>
              <w:rPr>
                <w:rFonts w:hint="eastAsia" w:ascii="宋体" w:hAnsi="宋体" w:cs="宋体"/>
                <w:color w:val="auto"/>
                <w:sz w:val="24"/>
                <w:szCs w:val="22"/>
                <w:highlight w:val="none"/>
              </w:rPr>
              <w:t>2、投诉的事项不得超出已质疑事项的范围。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08" w:type="pct"/>
            <w:vAlign w:val="center"/>
          </w:tcPr>
          <w:p>
            <w:pPr>
              <w:numPr>
                <w:ilvl w:val="0"/>
                <w:numId w:val="1"/>
              </w:numPr>
              <w:tabs>
                <w:tab w:val="left" w:pos="420"/>
              </w:tabs>
              <w:spacing w:line="360" w:lineRule="auto"/>
              <w:jc w:val="center"/>
              <w:rPr>
                <w:rFonts w:ascii="宋体" w:hAnsi="宋体" w:cs="宋体"/>
                <w:color w:val="auto"/>
                <w:sz w:val="24"/>
                <w:highlight w:val="none"/>
              </w:rPr>
            </w:pPr>
          </w:p>
        </w:tc>
        <w:tc>
          <w:tcPr>
            <w:tcW w:w="108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行业划分</w:t>
            </w:r>
          </w:p>
        </w:tc>
        <w:tc>
          <w:tcPr>
            <w:tcW w:w="3503" w:type="pct"/>
            <w:vAlign w:val="center"/>
          </w:tcPr>
          <w:p>
            <w:pPr>
              <w:spacing w:line="360" w:lineRule="auto"/>
              <w:rPr>
                <w:rFonts w:ascii="宋体" w:hAnsi="宋体" w:cs="宋体"/>
                <w:b/>
                <w:bCs/>
                <w:color w:val="auto"/>
                <w:sz w:val="24"/>
                <w:highlight w:val="none"/>
              </w:rPr>
            </w:pPr>
            <w:r>
              <w:rPr>
                <w:rFonts w:hint="eastAsia" w:ascii="宋体" w:hAnsi="宋体" w:cs="宋体"/>
                <w:color w:val="auto"/>
                <w:kern w:val="0"/>
                <w:sz w:val="24"/>
                <w:highlight w:val="none"/>
              </w:rPr>
              <w:t>根据中小企业划型标准规定（工信部联企业[2011]300号），本项目属于软件和信息技术服务业。</w:t>
            </w:r>
          </w:p>
        </w:tc>
      </w:tr>
    </w:tbl>
    <w:p>
      <w:pPr>
        <w:pStyle w:val="2"/>
        <w:spacing w:line="360" w:lineRule="auto"/>
        <w:rPr>
          <w:rFonts w:ascii="宋体" w:hAnsi="宋体" w:cs="宋体"/>
          <w:color w:val="auto"/>
          <w:highlight w:val="none"/>
        </w:rPr>
        <w:sectPr>
          <w:footnotePr>
            <w:pos w:val="beneathText"/>
          </w:footnotePr>
          <w:pgSz w:w="11906" w:h="16838"/>
          <w:pgMar w:top="1417" w:right="1644" w:bottom="1191" w:left="1757" w:header="850" w:footer="992" w:gutter="0"/>
          <w:cols w:space="0" w:num="1"/>
          <w:titlePg/>
          <w:docGrid w:linePitch="312" w:charSpace="0"/>
        </w:sectPr>
      </w:pPr>
      <w:bookmarkStart w:id="19" w:name="_Toc246928894"/>
    </w:p>
    <w:bookmarkEnd w:id="19"/>
    <w:p>
      <w:pPr>
        <w:pStyle w:val="3"/>
        <w:spacing w:line="360" w:lineRule="auto"/>
        <w:rPr>
          <w:rFonts w:ascii="宋体" w:hAnsi="宋体" w:eastAsia="宋体" w:cs="宋体"/>
          <w:color w:val="auto"/>
          <w:sz w:val="24"/>
          <w:szCs w:val="24"/>
          <w:highlight w:val="none"/>
        </w:rPr>
      </w:pPr>
      <w:bookmarkStart w:id="20" w:name="_Toc1751"/>
      <w:bookmarkStart w:id="21" w:name="_Toc27137"/>
      <w:bookmarkStart w:id="22" w:name="_Toc17745"/>
      <w:bookmarkStart w:id="23" w:name="_Toc246928896"/>
      <w:r>
        <w:rPr>
          <w:rFonts w:hint="eastAsia" w:ascii="宋体" w:hAnsi="宋体" w:eastAsia="宋体" w:cs="宋体"/>
          <w:color w:val="auto"/>
          <w:sz w:val="24"/>
          <w:szCs w:val="24"/>
          <w:highlight w:val="none"/>
        </w:rPr>
        <w:t>（一）总则</w:t>
      </w:r>
      <w:bookmarkEnd w:id="20"/>
      <w:bookmarkEnd w:id="21"/>
      <w:bookmarkEnd w:id="22"/>
    </w:p>
    <w:p>
      <w:pPr>
        <w:pStyle w:val="4"/>
        <w:rPr>
          <w:rFonts w:ascii="宋体" w:hAnsi="宋体" w:cs="宋体"/>
          <w:color w:val="auto"/>
          <w:sz w:val="24"/>
          <w:szCs w:val="24"/>
          <w:highlight w:val="none"/>
        </w:rPr>
      </w:pPr>
      <w:bookmarkStart w:id="24" w:name="_Toc130"/>
      <w:r>
        <w:rPr>
          <w:rFonts w:hint="eastAsia" w:ascii="宋体" w:hAnsi="宋体" w:cs="宋体"/>
          <w:color w:val="auto"/>
          <w:sz w:val="24"/>
          <w:szCs w:val="24"/>
          <w:highlight w:val="none"/>
        </w:rPr>
        <w:t>1 适用范围</w:t>
      </w:r>
      <w:bookmarkEnd w:id="23"/>
      <w:bookmarkEnd w:id="24"/>
    </w:p>
    <w:p>
      <w:pPr>
        <w:spacing w:line="360" w:lineRule="auto"/>
        <w:rPr>
          <w:rFonts w:ascii="宋体" w:hAnsi="宋体" w:cs="宋体"/>
          <w:color w:val="auto"/>
          <w:sz w:val="24"/>
          <w:highlight w:val="none"/>
        </w:rPr>
      </w:pPr>
      <w:r>
        <w:rPr>
          <w:rFonts w:hint="eastAsia" w:ascii="宋体" w:hAnsi="宋体" w:cs="宋体"/>
          <w:color w:val="auto"/>
          <w:sz w:val="24"/>
          <w:highlight w:val="none"/>
        </w:rPr>
        <w:t>1.1本谈判文件仅适用于本竞争性谈判公告中所叙述项目的设备采购。</w:t>
      </w:r>
    </w:p>
    <w:p>
      <w:pPr>
        <w:spacing w:line="360" w:lineRule="auto"/>
        <w:rPr>
          <w:rFonts w:ascii="宋体" w:hAnsi="宋体" w:cs="宋体"/>
          <w:color w:val="auto"/>
          <w:sz w:val="24"/>
          <w:highlight w:val="none"/>
        </w:rPr>
      </w:pPr>
      <w:r>
        <w:rPr>
          <w:rFonts w:hint="eastAsia" w:ascii="宋体" w:hAnsi="宋体" w:cs="宋体"/>
          <w:color w:val="auto"/>
          <w:sz w:val="24"/>
          <w:highlight w:val="none"/>
        </w:rPr>
        <w:t>1.2本次采购属货物类政府采购，采购人，采购代理机构、供应商、谈判小组的相关行为均受《中华人民共和国政府采购法》、《政府采购非招标采购方式管理办法》财政部规章及政府采购项目所在地有关法规、规章的约束，其权利受到上述法律法规的保护。</w:t>
      </w:r>
    </w:p>
    <w:p>
      <w:pPr>
        <w:pStyle w:val="4"/>
        <w:jc w:val="left"/>
        <w:rPr>
          <w:rFonts w:ascii="宋体" w:hAnsi="宋体" w:cs="宋体"/>
          <w:color w:val="auto"/>
          <w:sz w:val="24"/>
          <w:szCs w:val="24"/>
          <w:highlight w:val="none"/>
        </w:rPr>
      </w:pPr>
      <w:bookmarkStart w:id="25" w:name="_Toc246928897"/>
      <w:bookmarkStart w:id="26" w:name="_Toc22193"/>
      <w:r>
        <w:rPr>
          <w:rFonts w:hint="eastAsia" w:ascii="宋体" w:hAnsi="宋体" w:cs="宋体"/>
          <w:color w:val="auto"/>
          <w:sz w:val="24"/>
          <w:szCs w:val="24"/>
          <w:highlight w:val="none"/>
        </w:rPr>
        <w:t>2 定义</w:t>
      </w:r>
      <w:bookmarkEnd w:id="25"/>
      <w:bookmarkEnd w:id="26"/>
      <w:r>
        <w:rPr>
          <w:rFonts w:hint="eastAsia" w:ascii="宋体" w:hAnsi="宋体" w:cs="宋体"/>
          <w:color w:val="auto"/>
          <w:sz w:val="24"/>
          <w:szCs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2.1 “采购人”系指西安市第六中学分校。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“采购代理机构”系指陕西中信海诚造价咨询有限公司。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2.2 “供应商”系指响应采购人要求提交谈判响应文件的单位。</w:t>
      </w:r>
    </w:p>
    <w:p>
      <w:pPr>
        <w:spacing w:line="360" w:lineRule="auto"/>
        <w:rPr>
          <w:rFonts w:ascii="宋体" w:hAnsi="宋体" w:cs="宋体"/>
          <w:color w:val="auto"/>
          <w:sz w:val="24"/>
          <w:highlight w:val="none"/>
        </w:rPr>
      </w:pPr>
      <w:r>
        <w:rPr>
          <w:rFonts w:hint="eastAsia" w:ascii="宋体" w:hAnsi="宋体" w:cs="宋体"/>
          <w:color w:val="auto"/>
          <w:sz w:val="24"/>
          <w:highlight w:val="none"/>
        </w:rPr>
        <w:t>2.3 “采购文件”系指采购人或代理机构编制并向供应商发售的谈判文件。</w:t>
      </w:r>
    </w:p>
    <w:p>
      <w:pPr>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2.4 “响应文件”系指供应商按照采购文件要求编制并向采购人或代理机构递交的响应文件。</w:t>
      </w:r>
    </w:p>
    <w:p>
      <w:pPr>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2.5 “法定代表人”系指依照法律或者法人组织章程规定，代表法人行使职权的负责人，是法人的法定代表人。参与本项目的其他组织的负责人在响应文件中签署即可具有效力。</w:t>
      </w:r>
    </w:p>
    <w:p>
      <w:pPr>
        <w:pStyle w:val="4"/>
        <w:rPr>
          <w:rFonts w:ascii="宋体" w:hAnsi="宋体" w:cs="宋体"/>
          <w:color w:val="auto"/>
          <w:sz w:val="24"/>
          <w:szCs w:val="24"/>
          <w:highlight w:val="none"/>
        </w:rPr>
      </w:pPr>
      <w:bookmarkStart w:id="27" w:name="_Toc246928898"/>
      <w:bookmarkStart w:id="28" w:name="_Toc5058"/>
      <w:r>
        <w:rPr>
          <w:rFonts w:hint="eastAsia" w:ascii="宋体" w:hAnsi="宋体" w:cs="宋体"/>
          <w:color w:val="auto"/>
          <w:sz w:val="24"/>
          <w:szCs w:val="24"/>
          <w:highlight w:val="none"/>
        </w:rPr>
        <w:t>3 合格的谈判供应商</w:t>
      </w:r>
      <w:bookmarkEnd w:id="27"/>
      <w:bookmarkEnd w:id="28"/>
    </w:p>
    <w:p>
      <w:pPr>
        <w:spacing w:line="360" w:lineRule="auto"/>
        <w:rPr>
          <w:rFonts w:ascii="宋体" w:hAnsi="宋体" w:cs="宋体"/>
          <w:color w:val="auto"/>
          <w:sz w:val="24"/>
          <w:highlight w:val="none"/>
        </w:rPr>
      </w:pPr>
      <w:bookmarkStart w:id="29" w:name="_Toc246928899"/>
      <w:r>
        <w:rPr>
          <w:rFonts w:hint="eastAsia" w:ascii="宋体" w:hAnsi="宋体" w:cs="宋体"/>
          <w:color w:val="auto"/>
          <w:sz w:val="24"/>
          <w:highlight w:val="none"/>
        </w:rPr>
        <w:t>3.1 凡具备供应商条件且有能力提供采购服务的供应商均可报价。</w:t>
      </w:r>
    </w:p>
    <w:p>
      <w:pPr>
        <w:spacing w:line="360" w:lineRule="auto"/>
        <w:rPr>
          <w:rFonts w:ascii="宋体" w:hAnsi="宋体" w:cs="宋体"/>
          <w:color w:val="auto"/>
          <w:sz w:val="24"/>
          <w:highlight w:val="none"/>
        </w:rPr>
      </w:pPr>
      <w:r>
        <w:rPr>
          <w:rFonts w:hint="eastAsia" w:ascii="宋体" w:hAnsi="宋体" w:cs="宋体"/>
          <w:color w:val="auto"/>
          <w:sz w:val="24"/>
          <w:highlight w:val="none"/>
        </w:rPr>
        <w:t>3.2 供应商必须在谈判公告载明的地点购买谈判文件并登记备案，未经购买谈判文件并登记备案的潜在供应商均无资格参加本次报价。</w:t>
      </w:r>
    </w:p>
    <w:p>
      <w:pPr>
        <w:spacing w:line="360" w:lineRule="auto"/>
        <w:rPr>
          <w:rFonts w:ascii="宋体" w:hAnsi="宋体" w:cs="宋体"/>
          <w:color w:val="auto"/>
          <w:sz w:val="24"/>
          <w:highlight w:val="none"/>
        </w:rPr>
      </w:pPr>
      <w:r>
        <w:rPr>
          <w:rFonts w:hint="eastAsia" w:ascii="宋体" w:hAnsi="宋体" w:cs="宋体"/>
          <w:color w:val="auto"/>
          <w:sz w:val="24"/>
          <w:highlight w:val="none"/>
        </w:rPr>
        <w:t>3.3 供应商应参照《中华人民共和国政府采购法》及其他有关的中国法律和法规。</w:t>
      </w:r>
    </w:p>
    <w:p>
      <w:pPr>
        <w:spacing w:line="360" w:lineRule="auto"/>
        <w:rPr>
          <w:rFonts w:ascii="宋体" w:hAnsi="宋体" w:cs="宋体"/>
          <w:color w:val="auto"/>
          <w:sz w:val="24"/>
          <w:highlight w:val="none"/>
        </w:rPr>
      </w:pPr>
      <w:r>
        <w:rPr>
          <w:rFonts w:hint="eastAsia" w:ascii="宋体" w:hAnsi="宋体" w:cs="宋体"/>
          <w:color w:val="auto"/>
          <w:sz w:val="24"/>
          <w:highlight w:val="none"/>
        </w:rPr>
        <w:t>3.4 供应商在过去和现在都不应直接或间接地与采购人及为采购本次服务进行咨询的单位或其附属机构有任何关联。</w:t>
      </w:r>
    </w:p>
    <w:p>
      <w:pPr>
        <w:spacing w:line="360" w:lineRule="auto"/>
        <w:rPr>
          <w:rFonts w:ascii="宋体" w:hAnsi="宋体" w:cs="宋体"/>
          <w:color w:val="auto"/>
          <w:sz w:val="24"/>
          <w:highlight w:val="none"/>
        </w:rPr>
      </w:pPr>
      <w:r>
        <w:rPr>
          <w:rFonts w:hint="eastAsia" w:ascii="宋体" w:hAnsi="宋体" w:cs="宋体"/>
          <w:color w:val="auto"/>
          <w:sz w:val="24"/>
          <w:highlight w:val="none"/>
        </w:rPr>
        <w:t>3.5 只有在法律上和财务上独立，合法运作，并独立于采购代理机构和采购人的供应商才能参加谈判。</w:t>
      </w:r>
    </w:p>
    <w:p>
      <w:pPr>
        <w:pStyle w:val="4"/>
        <w:rPr>
          <w:rFonts w:ascii="宋体" w:hAnsi="宋体" w:cs="宋体"/>
          <w:color w:val="auto"/>
          <w:sz w:val="24"/>
          <w:szCs w:val="24"/>
          <w:highlight w:val="none"/>
        </w:rPr>
      </w:pPr>
      <w:bookmarkStart w:id="30" w:name="_Toc16933"/>
      <w:r>
        <w:rPr>
          <w:rFonts w:hint="eastAsia" w:ascii="宋体" w:hAnsi="宋体" w:cs="宋体"/>
          <w:color w:val="auto"/>
          <w:sz w:val="24"/>
          <w:szCs w:val="24"/>
          <w:highlight w:val="none"/>
        </w:rPr>
        <w:t>4 费用</w:t>
      </w:r>
      <w:bookmarkEnd w:id="29"/>
      <w:bookmarkEnd w:id="30"/>
    </w:p>
    <w:p>
      <w:pPr>
        <w:spacing w:line="360" w:lineRule="auto"/>
        <w:rPr>
          <w:rFonts w:ascii="宋体" w:hAnsi="宋体" w:cs="宋体"/>
          <w:color w:val="auto"/>
          <w:sz w:val="24"/>
          <w:highlight w:val="none"/>
        </w:rPr>
      </w:pPr>
      <w:r>
        <w:rPr>
          <w:rFonts w:hint="eastAsia" w:ascii="宋体" w:hAnsi="宋体" w:cs="宋体"/>
          <w:color w:val="auto"/>
          <w:sz w:val="24"/>
          <w:highlight w:val="none"/>
        </w:rPr>
        <w:t>4.1 供应商应承担所有与编写和提交谈判响应文件有关的费用，无论谈判过程中的做法和结果如何，采购人在任何情况下均无义务和责任承担这些费用。</w:t>
      </w:r>
    </w:p>
    <w:p>
      <w:pPr>
        <w:spacing w:line="360" w:lineRule="auto"/>
        <w:rPr>
          <w:rFonts w:ascii="宋体" w:hAnsi="宋体" w:cs="宋体"/>
          <w:color w:val="auto"/>
          <w:sz w:val="24"/>
          <w:highlight w:val="none"/>
        </w:rPr>
      </w:pPr>
      <w:r>
        <w:rPr>
          <w:rFonts w:hint="eastAsia" w:ascii="宋体" w:hAnsi="宋体" w:cs="宋体"/>
          <w:color w:val="auto"/>
          <w:sz w:val="24"/>
          <w:highlight w:val="none"/>
        </w:rPr>
        <w:t>4.2 采购人或采购代理机构不组织现场踏勘， 供应商可携带工具自行踏勘现场，自行负责因踏勘所产生的费用和其他一切后果，采购人和采购代理机构不承担任何责任。</w:t>
      </w:r>
    </w:p>
    <w:p>
      <w:pPr>
        <w:pStyle w:val="3"/>
        <w:spacing w:line="360" w:lineRule="auto"/>
        <w:rPr>
          <w:rFonts w:ascii="宋体" w:hAnsi="宋体" w:eastAsia="宋体" w:cs="宋体"/>
          <w:b w:val="0"/>
          <w:color w:val="auto"/>
          <w:sz w:val="24"/>
          <w:szCs w:val="24"/>
          <w:highlight w:val="none"/>
        </w:rPr>
      </w:pPr>
      <w:bookmarkStart w:id="31" w:name="_Toc26083"/>
      <w:bookmarkStart w:id="32" w:name="_Toc11747"/>
      <w:bookmarkStart w:id="33" w:name="_Toc22765"/>
      <w:bookmarkStart w:id="34" w:name="_Toc246928901"/>
      <w:r>
        <w:rPr>
          <w:rFonts w:hint="eastAsia" w:ascii="宋体" w:hAnsi="宋体" w:eastAsia="宋体" w:cs="宋体"/>
          <w:color w:val="auto"/>
          <w:sz w:val="24"/>
          <w:szCs w:val="24"/>
          <w:highlight w:val="none"/>
        </w:rPr>
        <w:t>（二）谈判文件说明</w:t>
      </w:r>
      <w:bookmarkEnd w:id="31"/>
      <w:bookmarkEnd w:id="32"/>
      <w:bookmarkEnd w:id="33"/>
    </w:p>
    <w:p>
      <w:pPr>
        <w:pStyle w:val="4"/>
        <w:rPr>
          <w:rFonts w:ascii="宋体" w:hAnsi="宋体" w:cs="宋体"/>
          <w:color w:val="auto"/>
          <w:sz w:val="24"/>
          <w:szCs w:val="24"/>
          <w:highlight w:val="none"/>
        </w:rPr>
      </w:pPr>
      <w:bookmarkStart w:id="35" w:name="_Toc30384"/>
      <w:r>
        <w:rPr>
          <w:rFonts w:hint="eastAsia" w:ascii="宋体" w:hAnsi="宋体" w:cs="宋体"/>
          <w:color w:val="auto"/>
          <w:sz w:val="24"/>
          <w:szCs w:val="24"/>
          <w:highlight w:val="none"/>
        </w:rPr>
        <w:t>5 谈判文件的构成</w:t>
      </w:r>
      <w:bookmarkEnd w:id="34"/>
      <w:bookmarkEnd w:id="35"/>
    </w:p>
    <w:p>
      <w:pPr>
        <w:spacing w:line="360" w:lineRule="auto"/>
        <w:rPr>
          <w:rFonts w:ascii="宋体" w:hAnsi="宋体" w:cs="宋体"/>
          <w:color w:val="auto"/>
          <w:sz w:val="24"/>
          <w:highlight w:val="none"/>
        </w:rPr>
      </w:pPr>
      <w:r>
        <w:rPr>
          <w:rFonts w:hint="eastAsia" w:ascii="宋体" w:hAnsi="宋体" w:cs="宋体"/>
          <w:color w:val="auto"/>
          <w:sz w:val="24"/>
          <w:highlight w:val="none"/>
        </w:rPr>
        <w:t>5.1 谈判文件用以阐明所需提供的服务、采购、谈判程序和合同条件。谈判文件包括：</w:t>
      </w:r>
    </w:p>
    <w:p>
      <w:pPr>
        <w:spacing w:line="360" w:lineRule="auto"/>
        <w:rPr>
          <w:rFonts w:ascii="宋体" w:hAnsi="宋体" w:cs="宋体"/>
          <w:color w:val="auto"/>
          <w:sz w:val="24"/>
          <w:highlight w:val="none"/>
        </w:rPr>
      </w:pPr>
      <w:r>
        <w:rPr>
          <w:rFonts w:hint="eastAsia" w:ascii="宋体" w:hAnsi="宋体" w:cs="宋体"/>
          <w:color w:val="auto"/>
          <w:sz w:val="24"/>
          <w:highlight w:val="none"/>
        </w:rPr>
        <w:t>5.1.1 竞争性谈判公告；</w:t>
      </w:r>
    </w:p>
    <w:p>
      <w:pPr>
        <w:spacing w:line="360" w:lineRule="auto"/>
        <w:rPr>
          <w:rFonts w:ascii="宋体" w:hAnsi="宋体" w:cs="宋体"/>
          <w:color w:val="auto"/>
          <w:sz w:val="24"/>
          <w:highlight w:val="none"/>
        </w:rPr>
      </w:pPr>
      <w:r>
        <w:rPr>
          <w:rFonts w:hint="eastAsia" w:ascii="宋体" w:hAnsi="宋体" w:cs="宋体"/>
          <w:color w:val="auto"/>
          <w:sz w:val="24"/>
          <w:highlight w:val="none"/>
        </w:rPr>
        <w:t>5.1.2 谈判须知前附表；</w:t>
      </w:r>
    </w:p>
    <w:p>
      <w:pPr>
        <w:spacing w:line="360" w:lineRule="auto"/>
        <w:rPr>
          <w:rFonts w:ascii="宋体" w:hAnsi="宋体" w:cs="宋体"/>
          <w:color w:val="auto"/>
          <w:sz w:val="24"/>
          <w:highlight w:val="none"/>
        </w:rPr>
      </w:pPr>
      <w:r>
        <w:rPr>
          <w:rFonts w:hint="eastAsia" w:ascii="宋体" w:hAnsi="宋体" w:cs="宋体"/>
          <w:color w:val="auto"/>
          <w:sz w:val="24"/>
          <w:highlight w:val="none"/>
        </w:rPr>
        <w:t>5.1.3 谈判须知；</w:t>
      </w:r>
    </w:p>
    <w:p>
      <w:pPr>
        <w:tabs>
          <w:tab w:val="left" w:pos="2415"/>
        </w:tabs>
        <w:spacing w:line="360" w:lineRule="auto"/>
        <w:rPr>
          <w:rFonts w:ascii="宋体" w:hAnsi="宋体" w:cs="宋体"/>
          <w:color w:val="auto"/>
          <w:sz w:val="24"/>
          <w:highlight w:val="none"/>
        </w:rPr>
      </w:pPr>
      <w:r>
        <w:rPr>
          <w:rFonts w:hint="eastAsia" w:ascii="宋体" w:hAnsi="宋体" w:cs="宋体"/>
          <w:color w:val="auto"/>
          <w:sz w:val="24"/>
          <w:highlight w:val="none"/>
        </w:rPr>
        <w:t>5.1.4 采购内容及要求；</w:t>
      </w:r>
      <w:r>
        <w:rPr>
          <w:rFonts w:hint="eastAsia" w:ascii="宋体" w:hAnsi="宋体" w:cs="宋体"/>
          <w:color w:val="auto"/>
          <w:sz w:val="24"/>
          <w:highlight w:val="none"/>
        </w:rPr>
        <w:tab/>
      </w:r>
    </w:p>
    <w:p>
      <w:pPr>
        <w:spacing w:line="360" w:lineRule="auto"/>
        <w:rPr>
          <w:rFonts w:ascii="宋体" w:hAnsi="宋体" w:cs="宋体"/>
          <w:color w:val="auto"/>
          <w:sz w:val="24"/>
          <w:highlight w:val="none"/>
        </w:rPr>
      </w:pPr>
      <w:r>
        <w:rPr>
          <w:rFonts w:hint="eastAsia" w:ascii="宋体" w:hAnsi="宋体" w:cs="宋体"/>
          <w:color w:val="auto"/>
          <w:sz w:val="24"/>
          <w:highlight w:val="none"/>
        </w:rPr>
        <w:t>5.1.5 合同一般条款；</w:t>
      </w:r>
    </w:p>
    <w:p>
      <w:pPr>
        <w:spacing w:line="360" w:lineRule="auto"/>
        <w:rPr>
          <w:rFonts w:ascii="宋体" w:hAnsi="宋体" w:cs="宋体"/>
          <w:color w:val="auto"/>
          <w:sz w:val="24"/>
          <w:highlight w:val="none"/>
        </w:rPr>
      </w:pPr>
      <w:r>
        <w:rPr>
          <w:rFonts w:hint="eastAsia" w:ascii="宋体" w:hAnsi="宋体" w:cs="宋体"/>
          <w:color w:val="auto"/>
          <w:sz w:val="24"/>
          <w:highlight w:val="none"/>
        </w:rPr>
        <w:t>5.1.6 附件—谈判响应文件格式。</w:t>
      </w:r>
    </w:p>
    <w:p>
      <w:pPr>
        <w:spacing w:line="360" w:lineRule="auto"/>
        <w:rPr>
          <w:rFonts w:ascii="宋体" w:hAnsi="宋体" w:cs="宋体"/>
          <w:color w:val="auto"/>
          <w:sz w:val="24"/>
          <w:highlight w:val="none"/>
        </w:rPr>
      </w:pPr>
      <w:r>
        <w:rPr>
          <w:rFonts w:hint="eastAsia" w:ascii="宋体" w:hAnsi="宋体" w:cs="宋体"/>
          <w:color w:val="auto"/>
          <w:sz w:val="24"/>
          <w:highlight w:val="none"/>
        </w:rPr>
        <w:t>5.2 供应商应认真阅读谈判文件中所有的事项、格式、条款和规范要求等。</w:t>
      </w:r>
    </w:p>
    <w:p>
      <w:pPr>
        <w:pStyle w:val="4"/>
        <w:rPr>
          <w:rFonts w:ascii="宋体" w:hAnsi="宋体" w:cs="宋体"/>
          <w:color w:val="auto"/>
          <w:sz w:val="24"/>
          <w:szCs w:val="24"/>
          <w:highlight w:val="none"/>
        </w:rPr>
      </w:pPr>
      <w:bookmarkStart w:id="36" w:name="_Toc24386"/>
      <w:bookmarkStart w:id="37" w:name="_Toc246928902"/>
      <w:r>
        <w:rPr>
          <w:rFonts w:hint="eastAsia" w:ascii="宋体" w:hAnsi="宋体" w:cs="宋体"/>
          <w:color w:val="auto"/>
          <w:sz w:val="24"/>
          <w:szCs w:val="24"/>
          <w:highlight w:val="none"/>
        </w:rPr>
        <w:t>6 谈判文件的澄清</w:t>
      </w:r>
      <w:bookmarkEnd w:id="36"/>
      <w:bookmarkEnd w:id="37"/>
    </w:p>
    <w:p>
      <w:pPr>
        <w:spacing w:line="360" w:lineRule="auto"/>
        <w:rPr>
          <w:rFonts w:ascii="宋体" w:hAnsi="宋体" w:cs="宋体"/>
          <w:color w:val="auto"/>
          <w:sz w:val="24"/>
          <w:highlight w:val="none"/>
        </w:rPr>
      </w:pPr>
      <w:bookmarkStart w:id="38" w:name="_Toc246928903"/>
      <w:r>
        <w:rPr>
          <w:rFonts w:hint="eastAsia" w:ascii="宋体" w:hAnsi="宋体" w:cs="宋体"/>
          <w:color w:val="auto"/>
          <w:sz w:val="24"/>
          <w:highlight w:val="none"/>
        </w:rPr>
        <w:t>6.1 任何要求对谈判文件澄清的供应商，均应以书面形式在谈判时间前通知采购代理机构。采购代理机构将视情况确定采用适当方式予以澄清或以书面形式予以答复，并在其认为必要时，将不标明查询来源的书面答复通知谈判文件收受人。</w:t>
      </w:r>
    </w:p>
    <w:p>
      <w:pPr>
        <w:spacing w:line="360" w:lineRule="auto"/>
        <w:rPr>
          <w:rFonts w:ascii="宋体" w:hAnsi="宋体" w:cs="宋体"/>
          <w:color w:val="auto"/>
          <w:sz w:val="24"/>
          <w:highlight w:val="none"/>
        </w:rPr>
      </w:pPr>
      <w:r>
        <w:rPr>
          <w:rFonts w:hint="eastAsia" w:ascii="宋体" w:hAnsi="宋体" w:cs="宋体"/>
          <w:color w:val="auto"/>
          <w:sz w:val="24"/>
          <w:highlight w:val="none"/>
        </w:rPr>
        <w:t>6.2 供应商收到上述通知后，应当立即向采购代理机构发出回函予以确认。</w:t>
      </w:r>
    </w:p>
    <w:p>
      <w:pPr>
        <w:spacing w:line="360" w:lineRule="auto"/>
        <w:rPr>
          <w:rFonts w:ascii="宋体" w:hAnsi="宋体" w:cs="宋体"/>
          <w:color w:val="auto"/>
          <w:sz w:val="24"/>
          <w:highlight w:val="none"/>
        </w:rPr>
      </w:pPr>
      <w:r>
        <w:rPr>
          <w:rFonts w:hint="eastAsia" w:ascii="宋体" w:hAnsi="宋体" w:cs="宋体"/>
          <w:color w:val="auto"/>
          <w:sz w:val="24"/>
          <w:highlight w:val="none"/>
        </w:rPr>
        <w:t>6.3 该澄清的内容为谈判文件的组成部分。</w:t>
      </w:r>
    </w:p>
    <w:p>
      <w:pPr>
        <w:pStyle w:val="4"/>
        <w:rPr>
          <w:rFonts w:ascii="宋体" w:hAnsi="宋体" w:cs="宋体"/>
          <w:color w:val="auto"/>
          <w:sz w:val="24"/>
          <w:szCs w:val="24"/>
          <w:highlight w:val="none"/>
        </w:rPr>
      </w:pPr>
      <w:bookmarkStart w:id="39" w:name="_Toc26475"/>
      <w:r>
        <w:rPr>
          <w:rFonts w:hint="eastAsia" w:ascii="宋体" w:hAnsi="宋体" w:cs="宋体"/>
          <w:color w:val="auto"/>
          <w:sz w:val="24"/>
          <w:szCs w:val="24"/>
          <w:highlight w:val="none"/>
        </w:rPr>
        <w:t>7 谈判文件的修改</w:t>
      </w:r>
      <w:bookmarkEnd w:id="38"/>
      <w:bookmarkEnd w:id="39"/>
    </w:p>
    <w:p>
      <w:pPr>
        <w:spacing w:line="360" w:lineRule="auto"/>
        <w:rPr>
          <w:rFonts w:ascii="宋体" w:hAnsi="宋体" w:cs="宋体"/>
          <w:color w:val="auto"/>
          <w:sz w:val="24"/>
          <w:highlight w:val="none"/>
        </w:rPr>
      </w:pPr>
      <w:bookmarkStart w:id="40" w:name="_Toc246928904"/>
      <w:r>
        <w:rPr>
          <w:rFonts w:hint="eastAsia" w:ascii="宋体" w:hAnsi="宋体" w:cs="宋体"/>
          <w:color w:val="auto"/>
          <w:sz w:val="24"/>
          <w:highlight w:val="none"/>
        </w:rPr>
        <w:t>7.1 在谈判截止期前，无论出于何种原因，采购人可主动地或在解答供应商要求澄清的问题时对谈判文件进行修改。</w:t>
      </w:r>
    </w:p>
    <w:p>
      <w:pPr>
        <w:spacing w:line="360" w:lineRule="auto"/>
        <w:rPr>
          <w:rFonts w:ascii="宋体" w:hAnsi="宋体" w:cs="宋体"/>
          <w:color w:val="auto"/>
          <w:sz w:val="24"/>
          <w:highlight w:val="none"/>
        </w:rPr>
      </w:pPr>
      <w:r>
        <w:rPr>
          <w:rFonts w:hint="eastAsia" w:ascii="宋体" w:hAnsi="宋体" w:cs="宋体"/>
          <w:color w:val="auto"/>
          <w:sz w:val="24"/>
          <w:highlight w:val="none"/>
        </w:rPr>
        <w:t>7.2 谈判文件的修改将以书面形式通知所有谈判文件的收受人，供应商在收到该通知后应立即以书面形式予以确认。</w:t>
      </w:r>
    </w:p>
    <w:p>
      <w:pPr>
        <w:spacing w:line="360" w:lineRule="auto"/>
        <w:rPr>
          <w:rFonts w:ascii="宋体" w:hAnsi="宋体" w:cs="宋体"/>
          <w:color w:val="auto"/>
          <w:sz w:val="24"/>
          <w:highlight w:val="none"/>
        </w:rPr>
      </w:pPr>
      <w:r>
        <w:rPr>
          <w:rFonts w:hint="eastAsia" w:ascii="宋体" w:hAnsi="宋体" w:cs="宋体"/>
          <w:color w:val="auto"/>
          <w:sz w:val="24"/>
          <w:highlight w:val="none"/>
        </w:rPr>
        <w:t>7.3 为使供应商在准备谈判响应文件时，有充分的时间对谈判文件的修改进行研究考虑，采购人可自行决定，酌情推迟谈判响应文件截止日期和谈判时间，并以书面形式通知所有已购买谈判文件的供应商。</w:t>
      </w:r>
    </w:p>
    <w:p>
      <w:pPr>
        <w:spacing w:line="360" w:lineRule="auto"/>
        <w:rPr>
          <w:rFonts w:ascii="宋体" w:hAnsi="宋体" w:cs="宋体"/>
          <w:color w:val="auto"/>
          <w:sz w:val="24"/>
          <w:highlight w:val="none"/>
        </w:rPr>
      </w:pPr>
      <w:r>
        <w:rPr>
          <w:rFonts w:hint="eastAsia" w:ascii="宋体" w:hAnsi="宋体" w:cs="宋体"/>
          <w:color w:val="auto"/>
          <w:sz w:val="24"/>
          <w:highlight w:val="none"/>
        </w:rPr>
        <w:t>7.4 谈判文件的修改书将构成谈判文件的一部分，对采购人和供应商都具有约束力。</w:t>
      </w:r>
    </w:p>
    <w:p>
      <w:pPr>
        <w:pStyle w:val="3"/>
        <w:ind w:firstLine="562"/>
        <w:rPr>
          <w:rFonts w:ascii="宋体" w:hAnsi="宋体" w:eastAsia="宋体" w:cs="宋体"/>
          <w:color w:val="auto"/>
          <w:sz w:val="24"/>
          <w:szCs w:val="24"/>
          <w:highlight w:val="none"/>
        </w:rPr>
      </w:pPr>
      <w:bookmarkStart w:id="41" w:name="_Toc15771"/>
      <w:bookmarkStart w:id="42" w:name="_Toc19570"/>
      <w:bookmarkStart w:id="43" w:name="_Toc13059"/>
      <w:r>
        <w:rPr>
          <w:rFonts w:hint="eastAsia" w:ascii="宋体" w:hAnsi="宋体" w:eastAsia="宋体" w:cs="宋体"/>
          <w:color w:val="auto"/>
          <w:sz w:val="24"/>
          <w:szCs w:val="24"/>
          <w:highlight w:val="none"/>
        </w:rPr>
        <w:t>（三）谈判响应文件的编写</w:t>
      </w:r>
      <w:bookmarkEnd w:id="40"/>
      <w:bookmarkEnd w:id="41"/>
      <w:bookmarkEnd w:id="42"/>
      <w:bookmarkEnd w:id="43"/>
    </w:p>
    <w:p>
      <w:pPr>
        <w:pStyle w:val="4"/>
        <w:rPr>
          <w:rFonts w:ascii="宋体" w:hAnsi="宋体" w:cs="宋体"/>
          <w:color w:val="auto"/>
          <w:sz w:val="24"/>
          <w:szCs w:val="24"/>
          <w:highlight w:val="none"/>
        </w:rPr>
      </w:pPr>
      <w:bookmarkStart w:id="44" w:name="_Toc26353"/>
      <w:bookmarkStart w:id="45" w:name="_Toc246928905"/>
      <w:r>
        <w:rPr>
          <w:rFonts w:hint="eastAsia" w:ascii="宋体" w:hAnsi="宋体" w:cs="宋体"/>
          <w:color w:val="auto"/>
          <w:sz w:val="24"/>
          <w:szCs w:val="24"/>
          <w:highlight w:val="none"/>
        </w:rPr>
        <w:t>8 谈判语言</w:t>
      </w:r>
      <w:bookmarkEnd w:id="44"/>
      <w:bookmarkEnd w:id="45"/>
    </w:p>
    <w:p>
      <w:pPr>
        <w:spacing w:line="360" w:lineRule="auto"/>
        <w:rPr>
          <w:rFonts w:ascii="宋体" w:hAnsi="宋体" w:cs="宋体"/>
          <w:color w:val="auto"/>
          <w:sz w:val="24"/>
          <w:highlight w:val="none"/>
        </w:rPr>
      </w:pPr>
      <w:r>
        <w:rPr>
          <w:rFonts w:hint="eastAsia" w:ascii="宋体" w:hAnsi="宋体" w:cs="宋体"/>
          <w:color w:val="auto"/>
          <w:sz w:val="24"/>
          <w:highlight w:val="none"/>
        </w:rPr>
        <w:t>8.1 由供应商编写的谈判响应文件和往来传真应以中文书写。</w:t>
      </w:r>
    </w:p>
    <w:p>
      <w:pPr>
        <w:pStyle w:val="4"/>
        <w:rPr>
          <w:rFonts w:ascii="宋体" w:hAnsi="宋体" w:cs="宋体"/>
          <w:color w:val="auto"/>
          <w:sz w:val="24"/>
          <w:szCs w:val="24"/>
          <w:highlight w:val="none"/>
        </w:rPr>
      </w:pPr>
      <w:bookmarkStart w:id="46" w:name="_Toc246928906"/>
      <w:bookmarkStart w:id="47" w:name="_Toc32313"/>
      <w:r>
        <w:rPr>
          <w:rFonts w:hint="eastAsia" w:ascii="宋体" w:hAnsi="宋体" w:cs="宋体"/>
          <w:color w:val="auto"/>
          <w:sz w:val="24"/>
          <w:szCs w:val="24"/>
          <w:highlight w:val="none"/>
        </w:rPr>
        <w:t>9 计量单位</w:t>
      </w:r>
      <w:bookmarkEnd w:id="46"/>
      <w:bookmarkEnd w:id="47"/>
    </w:p>
    <w:p>
      <w:pPr>
        <w:spacing w:line="360" w:lineRule="auto"/>
        <w:rPr>
          <w:rFonts w:ascii="宋体" w:hAnsi="宋体" w:cs="宋体"/>
          <w:color w:val="auto"/>
          <w:sz w:val="24"/>
          <w:highlight w:val="none"/>
        </w:rPr>
      </w:pPr>
      <w:r>
        <w:rPr>
          <w:rFonts w:hint="eastAsia" w:ascii="宋体" w:hAnsi="宋体" w:cs="宋体"/>
          <w:color w:val="auto"/>
          <w:sz w:val="24"/>
          <w:highlight w:val="none"/>
        </w:rPr>
        <w:t>9.1 除在谈判文件中有特殊要求外，计量单位应使用中华人民共和国法定计量单位及通用图形符号。</w:t>
      </w:r>
    </w:p>
    <w:p>
      <w:pPr>
        <w:spacing w:line="360" w:lineRule="auto"/>
        <w:rPr>
          <w:rFonts w:ascii="宋体" w:hAnsi="宋体" w:cs="宋体"/>
          <w:color w:val="auto"/>
          <w:sz w:val="24"/>
          <w:highlight w:val="none"/>
        </w:rPr>
      </w:pPr>
      <w:r>
        <w:rPr>
          <w:rFonts w:hint="eastAsia" w:ascii="宋体" w:hAnsi="宋体" w:cs="宋体"/>
          <w:color w:val="auto"/>
          <w:sz w:val="24"/>
          <w:highlight w:val="none"/>
        </w:rPr>
        <w:t>9.2 本次采购、报价、谈判、评审和合同授予均以项目为单位，供应商必须就整个项目进行响应，不得将整个项目中的内容拆开响应。拆开响应的，按无效谈判处理。</w:t>
      </w:r>
    </w:p>
    <w:p>
      <w:pPr>
        <w:pStyle w:val="4"/>
        <w:rPr>
          <w:rFonts w:ascii="宋体" w:hAnsi="宋体" w:cs="宋体"/>
          <w:color w:val="auto"/>
          <w:sz w:val="24"/>
          <w:szCs w:val="24"/>
          <w:highlight w:val="none"/>
        </w:rPr>
      </w:pPr>
      <w:bookmarkStart w:id="48" w:name="_Toc246928907"/>
      <w:bookmarkStart w:id="49" w:name="_Toc31126"/>
      <w:r>
        <w:rPr>
          <w:rFonts w:hint="eastAsia" w:ascii="宋体" w:hAnsi="宋体" w:cs="宋体"/>
          <w:color w:val="auto"/>
          <w:sz w:val="24"/>
          <w:szCs w:val="24"/>
          <w:highlight w:val="none"/>
        </w:rPr>
        <w:t>10 谈判响应文件的构成</w:t>
      </w:r>
      <w:bookmarkEnd w:id="48"/>
      <w:bookmarkEnd w:id="49"/>
    </w:p>
    <w:p>
      <w:pPr>
        <w:spacing w:line="360" w:lineRule="auto"/>
        <w:rPr>
          <w:rFonts w:ascii="宋体" w:hAnsi="宋体" w:cs="宋体"/>
          <w:color w:val="auto"/>
          <w:sz w:val="24"/>
          <w:highlight w:val="none"/>
        </w:rPr>
      </w:pPr>
      <w:r>
        <w:rPr>
          <w:rFonts w:hint="eastAsia" w:ascii="宋体" w:hAnsi="宋体" w:cs="宋体"/>
          <w:color w:val="auto"/>
          <w:sz w:val="24"/>
          <w:highlight w:val="none"/>
        </w:rPr>
        <w:t>10.1 供应商编写的谈判响应文件应包括下列部分：</w:t>
      </w:r>
    </w:p>
    <w:p>
      <w:pPr>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一、谈判响应函</w:t>
      </w:r>
    </w:p>
    <w:p>
      <w:pPr>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二、首次谈判报价表</w:t>
      </w:r>
    </w:p>
    <w:p>
      <w:pPr>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三、法定代表人授权委托书</w:t>
      </w:r>
    </w:p>
    <w:p>
      <w:pPr>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四、响应方案</w:t>
      </w:r>
    </w:p>
    <w:p>
      <w:pPr>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五、供应商资格证明文件及其他</w:t>
      </w:r>
    </w:p>
    <w:p>
      <w:pPr>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六、陕西省政府采购供应商拒绝政府采购领域商业贿赂承诺书</w:t>
      </w:r>
    </w:p>
    <w:p>
      <w:pPr>
        <w:spacing w:line="360" w:lineRule="auto"/>
        <w:rPr>
          <w:rFonts w:ascii="宋体" w:hAnsi="宋体" w:cs="宋体"/>
          <w:color w:val="auto"/>
          <w:sz w:val="24"/>
          <w:highlight w:val="none"/>
        </w:rPr>
      </w:pPr>
      <w:r>
        <w:rPr>
          <w:rFonts w:hint="eastAsia" w:ascii="宋体" w:hAnsi="宋体" w:cs="宋体"/>
          <w:color w:val="auto"/>
          <w:sz w:val="24"/>
          <w:highlight w:val="none"/>
        </w:rPr>
        <w:t>10.2 供应商提供的所有资格证明文件均应当为合法、有效文件，否则将被视为该文件无效投标。</w:t>
      </w:r>
    </w:p>
    <w:p>
      <w:pPr>
        <w:spacing w:line="360" w:lineRule="auto"/>
        <w:rPr>
          <w:rFonts w:ascii="宋体" w:hAnsi="宋体" w:cs="宋体"/>
          <w:color w:val="auto"/>
          <w:sz w:val="24"/>
          <w:highlight w:val="none"/>
        </w:rPr>
      </w:pPr>
      <w:r>
        <w:rPr>
          <w:rFonts w:hint="eastAsia" w:ascii="宋体" w:hAnsi="宋体" w:cs="宋体"/>
          <w:color w:val="auto"/>
          <w:sz w:val="24"/>
          <w:highlight w:val="none"/>
        </w:rPr>
        <w:t>10.3 上述文件应当按照谈判文件规定的格式填写、签署和盖章。</w:t>
      </w:r>
    </w:p>
    <w:p>
      <w:pPr>
        <w:pStyle w:val="4"/>
        <w:rPr>
          <w:rFonts w:ascii="宋体" w:hAnsi="宋体" w:cs="宋体"/>
          <w:color w:val="auto"/>
          <w:sz w:val="24"/>
          <w:szCs w:val="24"/>
          <w:highlight w:val="none"/>
        </w:rPr>
      </w:pPr>
      <w:bookmarkStart w:id="50" w:name="_Toc29843"/>
      <w:bookmarkStart w:id="51" w:name="_Toc246928909"/>
      <w:r>
        <w:rPr>
          <w:rFonts w:hint="eastAsia" w:ascii="宋体" w:hAnsi="宋体" w:cs="宋体"/>
          <w:color w:val="auto"/>
          <w:sz w:val="24"/>
          <w:szCs w:val="24"/>
          <w:highlight w:val="none"/>
        </w:rPr>
        <w:t>11 谈判报价</w:t>
      </w:r>
      <w:bookmarkEnd w:id="50"/>
      <w:bookmarkEnd w:id="51"/>
    </w:p>
    <w:p>
      <w:pPr>
        <w:spacing w:line="360" w:lineRule="auto"/>
        <w:rPr>
          <w:rFonts w:ascii="宋体" w:hAnsi="宋体" w:cs="宋体"/>
          <w:color w:val="auto"/>
          <w:sz w:val="24"/>
          <w:highlight w:val="none"/>
        </w:rPr>
      </w:pPr>
      <w:r>
        <w:rPr>
          <w:rFonts w:hint="eastAsia" w:ascii="宋体" w:hAnsi="宋体" w:cs="宋体"/>
          <w:color w:val="auto"/>
          <w:sz w:val="24"/>
          <w:highlight w:val="none"/>
        </w:rPr>
        <w:t>11.1 所有报价均以人民币报价。</w:t>
      </w:r>
    </w:p>
    <w:p>
      <w:pPr>
        <w:spacing w:line="360" w:lineRule="auto"/>
        <w:rPr>
          <w:rFonts w:ascii="宋体" w:hAnsi="宋体" w:cs="宋体"/>
          <w:color w:val="auto"/>
          <w:sz w:val="24"/>
          <w:highlight w:val="none"/>
        </w:rPr>
      </w:pPr>
      <w:r>
        <w:rPr>
          <w:rFonts w:hint="eastAsia" w:ascii="宋体" w:hAnsi="宋体" w:cs="宋体"/>
          <w:color w:val="auto"/>
          <w:sz w:val="24"/>
          <w:highlight w:val="none"/>
        </w:rPr>
        <w:t>11.2供应商依据谈判文件提供的采购要求等资料并自行考虑风险因素计算谈判报价，一旦成交，谈判报价将不会因国家政策调整及市场变化因素而得到调整。</w:t>
      </w:r>
    </w:p>
    <w:p>
      <w:pPr>
        <w:spacing w:line="360" w:lineRule="auto"/>
        <w:rPr>
          <w:rFonts w:ascii="宋体" w:hAnsi="宋体" w:cs="宋体"/>
          <w:color w:val="auto"/>
          <w:sz w:val="24"/>
          <w:highlight w:val="none"/>
        </w:rPr>
      </w:pPr>
      <w:r>
        <w:rPr>
          <w:rFonts w:hint="eastAsia" w:ascii="宋体" w:hAnsi="宋体" w:cs="宋体"/>
          <w:color w:val="auto"/>
          <w:sz w:val="24"/>
          <w:highlight w:val="none"/>
        </w:rPr>
        <w:t>11.3 谈判报价为完成本项目所发生的各项费用、税金以及合同包含的所有风险、责任等各项应有费用，包括调研、人员收入费、保险费、税金、差旅、材料印刷、编制等一切费用及其它相关的费用。供应商漏报或不报，采购人或采购代理机构将视为有关费用已包括在谈判报价中而不予支付。</w:t>
      </w:r>
    </w:p>
    <w:p>
      <w:pPr>
        <w:pStyle w:val="4"/>
        <w:rPr>
          <w:rFonts w:ascii="宋体" w:hAnsi="宋体" w:cs="宋体"/>
          <w:color w:val="auto"/>
          <w:sz w:val="24"/>
          <w:szCs w:val="24"/>
          <w:highlight w:val="none"/>
        </w:rPr>
      </w:pPr>
      <w:bookmarkStart w:id="52" w:name="_Toc27218"/>
      <w:bookmarkStart w:id="53" w:name="_Toc246928911"/>
      <w:bookmarkStart w:id="54" w:name="_Hlk47648326"/>
      <w:r>
        <w:rPr>
          <w:rFonts w:hint="eastAsia" w:ascii="宋体" w:hAnsi="宋体" w:cs="宋体"/>
          <w:color w:val="auto"/>
          <w:sz w:val="24"/>
          <w:szCs w:val="24"/>
          <w:highlight w:val="none"/>
        </w:rPr>
        <w:t>12证明供应商资格的证明文件</w:t>
      </w:r>
      <w:bookmarkEnd w:id="52"/>
      <w:bookmarkEnd w:id="53"/>
    </w:p>
    <w:p>
      <w:pPr>
        <w:overflowPunct w:val="0"/>
        <w:adjustRightInd w:val="0"/>
        <w:snapToGrid w:val="0"/>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12.1响应文件的</w:t>
      </w:r>
      <w:r>
        <w:rPr>
          <w:rFonts w:hint="eastAsia" w:ascii="宋体" w:hAnsi="宋体" w:cs="宋体"/>
          <w:b/>
          <w:bCs/>
          <w:color w:val="auto"/>
          <w:sz w:val="24"/>
          <w:szCs w:val="22"/>
          <w:highlight w:val="none"/>
          <w:u w:val="single"/>
        </w:rPr>
        <w:t>资格性审查</w:t>
      </w:r>
      <w:r>
        <w:rPr>
          <w:rFonts w:hint="eastAsia" w:ascii="宋体" w:hAnsi="宋体" w:cs="宋体"/>
          <w:color w:val="auto"/>
          <w:sz w:val="24"/>
          <w:szCs w:val="22"/>
          <w:highlight w:val="none"/>
        </w:rPr>
        <w:t>：依据法律法规和谈判文件的规定，对响应文件中的资格证明文件进行审查。审查内容见下表：</w:t>
      </w:r>
    </w:p>
    <w:tbl>
      <w:tblPr>
        <w:tblStyle w:val="2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26"/>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28"/>
                <w:sz w:val="24"/>
                <w:szCs w:val="24"/>
                <w:highlight w:val="none"/>
              </w:rPr>
            </w:pPr>
            <w:r>
              <w:rPr>
                <w:rFonts w:hint="eastAsia" w:ascii="宋体" w:hAnsi="宋体" w:cs="宋体"/>
                <w:b/>
                <w:color w:val="auto"/>
                <w:kern w:val="28"/>
                <w:sz w:val="24"/>
                <w:szCs w:val="24"/>
                <w:highlight w:val="none"/>
              </w:rPr>
              <w:t>资格审查项</w:t>
            </w:r>
          </w:p>
        </w:tc>
        <w:tc>
          <w:tcPr>
            <w:tcW w:w="6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28"/>
                <w:sz w:val="24"/>
                <w:szCs w:val="24"/>
                <w:highlight w:val="none"/>
              </w:rPr>
            </w:pPr>
            <w:r>
              <w:rPr>
                <w:rFonts w:hint="eastAsia" w:ascii="宋体" w:hAnsi="宋体" w:cs="宋体"/>
                <w:b/>
                <w:color w:val="auto"/>
                <w:kern w:val="28"/>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合法有效的企事业法人、其他组织或自然人</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供应商为具有独立承担民事责任能力的法人或其他组织或自然人，并提供法人或者其他组织合法有效的统一社会信用代码的营业执照，事业单位应提供事业单位法人证书，自然人应提供身份证明文件。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授权委托书或法定代表人证明书</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供应商应授权合法的人员参加谈判全过程，其中法定代表人直接参加谈判的，须出具法定代表人身份证复印件，并与营业执照上信息一致。法定代表人授权他人参加谈判的，须出具授权委托书及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具有良好的商业信誉和健全的财务会计制度</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1、通过“信用中国”网站（www.creditchina.gov.cn）和中国政府采购网（www.ccgp.gov.cn）查询供应商信用记录，被列入失信被执行人、重大税收违法案件当事人名单、政府采购严重违法失信行为记录名单的单位将被拒绝参与本项目投标。</w:t>
            </w:r>
          </w:p>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2、提供2021年度经审计的财务报告（至少包括资产负债表、利润表、现金流量表及其附注，成立时间至提交竞争性谈判响应文件截止时间不足一年的可提供成立后任意时段的资产负债表）或其基本存款账户开户银行开具的资信证明（如基本户银行不具备开具资信证明条件，由其上级部门开具，供应商应附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有依法缴纳税收和社会保障资金的良好记录</w:t>
            </w:r>
          </w:p>
        </w:tc>
        <w:tc>
          <w:tcPr>
            <w:tcW w:w="6004" w:type="dxa"/>
            <w:tcBorders>
              <w:top w:val="single" w:color="auto" w:sz="4" w:space="0"/>
              <w:left w:val="single" w:color="auto" w:sz="4" w:space="0"/>
              <w:bottom w:val="single" w:color="auto" w:sz="4" w:space="0"/>
              <w:right w:val="single" w:color="auto" w:sz="4" w:space="0"/>
            </w:tcBorders>
            <w:vAlign w:val="center"/>
          </w:tcPr>
          <w:p>
            <w:pPr>
              <w:numPr>
                <w:ilvl w:val="0"/>
                <w:numId w:val="2"/>
              </w:numPr>
              <w:pBdr>
                <w:bottom w:val="single" w:color="auto" w:sz="4" w:space="1"/>
              </w:pBd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税收缴纳证明：提供供应商2022年9月1日至今任意1个月已缴纳税收凭证或税务机关开具的完税证明（任意税种）；</w:t>
            </w:r>
          </w:p>
          <w:p>
            <w:pPr>
              <w:numPr>
                <w:ilvl w:val="0"/>
                <w:numId w:val="2"/>
              </w:numPr>
              <w:pBdr>
                <w:bottom w:val="single" w:color="auto" w:sz="4" w:space="1"/>
              </w:pBd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社会保障资金缴纳证明：提供供应商2022年9月1日至今任意1个月已缴纳的社会保障资金缴存单据或社保机构开具的社会保险参保缴费情况证明；</w:t>
            </w:r>
          </w:p>
          <w:p>
            <w:pPr>
              <w:numPr>
                <w:ilvl w:val="0"/>
                <w:numId w:val="2"/>
              </w:numPr>
              <w:pBdr>
                <w:bottom w:val="single" w:color="auto" w:sz="4" w:space="1"/>
              </w:pBd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依法免税的应提供相关文件证明；依法不需要缴纳社会保障资金的应提供相关文件证明。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具有履行合同所必需的设备和专业技术能力</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kern w:val="28"/>
                <w:sz w:val="24"/>
                <w:szCs w:val="24"/>
                <w:highlight w:val="none"/>
              </w:rPr>
              <w:t>具备履行合同所必需的设备和专业技术能力的说明或承诺。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近三年内，在经营活动中没有重大违法记录</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特定资格要求</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①.单位负责人为同一人或者存在直接控股、管理关系的不同供应商，不得同时参加本项目采购活动；②.本项目为不专门面向中小企业采购项目。</w:t>
            </w:r>
          </w:p>
        </w:tc>
      </w:tr>
    </w:tbl>
    <w:p>
      <w:pPr>
        <w:pStyle w:val="41"/>
        <w:ind w:firstLine="0" w:firstLineChars="0"/>
        <w:rPr>
          <w:rFonts w:ascii="宋体" w:hAnsi="宋体" w:cs="宋体"/>
          <w:color w:val="auto"/>
          <w:highlight w:val="none"/>
        </w:rPr>
      </w:pPr>
      <w:r>
        <w:rPr>
          <w:rFonts w:hint="eastAsia" w:ascii="宋体" w:hAnsi="宋体" w:cs="宋体"/>
          <w:color w:val="auto"/>
          <w:sz w:val="24"/>
          <w:highlight w:val="none"/>
        </w:rPr>
        <w:t>注：供应商或谈判响应文件出现不满足以上任意情形的将按照无效响应文件处理。</w:t>
      </w:r>
    </w:p>
    <w:p>
      <w:pPr>
        <w:spacing w:line="360" w:lineRule="auto"/>
        <w:rPr>
          <w:rFonts w:ascii="宋体" w:hAnsi="宋体" w:cs="宋体"/>
          <w:color w:val="auto"/>
          <w:sz w:val="24"/>
          <w:highlight w:val="none"/>
        </w:rPr>
      </w:pPr>
      <w:r>
        <w:rPr>
          <w:rFonts w:hint="eastAsia" w:ascii="宋体" w:hAnsi="宋体" w:cs="宋体"/>
          <w:color w:val="auto"/>
          <w:sz w:val="24"/>
          <w:highlight w:val="none"/>
        </w:rPr>
        <w:t>12.2 供应商必须按要求提交证明文件，以证明其有资格参加谈判和成交后有履行合同的能力，并作为其谈判文件的一部分。</w:t>
      </w:r>
      <w:bookmarkStart w:id="55" w:name="_Hlk48043531"/>
    </w:p>
    <w:p>
      <w:pPr>
        <w:pStyle w:val="4"/>
        <w:rPr>
          <w:rFonts w:ascii="宋体" w:hAnsi="宋体" w:cs="宋体"/>
          <w:color w:val="auto"/>
          <w:sz w:val="24"/>
          <w:szCs w:val="24"/>
          <w:highlight w:val="none"/>
        </w:rPr>
      </w:pPr>
      <w:bookmarkStart w:id="56" w:name="_Toc246928912"/>
      <w:bookmarkStart w:id="57" w:name="_Toc2847"/>
      <w:r>
        <w:rPr>
          <w:rFonts w:hint="eastAsia" w:ascii="宋体" w:hAnsi="宋体" w:cs="宋体"/>
          <w:color w:val="auto"/>
          <w:sz w:val="24"/>
          <w:szCs w:val="24"/>
          <w:highlight w:val="none"/>
        </w:rPr>
        <w:t xml:space="preserve">13 </w:t>
      </w:r>
      <w:bookmarkEnd w:id="56"/>
      <w:r>
        <w:rPr>
          <w:rFonts w:hint="eastAsia" w:ascii="宋体" w:hAnsi="宋体" w:cs="宋体"/>
          <w:color w:val="auto"/>
          <w:sz w:val="24"/>
          <w:szCs w:val="24"/>
          <w:highlight w:val="none"/>
        </w:rPr>
        <w:t>证明供应商符合性的条件</w:t>
      </w:r>
      <w:bookmarkEnd w:id="57"/>
    </w:p>
    <w:p>
      <w:pPr>
        <w:overflowPunct w:val="0"/>
        <w:adjustRightInd w:val="0"/>
        <w:snapToGrid w:val="0"/>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13.1响应文件的</w:t>
      </w:r>
      <w:r>
        <w:rPr>
          <w:rFonts w:hint="eastAsia" w:ascii="宋体" w:hAnsi="宋体" w:cs="宋体"/>
          <w:b/>
          <w:bCs/>
          <w:color w:val="auto"/>
          <w:sz w:val="24"/>
          <w:szCs w:val="22"/>
          <w:highlight w:val="none"/>
          <w:u w:val="single"/>
        </w:rPr>
        <w:t>符合性审查</w:t>
      </w:r>
      <w:r>
        <w:rPr>
          <w:rFonts w:hint="eastAsia" w:ascii="宋体" w:hAnsi="宋体" w:cs="宋体"/>
          <w:color w:val="auto"/>
          <w:sz w:val="24"/>
          <w:szCs w:val="22"/>
          <w:highlight w:val="none"/>
        </w:rPr>
        <w:t>：</w:t>
      </w:r>
    </w:p>
    <w:p>
      <w:pPr>
        <w:rPr>
          <w:rFonts w:ascii="宋体" w:hAnsi="宋体" w:cs="宋体"/>
          <w:color w:val="auto"/>
          <w:highlight w:val="none"/>
        </w:rPr>
      </w:pPr>
    </w:p>
    <w:tbl>
      <w:tblPr>
        <w:tblStyle w:val="2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91"/>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供应商</w:t>
            </w:r>
          </w:p>
          <w:p>
            <w:pPr>
              <w:spacing w:line="360" w:lineRule="auto"/>
              <w:jc w:val="center"/>
              <w:rPr>
                <w:rFonts w:ascii="宋体" w:hAnsi="宋体" w:cs="宋体"/>
                <w:color w:val="auto"/>
                <w:kern w:val="28"/>
                <w:sz w:val="24"/>
                <w:szCs w:val="24"/>
                <w:highlight w:val="none"/>
              </w:rPr>
            </w:pPr>
            <w:r>
              <w:rPr>
                <w:rFonts w:hint="eastAsia" w:ascii="宋体" w:hAnsi="宋体" w:cs="宋体"/>
                <w:color w:val="auto"/>
                <w:sz w:val="24"/>
                <w:szCs w:val="24"/>
                <w:highlight w:val="none"/>
              </w:rPr>
              <w:t>基本信息</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sz w:val="24"/>
                <w:szCs w:val="24"/>
                <w:highlight w:val="none"/>
              </w:rPr>
              <w:t>供应商名称与获取竞争性谈判文件登记的单位名称一致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响应文件份数</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响应文件签署</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满足谈判文件签字、盖章要求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交货安装期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谈判有效期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质保期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付款方式</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28"/>
                <w:sz w:val="24"/>
                <w:szCs w:val="24"/>
                <w:highlight w:val="none"/>
              </w:rPr>
            </w:pPr>
            <w:r>
              <w:rPr>
                <w:rFonts w:hint="eastAsia" w:ascii="宋体" w:hAnsi="宋体" w:cs="宋体"/>
                <w:color w:val="auto"/>
                <w:kern w:val="28"/>
                <w:sz w:val="24"/>
                <w:szCs w:val="24"/>
                <w:highlight w:val="none"/>
              </w:rPr>
              <w:t>技术要求</w:t>
            </w:r>
          </w:p>
        </w:tc>
        <w:tc>
          <w:tcPr>
            <w:tcW w:w="6139"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加</w:t>
            </w:r>
            <w:r>
              <w:rPr>
                <w:rFonts w:hint="eastAsia" w:ascii="宋体" w:hAnsi="宋体" w:cs="宋体"/>
                <w:color w:val="auto"/>
                <w:sz w:val="24"/>
                <w:highlight w:val="none"/>
              </w:rPr>
              <w:t>★</w:t>
            </w:r>
            <w:r>
              <w:rPr>
                <w:rFonts w:hint="eastAsia" w:ascii="宋体" w:hAnsi="宋体" w:cs="宋体"/>
                <w:color w:val="auto"/>
                <w:sz w:val="24"/>
                <w:szCs w:val="24"/>
                <w:highlight w:val="none"/>
              </w:rPr>
              <w:t>条款须完全满足谈判要求，要求提供证明材料的应当提供证明材料，不满足或未按要求提供证明材料的视为无效标。</w:t>
            </w:r>
          </w:p>
          <w:p>
            <w:pPr>
              <w:numPr>
                <w:ilvl w:val="0"/>
                <w:numId w:val="4"/>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非</w:t>
            </w:r>
            <w:r>
              <w:rPr>
                <w:rFonts w:hint="eastAsia" w:ascii="宋体" w:hAnsi="宋体" w:cs="宋体"/>
                <w:color w:val="auto"/>
                <w:sz w:val="24"/>
                <w:highlight w:val="none"/>
              </w:rPr>
              <w:t>★</w:t>
            </w:r>
            <w:r>
              <w:rPr>
                <w:rFonts w:hint="eastAsia" w:ascii="宋体" w:hAnsi="宋体" w:cs="宋体"/>
                <w:color w:val="auto"/>
                <w:sz w:val="24"/>
                <w:szCs w:val="24"/>
                <w:highlight w:val="none"/>
              </w:rPr>
              <w:t>条款不允许出现影响采购人使用功能的负偏离。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28"/>
                <w:sz w:val="24"/>
                <w:szCs w:val="24"/>
                <w:highlight w:val="none"/>
              </w:rPr>
            </w:pPr>
            <w:r>
              <w:rPr>
                <w:rFonts w:hint="eastAsia" w:ascii="宋体" w:hAnsi="宋体" w:cs="宋体"/>
                <w:color w:val="auto"/>
                <w:kern w:val="28"/>
                <w:sz w:val="24"/>
                <w:szCs w:val="24"/>
                <w:highlight w:val="none"/>
              </w:rPr>
              <w:t>供货方案</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项目组织实施计划完整可行，资金等保障措施可靠，能够保证按期供货，具有明确的项目组织机构及实施方案。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28"/>
                <w:sz w:val="24"/>
                <w:szCs w:val="24"/>
                <w:highlight w:val="none"/>
              </w:rPr>
            </w:pPr>
            <w:r>
              <w:rPr>
                <w:rFonts w:hint="eastAsia" w:ascii="宋体" w:hAnsi="宋体" w:cs="宋体"/>
                <w:color w:val="auto"/>
                <w:sz w:val="24"/>
                <w:highlight w:val="none"/>
              </w:rPr>
              <w:t>售后服务</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1155"/>
              </w:tabs>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有完善的售后服务方案（含明确的培训计划）。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center"/>
              <w:rPr>
                <w:rFonts w:ascii="宋体" w:hAnsi="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无虚假响应</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1155"/>
              </w:tabs>
              <w:spacing w:line="360" w:lineRule="auto"/>
              <w:rPr>
                <w:rFonts w:ascii="宋体" w:hAnsi="宋体" w:cs="宋体"/>
                <w:color w:val="auto"/>
                <w:kern w:val="28"/>
                <w:sz w:val="24"/>
                <w:szCs w:val="24"/>
                <w:highlight w:val="none"/>
              </w:rPr>
            </w:pPr>
            <w:r>
              <w:rPr>
                <w:rFonts w:hint="eastAsia" w:ascii="宋体" w:hAnsi="宋体" w:cs="宋体"/>
                <w:color w:val="auto"/>
                <w:kern w:val="28"/>
                <w:sz w:val="24"/>
                <w:szCs w:val="24"/>
                <w:highlight w:val="none"/>
              </w:rPr>
              <w:t>无谈判小组认定存在谈判文件规定的虚假响应情形。</w:t>
            </w:r>
          </w:p>
        </w:tc>
      </w:tr>
    </w:tbl>
    <w:p>
      <w:pPr>
        <w:pStyle w:val="41"/>
        <w:ind w:firstLine="0" w:firstLineChars="0"/>
        <w:rPr>
          <w:rFonts w:ascii="宋体" w:hAnsi="宋体" w:cs="宋体"/>
          <w:color w:val="auto"/>
          <w:highlight w:val="none"/>
        </w:rPr>
      </w:pPr>
      <w:bookmarkStart w:id="58" w:name="_Toc246928913"/>
      <w:r>
        <w:rPr>
          <w:rFonts w:hint="eastAsia" w:ascii="宋体" w:hAnsi="宋体" w:cs="宋体"/>
          <w:color w:val="auto"/>
          <w:sz w:val="24"/>
          <w:highlight w:val="none"/>
        </w:rPr>
        <w:t>注：供应商或谈判响应文件出现不满足以上情形的将按照无效响应文件处理。</w:t>
      </w:r>
    </w:p>
    <w:bookmarkEnd w:id="55"/>
    <w:p>
      <w:pPr>
        <w:pStyle w:val="4"/>
        <w:rPr>
          <w:rFonts w:ascii="宋体" w:hAnsi="宋体" w:cs="宋体"/>
          <w:color w:val="auto"/>
          <w:sz w:val="24"/>
          <w:szCs w:val="24"/>
          <w:highlight w:val="none"/>
        </w:rPr>
      </w:pPr>
      <w:bookmarkStart w:id="59" w:name="_Toc17138"/>
      <w:r>
        <w:rPr>
          <w:rFonts w:hint="eastAsia" w:ascii="宋体" w:hAnsi="宋体" w:cs="宋体"/>
          <w:color w:val="auto"/>
          <w:sz w:val="24"/>
          <w:szCs w:val="24"/>
          <w:highlight w:val="none"/>
        </w:rPr>
        <w:t>14 谈判保证金</w:t>
      </w:r>
      <w:bookmarkEnd w:id="58"/>
      <w:bookmarkEnd w:id="59"/>
    </w:p>
    <w:p>
      <w:pPr>
        <w:spacing w:line="360" w:lineRule="auto"/>
        <w:rPr>
          <w:rFonts w:ascii="宋体" w:hAnsi="宋体" w:cs="宋体"/>
          <w:color w:val="auto"/>
          <w:sz w:val="24"/>
          <w:highlight w:val="none"/>
        </w:rPr>
      </w:pPr>
      <w:r>
        <w:rPr>
          <w:rFonts w:hint="eastAsia" w:ascii="宋体" w:hAnsi="宋体" w:cs="宋体"/>
          <w:color w:val="auto"/>
          <w:sz w:val="24"/>
          <w:highlight w:val="none"/>
        </w:rPr>
        <w:t>14.1 谈判保证金金额及方式见谈判须知前附表。</w:t>
      </w:r>
    </w:p>
    <w:p>
      <w:pPr>
        <w:spacing w:line="360" w:lineRule="auto"/>
        <w:rPr>
          <w:rFonts w:ascii="宋体" w:hAnsi="宋体" w:cs="宋体"/>
          <w:color w:val="auto"/>
          <w:sz w:val="24"/>
          <w:highlight w:val="none"/>
        </w:rPr>
      </w:pPr>
      <w:r>
        <w:rPr>
          <w:rFonts w:hint="eastAsia" w:ascii="宋体" w:hAnsi="宋体" w:cs="宋体"/>
          <w:color w:val="auto"/>
          <w:sz w:val="24"/>
          <w:highlight w:val="none"/>
        </w:rPr>
        <w:t>14.2 对于未能按要求提交谈判保证金的供应商，采购人将视为不响应谈判文件而予以拒绝。</w:t>
      </w:r>
    </w:p>
    <w:bookmarkEnd w:id="54"/>
    <w:p>
      <w:pPr>
        <w:spacing w:line="360" w:lineRule="auto"/>
        <w:rPr>
          <w:rFonts w:ascii="宋体" w:hAnsi="宋体" w:cs="宋体"/>
          <w:color w:val="auto"/>
          <w:sz w:val="24"/>
          <w:highlight w:val="none"/>
        </w:rPr>
      </w:pPr>
      <w:r>
        <w:rPr>
          <w:rFonts w:hint="eastAsia" w:ascii="宋体" w:hAnsi="宋体" w:cs="宋体"/>
          <w:color w:val="auto"/>
          <w:sz w:val="24"/>
          <w:highlight w:val="none"/>
        </w:rPr>
        <w:t>14.3</w:t>
      </w:r>
      <w:r>
        <w:rPr>
          <w:rFonts w:hint="eastAsia" w:ascii="宋体" w:hAnsi="宋体" w:cs="宋体"/>
          <w:color w:val="auto"/>
          <w:sz w:val="24"/>
          <w:szCs w:val="24"/>
          <w:highlight w:val="none"/>
        </w:rPr>
        <w:t>未成交供应商的谈判保证金，将在成交通知书发出后五个工作日内退还；</w:t>
      </w:r>
    </w:p>
    <w:p>
      <w:pPr>
        <w:spacing w:line="360" w:lineRule="auto"/>
        <w:rPr>
          <w:rFonts w:ascii="宋体" w:hAnsi="宋体" w:cs="宋体"/>
          <w:color w:val="auto"/>
          <w:sz w:val="24"/>
          <w:szCs w:val="24"/>
          <w:highlight w:val="none"/>
        </w:rPr>
      </w:pPr>
      <w:r>
        <w:rPr>
          <w:rFonts w:hint="eastAsia" w:ascii="宋体" w:hAnsi="宋体" w:cs="宋体"/>
          <w:color w:val="auto"/>
          <w:sz w:val="24"/>
          <w:highlight w:val="none"/>
        </w:rPr>
        <w:t xml:space="preserve">14.4 </w:t>
      </w:r>
      <w:r>
        <w:rPr>
          <w:rFonts w:hint="eastAsia" w:ascii="宋体" w:hAnsi="宋体" w:cs="宋体"/>
          <w:color w:val="auto"/>
          <w:sz w:val="24"/>
          <w:szCs w:val="24"/>
          <w:highlight w:val="none"/>
        </w:rPr>
        <w:t>成交供应商的谈判保证金，在采购合同签订并按规定交纳招标代理服务费后五个工作日内退还。</w:t>
      </w:r>
    </w:p>
    <w:p>
      <w:pPr>
        <w:spacing w:line="360" w:lineRule="auto"/>
        <w:rPr>
          <w:rFonts w:ascii="宋体" w:hAnsi="宋体" w:cs="宋体"/>
          <w:color w:val="auto"/>
          <w:sz w:val="24"/>
          <w:highlight w:val="none"/>
        </w:rPr>
      </w:pPr>
      <w:r>
        <w:rPr>
          <w:rFonts w:hint="eastAsia" w:ascii="宋体" w:hAnsi="宋体" w:cs="宋体"/>
          <w:color w:val="auto"/>
          <w:sz w:val="24"/>
          <w:highlight w:val="none"/>
        </w:rPr>
        <w:t>14.5 谈判保证金是为了保护采购人和采购代理机构免遭因供应商的行为蒙受损失而要求的。发生下列情形之一，谈判保证金将不予退还：</w:t>
      </w:r>
    </w:p>
    <w:p>
      <w:pPr>
        <w:spacing w:line="360" w:lineRule="auto"/>
        <w:rPr>
          <w:rFonts w:ascii="宋体" w:hAnsi="宋体" w:cs="宋体"/>
          <w:color w:val="auto"/>
          <w:sz w:val="24"/>
          <w:highlight w:val="none"/>
        </w:rPr>
      </w:pPr>
      <w:r>
        <w:rPr>
          <w:rFonts w:hint="eastAsia" w:ascii="宋体" w:hAnsi="宋体" w:cs="宋体"/>
          <w:color w:val="auto"/>
          <w:sz w:val="24"/>
          <w:highlight w:val="none"/>
        </w:rPr>
        <w:t>14.5.1供应商在开标时间后至谈判有效期满前，擅自撤销投标的；</w:t>
      </w:r>
    </w:p>
    <w:p>
      <w:pPr>
        <w:spacing w:line="360" w:lineRule="auto"/>
        <w:rPr>
          <w:rFonts w:ascii="宋体" w:hAnsi="宋体" w:cs="宋体"/>
          <w:color w:val="auto"/>
          <w:sz w:val="24"/>
          <w:highlight w:val="none"/>
        </w:rPr>
      </w:pPr>
      <w:r>
        <w:rPr>
          <w:rFonts w:hint="eastAsia" w:ascii="宋体" w:hAnsi="宋体" w:cs="宋体"/>
          <w:color w:val="auto"/>
          <w:sz w:val="24"/>
          <w:highlight w:val="none"/>
        </w:rPr>
        <w:t>14.5.2成交供应商擅自放弃成交的；</w:t>
      </w:r>
    </w:p>
    <w:p>
      <w:pPr>
        <w:spacing w:line="360" w:lineRule="auto"/>
        <w:rPr>
          <w:rFonts w:ascii="宋体" w:hAnsi="宋体" w:cs="宋体"/>
          <w:color w:val="auto"/>
          <w:sz w:val="24"/>
          <w:highlight w:val="none"/>
        </w:rPr>
      </w:pPr>
      <w:r>
        <w:rPr>
          <w:rFonts w:hint="eastAsia" w:ascii="宋体" w:hAnsi="宋体" w:cs="宋体"/>
          <w:color w:val="auto"/>
          <w:sz w:val="24"/>
          <w:highlight w:val="none"/>
        </w:rPr>
        <w:t>14.5.3成交供应商不按规定与采购人签订合同的；</w:t>
      </w:r>
    </w:p>
    <w:p>
      <w:pPr>
        <w:spacing w:line="360" w:lineRule="auto"/>
        <w:rPr>
          <w:rFonts w:ascii="宋体" w:hAnsi="宋体" w:cs="宋体"/>
          <w:color w:val="auto"/>
          <w:sz w:val="24"/>
          <w:highlight w:val="none"/>
        </w:rPr>
      </w:pPr>
      <w:r>
        <w:rPr>
          <w:rFonts w:hint="eastAsia" w:ascii="宋体" w:hAnsi="宋体" w:cs="宋体"/>
          <w:color w:val="auto"/>
          <w:sz w:val="24"/>
          <w:highlight w:val="none"/>
        </w:rPr>
        <w:t>14.5.4提交了谈判保证金而无故未提交响应文件的（响应文件递交迟到并经代理机构在递交现场确认为迟到的除外）。</w:t>
      </w:r>
    </w:p>
    <w:p>
      <w:pPr>
        <w:pStyle w:val="4"/>
        <w:rPr>
          <w:rFonts w:ascii="宋体" w:hAnsi="宋体" w:cs="宋体"/>
          <w:color w:val="auto"/>
          <w:sz w:val="24"/>
          <w:szCs w:val="24"/>
          <w:highlight w:val="none"/>
        </w:rPr>
      </w:pPr>
      <w:bookmarkStart w:id="60" w:name="_Toc24104"/>
      <w:bookmarkStart w:id="61" w:name="_Toc246928914"/>
      <w:r>
        <w:rPr>
          <w:rFonts w:hint="eastAsia" w:ascii="宋体" w:hAnsi="宋体" w:cs="宋体"/>
          <w:color w:val="auto"/>
          <w:sz w:val="24"/>
          <w:szCs w:val="24"/>
          <w:highlight w:val="none"/>
        </w:rPr>
        <w:t>15 谈判有效期</w:t>
      </w:r>
      <w:bookmarkEnd w:id="60"/>
      <w:bookmarkEnd w:id="61"/>
    </w:p>
    <w:p>
      <w:pPr>
        <w:spacing w:line="360" w:lineRule="auto"/>
        <w:rPr>
          <w:rFonts w:ascii="宋体" w:hAnsi="宋体" w:cs="宋体"/>
          <w:color w:val="auto"/>
          <w:sz w:val="24"/>
          <w:highlight w:val="none"/>
        </w:rPr>
      </w:pPr>
      <w:r>
        <w:rPr>
          <w:rFonts w:hint="eastAsia" w:ascii="宋体" w:hAnsi="宋体" w:cs="宋体"/>
          <w:color w:val="auto"/>
          <w:sz w:val="24"/>
          <w:highlight w:val="none"/>
        </w:rPr>
        <w:t>15.1  谈判响应文件从谈判之日起，谈判有效期为90日历天。谈判有效期不满足要求的谈判属于无效谈判情形。</w:t>
      </w:r>
    </w:p>
    <w:p>
      <w:pPr>
        <w:spacing w:line="360" w:lineRule="auto"/>
        <w:rPr>
          <w:rFonts w:ascii="宋体" w:hAnsi="宋体" w:cs="宋体"/>
          <w:color w:val="auto"/>
          <w:sz w:val="24"/>
          <w:highlight w:val="none"/>
        </w:rPr>
      </w:pPr>
      <w:r>
        <w:rPr>
          <w:rFonts w:hint="eastAsia" w:ascii="宋体" w:hAnsi="宋体" w:cs="宋体"/>
          <w:color w:val="auto"/>
          <w:sz w:val="24"/>
          <w:highlight w:val="none"/>
        </w:rPr>
        <w:t>15.2  特殊情况下，采购人可于谈判有效期满之前要求供应商同意延长有效期，要求与答复均应为书面形式。供应商可以拒绝上述要求，其谈判保证金不被没收。对于同意该要求的供应商，既不要求也不允许其修改谈判响应文件，但将要求其相应延长谈判保证金的有效期，有关退还和没收谈判保证金的规定在谈判有效期的延长期内继续有效。</w:t>
      </w:r>
    </w:p>
    <w:p>
      <w:pPr>
        <w:pStyle w:val="4"/>
        <w:rPr>
          <w:rFonts w:ascii="宋体" w:hAnsi="宋体" w:cs="宋体"/>
          <w:color w:val="auto"/>
          <w:sz w:val="24"/>
          <w:szCs w:val="24"/>
          <w:highlight w:val="none"/>
        </w:rPr>
      </w:pPr>
      <w:bookmarkStart w:id="62" w:name="_Toc246928915"/>
      <w:bookmarkStart w:id="63" w:name="_Toc17920"/>
      <w:r>
        <w:rPr>
          <w:rFonts w:hint="eastAsia" w:ascii="宋体" w:hAnsi="宋体" w:cs="宋体"/>
          <w:color w:val="auto"/>
          <w:sz w:val="24"/>
          <w:szCs w:val="24"/>
          <w:highlight w:val="none"/>
        </w:rPr>
        <w:t>16 谈判响应文件的</w:t>
      </w:r>
      <w:bookmarkEnd w:id="62"/>
      <w:r>
        <w:rPr>
          <w:rFonts w:hint="eastAsia" w:ascii="宋体" w:hAnsi="宋体" w:cs="宋体"/>
          <w:color w:val="auto"/>
          <w:sz w:val="24"/>
          <w:szCs w:val="24"/>
          <w:highlight w:val="none"/>
        </w:rPr>
        <w:t>数量及签署规定</w:t>
      </w:r>
      <w:bookmarkEnd w:id="63"/>
    </w:p>
    <w:p>
      <w:pPr>
        <w:spacing w:line="360" w:lineRule="auto"/>
        <w:rPr>
          <w:rFonts w:ascii="宋体" w:hAnsi="宋体" w:cs="宋体"/>
          <w:color w:val="auto"/>
          <w:sz w:val="24"/>
          <w:highlight w:val="none"/>
        </w:rPr>
      </w:pPr>
      <w:r>
        <w:rPr>
          <w:rFonts w:hint="eastAsia" w:ascii="宋体" w:hAnsi="宋体" w:cs="宋体"/>
          <w:color w:val="auto"/>
          <w:sz w:val="24"/>
          <w:highlight w:val="none"/>
        </w:rPr>
        <w:t>16.1 供应商应当按照谈判须知前附表准备响应文件。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16.2 谈判响应文件的正本需打印或用不褪色墨水书写，并编制详细的目录，统一装订、标码，由供应商的法定代表人或授权代表在谈判文件要求签字盖章的地方签字并盖章，一旦正本和副本有差异，以正本为准。授权代表须持有书面的“法定代表人授权委托书”（标准格式附后），并将其附在谈判响应文件中。如对谈判响应文件进行了修改，则应当由授权代表在修改的每一页上签字。谈判响应文件的副本可以采用正本的复印件。</w:t>
      </w:r>
    </w:p>
    <w:p>
      <w:pPr>
        <w:spacing w:line="360" w:lineRule="auto"/>
        <w:rPr>
          <w:rFonts w:ascii="宋体" w:hAnsi="宋体" w:cs="宋体"/>
          <w:color w:val="auto"/>
          <w:sz w:val="24"/>
          <w:highlight w:val="none"/>
        </w:rPr>
      </w:pPr>
      <w:r>
        <w:rPr>
          <w:rFonts w:hint="eastAsia" w:ascii="宋体" w:hAnsi="宋体" w:cs="宋体"/>
          <w:color w:val="auto"/>
          <w:sz w:val="24"/>
          <w:highlight w:val="none"/>
        </w:rPr>
        <w:t>16.3 任何行间插字、涂改和增删，必须由供应商的法定代表人或其授权的代表签字并加盖公章后才有效。</w:t>
      </w:r>
    </w:p>
    <w:p>
      <w:pPr>
        <w:spacing w:line="360" w:lineRule="auto"/>
        <w:rPr>
          <w:rFonts w:ascii="宋体" w:hAnsi="宋体" w:cs="宋体"/>
          <w:color w:val="auto"/>
          <w:sz w:val="24"/>
          <w:highlight w:val="none"/>
        </w:rPr>
      </w:pPr>
      <w:r>
        <w:rPr>
          <w:rFonts w:hint="eastAsia" w:ascii="宋体" w:hAnsi="宋体" w:cs="宋体"/>
          <w:color w:val="auto"/>
          <w:sz w:val="24"/>
          <w:highlight w:val="none"/>
        </w:rPr>
        <w:t>16.4谈判响应文件因字迹潦草或表达不清所引起的后果由供应商负责。</w:t>
      </w:r>
    </w:p>
    <w:p>
      <w:pPr>
        <w:pStyle w:val="3"/>
        <w:ind w:firstLine="480"/>
        <w:rPr>
          <w:rFonts w:ascii="宋体" w:hAnsi="宋体" w:eastAsia="宋体" w:cs="宋体"/>
          <w:b w:val="0"/>
          <w:color w:val="auto"/>
          <w:sz w:val="24"/>
          <w:szCs w:val="24"/>
          <w:highlight w:val="none"/>
        </w:rPr>
      </w:pPr>
      <w:bookmarkStart w:id="64" w:name="_Toc12625"/>
      <w:bookmarkStart w:id="65" w:name="_Toc11608"/>
      <w:bookmarkStart w:id="66" w:name="_Toc246928916"/>
      <w:bookmarkStart w:id="67" w:name="_Toc12925"/>
      <w:r>
        <w:rPr>
          <w:rFonts w:hint="eastAsia" w:ascii="宋体" w:hAnsi="宋体" w:eastAsia="宋体" w:cs="宋体"/>
          <w:color w:val="auto"/>
          <w:sz w:val="24"/>
          <w:szCs w:val="24"/>
          <w:highlight w:val="none"/>
        </w:rPr>
        <w:t>（四）谈判响应文件的递交</w:t>
      </w:r>
      <w:bookmarkEnd w:id="64"/>
      <w:bookmarkEnd w:id="65"/>
      <w:bookmarkEnd w:id="66"/>
      <w:bookmarkEnd w:id="67"/>
    </w:p>
    <w:p>
      <w:pPr>
        <w:pStyle w:val="4"/>
        <w:rPr>
          <w:rFonts w:ascii="宋体" w:hAnsi="宋体" w:cs="宋体"/>
          <w:color w:val="auto"/>
          <w:sz w:val="24"/>
          <w:szCs w:val="24"/>
          <w:highlight w:val="none"/>
        </w:rPr>
      </w:pPr>
      <w:bookmarkStart w:id="68" w:name="_Toc246928917"/>
      <w:bookmarkStart w:id="69" w:name="_Toc20393"/>
      <w:r>
        <w:rPr>
          <w:rFonts w:hint="eastAsia" w:ascii="宋体" w:hAnsi="宋体" w:cs="宋体"/>
          <w:color w:val="auto"/>
          <w:sz w:val="24"/>
          <w:szCs w:val="24"/>
          <w:highlight w:val="none"/>
        </w:rPr>
        <w:t>17 谈判响应文件的密封和标记</w:t>
      </w:r>
      <w:bookmarkEnd w:id="68"/>
      <w:bookmarkEnd w:id="69"/>
    </w:p>
    <w:p>
      <w:pPr>
        <w:spacing w:line="360" w:lineRule="auto"/>
        <w:rPr>
          <w:rFonts w:ascii="宋体" w:hAnsi="宋体" w:cs="宋体"/>
          <w:color w:val="auto"/>
          <w:sz w:val="24"/>
          <w:highlight w:val="none"/>
        </w:rPr>
      </w:pPr>
      <w:r>
        <w:rPr>
          <w:rFonts w:hint="eastAsia" w:ascii="宋体" w:hAnsi="宋体" w:cs="宋体"/>
          <w:color w:val="auto"/>
          <w:sz w:val="24"/>
          <w:highlight w:val="none"/>
        </w:rPr>
        <w:t>17.1 谈判响应文件必须密封递交。对封装材料及样式不作特别规定，但供应商应当保证其封装的可靠性，不致因搬运、堆放等原因散开。谈判时，供应商应当将谈判响应文件正本以密封袋/箱单独密封，所有的副本以密封袋/箱单独密封。密封袋/箱正面和谈判文件封面须标明“正本”“副本”。</w:t>
      </w:r>
    </w:p>
    <w:p>
      <w:pPr>
        <w:spacing w:line="360" w:lineRule="auto"/>
        <w:rPr>
          <w:rFonts w:ascii="宋体" w:hAnsi="宋体" w:cs="宋体"/>
          <w:color w:val="auto"/>
          <w:sz w:val="24"/>
          <w:highlight w:val="none"/>
        </w:rPr>
      </w:pPr>
      <w:r>
        <w:rPr>
          <w:rFonts w:hint="eastAsia" w:ascii="宋体" w:hAnsi="宋体" w:cs="宋体"/>
          <w:color w:val="auto"/>
          <w:sz w:val="24"/>
          <w:highlight w:val="none"/>
        </w:rPr>
        <w:t>17.2有关包装袋/箱上均应当：</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17.2.1 注明谈判公告中指明的项目名称、项目编号、供应商名称、正/副本</w:t>
      </w:r>
      <w:r>
        <w:rPr>
          <w:rFonts w:hint="eastAsia" w:ascii="宋体" w:hAnsi="宋体" w:cs="宋体"/>
          <w:color w:val="auto"/>
          <w:sz w:val="24"/>
          <w:highlight w:val="none"/>
        </w:rPr>
        <w:t>，</w:t>
      </w:r>
      <w:r>
        <w:rPr>
          <w:rFonts w:hint="eastAsia" w:ascii="宋体" w:hAnsi="宋体" w:cs="宋体"/>
          <w:color w:val="auto"/>
          <w:sz w:val="24"/>
          <w:szCs w:val="24"/>
          <w:highlight w:val="none"/>
        </w:rPr>
        <w:t>在</w:t>
      </w:r>
      <w:r>
        <w:rPr>
          <w:rFonts w:hint="eastAsia" w:ascii="宋体" w:hAnsi="宋体" w:cs="宋体"/>
          <w:color w:val="auto"/>
          <w:sz w:val="24"/>
          <w:szCs w:val="24"/>
          <w:highlight w:val="none"/>
          <w:u w:val="single"/>
        </w:rPr>
        <w:t>（谈判时间）</w:t>
      </w:r>
      <w:r>
        <w:rPr>
          <w:rFonts w:hint="eastAsia" w:ascii="宋体" w:hAnsi="宋体" w:cs="宋体"/>
          <w:color w:val="auto"/>
          <w:sz w:val="24"/>
          <w:szCs w:val="24"/>
          <w:highlight w:val="none"/>
        </w:rPr>
        <w:t>前不得启封等字样。</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17.2.2</w:t>
      </w:r>
      <w:r>
        <w:rPr>
          <w:rFonts w:hint="eastAsia" w:ascii="宋体" w:hAnsi="宋体" w:cs="宋体"/>
          <w:color w:val="auto"/>
          <w:sz w:val="24"/>
          <w:highlight w:val="none"/>
        </w:rPr>
        <w:t>谈判响应文件袋面按照规定加盖供应商公章。</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 xml:space="preserve">17.2.3 </w:t>
      </w:r>
      <w:r>
        <w:rPr>
          <w:rFonts w:hint="eastAsia" w:ascii="宋体" w:hAnsi="宋体" w:cs="宋体"/>
          <w:color w:val="auto"/>
          <w:sz w:val="24"/>
          <w:highlight w:val="none"/>
        </w:rPr>
        <w:t>如果供应商未按上述要求密封及加写标记，采购代理机构对谈判响应文件的误投或过早启封概不负责。</w:t>
      </w:r>
    </w:p>
    <w:p>
      <w:pPr>
        <w:spacing w:line="360" w:lineRule="auto"/>
        <w:rPr>
          <w:rFonts w:ascii="宋体" w:hAnsi="宋体" w:cs="宋体"/>
          <w:color w:val="auto"/>
          <w:sz w:val="24"/>
          <w:highlight w:val="none"/>
        </w:rPr>
      </w:pPr>
      <w:r>
        <w:rPr>
          <w:rFonts w:hint="eastAsia" w:ascii="宋体" w:hAnsi="宋体" w:cs="宋体"/>
          <w:color w:val="auto"/>
          <w:sz w:val="24"/>
          <w:highlight w:val="none"/>
        </w:rPr>
        <w:t>17.2.4响应文件应密封完好，响应文件袋正面按照规定加盖供应商公章。</w:t>
      </w:r>
    </w:p>
    <w:p>
      <w:pPr>
        <w:spacing w:line="360" w:lineRule="auto"/>
        <w:rPr>
          <w:rFonts w:ascii="宋体" w:hAnsi="宋体" w:cs="宋体"/>
          <w:color w:val="auto"/>
          <w:sz w:val="24"/>
          <w:highlight w:val="none"/>
        </w:rPr>
      </w:pPr>
      <w:r>
        <w:rPr>
          <w:rFonts w:hint="eastAsia" w:ascii="宋体" w:hAnsi="宋体" w:cs="宋体"/>
          <w:color w:val="auto"/>
          <w:sz w:val="24"/>
          <w:highlight w:val="none"/>
        </w:rPr>
        <w:t>17.2.5如果未按上述规定进行密封和标记，谈判小组有权拒绝供应商的响应文件，不予受理则按无效投标处理。</w:t>
      </w:r>
    </w:p>
    <w:p>
      <w:pPr>
        <w:pStyle w:val="4"/>
        <w:rPr>
          <w:rFonts w:ascii="宋体" w:hAnsi="宋体" w:cs="宋体"/>
          <w:color w:val="auto"/>
          <w:sz w:val="24"/>
          <w:szCs w:val="24"/>
          <w:highlight w:val="none"/>
        </w:rPr>
      </w:pPr>
      <w:bookmarkStart w:id="70" w:name="_Toc246928918"/>
      <w:bookmarkStart w:id="71" w:name="_Toc9257"/>
      <w:r>
        <w:rPr>
          <w:rFonts w:hint="eastAsia" w:ascii="宋体" w:hAnsi="宋体" w:cs="宋体"/>
          <w:color w:val="auto"/>
          <w:sz w:val="24"/>
          <w:szCs w:val="24"/>
          <w:highlight w:val="none"/>
        </w:rPr>
        <w:t>18 谈判响应文件截止时间</w:t>
      </w:r>
      <w:bookmarkEnd w:id="70"/>
      <w:bookmarkEnd w:id="71"/>
    </w:p>
    <w:p>
      <w:pPr>
        <w:spacing w:line="360" w:lineRule="auto"/>
        <w:rPr>
          <w:rFonts w:ascii="宋体" w:hAnsi="宋体" w:cs="宋体"/>
          <w:color w:val="auto"/>
          <w:sz w:val="24"/>
          <w:highlight w:val="none"/>
        </w:rPr>
      </w:pPr>
      <w:r>
        <w:rPr>
          <w:rFonts w:hint="eastAsia" w:ascii="宋体" w:hAnsi="宋体" w:cs="宋体"/>
          <w:color w:val="auto"/>
          <w:sz w:val="24"/>
          <w:highlight w:val="none"/>
        </w:rPr>
        <w:t>18.1 所有谈判响应文件都必须按谈判公告中规定的谈判响应文件截止时间前送达谈判文件规定的递交地点。</w:t>
      </w:r>
    </w:p>
    <w:p>
      <w:pPr>
        <w:spacing w:line="360" w:lineRule="auto"/>
        <w:rPr>
          <w:rFonts w:ascii="宋体" w:hAnsi="宋体" w:cs="宋体"/>
          <w:color w:val="auto"/>
          <w:sz w:val="24"/>
          <w:highlight w:val="none"/>
        </w:rPr>
      </w:pPr>
      <w:r>
        <w:rPr>
          <w:rFonts w:hint="eastAsia" w:ascii="宋体" w:hAnsi="宋体" w:cs="宋体"/>
          <w:color w:val="auto"/>
          <w:sz w:val="24"/>
          <w:highlight w:val="none"/>
        </w:rPr>
        <w:t>18.2 采购人或采购代理机构有权按本须知的规定，通过修改谈判文件延长谈判响应文件截止时间。在此情况下，采购人和供应商受谈判响应文件截止时间制约的所有权利和义务均应当延长至新的截止期。</w:t>
      </w:r>
    </w:p>
    <w:p>
      <w:pPr>
        <w:spacing w:line="360" w:lineRule="auto"/>
        <w:rPr>
          <w:rFonts w:ascii="宋体" w:hAnsi="宋体" w:cs="宋体"/>
          <w:color w:val="auto"/>
          <w:sz w:val="24"/>
          <w:highlight w:val="none"/>
        </w:rPr>
      </w:pPr>
      <w:r>
        <w:rPr>
          <w:rFonts w:hint="eastAsia" w:ascii="宋体" w:hAnsi="宋体" w:cs="宋体"/>
          <w:color w:val="auto"/>
          <w:sz w:val="24"/>
          <w:highlight w:val="none"/>
        </w:rPr>
        <w:t>18.3 采购人及采购代理机构将拒绝接收谈判文件规定的谈判响应文件截止时间之后递交的任何谈判响应文件。</w:t>
      </w:r>
    </w:p>
    <w:p>
      <w:pPr>
        <w:pStyle w:val="4"/>
        <w:rPr>
          <w:rFonts w:ascii="宋体" w:hAnsi="宋体" w:cs="宋体"/>
          <w:color w:val="auto"/>
          <w:sz w:val="24"/>
          <w:szCs w:val="24"/>
          <w:highlight w:val="none"/>
        </w:rPr>
      </w:pPr>
      <w:bookmarkStart w:id="72" w:name="_Toc26319"/>
      <w:r>
        <w:rPr>
          <w:rFonts w:hint="eastAsia" w:ascii="宋体" w:hAnsi="宋体" w:cs="宋体"/>
          <w:color w:val="auto"/>
          <w:sz w:val="24"/>
          <w:szCs w:val="24"/>
          <w:highlight w:val="none"/>
        </w:rPr>
        <w:t>19 谈判响应文件的修改与撤回</w:t>
      </w:r>
      <w:bookmarkEnd w:id="72"/>
    </w:p>
    <w:p>
      <w:pPr>
        <w:spacing w:line="360" w:lineRule="auto"/>
        <w:rPr>
          <w:rFonts w:ascii="宋体" w:hAnsi="宋体" w:cs="宋体"/>
          <w:color w:val="auto"/>
          <w:sz w:val="24"/>
          <w:highlight w:val="none"/>
        </w:rPr>
      </w:pPr>
      <w:r>
        <w:rPr>
          <w:rFonts w:hint="eastAsia" w:ascii="宋体" w:hAnsi="宋体" w:cs="宋体"/>
          <w:color w:val="auto"/>
          <w:sz w:val="24"/>
          <w:highlight w:val="none"/>
        </w:rPr>
        <w:t>19.1 供应商在谈判响应文件截止时间前，可以对所递交的谈判响应文件进行补充、修改或者撤回，并书面通知采购代理机构。补充、修改的内容应当按谈判文件要求签署、盖章，并作为谈判响应文件的组成部分。</w:t>
      </w:r>
    </w:p>
    <w:p>
      <w:pPr>
        <w:spacing w:line="360" w:lineRule="auto"/>
        <w:rPr>
          <w:rFonts w:ascii="宋体" w:hAnsi="宋体" w:cs="宋体"/>
          <w:color w:val="auto"/>
          <w:sz w:val="24"/>
          <w:highlight w:val="none"/>
        </w:rPr>
      </w:pPr>
      <w:r>
        <w:rPr>
          <w:rFonts w:hint="eastAsia" w:ascii="宋体" w:hAnsi="宋体" w:cs="宋体"/>
          <w:color w:val="auto"/>
          <w:sz w:val="24"/>
          <w:highlight w:val="none"/>
        </w:rPr>
        <w:t>19.2 谈判响应文件截止时间后，供应商不得对其谈判响应文件做任何修改。</w:t>
      </w:r>
    </w:p>
    <w:p>
      <w:pPr>
        <w:spacing w:line="360" w:lineRule="auto"/>
        <w:rPr>
          <w:rFonts w:ascii="宋体" w:hAnsi="宋体" w:cs="宋体"/>
          <w:color w:val="auto"/>
          <w:sz w:val="24"/>
          <w:highlight w:val="none"/>
        </w:rPr>
      </w:pPr>
      <w:r>
        <w:rPr>
          <w:rFonts w:hint="eastAsia" w:ascii="宋体" w:hAnsi="宋体" w:cs="宋体"/>
          <w:color w:val="auto"/>
          <w:sz w:val="24"/>
          <w:highlight w:val="none"/>
        </w:rPr>
        <w:t>19.3 从谈判响应文件截止时间至供应商在谈判响应函格式中确定的谈判有效期之间，供应商不得撤销其谈判，否则其谈判保证金将按照本须知的规定不予退还。</w:t>
      </w:r>
    </w:p>
    <w:p>
      <w:pPr>
        <w:pStyle w:val="3"/>
        <w:ind w:firstLine="480"/>
        <w:rPr>
          <w:rFonts w:ascii="宋体" w:hAnsi="宋体" w:eastAsia="宋体" w:cs="宋体"/>
          <w:b w:val="0"/>
          <w:color w:val="auto"/>
          <w:sz w:val="24"/>
          <w:szCs w:val="24"/>
          <w:highlight w:val="none"/>
        </w:rPr>
      </w:pPr>
      <w:bookmarkStart w:id="73" w:name="_Toc246928919"/>
      <w:bookmarkStart w:id="74" w:name="_Toc20956"/>
      <w:bookmarkStart w:id="75" w:name="_Toc385506493"/>
      <w:bookmarkStart w:id="76" w:name="_Toc20456"/>
      <w:bookmarkStart w:id="77" w:name="_Toc891"/>
      <w:bookmarkStart w:id="78" w:name="_Toc385992360"/>
      <w:bookmarkStart w:id="79" w:name="_Toc246928925"/>
      <w:bookmarkStart w:id="80" w:name="_Toc492955421"/>
      <w:bookmarkStart w:id="81" w:name="_Toc389620199"/>
      <w:bookmarkStart w:id="82" w:name="_Toc497551782"/>
      <w:bookmarkStart w:id="83" w:name="_Toc497546880"/>
      <w:bookmarkStart w:id="84" w:name="_Toc497712095"/>
      <w:bookmarkStart w:id="85" w:name="_Toc497711547"/>
      <w:r>
        <w:rPr>
          <w:rFonts w:hint="eastAsia" w:ascii="宋体" w:hAnsi="宋体" w:eastAsia="宋体" w:cs="宋体"/>
          <w:color w:val="auto"/>
          <w:sz w:val="24"/>
          <w:szCs w:val="24"/>
          <w:highlight w:val="none"/>
        </w:rPr>
        <w:t>（五） 开标/评审</w:t>
      </w:r>
      <w:bookmarkEnd w:id="73"/>
      <w:bookmarkEnd w:id="74"/>
      <w:bookmarkEnd w:id="75"/>
      <w:bookmarkEnd w:id="76"/>
      <w:bookmarkEnd w:id="77"/>
    </w:p>
    <w:p>
      <w:pPr>
        <w:pStyle w:val="4"/>
        <w:rPr>
          <w:rFonts w:ascii="宋体" w:hAnsi="宋体" w:cs="宋体"/>
          <w:color w:val="auto"/>
          <w:sz w:val="24"/>
          <w:szCs w:val="24"/>
          <w:highlight w:val="none"/>
        </w:rPr>
      </w:pPr>
      <w:bookmarkStart w:id="86" w:name="_Toc246928920"/>
      <w:bookmarkStart w:id="87" w:name="_Toc23915"/>
      <w:bookmarkStart w:id="88" w:name="_Toc385506494"/>
      <w:r>
        <w:rPr>
          <w:rFonts w:hint="eastAsia" w:ascii="宋体" w:hAnsi="宋体" w:cs="宋体"/>
          <w:color w:val="auto"/>
          <w:sz w:val="24"/>
          <w:szCs w:val="24"/>
          <w:highlight w:val="none"/>
        </w:rPr>
        <w:t xml:space="preserve">20 </w:t>
      </w:r>
      <w:bookmarkEnd w:id="86"/>
      <w:r>
        <w:rPr>
          <w:rFonts w:hint="eastAsia" w:ascii="宋体" w:hAnsi="宋体" w:cs="宋体"/>
          <w:color w:val="auto"/>
          <w:sz w:val="24"/>
          <w:szCs w:val="24"/>
          <w:highlight w:val="none"/>
        </w:rPr>
        <w:t>开标</w:t>
      </w:r>
      <w:bookmarkEnd w:id="87"/>
      <w:bookmarkEnd w:id="88"/>
    </w:p>
    <w:p>
      <w:pPr>
        <w:spacing w:line="360" w:lineRule="auto"/>
        <w:rPr>
          <w:rFonts w:ascii="宋体" w:hAnsi="宋体" w:cs="宋体"/>
          <w:color w:val="auto"/>
          <w:sz w:val="24"/>
          <w:highlight w:val="none"/>
        </w:rPr>
      </w:pPr>
      <w:bookmarkStart w:id="89" w:name="_Toc385506495"/>
      <w:bookmarkStart w:id="90" w:name="_Toc246928921"/>
      <w:r>
        <w:rPr>
          <w:rFonts w:hint="eastAsia" w:ascii="宋体" w:hAnsi="宋体" w:cs="宋体"/>
          <w:color w:val="auto"/>
          <w:sz w:val="24"/>
          <w:highlight w:val="none"/>
        </w:rPr>
        <w:t>20.1 采购代理机构按谈判公告中规定的时间和地点接受供应商递交的谈判响应文件。供应商应派代表签到，并参加谈判。</w:t>
      </w:r>
    </w:p>
    <w:p>
      <w:pPr>
        <w:spacing w:line="360" w:lineRule="auto"/>
        <w:rPr>
          <w:rFonts w:ascii="宋体" w:hAnsi="宋体" w:cs="宋体"/>
          <w:color w:val="auto"/>
          <w:sz w:val="24"/>
          <w:highlight w:val="none"/>
        </w:rPr>
      </w:pPr>
      <w:r>
        <w:rPr>
          <w:rFonts w:hint="eastAsia" w:ascii="宋体" w:hAnsi="宋体" w:cs="宋体"/>
          <w:color w:val="auto"/>
          <w:sz w:val="24"/>
          <w:highlight w:val="none"/>
        </w:rPr>
        <w:t>20.2开标时，采购代理机构当众拆封所有密封完好的响应文件。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20.4 谈判有效供应商不足三家的，按照国家相关法律法律及省市规定执行。</w:t>
      </w:r>
    </w:p>
    <w:p>
      <w:pPr>
        <w:pStyle w:val="4"/>
        <w:rPr>
          <w:rFonts w:ascii="宋体" w:hAnsi="宋体" w:cs="宋体"/>
          <w:color w:val="auto"/>
          <w:sz w:val="24"/>
          <w:szCs w:val="24"/>
          <w:highlight w:val="none"/>
        </w:rPr>
      </w:pPr>
      <w:bookmarkStart w:id="91" w:name="_Toc25482"/>
      <w:r>
        <w:rPr>
          <w:rFonts w:hint="eastAsia" w:ascii="宋体" w:hAnsi="宋体" w:cs="宋体"/>
          <w:color w:val="auto"/>
          <w:sz w:val="24"/>
          <w:szCs w:val="24"/>
          <w:highlight w:val="none"/>
        </w:rPr>
        <w:t>21 谈判小组</w:t>
      </w:r>
      <w:bookmarkEnd w:id="89"/>
      <w:bookmarkEnd w:id="90"/>
      <w:bookmarkEnd w:id="91"/>
    </w:p>
    <w:p>
      <w:pPr>
        <w:spacing w:line="360" w:lineRule="auto"/>
        <w:rPr>
          <w:rFonts w:ascii="宋体" w:hAnsi="宋体" w:cs="宋体"/>
          <w:color w:val="auto"/>
          <w:sz w:val="24"/>
          <w:highlight w:val="none"/>
        </w:rPr>
      </w:pPr>
      <w:r>
        <w:rPr>
          <w:rFonts w:hint="eastAsia" w:ascii="宋体" w:hAnsi="宋体" w:cs="宋体"/>
          <w:color w:val="auto"/>
          <w:sz w:val="24"/>
          <w:highlight w:val="none"/>
        </w:rPr>
        <w:t>21.1 根据本次采购项目的特点，参照《中华人民共和国政府采购法》等有关规定组建谈判小组。</w:t>
      </w:r>
    </w:p>
    <w:p>
      <w:pPr>
        <w:spacing w:line="360" w:lineRule="auto"/>
        <w:rPr>
          <w:rFonts w:ascii="宋体" w:hAnsi="宋体" w:cs="宋体"/>
          <w:color w:val="auto"/>
          <w:sz w:val="24"/>
          <w:highlight w:val="none"/>
        </w:rPr>
      </w:pPr>
      <w:r>
        <w:rPr>
          <w:rFonts w:hint="eastAsia" w:ascii="宋体" w:hAnsi="宋体" w:cs="宋体"/>
          <w:color w:val="auto"/>
          <w:sz w:val="24"/>
          <w:highlight w:val="none"/>
        </w:rPr>
        <w:t>21.2 谈判小组成员由采购人代表和有关技术、经济等方面的专家组成，其中技术、经济专家人数不少于谈判小组总人数的2/3本项目谈判小组专家的产生方式符合国家和地方有关评审专家产生方式的规定。</w:t>
      </w:r>
    </w:p>
    <w:p>
      <w:pPr>
        <w:spacing w:line="360" w:lineRule="auto"/>
        <w:rPr>
          <w:rFonts w:ascii="宋体" w:hAnsi="宋体" w:cs="宋体"/>
          <w:color w:val="auto"/>
          <w:sz w:val="24"/>
          <w:highlight w:val="none"/>
        </w:rPr>
      </w:pPr>
      <w:r>
        <w:rPr>
          <w:rFonts w:hint="eastAsia" w:ascii="宋体" w:hAnsi="宋体" w:cs="宋体"/>
          <w:color w:val="auto"/>
          <w:sz w:val="24"/>
          <w:highlight w:val="none"/>
        </w:rPr>
        <w:t>21.3 谈判小组成员对各供应商谈判响应文件进行审查、评估和比较，并推荐出成交候选供应商。</w:t>
      </w:r>
    </w:p>
    <w:p>
      <w:pPr>
        <w:pStyle w:val="4"/>
        <w:rPr>
          <w:rFonts w:ascii="宋体" w:hAnsi="宋体" w:cs="宋体"/>
          <w:color w:val="auto"/>
          <w:sz w:val="24"/>
          <w:szCs w:val="24"/>
          <w:highlight w:val="none"/>
        </w:rPr>
      </w:pPr>
      <w:bookmarkStart w:id="92" w:name="_Toc246928924"/>
      <w:bookmarkStart w:id="93" w:name="_Toc385506496"/>
      <w:bookmarkStart w:id="94" w:name="_Toc27132"/>
      <w:r>
        <w:rPr>
          <w:rFonts w:hint="eastAsia" w:ascii="宋体" w:hAnsi="宋体" w:cs="宋体"/>
          <w:color w:val="auto"/>
          <w:sz w:val="24"/>
          <w:szCs w:val="24"/>
          <w:highlight w:val="none"/>
        </w:rPr>
        <w:t>22 评审</w:t>
      </w:r>
      <w:bookmarkEnd w:id="92"/>
      <w:bookmarkEnd w:id="93"/>
      <w:bookmarkEnd w:id="94"/>
    </w:p>
    <w:p>
      <w:pPr>
        <w:spacing w:line="360" w:lineRule="auto"/>
        <w:rPr>
          <w:rFonts w:ascii="宋体" w:hAnsi="宋体" w:cs="宋体"/>
          <w:color w:val="auto"/>
          <w:sz w:val="24"/>
          <w:highlight w:val="none"/>
        </w:rPr>
      </w:pPr>
      <w:r>
        <w:rPr>
          <w:rFonts w:hint="eastAsia" w:ascii="宋体" w:hAnsi="宋体" w:cs="宋体"/>
          <w:color w:val="auto"/>
          <w:sz w:val="24"/>
          <w:highlight w:val="none"/>
        </w:rPr>
        <w:t>22.1 谈判小组将遵循公开、公平、公正和择优的原则，对所有供应商的谈判响应文件评审，都采用相同的程序和标准。</w:t>
      </w:r>
    </w:p>
    <w:p>
      <w:pPr>
        <w:spacing w:line="360" w:lineRule="auto"/>
        <w:rPr>
          <w:rFonts w:ascii="宋体" w:hAnsi="宋体" w:cs="宋体"/>
          <w:color w:val="auto"/>
          <w:sz w:val="24"/>
          <w:highlight w:val="none"/>
        </w:rPr>
      </w:pPr>
      <w:r>
        <w:rPr>
          <w:rFonts w:hint="eastAsia" w:ascii="宋体" w:hAnsi="宋体" w:cs="宋体"/>
          <w:color w:val="auto"/>
          <w:sz w:val="24"/>
          <w:highlight w:val="none"/>
        </w:rPr>
        <w:t>22.2 评审过程的保密：谈判中不公开供应商的谈判报价，在谈判响应文件的评审、比较、成交候选供应商推荐以及授予合同的过程中，供应商向采购人和谈判小组施加影响的任何行为，都将会导致其报价被拒绝；成交供应商确定后，采购人不对未成交供应商就评审过程以及未能成交原因做出任何解释。未成交供应商不得向谈判小组成员或其他相关人员索问评审过程的情况和材料。</w:t>
      </w:r>
    </w:p>
    <w:p>
      <w:pPr>
        <w:pStyle w:val="4"/>
        <w:rPr>
          <w:rFonts w:ascii="宋体" w:hAnsi="宋体" w:cs="宋体"/>
          <w:color w:val="auto"/>
          <w:sz w:val="24"/>
          <w:szCs w:val="24"/>
          <w:highlight w:val="none"/>
        </w:rPr>
      </w:pPr>
      <w:bookmarkStart w:id="95" w:name="_Toc4776"/>
      <w:bookmarkStart w:id="96" w:name="_Toc385506497"/>
      <w:r>
        <w:rPr>
          <w:rFonts w:hint="eastAsia" w:ascii="宋体" w:hAnsi="宋体" w:cs="宋体"/>
          <w:color w:val="auto"/>
          <w:sz w:val="24"/>
          <w:szCs w:val="24"/>
          <w:highlight w:val="none"/>
        </w:rPr>
        <w:t>23 评审程序</w:t>
      </w:r>
      <w:bookmarkEnd w:id="95"/>
      <w:bookmarkEnd w:id="96"/>
    </w:p>
    <w:p>
      <w:pPr>
        <w:spacing w:line="360" w:lineRule="auto"/>
        <w:rPr>
          <w:rFonts w:ascii="宋体" w:hAnsi="宋体" w:cs="宋体"/>
          <w:color w:val="auto"/>
          <w:sz w:val="24"/>
          <w:highlight w:val="none"/>
        </w:rPr>
      </w:pPr>
      <w:r>
        <w:rPr>
          <w:rFonts w:hint="eastAsia" w:ascii="宋体" w:hAnsi="宋体" w:cs="宋体"/>
          <w:color w:val="auto"/>
          <w:sz w:val="24"/>
          <w:highlight w:val="none"/>
        </w:rPr>
        <w:t>23.1谈判小组对于各个供应商的谈判响应文件先进行资格性审查、再进行符合性审查，审查全都合格的供应商才有参加谈判与承诺的资格。</w:t>
      </w:r>
    </w:p>
    <w:p>
      <w:pPr>
        <w:tabs>
          <w:tab w:val="left" w:pos="1155"/>
        </w:tabs>
        <w:spacing w:line="360" w:lineRule="auto"/>
        <w:rPr>
          <w:rFonts w:ascii="宋体" w:hAnsi="宋体" w:cs="宋体"/>
          <w:color w:val="auto"/>
          <w:sz w:val="24"/>
          <w:highlight w:val="none"/>
        </w:rPr>
      </w:pPr>
      <w:r>
        <w:rPr>
          <w:rFonts w:hint="eastAsia" w:ascii="宋体" w:hAnsi="宋体" w:cs="宋体"/>
          <w:color w:val="auto"/>
          <w:sz w:val="24"/>
          <w:highlight w:val="none"/>
        </w:rPr>
        <w:t>23.1.1资格性审查内容详见总则第12条。</w:t>
      </w:r>
    </w:p>
    <w:p>
      <w:pPr>
        <w:tabs>
          <w:tab w:val="left" w:pos="1155"/>
        </w:tabs>
        <w:spacing w:line="360" w:lineRule="auto"/>
        <w:rPr>
          <w:rFonts w:ascii="宋体" w:hAnsi="宋体" w:cs="宋体"/>
          <w:color w:val="auto"/>
          <w:sz w:val="24"/>
          <w:highlight w:val="none"/>
        </w:rPr>
      </w:pPr>
      <w:r>
        <w:rPr>
          <w:rFonts w:hint="eastAsia" w:ascii="宋体" w:hAnsi="宋体" w:cs="宋体"/>
          <w:color w:val="auto"/>
          <w:sz w:val="24"/>
          <w:highlight w:val="none"/>
        </w:rPr>
        <w:t>23.1.2符合性审查内容详见总则第13条。</w:t>
      </w:r>
    </w:p>
    <w:p>
      <w:pPr>
        <w:spacing w:line="360" w:lineRule="auto"/>
        <w:rPr>
          <w:rFonts w:ascii="宋体" w:hAnsi="宋体" w:cs="宋体"/>
          <w:color w:val="auto"/>
          <w:sz w:val="24"/>
          <w:highlight w:val="none"/>
        </w:rPr>
      </w:pPr>
      <w:r>
        <w:rPr>
          <w:rFonts w:hint="eastAsia" w:ascii="宋体" w:hAnsi="宋体" w:cs="宋体"/>
          <w:color w:val="auto"/>
          <w:sz w:val="24"/>
          <w:highlight w:val="none"/>
        </w:rPr>
        <w:t>注：审查资料提供时须具体、明确，无明确响应的视为不完全响应，不予澄清，按无效标处理。</w:t>
      </w:r>
    </w:p>
    <w:p>
      <w:pPr>
        <w:spacing w:line="360" w:lineRule="auto"/>
        <w:rPr>
          <w:rFonts w:ascii="宋体" w:hAnsi="宋体" w:cs="宋体"/>
          <w:color w:val="auto"/>
          <w:sz w:val="24"/>
          <w:highlight w:val="none"/>
        </w:rPr>
      </w:pPr>
      <w:r>
        <w:rPr>
          <w:rFonts w:hint="eastAsia" w:ascii="宋体" w:hAnsi="宋体" w:cs="宋体"/>
          <w:color w:val="auto"/>
          <w:sz w:val="24"/>
          <w:highlight w:val="none"/>
        </w:rPr>
        <w:t>23.2 对谈判响应文件含义不明确、同类问题表述不一致或者有明显文字和计算错误的内容，谈判小组可以要求供应商在规定的时间内做出必要的澄清、说明或者纠正。供应商的澄清、说明或者补正应当采用书面形式，有其授权的代表签字，并不得超出谈判响应文件的范围或者改变谈判响应文件的实质性内容。</w:t>
      </w:r>
    </w:p>
    <w:p>
      <w:pPr>
        <w:spacing w:line="360" w:lineRule="auto"/>
        <w:rPr>
          <w:rFonts w:ascii="宋体" w:hAnsi="宋体" w:cs="宋体"/>
          <w:color w:val="auto"/>
          <w:sz w:val="24"/>
          <w:highlight w:val="none"/>
        </w:rPr>
      </w:pPr>
      <w:r>
        <w:rPr>
          <w:rFonts w:hint="eastAsia" w:ascii="宋体" w:hAnsi="宋体" w:cs="宋体"/>
          <w:color w:val="auto"/>
          <w:sz w:val="24"/>
          <w:highlight w:val="none"/>
        </w:rPr>
        <w:t>23.2.1 澄清文件将作为谈判响应文件的一部分。</w:t>
      </w:r>
    </w:p>
    <w:p>
      <w:pPr>
        <w:spacing w:line="360" w:lineRule="auto"/>
        <w:rPr>
          <w:rFonts w:ascii="宋体" w:hAnsi="宋体" w:cs="宋体"/>
          <w:color w:val="auto"/>
          <w:sz w:val="24"/>
          <w:highlight w:val="none"/>
        </w:rPr>
      </w:pPr>
      <w:r>
        <w:rPr>
          <w:rFonts w:hint="eastAsia" w:ascii="宋体" w:hAnsi="宋体" w:cs="宋体"/>
          <w:color w:val="auto"/>
          <w:sz w:val="24"/>
          <w:highlight w:val="none"/>
        </w:rPr>
        <w:t>23.2.2 算术错误将按以下方法更正：</w:t>
      </w:r>
    </w:p>
    <w:p>
      <w:pPr>
        <w:spacing w:line="360" w:lineRule="auto"/>
        <w:rPr>
          <w:rFonts w:ascii="宋体" w:hAnsi="宋体" w:cs="宋体"/>
          <w:color w:val="auto"/>
          <w:sz w:val="24"/>
          <w:highlight w:val="none"/>
        </w:rPr>
      </w:pPr>
      <w:r>
        <w:rPr>
          <w:rFonts w:hint="eastAsia" w:ascii="宋体" w:hAnsi="宋体" w:cs="宋体"/>
          <w:color w:val="auto"/>
          <w:sz w:val="24"/>
          <w:highlight w:val="none"/>
        </w:rPr>
        <w:t>23.2.2.1 谈判响应文件的大写金额和小写金额不一致的，以大写金额为准；</w:t>
      </w:r>
    </w:p>
    <w:p>
      <w:pPr>
        <w:spacing w:line="360" w:lineRule="auto"/>
        <w:rPr>
          <w:rFonts w:ascii="宋体" w:hAnsi="宋体" w:cs="宋体"/>
          <w:color w:val="auto"/>
          <w:sz w:val="24"/>
          <w:highlight w:val="none"/>
        </w:rPr>
      </w:pPr>
      <w:r>
        <w:rPr>
          <w:rFonts w:hint="eastAsia" w:ascii="宋体" w:hAnsi="宋体" w:cs="宋体"/>
          <w:color w:val="auto"/>
          <w:sz w:val="24"/>
          <w:highlight w:val="none"/>
        </w:rPr>
        <w:t>23.2.2.2 总价金额与按单价汇总金额不一致的，以单价金额计算结果为准；</w:t>
      </w:r>
    </w:p>
    <w:p>
      <w:pPr>
        <w:spacing w:line="360" w:lineRule="auto"/>
        <w:rPr>
          <w:rFonts w:ascii="宋体" w:hAnsi="宋体" w:cs="宋体"/>
          <w:color w:val="auto"/>
          <w:sz w:val="24"/>
          <w:highlight w:val="none"/>
        </w:rPr>
      </w:pPr>
      <w:r>
        <w:rPr>
          <w:rFonts w:hint="eastAsia" w:ascii="宋体" w:hAnsi="宋体" w:cs="宋体"/>
          <w:color w:val="auto"/>
          <w:sz w:val="24"/>
          <w:highlight w:val="none"/>
        </w:rPr>
        <w:t>23.2.2.3 单价金额小数点有明显错位的，应当以总价为准，并修改单价；</w:t>
      </w:r>
    </w:p>
    <w:p>
      <w:pPr>
        <w:spacing w:line="360" w:lineRule="auto"/>
        <w:rPr>
          <w:rFonts w:ascii="宋体" w:hAnsi="宋体" w:cs="宋体"/>
          <w:color w:val="auto"/>
          <w:sz w:val="24"/>
          <w:highlight w:val="none"/>
        </w:rPr>
      </w:pPr>
      <w:r>
        <w:rPr>
          <w:rFonts w:hint="eastAsia" w:ascii="宋体" w:hAnsi="宋体" w:cs="宋体"/>
          <w:color w:val="auto"/>
          <w:sz w:val="24"/>
          <w:highlight w:val="none"/>
        </w:rPr>
        <w:t>23.2.2.4 对不同文字文本谈判响应文件的解释发生异议的，以中文文本为准；</w:t>
      </w:r>
    </w:p>
    <w:p>
      <w:pPr>
        <w:spacing w:line="360" w:lineRule="auto"/>
        <w:rPr>
          <w:rFonts w:ascii="宋体" w:hAnsi="宋体" w:cs="宋体"/>
          <w:color w:val="auto"/>
          <w:sz w:val="24"/>
          <w:highlight w:val="none"/>
        </w:rPr>
      </w:pPr>
      <w:r>
        <w:rPr>
          <w:rFonts w:hint="eastAsia" w:ascii="宋体" w:hAnsi="宋体" w:cs="宋体"/>
          <w:color w:val="auto"/>
          <w:sz w:val="24"/>
          <w:highlight w:val="none"/>
        </w:rPr>
        <w:t>23.2.2.5 对于供应商不接受对其错误的更改，其谈判属于无效谈判情形。</w:t>
      </w:r>
    </w:p>
    <w:p>
      <w:pPr>
        <w:pStyle w:val="4"/>
        <w:rPr>
          <w:rFonts w:ascii="宋体" w:hAnsi="宋体" w:cs="宋体"/>
          <w:color w:val="auto"/>
          <w:sz w:val="24"/>
          <w:szCs w:val="24"/>
          <w:highlight w:val="none"/>
        </w:rPr>
      </w:pPr>
      <w:bookmarkStart w:id="97" w:name="_Toc385506498"/>
      <w:bookmarkStart w:id="98" w:name="_Toc4426"/>
      <w:r>
        <w:rPr>
          <w:rFonts w:hint="eastAsia" w:ascii="宋体" w:hAnsi="宋体" w:cs="宋体"/>
          <w:color w:val="auto"/>
          <w:sz w:val="24"/>
          <w:szCs w:val="24"/>
          <w:highlight w:val="none"/>
        </w:rPr>
        <w:t>24 谈判</w:t>
      </w:r>
      <w:bookmarkEnd w:id="97"/>
      <w:bookmarkEnd w:id="98"/>
    </w:p>
    <w:p>
      <w:pPr>
        <w:snapToGrid w:val="0"/>
        <w:spacing w:line="360" w:lineRule="auto"/>
        <w:rPr>
          <w:rFonts w:ascii="宋体" w:hAnsi="宋体" w:cs="宋体"/>
          <w:color w:val="auto"/>
          <w:sz w:val="24"/>
          <w:highlight w:val="none"/>
        </w:rPr>
      </w:pPr>
      <w:bookmarkStart w:id="99" w:name="_Toc385506499"/>
      <w:r>
        <w:rPr>
          <w:rFonts w:hint="eastAsia" w:ascii="宋体" w:hAnsi="宋体" w:cs="宋体"/>
          <w:color w:val="auto"/>
          <w:sz w:val="24"/>
          <w:highlight w:val="none"/>
        </w:rPr>
        <w:t>24.1谈判小组根据各谈判供应商响应文件响应情况决定是否与各供应商进行谈判。</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24.2经谈判小组评审，报价、质量和服务均能满足采购文件实质性响应要求的供应商才具有最后报价的机会。供应商应按谈判小组规定的时间进行最后报价，并由法定代表人或其授权人签字，所有报价现场均不对供应商公布。该谈判报价为不可更改价格，作为谈判小组推荐成交候选人的依据。</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24.3谈判小组认为供应商的最后报价或者某些分项报价明显不合理或者低于成本，有可能影响服务质量和不能诚信履约的，谈判小组有权要求供应商提供书面或口头解释说明，并提交相关证明材料；如供应商在开标现场规定时间内不能够提供相关材料证明其报价的合理性或不能有力口头证明其报价合理性，谈判小组可认为其报价为无效报价。</w:t>
      </w:r>
    </w:p>
    <w:p>
      <w:pPr>
        <w:pStyle w:val="4"/>
        <w:rPr>
          <w:rFonts w:ascii="宋体" w:hAnsi="宋体" w:cs="宋体"/>
          <w:color w:val="auto"/>
          <w:sz w:val="24"/>
          <w:szCs w:val="24"/>
          <w:highlight w:val="none"/>
        </w:rPr>
      </w:pPr>
      <w:bookmarkStart w:id="100" w:name="_Toc25956"/>
      <w:r>
        <w:rPr>
          <w:rFonts w:hint="eastAsia" w:ascii="宋体" w:hAnsi="宋体" w:cs="宋体"/>
          <w:color w:val="auto"/>
          <w:sz w:val="24"/>
          <w:szCs w:val="24"/>
          <w:highlight w:val="none"/>
        </w:rPr>
        <w:t>25 评审方法</w:t>
      </w:r>
      <w:bookmarkEnd w:id="99"/>
      <w:bookmarkEnd w:id="100"/>
    </w:p>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25.1评审方法：供应商提交响应文件后，谈判小组进行资格性审查，资格性审查通过后进行符合性审查，审查不通过的供应商不得进入谈判环节。谈判小组从质量和服务均能满足采购文件实质性响应要求的供应商中，以最后报价（评审报价）由低到高的顺序推荐成交候选人。</w:t>
      </w:r>
    </w:p>
    <w:p>
      <w:pPr>
        <w:pStyle w:val="3"/>
        <w:ind w:firstLine="480"/>
        <w:rPr>
          <w:rFonts w:ascii="宋体" w:hAnsi="宋体" w:eastAsia="宋体" w:cs="宋体"/>
          <w:b w:val="0"/>
          <w:color w:val="auto"/>
          <w:sz w:val="24"/>
          <w:szCs w:val="24"/>
          <w:highlight w:val="none"/>
        </w:rPr>
      </w:pPr>
      <w:bookmarkStart w:id="101" w:name="_Hlt491765714"/>
      <w:bookmarkEnd w:id="101"/>
      <w:bookmarkStart w:id="102" w:name="_Toc20369"/>
      <w:bookmarkStart w:id="103" w:name="_Toc2888"/>
      <w:bookmarkStart w:id="104" w:name="_Toc858"/>
      <w:r>
        <w:rPr>
          <w:rFonts w:hint="eastAsia" w:ascii="宋体" w:hAnsi="宋体" w:eastAsia="宋体" w:cs="宋体"/>
          <w:color w:val="auto"/>
          <w:sz w:val="24"/>
          <w:szCs w:val="24"/>
          <w:highlight w:val="none"/>
        </w:rPr>
        <w:t xml:space="preserve">（六） </w:t>
      </w:r>
      <w:bookmarkStart w:id="105" w:name="_Hlt497547134"/>
      <w:bookmarkEnd w:id="105"/>
      <w:r>
        <w:rPr>
          <w:rFonts w:hint="eastAsia" w:ascii="宋体" w:hAnsi="宋体" w:eastAsia="宋体" w:cs="宋体"/>
          <w:color w:val="auto"/>
          <w:sz w:val="24"/>
          <w:szCs w:val="24"/>
          <w:highlight w:val="none"/>
        </w:rPr>
        <w:t>授予合同</w:t>
      </w:r>
      <w:bookmarkEnd w:id="78"/>
      <w:bookmarkEnd w:id="79"/>
      <w:bookmarkEnd w:id="80"/>
      <w:bookmarkEnd w:id="81"/>
      <w:bookmarkEnd w:id="82"/>
      <w:bookmarkEnd w:id="83"/>
      <w:bookmarkEnd w:id="84"/>
      <w:bookmarkEnd w:id="85"/>
      <w:bookmarkEnd w:id="102"/>
      <w:bookmarkEnd w:id="103"/>
      <w:bookmarkEnd w:id="104"/>
    </w:p>
    <w:p>
      <w:pPr>
        <w:pStyle w:val="4"/>
        <w:rPr>
          <w:rFonts w:ascii="宋体" w:hAnsi="宋体" w:cs="宋体"/>
          <w:color w:val="auto"/>
          <w:sz w:val="24"/>
          <w:szCs w:val="24"/>
          <w:highlight w:val="none"/>
        </w:rPr>
      </w:pPr>
      <w:bookmarkStart w:id="106" w:name="_Toc389620200"/>
      <w:bookmarkStart w:id="107" w:name="_Toc246928926"/>
      <w:bookmarkStart w:id="108" w:name="_Toc15472"/>
      <w:bookmarkStart w:id="109" w:name="_Toc385992361"/>
      <w:r>
        <w:rPr>
          <w:rFonts w:hint="eastAsia" w:ascii="宋体" w:hAnsi="宋体" w:cs="宋体"/>
          <w:color w:val="auto"/>
          <w:sz w:val="24"/>
          <w:szCs w:val="24"/>
          <w:highlight w:val="none"/>
        </w:rPr>
        <w:t>26 成交准则</w:t>
      </w:r>
      <w:bookmarkEnd w:id="106"/>
      <w:bookmarkEnd w:id="107"/>
      <w:bookmarkEnd w:id="108"/>
      <w:bookmarkEnd w:id="109"/>
    </w:p>
    <w:p>
      <w:pPr>
        <w:spacing w:before="120" w:line="360" w:lineRule="auto"/>
        <w:rPr>
          <w:rFonts w:ascii="宋体" w:hAnsi="宋体" w:cs="宋体"/>
          <w:color w:val="auto"/>
          <w:sz w:val="24"/>
          <w:highlight w:val="none"/>
        </w:rPr>
      </w:pPr>
      <w:r>
        <w:rPr>
          <w:rFonts w:hint="eastAsia" w:ascii="宋体" w:hAnsi="宋体" w:cs="宋体"/>
          <w:color w:val="auto"/>
          <w:sz w:val="24"/>
          <w:highlight w:val="none"/>
        </w:rPr>
        <w:t>26.1合同将授予项目报价符合谈判文件要求、并能圆满地履行合同的、对采购人最为有利的供应商。</w:t>
      </w:r>
    </w:p>
    <w:p>
      <w:pPr>
        <w:spacing w:line="360" w:lineRule="auto"/>
        <w:rPr>
          <w:rFonts w:ascii="宋体" w:hAnsi="宋体" w:cs="宋体"/>
          <w:color w:val="auto"/>
          <w:sz w:val="24"/>
          <w:highlight w:val="none"/>
        </w:rPr>
      </w:pPr>
      <w:bookmarkStart w:id="110" w:name="_Toc385992362"/>
      <w:bookmarkStart w:id="111" w:name="_Toc389620201"/>
      <w:r>
        <w:rPr>
          <w:rFonts w:hint="eastAsia" w:ascii="宋体" w:hAnsi="宋体" w:cs="宋体"/>
          <w:color w:val="auto"/>
          <w:sz w:val="24"/>
          <w:highlight w:val="none"/>
        </w:rPr>
        <w:t>26.2 谈判小组将根据评审方法推荐成交候选供应商名单。</w:t>
      </w:r>
    </w:p>
    <w:p>
      <w:pPr>
        <w:spacing w:line="360" w:lineRule="auto"/>
        <w:rPr>
          <w:rFonts w:ascii="宋体" w:hAnsi="宋体" w:cs="宋体"/>
          <w:color w:val="auto"/>
          <w:sz w:val="24"/>
          <w:highlight w:val="none"/>
        </w:rPr>
      </w:pPr>
      <w:r>
        <w:rPr>
          <w:rFonts w:hint="eastAsia" w:ascii="宋体" w:hAnsi="宋体" w:cs="宋体"/>
          <w:color w:val="auto"/>
          <w:sz w:val="24"/>
          <w:highlight w:val="none"/>
        </w:rPr>
        <w:t>26.3 采购代理机构在评审结束后将评审报告送采购人，采购人在收到评审报告后按照评审报告中推荐的成交候选供应商顺序确定成交供应商。</w:t>
      </w:r>
    </w:p>
    <w:p>
      <w:pPr>
        <w:spacing w:line="360" w:lineRule="auto"/>
        <w:rPr>
          <w:rFonts w:ascii="宋体" w:hAnsi="宋体" w:cs="宋体"/>
          <w:color w:val="auto"/>
          <w:sz w:val="24"/>
          <w:highlight w:val="none"/>
          <w:shd w:val="pct10" w:color="auto" w:fill="FFFFFF"/>
        </w:rPr>
      </w:pPr>
      <w:r>
        <w:rPr>
          <w:rFonts w:hint="eastAsia" w:ascii="宋体" w:hAnsi="宋体" w:cs="宋体"/>
          <w:color w:val="auto"/>
          <w:sz w:val="24"/>
          <w:highlight w:val="none"/>
        </w:rPr>
        <w:t>26.4 成交供应商因不可抗力或自身原因不能履行政府采购合同的，采购人可以再排位在成交供应商之后的第一位的成交候选供应商签订政府采购合同，以此类推。</w:t>
      </w:r>
    </w:p>
    <w:bookmarkEnd w:id="110"/>
    <w:bookmarkEnd w:id="111"/>
    <w:p>
      <w:pPr>
        <w:pStyle w:val="4"/>
        <w:rPr>
          <w:rFonts w:ascii="宋体" w:hAnsi="宋体" w:cs="宋体"/>
          <w:color w:val="auto"/>
          <w:sz w:val="24"/>
          <w:szCs w:val="24"/>
          <w:highlight w:val="none"/>
        </w:rPr>
      </w:pPr>
      <w:bookmarkStart w:id="112" w:name="_Toc389620203"/>
      <w:bookmarkStart w:id="113" w:name="_Toc385992364"/>
      <w:bookmarkStart w:id="114" w:name="_Toc246928927"/>
      <w:bookmarkStart w:id="115" w:name="_Toc25642"/>
      <w:r>
        <w:rPr>
          <w:rFonts w:hint="eastAsia" w:ascii="宋体" w:hAnsi="宋体" w:cs="宋体"/>
          <w:color w:val="auto"/>
          <w:sz w:val="24"/>
          <w:szCs w:val="24"/>
          <w:highlight w:val="none"/>
        </w:rPr>
        <w:t xml:space="preserve">27 </w:t>
      </w:r>
      <w:bookmarkEnd w:id="112"/>
      <w:bookmarkEnd w:id="113"/>
      <w:r>
        <w:rPr>
          <w:rFonts w:hint="eastAsia" w:ascii="宋体" w:hAnsi="宋体" w:cs="宋体"/>
          <w:color w:val="auto"/>
          <w:sz w:val="24"/>
          <w:szCs w:val="24"/>
          <w:highlight w:val="none"/>
        </w:rPr>
        <w:t>成交通知</w:t>
      </w:r>
      <w:bookmarkEnd w:id="114"/>
      <w:r>
        <w:rPr>
          <w:rFonts w:hint="eastAsia" w:ascii="宋体" w:hAnsi="宋体" w:cs="宋体"/>
          <w:color w:val="auto"/>
          <w:sz w:val="24"/>
          <w:szCs w:val="24"/>
          <w:highlight w:val="none"/>
        </w:rPr>
        <w:t>书</w:t>
      </w:r>
      <w:bookmarkEnd w:id="115"/>
    </w:p>
    <w:p>
      <w:pPr>
        <w:spacing w:line="360" w:lineRule="auto"/>
        <w:rPr>
          <w:rFonts w:ascii="宋体" w:hAnsi="宋体" w:cs="宋体"/>
          <w:color w:val="auto"/>
          <w:sz w:val="24"/>
          <w:highlight w:val="none"/>
        </w:rPr>
      </w:pPr>
      <w:r>
        <w:rPr>
          <w:rFonts w:hint="eastAsia" w:ascii="宋体" w:hAnsi="宋体" w:cs="宋体"/>
          <w:color w:val="auto"/>
          <w:sz w:val="24"/>
          <w:highlight w:val="none"/>
        </w:rPr>
        <w:t>27.1 在谈判有效期内，确定成交供应商后，成交结果在财政部门指定的政府采购信息发布媒体上公告。</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27.2 采购代理机构向成交供应商发出成交通知书，对于其他供应商，将在保证金有效期内无息退还其谈判保证金。 </w:t>
      </w:r>
    </w:p>
    <w:p>
      <w:pPr>
        <w:spacing w:line="360" w:lineRule="auto"/>
        <w:rPr>
          <w:rFonts w:ascii="宋体" w:hAnsi="宋体" w:cs="宋体"/>
          <w:color w:val="auto"/>
          <w:sz w:val="24"/>
          <w:highlight w:val="none"/>
        </w:rPr>
      </w:pPr>
      <w:r>
        <w:rPr>
          <w:rFonts w:hint="eastAsia" w:ascii="宋体" w:hAnsi="宋体" w:cs="宋体"/>
          <w:color w:val="auto"/>
          <w:sz w:val="24"/>
          <w:highlight w:val="none"/>
        </w:rPr>
        <w:t>27.3 成交通知书将作为签订合同的依据。</w:t>
      </w:r>
    </w:p>
    <w:p>
      <w:pPr>
        <w:spacing w:line="360" w:lineRule="auto"/>
        <w:rPr>
          <w:rFonts w:ascii="宋体" w:hAnsi="宋体" w:cs="宋体"/>
          <w:color w:val="auto"/>
          <w:sz w:val="24"/>
          <w:highlight w:val="none"/>
        </w:rPr>
      </w:pPr>
      <w:r>
        <w:rPr>
          <w:rFonts w:hint="eastAsia" w:ascii="宋体" w:hAnsi="宋体" w:cs="宋体"/>
          <w:color w:val="auto"/>
          <w:sz w:val="24"/>
          <w:highlight w:val="none"/>
        </w:rPr>
        <w:t>27.4 对未成交者，采购人不做出解释，同时亦不退还谈判响应文件。</w:t>
      </w:r>
    </w:p>
    <w:p>
      <w:pPr>
        <w:pStyle w:val="4"/>
        <w:rPr>
          <w:rFonts w:ascii="宋体" w:hAnsi="宋体" w:cs="宋体"/>
          <w:color w:val="auto"/>
          <w:sz w:val="24"/>
          <w:szCs w:val="24"/>
          <w:highlight w:val="none"/>
        </w:rPr>
      </w:pPr>
      <w:bookmarkStart w:id="116" w:name="_Toc389620205"/>
      <w:bookmarkStart w:id="117" w:name="_Toc385992366"/>
      <w:bookmarkStart w:id="118" w:name="_Toc246928928"/>
      <w:bookmarkStart w:id="119" w:name="_Toc4188"/>
      <w:r>
        <w:rPr>
          <w:rFonts w:hint="eastAsia" w:ascii="宋体" w:hAnsi="宋体" w:cs="宋体"/>
          <w:color w:val="auto"/>
          <w:sz w:val="24"/>
          <w:szCs w:val="24"/>
          <w:highlight w:val="none"/>
        </w:rPr>
        <w:t>28 签订合同</w:t>
      </w:r>
      <w:bookmarkEnd w:id="116"/>
      <w:bookmarkEnd w:id="117"/>
      <w:bookmarkEnd w:id="118"/>
      <w:bookmarkEnd w:id="119"/>
    </w:p>
    <w:p>
      <w:pPr>
        <w:spacing w:line="360" w:lineRule="auto"/>
        <w:rPr>
          <w:rFonts w:ascii="宋体" w:hAnsi="宋体" w:cs="宋体"/>
          <w:color w:val="auto"/>
          <w:sz w:val="24"/>
          <w:highlight w:val="none"/>
        </w:rPr>
      </w:pPr>
      <w:r>
        <w:rPr>
          <w:rFonts w:hint="eastAsia" w:ascii="宋体" w:hAnsi="宋体" w:cs="宋体"/>
          <w:color w:val="auto"/>
          <w:sz w:val="24"/>
          <w:highlight w:val="none"/>
        </w:rPr>
        <w:t>28.1成交供应商应当自成交通知书发出之日起30日内，按照谈判文件确定的事项与采购人签订政府采购合同。</w:t>
      </w:r>
    </w:p>
    <w:p>
      <w:pPr>
        <w:spacing w:line="360" w:lineRule="auto"/>
        <w:rPr>
          <w:rFonts w:ascii="宋体" w:hAnsi="宋体" w:cs="宋体"/>
          <w:color w:val="auto"/>
          <w:sz w:val="24"/>
          <w:highlight w:val="none"/>
        </w:rPr>
      </w:pPr>
      <w:r>
        <w:rPr>
          <w:rFonts w:hint="eastAsia" w:ascii="宋体" w:hAnsi="宋体" w:cs="宋体"/>
          <w:color w:val="auto"/>
          <w:sz w:val="24"/>
          <w:highlight w:val="none"/>
        </w:rPr>
        <w:t>28.2 谈判文件、成交供应商的谈判响应文件和补充文件（如澄清、承诺等）等，均为签订合同的依据。所签订的合同不得对谈判文件和成交供应商谈判响应文件作实质性修改。</w:t>
      </w:r>
      <w:bookmarkStart w:id="120" w:name="_Toc389620207"/>
      <w:bookmarkStart w:id="121" w:name="_Toc385992368"/>
    </w:p>
    <w:p>
      <w:pPr>
        <w:pStyle w:val="4"/>
        <w:rPr>
          <w:rFonts w:ascii="宋体" w:hAnsi="宋体" w:cs="宋体"/>
          <w:color w:val="auto"/>
          <w:sz w:val="24"/>
          <w:szCs w:val="24"/>
          <w:highlight w:val="none"/>
        </w:rPr>
      </w:pPr>
      <w:bookmarkStart w:id="122" w:name="_Toc246928929"/>
      <w:bookmarkStart w:id="123" w:name="_Toc25305"/>
      <w:r>
        <w:rPr>
          <w:rFonts w:hint="eastAsia" w:ascii="宋体" w:hAnsi="宋体" w:cs="宋体"/>
          <w:color w:val="auto"/>
          <w:sz w:val="24"/>
          <w:szCs w:val="24"/>
          <w:highlight w:val="none"/>
        </w:rPr>
        <w:t>29 招标代理服务费</w:t>
      </w:r>
      <w:bookmarkEnd w:id="120"/>
      <w:bookmarkEnd w:id="121"/>
      <w:bookmarkEnd w:id="122"/>
      <w:bookmarkEnd w:id="123"/>
      <w:r>
        <w:rPr>
          <w:rFonts w:hint="eastAsia" w:ascii="宋体" w:hAnsi="宋体" w:cs="宋体"/>
          <w:color w:val="auto"/>
          <w:sz w:val="24"/>
          <w:szCs w:val="24"/>
          <w:highlight w:val="none"/>
        </w:rPr>
        <w:t xml:space="preserve"> </w:t>
      </w:r>
    </w:p>
    <w:p>
      <w:pPr>
        <w:spacing w:line="360" w:lineRule="auto"/>
        <w:rPr>
          <w:rFonts w:ascii="宋体" w:hAnsi="宋体" w:cs="宋体"/>
          <w:color w:val="auto"/>
          <w:sz w:val="24"/>
          <w:highlight w:val="none"/>
        </w:rPr>
      </w:pPr>
      <w:r>
        <w:rPr>
          <w:rFonts w:hint="eastAsia" w:ascii="宋体" w:hAnsi="宋体" w:cs="宋体"/>
          <w:bCs/>
          <w:color w:val="auto"/>
          <w:sz w:val="24"/>
          <w:highlight w:val="none"/>
        </w:rPr>
        <w:t>29.1</w:t>
      </w:r>
      <w:r>
        <w:rPr>
          <w:rFonts w:hint="eastAsia" w:ascii="宋体" w:hAnsi="宋体" w:cs="宋体"/>
          <w:color w:val="auto"/>
          <w:sz w:val="24"/>
          <w:highlight w:val="none"/>
        </w:rPr>
        <w:t>代理服务费按约定详见谈判须知前附表。</w:t>
      </w:r>
    </w:p>
    <w:p>
      <w:pPr>
        <w:spacing w:line="360" w:lineRule="auto"/>
        <w:rPr>
          <w:rFonts w:ascii="宋体" w:hAnsi="宋体" w:cs="宋体"/>
          <w:bCs/>
          <w:color w:val="auto"/>
          <w:sz w:val="24"/>
          <w:highlight w:val="none"/>
        </w:rPr>
      </w:pPr>
      <w:r>
        <w:rPr>
          <w:rFonts w:hint="eastAsia" w:ascii="宋体" w:hAnsi="宋体" w:cs="宋体"/>
          <w:bCs/>
          <w:color w:val="auto"/>
          <w:sz w:val="24"/>
          <w:highlight w:val="none"/>
        </w:rPr>
        <w:t>29.2 招标代理服务费的交纳方式：在领取成交通知书时按29.1的规定，向采购代理机构直接交纳服务费，采用现金或银行转账方式一次性交纳。</w:t>
      </w:r>
    </w:p>
    <w:p>
      <w:pPr>
        <w:pStyle w:val="4"/>
        <w:jc w:val="left"/>
        <w:rPr>
          <w:rFonts w:ascii="宋体" w:hAnsi="宋体" w:cs="宋体"/>
          <w:color w:val="auto"/>
          <w:sz w:val="24"/>
          <w:szCs w:val="24"/>
          <w:highlight w:val="none"/>
        </w:rPr>
      </w:pPr>
      <w:bookmarkStart w:id="124" w:name="_Toc25238"/>
      <w:r>
        <w:rPr>
          <w:rFonts w:hint="eastAsia" w:ascii="宋体" w:hAnsi="宋体" w:cs="宋体"/>
          <w:color w:val="auto"/>
          <w:sz w:val="24"/>
          <w:szCs w:val="24"/>
          <w:highlight w:val="none"/>
        </w:rPr>
        <w:t>30 其他</w:t>
      </w:r>
      <w:bookmarkEnd w:id="124"/>
    </w:p>
    <w:p>
      <w:pPr>
        <w:spacing w:line="360" w:lineRule="auto"/>
        <w:rPr>
          <w:rFonts w:ascii="宋体" w:hAnsi="宋体" w:cs="宋体"/>
          <w:color w:val="auto"/>
          <w:sz w:val="24"/>
          <w:highlight w:val="none"/>
        </w:rPr>
      </w:pPr>
      <w:r>
        <w:rPr>
          <w:rFonts w:hint="eastAsia" w:ascii="宋体" w:hAnsi="宋体" w:cs="宋体"/>
          <w:color w:val="auto"/>
          <w:sz w:val="24"/>
          <w:highlight w:val="none"/>
        </w:rPr>
        <w:t>30.1开标后，如果供应商的报价超过了采购预算，采购人不能支付的，应予无效投标处理。如果供应商的报价均超过了采购预算，采购人不能支付的，根据《中华人民共和国政府采购法》的规定，应予废标。废标后，报告同级人民政府财政部门同意，重新组织招标或采用其他方式继续采购。</w:t>
      </w:r>
    </w:p>
    <w:p>
      <w:pPr>
        <w:spacing w:line="360" w:lineRule="auto"/>
        <w:rPr>
          <w:rFonts w:ascii="宋体" w:hAnsi="宋体" w:cs="宋体"/>
          <w:color w:val="auto"/>
          <w:sz w:val="24"/>
          <w:highlight w:val="none"/>
        </w:rPr>
      </w:pPr>
      <w:r>
        <w:rPr>
          <w:rFonts w:hint="eastAsia" w:ascii="宋体" w:hAnsi="宋体" w:cs="宋体"/>
          <w:color w:val="auto"/>
          <w:sz w:val="24"/>
          <w:highlight w:val="none"/>
        </w:rPr>
        <w:t>30.2响应文件递交截止时间结束后，参加投标的供应商不足三家，或在评标期间，出现符合专业条件的供应商或者对竞争性谈判文件做出实质性响应的供应商不足三家情形的，</w:t>
      </w:r>
      <w:r>
        <w:rPr>
          <w:rFonts w:hint="eastAsia" w:ascii="宋体" w:hAnsi="宋体" w:cs="宋体"/>
          <w:color w:val="auto"/>
          <w:sz w:val="24"/>
          <w:szCs w:val="24"/>
          <w:highlight w:val="none"/>
        </w:rPr>
        <w:t>按照中华人民共和国财政部第87号令--《政府采购货物和服务招标投标管理办法》</w:t>
      </w:r>
      <w:r>
        <w:rPr>
          <w:rFonts w:hint="eastAsia" w:ascii="宋体" w:hAnsi="宋体" w:cs="宋体"/>
          <w:color w:val="auto"/>
          <w:sz w:val="24"/>
          <w:highlight w:val="none"/>
        </w:rPr>
        <w:t>的规定，报告设区的市、自治州以上人民政府财政部门，由财政部门按照相关原则，做出重新组织招标或采取其他方式继续采购的决定。</w:t>
      </w:r>
    </w:p>
    <w:p>
      <w:pPr>
        <w:spacing w:line="360" w:lineRule="auto"/>
        <w:ind w:left="372" w:leftChars="177" w:firstLine="496" w:firstLineChars="200"/>
        <w:rPr>
          <w:rFonts w:ascii="宋体" w:hAnsi="宋体" w:cs="宋体"/>
          <w:color w:val="auto"/>
          <w:spacing w:val="4"/>
          <w:sz w:val="24"/>
          <w:szCs w:val="22"/>
          <w:highlight w:val="none"/>
        </w:rPr>
      </w:pPr>
      <w:r>
        <w:rPr>
          <w:rFonts w:hint="eastAsia" w:ascii="宋体" w:hAnsi="宋体" w:cs="宋体"/>
          <w:color w:val="auto"/>
          <w:spacing w:val="4"/>
          <w:sz w:val="24"/>
          <w:highlight w:val="none"/>
        </w:rPr>
        <w:t>响应文件经审查合格的</w:t>
      </w:r>
      <w:r>
        <w:rPr>
          <w:rFonts w:hint="eastAsia" w:ascii="宋体" w:hAnsi="宋体" w:cs="宋体"/>
          <w:color w:val="auto"/>
          <w:sz w:val="24"/>
          <w:szCs w:val="24"/>
          <w:highlight w:val="none"/>
        </w:rPr>
        <w:t>，为有效投标。对于所有有效投标按照以下规则进行评标价的确定。（专门面向中小企业采购的项目将不再进行如下价格优惠调整）</w:t>
      </w:r>
    </w:p>
    <w:p>
      <w:pPr>
        <w:spacing w:line="360" w:lineRule="auto"/>
        <w:ind w:left="1267" w:leftChars="249" w:hanging="744" w:hangingChars="300"/>
        <w:rPr>
          <w:rFonts w:ascii="宋体" w:hAnsi="宋体" w:cs="宋体"/>
          <w:color w:val="auto"/>
          <w:spacing w:val="4"/>
          <w:sz w:val="24"/>
          <w:highlight w:val="none"/>
        </w:rPr>
      </w:pPr>
      <w:r>
        <w:rPr>
          <w:rFonts w:hint="eastAsia" w:ascii="宋体" w:hAnsi="宋体" w:cs="宋体"/>
          <w:color w:val="auto"/>
          <w:spacing w:val="4"/>
          <w:sz w:val="24"/>
          <w:highlight w:val="none"/>
        </w:rPr>
        <w:t>1.对于符合政策性优惠的，其评标价按照以下规则进行计算调整。</w:t>
      </w:r>
    </w:p>
    <w:p>
      <w:pPr>
        <w:spacing w:line="360" w:lineRule="auto"/>
        <w:ind w:left="1267" w:leftChars="249" w:hanging="744" w:hangingChars="300"/>
        <w:rPr>
          <w:rFonts w:ascii="宋体" w:hAnsi="宋体" w:cs="宋体"/>
          <w:color w:val="auto"/>
          <w:spacing w:val="4"/>
          <w:sz w:val="24"/>
          <w:highlight w:val="none"/>
        </w:rPr>
      </w:pPr>
      <w:r>
        <w:rPr>
          <w:rFonts w:hint="eastAsia" w:ascii="宋体" w:hAnsi="宋体" w:cs="宋体"/>
          <w:color w:val="auto"/>
          <w:spacing w:val="4"/>
          <w:sz w:val="24"/>
          <w:highlight w:val="none"/>
        </w:rPr>
        <w:t>1.1对于经主管预算单位统筹后未预留份额专门面向中小企业采购的采购项目，以及预留份额项目中的非预留部分采购包：</w:t>
      </w:r>
    </w:p>
    <w:p>
      <w:pPr>
        <w:spacing w:line="360" w:lineRule="auto"/>
        <w:ind w:left="1391" w:leftChars="249" w:hanging="868" w:hangingChars="350"/>
        <w:rPr>
          <w:rFonts w:ascii="宋体" w:hAnsi="宋体" w:cs="宋体"/>
          <w:color w:val="auto"/>
          <w:spacing w:val="4"/>
          <w:sz w:val="24"/>
          <w:szCs w:val="22"/>
          <w:highlight w:val="none"/>
        </w:rPr>
      </w:pPr>
      <w:r>
        <w:rPr>
          <w:rFonts w:hint="eastAsia" w:ascii="宋体" w:hAnsi="宋体" w:cs="宋体"/>
          <w:color w:val="auto"/>
          <w:spacing w:val="4"/>
          <w:sz w:val="24"/>
          <w:szCs w:val="22"/>
          <w:highlight w:val="none"/>
        </w:rPr>
        <w:t>1.1.1供应商为小微企业或小微企业联合投标的情况：其评标价=谈判报价*（1-10%）；</w:t>
      </w:r>
    </w:p>
    <w:p>
      <w:pPr>
        <w:spacing w:line="360" w:lineRule="auto"/>
        <w:ind w:left="1391" w:leftChars="249" w:hanging="868" w:hangingChars="350"/>
        <w:rPr>
          <w:rFonts w:ascii="宋体" w:hAnsi="宋体" w:cs="宋体"/>
          <w:color w:val="auto"/>
          <w:spacing w:val="4"/>
          <w:sz w:val="24"/>
          <w:highlight w:val="none"/>
        </w:rPr>
      </w:pPr>
      <w:r>
        <w:rPr>
          <w:rFonts w:hint="eastAsia" w:ascii="宋体" w:hAnsi="宋体" w:cs="宋体"/>
          <w:color w:val="auto"/>
          <w:spacing w:val="4"/>
          <w:sz w:val="24"/>
          <w:highlight w:val="none"/>
        </w:rPr>
        <w:t>1.1.2监狱企业、福利企业投标时视同为小微企业</w:t>
      </w:r>
      <w:r>
        <w:rPr>
          <w:rFonts w:hint="eastAsia" w:ascii="宋体" w:hAnsi="宋体" w:cs="宋体"/>
          <w:color w:val="auto"/>
          <w:spacing w:val="4"/>
          <w:sz w:val="24"/>
          <w:szCs w:val="22"/>
          <w:highlight w:val="none"/>
        </w:rPr>
        <w:t>；</w:t>
      </w:r>
    </w:p>
    <w:p>
      <w:pPr>
        <w:spacing w:line="360" w:lineRule="auto"/>
        <w:ind w:left="1391" w:leftChars="249" w:hanging="868" w:hangingChars="350"/>
        <w:rPr>
          <w:rFonts w:ascii="宋体" w:hAnsi="宋体" w:cs="宋体"/>
          <w:color w:val="auto"/>
          <w:spacing w:val="4"/>
          <w:sz w:val="24"/>
          <w:highlight w:val="none"/>
        </w:rPr>
      </w:pPr>
      <w:r>
        <w:rPr>
          <w:rFonts w:hint="eastAsia" w:ascii="宋体" w:hAnsi="宋体" w:cs="宋体"/>
          <w:color w:val="auto"/>
          <w:spacing w:val="4"/>
          <w:sz w:val="24"/>
          <w:highlight w:val="none"/>
        </w:rPr>
        <w:t>1.1.3接受大中型企业与小微企业组成联合体或者允许大中型企业向一家或者多家小微企业分包的采购项目，对于联合协议或者分包意向协议约定小微企业的合同份额占到合同 总金额 30%以上的，采购人、采购代理机构应当对联合体或者大中型企业的报价给予 4%（工程项目为 2%）的扣除，用扣除后的价格参加评审。</w:t>
      </w:r>
    </w:p>
    <w:p>
      <w:pPr>
        <w:spacing w:line="360" w:lineRule="auto"/>
        <w:ind w:left="1391" w:leftChars="249" w:hanging="868" w:hangingChars="350"/>
        <w:rPr>
          <w:rFonts w:ascii="宋体" w:hAnsi="宋体" w:cs="宋体"/>
          <w:color w:val="auto"/>
          <w:spacing w:val="4"/>
          <w:sz w:val="24"/>
          <w:szCs w:val="22"/>
          <w:highlight w:val="none"/>
        </w:rPr>
      </w:pPr>
      <w:r>
        <w:rPr>
          <w:rFonts w:hint="eastAsia" w:ascii="宋体" w:hAnsi="宋体" w:cs="宋体"/>
          <w:color w:val="auto"/>
          <w:spacing w:val="4"/>
          <w:sz w:val="24"/>
          <w:szCs w:val="22"/>
          <w:highlight w:val="none"/>
        </w:rPr>
        <w:t>1.1.4投标服务涉及提供的所有投标产品进入 “节能产品政府采购清单” （且产品的国家节能产品认证证书在有效期内）的，其评标价=谈判报价*（1-3%）；（不是所有投标产品的不享受此项优惠）</w:t>
      </w:r>
    </w:p>
    <w:p>
      <w:pPr>
        <w:spacing w:line="360" w:lineRule="auto"/>
        <w:ind w:left="1391" w:leftChars="249" w:hanging="868" w:hangingChars="350"/>
        <w:rPr>
          <w:rFonts w:ascii="宋体" w:hAnsi="宋体" w:cs="宋体"/>
          <w:color w:val="auto"/>
          <w:spacing w:val="4"/>
          <w:sz w:val="24"/>
          <w:szCs w:val="22"/>
          <w:highlight w:val="none"/>
        </w:rPr>
      </w:pPr>
      <w:r>
        <w:rPr>
          <w:rFonts w:hint="eastAsia" w:ascii="宋体" w:hAnsi="宋体" w:cs="宋体"/>
          <w:color w:val="auto"/>
          <w:spacing w:val="4"/>
          <w:sz w:val="24"/>
          <w:szCs w:val="22"/>
          <w:highlight w:val="none"/>
        </w:rPr>
        <w:t xml:space="preserve">1.1.5投标服务涉及提供的所有投标产品进入“环境标志产品政府采购清单”（且产品的中国环境标志产品认证证书在有效期内）的，其评标价=谈判报价*（1-3%）；（不是所有投标产品的不享受此项优惠）    </w:t>
      </w:r>
    </w:p>
    <w:p>
      <w:pPr>
        <w:spacing w:line="360" w:lineRule="auto"/>
        <w:ind w:firstLine="495"/>
        <w:rPr>
          <w:rFonts w:ascii="宋体" w:hAnsi="宋体" w:cs="宋体"/>
          <w:color w:val="auto"/>
          <w:spacing w:val="4"/>
          <w:sz w:val="24"/>
          <w:highlight w:val="none"/>
        </w:rPr>
      </w:pPr>
      <w:r>
        <w:rPr>
          <w:rFonts w:hint="eastAsia" w:ascii="宋体" w:hAnsi="宋体" w:cs="宋体"/>
          <w:color w:val="auto"/>
          <w:spacing w:val="4"/>
          <w:sz w:val="24"/>
          <w:highlight w:val="none"/>
        </w:rPr>
        <w:t>2.确认为小微企业（含小型、微型企业，下同）投标的，应当同时符合以下条件：</w:t>
      </w:r>
    </w:p>
    <w:p>
      <w:pPr>
        <w:spacing w:line="360" w:lineRule="auto"/>
        <w:ind w:left="1143" w:leftChars="249" w:hanging="620" w:hangingChars="250"/>
        <w:rPr>
          <w:rFonts w:ascii="宋体" w:hAnsi="宋体" w:cs="宋体"/>
          <w:color w:val="auto"/>
          <w:spacing w:val="4"/>
          <w:sz w:val="24"/>
          <w:highlight w:val="none"/>
        </w:rPr>
      </w:pPr>
      <w:r>
        <w:rPr>
          <w:rFonts w:hint="eastAsia" w:ascii="宋体" w:hAnsi="宋体" w:cs="宋体"/>
          <w:color w:val="auto"/>
          <w:spacing w:val="4"/>
          <w:sz w:val="24"/>
          <w:highlight w:val="none"/>
        </w:rPr>
        <w:t>2.1符合国务院有关部门根据企业从业人员、营业收入、资产总额等指标制定的中小企业划型标准（工信部联企业〔2011〕300号）；</w:t>
      </w:r>
    </w:p>
    <w:p>
      <w:pPr>
        <w:spacing w:line="360" w:lineRule="auto"/>
        <w:ind w:left="1143" w:leftChars="249" w:hanging="620" w:hangingChars="250"/>
        <w:rPr>
          <w:rFonts w:ascii="宋体" w:hAnsi="宋体" w:cs="宋体"/>
          <w:color w:val="auto"/>
          <w:spacing w:val="4"/>
          <w:sz w:val="24"/>
          <w:highlight w:val="none"/>
        </w:rPr>
      </w:pPr>
      <w:r>
        <w:rPr>
          <w:rFonts w:hint="eastAsia" w:ascii="宋体" w:hAnsi="宋体" w:cs="宋体"/>
          <w:color w:val="auto"/>
          <w:spacing w:val="4"/>
          <w:sz w:val="24"/>
          <w:highlight w:val="none"/>
        </w:rPr>
        <w:t>2.2符合财政部关于印发《政府采购促进中小企业发展管理办法》的通知（财库【2020】46号）；</w:t>
      </w:r>
    </w:p>
    <w:p>
      <w:pPr>
        <w:spacing w:line="360" w:lineRule="auto"/>
        <w:ind w:left="1143" w:leftChars="249" w:hanging="620" w:hangingChars="250"/>
        <w:rPr>
          <w:rFonts w:ascii="宋体" w:hAnsi="宋体" w:cs="宋体"/>
          <w:color w:val="auto"/>
          <w:spacing w:val="4"/>
          <w:sz w:val="24"/>
          <w:highlight w:val="none"/>
        </w:rPr>
      </w:pPr>
      <w:r>
        <w:rPr>
          <w:rFonts w:hint="eastAsia" w:ascii="宋体" w:hAnsi="宋体" w:cs="宋体"/>
          <w:color w:val="auto"/>
          <w:spacing w:val="4"/>
          <w:sz w:val="24"/>
          <w:highlight w:val="none"/>
        </w:rPr>
        <w:t>2.2.1在货物采购项目中，货物由中小企业制造，即货物由中小企业生产且使用该中小企业商号或者注册商标；</w:t>
      </w:r>
    </w:p>
    <w:p>
      <w:pPr>
        <w:spacing w:line="360" w:lineRule="auto"/>
        <w:ind w:left="1143" w:leftChars="249" w:hanging="620" w:hangingChars="250"/>
        <w:rPr>
          <w:rFonts w:ascii="宋体" w:hAnsi="宋体" w:cs="宋体"/>
          <w:color w:val="auto"/>
          <w:spacing w:val="4"/>
          <w:sz w:val="24"/>
          <w:highlight w:val="none"/>
        </w:rPr>
      </w:pPr>
      <w:r>
        <w:rPr>
          <w:rFonts w:hint="eastAsia" w:ascii="宋体" w:hAnsi="宋体" w:cs="宋体"/>
          <w:color w:val="auto"/>
          <w:spacing w:val="4"/>
          <w:sz w:val="24"/>
          <w:highlight w:val="none"/>
        </w:rPr>
        <w:t>2.2.2在工程采购项目中，工程由中小企业承接，即工程施工单位为中小企业；</w:t>
      </w:r>
    </w:p>
    <w:p>
      <w:pPr>
        <w:spacing w:line="360" w:lineRule="auto"/>
        <w:ind w:left="1143" w:leftChars="249" w:hanging="620" w:hangingChars="250"/>
        <w:rPr>
          <w:rFonts w:ascii="宋体" w:hAnsi="宋体" w:cs="宋体"/>
          <w:color w:val="auto"/>
          <w:spacing w:val="4"/>
          <w:sz w:val="24"/>
          <w:highlight w:val="none"/>
        </w:rPr>
      </w:pPr>
      <w:r>
        <w:rPr>
          <w:rFonts w:hint="eastAsia" w:ascii="宋体" w:hAnsi="宋体" w:cs="宋体"/>
          <w:color w:val="auto"/>
          <w:spacing w:val="4"/>
          <w:sz w:val="24"/>
          <w:highlight w:val="none"/>
        </w:rPr>
        <w:t>2.2.3在服务采购项目中，服务由中小企业承接，即提供服务的人员为中小企业依照《中华人民共和国劳动合同法》订立劳动合同的从业人员。</w:t>
      </w:r>
    </w:p>
    <w:p>
      <w:pPr>
        <w:spacing w:line="360" w:lineRule="auto"/>
        <w:ind w:left="1143" w:leftChars="249" w:hanging="620" w:hangingChars="250"/>
        <w:rPr>
          <w:rFonts w:ascii="宋体" w:hAnsi="宋体" w:cs="宋体"/>
          <w:color w:val="auto"/>
          <w:spacing w:val="4"/>
          <w:sz w:val="24"/>
          <w:highlight w:val="none"/>
        </w:rPr>
      </w:pPr>
      <w:r>
        <w:rPr>
          <w:rFonts w:hint="eastAsia" w:ascii="宋体" w:hAnsi="宋体" w:cs="宋体"/>
          <w:color w:val="auto"/>
          <w:spacing w:val="4"/>
          <w:sz w:val="24"/>
          <w:highlight w:val="none"/>
        </w:rPr>
        <w:t>2.3在货物采购项目中，供应商提供的货物既有中小企业制造货物，也有大型企业制造货物的，不享受本项目列明的中小企业扶持政策。</w:t>
      </w:r>
    </w:p>
    <w:p>
      <w:pPr>
        <w:spacing w:line="360" w:lineRule="auto"/>
        <w:ind w:left="1143" w:leftChars="249" w:hanging="620" w:hangingChars="250"/>
        <w:rPr>
          <w:rFonts w:ascii="宋体" w:hAnsi="宋体" w:cs="宋体"/>
          <w:color w:val="auto"/>
          <w:spacing w:val="4"/>
          <w:sz w:val="24"/>
          <w:highlight w:val="none"/>
        </w:rPr>
      </w:pPr>
      <w:r>
        <w:rPr>
          <w:rFonts w:hint="eastAsia" w:ascii="宋体" w:hAnsi="宋体" w:cs="宋体"/>
          <w:color w:val="auto"/>
          <w:spacing w:val="4"/>
          <w:sz w:val="24"/>
          <w:highlight w:val="none"/>
        </w:rPr>
        <w:t>2.4以联合体形式参加政府采购活动，联合体各方均为中小企业的，联合体视同中小企业。其中联合体各方均为小微企业的，联合体视同小微企业。</w:t>
      </w:r>
    </w:p>
    <w:p>
      <w:pPr>
        <w:spacing w:line="360" w:lineRule="auto"/>
        <w:ind w:left="1143" w:leftChars="249" w:hanging="620" w:hangingChars="250"/>
        <w:rPr>
          <w:rFonts w:ascii="宋体" w:hAnsi="宋体" w:cs="宋体"/>
          <w:color w:val="auto"/>
          <w:spacing w:val="4"/>
          <w:sz w:val="24"/>
          <w:highlight w:val="none"/>
        </w:rPr>
      </w:pPr>
      <w:r>
        <w:rPr>
          <w:rFonts w:hint="eastAsia" w:ascii="宋体" w:hAnsi="宋体" w:cs="宋体"/>
          <w:color w:val="auto"/>
          <w:spacing w:val="4"/>
          <w:sz w:val="24"/>
          <w:highlight w:val="none"/>
        </w:rPr>
        <w:t>2.5投标时须</w:t>
      </w:r>
      <w:r>
        <w:rPr>
          <w:rFonts w:hint="eastAsia" w:ascii="宋体" w:hAnsi="宋体" w:cs="宋体"/>
          <w:color w:val="auto"/>
          <w:sz w:val="24"/>
          <w:szCs w:val="24"/>
          <w:highlight w:val="none"/>
        </w:rPr>
        <w:t>提供“中小企业声明函”（中标单位如为小微企业并填写声明函，代理机构将在《陕西省政府采购网》发布中标公告时同步公告声明函相关信息）。</w:t>
      </w:r>
    </w:p>
    <w:p>
      <w:pPr>
        <w:spacing w:line="360" w:lineRule="auto"/>
        <w:ind w:left="1019" w:leftChars="249" w:hanging="496" w:hangingChars="200"/>
        <w:rPr>
          <w:rFonts w:ascii="宋体" w:hAnsi="宋体" w:cs="宋体"/>
          <w:color w:val="auto"/>
          <w:spacing w:val="4"/>
          <w:sz w:val="24"/>
          <w:highlight w:val="none"/>
        </w:rPr>
      </w:pPr>
      <w:r>
        <w:rPr>
          <w:rFonts w:hint="eastAsia" w:ascii="宋体" w:hAnsi="宋体" w:cs="宋体"/>
          <w:color w:val="auto"/>
          <w:spacing w:val="4"/>
          <w:sz w:val="24"/>
          <w:highlight w:val="none"/>
        </w:rPr>
        <w:t>3.确认为监狱企业投标的，应当同时符合以下条件：</w:t>
      </w:r>
    </w:p>
    <w:p>
      <w:pPr>
        <w:spacing w:line="360" w:lineRule="auto"/>
        <w:ind w:left="1019" w:leftChars="249" w:hanging="496" w:hangingChars="200"/>
        <w:rPr>
          <w:rFonts w:ascii="宋体" w:hAnsi="宋体" w:cs="宋体"/>
          <w:color w:val="auto"/>
          <w:spacing w:val="4"/>
          <w:sz w:val="24"/>
          <w:highlight w:val="none"/>
        </w:rPr>
      </w:pPr>
      <w:r>
        <w:rPr>
          <w:rFonts w:hint="eastAsia" w:ascii="宋体" w:hAnsi="宋体" w:cs="宋体"/>
          <w:color w:val="auto"/>
          <w:spacing w:val="4"/>
          <w:sz w:val="24"/>
          <w:highlight w:val="none"/>
        </w:rPr>
        <w:t>3.1符合</w:t>
      </w:r>
      <w:r>
        <w:rPr>
          <w:rFonts w:hint="eastAsia" w:ascii="宋体" w:hAnsi="宋体" w:cs="宋体"/>
          <w:color w:val="auto"/>
          <w:sz w:val="24"/>
          <w:szCs w:val="24"/>
          <w:highlight w:val="none"/>
        </w:rPr>
        <w:t>（财库[2014]68号）文件规定的</w:t>
      </w:r>
      <w:r>
        <w:rPr>
          <w:rFonts w:hint="eastAsia" w:ascii="宋体" w:hAnsi="宋体" w:cs="宋体"/>
          <w:color w:val="auto"/>
          <w:spacing w:val="4"/>
          <w:sz w:val="24"/>
          <w:highlight w:val="none"/>
        </w:rPr>
        <w:t>监狱企业，提供本企业的服务。</w:t>
      </w:r>
    </w:p>
    <w:p>
      <w:pPr>
        <w:spacing w:line="360" w:lineRule="auto"/>
        <w:ind w:left="1019" w:leftChars="249" w:hanging="496" w:hangingChars="200"/>
        <w:rPr>
          <w:rFonts w:ascii="宋体" w:hAnsi="宋体" w:cs="宋体"/>
          <w:color w:val="auto"/>
          <w:spacing w:val="4"/>
          <w:sz w:val="24"/>
          <w:highlight w:val="none"/>
        </w:rPr>
      </w:pPr>
      <w:r>
        <w:rPr>
          <w:rFonts w:hint="eastAsia" w:ascii="宋体" w:hAnsi="宋体" w:cs="宋体"/>
          <w:color w:val="auto"/>
          <w:spacing w:val="4"/>
          <w:sz w:val="24"/>
          <w:highlight w:val="none"/>
        </w:rPr>
        <w:t>3.2投标时须提供由省级以上监狱管理局、戒毒管理局（含新疆生产建设兵团）出具的属于监狱企业的证明文件。</w:t>
      </w:r>
    </w:p>
    <w:p>
      <w:pPr>
        <w:spacing w:line="360" w:lineRule="auto"/>
        <w:ind w:left="1019" w:leftChars="249" w:hanging="496" w:hangingChars="200"/>
        <w:rPr>
          <w:rFonts w:ascii="宋体" w:hAnsi="宋体" w:cs="宋体"/>
          <w:color w:val="auto"/>
          <w:spacing w:val="4"/>
          <w:sz w:val="24"/>
          <w:highlight w:val="none"/>
        </w:rPr>
      </w:pPr>
      <w:r>
        <w:rPr>
          <w:rFonts w:hint="eastAsia" w:ascii="宋体" w:hAnsi="宋体" w:cs="宋体"/>
          <w:color w:val="auto"/>
          <w:spacing w:val="4"/>
          <w:sz w:val="24"/>
          <w:highlight w:val="none"/>
        </w:rPr>
        <w:t>4.确认为残疾人福利性单位投标的，应当同时符合以下条件：</w:t>
      </w:r>
    </w:p>
    <w:p>
      <w:pPr>
        <w:spacing w:line="360" w:lineRule="auto"/>
        <w:ind w:left="1019" w:leftChars="249" w:hanging="496" w:hangingChars="200"/>
        <w:rPr>
          <w:rFonts w:ascii="宋体" w:hAnsi="宋体" w:cs="宋体"/>
          <w:color w:val="auto"/>
          <w:spacing w:val="4"/>
          <w:sz w:val="24"/>
          <w:highlight w:val="none"/>
        </w:rPr>
      </w:pPr>
      <w:r>
        <w:rPr>
          <w:rFonts w:hint="eastAsia" w:ascii="宋体" w:hAnsi="宋体" w:cs="宋体"/>
          <w:color w:val="auto"/>
          <w:spacing w:val="4"/>
          <w:sz w:val="24"/>
          <w:highlight w:val="none"/>
        </w:rPr>
        <w:t>4.1符合（财库[2017]141号）文件规定的残疾人福利性单位，提供本单位的服务（以下简称产品），或者提供其他残疾人福利性单位承担的服务（不包括使用非残疾人福利性单位注册商标的服务）.</w:t>
      </w:r>
    </w:p>
    <w:p>
      <w:pPr>
        <w:spacing w:line="360" w:lineRule="auto"/>
        <w:ind w:left="1019" w:leftChars="249" w:hanging="496" w:hangingChars="200"/>
        <w:rPr>
          <w:rFonts w:ascii="宋体" w:hAnsi="宋体" w:cs="宋体"/>
          <w:color w:val="auto"/>
          <w:spacing w:val="4"/>
          <w:sz w:val="24"/>
          <w:highlight w:val="none"/>
        </w:rPr>
      </w:pPr>
      <w:r>
        <w:rPr>
          <w:rFonts w:hint="eastAsia" w:ascii="宋体" w:hAnsi="宋体" w:cs="宋体"/>
          <w:color w:val="auto"/>
          <w:spacing w:val="4"/>
          <w:sz w:val="24"/>
          <w:highlight w:val="none"/>
        </w:rPr>
        <w:t>4.2投标时须提供《残疾人福利性单位声明函》，并对声明的真实性负责。</w:t>
      </w:r>
    </w:p>
    <w:p>
      <w:pPr>
        <w:spacing w:line="360" w:lineRule="auto"/>
        <w:ind w:left="1019" w:leftChars="249" w:hanging="496" w:hangingChars="200"/>
        <w:rPr>
          <w:rFonts w:ascii="宋体" w:hAnsi="宋体" w:cs="宋体"/>
          <w:color w:val="auto"/>
          <w:spacing w:val="4"/>
          <w:sz w:val="24"/>
          <w:highlight w:val="none"/>
        </w:rPr>
      </w:pPr>
      <w:r>
        <w:rPr>
          <w:rFonts w:hint="eastAsia" w:ascii="宋体" w:hAnsi="宋体" w:cs="宋体"/>
          <w:color w:val="auto"/>
          <w:spacing w:val="4"/>
          <w:sz w:val="24"/>
          <w:highlight w:val="none"/>
        </w:rPr>
        <w:t>4.3供应商提供的《残疾人福利性单位声明函》与事实不符的，依照《政府采购法》第七十七条第一款的规定追究法律责任。</w:t>
      </w:r>
    </w:p>
    <w:p>
      <w:pPr>
        <w:shd w:val="clear" w:color="auto" w:fill="FFFFFF"/>
        <w:spacing w:line="360" w:lineRule="auto"/>
        <w:ind w:left="1019" w:leftChars="249" w:hanging="496" w:hangingChars="200"/>
        <w:rPr>
          <w:rFonts w:ascii="宋体" w:hAnsi="宋体" w:cs="宋体"/>
          <w:color w:val="auto"/>
          <w:spacing w:val="4"/>
          <w:sz w:val="24"/>
          <w:highlight w:val="none"/>
          <w:shd w:val="clear" w:color="auto" w:fill="FFFFFF"/>
        </w:rPr>
      </w:pPr>
      <w:r>
        <w:rPr>
          <w:rFonts w:hint="eastAsia" w:ascii="宋体" w:hAnsi="宋体" w:cs="宋体"/>
          <w:color w:val="auto"/>
          <w:spacing w:val="4"/>
          <w:sz w:val="24"/>
          <w:highlight w:val="none"/>
          <w:shd w:val="clear" w:color="auto" w:fill="FFFFFF"/>
        </w:rPr>
        <w:t>5. 符合（财库[2019]27号）文件规定的投标产品或供应商：</w:t>
      </w:r>
    </w:p>
    <w:p>
      <w:pPr>
        <w:shd w:val="clear" w:color="auto" w:fill="FFFFFF"/>
        <w:spacing w:line="360" w:lineRule="auto"/>
        <w:ind w:left="1019" w:leftChars="249" w:hanging="496" w:hangingChars="200"/>
        <w:rPr>
          <w:rFonts w:ascii="宋体" w:hAnsi="宋体" w:cs="宋体"/>
          <w:color w:val="auto"/>
          <w:spacing w:val="4"/>
          <w:sz w:val="24"/>
          <w:highlight w:val="none"/>
          <w:shd w:val="clear" w:color="auto" w:fill="FFFFFF"/>
        </w:rPr>
      </w:pPr>
      <w:r>
        <w:rPr>
          <w:rFonts w:hint="eastAsia" w:ascii="宋体" w:hAnsi="宋体" w:cs="宋体"/>
          <w:color w:val="auto"/>
          <w:spacing w:val="4"/>
          <w:sz w:val="24"/>
          <w:highlight w:val="none"/>
          <w:shd w:val="clear" w:color="auto" w:fill="FFFFFF"/>
        </w:rPr>
        <w:t>5.1投标产品为贫困地区农副产品的评标价计算规则：其评标价=谈判报价*（1-5%）；</w:t>
      </w:r>
    </w:p>
    <w:p>
      <w:pPr>
        <w:shd w:val="clear" w:color="auto" w:fill="FFFFFF"/>
        <w:spacing w:line="360" w:lineRule="auto"/>
        <w:ind w:left="1019" w:leftChars="249" w:hanging="496" w:hangingChars="200"/>
        <w:rPr>
          <w:rFonts w:ascii="宋体" w:hAnsi="宋体" w:cs="宋体"/>
          <w:color w:val="auto"/>
          <w:spacing w:val="4"/>
          <w:sz w:val="24"/>
          <w:highlight w:val="none"/>
          <w:shd w:val="clear" w:color="auto" w:fill="FFFFFF"/>
        </w:rPr>
      </w:pPr>
      <w:r>
        <w:rPr>
          <w:rFonts w:hint="eastAsia" w:ascii="宋体" w:hAnsi="宋体" w:cs="宋体"/>
          <w:color w:val="auto"/>
          <w:spacing w:val="4"/>
          <w:sz w:val="24"/>
          <w:highlight w:val="none"/>
          <w:shd w:val="clear" w:color="auto" w:fill="FFFFFF"/>
        </w:rPr>
        <w:t>5.1.1贫困地区农副产品是指832个国家级贫困县域内注册的企业、农民专业合作社、家庭农场等出产的农副产品。</w:t>
      </w:r>
    </w:p>
    <w:p>
      <w:pPr>
        <w:spacing w:line="360" w:lineRule="auto"/>
        <w:ind w:left="1019" w:leftChars="249" w:hanging="496" w:hangingChars="200"/>
        <w:rPr>
          <w:rFonts w:ascii="宋体" w:hAnsi="宋体" w:cs="宋体"/>
          <w:color w:val="auto"/>
          <w:spacing w:val="4"/>
          <w:sz w:val="24"/>
          <w:szCs w:val="22"/>
          <w:highlight w:val="none"/>
        </w:rPr>
      </w:pPr>
      <w:r>
        <w:rPr>
          <w:rFonts w:hint="eastAsia" w:ascii="宋体" w:hAnsi="宋体" w:cs="宋体"/>
          <w:color w:val="auto"/>
          <w:spacing w:val="4"/>
          <w:sz w:val="24"/>
          <w:highlight w:val="none"/>
          <w:shd w:val="clear" w:color="auto" w:fill="FFFFFF"/>
        </w:rPr>
        <w:t>5.2供应商</w:t>
      </w:r>
      <w:r>
        <w:rPr>
          <w:rFonts w:hint="eastAsia" w:ascii="宋体" w:hAnsi="宋体" w:cs="宋体"/>
          <w:color w:val="auto"/>
          <w:spacing w:val="4"/>
          <w:sz w:val="24"/>
          <w:szCs w:val="22"/>
          <w:highlight w:val="none"/>
        </w:rPr>
        <w:t>为物业公司提供物业服务的评标价计算规则：其评标价=谈判报价*（1-5%）；</w:t>
      </w:r>
    </w:p>
    <w:p>
      <w:pPr>
        <w:spacing w:line="360" w:lineRule="auto"/>
        <w:ind w:left="1019" w:leftChars="249" w:hanging="496" w:hangingChars="200"/>
        <w:rPr>
          <w:rFonts w:ascii="宋体" w:hAnsi="宋体" w:cs="宋体"/>
          <w:color w:val="auto"/>
          <w:spacing w:val="4"/>
          <w:sz w:val="24"/>
          <w:szCs w:val="22"/>
          <w:highlight w:val="none"/>
        </w:rPr>
      </w:pPr>
      <w:r>
        <w:rPr>
          <w:rFonts w:hint="eastAsia" w:ascii="宋体" w:hAnsi="宋体" w:cs="宋体"/>
          <w:color w:val="auto"/>
          <w:spacing w:val="4"/>
          <w:sz w:val="24"/>
          <w:szCs w:val="22"/>
          <w:highlight w:val="none"/>
        </w:rPr>
        <w:t>5.2.1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30.3本次项目的验收费用由成交供应商承担。</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30.4本采购文件的解释权归采购人及采购代理机构所有。</w:t>
      </w:r>
    </w:p>
    <w:p>
      <w:pPr>
        <w:rPr>
          <w:rFonts w:ascii="宋体" w:hAnsi="宋体" w:cs="宋体"/>
          <w:b/>
          <w:color w:val="auto"/>
          <w:sz w:val="24"/>
          <w:highlight w:val="none"/>
        </w:rPr>
      </w:pPr>
    </w:p>
    <w:p>
      <w:pPr>
        <w:rPr>
          <w:rFonts w:ascii="宋体" w:hAnsi="宋体" w:cs="宋体"/>
          <w:b/>
          <w:color w:val="auto"/>
          <w:sz w:val="24"/>
          <w:highlight w:val="none"/>
        </w:rPr>
      </w:pPr>
    </w:p>
    <w:p>
      <w:pPr>
        <w:pStyle w:val="4"/>
        <w:jc w:val="left"/>
        <w:rPr>
          <w:rFonts w:ascii="宋体" w:hAnsi="宋体" w:cs="宋体"/>
          <w:color w:val="auto"/>
          <w:sz w:val="24"/>
          <w:szCs w:val="24"/>
          <w:highlight w:val="none"/>
        </w:rPr>
      </w:pPr>
      <w:r>
        <w:rPr>
          <w:rFonts w:hint="eastAsia" w:ascii="宋体" w:hAnsi="宋体" w:cs="宋体"/>
          <w:color w:val="auto"/>
          <w:sz w:val="24"/>
          <w:szCs w:val="24"/>
          <w:highlight w:val="none"/>
        </w:rPr>
        <w:t>31 信用融资</w:t>
      </w:r>
    </w:p>
    <w:p>
      <w:pPr>
        <w:spacing w:line="360" w:lineRule="auto"/>
        <w:ind w:firstLine="496" w:firstLineChars="200"/>
        <w:jc w:val="left"/>
        <w:rPr>
          <w:rFonts w:ascii="宋体" w:hAnsi="宋体" w:cs="宋体"/>
          <w:color w:val="auto"/>
          <w:spacing w:val="4"/>
          <w:sz w:val="24"/>
          <w:highlight w:val="none"/>
        </w:rPr>
      </w:pPr>
      <w:r>
        <w:rPr>
          <w:rFonts w:hint="eastAsia" w:ascii="宋体" w:hAnsi="宋体" w:cs="宋体"/>
          <w:color w:val="auto"/>
          <w:spacing w:val="4"/>
          <w:sz w:val="24"/>
          <w:highlight w:val="none"/>
        </w:rPr>
        <w:t>根据《陕西省中小企业政府采购信用融资办法》（陕财办采〔2018〕23号）、《陕西省财政厅关于加快推进我省中小企业政府采购信用融资工作的通知》（陕财办采〔2020〕15 号）的有关规定，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96" w:firstLineChars="200"/>
        <w:jc w:val="left"/>
        <w:rPr>
          <w:rFonts w:ascii="宋体" w:hAnsi="宋体" w:cs="宋体"/>
          <w:color w:val="auto"/>
          <w:spacing w:val="4"/>
          <w:sz w:val="24"/>
          <w:highlight w:val="none"/>
        </w:rPr>
      </w:pPr>
    </w:p>
    <w:p>
      <w:pPr>
        <w:wordWrap w:val="0"/>
        <w:spacing w:line="360" w:lineRule="auto"/>
        <w:ind w:firstLine="496" w:firstLineChars="200"/>
        <w:jc w:val="left"/>
        <w:rPr>
          <w:rFonts w:ascii="宋体" w:hAnsi="宋体" w:cs="宋体"/>
          <w:color w:val="auto"/>
          <w:spacing w:val="4"/>
          <w:sz w:val="24"/>
          <w:highlight w:val="none"/>
        </w:rPr>
      </w:pPr>
      <w:r>
        <w:rPr>
          <w:rFonts w:hint="eastAsia" w:ascii="宋体" w:hAnsi="宋体" w:cs="宋体"/>
          <w:color w:val="auto"/>
          <w:spacing w:val="4"/>
          <w:sz w:val="24"/>
          <w:highlight w:val="none"/>
        </w:rPr>
        <w:t>融资政策链接：</w:t>
      </w:r>
      <w:r>
        <w:rPr>
          <w:color w:val="auto"/>
          <w:highlight w:val="none"/>
        </w:rPr>
        <w:fldChar w:fldCharType="begin"/>
      </w:r>
      <w:r>
        <w:rPr>
          <w:color w:val="auto"/>
          <w:highlight w:val="none"/>
        </w:rPr>
        <w:instrText xml:space="preserve"> HYPERLINK "http://www.ccgp-shaanxi.gov.cn/zcdservice/zcd/shanxi/article/zcfg" </w:instrText>
      </w:r>
      <w:r>
        <w:rPr>
          <w:color w:val="auto"/>
          <w:highlight w:val="none"/>
        </w:rPr>
        <w:fldChar w:fldCharType="separate"/>
      </w:r>
      <w:r>
        <w:rPr>
          <w:rStyle w:val="33"/>
          <w:rFonts w:hint="eastAsia" w:ascii="宋体" w:hAnsi="宋体" w:cs="宋体"/>
          <w:color w:val="auto"/>
          <w:sz w:val="24"/>
          <w:szCs w:val="24"/>
          <w:highlight w:val="none"/>
        </w:rPr>
        <w:t>http://www.ccgp-shaanxi.gov.cn/zcdservice/zcd/shanxi/article/zcfg</w:t>
      </w:r>
      <w:r>
        <w:rPr>
          <w:rStyle w:val="33"/>
          <w:rFonts w:hint="eastAsia" w:ascii="宋体" w:hAnsi="宋体" w:cs="宋体"/>
          <w:color w:val="auto"/>
          <w:sz w:val="24"/>
          <w:szCs w:val="24"/>
          <w:highlight w:val="none"/>
        </w:rPr>
        <w:fldChar w:fldCharType="end"/>
      </w:r>
    </w:p>
    <w:p>
      <w:pPr>
        <w:spacing w:line="360" w:lineRule="auto"/>
        <w:ind w:firstLine="496" w:firstLineChars="200"/>
        <w:jc w:val="left"/>
        <w:rPr>
          <w:rFonts w:ascii="宋体" w:hAnsi="宋体" w:cs="宋体"/>
          <w:color w:val="auto"/>
          <w:spacing w:val="4"/>
          <w:sz w:val="24"/>
          <w:highlight w:val="none"/>
        </w:rPr>
      </w:pPr>
      <w:r>
        <w:rPr>
          <w:rFonts w:hint="eastAsia" w:ascii="宋体" w:hAnsi="宋体" w:cs="宋体"/>
          <w:color w:val="auto"/>
          <w:spacing w:val="4"/>
          <w:sz w:val="24"/>
          <w:highlight w:val="none"/>
        </w:rPr>
        <w:t>融资渠道链接：http://www.ccgp-shaanxi.gov.cn/zcdservice/zcd/shanxi/</w:t>
      </w:r>
    </w:p>
    <w:p>
      <w:pPr>
        <w:ind w:firstLine="496" w:firstLineChars="200"/>
        <w:jc w:val="left"/>
        <w:rPr>
          <w:rFonts w:ascii="宋体" w:hAnsi="宋体" w:cs="宋体"/>
          <w:b/>
          <w:color w:val="auto"/>
          <w:sz w:val="24"/>
          <w:highlight w:val="none"/>
        </w:rPr>
      </w:pPr>
      <w:r>
        <w:rPr>
          <w:rFonts w:hint="eastAsia" w:ascii="宋体" w:hAnsi="宋体" w:cs="宋体"/>
          <w:color w:val="auto"/>
          <w:spacing w:val="4"/>
          <w:sz w:val="24"/>
          <w:highlight w:val="none"/>
        </w:rPr>
        <w:t>担保合作机构名单链接：http://xaczj.xa.gov.cn/zfcg/cgfg/5db9054565cbd804f69e97e0.html</w:t>
      </w:r>
    </w:p>
    <w:p>
      <w:pPr>
        <w:widowControl/>
        <w:jc w:val="left"/>
        <w:rPr>
          <w:rFonts w:ascii="宋体" w:hAnsi="宋体" w:cs="宋体"/>
          <w:b/>
          <w:color w:val="auto"/>
          <w:sz w:val="24"/>
          <w:highlight w:val="none"/>
        </w:rPr>
      </w:pPr>
      <w:r>
        <w:rPr>
          <w:rFonts w:hint="eastAsia" w:ascii="宋体" w:hAnsi="宋体" w:cs="宋体"/>
          <w:b/>
          <w:color w:val="auto"/>
          <w:sz w:val="24"/>
          <w:highlight w:val="none"/>
        </w:rPr>
        <w:br w:type="page"/>
      </w:r>
    </w:p>
    <w:p>
      <w:pPr>
        <w:pStyle w:val="21"/>
        <w:rPr>
          <w:rFonts w:ascii="宋体" w:hAnsi="宋体" w:cs="宋体"/>
          <w:color w:val="auto"/>
          <w:highlight w:val="none"/>
        </w:rPr>
      </w:pPr>
      <w:bookmarkStart w:id="125" w:name="_Toc519091922"/>
      <w:bookmarkStart w:id="126" w:name="_Toc18307"/>
      <w:bookmarkStart w:id="127" w:name="_Toc9337"/>
      <w:bookmarkStart w:id="128" w:name="_Toc519085741"/>
      <w:bookmarkStart w:id="129" w:name="_Toc519091208"/>
      <w:bookmarkStart w:id="130" w:name="_Toc30360"/>
      <w:bookmarkStart w:id="131" w:name="_Toc246928930"/>
      <w:bookmarkStart w:id="132" w:name="_Toc497551820"/>
      <w:bookmarkStart w:id="133" w:name="_Toc497546918"/>
      <w:bookmarkStart w:id="134" w:name="_Toc497711585"/>
      <w:bookmarkStart w:id="135" w:name="_Toc21234"/>
      <w:bookmarkStart w:id="136" w:name="_Toc93800308"/>
      <w:bookmarkStart w:id="137" w:name="_Toc492955459"/>
      <w:bookmarkStart w:id="138" w:name="_Toc497712133"/>
      <w:bookmarkStart w:id="139" w:name="_Toc519091923"/>
      <w:bookmarkStart w:id="140" w:name="_Toc9436"/>
      <w:r>
        <w:rPr>
          <w:rFonts w:hint="eastAsia" w:ascii="宋体" w:hAnsi="宋体" w:cs="宋体"/>
          <w:color w:val="auto"/>
          <w:highlight w:val="none"/>
        </w:rPr>
        <w:t>第三章  采购内容及要求</w:t>
      </w:r>
      <w:bookmarkEnd w:id="125"/>
      <w:bookmarkEnd w:id="126"/>
      <w:bookmarkEnd w:id="127"/>
      <w:bookmarkEnd w:id="128"/>
      <w:bookmarkEnd w:id="129"/>
      <w:bookmarkEnd w:id="130"/>
    </w:p>
    <w:p>
      <w:pPr>
        <w:rPr>
          <w:rFonts w:ascii="宋体" w:hAnsi="宋体" w:cs="宋体"/>
          <w:color w:val="auto"/>
          <w:highlight w:val="none"/>
        </w:rPr>
      </w:pPr>
    </w:p>
    <w:p>
      <w:pPr>
        <w:numPr>
          <w:ilvl w:val="0"/>
          <w:numId w:val="5"/>
        </w:num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项目概况</w:t>
      </w:r>
    </w:p>
    <w:p>
      <w:p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 xml:space="preserve">    西安市第六中学分校</w:t>
      </w:r>
      <w:r>
        <w:rPr>
          <w:rFonts w:cs="宋体" w:asciiTheme="majorEastAsia" w:hAnsiTheme="majorEastAsia" w:eastAsiaTheme="majorEastAsia"/>
          <w:color w:val="auto"/>
          <w:sz w:val="24"/>
          <w:highlight w:val="none"/>
          <w:lang w:bidi="zh-TW"/>
        </w:rPr>
        <w:t>为深入贯彻落实《教育部关于加强和改进中小学实验教学的 意见》（教基〔2019〕16 号），按照《陕西省教育厅〈关于印 发陕西省初中学业水平考试改革实施意见〉的通知》（陕教规范 〔2017〕10 号）和《陕西省教育厅办公室〈关于推进陕西省初中学业水平考试物理、化学、生物学实验操作考试考场建设〉的 通知》（陕教基一办〔2022〕6 号）要求</w:t>
      </w:r>
      <w:r>
        <w:rPr>
          <w:rFonts w:hint="eastAsia" w:cs="宋体" w:asciiTheme="majorEastAsia" w:hAnsiTheme="majorEastAsia" w:eastAsiaTheme="majorEastAsia"/>
          <w:color w:val="auto"/>
          <w:sz w:val="24"/>
          <w:highlight w:val="none"/>
          <w:lang w:bidi="zh-TW"/>
        </w:rPr>
        <w:t>，</w:t>
      </w:r>
      <w:r>
        <w:rPr>
          <w:rFonts w:cs="宋体" w:asciiTheme="majorEastAsia" w:hAnsiTheme="majorEastAsia" w:eastAsiaTheme="majorEastAsia"/>
          <w:color w:val="auto"/>
          <w:sz w:val="24"/>
          <w:highlight w:val="none"/>
          <w:lang w:bidi="zh-TW"/>
        </w:rPr>
        <w:t>深化教育教学改革，促进义务教育学校内涵发展和办学水平提升，引导初中学校重视 实验教学及学生动手实践能力、创新能力的培养</w:t>
      </w:r>
      <w:r>
        <w:rPr>
          <w:rFonts w:hint="eastAsia" w:cs="宋体" w:asciiTheme="majorEastAsia" w:hAnsiTheme="majorEastAsia" w:eastAsiaTheme="majorEastAsia"/>
          <w:color w:val="auto"/>
          <w:sz w:val="24"/>
          <w:highlight w:val="none"/>
          <w:lang w:bidi="zh-TW"/>
        </w:rPr>
        <w:t>。</w:t>
      </w:r>
    </w:p>
    <w:p>
      <w:p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二、采购内容</w:t>
      </w:r>
    </w:p>
    <w:p>
      <w:p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（一）本次采购内容为</w:t>
      </w:r>
      <w:r>
        <w:rPr>
          <w:rFonts w:hint="eastAsia" w:cs="宋体" w:asciiTheme="majorEastAsia" w:hAnsiTheme="majorEastAsia" w:eastAsiaTheme="majorEastAsia"/>
          <w:b/>
          <w:bCs/>
          <w:color w:val="auto"/>
          <w:sz w:val="24"/>
          <w:highlight w:val="none"/>
        </w:rPr>
        <w:t>初中理化生实验考试系统设备</w:t>
      </w:r>
      <w:r>
        <w:rPr>
          <w:rFonts w:hint="eastAsia" w:cs="宋体" w:asciiTheme="majorEastAsia" w:hAnsiTheme="majorEastAsia" w:eastAsiaTheme="majorEastAsia"/>
          <w:color w:val="auto"/>
          <w:sz w:val="24"/>
          <w:highlight w:val="none"/>
          <w:lang w:bidi="zh-TW"/>
        </w:rPr>
        <w:t>。</w:t>
      </w:r>
    </w:p>
    <w:p>
      <w:pPr>
        <w:numPr>
          <w:ilvl w:val="0"/>
          <w:numId w:val="6"/>
        </w:num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采购清单：</w:t>
      </w:r>
    </w:p>
    <w:p>
      <w:pPr>
        <w:pStyle w:val="24"/>
        <w:rPr>
          <w:color w:val="auto"/>
          <w:highlight w:val="none"/>
        </w:rPr>
      </w:pPr>
    </w:p>
    <w:tbl>
      <w:tblPr>
        <w:tblStyle w:val="25"/>
        <w:tblW w:w="4998" w:type="pct"/>
        <w:tblInd w:w="0" w:type="dxa"/>
        <w:tblLayout w:type="autofit"/>
        <w:tblCellMar>
          <w:top w:w="0" w:type="dxa"/>
          <w:left w:w="108" w:type="dxa"/>
          <w:bottom w:w="0" w:type="dxa"/>
          <w:right w:w="108" w:type="dxa"/>
        </w:tblCellMar>
      </w:tblPr>
      <w:tblGrid>
        <w:gridCol w:w="803"/>
        <w:gridCol w:w="1892"/>
        <w:gridCol w:w="4553"/>
        <w:gridCol w:w="806"/>
        <w:gridCol w:w="664"/>
      </w:tblGrid>
      <w:tr>
        <w:tblPrEx>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货物名称</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技术参数</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right="-128" w:rightChars="-61"/>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一、校级服务模块</w:t>
            </w:r>
          </w:p>
        </w:tc>
      </w:tr>
      <w:tr>
        <w:tblPrEx>
          <w:tblCellMar>
            <w:top w:w="0" w:type="dxa"/>
            <w:left w:w="108" w:type="dxa"/>
            <w:bottom w:w="0" w:type="dxa"/>
            <w:right w:w="108" w:type="dxa"/>
          </w:tblCellMar>
        </w:tblPrEx>
        <w:trPr>
          <w:trHeight w:val="88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考点管理模块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一、实验操作考点管理软件：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 实验教考设备管理服务（实验室教考一体机 IP与硬件参数设置、座位号配置、NTP校时）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 视频录制服务（管理实验操作视频录制）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 流媒体服务（视频阅卷服务、学生实验互评）</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 考务容灾服务（支持离线考试）</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 云存储客户端服务（支持视频文件网传云存储）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 抽签管理服务</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 运维服务（考务实时状态上报，服务器状态监控）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 实训阅卷服务</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9.同时提供实验操作考试抽签系统软件著作权证书、基本符合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★提供由生产厂家送检第三方检测机构出具的实验操作考试抽签测试报告复印件。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★提供实验操作考试抽签的计算机软件著作权登记证书复印件。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2、支持 B/S 架构，基于浏览器操作，客户端要求零安装，支持谷歌Chrome浏览器。一般处理响应时间少于1秒，少数复杂处理时间少于3秒。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3、开放性：系统提供多种HTTP接口，满足与其他信息化系统的对接要求</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4、可维护性与可用性：系统具备7*24小时稳定运行的能力，系统具备完整的日志机制，能够快速跟踪定位系统问题。</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 、考点管理服务器：1*Intel Xeon Gold 5218 16C 125W 2.3GHz 处理器/1*ThinkSystem 32GB TruDDR4 2933MHz（2 列 x4 1.2V）RDIMM/3* ThinkSystem 3.5 英寸 4TB 7.2K SATA 6Gb 热插拔 512n 硬盘/ThinkSystem RAID 530-8i 1GB 高速缓存 PCIe 12Gb 适配器/四口千兆/1* ThinkSystem 750W（230/115V）白金级热插拔电源模块 2U 机架式  3年原厂上门保修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三、机柜：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1.采用钢化玻璃前门配备高级弹力锁，六角网孔后门；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2.规格：19英寸标准机柜；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3.尺寸：1000高*600深*600宽；</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4.容量：18U；</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5.颜色：黑色</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二、化学实验室</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实验操作考试实训管理软件（监考端）：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【现场监考管理】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1、信息化监考管理：按场次自动置顶，可查询完成场次监考记录。</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2、全程可视化监控：实时显示所有实验桌的视频画面，每实验桌2路视频实时预览，双击显示高清大图。</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3、电子试卷自动分发与收卷：支持提前交卷确认，支持自动收卷1分钟倒计时。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【考场纪律管理】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1、考生身份智能验证：支持人脸识别身份验证，支持人脸验证失败提示，监考老师可以线下核对手动验证通过，支持验证操作超时重发验证。</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2、考试过程异常管理：支持缺考与作弊处理，上报管理系统安排补考或仲裁。支持记录考场考试异常，支持打印签字上报。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【考试设备自检管理】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1、完善的系统设备自检，实时感知考场设备状态，及时上报设备或网络连接故障，并提供修复建议。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2、最多支持32座位考试间。</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3、检测对象包括：学生端及其外接设备（电子目镜、电子显微镜、抓拍控制器等）、智慧视频采集系统。</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【实验室设备配置管理】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1、设备安装初始化配置：学生端桌号极速配置；智慧视频采集系统桌号绑定和录制参数初始化、系统时钟同步，支持摄像头参数初始化批量操作。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2、设备软件升级管理：支持学生端和智慧视频采集系统软件批量在线升级。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3.同时提供实验操作考试管理系统（监考端）软件著作权证书、基本符合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2、支持 B/S 架构，基于浏览器操作，客户端要求零安装，支持谷歌Chrome浏览器。一般处理响应时间少于1秒，少数复杂处理时间少于3秒。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3、开放性：系统提供多种HTTP接口，满足与其他信息化系统的对接要求</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4、可维护性与可用性：系统具备7*24小时稳定运行的能力，系统具备完整的日志机制，能够快速跟踪定位系统问题。</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二、教室监考端：台式机：Core i7-10700 2.9G 8C vPro/32GB(16+16) DDR4 2933 内存/1T机械硬盘+128固态硬盘 千兆网卡，23.8寸IPS显示器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学生教考终端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【集成系统】</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2、内置成套电源和网络模块，极简对外接口1+1（1个RJ45+1个220V电源口）。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【考试终端】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1.显示、触控一体化超薄设计；</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2.处理器：6核ARM架构CPU 频率可达1.8GHz</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3.存储：4G RAM+32G存储；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4.15.6寸IPS显示屏，分辨率1920*1080；</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5.扩充性好：配置灵活，多个USB接口，100M/1000M自适应以太网口，可扩充安装客户需求的各种功能配件；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6.视频解码支持1080P 全高清 MPEG、H.264 、H.265等；</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1.每套由≥3个高清广角镜头组成，视频分辨率≥400万，帧率≥25帧/s；</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2.记录实验操作过程并形成视频文件,传输至视频服务器。视频文件格式可以用浏览器直接播放。</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3.多路码流：支持高清录制和标清预览多码流，码率可定制，支持500-16000Kbps。4.支持MJPEG、H.265、H.264视频文件压缩编码。</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5.支持RTSP、OnVif等标准协议；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6.提供RJ45 100M以太网接口。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7、电线：最大电阻：≤4.61Ω/km</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8、支架采用铝合金型材，一体成型，形成可折叠、易收纳的一体式支架，集成考试终端和视频采集设备。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★铝合金型材技术要求满足：GB/T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提供由生产厂家送检满足以上技术要求具有CMA、CAL、ilac-MRA、CNAS认证的由省级或省级以上检测机构出具的铝合金型材检测报告复印件。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9、连接件采用ABS专用耐腐蚀连接件组装。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★耐腐蚀连接件技术要求满足：GB/T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提供由生产厂家送检满足以上技术要求具有CMA、CAL、ilac-MRA、CNAS认证的由省级或省级以上检测机构出具的耐腐蚀连接件检测报告复印件。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实验操作考试管理软件（考试端）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【考试模式-数据采集】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1、支持人脸识别，准确快速验证考生身份；</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2、结构化实验报告：让学生通过触摸屏便捷准确记录指定格式实验数据；支持填空、表格、标注、电路图等多样化报告格式；</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3、支持实验现象拍照报告、显微镜抓图功能；</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【教学模式-课堂互动】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1、智能分组，刷脸签到。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2、异步浏览：浏览课件资源，课前预习，与老师教学思路同步。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3、支持举手提问、抢答，及时与老师互动。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4、实操测评：课堂模拟实操练习，通过视频录制与回放，实现本组自评、分组互评，加深认知实验操作要点，同时减轻老师教学负担。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5、堂测堂评：随堂练习客观题，温习巩固当堂学习的实验理论知识和实践认知。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6、同时提供实验操作考试管理系统（考试端）软件著作权证书、基本符合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7、UBS固定件与显示器固定板采用高强镀锌钢板制作而成。</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★高强度镀锌钢板技术要求满足：GB/T 10125-2021 人造气氛腐蚀试验 盐雾试验 ，GB/T 6461-2002  金属基体上金属和其他无机覆盖层，经腐蚀试验后的试样和试件的评级，1、耐腐蚀：中性盐雾（72h）  无缺陷10级提供由生产厂家送检满足以上技术要求具有CMA、CAL、ilac-MRA、CNAS认证的由省级或省级以上检测机构出具的高强度镀锌钢板检测报告复印件（原件备查）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2、内置成套电源和网络模块，极简对外接口1+1（1个RJ45+1个220V电源口）。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2、考试APP所有功能的响应时间都少于1秒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3、高可维护性与可用性：APP更新，安装，删除可以批量处理，可以高效地进行APP的各种维护和设置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课堂教学模块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一、实验操作日常教学管理软件：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【实验课考勤管理】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1、智能分组：支持学生智能分组，组长组员轮流自动排班；</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2、人脸识别签到：自动生成考勤数据；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3、考勤速递：缺勤信息及时短信通知班主任，保证学情安全闭环管理；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4、支持单间不少于60学生同时上课；</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【智慧课堂互动管理】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1、投屏控屏：教师端同步投屏到智慧大屏，可控制学生端屏幕。</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2、演示实验：教师可实操演示并投屏，可播放备课视频；</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走动教学：充分发挥移动端优势，走动穿插与学生互动；随堂提问：可以通过备课预设问题与学生互动，也可以随机生成提问；支持集体作答、随机指定、自主抢答等多种方式，及时反馈学生答题统计结果，形成生动的互动教学氛围；</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4、学生实验点评：当堂抽取实操测评实验视频，回放并点评得失。</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【智能化评价管理】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1、开启实操测评：根据备课预设开展实验操作随堂练习，支持开启学生分组自评与互评模式，全程录制操作视频，教师可当堂回放点评；</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2、开启堂测堂评：课堂知识点回顾，根据备课预设课堂练习题，自动生成测验成绩和统计结果；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3、生成式素质评价系统：自动采集生成课堂学习数据，自动生成多维度素质评价。</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同时提供实验操作日常教学管理软件著作权证书、基本符合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2、教学APP所有功能的响应时间都少于1秒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3、高可维护性与可用性：APP更新，安装，删除可以批量处理，可以高效地进行APP的各种维护和设置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二、教学智慧终端：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处理器：主频2.5GHz以上,8核CPU+8核GPU</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屏幕：10.4英寸IPS触摸屏，16:10，2K高分辨率（2000*1200）</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内存：6GB+64GB</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电池：7250mAh，支持视频播放10小时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WIFI：2.4GHz&amp;5GHz双频段</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三、无线投屏接收器：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支持扫码连接，4K高清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支持手机、平板</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支持Android、iOS、windows等多种系统</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画面流畅无时延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教考网络模块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一、实验室教学扩展无线信号终端：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吸顶式全千兆无线接入点</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支持硬件拨码，多种覆盖场景一键切换</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支持频谱导航技术，优先连接速率更快的5G频段</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2.4G和5G双频覆盖，无线接入用户更多，干扰更少</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支持802.11ac标准，提供1200M高速无线传输速率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全千兆端口，提供千兆有线传输速率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二、AP供电单元：</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PoE供电器模块</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输出功率：15.4W</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三、企业级二层网管接入交换机：</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48口全千兆企业级二层交换机</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1.网管网络交换器 </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2.48千兆电口 4千兆光口 </w:t>
            </w:r>
          </w:p>
          <w:p>
            <w:pPr>
              <w:textAlignment w:val="center"/>
              <w:rPr>
                <w:rFonts w:ascii="宋体" w:hAnsi="宋体" w:cs="宋体"/>
                <w:color w:val="auto"/>
                <w:sz w:val="18"/>
                <w:szCs w:val="18"/>
                <w:highlight w:val="none"/>
              </w:rPr>
            </w:pPr>
            <w:r>
              <w:rPr>
                <w:rFonts w:ascii="宋体" w:hAnsi="宋体" w:cs="宋体"/>
                <w:color w:val="auto"/>
                <w:sz w:val="18"/>
                <w:szCs w:val="18"/>
                <w:highlight w:val="none"/>
              </w:rPr>
              <w:t>3.</w:t>
            </w:r>
            <w:r>
              <w:rPr>
                <w:rFonts w:hint="eastAsia" w:ascii="宋体" w:hAnsi="宋体" w:cs="宋体"/>
                <w:color w:val="auto"/>
                <w:sz w:val="18"/>
                <w:szCs w:val="18"/>
                <w:highlight w:val="none"/>
              </w:rPr>
              <w:t>支持</w:t>
            </w:r>
            <w:r>
              <w:rPr>
                <w:rFonts w:ascii="宋体" w:hAnsi="宋体" w:cs="宋体"/>
                <w:color w:val="auto"/>
                <w:sz w:val="18"/>
                <w:szCs w:val="18"/>
                <w:highlight w:val="none"/>
              </w:rPr>
              <w:t>VLAN</w:t>
            </w:r>
            <w:r>
              <w:rPr>
                <w:rFonts w:hint="eastAsia" w:ascii="MS Mincho" w:hAnsi="MS Mincho" w:eastAsia="MS Mincho" w:cs="MS Mincho"/>
                <w:color w:val="auto"/>
                <w:sz w:val="18"/>
                <w:szCs w:val="18"/>
                <w:highlight w:val="none"/>
              </w:rPr>
              <w:t>↵</w:t>
            </w:r>
            <w:r>
              <w:rPr>
                <w:rFonts w:hint="eastAsia" w:ascii="宋体" w:hAnsi="宋体" w:cs="宋体"/>
                <w:color w:val="auto"/>
                <w:sz w:val="18"/>
                <w:szCs w:val="18"/>
                <w:highlight w:val="none"/>
              </w:rPr>
              <w:t>交换容量：</w:t>
            </w:r>
            <w:r>
              <w:rPr>
                <w:rFonts w:ascii="宋体" w:hAnsi="宋体" w:cs="宋体"/>
                <w:color w:val="auto"/>
                <w:sz w:val="18"/>
                <w:szCs w:val="18"/>
                <w:highlight w:val="none"/>
              </w:rPr>
              <w:t>&gt;240Gbps</w:t>
            </w:r>
          </w:p>
          <w:p>
            <w:pPr>
              <w:textAlignment w:val="center"/>
              <w:rPr>
                <w:rFonts w:ascii="宋体" w:hAnsi="宋体" w:cs="宋体"/>
                <w:color w:val="auto"/>
                <w:sz w:val="18"/>
                <w:szCs w:val="18"/>
                <w:highlight w:val="none"/>
              </w:rPr>
            </w:pPr>
            <w:r>
              <w:rPr>
                <w:rFonts w:ascii="宋体" w:hAnsi="宋体" w:cs="宋体"/>
                <w:color w:val="auto"/>
                <w:sz w:val="18"/>
                <w:szCs w:val="18"/>
                <w:highlight w:val="none"/>
              </w:rPr>
              <w:t>4.</w:t>
            </w:r>
            <w:r>
              <w:rPr>
                <w:rFonts w:hint="eastAsia" w:ascii="宋体" w:hAnsi="宋体" w:cs="宋体"/>
                <w:color w:val="auto"/>
                <w:sz w:val="18"/>
                <w:szCs w:val="18"/>
                <w:highlight w:val="none"/>
              </w:rPr>
              <w:t>包转发率：</w:t>
            </w:r>
            <w:r>
              <w:rPr>
                <w:rFonts w:ascii="宋体" w:hAnsi="宋体" w:cs="宋体"/>
                <w:color w:val="auto"/>
                <w:sz w:val="18"/>
                <w:szCs w:val="18"/>
                <w:highlight w:val="none"/>
              </w:rPr>
              <w:t>&gt;78Mpps</w:t>
            </w:r>
            <w:r>
              <w:rPr>
                <w:rFonts w:hint="eastAsia" w:ascii="MS Mincho" w:hAnsi="MS Mincho" w:eastAsia="MS Mincho" w:cs="MS Mincho"/>
                <w:color w:val="auto"/>
                <w:sz w:val="18"/>
                <w:szCs w:val="18"/>
                <w:highlight w:val="none"/>
              </w:rPr>
              <w:t>↵</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5.端口：48*10/100/1000Base-T</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6.以太网端口4*100/1000 Base-X SFP光口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7.以太网特性：流控（802.3x）、链路聚合（802.3ad）、802.1p、802.1Q，STP(802.1D）/RSTP（802.1w）/MSTP（802.1s）、TC snooping、环回保护设备功耗≤32W</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现场环境改造及安装调试</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1.根据现场实际情况进行改造，保证产品正常安装。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2.工程师现场设备安装及软件环境调试（含集中培训一次）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b/>
                <w:bCs/>
                <w:color w:val="auto"/>
                <w:sz w:val="18"/>
                <w:szCs w:val="18"/>
                <w:highlight w:val="none"/>
              </w:rPr>
              <w:t>三、物理实验室</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考试管理模块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一、实验操作考试实训管理软件（监考端）：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【现场监考管理】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1、信息化监考管理：按场次自动置顶，可查询完成场次监考记录。</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2、全程可视化监控：实时显示所有实验桌的视频画面，每实验桌2路视频实时预览，双击显示高清大图。</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3、电子试卷自动分发与收卷：支持提前交卷确认，支持自动收卷1分钟倒计时。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【考场纪律管理】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1、考生身份智能验证：支持人脸识别身份验证，支持人脸验证失败提示，监考老师可以线下核对手动验证通过，支持验证操作超时重发验证。</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2、考试过程异常管理：支持缺考与作弊处理，上报管理系统安排补考或仲裁。支持记录考场考试异常，支持打印签字上报。</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【考试设备自检管理】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1、完善的系统设备自检，实时感知考场设备状态，及时上报设备或网络连接故障，并提供修复建议。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2、最多支持32座位考试间。</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3、检测对象包括：学生端及其外接设备（电子目镜、电子显微镜、抓拍控制器等）、智慧视频采集系统。</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【实验室设备配置管理】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1、设备安装初始化配置：学生端桌号极速配置；智慧视频采集系统桌号绑定和录制参数初始化、系统时钟同步，支持摄像头参数初始化批量操作。</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2、设备软件升级管理：支持学生端和智慧视频采集系统软件批量在线升级。</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4.同时提供实验操作考试管理系统（监考端）软件著作权证书、基本符合 GB/T 22239-2019《信息安全技术网络安全等级保护基本要求》三级（S3A3G3）中安全计算环境的相关标准要求、相关软件功能测试报告及系统安全测试报告。</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B:非功能参数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1、提供完备的身份验证机制，提供用户密码保护</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2、支持 B/S 架构，基于浏览器操作，客户端要求零安装，支持谷歌Chrome浏览器。一般处理响应时间少于1秒，少数复杂处理时间少于3秒。</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3、开放性：系统提供多种HTTP接口，满足与其他信息化系统的对接要求</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4、可维护性与可用性：系统具备7*24小时稳定运行的能力，系统具备完整的日志机制，能够快速跟踪定位系统问题。</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二、教室监考端：台式机：Core i7-10700 2.9G 8C vPro/32GB(16+16) DDR4 2933 内存/1T机械硬盘+128固态硬盘 千兆网卡，23.8寸IPS显示器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学生教考终端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【集成系统】</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1、可折叠、易收纳的一体式支架，集成考试终端和视频采集设备。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2、内置成套电源和网络模块，极简对外接口1+1（1个RJ45+1个220V电源口）。</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【考试终端】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1.显示、触控一体化超薄设计；</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2.处理器：6核ARM架构CPU 频率可达1.8GHz</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3.存储：4G RAM+32G存储；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4.15.6寸IPS显示屏，分辨率1920*1080；</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5.扩充性好：配置灵活，多个USB接口，100M/1000M自适应以太网口，可扩充安装客户需求的各种功能配件；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6.视频解码支持1080P 全高清 MPEG、H.264 、H.265等；</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【视频采集设备】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1.每套由≥3个高清广角镜头组成，视频分辨率≥400万，帧率≥25帧/s；</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2.记录实验操作过程并形成视频文件,传输至视频服务器。视频文件格式可以用浏览器直接播放。</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3.多路码流：支持高清录制和标清预览多码流，码率可定制，支持500-16000Kbps。4.支持MJPEG、H.265、H.264视频文件压缩编码。</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5.支持RTSP、OnVif等标准协议；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6.提供RJ45 100M以太网接口。</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7、电线：最大电阻：≤4.61Ω/km。</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8、支架采用铝合金型材，一体成型，形成可折叠、易收纳的一体式支架，集成考试终端和视频采集设备。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★铝合金型材技术要求满足：GB/T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提供由生产厂家送检满足以上技术要求具有CMA、CAL、ilac-MRA、CNAS认证的由省级或省级以上检测机构出具的铝合金型材检测报告复印件。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9、连接件采用ABS专用耐腐蚀连接件组装。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★耐腐蚀连接件技术要求满足：GB/T 10125-2021 人造气氛腐蚀试验 盐雾试验 ，GB/T 6461-2002  金属基体上金属和其他无机覆盖层 经腐蚀试验后的试样和试件的评级，1、耐腐蚀：中性盐雾（72h）  无缺陷10级。</w:t>
            </w:r>
          </w:p>
          <w:p>
            <w:pPr>
              <w:pStyle w:val="10"/>
              <w:rPr>
                <w:color w:val="auto"/>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提供由生产厂家送检满足以上技术要求具有CMA、CAL、ilac-MRA、CNAS认证的由省级或省级以上检测机构出具的耐腐蚀连接件检测报告复印件。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实验操作考试管理软件（考试端）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【考试模式-数据采集】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1、支持人脸识别，准确快速验证考生身份；</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2、结构化实验报告：让学生通过触摸屏便捷准确记录指定格式实验数据；支持填空、表格、标注、电路图等多样化报告格式；</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3、支持实验现象拍照报告、显微镜抓图功能；</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【教学模式-课堂互动】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1、智能分组，刷脸签到。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2、异步浏览：浏览课件资源，课前预习，与老师教学思路同步。</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3、支持举手提问、抢答，及时与老师互动。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4、实操测评：课堂模拟实操练习，通过视频录制与回放，实现本组自评、分组互评，加深认知实验操作要点，同时减轻老师教学负担。</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5、堂测堂评：随堂练习客观题，温习巩固当堂学习的实验理论知识和实践认知。</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6、同时提供实验操作考试管理系统（考试端）软件著作权证书、基本符合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7、UBS固定件与显示器固定板采用高强镀锌钢板制作而成。</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★高强度镀锌钢板技术要求满足：GB/T 10125-2021 人造气氛腐蚀试验 盐雾试验 ，GB/T 6461-2002  金属基体上金属和其他无机覆盖层，经腐蚀试验后的试样和试件的评级，1、耐腐蚀：中性盐雾（72h）  无缺陷10级提供由生产厂家送检满足以上技术要求具有CMA、CAL、ilac-MRA、CNAS认证的由省级或省级以上检测机构出具的高强度镀锌钢板检测报告复印件（原件备查）</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sz w:val="18"/>
                <w:szCs w:val="18"/>
                <w:highlight w:val="none"/>
              </w:rPr>
              <w:t>2、内置成套电源和网络模块，极简对外接口1+1（1个RJ45+1个220V电源口）。</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B:非功能参数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1、提供完备的身份验证机制，提供用户密码保护</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2、考试APP所有功能的响应时间都少于1秒</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3、高可维护性与可用性：APP更新，安装，删除可以批量处理，可以高效地进行APP的各种维护和设置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课堂教学模块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一、实验操作日常教学管理软件：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【实验课考勤管理】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1、智能分组：支持学生智能分组，组长组员轮流自动排班；</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2、人脸识别签到：自动生成考勤数据；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3、考勤速递：缺勤信息及时短信通知班主任，保证学情安全闭环管理；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4、支持单间不少于60学生同时上课；</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【智慧课堂互动管理】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1、投屏控屏：教师端同步投屏到智慧大屏，可控制学生端屏幕。</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2、演示实验：教师可实操演示并投屏，可播放备课视频；</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走动教学：充分发挥移动端优势，走动穿插与学生互动；随堂提问：可以通过备课预设问题与学生互动，也可以随机生成提问；支持集体作答、随机指定、自主抢答等多种方式，及时反馈学生答题统计结果，形成生动的互动教学氛围；</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4、学生实验点评：当堂抽取实操测评实验视频，回放并点评得失。</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【智能化评价管理】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1、开启实操测评：根据备课预设开展实验操作随堂练习，支持开启学生分组自评与互评模式，全程录制操作视频，教师可当堂回放点评；</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2、开启堂测堂评：课堂知识点回顾，根据备课预设课堂练习题，自动生成测验成绩和统计结果；</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3、生成式素质评价系统：自动采集生成课堂学习数据，自动生成多维度素质评价。</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同时提供实验操作日常教学管理软件著作权证书、基本符合 GB/T 22239-2019《信息安全技术网络安全等级保护基本要求》三级（S3A3G3）中安全计算环境的相关标准要求、相关软件功能测试报告及系统安全测试报告。</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B:非功能参数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1、提供完备的身份验证机制，提供用户密码保护</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2、教学APP所有功能的响应时间都少于1秒</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3、高可维护性与可用性：APP更新，安装，删除可以批量处理，可以高效地进行APP的各种维护和设置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二、教学智慧终端：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处理器：主频2.5GHz以上,8核CPU+8核GPU</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屏幕：10.4英寸IPS触摸屏，16:10，2K高分辨率（2000*1200）</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内存：6GB+64GB</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电池：7250mAh，支持视频播放10小时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WIFI：2.4GHz&amp;5GHz双频段</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三、无线投屏接收器：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支持扫码连接，4K高清</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支持手机、平板</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支持Android、iOS、windows等多种系统</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画面流畅无时延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教考网络模块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一、实验室教学扩展无线信号终端：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吸顶式全千兆无线接入点</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支持硬件拨码，多种覆盖场景一键切换</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支持频谱导航技术，优先连接速率更快的5G频段</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2.4G和5G双频覆盖，无线接入用户更多，干扰更少</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支持802.11ac标准，提供1200M高速无线传输速率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全千兆端口，提供千兆有线传输速率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二、AP供电单元：</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PoE供电器模块</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输出功率：15.4W</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三、企业级二层网管接入交换机：</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48口全千兆企业级二层交换机</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1.网管网络交换器 </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2.48千兆电口 4千兆光口 </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3.支持VLAN↵交换容量：&gt;240Gbps</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4.包转发率：&gt;78Mpps↵</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5.端口：48*10/100/1000Base-T</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6.以太网端口4*100/1000 Base-X SFP光口</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7.以太网特性：流控（802.3x）、链路聚合（802.3ad）、802.1p、802.1Q，STP(802.1D）/RSTP（802.1w）/MSTP（802.1s）、TC snooping、环回保护设备功耗≤32W</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现场环境改造及安装调试</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1.根据现场实际情况进行改造，保证产品正常安装。</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2.工程师现场设备安装及软件环境调试（含集中培训一次）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四、生物实验室</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67"/>
                <w:rFonts w:hint="default"/>
                <w:color w:val="auto"/>
                <w:sz w:val="18"/>
                <w:szCs w:val="18"/>
                <w:highlight w:val="none"/>
              </w:rPr>
            </w:pPr>
            <w:r>
              <w:rPr>
                <w:rStyle w:val="67"/>
                <w:rFonts w:hint="default"/>
                <w:color w:val="auto"/>
                <w:sz w:val="18"/>
                <w:szCs w:val="18"/>
                <w:highlight w:val="none"/>
              </w:rPr>
              <w:t>一、实验操作考试实训管理软件（监考端）：</w:t>
            </w:r>
          </w:p>
          <w:p>
            <w:pPr>
              <w:textAlignment w:val="center"/>
              <w:rPr>
                <w:rStyle w:val="67"/>
                <w:rFonts w:hint="default"/>
                <w:color w:val="auto"/>
                <w:sz w:val="18"/>
                <w:szCs w:val="18"/>
                <w:highlight w:val="none"/>
              </w:rPr>
            </w:pPr>
            <w:r>
              <w:rPr>
                <w:rStyle w:val="67"/>
                <w:rFonts w:hint="default"/>
                <w:color w:val="auto"/>
                <w:sz w:val="18"/>
                <w:szCs w:val="18"/>
                <w:highlight w:val="none"/>
              </w:rPr>
              <w:t>A:功能参数</w:t>
            </w:r>
          </w:p>
          <w:p>
            <w:pPr>
              <w:textAlignment w:val="center"/>
              <w:rPr>
                <w:rStyle w:val="67"/>
                <w:rFonts w:hint="default"/>
                <w:color w:val="auto"/>
                <w:sz w:val="18"/>
                <w:szCs w:val="18"/>
                <w:highlight w:val="none"/>
              </w:rPr>
            </w:pPr>
            <w:r>
              <w:rPr>
                <w:rStyle w:val="67"/>
                <w:rFonts w:hint="default"/>
                <w:color w:val="auto"/>
                <w:sz w:val="18"/>
                <w:szCs w:val="18"/>
                <w:highlight w:val="none"/>
              </w:rPr>
              <w:t>【现场监考管理】</w:t>
            </w:r>
          </w:p>
          <w:p>
            <w:pPr>
              <w:textAlignment w:val="center"/>
              <w:rPr>
                <w:rStyle w:val="67"/>
                <w:rFonts w:hint="default"/>
                <w:color w:val="auto"/>
                <w:sz w:val="18"/>
                <w:szCs w:val="18"/>
                <w:highlight w:val="none"/>
              </w:rPr>
            </w:pPr>
            <w:r>
              <w:rPr>
                <w:rStyle w:val="67"/>
                <w:rFonts w:hint="default"/>
                <w:color w:val="auto"/>
                <w:sz w:val="18"/>
                <w:szCs w:val="18"/>
                <w:highlight w:val="none"/>
              </w:rPr>
              <w:t>1、信息化监考管理：按场次自动置顶，可查询完成场次监考记录。</w:t>
            </w:r>
          </w:p>
          <w:p>
            <w:pPr>
              <w:textAlignment w:val="center"/>
              <w:rPr>
                <w:rStyle w:val="67"/>
                <w:rFonts w:hint="default"/>
                <w:color w:val="auto"/>
                <w:sz w:val="18"/>
                <w:szCs w:val="18"/>
                <w:highlight w:val="none"/>
              </w:rPr>
            </w:pPr>
            <w:r>
              <w:rPr>
                <w:rStyle w:val="67"/>
                <w:rFonts w:hint="default"/>
                <w:color w:val="auto"/>
                <w:sz w:val="18"/>
                <w:szCs w:val="18"/>
                <w:highlight w:val="none"/>
              </w:rPr>
              <w:t>2、全程可视化监控：实时显示所有实验桌的视频画面，每实验桌2路视频实时预览，双击显示高清大图。</w:t>
            </w:r>
          </w:p>
          <w:p>
            <w:pPr>
              <w:textAlignment w:val="center"/>
              <w:rPr>
                <w:rStyle w:val="67"/>
                <w:rFonts w:hint="default"/>
                <w:color w:val="auto"/>
                <w:sz w:val="18"/>
                <w:szCs w:val="18"/>
                <w:highlight w:val="none"/>
              </w:rPr>
            </w:pPr>
            <w:r>
              <w:rPr>
                <w:rStyle w:val="67"/>
                <w:rFonts w:hint="default"/>
                <w:color w:val="auto"/>
                <w:sz w:val="18"/>
                <w:szCs w:val="18"/>
                <w:highlight w:val="none"/>
              </w:rPr>
              <w:t>3、电子试卷自动分发与收卷：支持提前交卷确认，支持自动收卷1分钟倒计时。</w:t>
            </w:r>
          </w:p>
          <w:p>
            <w:pPr>
              <w:textAlignment w:val="center"/>
              <w:rPr>
                <w:rStyle w:val="67"/>
                <w:rFonts w:hint="default"/>
                <w:color w:val="auto"/>
                <w:sz w:val="18"/>
                <w:szCs w:val="18"/>
                <w:highlight w:val="none"/>
              </w:rPr>
            </w:pPr>
            <w:r>
              <w:rPr>
                <w:rStyle w:val="67"/>
                <w:rFonts w:hint="default"/>
                <w:color w:val="auto"/>
                <w:sz w:val="18"/>
                <w:szCs w:val="18"/>
                <w:highlight w:val="none"/>
              </w:rPr>
              <w:t>【考场纪律管理】</w:t>
            </w:r>
          </w:p>
          <w:p>
            <w:pPr>
              <w:textAlignment w:val="center"/>
              <w:rPr>
                <w:rStyle w:val="67"/>
                <w:rFonts w:hint="default"/>
                <w:color w:val="auto"/>
                <w:sz w:val="18"/>
                <w:szCs w:val="18"/>
                <w:highlight w:val="none"/>
              </w:rPr>
            </w:pPr>
            <w:r>
              <w:rPr>
                <w:rStyle w:val="67"/>
                <w:rFonts w:hint="default"/>
                <w:color w:val="auto"/>
                <w:sz w:val="18"/>
                <w:szCs w:val="18"/>
                <w:highlight w:val="none"/>
              </w:rPr>
              <w:t>1、考生身份智能验证：支持人脸识别身份验证，支持人脸验证失败提示，监考老师可以线下核对手动验证通过，支持验证操作超时重发验证。</w:t>
            </w:r>
          </w:p>
          <w:p>
            <w:pPr>
              <w:textAlignment w:val="center"/>
              <w:rPr>
                <w:rStyle w:val="67"/>
                <w:rFonts w:hint="default"/>
                <w:color w:val="auto"/>
                <w:sz w:val="18"/>
                <w:szCs w:val="18"/>
                <w:highlight w:val="none"/>
              </w:rPr>
            </w:pPr>
            <w:r>
              <w:rPr>
                <w:rStyle w:val="67"/>
                <w:rFonts w:hint="default"/>
                <w:color w:val="auto"/>
                <w:sz w:val="18"/>
                <w:szCs w:val="18"/>
                <w:highlight w:val="none"/>
              </w:rPr>
              <w:t>2、考试过程异常管理：支持缺考与作弊处理，上报管理系统安排补考或仲裁。支持记录考场考试异常，支持打印签字上报。</w:t>
            </w:r>
          </w:p>
          <w:p>
            <w:pPr>
              <w:textAlignment w:val="center"/>
              <w:rPr>
                <w:rStyle w:val="67"/>
                <w:rFonts w:hint="default"/>
                <w:color w:val="auto"/>
                <w:sz w:val="18"/>
                <w:szCs w:val="18"/>
                <w:highlight w:val="none"/>
              </w:rPr>
            </w:pPr>
            <w:r>
              <w:rPr>
                <w:rStyle w:val="67"/>
                <w:rFonts w:hint="default"/>
                <w:color w:val="auto"/>
                <w:sz w:val="18"/>
                <w:szCs w:val="18"/>
                <w:highlight w:val="none"/>
              </w:rPr>
              <w:t>【考试设备自检管理】</w:t>
            </w:r>
          </w:p>
          <w:p>
            <w:pPr>
              <w:textAlignment w:val="center"/>
              <w:rPr>
                <w:rStyle w:val="67"/>
                <w:rFonts w:hint="default"/>
                <w:color w:val="auto"/>
                <w:sz w:val="18"/>
                <w:szCs w:val="18"/>
                <w:highlight w:val="none"/>
              </w:rPr>
            </w:pPr>
            <w:r>
              <w:rPr>
                <w:rStyle w:val="67"/>
                <w:rFonts w:hint="default"/>
                <w:color w:val="auto"/>
                <w:sz w:val="18"/>
                <w:szCs w:val="18"/>
                <w:highlight w:val="none"/>
              </w:rPr>
              <w:t>1、完善的系统设备自检，实时感知考场设备状态，及时上报设备或网络连接故障，并提供修复建议。</w:t>
            </w:r>
          </w:p>
          <w:p>
            <w:pPr>
              <w:textAlignment w:val="center"/>
              <w:rPr>
                <w:rStyle w:val="67"/>
                <w:rFonts w:hint="default"/>
                <w:color w:val="auto"/>
                <w:sz w:val="18"/>
                <w:szCs w:val="18"/>
                <w:highlight w:val="none"/>
              </w:rPr>
            </w:pPr>
            <w:r>
              <w:rPr>
                <w:rStyle w:val="67"/>
                <w:rFonts w:hint="default"/>
                <w:color w:val="auto"/>
                <w:sz w:val="18"/>
                <w:szCs w:val="18"/>
                <w:highlight w:val="none"/>
              </w:rPr>
              <w:t>2、最多支持32座位考试间。</w:t>
            </w:r>
          </w:p>
          <w:p>
            <w:pPr>
              <w:textAlignment w:val="center"/>
              <w:rPr>
                <w:rStyle w:val="67"/>
                <w:rFonts w:hint="default"/>
                <w:color w:val="auto"/>
                <w:sz w:val="18"/>
                <w:szCs w:val="18"/>
                <w:highlight w:val="none"/>
              </w:rPr>
            </w:pPr>
            <w:r>
              <w:rPr>
                <w:rStyle w:val="67"/>
                <w:rFonts w:hint="default"/>
                <w:color w:val="auto"/>
                <w:sz w:val="18"/>
                <w:szCs w:val="18"/>
                <w:highlight w:val="none"/>
              </w:rPr>
              <w:t>3、检测对象包括：学生端及其外接设备（电子目镜、电子显微镜、抓拍控制器等）、智慧视频采集系统。</w:t>
            </w:r>
          </w:p>
          <w:p>
            <w:pPr>
              <w:textAlignment w:val="center"/>
              <w:rPr>
                <w:rStyle w:val="67"/>
                <w:rFonts w:hint="default"/>
                <w:color w:val="auto"/>
                <w:sz w:val="18"/>
                <w:szCs w:val="18"/>
                <w:highlight w:val="none"/>
              </w:rPr>
            </w:pPr>
            <w:r>
              <w:rPr>
                <w:rStyle w:val="67"/>
                <w:rFonts w:hint="default"/>
                <w:color w:val="auto"/>
                <w:sz w:val="18"/>
                <w:szCs w:val="18"/>
                <w:highlight w:val="none"/>
              </w:rPr>
              <w:t>【实验室设备配置管理】</w:t>
            </w:r>
          </w:p>
          <w:p>
            <w:pPr>
              <w:textAlignment w:val="center"/>
              <w:rPr>
                <w:rStyle w:val="67"/>
                <w:rFonts w:hint="default"/>
                <w:color w:val="auto"/>
                <w:sz w:val="18"/>
                <w:szCs w:val="18"/>
                <w:highlight w:val="none"/>
              </w:rPr>
            </w:pPr>
            <w:r>
              <w:rPr>
                <w:rStyle w:val="67"/>
                <w:rFonts w:hint="default"/>
                <w:color w:val="auto"/>
                <w:sz w:val="18"/>
                <w:szCs w:val="18"/>
                <w:highlight w:val="none"/>
              </w:rPr>
              <w:t>1、设备安装初始化配置：学生端桌号极速配置；智慧视频采集系统桌号绑定和录制参数初始化、系统时钟同步，支持摄像头参数初始化批量操作。</w:t>
            </w:r>
          </w:p>
          <w:p>
            <w:pPr>
              <w:textAlignment w:val="center"/>
              <w:rPr>
                <w:rStyle w:val="67"/>
                <w:rFonts w:hint="default"/>
                <w:color w:val="auto"/>
                <w:sz w:val="18"/>
                <w:szCs w:val="18"/>
                <w:highlight w:val="none"/>
              </w:rPr>
            </w:pPr>
            <w:r>
              <w:rPr>
                <w:rStyle w:val="67"/>
                <w:rFonts w:hint="default"/>
                <w:color w:val="auto"/>
                <w:sz w:val="18"/>
                <w:szCs w:val="18"/>
                <w:highlight w:val="none"/>
              </w:rPr>
              <w:t>2、设备软件升级管理：支持学生端和智慧视频采集系统软件批量在线升级。</w:t>
            </w:r>
          </w:p>
          <w:p>
            <w:pPr>
              <w:textAlignment w:val="center"/>
              <w:rPr>
                <w:rStyle w:val="67"/>
                <w:rFonts w:hint="default"/>
                <w:color w:val="auto"/>
                <w:sz w:val="18"/>
                <w:szCs w:val="18"/>
                <w:highlight w:val="none"/>
              </w:rPr>
            </w:pPr>
            <w:r>
              <w:rPr>
                <w:rStyle w:val="67"/>
                <w:rFonts w:hint="default"/>
                <w:color w:val="auto"/>
                <w:sz w:val="18"/>
                <w:szCs w:val="18"/>
                <w:highlight w:val="none"/>
              </w:rPr>
              <w:t>4.同时提供实验操作考试管理系统（监考端）软件著作权证书、基本符合 GB/T 22239-2019《信息安全技术网络安全等级保护基本要求》三级（S3A3G3）中安全计算环境的相关标准要求、相关软件功能测试报告及系统安全测试报告。</w:t>
            </w:r>
          </w:p>
          <w:p>
            <w:pPr>
              <w:textAlignment w:val="center"/>
              <w:rPr>
                <w:rStyle w:val="67"/>
                <w:rFonts w:hint="default"/>
                <w:color w:val="auto"/>
                <w:sz w:val="18"/>
                <w:szCs w:val="18"/>
                <w:highlight w:val="none"/>
              </w:rPr>
            </w:pPr>
            <w:r>
              <w:rPr>
                <w:rStyle w:val="67"/>
                <w:rFonts w:hint="default"/>
                <w:color w:val="auto"/>
                <w:sz w:val="18"/>
                <w:szCs w:val="18"/>
                <w:highlight w:val="none"/>
              </w:rPr>
              <w:t>B:非功能参数</w:t>
            </w:r>
          </w:p>
          <w:p>
            <w:pPr>
              <w:textAlignment w:val="center"/>
              <w:rPr>
                <w:rStyle w:val="67"/>
                <w:rFonts w:hint="default"/>
                <w:color w:val="auto"/>
                <w:sz w:val="18"/>
                <w:szCs w:val="18"/>
                <w:highlight w:val="none"/>
              </w:rPr>
            </w:pPr>
            <w:r>
              <w:rPr>
                <w:rStyle w:val="67"/>
                <w:rFonts w:hint="default"/>
                <w:color w:val="auto"/>
                <w:sz w:val="18"/>
                <w:szCs w:val="18"/>
                <w:highlight w:val="none"/>
              </w:rPr>
              <w:t>1、提供完备的身份验证机制，提供用户密码保护</w:t>
            </w:r>
          </w:p>
          <w:p>
            <w:pPr>
              <w:textAlignment w:val="center"/>
              <w:rPr>
                <w:rStyle w:val="67"/>
                <w:rFonts w:hint="default"/>
                <w:color w:val="auto"/>
                <w:sz w:val="18"/>
                <w:szCs w:val="18"/>
                <w:highlight w:val="none"/>
              </w:rPr>
            </w:pPr>
            <w:r>
              <w:rPr>
                <w:rStyle w:val="67"/>
                <w:rFonts w:hint="default"/>
                <w:color w:val="auto"/>
                <w:sz w:val="18"/>
                <w:szCs w:val="18"/>
                <w:highlight w:val="none"/>
              </w:rPr>
              <w:t>2、支持 B/S 架构，基于浏览器操作，客户端要求零安装，支持谷歌Chrome浏览器。一般处理响应时间少于1秒，少数复杂处理时间少于3秒。</w:t>
            </w:r>
          </w:p>
          <w:p>
            <w:pPr>
              <w:textAlignment w:val="center"/>
              <w:rPr>
                <w:rStyle w:val="67"/>
                <w:rFonts w:hint="default"/>
                <w:color w:val="auto"/>
                <w:sz w:val="18"/>
                <w:szCs w:val="18"/>
                <w:highlight w:val="none"/>
              </w:rPr>
            </w:pPr>
            <w:r>
              <w:rPr>
                <w:rStyle w:val="67"/>
                <w:rFonts w:hint="default"/>
                <w:color w:val="auto"/>
                <w:sz w:val="18"/>
                <w:szCs w:val="18"/>
                <w:highlight w:val="none"/>
              </w:rPr>
              <w:t>3、开放性：系统提供多种HTTP接口，满足与其他信息化系统的对接要求</w:t>
            </w:r>
          </w:p>
          <w:p>
            <w:pPr>
              <w:textAlignment w:val="center"/>
              <w:rPr>
                <w:rStyle w:val="67"/>
                <w:rFonts w:hint="default"/>
                <w:color w:val="auto"/>
                <w:sz w:val="18"/>
                <w:szCs w:val="18"/>
                <w:highlight w:val="none"/>
              </w:rPr>
            </w:pPr>
            <w:r>
              <w:rPr>
                <w:rStyle w:val="67"/>
                <w:rFonts w:hint="default"/>
                <w:color w:val="auto"/>
                <w:sz w:val="18"/>
                <w:szCs w:val="18"/>
                <w:highlight w:val="none"/>
              </w:rPr>
              <w:t>4、可维护性与可用性：系统具备7*24小时稳定运行的能力，系统具备完整的日志机制，能够快速跟踪定位系统问题。</w:t>
            </w:r>
          </w:p>
          <w:p>
            <w:pPr>
              <w:textAlignment w:val="center"/>
              <w:rPr>
                <w:rFonts w:ascii="宋体" w:hAnsi="宋体" w:cs="宋体"/>
                <w:color w:val="auto"/>
                <w:sz w:val="18"/>
                <w:szCs w:val="18"/>
                <w:highlight w:val="none"/>
              </w:rPr>
            </w:pPr>
            <w:r>
              <w:rPr>
                <w:rStyle w:val="67"/>
                <w:rFonts w:hint="default"/>
                <w:color w:val="auto"/>
                <w:sz w:val="18"/>
                <w:szCs w:val="18"/>
                <w:highlight w:val="none"/>
              </w:rPr>
              <w:t>二、教室监考端：台式机：Core i7-10700 2.9G 8C vPro/32GB(16+16) DDR4 2933 内存/1T机械硬盘+128固态硬盘 千兆网卡，23.8寸IPS显示器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学生教考终端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67"/>
                <w:rFonts w:hint="default"/>
                <w:color w:val="auto"/>
                <w:sz w:val="18"/>
                <w:szCs w:val="18"/>
                <w:highlight w:val="none"/>
              </w:rPr>
            </w:pPr>
            <w:r>
              <w:rPr>
                <w:rStyle w:val="67"/>
                <w:rFonts w:hint="default"/>
                <w:color w:val="auto"/>
                <w:sz w:val="18"/>
                <w:szCs w:val="18"/>
                <w:highlight w:val="none"/>
              </w:rPr>
              <w:t>【集成系统】</w:t>
            </w:r>
          </w:p>
          <w:p>
            <w:pPr>
              <w:textAlignment w:val="center"/>
              <w:rPr>
                <w:rStyle w:val="67"/>
                <w:rFonts w:hint="default"/>
                <w:color w:val="auto"/>
                <w:sz w:val="18"/>
                <w:szCs w:val="18"/>
                <w:highlight w:val="none"/>
              </w:rPr>
            </w:pPr>
            <w:r>
              <w:rPr>
                <w:rStyle w:val="67"/>
                <w:rFonts w:hint="default"/>
                <w:color w:val="auto"/>
                <w:sz w:val="18"/>
                <w:szCs w:val="18"/>
                <w:highlight w:val="none"/>
              </w:rPr>
              <w:t>1、可折叠、易收纳的一体式支架，集成考试终端和视频采集设备。</w:t>
            </w:r>
          </w:p>
          <w:p>
            <w:pPr>
              <w:textAlignment w:val="center"/>
              <w:rPr>
                <w:rStyle w:val="67"/>
                <w:rFonts w:hint="default"/>
                <w:color w:val="auto"/>
                <w:sz w:val="18"/>
                <w:szCs w:val="18"/>
                <w:highlight w:val="none"/>
              </w:rPr>
            </w:pPr>
            <w:r>
              <w:rPr>
                <w:rStyle w:val="67"/>
                <w:rFonts w:hint="default"/>
                <w:color w:val="auto"/>
                <w:sz w:val="18"/>
                <w:szCs w:val="18"/>
                <w:highlight w:val="none"/>
              </w:rPr>
              <w:t>2、内置成套电源和网络模块，极简对外接口1+1（1个RJ45+1个220V电源口）。</w:t>
            </w:r>
          </w:p>
          <w:p>
            <w:pPr>
              <w:textAlignment w:val="center"/>
              <w:rPr>
                <w:rStyle w:val="67"/>
                <w:rFonts w:hint="default"/>
                <w:color w:val="auto"/>
                <w:sz w:val="18"/>
                <w:szCs w:val="18"/>
                <w:highlight w:val="none"/>
              </w:rPr>
            </w:pPr>
            <w:r>
              <w:rPr>
                <w:rStyle w:val="67"/>
                <w:rFonts w:hint="default"/>
                <w:color w:val="auto"/>
                <w:sz w:val="18"/>
                <w:szCs w:val="18"/>
                <w:highlight w:val="none"/>
              </w:rPr>
              <w:t>【考试终端】</w:t>
            </w:r>
          </w:p>
          <w:p>
            <w:pPr>
              <w:textAlignment w:val="center"/>
              <w:rPr>
                <w:rStyle w:val="67"/>
                <w:rFonts w:hint="default"/>
                <w:color w:val="auto"/>
                <w:sz w:val="18"/>
                <w:szCs w:val="18"/>
                <w:highlight w:val="none"/>
              </w:rPr>
            </w:pPr>
            <w:r>
              <w:rPr>
                <w:rStyle w:val="67"/>
                <w:rFonts w:hint="default"/>
                <w:color w:val="auto"/>
                <w:sz w:val="18"/>
                <w:szCs w:val="18"/>
                <w:highlight w:val="none"/>
              </w:rPr>
              <w:t>1.显示、触控一体化超薄设计；</w:t>
            </w:r>
          </w:p>
          <w:p>
            <w:pPr>
              <w:textAlignment w:val="center"/>
              <w:rPr>
                <w:rStyle w:val="67"/>
                <w:rFonts w:hint="default"/>
                <w:color w:val="auto"/>
                <w:sz w:val="18"/>
                <w:szCs w:val="18"/>
                <w:highlight w:val="none"/>
              </w:rPr>
            </w:pPr>
            <w:r>
              <w:rPr>
                <w:rStyle w:val="67"/>
                <w:rFonts w:hint="default"/>
                <w:color w:val="auto"/>
                <w:sz w:val="18"/>
                <w:szCs w:val="18"/>
                <w:highlight w:val="none"/>
              </w:rPr>
              <w:t>2.处理器：6核ARM架构CPU 频率可达1.8GHz</w:t>
            </w:r>
          </w:p>
          <w:p>
            <w:pPr>
              <w:textAlignment w:val="center"/>
              <w:rPr>
                <w:rStyle w:val="67"/>
                <w:rFonts w:hint="default"/>
                <w:color w:val="auto"/>
                <w:sz w:val="18"/>
                <w:szCs w:val="18"/>
                <w:highlight w:val="none"/>
              </w:rPr>
            </w:pPr>
            <w:r>
              <w:rPr>
                <w:rStyle w:val="67"/>
                <w:rFonts w:hint="default"/>
                <w:color w:val="auto"/>
                <w:sz w:val="18"/>
                <w:szCs w:val="18"/>
                <w:highlight w:val="none"/>
              </w:rPr>
              <w:t>3.存储：4G RAM+32G存储；</w:t>
            </w:r>
          </w:p>
          <w:p>
            <w:pPr>
              <w:textAlignment w:val="center"/>
              <w:rPr>
                <w:rStyle w:val="67"/>
                <w:rFonts w:hint="default"/>
                <w:color w:val="auto"/>
                <w:sz w:val="18"/>
                <w:szCs w:val="18"/>
                <w:highlight w:val="none"/>
              </w:rPr>
            </w:pPr>
            <w:r>
              <w:rPr>
                <w:rStyle w:val="67"/>
                <w:rFonts w:hint="default"/>
                <w:color w:val="auto"/>
                <w:sz w:val="18"/>
                <w:szCs w:val="18"/>
                <w:highlight w:val="none"/>
              </w:rPr>
              <w:t>4.15.6寸IPS显示屏，分辨率1920*1080；</w:t>
            </w:r>
          </w:p>
          <w:p>
            <w:pPr>
              <w:textAlignment w:val="center"/>
              <w:rPr>
                <w:rStyle w:val="67"/>
                <w:rFonts w:hint="default"/>
                <w:color w:val="auto"/>
                <w:sz w:val="18"/>
                <w:szCs w:val="18"/>
                <w:highlight w:val="none"/>
              </w:rPr>
            </w:pPr>
            <w:r>
              <w:rPr>
                <w:rStyle w:val="67"/>
                <w:rFonts w:hint="default"/>
                <w:color w:val="auto"/>
                <w:sz w:val="18"/>
                <w:szCs w:val="18"/>
                <w:highlight w:val="none"/>
              </w:rPr>
              <w:t>5.扩充性好：配置灵活，多个USB接口，100M/1000M自适应以太网口，可扩充安装客户需求的各种功能配件；</w:t>
            </w:r>
          </w:p>
          <w:p>
            <w:pPr>
              <w:textAlignment w:val="center"/>
              <w:rPr>
                <w:rStyle w:val="67"/>
                <w:rFonts w:hint="default"/>
                <w:color w:val="auto"/>
                <w:sz w:val="18"/>
                <w:szCs w:val="18"/>
                <w:highlight w:val="none"/>
              </w:rPr>
            </w:pPr>
            <w:r>
              <w:rPr>
                <w:rStyle w:val="67"/>
                <w:rFonts w:hint="default"/>
                <w:color w:val="auto"/>
                <w:sz w:val="18"/>
                <w:szCs w:val="18"/>
                <w:highlight w:val="none"/>
              </w:rPr>
              <w:t>6.视频解码支持1080P 全高清 MPEG、H.264 、H.265等；</w:t>
            </w:r>
          </w:p>
          <w:p>
            <w:pPr>
              <w:textAlignment w:val="center"/>
              <w:rPr>
                <w:rStyle w:val="67"/>
                <w:rFonts w:hint="default"/>
                <w:color w:val="auto"/>
                <w:sz w:val="18"/>
                <w:szCs w:val="18"/>
                <w:highlight w:val="none"/>
              </w:rPr>
            </w:pPr>
            <w:r>
              <w:rPr>
                <w:rStyle w:val="67"/>
                <w:rFonts w:hint="default"/>
                <w:color w:val="auto"/>
                <w:sz w:val="18"/>
                <w:szCs w:val="18"/>
                <w:highlight w:val="none"/>
              </w:rPr>
              <w:t>【视频采集设备】</w:t>
            </w:r>
          </w:p>
          <w:p>
            <w:pPr>
              <w:textAlignment w:val="center"/>
              <w:rPr>
                <w:rStyle w:val="67"/>
                <w:rFonts w:hint="default"/>
                <w:color w:val="auto"/>
                <w:sz w:val="18"/>
                <w:szCs w:val="18"/>
                <w:highlight w:val="none"/>
              </w:rPr>
            </w:pPr>
            <w:r>
              <w:rPr>
                <w:rStyle w:val="67"/>
                <w:rFonts w:hint="default"/>
                <w:color w:val="auto"/>
                <w:sz w:val="18"/>
                <w:szCs w:val="18"/>
                <w:highlight w:val="none"/>
              </w:rPr>
              <w:t>1.每套由≥3个高清广角镜头组成，视频分辨率≥400万，帧率≥25帧/s；</w:t>
            </w:r>
          </w:p>
          <w:p>
            <w:pPr>
              <w:textAlignment w:val="center"/>
              <w:rPr>
                <w:rStyle w:val="67"/>
                <w:rFonts w:hint="default"/>
                <w:color w:val="auto"/>
                <w:sz w:val="18"/>
                <w:szCs w:val="18"/>
                <w:highlight w:val="none"/>
              </w:rPr>
            </w:pPr>
            <w:r>
              <w:rPr>
                <w:rStyle w:val="67"/>
                <w:rFonts w:hint="default"/>
                <w:color w:val="auto"/>
                <w:sz w:val="18"/>
                <w:szCs w:val="18"/>
                <w:highlight w:val="none"/>
              </w:rPr>
              <w:t>2.记录实验操作过程并形成视频文件,传输至视频服务器。视频文件格式可以用浏览器直接播放。</w:t>
            </w:r>
          </w:p>
          <w:p>
            <w:pPr>
              <w:textAlignment w:val="center"/>
              <w:rPr>
                <w:rStyle w:val="67"/>
                <w:rFonts w:hint="default"/>
                <w:color w:val="auto"/>
                <w:sz w:val="18"/>
                <w:szCs w:val="18"/>
                <w:highlight w:val="none"/>
              </w:rPr>
            </w:pPr>
            <w:r>
              <w:rPr>
                <w:rStyle w:val="67"/>
                <w:rFonts w:hint="default"/>
                <w:color w:val="auto"/>
                <w:sz w:val="18"/>
                <w:szCs w:val="18"/>
                <w:highlight w:val="none"/>
              </w:rPr>
              <w:t>3.多路码流：支持高清录制和标清预览多码流，码率可定制，支持500-16000Kbps。4.支持MJPEG、H.265、H.264视频文件压缩编码。</w:t>
            </w:r>
          </w:p>
          <w:p>
            <w:pPr>
              <w:textAlignment w:val="center"/>
              <w:rPr>
                <w:rStyle w:val="67"/>
                <w:rFonts w:hint="default"/>
                <w:color w:val="auto"/>
                <w:sz w:val="18"/>
                <w:szCs w:val="18"/>
                <w:highlight w:val="none"/>
              </w:rPr>
            </w:pPr>
            <w:r>
              <w:rPr>
                <w:rStyle w:val="67"/>
                <w:rFonts w:hint="default"/>
                <w:color w:val="auto"/>
                <w:sz w:val="18"/>
                <w:szCs w:val="18"/>
                <w:highlight w:val="none"/>
              </w:rPr>
              <w:t>5.支持RTSP、OnVif等标准协议；</w:t>
            </w:r>
          </w:p>
          <w:p>
            <w:pPr>
              <w:textAlignment w:val="center"/>
              <w:rPr>
                <w:rStyle w:val="67"/>
                <w:rFonts w:hint="default"/>
                <w:color w:val="auto"/>
                <w:sz w:val="18"/>
                <w:szCs w:val="18"/>
                <w:highlight w:val="none"/>
              </w:rPr>
            </w:pPr>
            <w:r>
              <w:rPr>
                <w:rStyle w:val="67"/>
                <w:rFonts w:hint="default"/>
                <w:color w:val="auto"/>
                <w:sz w:val="18"/>
                <w:szCs w:val="18"/>
                <w:highlight w:val="none"/>
              </w:rPr>
              <w:t>6.提供RJ45 100M以太网接口。</w:t>
            </w:r>
          </w:p>
          <w:p>
            <w:pPr>
              <w:textAlignment w:val="center"/>
              <w:rPr>
                <w:rStyle w:val="67"/>
                <w:rFonts w:hint="default"/>
                <w:color w:val="auto"/>
                <w:sz w:val="18"/>
                <w:szCs w:val="18"/>
                <w:highlight w:val="none"/>
              </w:rPr>
            </w:pPr>
            <w:r>
              <w:rPr>
                <w:rStyle w:val="67"/>
                <w:rFonts w:hint="default"/>
                <w:color w:val="auto"/>
                <w:sz w:val="18"/>
                <w:szCs w:val="18"/>
                <w:highlight w:val="none"/>
              </w:rPr>
              <w:t>7.电线：最大电阻：≤4.61Ω/km。</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8、支架采用铝合金型材，一体成型，形成可折叠、易收纳的一体式支架，集成考试终端和视频采集设备。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★铝合金型材技术要求满足：GB/T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提供由生产厂家送检满足以上技术要求具有CMA、CAL、ilac-MRA、CNAS认证的由省级或省级以上检测机构出具的铝合金型材检测报告复印件。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9、连接件采用ABS专用耐腐蚀连接件组装。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★耐腐蚀连接件技术要求满足：GB/T 10125-2021 人造气氛腐蚀试验 盐雾试验 ，GB/T 6461-2002  金属基体上金属和其他无机覆盖层 经腐蚀试验后的试样和试件的评级，1、耐腐蚀：中性盐雾（72h）  无缺陷10级。</w:t>
            </w:r>
          </w:p>
          <w:p>
            <w:pPr>
              <w:textAlignment w:val="center"/>
              <w:rPr>
                <w:rStyle w:val="67"/>
                <w:rFonts w:hint="default"/>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提供由生产厂家送检满足以上技术要求具有CMA、CAL、ilac-MRA、CNAS认证的由省级或省级以上检测机构出具的耐腐蚀连接件检测报告复印件。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841"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实验操作考试管理软件（考试端）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A:功能参数</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【考试模式-数据采集】</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1、支持人脸识别，准确快速验证考生身份；</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2、结构化实验报告：让学生通过触摸屏便捷准确记录指定格式实验数据；支持填空、表格、标注、电路图等多样化报告格式；</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3、支持实验现象拍照报告、显微镜抓图功能；</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【教学模式-课堂互动】</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1、智能分组，刷脸签到。</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2、异步浏览：浏览课件资源，课前预习，与老师教学思路同步。</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3、支持举手提问、抢答，及时与老师互动。</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4、实操测评：课堂模拟实操练习，通过视频录制与回放，实现本组自评、分组互评，加深认知实验操作要点，同时减轻老师教学负担。</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5、堂测堂评：随堂练习客观题，温习巩固当堂学习的实验理论知识和实践认知。</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6、同时提供实验操作考试管理系统（考试端）软件著作权证书、基本符合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7、UBS固定件与显示器固定板采用高强镀锌钢板制作而成。</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★高强度镀锌钢板技术要求满足：GB/T 10125-2021 人造气氛腐蚀试验 盐雾试验 ，GB/T 6461-2002  金属基体上金属和其他无机覆盖层，经腐蚀试验后的试样和试件的评级，1、耐腐蚀：中性盐雾（72h）  无缺陷10级提供由生产厂家送检满足以上技术要求具有CMA、CAL、ilac-MRA、CNAS认证的由省级或省级以上检测机构出具的高强度镀锌钢板检测报告复印件（原件备查）</w:t>
            </w:r>
          </w:p>
          <w:p>
            <w:pPr>
              <w:spacing w:line="360" w:lineRule="auto"/>
              <w:textAlignment w:val="center"/>
              <w:rPr>
                <w:rStyle w:val="67"/>
                <w:rFonts w:hint="default"/>
                <w:color w:val="auto"/>
                <w:sz w:val="18"/>
                <w:szCs w:val="18"/>
                <w:highlight w:val="none"/>
              </w:rPr>
            </w:pPr>
            <w:r>
              <w:rPr>
                <w:rFonts w:hint="eastAsia" w:ascii="宋体" w:hAnsi="宋体" w:cs="宋体"/>
                <w:color w:val="auto"/>
                <w:sz w:val="18"/>
                <w:szCs w:val="18"/>
                <w:highlight w:val="none"/>
              </w:rPr>
              <w:t>2、内置成套电源和网络模块，极简对外接口1+1（1个RJ45+1个220V电源口）。</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B:非功能参数</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1、提供完备的身份验证机制，提供用户密码保护</w:t>
            </w:r>
          </w:p>
          <w:p>
            <w:pPr>
              <w:spacing w:line="360" w:lineRule="auto"/>
              <w:textAlignment w:val="center"/>
              <w:rPr>
                <w:rStyle w:val="67"/>
                <w:rFonts w:hint="default"/>
                <w:color w:val="auto"/>
                <w:sz w:val="18"/>
                <w:szCs w:val="18"/>
                <w:highlight w:val="none"/>
              </w:rPr>
            </w:pPr>
            <w:r>
              <w:rPr>
                <w:rStyle w:val="67"/>
                <w:rFonts w:hint="default"/>
                <w:color w:val="auto"/>
                <w:sz w:val="18"/>
                <w:szCs w:val="18"/>
                <w:highlight w:val="none"/>
              </w:rPr>
              <w:t>2、考试APP所有功能的响应时间都少于1秒</w:t>
            </w:r>
          </w:p>
          <w:p>
            <w:pPr>
              <w:spacing w:line="360" w:lineRule="auto"/>
              <w:textAlignment w:val="center"/>
              <w:rPr>
                <w:rFonts w:ascii="宋体" w:hAnsi="宋体" w:cs="宋体"/>
                <w:color w:val="auto"/>
                <w:sz w:val="18"/>
                <w:szCs w:val="18"/>
                <w:highlight w:val="none"/>
              </w:rPr>
            </w:pPr>
            <w:r>
              <w:rPr>
                <w:rStyle w:val="67"/>
                <w:rFonts w:hint="default"/>
                <w:color w:val="auto"/>
                <w:sz w:val="18"/>
                <w:szCs w:val="18"/>
                <w:highlight w:val="none"/>
              </w:rPr>
              <w:t>3、高可维护性与可用性：APP更新，安装，删除可以批量处理，可以高效地进行APP的各种维护和设置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高清电子目镜</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67"/>
                <w:rFonts w:hint="default"/>
                <w:color w:val="auto"/>
                <w:sz w:val="18"/>
                <w:szCs w:val="18"/>
                <w:highlight w:val="none"/>
              </w:rPr>
            </w:pPr>
            <w:r>
              <w:rPr>
                <w:rStyle w:val="67"/>
                <w:rFonts w:hint="default"/>
                <w:color w:val="auto"/>
                <w:sz w:val="18"/>
                <w:szCs w:val="18"/>
                <w:highlight w:val="none"/>
              </w:rPr>
              <w:t>适显微镜用高清电子目镜200万像素数码摄像头测量处理软件，用于生物显微镜观察实验。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课堂教学模块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67"/>
                <w:rFonts w:hint="default"/>
                <w:color w:val="auto"/>
                <w:sz w:val="18"/>
                <w:szCs w:val="18"/>
                <w:highlight w:val="none"/>
              </w:rPr>
            </w:pPr>
            <w:r>
              <w:rPr>
                <w:rStyle w:val="67"/>
                <w:rFonts w:hint="default"/>
                <w:color w:val="auto"/>
                <w:sz w:val="18"/>
                <w:szCs w:val="18"/>
                <w:highlight w:val="none"/>
              </w:rPr>
              <w:t>1、投屏控屏：教师端同步投屏到智慧大屏，可控制学生端屏幕。</w:t>
            </w:r>
          </w:p>
          <w:p>
            <w:pPr>
              <w:textAlignment w:val="center"/>
              <w:rPr>
                <w:rStyle w:val="67"/>
                <w:rFonts w:hint="default"/>
                <w:color w:val="auto"/>
                <w:sz w:val="18"/>
                <w:szCs w:val="18"/>
                <w:highlight w:val="none"/>
              </w:rPr>
            </w:pPr>
            <w:r>
              <w:rPr>
                <w:rStyle w:val="67"/>
                <w:rFonts w:hint="default"/>
                <w:color w:val="auto"/>
                <w:sz w:val="18"/>
                <w:szCs w:val="18"/>
                <w:highlight w:val="none"/>
              </w:rPr>
              <w:t>2、演示实验：教师可实操演示并投屏，可播放备课视频；</w:t>
            </w:r>
          </w:p>
          <w:p>
            <w:pPr>
              <w:textAlignment w:val="center"/>
              <w:rPr>
                <w:rStyle w:val="67"/>
                <w:rFonts w:hint="default"/>
                <w:color w:val="auto"/>
                <w:sz w:val="18"/>
                <w:szCs w:val="18"/>
                <w:highlight w:val="none"/>
              </w:rPr>
            </w:pPr>
            <w:r>
              <w:rPr>
                <w:rStyle w:val="67"/>
                <w:rFonts w:hint="default"/>
                <w:color w:val="auto"/>
                <w:sz w:val="18"/>
                <w:szCs w:val="18"/>
                <w:highlight w:val="none"/>
              </w:rPr>
              <w:t>3、走动教学：充分发挥移动端优势，走动穿插与学生互动；随堂提问：可以通过备课预设问题与学生互动，也可以随机生成提问；支持集体作答、随机指定、自主抢答等多种方式，及时反馈学生答题统计结果，形成生动的互动教学氛围；</w:t>
            </w:r>
          </w:p>
          <w:p>
            <w:pPr>
              <w:textAlignment w:val="center"/>
              <w:rPr>
                <w:rStyle w:val="67"/>
                <w:rFonts w:hint="default"/>
                <w:color w:val="auto"/>
                <w:sz w:val="18"/>
                <w:szCs w:val="18"/>
                <w:highlight w:val="none"/>
              </w:rPr>
            </w:pPr>
            <w:r>
              <w:rPr>
                <w:rStyle w:val="67"/>
                <w:rFonts w:hint="default"/>
                <w:color w:val="auto"/>
                <w:sz w:val="18"/>
                <w:szCs w:val="18"/>
                <w:highlight w:val="none"/>
              </w:rPr>
              <w:t>4、学生实验点评：当堂抽取实操测评实验视频，回放并点评得失。</w:t>
            </w:r>
          </w:p>
          <w:p>
            <w:pPr>
              <w:textAlignment w:val="center"/>
              <w:rPr>
                <w:rStyle w:val="67"/>
                <w:rFonts w:hint="default"/>
                <w:color w:val="auto"/>
                <w:sz w:val="18"/>
                <w:szCs w:val="18"/>
                <w:highlight w:val="none"/>
              </w:rPr>
            </w:pPr>
            <w:r>
              <w:rPr>
                <w:rStyle w:val="67"/>
                <w:rFonts w:hint="default"/>
                <w:color w:val="auto"/>
                <w:sz w:val="18"/>
                <w:szCs w:val="18"/>
                <w:highlight w:val="none"/>
              </w:rPr>
              <w:t>【智能化评价管理】</w:t>
            </w:r>
          </w:p>
          <w:p>
            <w:pPr>
              <w:textAlignment w:val="center"/>
              <w:rPr>
                <w:rStyle w:val="67"/>
                <w:rFonts w:hint="default"/>
                <w:color w:val="auto"/>
                <w:sz w:val="18"/>
                <w:szCs w:val="18"/>
                <w:highlight w:val="none"/>
              </w:rPr>
            </w:pPr>
            <w:r>
              <w:rPr>
                <w:rStyle w:val="67"/>
                <w:rFonts w:hint="default"/>
                <w:color w:val="auto"/>
                <w:sz w:val="18"/>
                <w:szCs w:val="18"/>
                <w:highlight w:val="none"/>
              </w:rPr>
              <w:t>1、开启实操测评：根据备课预设开展实验操作随堂练习，支持开启学生分组自评与互评模式，全程录制操作视频，教师可当堂回放点评；</w:t>
            </w:r>
          </w:p>
          <w:p>
            <w:pPr>
              <w:textAlignment w:val="center"/>
              <w:rPr>
                <w:rStyle w:val="67"/>
                <w:rFonts w:hint="default"/>
                <w:color w:val="auto"/>
                <w:sz w:val="18"/>
                <w:szCs w:val="18"/>
                <w:highlight w:val="none"/>
              </w:rPr>
            </w:pPr>
            <w:r>
              <w:rPr>
                <w:rStyle w:val="67"/>
                <w:rFonts w:hint="default"/>
                <w:color w:val="auto"/>
                <w:sz w:val="18"/>
                <w:szCs w:val="18"/>
                <w:highlight w:val="none"/>
              </w:rPr>
              <w:t>2、开启堂测堂评：课堂知识点回顾，根据备课预设课堂练习题，自动生成测验成绩和统计结果；</w:t>
            </w:r>
          </w:p>
          <w:p>
            <w:pPr>
              <w:textAlignment w:val="center"/>
              <w:rPr>
                <w:rStyle w:val="67"/>
                <w:rFonts w:hint="default"/>
                <w:color w:val="auto"/>
                <w:sz w:val="18"/>
                <w:szCs w:val="18"/>
                <w:highlight w:val="none"/>
              </w:rPr>
            </w:pPr>
            <w:r>
              <w:rPr>
                <w:rStyle w:val="67"/>
                <w:rFonts w:hint="default"/>
                <w:color w:val="auto"/>
                <w:sz w:val="18"/>
                <w:szCs w:val="18"/>
                <w:highlight w:val="none"/>
              </w:rPr>
              <w:t>3、生成式素质评价系统：自动采集生成课堂学习数据，自动生成多维度素质评价。</w:t>
            </w:r>
          </w:p>
          <w:p>
            <w:pPr>
              <w:textAlignment w:val="center"/>
              <w:rPr>
                <w:rStyle w:val="67"/>
                <w:rFonts w:hint="default"/>
                <w:color w:val="auto"/>
                <w:sz w:val="18"/>
                <w:szCs w:val="18"/>
                <w:highlight w:val="none"/>
              </w:rPr>
            </w:pPr>
            <w:r>
              <w:rPr>
                <w:rStyle w:val="67"/>
                <w:rFonts w:hint="default"/>
                <w:color w:val="auto"/>
                <w:sz w:val="18"/>
                <w:szCs w:val="18"/>
                <w:highlight w:val="none"/>
              </w:rPr>
              <w:t>同时提供实验操作日常教学管理软件著作权证书、基本符合 GB/T 22239-2019《信息安全技术网络安全等级保护基本要求》三级（S3A3G3）中安全计算环境的相关标准要求、相关软件功能测试报告及系统安全测试报告。</w:t>
            </w:r>
          </w:p>
          <w:p>
            <w:pPr>
              <w:textAlignment w:val="center"/>
              <w:rPr>
                <w:rStyle w:val="67"/>
                <w:rFonts w:hint="default"/>
                <w:color w:val="auto"/>
                <w:sz w:val="18"/>
                <w:szCs w:val="18"/>
                <w:highlight w:val="none"/>
              </w:rPr>
            </w:pPr>
            <w:r>
              <w:rPr>
                <w:rStyle w:val="67"/>
                <w:rFonts w:hint="default"/>
                <w:color w:val="auto"/>
                <w:sz w:val="18"/>
                <w:szCs w:val="18"/>
                <w:highlight w:val="none"/>
              </w:rPr>
              <w:t>B:非功能参数</w:t>
            </w:r>
          </w:p>
          <w:p>
            <w:pPr>
              <w:textAlignment w:val="center"/>
              <w:rPr>
                <w:rStyle w:val="67"/>
                <w:rFonts w:hint="default"/>
                <w:color w:val="auto"/>
                <w:sz w:val="18"/>
                <w:szCs w:val="18"/>
                <w:highlight w:val="none"/>
              </w:rPr>
            </w:pPr>
            <w:r>
              <w:rPr>
                <w:rStyle w:val="67"/>
                <w:rFonts w:hint="default"/>
                <w:color w:val="auto"/>
                <w:sz w:val="18"/>
                <w:szCs w:val="18"/>
                <w:highlight w:val="none"/>
              </w:rPr>
              <w:t>1、提供完备的身份验证机制，提供用户密码保护</w:t>
            </w:r>
          </w:p>
          <w:p>
            <w:pPr>
              <w:textAlignment w:val="center"/>
              <w:rPr>
                <w:rStyle w:val="67"/>
                <w:rFonts w:hint="default"/>
                <w:color w:val="auto"/>
                <w:sz w:val="18"/>
                <w:szCs w:val="18"/>
                <w:highlight w:val="none"/>
              </w:rPr>
            </w:pPr>
            <w:r>
              <w:rPr>
                <w:rStyle w:val="67"/>
                <w:rFonts w:hint="default"/>
                <w:color w:val="auto"/>
                <w:sz w:val="18"/>
                <w:szCs w:val="18"/>
                <w:highlight w:val="none"/>
              </w:rPr>
              <w:t>2、教学APP所有功能的响应时间都少于1秒</w:t>
            </w:r>
          </w:p>
          <w:p>
            <w:pPr>
              <w:textAlignment w:val="center"/>
              <w:rPr>
                <w:rStyle w:val="67"/>
                <w:rFonts w:hint="default"/>
                <w:color w:val="auto"/>
                <w:sz w:val="18"/>
                <w:szCs w:val="18"/>
                <w:highlight w:val="none"/>
              </w:rPr>
            </w:pPr>
            <w:r>
              <w:rPr>
                <w:rStyle w:val="67"/>
                <w:rFonts w:hint="default"/>
                <w:color w:val="auto"/>
                <w:sz w:val="18"/>
                <w:szCs w:val="18"/>
                <w:highlight w:val="none"/>
              </w:rPr>
              <w:t>3、高可维护性与可用性：APP更新，安装，删除可以批量处理，可以高效地进行APP的各种维护和设置</w:t>
            </w:r>
          </w:p>
          <w:p>
            <w:pPr>
              <w:textAlignment w:val="center"/>
              <w:rPr>
                <w:rStyle w:val="67"/>
                <w:rFonts w:hint="default"/>
                <w:color w:val="auto"/>
                <w:sz w:val="18"/>
                <w:szCs w:val="18"/>
                <w:highlight w:val="none"/>
              </w:rPr>
            </w:pPr>
            <w:r>
              <w:rPr>
                <w:rStyle w:val="67"/>
                <w:rFonts w:hint="default"/>
                <w:color w:val="auto"/>
                <w:sz w:val="18"/>
                <w:szCs w:val="18"/>
                <w:highlight w:val="none"/>
              </w:rPr>
              <w:t>二、教学智慧终端：</w:t>
            </w:r>
          </w:p>
          <w:p>
            <w:pPr>
              <w:textAlignment w:val="center"/>
              <w:rPr>
                <w:rStyle w:val="67"/>
                <w:rFonts w:hint="default"/>
                <w:color w:val="auto"/>
                <w:sz w:val="18"/>
                <w:szCs w:val="18"/>
                <w:highlight w:val="none"/>
              </w:rPr>
            </w:pPr>
            <w:r>
              <w:rPr>
                <w:rStyle w:val="67"/>
                <w:rFonts w:hint="default"/>
                <w:color w:val="auto"/>
                <w:sz w:val="18"/>
                <w:szCs w:val="18"/>
                <w:highlight w:val="none"/>
              </w:rPr>
              <w:t>处理器：主频2.5GHz以上,8核CPU+8核GPU</w:t>
            </w:r>
          </w:p>
          <w:p>
            <w:pPr>
              <w:textAlignment w:val="center"/>
              <w:rPr>
                <w:rStyle w:val="67"/>
                <w:rFonts w:hint="default"/>
                <w:color w:val="auto"/>
                <w:sz w:val="18"/>
                <w:szCs w:val="18"/>
                <w:highlight w:val="none"/>
              </w:rPr>
            </w:pPr>
            <w:r>
              <w:rPr>
                <w:rStyle w:val="67"/>
                <w:rFonts w:hint="default"/>
                <w:color w:val="auto"/>
                <w:sz w:val="18"/>
                <w:szCs w:val="18"/>
                <w:highlight w:val="none"/>
              </w:rPr>
              <w:t>屏幕：10.4英寸IPS触摸屏，16:10，2K高分辨率（2000*1200）</w:t>
            </w:r>
          </w:p>
          <w:p>
            <w:pPr>
              <w:textAlignment w:val="center"/>
              <w:rPr>
                <w:rStyle w:val="67"/>
                <w:rFonts w:hint="default"/>
                <w:color w:val="auto"/>
                <w:sz w:val="18"/>
                <w:szCs w:val="18"/>
                <w:highlight w:val="none"/>
              </w:rPr>
            </w:pPr>
            <w:r>
              <w:rPr>
                <w:rStyle w:val="67"/>
                <w:rFonts w:hint="default"/>
                <w:color w:val="auto"/>
                <w:sz w:val="18"/>
                <w:szCs w:val="18"/>
                <w:highlight w:val="none"/>
              </w:rPr>
              <w:t>内存：6GB+64GB</w:t>
            </w:r>
          </w:p>
          <w:p>
            <w:pPr>
              <w:textAlignment w:val="center"/>
              <w:rPr>
                <w:rStyle w:val="67"/>
                <w:rFonts w:hint="default"/>
                <w:color w:val="auto"/>
                <w:sz w:val="18"/>
                <w:szCs w:val="18"/>
                <w:highlight w:val="none"/>
              </w:rPr>
            </w:pPr>
            <w:r>
              <w:rPr>
                <w:rStyle w:val="67"/>
                <w:rFonts w:hint="default"/>
                <w:color w:val="auto"/>
                <w:sz w:val="18"/>
                <w:szCs w:val="18"/>
                <w:highlight w:val="none"/>
              </w:rPr>
              <w:t>电池：7250mAh，支持视频播放10小时</w:t>
            </w:r>
          </w:p>
          <w:p>
            <w:pPr>
              <w:textAlignment w:val="center"/>
              <w:rPr>
                <w:rStyle w:val="67"/>
                <w:rFonts w:hint="default"/>
                <w:color w:val="auto"/>
                <w:sz w:val="18"/>
                <w:szCs w:val="18"/>
                <w:highlight w:val="none"/>
              </w:rPr>
            </w:pPr>
            <w:r>
              <w:rPr>
                <w:rStyle w:val="67"/>
                <w:rFonts w:hint="default"/>
                <w:color w:val="auto"/>
                <w:sz w:val="18"/>
                <w:szCs w:val="18"/>
                <w:highlight w:val="none"/>
              </w:rPr>
              <w:t>WIFI：2.4GHz&amp;5GHz双频段</w:t>
            </w:r>
          </w:p>
          <w:p>
            <w:pPr>
              <w:textAlignment w:val="center"/>
              <w:rPr>
                <w:rStyle w:val="67"/>
                <w:rFonts w:hint="default"/>
                <w:color w:val="auto"/>
                <w:sz w:val="18"/>
                <w:szCs w:val="18"/>
                <w:highlight w:val="none"/>
              </w:rPr>
            </w:pPr>
            <w:r>
              <w:rPr>
                <w:rStyle w:val="67"/>
                <w:rFonts w:hint="default"/>
                <w:color w:val="auto"/>
                <w:sz w:val="18"/>
                <w:szCs w:val="18"/>
                <w:highlight w:val="none"/>
              </w:rPr>
              <w:t>三、无线投屏接收器：</w:t>
            </w:r>
          </w:p>
          <w:p>
            <w:pPr>
              <w:textAlignment w:val="center"/>
              <w:rPr>
                <w:rStyle w:val="67"/>
                <w:rFonts w:hint="default"/>
                <w:color w:val="auto"/>
                <w:sz w:val="18"/>
                <w:szCs w:val="18"/>
                <w:highlight w:val="none"/>
              </w:rPr>
            </w:pPr>
            <w:r>
              <w:rPr>
                <w:rStyle w:val="67"/>
                <w:rFonts w:hint="default"/>
                <w:color w:val="auto"/>
                <w:sz w:val="18"/>
                <w:szCs w:val="18"/>
                <w:highlight w:val="none"/>
              </w:rPr>
              <w:t>支持扫码连接，4K高清</w:t>
            </w:r>
          </w:p>
          <w:p>
            <w:pPr>
              <w:textAlignment w:val="center"/>
              <w:rPr>
                <w:rStyle w:val="67"/>
                <w:rFonts w:hint="default"/>
                <w:color w:val="auto"/>
                <w:sz w:val="18"/>
                <w:szCs w:val="18"/>
                <w:highlight w:val="none"/>
              </w:rPr>
            </w:pPr>
            <w:r>
              <w:rPr>
                <w:rStyle w:val="67"/>
                <w:rFonts w:hint="default"/>
                <w:color w:val="auto"/>
                <w:sz w:val="18"/>
                <w:szCs w:val="18"/>
                <w:highlight w:val="none"/>
              </w:rPr>
              <w:t>支持手机、平板</w:t>
            </w:r>
          </w:p>
          <w:p>
            <w:pPr>
              <w:textAlignment w:val="center"/>
              <w:rPr>
                <w:rStyle w:val="67"/>
                <w:rFonts w:hint="default"/>
                <w:color w:val="auto"/>
                <w:sz w:val="18"/>
                <w:szCs w:val="18"/>
                <w:highlight w:val="none"/>
              </w:rPr>
            </w:pPr>
            <w:r>
              <w:rPr>
                <w:rStyle w:val="67"/>
                <w:rFonts w:hint="default"/>
                <w:color w:val="auto"/>
                <w:sz w:val="18"/>
                <w:szCs w:val="18"/>
                <w:highlight w:val="none"/>
              </w:rPr>
              <w:t>支持Android、iOS、windows等多种系统</w:t>
            </w:r>
          </w:p>
          <w:p>
            <w:pPr>
              <w:textAlignment w:val="center"/>
              <w:rPr>
                <w:rStyle w:val="67"/>
                <w:rFonts w:hint="default"/>
                <w:color w:val="auto"/>
                <w:sz w:val="18"/>
                <w:szCs w:val="18"/>
                <w:highlight w:val="none"/>
              </w:rPr>
            </w:pPr>
            <w:r>
              <w:rPr>
                <w:rStyle w:val="67"/>
                <w:rFonts w:hint="default"/>
                <w:color w:val="auto"/>
                <w:sz w:val="18"/>
                <w:szCs w:val="18"/>
                <w:highlight w:val="none"/>
              </w:rPr>
              <w:t>画面流畅无时延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教考网络模块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67"/>
                <w:rFonts w:hint="default"/>
                <w:color w:val="auto"/>
                <w:sz w:val="18"/>
                <w:szCs w:val="18"/>
                <w:highlight w:val="none"/>
              </w:rPr>
            </w:pPr>
            <w:r>
              <w:rPr>
                <w:rStyle w:val="67"/>
                <w:rFonts w:hint="default"/>
                <w:color w:val="auto"/>
                <w:sz w:val="18"/>
                <w:szCs w:val="18"/>
                <w:highlight w:val="none"/>
              </w:rPr>
              <w:t>一、实验室教学扩展无线信号终端：</w:t>
            </w:r>
          </w:p>
          <w:p>
            <w:pPr>
              <w:textAlignment w:val="center"/>
              <w:rPr>
                <w:rStyle w:val="67"/>
                <w:rFonts w:hint="default"/>
                <w:color w:val="auto"/>
                <w:sz w:val="18"/>
                <w:szCs w:val="18"/>
                <w:highlight w:val="none"/>
              </w:rPr>
            </w:pPr>
            <w:r>
              <w:rPr>
                <w:rStyle w:val="67"/>
                <w:rFonts w:hint="default"/>
                <w:color w:val="auto"/>
                <w:sz w:val="18"/>
                <w:szCs w:val="18"/>
                <w:highlight w:val="none"/>
              </w:rPr>
              <w:t>吸顶式全千兆无线接入点</w:t>
            </w:r>
          </w:p>
          <w:p>
            <w:pPr>
              <w:textAlignment w:val="center"/>
              <w:rPr>
                <w:rStyle w:val="67"/>
                <w:rFonts w:hint="default"/>
                <w:color w:val="auto"/>
                <w:sz w:val="18"/>
                <w:szCs w:val="18"/>
                <w:highlight w:val="none"/>
              </w:rPr>
            </w:pPr>
            <w:r>
              <w:rPr>
                <w:rStyle w:val="67"/>
                <w:rFonts w:hint="default"/>
                <w:color w:val="auto"/>
                <w:sz w:val="18"/>
                <w:szCs w:val="18"/>
                <w:highlight w:val="none"/>
              </w:rPr>
              <w:t>支持硬件拨码，多种覆盖场景一键切换</w:t>
            </w:r>
          </w:p>
          <w:p>
            <w:pPr>
              <w:textAlignment w:val="center"/>
              <w:rPr>
                <w:rStyle w:val="67"/>
                <w:rFonts w:hint="default"/>
                <w:color w:val="auto"/>
                <w:sz w:val="18"/>
                <w:szCs w:val="18"/>
                <w:highlight w:val="none"/>
              </w:rPr>
            </w:pPr>
            <w:r>
              <w:rPr>
                <w:rStyle w:val="67"/>
                <w:rFonts w:hint="default"/>
                <w:color w:val="auto"/>
                <w:sz w:val="18"/>
                <w:szCs w:val="18"/>
                <w:highlight w:val="none"/>
              </w:rPr>
              <w:t>支持频谱导航技术，优先连接速率更快的5G频段</w:t>
            </w:r>
          </w:p>
          <w:p>
            <w:pPr>
              <w:textAlignment w:val="center"/>
              <w:rPr>
                <w:rStyle w:val="67"/>
                <w:rFonts w:hint="default"/>
                <w:color w:val="auto"/>
                <w:sz w:val="18"/>
                <w:szCs w:val="18"/>
                <w:highlight w:val="none"/>
              </w:rPr>
            </w:pPr>
            <w:r>
              <w:rPr>
                <w:rStyle w:val="67"/>
                <w:rFonts w:hint="default"/>
                <w:color w:val="auto"/>
                <w:sz w:val="18"/>
                <w:szCs w:val="18"/>
                <w:highlight w:val="none"/>
              </w:rPr>
              <w:t>2.4G和5G双频覆盖，无线接入用户更多，干扰更少</w:t>
            </w:r>
          </w:p>
          <w:p>
            <w:pPr>
              <w:textAlignment w:val="center"/>
              <w:rPr>
                <w:rStyle w:val="67"/>
                <w:rFonts w:hint="default"/>
                <w:color w:val="auto"/>
                <w:sz w:val="18"/>
                <w:szCs w:val="18"/>
                <w:highlight w:val="none"/>
              </w:rPr>
            </w:pPr>
            <w:r>
              <w:rPr>
                <w:rStyle w:val="67"/>
                <w:rFonts w:hint="default"/>
                <w:color w:val="auto"/>
                <w:sz w:val="18"/>
                <w:szCs w:val="18"/>
                <w:highlight w:val="none"/>
              </w:rPr>
              <w:t>支持802.11ac标准，提供1200M高速无线传输速率</w:t>
            </w:r>
          </w:p>
          <w:p>
            <w:pPr>
              <w:textAlignment w:val="center"/>
              <w:rPr>
                <w:rStyle w:val="67"/>
                <w:rFonts w:hint="default"/>
                <w:color w:val="auto"/>
                <w:sz w:val="18"/>
                <w:szCs w:val="18"/>
                <w:highlight w:val="none"/>
              </w:rPr>
            </w:pPr>
            <w:r>
              <w:rPr>
                <w:rStyle w:val="67"/>
                <w:rFonts w:hint="default"/>
                <w:color w:val="auto"/>
                <w:sz w:val="18"/>
                <w:szCs w:val="18"/>
                <w:highlight w:val="none"/>
              </w:rPr>
              <w:t>全千兆端口，提供千兆有线传输速率</w:t>
            </w:r>
          </w:p>
          <w:p>
            <w:pPr>
              <w:textAlignment w:val="center"/>
              <w:rPr>
                <w:rStyle w:val="67"/>
                <w:rFonts w:hint="default"/>
                <w:color w:val="auto"/>
                <w:sz w:val="18"/>
                <w:szCs w:val="18"/>
                <w:highlight w:val="none"/>
              </w:rPr>
            </w:pPr>
            <w:r>
              <w:rPr>
                <w:rStyle w:val="67"/>
                <w:rFonts w:hint="default"/>
                <w:color w:val="auto"/>
                <w:sz w:val="18"/>
                <w:szCs w:val="18"/>
                <w:highlight w:val="none"/>
              </w:rPr>
              <w:t>二、AP供电单元：</w:t>
            </w:r>
          </w:p>
          <w:p>
            <w:pPr>
              <w:textAlignment w:val="center"/>
              <w:rPr>
                <w:rStyle w:val="67"/>
                <w:rFonts w:hint="default"/>
                <w:color w:val="auto"/>
                <w:sz w:val="18"/>
                <w:szCs w:val="18"/>
                <w:highlight w:val="none"/>
              </w:rPr>
            </w:pPr>
            <w:r>
              <w:rPr>
                <w:rStyle w:val="67"/>
                <w:rFonts w:hint="default"/>
                <w:color w:val="auto"/>
                <w:sz w:val="18"/>
                <w:szCs w:val="18"/>
                <w:highlight w:val="none"/>
              </w:rPr>
              <w:t>PoE供电器模块</w:t>
            </w:r>
          </w:p>
          <w:p>
            <w:pPr>
              <w:textAlignment w:val="center"/>
              <w:rPr>
                <w:rStyle w:val="67"/>
                <w:rFonts w:hint="default"/>
                <w:color w:val="auto"/>
                <w:sz w:val="18"/>
                <w:szCs w:val="18"/>
                <w:highlight w:val="none"/>
              </w:rPr>
            </w:pPr>
            <w:r>
              <w:rPr>
                <w:rStyle w:val="67"/>
                <w:rFonts w:hint="default"/>
                <w:color w:val="auto"/>
                <w:sz w:val="18"/>
                <w:szCs w:val="18"/>
                <w:highlight w:val="none"/>
              </w:rPr>
              <w:t>输出功率：15.4W</w:t>
            </w:r>
          </w:p>
          <w:p>
            <w:pPr>
              <w:textAlignment w:val="center"/>
              <w:rPr>
                <w:rStyle w:val="67"/>
                <w:rFonts w:hint="default"/>
                <w:color w:val="auto"/>
                <w:sz w:val="18"/>
                <w:szCs w:val="18"/>
                <w:highlight w:val="none"/>
              </w:rPr>
            </w:pPr>
            <w:r>
              <w:rPr>
                <w:rStyle w:val="67"/>
                <w:rFonts w:hint="default"/>
                <w:color w:val="auto"/>
                <w:sz w:val="18"/>
                <w:szCs w:val="18"/>
                <w:highlight w:val="none"/>
              </w:rPr>
              <w:t>三、企业级二层网管接入交换机：</w:t>
            </w:r>
          </w:p>
          <w:p>
            <w:pPr>
              <w:textAlignment w:val="center"/>
              <w:rPr>
                <w:rStyle w:val="67"/>
                <w:rFonts w:hint="default"/>
                <w:color w:val="auto"/>
                <w:sz w:val="18"/>
                <w:szCs w:val="18"/>
                <w:highlight w:val="none"/>
              </w:rPr>
            </w:pPr>
            <w:r>
              <w:rPr>
                <w:rStyle w:val="67"/>
                <w:rFonts w:hint="default"/>
                <w:color w:val="auto"/>
                <w:sz w:val="18"/>
                <w:szCs w:val="18"/>
                <w:highlight w:val="none"/>
              </w:rPr>
              <w:t>48口全千兆企业级二层交换机</w:t>
            </w:r>
          </w:p>
          <w:p>
            <w:pPr>
              <w:textAlignment w:val="center"/>
              <w:rPr>
                <w:rStyle w:val="67"/>
                <w:rFonts w:hint="default"/>
                <w:color w:val="auto"/>
                <w:sz w:val="18"/>
                <w:szCs w:val="18"/>
                <w:highlight w:val="none"/>
              </w:rPr>
            </w:pPr>
            <w:r>
              <w:rPr>
                <w:rStyle w:val="67"/>
                <w:rFonts w:hint="default"/>
                <w:color w:val="auto"/>
                <w:sz w:val="18"/>
                <w:szCs w:val="18"/>
                <w:highlight w:val="none"/>
              </w:rPr>
              <w:t xml:space="preserve">1.网管网络交换器 </w:t>
            </w:r>
          </w:p>
          <w:p>
            <w:pPr>
              <w:textAlignment w:val="center"/>
              <w:rPr>
                <w:rStyle w:val="67"/>
                <w:rFonts w:hint="default"/>
                <w:color w:val="auto"/>
                <w:sz w:val="18"/>
                <w:szCs w:val="18"/>
                <w:highlight w:val="none"/>
              </w:rPr>
            </w:pPr>
            <w:r>
              <w:rPr>
                <w:rStyle w:val="67"/>
                <w:rFonts w:hint="default"/>
                <w:color w:val="auto"/>
                <w:sz w:val="18"/>
                <w:szCs w:val="18"/>
                <w:highlight w:val="none"/>
              </w:rPr>
              <w:t xml:space="preserve">2.48千兆电口 4千兆光口 </w:t>
            </w:r>
          </w:p>
          <w:p>
            <w:pPr>
              <w:textAlignment w:val="center"/>
              <w:rPr>
                <w:rStyle w:val="67"/>
                <w:rFonts w:hint="default"/>
                <w:color w:val="auto"/>
                <w:sz w:val="18"/>
                <w:szCs w:val="18"/>
                <w:highlight w:val="none"/>
              </w:rPr>
            </w:pPr>
            <w:r>
              <w:rPr>
                <w:rStyle w:val="67"/>
                <w:rFonts w:hint="default"/>
                <w:color w:val="auto"/>
                <w:sz w:val="18"/>
                <w:szCs w:val="18"/>
                <w:highlight w:val="none"/>
              </w:rPr>
              <w:t>3.支持VLAN</w:t>
            </w:r>
            <w:r>
              <w:rPr>
                <w:rStyle w:val="67"/>
                <w:rFonts w:hint="default" w:ascii="MS Mincho" w:hAnsi="MS Mincho" w:eastAsia="MS Mincho" w:cs="MS Mincho"/>
                <w:color w:val="auto"/>
                <w:sz w:val="18"/>
                <w:szCs w:val="18"/>
                <w:highlight w:val="none"/>
              </w:rPr>
              <w:t>↵</w:t>
            </w:r>
            <w:r>
              <w:rPr>
                <w:rStyle w:val="67"/>
                <w:rFonts w:hint="default"/>
                <w:color w:val="auto"/>
                <w:sz w:val="18"/>
                <w:szCs w:val="18"/>
                <w:highlight w:val="none"/>
              </w:rPr>
              <w:t>交换容量：&gt;240Gbps</w:t>
            </w:r>
          </w:p>
          <w:p>
            <w:pPr>
              <w:textAlignment w:val="center"/>
              <w:rPr>
                <w:rStyle w:val="67"/>
                <w:rFonts w:hint="default"/>
                <w:color w:val="auto"/>
                <w:sz w:val="18"/>
                <w:szCs w:val="18"/>
                <w:highlight w:val="none"/>
              </w:rPr>
            </w:pPr>
            <w:r>
              <w:rPr>
                <w:rStyle w:val="67"/>
                <w:rFonts w:hint="default"/>
                <w:color w:val="auto"/>
                <w:sz w:val="18"/>
                <w:szCs w:val="18"/>
                <w:highlight w:val="none"/>
              </w:rPr>
              <w:t>4.包转发率：&gt;78Mpps</w:t>
            </w:r>
            <w:r>
              <w:rPr>
                <w:rStyle w:val="67"/>
                <w:rFonts w:hint="default" w:ascii="MS Mincho" w:hAnsi="MS Mincho" w:eastAsia="MS Mincho" w:cs="MS Mincho"/>
                <w:color w:val="auto"/>
                <w:sz w:val="18"/>
                <w:szCs w:val="18"/>
                <w:highlight w:val="none"/>
              </w:rPr>
              <w:t>↵</w:t>
            </w:r>
          </w:p>
          <w:p>
            <w:pPr>
              <w:textAlignment w:val="center"/>
              <w:rPr>
                <w:rStyle w:val="67"/>
                <w:rFonts w:hint="default"/>
                <w:color w:val="auto"/>
                <w:sz w:val="18"/>
                <w:szCs w:val="18"/>
                <w:highlight w:val="none"/>
              </w:rPr>
            </w:pPr>
            <w:r>
              <w:rPr>
                <w:rStyle w:val="67"/>
                <w:rFonts w:hint="default"/>
                <w:color w:val="auto"/>
                <w:sz w:val="18"/>
                <w:szCs w:val="18"/>
                <w:highlight w:val="none"/>
              </w:rPr>
              <w:t>5.端口：48*10/100/1000Base-T</w:t>
            </w:r>
          </w:p>
          <w:p>
            <w:pPr>
              <w:textAlignment w:val="center"/>
              <w:rPr>
                <w:rStyle w:val="67"/>
                <w:rFonts w:hint="default"/>
                <w:color w:val="auto"/>
                <w:sz w:val="18"/>
                <w:szCs w:val="18"/>
                <w:highlight w:val="none"/>
              </w:rPr>
            </w:pPr>
            <w:r>
              <w:rPr>
                <w:rStyle w:val="67"/>
                <w:rFonts w:hint="default"/>
                <w:color w:val="auto"/>
                <w:sz w:val="18"/>
                <w:szCs w:val="18"/>
                <w:highlight w:val="none"/>
              </w:rPr>
              <w:t>6.以太网端口4*100/1000 Base-X SFP光口</w:t>
            </w:r>
          </w:p>
          <w:p>
            <w:pPr>
              <w:textAlignment w:val="center"/>
              <w:rPr>
                <w:rStyle w:val="67"/>
                <w:rFonts w:hint="default"/>
                <w:color w:val="auto"/>
                <w:sz w:val="18"/>
                <w:szCs w:val="18"/>
                <w:highlight w:val="none"/>
              </w:rPr>
            </w:pPr>
            <w:r>
              <w:rPr>
                <w:rStyle w:val="67"/>
                <w:rFonts w:hint="default"/>
                <w:color w:val="auto"/>
                <w:sz w:val="18"/>
                <w:szCs w:val="18"/>
                <w:highlight w:val="none"/>
              </w:rPr>
              <w:t>7.以太网特性：流控（802.3x）、链路聚合（802.3ad）、802.1p、802.1Q，STP(802.1D）/RSTP（802.1w）/MSTP（802.1s）、TC snooping、环回保护设备功耗≤32W</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现场环境改造及安装调试</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67"/>
                <w:rFonts w:hint="default"/>
                <w:color w:val="auto"/>
                <w:sz w:val="18"/>
                <w:szCs w:val="18"/>
                <w:highlight w:val="none"/>
              </w:rPr>
            </w:pPr>
            <w:r>
              <w:rPr>
                <w:rStyle w:val="67"/>
                <w:rFonts w:hint="default"/>
                <w:color w:val="auto"/>
                <w:sz w:val="18"/>
                <w:szCs w:val="18"/>
                <w:highlight w:val="none"/>
              </w:rPr>
              <w:t>1.根据现场实际情况进行改造，保证产品正常安装。</w:t>
            </w:r>
          </w:p>
          <w:p>
            <w:pPr>
              <w:textAlignment w:val="center"/>
              <w:rPr>
                <w:rStyle w:val="67"/>
                <w:rFonts w:hint="default"/>
                <w:color w:val="auto"/>
                <w:sz w:val="18"/>
                <w:szCs w:val="18"/>
                <w:highlight w:val="none"/>
              </w:rPr>
            </w:pPr>
            <w:r>
              <w:rPr>
                <w:rStyle w:val="67"/>
                <w:rFonts w:hint="default"/>
                <w:color w:val="auto"/>
                <w:sz w:val="18"/>
                <w:szCs w:val="18"/>
                <w:highlight w:val="none"/>
              </w:rPr>
              <w:t>2.工程师现场设备安装及软件环境调试（含集中培训一次）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bl>
    <w:p>
      <w:pPr>
        <w:pStyle w:val="16"/>
        <w:spacing w:line="360" w:lineRule="auto"/>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四、服务要求</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b/>
          <w:bCs/>
          <w:color w:val="auto"/>
          <w:sz w:val="24"/>
          <w:highlight w:val="none"/>
        </w:rPr>
        <w:t>. 产品运输、保险及保管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 成交供应商负责产品到采购人指定地点的全部运输，包括装卸及现场搬运等。</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 成交供应商负责产品在采购人指定地点的保管，直至项目验收合格。</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 成交供应商负责其派出的工作人员的人身意外保险。</w:t>
      </w:r>
    </w:p>
    <w:p>
      <w:pPr>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 安装调试</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 成交供应商须加强施工的组织管理，所有工作人员须遵守文明安全施工的有关规章制度，持证上岗。</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 项目完成后，成交供应商应将项目有关的全部资料，包括产品资料、技术文档、施工图纸等，移交采购人。</w:t>
      </w:r>
    </w:p>
    <w:p>
      <w:pPr>
        <w:spacing w:line="360" w:lineRule="auto"/>
        <w:ind w:left="-622" w:leftChars="-296"/>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 xml:space="preserve">      3. 项目验收</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 项目验收国家有强制性规定的，按国家规定执行，验收费用由采购人承担，验收报告作为申请付款的凭证之一。</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 验收过程中产生纠纷的，由质量技术监督部门认定的检测机构检测,如为成交供应商原因造成的，由成交供应商承担检测费用；否则，由采购人承担。</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 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spacing w:line="360" w:lineRule="auto"/>
        <w:ind w:left="-622" w:leftChars="-296"/>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 xml:space="preserve">      4.质量保证</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4.1所有产品超出厂家正常保修范围的，成交供应商需向厂家购买；未在投标报价表中单列其费用的，视为免费提供。</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4.2成交供应商提供的产品应是原装正品，符合国家质量检测标准，具有出厂合格证或国家鉴定合格证。</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4.3质保期应从终验合格之日算起。超出厂家正常保修范围的，成交供应商需向厂家购买；未在投标报价表中单列其费用的，视为免费提供。</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4.4质保期内因设备质量或安装调试原因引起的全部维修费用（包括更换零配件的费用）均由成交供应商承担。在质保期满后提供终身技术支持，并按最低价格提供所需系统配件。</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4.5质保期外，成交供应商签订合同后每半年回访一次，所需费用由成交供应商承担，发现问题及时通知采购人，且应提供广泛而优惠的技术支持及备件的供应，设备维修零配件须以优惠价给采购人。</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4.6质保期内所有设备维修和保养等要求免费上门服务。</w:t>
      </w:r>
    </w:p>
    <w:p>
      <w:pPr>
        <w:spacing w:line="360" w:lineRule="auto"/>
        <w:ind w:left="718" w:leftChars="1" w:hanging="716" w:hangingChars="297"/>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5. 售后服务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5.1设备维修要求提交以下内容。</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1）定期维修计划。</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2）对采购人不定期维修要求的响应措施。</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3）对用户修改设计要求的响应措施。</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5.2技术支持</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1）提供7×24小时的技术咨询服务。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2）敏感时期、重大节假日提供技术人员值守服务。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5.3故障响应</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1）提供7×24小时的故障服务受理。</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2）对重大故障提供7×24小时的现场支援，一般故障提供5×4小时的现场支援。</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3）备件服务：遇到重大故障，提供设备所需更换的任何备件。</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5.4质保期内出现任何质量问题（人为破坏或自然灾害等不可抗力除外），由成交供应商负责全免费（免全部工时费、材料费、管理费、财务费等等）更换或维修。质保期满后，无论采购人是否另行选择维保供应商，成交供应商应及时优惠提供所需的备品备件。</w:t>
      </w:r>
    </w:p>
    <w:p>
      <w:pPr>
        <w:pStyle w:val="10"/>
        <w:tabs>
          <w:tab w:val="left" w:pos="567"/>
        </w:tabs>
        <w:spacing w:line="360" w:lineRule="auto"/>
        <w:rPr>
          <w:rFonts w:cs="宋体" w:asciiTheme="minorEastAsia" w:hAnsiTheme="minorEastAsia" w:eastAsiaTheme="minorEastAsia"/>
          <w:b w:val="0"/>
          <w:color w:val="auto"/>
          <w:sz w:val="24"/>
          <w:highlight w:val="none"/>
        </w:rPr>
      </w:pPr>
      <w:r>
        <w:rPr>
          <w:rFonts w:hint="eastAsia" w:cs="宋体" w:asciiTheme="minorEastAsia" w:hAnsiTheme="minorEastAsia" w:eastAsiaTheme="minorEastAsia"/>
          <w:b w:val="0"/>
          <w:color w:val="auto"/>
          <w:sz w:val="24"/>
          <w:highlight w:val="none"/>
        </w:rPr>
        <w:t>5.5产品交付使用后，成交供应商负责每半年要深入产品使用单位进行一次巡检服务，巡检服务情况要经学校管理部门签署意见后报相关管理部门备查。</w:t>
      </w:r>
    </w:p>
    <w:p>
      <w:pPr>
        <w:spacing w:line="360" w:lineRule="auto"/>
        <w:ind w:left="718" w:leftChars="1" w:hanging="716" w:hangingChars="297"/>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6.培训</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 w:val="24"/>
          <w:highlight w:val="none"/>
        </w:rPr>
        <w:t>6.1 成交供应商应按采购人要求免费提供安装前技术指导和设备调试时的现场指导，按采购人要求进行调试和验收。且免费培训采购方（按采购方要求进行人员培训）操作管理及维护人员，达到熟练掌握产品性能，能及时排除一般故障的程度，并提供其他一切所必须的技术支持。</w:t>
      </w:r>
    </w:p>
    <w:p>
      <w:pPr>
        <w:pStyle w:val="16"/>
        <w:spacing w:line="360" w:lineRule="auto"/>
        <w:rPr>
          <w:rFonts w:cs="宋体" w:asciiTheme="minorEastAsia" w:hAnsiTheme="minorEastAsia" w:eastAsiaTheme="minorEastAsia"/>
          <w:color w:val="auto"/>
          <w:highlight w:val="none"/>
        </w:rPr>
      </w:pPr>
    </w:p>
    <w:p>
      <w:pPr>
        <w:pStyle w:val="16"/>
        <w:spacing w:line="360" w:lineRule="auto"/>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五、商务要求</w:t>
      </w:r>
    </w:p>
    <w:p>
      <w:pPr>
        <w:spacing w:line="360" w:lineRule="auto"/>
        <w:ind w:left="718" w:leftChars="1" w:hanging="716" w:hangingChars="297"/>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1．交货时间、地点及方式</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（1）交货时间：</w:t>
      </w:r>
      <w:r>
        <w:rPr>
          <w:rFonts w:hint="eastAsia" w:cs="宋体" w:asciiTheme="minorEastAsia" w:hAnsiTheme="minorEastAsia" w:eastAsiaTheme="minorEastAsia"/>
          <w:bCs/>
          <w:color w:val="auto"/>
          <w:sz w:val="24"/>
          <w:highlight w:val="none"/>
        </w:rPr>
        <w:t>在合同签订后15日内交货完毕，且安装调试完成。</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（2）交货地点：采购人指定地点。</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（3）交货方式：成交供应商将货物运至采购人指定地点安装完毕直至验收合格；由成交单位承担验收前的一切风险、责任和费用。</w:t>
      </w:r>
    </w:p>
    <w:p>
      <w:pPr>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2.结算方法</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（1）付款人：成交供应商应自成交通知书发出之日起30日内，与采购人</w:t>
      </w:r>
      <w:r>
        <w:rPr>
          <w:rFonts w:hint="eastAsia" w:cs="宋体" w:asciiTheme="minorEastAsia" w:hAnsiTheme="minorEastAsia" w:eastAsiaTheme="minorEastAsia"/>
          <w:bCs/>
          <w:color w:val="auto"/>
          <w:sz w:val="24"/>
          <w:highlight w:val="none"/>
        </w:rPr>
        <w:t>签订采购合同，货款由采购人支付。</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（2）付款方式：</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 xml:space="preserve">  项目验收合格后一次性付清。</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（3）发票要求：提供增值税普通发票。</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3.质保和售后要求超出厂家正常质保期限和要求的，成交供应商收到成交通知书后10天内提交有效证明确保能履行承诺。</w:t>
      </w:r>
    </w:p>
    <w:p>
      <w:pPr>
        <w:spacing w:line="360" w:lineRule="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 w:val="24"/>
          <w:highlight w:val="none"/>
        </w:rPr>
        <w:t>4.供应商须负责所有货物的安装调试直至验收合格。安装过程中，根据现场需要，增加费用，均须包含在投标报价中。供应商应根据项目要求和现场情况，详细列明项目所需的设备及材料购置，以及产品运输保险保管、项目安装调试、试运行测试通过验收、培训、质保期免费保修维护等所有人工、管理、财务等所有费用，如一旦中标或成交，在项目实施中出现任何遗漏，均由成交供应商免费提供，采购人不再支付任何费用。</w:t>
      </w:r>
    </w:p>
    <w:p>
      <w:pPr>
        <w:pStyle w:val="16"/>
        <w:spacing w:line="360" w:lineRule="auto"/>
        <w:rPr>
          <w:rFonts w:cs="宋体" w:asciiTheme="minorEastAsia" w:hAnsiTheme="minorEastAsia" w:eastAsiaTheme="minorEastAsia"/>
          <w:color w:val="auto"/>
          <w:highlight w:val="none"/>
        </w:rPr>
      </w:pPr>
    </w:p>
    <w:p>
      <w:pPr>
        <w:pStyle w:val="16"/>
        <w:spacing w:line="360" w:lineRule="auto"/>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六、其他</w:t>
      </w:r>
    </w:p>
    <w:p>
      <w:pPr>
        <w:pStyle w:val="16"/>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1.质量验收标准或规范：现行的国家标准或国家行政部门颁布的法律法规、规章制度等，没有国家标准的，可以参考行业标准。</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2.质保期：项目整体质保期限不少于</w:t>
      </w:r>
      <w:r>
        <w:rPr>
          <w:rFonts w:hint="eastAsia" w:cs="宋体" w:asciiTheme="minorEastAsia" w:hAnsiTheme="minorEastAsia" w:eastAsiaTheme="minorEastAsia"/>
          <w:b/>
          <w:bCs/>
          <w:color w:val="auto"/>
          <w:sz w:val="24"/>
          <w:highlight w:val="none"/>
        </w:rPr>
        <w:t>叁年</w:t>
      </w:r>
      <w:r>
        <w:rPr>
          <w:rFonts w:hint="eastAsia" w:cs="宋体" w:asciiTheme="minorEastAsia" w:hAnsiTheme="minorEastAsia" w:eastAsiaTheme="minorEastAsia"/>
          <w:color w:val="auto"/>
          <w:sz w:val="24"/>
          <w:highlight w:val="none"/>
        </w:rPr>
        <w:t>，从终验合格之日起计算。</w:t>
      </w:r>
    </w:p>
    <w:p>
      <w:pPr>
        <w:adjustRightInd w:val="0"/>
        <w:spacing w:line="360" w:lineRule="auto"/>
        <w:rPr>
          <w:rFonts w:ascii="宋体" w:hAnsi="宋体" w:cs="宋体"/>
          <w:color w:val="auto"/>
          <w:sz w:val="24"/>
          <w:highlight w:val="none"/>
        </w:rPr>
      </w:pPr>
    </w:p>
    <w:p>
      <w:pPr>
        <w:adjustRightInd w:val="0"/>
        <w:spacing w:line="360" w:lineRule="auto"/>
        <w:rPr>
          <w:rFonts w:ascii="宋体" w:hAnsi="宋体" w:cs="宋体"/>
          <w:color w:val="auto"/>
          <w:sz w:val="24"/>
          <w:highlight w:val="none"/>
        </w:rPr>
      </w:pPr>
    </w:p>
    <w:p>
      <w:pPr>
        <w:spacing w:line="360" w:lineRule="auto"/>
        <w:ind w:firstLine="480"/>
        <w:rPr>
          <w:rFonts w:ascii="宋体" w:hAnsi="宋体" w:cs="宋体"/>
          <w:color w:val="auto"/>
          <w:sz w:val="24"/>
          <w:szCs w:val="22"/>
          <w:highlight w:val="none"/>
        </w:rPr>
      </w:pPr>
      <w:r>
        <w:rPr>
          <w:rFonts w:hint="eastAsia" w:ascii="宋体" w:hAnsi="宋体" w:cs="宋体"/>
          <w:color w:val="auto"/>
          <w:sz w:val="24"/>
          <w:szCs w:val="22"/>
          <w:highlight w:val="none"/>
        </w:rPr>
        <w:br w:type="page"/>
      </w:r>
    </w:p>
    <w:p>
      <w:pPr>
        <w:pStyle w:val="21"/>
        <w:rPr>
          <w:rFonts w:ascii="宋体" w:hAnsi="宋体" w:cs="宋体"/>
          <w:color w:val="auto"/>
          <w:highlight w:val="none"/>
        </w:rPr>
      </w:pPr>
      <w:bookmarkStart w:id="141" w:name="_Toc19530"/>
      <w:r>
        <w:rPr>
          <w:rFonts w:hint="eastAsia" w:ascii="宋体" w:hAnsi="宋体" w:cs="宋体"/>
          <w:color w:val="auto"/>
          <w:highlight w:val="none"/>
        </w:rPr>
        <w:t>第四</w:t>
      </w:r>
      <w:bookmarkEnd w:id="131"/>
      <w:bookmarkStart w:id="142" w:name="_Toc246928931"/>
      <w:r>
        <w:rPr>
          <w:rFonts w:hint="eastAsia" w:ascii="宋体" w:hAnsi="宋体" w:cs="宋体"/>
          <w:color w:val="auto"/>
          <w:highlight w:val="none"/>
        </w:rPr>
        <w:t>章  合同一般条款</w:t>
      </w:r>
      <w:bookmarkEnd w:id="132"/>
      <w:bookmarkEnd w:id="133"/>
      <w:bookmarkEnd w:id="134"/>
      <w:bookmarkEnd w:id="135"/>
      <w:bookmarkEnd w:id="136"/>
      <w:bookmarkEnd w:id="137"/>
      <w:bookmarkEnd w:id="138"/>
      <w:bookmarkEnd w:id="139"/>
      <w:bookmarkEnd w:id="140"/>
      <w:bookmarkEnd w:id="141"/>
      <w:bookmarkEnd w:id="142"/>
    </w:p>
    <w:p>
      <w:pPr>
        <w:spacing w:before="120" w:line="360" w:lineRule="auto"/>
        <w:jc w:val="center"/>
        <w:rPr>
          <w:rFonts w:ascii="宋体" w:hAnsi="宋体" w:cs="宋体"/>
          <w:color w:val="auto"/>
          <w:sz w:val="28"/>
          <w:szCs w:val="28"/>
          <w:highlight w:val="none"/>
        </w:rPr>
      </w:pPr>
      <w:bookmarkStart w:id="143" w:name="_Toc246928960"/>
      <w:bookmarkStart w:id="144" w:name="_Toc497712134"/>
      <w:bookmarkStart w:id="145" w:name="_Toc389620242"/>
      <w:bookmarkStart w:id="146" w:name="_Toc492955460"/>
      <w:bookmarkStart w:id="147" w:name="_Toc497546919"/>
      <w:bookmarkStart w:id="148" w:name="_Toc497551821"/>
      <w:bookmarkStart w:id="149" w:name="_Toc497711586"/>
      <w:bookmarkStart w:id="150" w:name="_Toc385992402"/>
      <w:r>
        <w:rPr>
          <w:rFonts w:hint="eastAsia" w:ascii="宋体" w:hAnsi="宋体" w:cs="宋体"/>
          <w:color w:val="auto"/>
          <w:sz w:val="28"/>
          <w:szCs w:val="28"/>
          <w:highlight w:val="none"/>
        </w:rPr>
        <w:t>（参考格式）</w:t>
      </w:r>
    </w:p>
    <w:p>
      <w:pPr>
        <w:spacing w:before="120" w:line="360" w:lineRule="auto"/>
        <w:jc w:val="center"/>
        <w:rPr>
          <w:rFonts w:ascii="宋体" w:hAnsi="宋体" w:cs="宋体"/>
          <w:b/>
          <w:bCs/>
          <w:color w:val="auto"/>
          <w:sz w:val="36"/>
          <w:szCs w:val="36"/>
          <w:highlight w:val="none"/>
        </w:rPr>
      </w:pPr>
    </w:p>
    <w:p>
      <w:pPr>
        <w:spacing w:before="120" w:line="360" w:lineRule="auto"/>
        <w:jc w:val="center"/>
        <w:rPr>
          <w:rFonts w:ascii="宋体" w:hAnsi="宋体" w:cs="宋体"/>
          <w:b/>
          <w:bCs/>
          <w:color w:val="auto"/>
          <w:sz w:val="36"/>
          <w:szCs w:val="36"/>
          <w:highlight w:val="none"/>
        </w:rPr>
      </w:pPr>
    </w:p>
    <w:p>
      <w:pPr>
        <w:spacing w:before="120" w:line="360" w:lineRule="auto"/>
        <w:jc w:val="center"/>
        <w:rPr>
          <w:rFonts w:ascii="宋体" w:hAnsi="宋体" w:cs="宋体"/>
          <w:b/>
          <w:bCs/>
          <w:color w:val="auto"/>
          <w:sz w:val="36"/>
          <w:szCs w:val="36"/>
          <w:highlight w:val="none"/>
        </w:rPr>
      </w:pPr>
    </w:p>
    <w:p>
      <w:pPr>
        <w:spacing w:before="12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政 府 采 购 合 同</w:t>
      </w:r>
    </w:p>
    <w:p>
      <w:pPr>
        <w:spacing w:before="120" w:line="360" w:lineRule="auto"/>
        <w:jc w:val="center"/>
        <w:rPr>
          <w:rFonts w:ascii="宋体" w:hAnsi="宋体" w:cs="宋体"/>
          <w:color w:val="auto"/>
          <w:sz w:val="28"/>
          <w:szCs w:val="28"/>
          <w:highlight w:val="none"/>
        </w:rPr>
      </w:pPr>
    </w:p>
    <w:p>
      <w:pPr>
        <w:spacing w:before="120" w:line="360" w:lineRule="auto"/>
        <w:ind w:firstLine="3064" w:firstLineChars="1090"/>
        <w:rPr>
          <w:rFonts w:ascii="宋体" w:hAnsi="宋体" w:cs="宋体"/>
          <w:color w:val="auto"/>
          <w:sz w:val="28"/>
          <w:szCs w:val="28"/>
          <w:highlight w:val="none"/>
        </w:rPr>
      </w:pPr>
      <w:bookmarkStart w:id="151" w:name="_Toc109543216"/>
      <w:bookmarkStart w:id="152" w:name="_Toc109542396"/>
      <w:r>
        <w:rPr>
          <w:rFonts w:hint="eastAsia" w:ascii="宋体" w:hAnsi="宋体" w:cs="宋体"/>
          <w:b/>
          <w:bCs/>
          <w:color w:val="auto"/>
          <w:sz w:val="28"/>
          <w:szCs w:val="28"/>
          <w:highlight w:val="none"/>
        </w:rPr>
        <w:t>合同编号：</w:t>
      </w:r>
      <w:bookmarkEnd w:id="151"/>
      <w:bookmarkEnd w:id="152"/>
      <w:r>
        <w:rPr>
          <w:rFonts w:hint="eastAsia" w:ascii="宋体" w:hAnsi="宋体" w:cs="宋体"/>
          <w:b/>
          <w:bCs/>
          <w:color w:val="auto"/>
          <w:sz w:val="28"/>
          <w:szCs w:val="28"/>
          <w:highlight w:val="none"/>
          <w:u w:val="single"/>
        </w:rPr>
        <w:t xml:space="preserve">            </w:t>
      </w:r>
      <w:r>
        <w:rPr>
          <w:rFonts w:hint="eastAsia" w:ascii="宋体" w:hAnsi="宋体" w:cs="宋体"/>
          <w:color w:val="auto"/>
          <w:sz w:val="28"/>
          <w:szCs w:val="28"/>
          <w:highlight w:val="none"/>
        </w:rPr>
        <w:t xml:space="preserve">        </w:t>
      </w:r>
    </w:p>
    <w:p>
      <w:pPr>
        <w:pStyle w:val="8"/>
        <w:spacing w:before="120" w:line="360" w:lineRule="auto"/>
        <w:ind w:firstLine="0"/>
        <w:rPr>
          <w:rFonts w:ascii="宋体" w:hAnsi="宋体" w:cs="宋体"/>
          <w:color w:val="auto"/>
          <w:sz w:val="28"/>
          <w:szCs w:val="28"/>
          <w:highlight w:val="none"/>
        </w:rPr>
      </w:pPr>
    </w:p>
    <w:p>
      <w:pPr>
        <w:spacing w:before="120" w:line="360" w:lineRule="auto"/>
        <w:rPr>
          <w:rFonts w:ascii="宋体" w:hAnsi="宋体" w:cs="宋体"/>
          <w:color w:val="auto"/>
          <w:sz w:val="28"/>
          <w:szCs w:val="28"/>
          <w:highlight w:val="none"/>
        </w:rPr>
      </w:pPr>
    </w:p>
    <w:p>
      <w:pPr>
        <w:spacing w:before="120" w:line="360" w:lineRule="auto"/>
        <w:rPr>
          <w:rFonts w:ascii="宋体" w:hAnsi="宋体" w:cs="宋体"/>
          <w:color w:val="auto"/>
          <w:sz w:val="28"/>
          <w:szCs w:val="28"/>
          <w:highlight w:val="none"/>
        </w:rPr>
      </w:pPr>
    </w:p>
    <w:p>
      <w:pPr>
        <w:spacing w:before="120" w:line="360" w:lineRule="auto"/>
        <w:rPr>
          <w:rFonts w:ascii="宋体" w:hAnsi="宋体" w:cs="宋体"/>
          <w:color w:val="auto"/>
          <w:sz w:val="28"/>
          <w:szCs w:val="28"/>
          <w:highlight w:val="none"/>
        </w:rPr>
      </w:pPr>
    </w:p>
    <w:p>
      <w:pPr>
        <w:spacing w:before="120" w:line="360" w:lineRule="auto"/>
        <w:rPr>
          <w:rFonts w:ascii="宋体" w:hAnsi="宋体" w:cs="宋体"/>
          <w:b/>
          <w:bCs/>
          <w:color w:val="auto"/>
          <w:sz w:val="28"/>
          <w:szCs w:val="28"/>
          <w:highlight w:val="none"/>
        </w:rPr>
      </w:pPr>
    </w:p>
    <w:p>
      <w:pPr>
        <w:spacing w:line="480" w:lineRule="auto"/>
        <w:ind w:left="960"/>
        <w:rPr>
          <w:rFonts w:ascii="宋体" w:hAnsi="宋体" w:cs="宋体"/>
          <w:b/>
          <w:bCs/>
          <w:color w:val="auto"/>
          <w:sz w:val="28"/>
          <w:szCs w:val="28"/>
          <w:highlight w:val="none"/>
        </w:rPr>
      </w:pPr>
      <w:r>
        <w:rPr>
          <w:rFonts w:hint="eastAsia" w:ascii="宋体" w:hAnsi="宋体" w:cs="宋体"/>
          <w:b/>
          <w:bCs/>
          <w:color w:val="auto"/>
          <w:sz w:val="28"/>
          <w:szCs w:val="28"/>
          <w:highlight w:val="none"/>
        </w:rPr>
        <w:t>项目名称：</w:t>
      </w:r>
      <w:r>
        <w:rPr>
          <w:rFonts w:hint="eastAsia" w:ascii="宋体" w:hAnsi="宋体" w:cs="宋体"/>
          <w:b/>
          <w:bCs/>
          <w:color w:val="auto"/>
          <w:sz w:val="28"/>
          <w:szCs w:val="28"/>
          <w:highlight w:val="none"/>
          <w:u w:val="single"/>
        </w:rPr>
        <w:t xml:space="preserve">                                </w:t>
      </w:r>
    </w:p>
    <w:p>
      <w:pPr>
        <w:spacing w:line="480" w:lineRule="auto"/>
        <w:ind w:left="960"/>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采购内容：</w:t>
      </w:r>
      <w:r>
        <w:rPr>
          <w:rFonts w:hint="eastAsia" w:ascii="宋体" w:hAnsi="宋体" w:cs="宋体"/>
          <w:b/>
          <w:bCs/>
          <w:color w:val="auto"/>
          <w:sz w:val="28"/>
          <w:szCs w:val="28"/>
          <w:highlight w:val="none"/>
          <w:u w:val="single"/>
        </w:rPr>
        <w:t xml:space="preserve">                                </w:t>
      </w:r>
    </w:p>
    <w:p>
      <w:pPr>
        <w:spacing w:line="480" w:lineRule="auto"/>
        <w:ind w:left="960"/>
        <w:rPr>
          <w:rFonts w:ascii="宋体" w:hAnsi="宋体" w:cs="宋体"/>
          <w:b/>
          <w:bCs/>
          <w:color w:val="auto"/>
          <w:sz w:val="28"/>
          <w:szCs w:val="28"/>
          <w:highlight w:val="none"/>
        </w:rPr>
      </w:pPr>
      <w:r>
        <w:rPr>
          <w:rFonts w:hint="eastAsia" w:ascii="宋体" w:hAnsi="宋体" w:cs="宋体"/>
          <w:b/>
          <w:bCs/>
          <w:color w:val="auto"/>
          <w:sz w:val="28"/>
          <w:szCs w:val="28"/>
          <w:highlight w:val="none"/>
        </w:rPr>
        <w:t>采购人：</w:t>
      </w:r>
      <w:r>
        <w:rPr>
          <w:rFonts w:hint="eastAsia" w:ascii="宋体" w:hAnsi="宋体" w:cs="宋体"/>
          <w:b/>
          <w:bCs/>
          <w:color w:val="auto"/>
          <w:sz w:val="28"/>
          <w:szCs w:val="28"/>
          <w:highlight w:val="none"/>
          <w:u w:val="single"/>
        </w:rPr>
        <w:t xml:space="preserve">                                  </w:t>
      </w:r>
    </w:p>
    <w:p>
      <w:pPr>
        <w:spacing w:line="480" w:lineRule="auto"/>
        <w:ind w:left="960"/>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成交供应商：</w:t>
      </w:r>
      <w:r>
        <w:rPr>
          <w:rFonts w:hint="eastAsia" w:ascii="宋体" w:hAnsi="宋体" w:cs="宋体"/>
          <w:b/>
          <w:bCs/>
          <w:color w:val="auto"/>
          <w:sz w:val="28"/>
          <w:szCs w:val="28"/>
          <w:highlight w:val="none"/>
          <w:u w:val="single"/>
        </w:rPr>
        <w:t xml:space="preserve">                              </w:t>
      </w:r>
    </w:p>
    <w:p>
      <w:pPr>
        <w:spacing w:line="480" w:lineRule="auto"/>
        <w:ind w:firstLine="981" w:firstLineChars="349"/>
        <w:rPr>
          <w:rFonts w:ascii="宋体" w:hAnsi="宋体" w:cs="宋体"/>
          <w:b/>
          <w:bCs/>
          <w:color w:val="auto"/>
          <w:sz w:val="24"/>
          <w:szCs w:val="24"/>
          <w:highlight w:val="none"/>
          <w:u w:val="single"/>
        </w:rPr>
      </w:pPr>
      <w:r>
        <w:rPr>
          <w:rFonts w:hint="eastAsia" w:ascii="宋体" w:hAnsi="宋体" w:cs="宋体"/>
          <w:b/>
          <w:bCs/>
          <w:color w:val="auto"/>
          <w:sz w:val="28"/>
          <w:szCs w:val="28"/>
          <w:highlight w:val="none"/>
        </w:rPr>
        <w:t>签署日期：</w:t>
      </w:r>
      <w:r>
        <w:rPr>
          <w:rFonts w:hint="eastAsia" w:ascii="宋体" w:hAnsi="宋体" w:cs="宋体"/>
          <w:b/>
          <w:bCs/>
          <w:color w:val="auto"/>
          <w:sz w:val="24"/>
          <w:szCs w:val="24"/>
          <w:highlight w:val="none"/>
          <w:u w:val="single"/>
        </w:rPr>
        <w:t xml:space="preserve">　　　　　　　　　　　　　           </w:t>
      </w:r>
      <w:bookmarkStart w:id="153" w:name="_Toc322598584"/>
      <w:bookmarkStart w:id="154" w:name="_Toc356825230"/>
      <w:bookmarkStart w:id="155" w:name="_Toc356836840"/>
    </w:p>
    <w:bookmarkEnd w:id="153"/>
    <w:bookmarkEnd w:id="154"/>
    <w:bookmarkEnd w:id="155"/>
    <w:p>
      <w:pPr>
        <w:spacing w:line="360" w:lineRule="auto"/>
        <w:jc w:val="center"/>
        <w:rPr>
          <w:rFonts w:ascii="宋体" w:hAnsi="宋体" w:cs="宋体"/>
          <w:b/>
          <w:bCs/>
          <w:color w:val="auto"/>
          <w:sz w:val="36"/>
          <w:szCs w:val="36"/>
          <w:highlight w:val="none"/>
        </w:rPr>
        <w:sectPr>
          <w:headerReference r:id="rId9" w:type="default"/>
          <w:pgSz w:w="11906" w:h="16838"/>
          <w:pgMar w:top="1417" w:right="1644" w:bottom="1191" w:left="1757" w:header="850" w:footer="992" w:gutter="0"/>
          <w:cols w:space="0" w:num="1"/>
          <w:titlePg/>
          <w:docGrid w:linePitch="312" w:charSpace="0"/>
        </w:sectPr>
      </w:pPr>
    </w:p>
    <w:p>
      <w:pPr>
        <w:spacing w:line="360" w:lineRule="auto"/>
        <w:jc w:val="center"/>
        <w:rPr>
          <w:rFonts w:ascii="宋体" w:hAnsi="宋体" w:cs="宋体"/>
          <w:b/>
          <w:bCs/>
          <w:color w:val="auto"/>
          <w:sz w:val="36"/>
          <w:szCs w:val="36"/>
          <w:highlight w:val="none"/>
        </w:rPr>
      </w:pPr>
    </w:p>
    <w:p>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协议书</w:t>
      </w:r>
    </w:p>
    <w:p>
      <w:pPr>
        <w:spacing w:before="12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（主要条款）</w:t>
      </w:r>
    </w:p>
    <w:p>
      <w:pPr>
        <w:adjustRightInd w:val="0"/>
        <w:snapToGrid w:val="0"/>
        <w:spacing w:line="5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采购人（全称）：</w:t>
      </w:r>
      <w:r>
        <w:rPr>
          <w:rFonts w:hint="eastAsia" w:ascii="宋体" w:hAnsi="宋体" w:cs="宋体"/>
          <w:b/>
          <w:color w:val="auto"/>
          <w:sz w:val="24"/>
          <w:szCs w:val="24"/>
          <w:highlight w:val="none"/>
          <w:u w:val="single"/>
        </w:rPr>
        <w:t xml:space="preserve">                                      </w:t>
      </w:r>
    </w:p>
    <w:p>
      <w:pPr>
        <w:adjustRightInd w:val="0"/>
        <w:snapToGrid w:val="0"/>
        <w:spacing w:line="5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供应商（全称）：</w:t>
      </w:r>
      <w:r>
        <w:rPr>
          <w:rFonts w:hint="eastAsia" w:ascii="宋体" w:hAnsi="宋体" w:cs="宋体"/>
          <w:b/>
          <w:color w:val="auto"/>
          <w:sz w:val="24"/>
          <w:szCs w:val="24"/>
          <w:highlight w:val="none"/>
          <w:u w:val="single"/>
        </w:rPr>
        <w:t xml:space="preserve">                                   </w:t>
      </w:r>
      <w:r>
        <w:rPr>
          <w:rFonts w:hint="eastAsia" w:ascii="宋体" w:hAnsi="宋体" w:cs="宋体"/>
          <w:color w:val="auto"/>
          <w:sz w:val="24"/>
          <w:szCs w:val="24"/>
          <w:highlight w:val="none"/>
          <w:u w:val="single"/>
        </w:rPr>
        <w:t xml:space="preserve">   </w:t>
      </w:r>
    </w:p>
    <w:p>
      <w:pPr>
        <w:adjustRightInd w:val="0"/>
        <w:snapToGrid w:val="0"/>
        <w:spacing w:line="58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根据《中华人民共和国民法典》及其他有关法律、法规，遵循平等、自愿、公平和诚信的原则，双方就下述项目范围与相关服务事项协商一致，订立本合同。</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一、项目概况</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 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2. 项目地点：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3. 项目规模：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adjustRightInd w:val="0"/>
        <w:snapToGrid w:val="0"/>
        <w:spacing w:line="580" w:lineRule="exact"/>
        <w:ind w:firstLine="475" w:firstLineChars="198"/>
        <w:jc w:val="left"/>
        <w:rPr>
          <w:rFonts w:ascii="宋体" w:hAnsi="宋体" w:cs="宋体"/>
          <w:color w:val="auto"/>
          <w:sz w:val="24"/>
          <w:szCs w:val="24"/>
          <w:highlight w:val="none"/>
        </w:rPr>
      </w:pPr>
      <w:r>
        <w:rPr>
          <w:rFonts w:hint="eastAsia" w:ascii="宋体" w:hAnsi="宋体" w:cs="宋体"/>
          <w:color w:val="auto"/>
          <w:sz w:val="24"/>
          <w:szCs w:val="24"/>
          <w:highlight w:val="none"/>
        </w:rPr>
        <w:t>4. 项目内容：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二、组成本合同的文件</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 协议书；</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2. 成交通知书、响应文件、竞争性谈判文件、澄清、谈判补充文件（或委托书）；</w:t>
      </w:r>
    </w:p>
    <w:p>
      <w:pPr>
        <w:adjustRightInd w:val="0"/>
        <w:snapToGrid w:val="0"/>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响应文件或相关服务建议书；</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本合同签订后，双方依法签订的补充协议、备忘录也是本合同文件的组成部分。</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三、签约金额</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签约金额（大写）：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合同总价即成交价，合同总价一次包死，不受市场价变化或实际工作量变化的影响，合同价格为含税价，成交供应商提供产品所发生的一切税（包括增值税）费等都已包含于合同价款中。</w:t>
      </w:r>
    </w:p>
    <w:p>
      <w:pPr>
        <w:adjustRightInd w:val="0"/>
        <w:snapToGrid w:val="0"/>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四、结算方式：</w:t>
      </w:r>
    </w:p>
    <w:p>
      <w:pPr>
        <w:adjustRightInd w:val="0"/>
        <w:snapToGrid w:val="0"/>
        <w:spacing w:line="5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（1）付款方式：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adjustRightInd w:val="0"/>
        <w:snapToGrid w:val="0"/>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五、期限</w:t>
      </w:r>
    </w:p>
    <w:p>
      <w:pPr>
        <w:adjustRightInd w:val="0"/>
        <w:snapToGrid w:val="0"/>
        <w:spacing w:line="580" w:lineRule="exact"/>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交货及安装期：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六、双方承诺</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 供应商向采购人承诺，按照本合同约定提供相关服务。</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2. 采购人向供应商承诺，按照本合同约定支付服务款项。</w:t>
      </w:r>
    </w:p>
    <w:p>
      <w:pPr>
        <w:tabs>
          <w:tab w:val="left" w:pos="840"/>
        </w:tabs>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七、内容及要求：</w:t>
      </w:r>
    </w:p>
    <w:p>
      <w:pPr>
        <w:tabs>
          <w:tab w:val="left" w:pos="840"/>
        </w:tabs>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即交付的设备（产品）、服务内容、数量与响应文件、竞争性谈判文件等所指明的，或者与本合同所指明的设备（产品）、服务内容相一致。（附清单）</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八、项目实施地点：</w:t>
      </w:r>
      <w:r>
        <w:rPr>
          <w:rFonts w:hint="eastAsia" w:ascii="宋体" w:hAnsi="宋体" w:cs="宋体"/>
          <w:color w:val="auto"/>
          <w:sz w:val="24"/>
          <w:szCs w:val="24"/>
          <w:highlight w:val="none"/>
        </w:rPr>
        <w:t>用户指定交货地点。</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九、安装、培训：</w:t>
      </w:r>
    </w:p>
    <w:p>
      <w:pPr>
        <w:tabs>
          <w:tab w:val="left" w:pos="840"/>
        </w:tabs>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培训除非另有说明，凡需要现场安装、装配、测试的设备，成交供应商必须提供免费现场安装并义务进行相关货物的基本操作原理、调试、操作使用和保养维修等有关内容的培训。所有费用一次性计入投标报价。</w:t>
      </w:r>
    </w:p>
    <w:p>
      <w:pPr>
        <w:tabs>
          <w:tab w:val="left" w:pos="840"/>
        </w:tabs>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十、验收时提供以下技术资料：</w:t>
      </w:r>
    </w:p>
    <w:p>
      <w:pPr>
        <w:tabs>
          <w:tab w:val="left" w:pos="840"/>
        </w:tabs>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1、货物到达采购人指定的地点时必须提供渠道证明文件原件和售后服务证明文件原件；</w:t>
      </w:r>
    </w:p>
    <w:p>
      <w:pPr>
        <w:tabs>
          <w:tab w:val="left" w:pos="840"/>
        </w:tabs>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2、进口货物需提供相关报关手续的资料（如允许进口产品投标）；</w:t>
      </w:r>
    </w:p>
    <w:p>
      <w:pPr>
        <w:tabs>
          <w:tab w:val="left" w:pos="840"/>
        </w:tabs>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3、装箱清单；</w:t>
      </w:r>
    </w:p>
    <w:p>
      <w:pPr>
        <w:tabs>
          <w:tab w:val="left" w:pos="840"/>
        </w:tabs>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4、产品合格证；</w:t>
      </w:r>
    </w:p>
    <w:p>
      <w:pPr>
        <w:tabs>
          <w:tab w:val="left" w:pos="840"/>
        </w:tabs>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5、安装使用说明书；</w:t>
      </w:r>
    </w:p>
    <w:p>
      <w:pPr>
        <w:tabs>
          <w:tab w:val="left" w:pos="840"/>
        </w:tabs>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6、安装时根据采购人的要求派技术人员现场指导。</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十一、技术培训：</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应包括设备(产品)使用操作、保养、维修等培训内容。供应商需为采购人免费培训技术人员若干名，培训服务以受培训人员熟练掌握相应技能为原则。在设备(产品)投入使用初期进行必要的跟踪指导，保障设备(产品)的稳定运行。投标设备(产品)需在培训基地培训的，供应商应按要求履行，培训产生的交通费、食宿费、培训费等均由供应商承担。</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十二、技术资料要求：</w:t>
      </w:r>
    </w:p>
    <w:p>
      <w:pPr>
        <w:spacing w:line="58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供应商应向采购人提供全套中文技术资料一套，其费用包括在投标价格中：</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1.完整的设备(产品)操作使用手册和维护、修理技术文件，保修卡等；</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2.制造厂的检验、测试报告、设备(产品)检验合格证书，质量保证书等文件验收时须一并提供；</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3.投标设备(产品)是原装进口的，应提供进口设备报关单及商检证明；</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4.设备(产品)验收标准；</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5.技术说明书及必须的其它技术资料；</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6.使用说明书；</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7.系统安装，调试、维修线路图及原理图；</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8.零部件目录；</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9.备品备件、易损件清单；</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10.项目完工后提供竣工验收报告；</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11.合同中要求的其他文件资料。</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十三、质量保证：</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货物质保期：自甲方验收合格之日起不少于3年</w:t>
      </w:r>
      <w:r>
        <w:rPr>
          <w:rFonts w:hint="eastAsia" w:ascii="宋体" w:hAnsi="宋体" w:cs="宋体"/>
          <w:color w:val="auto"/>
          <w:sz w:val="24"/>
          <w:szCs w:val="24"/>
          <w:highlight w:val="none"/>
        </w:rPr>
        <w:t>，采购文件另有约定、厂家或供应商另有承诺的除外。</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（2）货物的设计、制造应遵照行业的现行规范和标准。所有货物及辅材必须是未使用过的，是用最新工艺生产的最新产品，质量优良、渠道正当，配置合理。</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（3）供应商应承诺在质量保证期内免费提供货物维修、更换零部件等服务，质量保证期后以优惠价提供上述服务。</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（4）用户只对成交供应商提出质量服务要求，所有涉及货物制造商的质量、售后、版权等有关事项均由成交供应商负责。</w:t>
      </w:r>
    </w:p>
    <w:p>
      <w:pPr>
        <w:spacing w:line="580" w:lineRule="exact"/>
        <w:rPr>
          <w:rFonts w:ascii="宋体" w:hAnsi="宋体" w:cs="宋体"/>
          <w:color w:val="auto"/>
          <w:sz w:val="24"/>
          <w:szCs w:val="24"/>
          <w:highlight w:val="none"/>
        </w:rPr>
      </w:pPr>
      <w:r>
        <w:rPr>
          <w:rFonts w:hint="eastAsia" w:ascii="宋体" w:hAnsi="宋体" w:cs="宋体"/>
          <w:b/>
          <w:color w:val="auto"/>
          <w:sz w:val="24"/>
          <w:szCs w:val="24"/>
          <w:highlight w:val="none"/>
        </w:rPr>
        <w:t>十四、验收:</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（一）验收的三个关键环节：</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（1）设备验收</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乙方负责将设备运至现场后，采购人或甲方根据响应文件中约定硬件设备清单和实际运抵的设备进行逐一核对、清点并确认收货。经双方共同确认后，双方代表应于当日内签字确认。</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项目初验：成交供应商安装调试合格后，且对甲方进行必要的培训和服务后，向甲方提出验收申请，甲方接到验收申请后组织验收（必要时可聘请相应专家或委托相应部门验收），验收合格后，出具使用验收合格证明。</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（3）项目正式验收</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经甲方和成交供应商共同递交项目初验合格证明材料后，由项目主管部门（采购人）组织人员对项目进行全面验收，对所有设备和系统的稳定性、运行/使用状况进行验收，合格后由项目主管部门（采购人）向成交供应商出具验收报告。验收报告作为付款依据，成交供应商要向甲方提交实施过程中的所有资料，以便日后管理和维护。</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（4）验收依据</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合同文本、合同附件、竞争性谈判文件、响应文件；</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验收不合格的产品，乙方需在7个工作日内补充、更换，保证产品正常使用，保证设备运行，无安全隐患和明显的潜在风险。如接到通知后7个日历日内未保证货物运行正常，则终止其供货合同，并赔偿甲方的损失。</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（二）成交供应商对最终的产品质量负完全责任。</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（2）国家有关的验收标准及规范；</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（3）生产厂家的生产标准；</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（4）竞争性谈判文件、响应文件。</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十五、质保及维保服务（提供售后服务承诺书）：</w:t>
      </w:r>
    </w:p>
    <w:p>
      <w:pPr>
        <w:tabs>
          <w:tab w:val="left" w:pos="1080"/>
        </w:tabs>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1）供应商应提供可承担维修职能的公司、全资分公司或办事处，并驻守多名维护技术人员，并提供地点、联系人（常驻工程师）及联系电话（服务热线），随时解答各种疑问（需提供相关证明材料）。</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2）服务方式:现场服务，整体验收合格后质量保证期为≥3年，并提供终身维修（护）。在质量保证期内发生重大故障，维修工程师抵达现场时间≤2小时，24小时内无法恢复的故障提供免费备机服务。</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3）每年至少两次上门维护，回访。</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4）对于存在质量问题或者短少的设备，供应商应在接到采购人的通知2个日历日内负责修复，调换、重新制作或补齐。</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5）工程质量保修期内，供应商应按照有关管理规定及双方约定承担工程质量保修责任。</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6）在设备(产品)最终验收后的质量保证期内，供应商应对设计、工艺或材料的缺陷而产生的故障负责（负责解决并承担全部费用）。质保期满后如出现此类问题亦应负责。</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供应商及所投设备(产品)的生产厂商应承诺质保期、维保期的售后服务条款（包括具体的服务内容、故障响应时间、响应方式、维修措施及时限、维护响应计划等方面），未提供任何质保期、维保期的售后服务条款或提供的内容不实的以不满足采购文件要求对待。</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十六、保密</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双方须对工作中了解到的使用单位技术、机密等进行严格保密，不得向他人泄漏。</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十七、知识产权</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保证投标产品及服务不会出现因第三方提出侵犯其专利权、商标权或其它知识产权而引发法律或经济纠纷，否则由供应商承担全部责任。任何被供应商用于未经授权的商业目的行为所造成的违约或侵权责任由供应商承但。</w:t>
      </w:r>
    </w:p>
    <w:p>
      <w:pPr>
        <w:spacing w:line="580" w:lineRule="exact"/>
        <w:rPr>
          <w:rFonts w:ascii="宋体" w:hAnsi="宋体" w:cs="宋体"/>
          <w:color w:val="auto"/>
          <w:sz w:val="24"/>
          <w:szCs w:val="24"/>
          <w:highlight w:val="none"/>
        </w:rPr>
      </w:pPr>
      <w:r>
        <w:rPr>
          <w:rFonts w:hint="eastAsia" w:ascii="宋体" w:hAnsi="宋体" w:cs="宋体"/>
          <w:b/>
          <w:color w:val="auto"/>
          <w:sz w:val="24"/>
          <w:szCs w:val="24"/>
          <w:highlight w:val="none"/>
        </w:rPr>
        <w:t>十八、合同争议的解决：</w:t>
      </w:r>
      <w:r>
        <w:rPr>
          <w:rFonts w:hint="eastAsia" w:ascii="宋体" w:hAnsi="宋体" w:cs="宋体"/>
          <w:color w:val="auto"/>
          <w:sz w:val="24"/>
          <w:szCs w:val="24"/>
          <w:highlight w:val="none"/>
        </w:rPr>
        <w:t>合同执行中发生争议的，当事人双方应协商解决，协商达不成一致时，可向采购人住所地有管辖权的人民法院提请诉讼。</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十九、服务要求</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谈判供应商的责任包括从投标设备及其配件到整套设备的交付使用。谈判供应商应提供在西安市内的售后服务中心自建证明材料或与合作方的协议书，这些服务中心和特约维修服务点的名称、地址、电话、联系人应在响应文件中一一列出。维修中心应备有对所购设备进行及时维修所需的常用关键零部件。谈判供应商应保证设备在进行安装、调试和试运行等过程中损坏的或有缺陷的组件或零、部件可方便地得到修理和免费更换。设备使用期间，凡发生质量问题，卖方均应能够及时地提供买方提出的技术服务要求。在质量保证期内，买方发出通知后，卖方应提供维修服务，免费修理或更换不合格的零、部件，以保证设备正常运行。</w:t>
      </w:r>
    </w:p>
    <w:p>
      <w:pPr>
        <w:spacing w:line="5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谈判供应商必须定期巡检，每年不少于1次的全面巡检，在巡检的过程对硬件进行检修（包括但不限于清灰、检查运行情况、解决甲方提出的问题等）、软件系统进行维护。</w:t>
      </w:r>
    </w:p>
    <w:p>
      <w:pPr>
        <w:spacing w:line="5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成交供应商负责完成产品及相关物件的运输、保管、安装，直至其产品在采购人指定地点安装完毕、投入使用，并经采购人验收合格。对因此而产生的费用以及保修期内的维修、保养等与项目发生的一切费用，全部由成交供应商承担。</w:t>
      </w:r>
    </w:p>
    <w:p>
      <w:pPr>
        <w:spacing w:line="5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在发生不可抗力情况下的应对措施和解决办法。</w:t>
      </w:r>
    </w:p>
    <w:p>
      <w:pPr>
        <w:spacing w:line="580" w:lineRule="exact"/>
        <w:rPr>
          <w:rFonts w:ascii="宋体" w:hAnsi="宋体" w:cs="宋体"/>
          <w:color w:val="auto"/>
          <w:sz w:val="24"/>
          <w:szCs w:val="24"/>
          <w:highlight w:val="none"/>
        </w:rPr>
      </w:pPr>
      <w:r>
        <w:rPr>
          <w:rFonts w:hint="eastAsia" w:ascii="宋体" w:hAnsi="宋体" w:cs="宋体"/>
          <w:b/>
          <w:color w:val="auto"/>
          <w:sz w:val="24"/>
          <w:szCs w:val="24"/>
          <w:highlight w:val="none"/>
        </w:rPr>
        <w:t>二十、</w:t>
      </w:r>
      <w:r>
        <w:rPr>
          <w:rFonts w:hint="eastAsia" w:ascii="宋体" w:hAnsi="宋体" w:cs="宋体"/>
          <w:color w:val="auto"/>
          <w:sz w:val="24"/>
          <w:szCs w:val="24"/>
          <w:highlight w:val="none"/>
        </w:rPr>
        <w:t>合同一经签订，不得擅自变更、中止或者终止合同。对确需变更、调整或者中止、终止合同的，应按规定履行相应的手续。</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二十一、违约责任</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（1）按《中华人民共和国民法典》中的相关条款执行。</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（2）未按合同要求提供货物或货物质量不能满足技术要求（所供货物不满足采购人实际需求），用户有权终止合同。</w:t>
      </w:r>
    </w:p>
    <w:p>
      <w:pPr>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（3）乙方应按照合同规定的期限完成供货及安装、调试、验收，每延迟一天应承担当期应付款2%的违约金，违约金累计不超过当期应付款10%。若违约金累计已达上限，乙方仍未履行，甲方有权解除合同。</w:t>
      </w:r>
    </w:p>
    <w:p>
      <w:pPr>
        <w:spacing w:line="580" w:lineRule="exact"/>
        <w:rPr>
          <w:rFonts w:ascii="宋体" w:hAnsi="宋体" w:cs="宋体"/>
          <w:color w:val="auto"/>
          <w:sz w:val="24"/>
          <w:szCs w:val="24"/>
          <w:highlight w:val="none"/>
        </w:rPr>
      </w:pPr>
      <w:r>
        <w:rPr>
          <w:rFonts w:hint="eastAsia" w:ascii="宋体" w:hAnsi="宋体" w:cs="宋体"/>
          <w:b/>
          <w:color w:val="auto"/>
          <w:sz w:val="24"/>
          <w:szCs w:val="24"/>
          <w:highlight w:val="none"/>
        </w:rPr>
        <w:t>二十二、其他（</w:t>
      </w:r>
      <w:r>
        <w:rPr>
          <w:rFonts w:hint="eastAsia" w:ascii="宋体" w:hAnsi="宋体" w:cs="宋体"/>
          <w:color w:val="auto"/>
          <w:sz w:val="24"/>
          <w:szCs w:val="24"/>
          <w:highlight w:val="none"/>
        </w:rPr>
        <w:t>在合同中具体明确）</w:t>
      </w:r>
    </w:p>
    <w:p>
      <w:pPr>
        <w:spacing w:line="580" w:lineRule="exact"/>
        <w:rPr>
          <w:rFonts w:ascii="宋体" w:hAnsi="宋体" w:cs="宋体"/>
          <w:b/>
          <w:color w:val="auto"/>
          <w:sz w:val="24"/>
          <w:szCs w:val="24"/>
          <w:highlight w:val="none"/>
        </w:rPr>
      </w:pPr>
      <w:r>
        <w:rPr>
          <w:rFonts w:hint="eastAsia" w:ascii="宋体" w:hAnsi="宋体" w:cs="宋体"/>
          <w:b/>
          <w:color w:val="auto"/>
          <w:sz w:val="24"/>
          <w:szCs w:val="24"/>
          <w:highlight w:val="none"/>
        </w:rPr>
        <w:t>二十三、合同订立</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 订立时间：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adjustRightInd w:val="0"/>
        <w:snapToGrid w:val="0"/>
        <w:spacing w:line="580" w:lineRule="exact"/>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2. 订立地点：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980"/>
        </w:tabs>
        <w:kinsoku w:val="0"/>
        <w:spacing w:line="5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本合同一式    份，具有同等法律效力，双方各执        份，监管部门备案壹份、采购代理机构存档壹份。各方签字盖章后生效，合同执行完毕自动失效。（合同的服务承诺则长期有效）。</w:t>
      </w:r>
    </w:p>
    <w:p>
      <w:pPr>
        <w:adjustRightInd w:val="0"/>
        <w:snapToGrid w:val="0"/>
        <w:spacing w:line="580" w:lineRule="exact"/>
        <w:ind w:firstLine="475" w:firstLineChars="198"/>
        <w:rPr>
          <w:rFonts w:ascii="宋体" w:hAnsi="宋体" w:cs="宋体"/>
          <w:color w:val="auto"/>
          <w:sz w:val="24"/>
          <w:szCs w:val="24"/>
          <w:highlight w:val="none"/>
        </w:rPr>
      </w:pPr>
    </w:p>
    <w:p>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u w:val="single"/>
        </w:rPr>
        <w:t xml:space="preserve">   （盖章）     </w:t>
      </w:r>
      <w:r>
        <w:rPr>
          <w:rFonts w:hint="eastAsia" w:ascii="宋体" w:hAnsi="宋体" w:cs="宋体"/>
          <w:color w:val="auto"/>
          <w:sz w:val="24"/>
          <w:szCs w:val="24"/>
          <w:highlight w:val="none"/>
        </w:rPr>
        <w:t xml:space="preserve">           供应商：</w:t>
      </w:r>
      <w:r>
        <w:rPr>
          <w:rFonts w:hint="eastAsia" w:ascii="宋体" w:hAnsi="宋体" w:cs="宋体"/>
          <w:color w:val="auto"/>
          <w:sz w:val="24"/>
          <w:szCs w:val="24"/>
          <w:highlight w:val="none"/>
          <w:u w:val="single"/>
        </w:rPr>
        <w:t xml:space="preserve">   （盖章）    </w:t>
      </w:r>
    </w:p>
    <w:p>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地址： </w:t>
      </w:r>
      <w:r>
        <w:rPr>
          <w:rFonts w:hint="eastAsia" w:ascii="宋体" w:hAnsi="宋体" w:cs="宋体"/>
          <w:color w:val="auto"/>
          <w:sz w:val="24"/>
          <w:szCs w:val="24"/>
          <w:highlight w:val="none"/>
          <w:u w:val="single"/>
        </w:rPr>
        <w:t xml:space="preserve">                      </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p>
    <w:p>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法定代表人或其授权                 法定代表人或其授权</w:t>
      </w:r>
    </w:p>
    <w:p>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的代理人：</w:t>
      </w:r>
      <w:r>
        <w:rPr>
          <w:rFonts w:hint="eastAsia" w:ascii="宋体" w:hAnsi="宋体" w:cs="宋体"/>
          <w:color w:val="auto"/>
          <w:sz w:val="24"/>
          <w:szCs w:val="24"/>
          <w:highlight w:val="none"/>
          <w:u w:val="single"/>
        </w:rPr>
        <w:t xml:space="preserve">（签字）      </w:t>
      </w:r>
      <w:r>
        <w:rPr>
          <w:rFonts w:hint="eastAsia" w:ascii="宋体" w:hAnsi="宋体" w:cs="宋体"/>
          <w:color w:val="auto"/>
          <w:sz w:val="24"/>
          <w:szCs w:val="24"/>
          <w:highlight w:val="none"/>
        </w:rPr>
        <w:t xml:space="preserve">            的代理人：</w:t>
      </w:r>
      <w:r>
        <w:rPr>
          <w:rFonts w:hint="eastAsia" w:ascii="宋体" w:hAnsi="宋体" w:cs="宋体"/>
          <w:color w:val="auto"/>
          <w:sz w:val="24"/>
          <w:szCs w:val="24"/>
          <w:highlight w:val="none"/>
          <w:u w:val="single"/>
        </w:rPr>
        <w:t xml:space="preserve">（签字）          </w:t>
      </w:r>
    </w:p>
    <w:p>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开户银行：</w:t>
      </w:r>
      <w:r>
        <w:rPr>
          <w:rFonts w:hint="eastAsia" w:ascii="宋体" w:hAnsi="宋体" w:cs="宋体"/>
          <w:color w:val="auto"/>
          <w:sz w:val="24"/>
          <w:szCs w:val="24"/>
          <w:highlight w:val="none"/>
          <w:u w:val="single"/>
        </w:rPr>
        <w:t xml:space="preserve">                  </w:t>
      </w:r>
    </w:p>
    <w:p>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账号：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p>
    <w:p>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p>
    <w:p>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传真：</w:t>
      </w:r>
      <w:r>
        <w:rPr>
          <w:rFonts w:hint="eastAsia" w:ascii="宋体" w:hAnsi="宋体" w:cs="宋体"/>
          <w:color w:val="auto"/>
          <w:sz w:val="24"/>
          <w:szCs w:val="24"/>
          <w:highlight w:val="none"/>
          <w:u w:val="single"/>
        </w:rPr>
        <w:t xml:space="preserve">                       </w:t>
      </w:r>
    </w:p>
    <w:p>
      <w:pPr>
        <w:adjustRightInd w:val="0"/>
        <w:snapToGrid w:val="0"/>
        <w:spacing w:line="360" w:lineRule="auto"/>
        <w:ind w:firstLine="475" w:firstLineChars="198"/>
        <w:rPr>
          <w:rFonts w:ascii="宋体" w:hAnsi="宋体" w:cs="宋体"/>
          <w:color w:val="auto"/>
          <w:sz w:val="24"/>
          <w:szCs w:val="24"/>
          <w:highlight w:val="none"/>
          <w:u w:val="single"/>
        </w:rPr>
        <w:sectPr>
          <w:pgSz w:w="11906" w:h="16838"/>
          <w:pgMar w:top="1417" w:right="1644" w:bottom="1191" w:left="1757" w:header="850" w:footer="992" w:gutter="0"/>
          <w:cols w:space="0" w:num="1"/>
          <w:titlePg/>
          <w:docGrid w:linePitch="312" w:charSpace="0"/>
        </w:sect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电子邮箱：</w:t>
      </w:r>
      <w:r>
        <w:rPr>
          <w:rFonts w:hint="eastAsia" w:ascii="宋体" w:hAnsi="宋体" w:cs="宋体"/>
          <w:color w:val="auto"/>
          <w:sz w:val="24"/>
          <w:szCs w:val="24"/>
          <w:highlight w:val="none"/>
          <w:u w:val="single"/>
        </w:rPr>
        <w:t xml:space="preserve">                   </w:t>
      </w:r>
    </w:p>
    <w:p>
      <w:pPr>
        <w:pStyle w:val="21"/>
        <w:rPr>
          <w:rFonts w:ascii="宋体" w:hAnsi="宋体" w:cs="宋体"/>
          <w:color w:val="auto"/>
          <w:highlight w:val="none"/>
        </w:rPr>
      </w:pPr>
      <w:bookmarkStart w:id="156" w:name="_Toc3770"/>
      <w:bookmarkStart w:id="157" w:name="_Toc15023"/>
      <w:bookmarkStart w:id="158" w:name="_Toc519091209"/>
      <w:bookmarkStart w:id="159" w:name="_Toc15378"/>
      <w:bookmarkStart w:id="160" w:name="_Toc519085742"/>
      <w:bookmarkStart w:id="161" w:name="_Toc519091924"/>
      <w:r>
        <w:rPr>
          <w:rFonts w:hint="eastAsia" w:ascii="宋体" w:hAnsi="宋体" w:cs="宋体"/>
          <w:color w:val="auto"/>
          <w:highlight w:val="none"/>
        </w:rPr>
        <w:t>第五章  附件--谈判响应文件格式</w:t>
      </w:r>
      <w:bookmarkEnd w:id="143"/>
      <w:bookmarkEnd w:id="156"/>
      <w:bookmarkEnd w:id="157"/>
      <w:bookmarkEnd w:id="158"/>
      <w:bookmarkEnd w:id="159"/>
      <w:bookmarkEnd w:id="160"/>
      <w:bookmarkEnd w:id="161"/>
    </w:p>
    <w:bookmarkEnd w:id="144"/>
    <w:bookmarkEnd w:id="145"/>
    <w:bookmarkEnd w:id="146"/>
    <w:bookmarkEnd w:id="147"/>
    <w:bookmarkEnd w:id="148"/>
    <w:bookmarkEnd w:id="149"/>
    <w:bookmarkEnd w:id="150"/>
    <w:p>
      <w:pPr>
        <w:spacing w:line="360" w:lineRule="auto"/>
        <w:rPr>
          <w:rFonts w:ascii="宋体" w:hAnsi="宋体" w:cs="宋体"/>
          <w:b/>
          <w:bCs/>
          <w:color w:val="auto"/>
          <w:sz w:val="24"/>
          <w:szCs w:val="24"/>
          <w:highlight w:val="none"/>
        </w:rPr>
      </w:pPr>
      <w:bookmarkStart w:id="162" w:name="_Toc357061558"/>
      <w:bookmarkStart w:id="163" w:name="_Toc357087379"/>
      <w:bookmarkStart w:id="164" w:name="_Toc30434"/>
      <w:bookmarkStart w:id="165" w:name="_Toc18978"/>
      <w:bookmarkStart w:id="166" w:name="_Toc246928961"/>
      <w:bookmarkStart w:id="167" w:name="_Toc246928962"/>
      <w:bookmarkStart w:id="168" w:name="_Toc128557264"/>
      <w:bookmarkStart w:id="169" w:name="_Toc492955463"/>
      <w:bookmarkStart w:id="170" w:name="_Toc497551824"/>
      <w:bookmarkStart w:id="171" w:name="_Toc385992404"/>
      <w:bookmarkStart w:id="172" w:name="_Toc497712137"/>
      <w:bookmarkStart w:id="173" w:name="_Toc497546922"/>
      <w:bookmarkStart w:id="174" w:name="_Toc497711589"/>
      <w:bookmarkStart w:id="175" w:name="_Toc389620244"/>
    </w:p>
    <w:p>
      <w:pPr>
        <w:pStyle w:val="3"/>
        <w:spacing w:line="360" w:lineRule="auto"/>
        <w:rPr>
          <w:rFonts w:ascii="宋体" w:hAnsi="宋体" w:eastAsia="宋体" w:cs="宋体"/>
          <w:color w:val="auto"/>
          <w:highlight w:val="none"/>
        </w:rPr>
      </w:pPr>
      <w:bookmarkStart w:id="176" w:name="_Toc29093"/>
      <w:r>
        <w:rPr>
          <w:rFonts w:hint="eastAsia" w:ascii="宋体" w:hAnsi="宋体" w:eastAsia="宋体" w:cs="宋体"/>
          <w:bCs/>
          <w:color w:val="auto"/>
          <w:sz w:val="24"/>
          <w:szCs w:val="24"/>
          <w:highlight w:val="none"/>
        </w:rPr>
        <w:t>一、</w:t>
      </w:r>
      <w:bookmarkEnd w:id="162"/>
      <w:bookmarkEnd w:id="163"/>
      <w:r>
        <w:rPr>
          <w:rFonts w:hint="eastAsia" w:ascii="宋体" w:hAnsi="宋体" w:eastAsia="宋体" w:cs="宋体"/>
          <w:bCs/>
          <w:color w:val="auto"/>
          <w:sz w:val="24"/>
          <w:szCs w:val="24"/>
          <w:highlight w:val="none"/>
        </w:rPr>
        <w:t>封面</w:t>
      </w:r>
      <w:bookmarkEnd w:id="164"/>
      <w:bookmarkEnd w:id="165"/>
      <w:bookmarkEnd w:id="176"/>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18"/>
          <w:szCs w:val="16"/>
          <w:highlight w:val="none"/>
        </w:rPr>
        <w:t xml:space="preserve">     </w:t>
      </w:r>
      <w:r>
        <w:rPr>
          <w:rFonts w:hint="eastAsia" w:ascii="宋体" w:hAnsi="宋体" w:eastAsia="宋体" w:cs="宋体"/>
          <w:color w:val="auto"/>
          <w:highlight w:val="none"/>
        </w:rPr>
        <w:t xml:space="preserve">               </w:t>
      </w:r>
    </w:p>
    <w:p>
      <w:pPr>
        <w:spacing w:line="360" w:lineRule="auto"/>
        <w:jc w:val="right"/>
        <w:rPr>
          <w:rFonts w:ascii="宋体" w:hAnsi="宋体" w:cs="宋体"/>
          <w:color w:val="auto"/>
          <w:highlight w:val="none"/>
        </w:rPr>
      </w:pPr>
      <w:r>
        <w:rPr>
          <w:rFonts w:hint="eastAsia" w:ascii="宋体" w:hAnsi="宋体" w:cs="宋体"/>
          <w:b/>
          <w:bCs/>
          <w:color w:val="auto"/>
          <w:sz w:val="32"/>
          <w:szCs w:val="32"/>
          <w:highlight w:val="none"/>
        </w:rPr>
        <w:t>（</w:t>
      </w:r>
      <w:r>
        <w:rPr>
          <w:rFonts w:hint="eastAsia" w:ascii="宋体" w:hAnsi="宋体" w:cs="宋体"/>
          <w:b/>
          <w:bCs/>
          <w:color w:val="auto"/>
          <w:sz w:val="30"/>
          <w:szCs w:val="30"/>
          <w:highlight w:val="none"/>
        </w:rPr>
        <w:t>正本/副本</w:t>
      </w:r>
      <w:r>
        <w:rPr>
          <w:rFonts w:hint="eastAsia" w:ascii="宋体" w:hAnsi="宋体" w:cs="宋体"/>
          <w:b/>
          <w:bCs/>
          <w:color w:val="auto"/>
          <w:sz w:val="32"/>
          <w:szCs w:val="32"/>
          <w:highlight w:val="none"/>
        </w:rPr>
        <w:t>）</w:t>
      </w:r>
    </w:p>
    <w:p>
      <w:pPr>
        <w:spacing w:line="360" w:lineRule="auto"/>
        <w:jc w:val="left"/>
        <w:rPr>
          <w:rFonts w:ascii="宋体" w:hAnsi="宋体" w:cs="宋体"/>
          <w:b/>
          <w:color w:val="auto"/>
          <w:sz w:val="32"/>
          <w:highlight w:val="none"/>
        </w:rPr>
      </w:pPr>
    </w:p>
    <w:p>
      <w:pPr>
        <w:spacing w:line="360" w:lineRule="auto"/>
        <w:jc w:val="left"/>
        <w:rPr>
          <w:rFonts w:ascii="宋体" w:hAnsi="宋体" w:cs="宋体"/>
          <w:b/>
          <w:color w:val="auto"/>
          <w:sz w:val="32"/>
          <w:highlight w:val="none"/>
        </w:rPr>
      </w:pPr>
    </w:p>
    <w:p>
      <w:pPr>
        <w:spacing w:line="360" w:lineRule="auto"/>
        <w:jc w:val="left"/>
        <w:rPr>
          <w:rFonts w:ascii="宋体" w:hAnsi="宋体" w:cs="宋体"/>
          <w:b/>
          <w:color w:val="auto"/>
          <w:sz w:val="44"/>
          <w:szCs w:val="44"/>
          <w:highlight w:val="none"/>
        </w:rPr>
      </w:pPr>
      <w:r>
        <w:rPr>
          <w:rFonts w:hint="eastAsia" w:ascii="宋体" w:hAnsi="宋体" w:cs="宋体"/>
          <w:b/>
          <w:color w:val="auto"/>
          <w:sz w:val="32"/>
          <w:highlight w:val="none"/>
        </w:rPr>
        <w:t>项目编号：ZXHC2023-ZCBL-0112</w:t>
      </w:r>
    </w:p>
    <w:p>
      <w:pPr>
        <w:jc w:val="center"/>
        <w:rPr>
          <w:rFonts w:ascii="宋体" w:hAnsi="宋体" w:cs="宋体"/>
          <w:b/>
          <w:color w:val="auto"/>
          <w:sz w:val="44"/>
          <w:szCs w:val="44"/>
          <w:highlight w:val="none"/>
        </w:rPr>
      </w:pPr>
    </w:p>
    <w:p>
      <w:pPr>
        <w:jc w:val="center"/>
        <w:rPr>
          <w:rFonts w:ascii="宋体" w:hAnsi="宋体" w:cs="宋体"/>
          <w:b/>
          <w:color w:val="auto"/>
          <w:sz w:val="44"/>
          <w:szCs w:val="44"/>
          <w:highlight w:val="none"/>
        </w:rPr>
      </w:pPr>
    </w:p>
    <w:p>
      <w:pPr>
        <w:spacing w:line="480" w:lineRule="auto"/>
        <w:rPr>
          <w:rFonts w:ascii="宋体" w:hAnsi="宋体" w:cs="宋体"/>
          <w:b/>
          <w:color w:val="auto"/>
          <w:sz w:val="36"/>
          <w:szCs w:val="36"/>
          <w:highlight w:val="none"/>
          <w:u w:val="single"/>
        </w:rPr>
      </w:pPr>
      <w:r>
        <w:rPr>
          <w:rFonts w:hint="eastAsia" w:ascii="宋体" w:hAnsi="宋体" w:cs="宋体"/>
          <w:b/>
          <w:color w:val="auto"/>
          <w:sz w:val="36"/>
          <w:szCs w:val="36"/>
          <w:highlight w:val="none"/>
        </w:rPr>
        <w:t xml:space="preserve">            </w:t>
      </w:r>
      <w:r>
        <w:rPr>
          <w:rFonts w:hint="eastAsia" w:ascii="宋体" w:hAnsi="宋体" w:cs="宋体"/>
          <w:b/>
          <w:color w:val="auto"/>
          <w:sz w:val="36"/>
          <w:szCs w:val="36"/>
          <w:highlight w:val="none"/>
          <w:u w:val="single"/>
        </w:rPr>
        <w:t xml:space="preserve">                   项目名称</w:t>
      </w:r>
    </w:p>
    <w:p>
      <w:pPr>
        <w:spacing w:line="480" w:lineRule="auto"/>
        <w:rPr>
          <w:rFonts w:ascii="宋体" w:hAnsi="宋体" w:cs="宋体"/>
          <w:b/>
          <w:color w:val="auto"/>
          <w:sz w:val="36"/>
          <w:szCs w:val="36"/>
          <w:highlight w:val="none"/>
          <w:u w:val="single"/>
        </w:rPr>
      </w:pPr>
    </w:p>
    <w:p>
      <w:pPr>
        <w:rPr>
          <w:rFonts w:ascii="宋体" w:hAnsi="宋体" w:cs="宋体"/>
          <w:b/>
          <w:color w:val="auto"/>
          <w:sz w:val="48"/>
          <w:highlight w:val="none"/>
        </w:rPr>
      </w:pPr>
    </w:p>
    <w:p>
      <w:pPr>
        <w:jc w:val="center"/>
        <w:rPr>
          <w:rFonts w:ascii="宋体" w:hAnsi="宋体" w:cs="宋体"/>
          <w:b/>
          <w:color w:val="auto"/>
          <w:sz w:val="72"/>
          <w:szCs w:val="48"/>
          <w:highlight w:val="none"/>
        </w:rPr>
      </w:pPr>
      <w:r>
        <w:rPr>
          <w:rFonts w:hint="eastAsia" w:ascii="宋体" w:hAnsi="宋体" w:cs="宋体"/>
          <w:b/>
          <w:color w:val="auto"/>
          <w:sz w:val="72"/>
          <w:szCs w:val="48"/>
          <w:highlight w:val="none"/>
        </w:rPr>
        <w:t xml:space="preserve">谈判响应文件 </w:t>
      </w:r>
    </w:p>
    <w:p>
      <w:pPr>
        <w:rPr>
          <w:rFonts w:ascii="宋体" w:hAnsi="宋体" w:cs="宋体"/>
          <w:b/>
          <w:color w:val="auto"/>
          <w:sz w:val="32"/>
          <w:highlight w:val="none"/>
        </w:rPr>
      </w:pPr>
    </w:p>
    <w:p>
      <w:pPr>
        <w:rPr>
          <w:rFonts w:ascii="宋体" w:hAnsi="宋体" w:cs="宋体"/>
          <w:b/>
          <w:color w:val="auto"/>
          <w:sz w:val="32"/>
          <w:highlight w:val="none"/>
        </w:rPr>
      </w:pPr>
    </w:p>
    <w:p>
      <w:pPr>
        <w:rPr>
          <w:rFonts w:ascii="宋体" w:hAnsi="宋体" w:cs="宋体"/>
          <w:b/>
          <w:color w:val="auto"/>
          <w:sz w:val="32"/>
          <w:highlight w:val="none"/>
        </w:rPr>
      </w:pPr>
    </w:p>
    <w:p>
      <w:pPr>
        <w:rPr>
          <w:rFonts w:ascii="宋体" w:hAnsi="宋体" w:cs="宋体"/>
          <w:b/>
          <w:color w:val="auto"/>
          <w:sz w:val="32"/>
          <w:highlight w:val="none"/>
        </w:rPr>
      </w:pPr>
    </w:p>
    <w:p>
      <w:pPr>
        <w:rPr>
          <w:rFonts w:ascii="宋体" w:hAnsi="宋体" w:cs="宋体"/>
          <w:b/>
          <w:color w:val="auto"/>
          <w:sz w:val="32"/>
          <w:highlight w:val="none"/>
        </w:rPr>
      </w:pPr>
    </w:p>
    <w:p>
      <w:pPr>
        <w:rPr>
          <w:rFonts w:ascii="宋体" w:hAnsi="宋体" w:cs="宋体"/>
          <w:b/>
          <w:color w:val="auto"/>
          <w:sz w:val="32"/>
          <w:highlight w:val="none"/>
        </w:rPr>
      </w:pPr>
    </w:p>
    <w:p>
      <w:pPr>
        <w:rPr>
          <w:rFonts w:ascii="宋体" w:hAnsi="宋体" w:cs="宋体"/>
          <w:b/>
          <w:color w:val="auto"/>
          <w:sz w:val="32"/>
          <w:highlight w:val="none"/>
        </w:rPr>
      </w:pPr>
      <w:r>
        <w:rPr>
          <w:rFonts w:hint="eastAsia" w:ascii="宋体" w:hAnsi="宋体" w:cs="宋体"/>
          <w:b/>
          <w:color w:val="auto"/>
          <w:sz w:val="32"/>
          <w:highlight w:val="none"/>
        </w:rPr>
        <w:t xml:space="preserve">                   </w:t>
      </w:r>
    </w:p>
    <w:p>
      <w:pPr>
        <w:spacing w:line="360" w:lineRule="auto"/>
        <w:ind w:firstLine="1265" w:firstLineChars="450"/>
        <w:rPr>
          <w:rFonts w:ascii="宋体" w:hAnsi="宋体" w:cs="宋体"/>
          <w:b/>
          <w:color w:val="auto"/>
          <w:sz w:val="28"/>
          <w:highlight w:val="none"/>
        </w:rPr>
      </w:pPr>
      <w:r>
        <w:rPr>
          <w:rFonts w:hint="eastAsia" w:ascii="宋体" w:hAnsi="宋体" w:cs="宋体"/>
          <w:b/>
          <w:color w:val="auto"/>
          <w:sz w:val="28"/>
          <w:highlight w:val="none"/>
        </w:rPr>
        <w:t xml:space="preserve">  谈判供应商：</w:t>
      </w:r>
      <w:r>
        <w:rPr>
          <w:rFonts w:hint="eastAsia" w:ascii="宋体" w:hAnsi="宋体" w:cs="宋体"/>
          <w:b/>
          <w:color w:val="auto"/>
          <w:sz w:val="28"/>
          <w:highlight w:val="none"/>
          <w:u w:val="single"/>
        </w:rPr>
        <w:t xml:space="preserve">                          </w:t>
      </w:r>
      <w:r>
        <w:rPr>
          <w:rFonts w:hint="eastAsia" w:ascii="宋体" w:hAnsi="宋体" w:cs="宋体"/>
          <w:b/>
          <w:color w:val="auto"/>
          <w:sz w:val="28"/>
          <w:highlight w:val="none"/>
        </w:rPr>
        <w:t xml:space="preserve">（盖章）   </w:t>
      </w:r>
    </w:p>
    <w:p>
      <w:pPr>
        <w:jc w:val="center"/>
        <w:rPr>
          <w:rFonts w:ascii="宋体" w:hAnsi="宋体" w:cs="宋体"/>
          <w:b/>
          <w:color w:val="auto"/>
          <w:sz w:val="28"/>
          <w:highlight w:val="none"/>
        </w:rPr>
      </w:pPr>
    </w:p>
    <w:p>
      <w:pPr>
        <w:jc w:val="center"/>
        <w:rPr>
          <w:rFonts w:ascii="宋体" w:hAnsi="宋体" w:cs="宋体"/>
          <w:color w:val="auto"/>
          <w:highlight w:val="none"/>
        </w:rPr>
      </w:pPr>
      <w:r>
        <w:rPr>
          <w:rFonts w:hint="eastAsia" w:ascii="宋体" w:hAnsi="宋体" w:cs="宋体"/>
          <w:b/>
          <w:color w:val="auto"/>
          <w:sz w:val="28"/>
          <w:highlight w:val="none"/>
          <w:u w:val="single"/>
        </w:rPr>
        <w:t xml:space="preserve">   </w:t>
      </w:r>
      <w:r>
        <w:rPr>
          <w:rFonts w:hint="eastAsia" w:ascii="宋体" w:hAnsi="宋体" w:cs="宋体"/>
          <w:b/>
          <w:color w:val="auto"/>
          <w:sz w:val="28"/>
          <w:highlight w:val="none"/>
        </w:rPr>
        <w:t>年</w:t>
      </w:r>
      <w:r>
        <w:rPr>
          <w:rFonts w:hint="eastAsia" w:ascii="宋体" w:hAnsi="宋体" w:cs="宋体"/>
          <w:b/>
          <w:color w:val="auto"/>
          <w:sz w:val="28"/>
          <w:highlight w:val="none"/>
          <w:u w:val="single"/>
        </w:rPr>
        <w:t xml:space="preserve">   </w:t>
      </w:r>
      <w:r>
        <w:rPr>
          <w:rFonts w:hint="eastAsia" w:ascii="宋体" w:hAnsi="宋体" w:cs="宋体"/>
          <w:b/>
          <w:color w:val="auto"/>
          <w:sz w:val="28"/>
          <w:highlight w:val="none"/>
        </w:rPr>
        <w:t>月</w:t>
      </w:r>
      <w:r>
        <w:rPr>
          <w:rFonts w:hint="eastAsia" w:ascii="宋体" w:hAnsi="宋体" w:cs="宋体"/>
          <w:b/>
          <w:color w:val="auto"/>
          <w:sz w:val="28"/>
          <w:highlight w:val="none"/>
          <w:u w:val="single"/>
        </w:rPr>
        <w:t xml:space="preserve">   </w:t>
      </w:r>
      <w:r>
        <w:rPr>
          <w:rFonts w:hint="eastAsia" w:ascii="宋体" w:hAnsi="宋体" w:cs="宋体"/>
          <w:b/>
          <w:color w:val="auto"/>
          <w:sz w:val="28"/>
          <w:highlight w:val="none"/>
        </w:rPr>
        <w:t>日</w:t>
      </w:r>
    </w:p>
    <w:p>
      <w:pPr>
        <w:rPr>
          <w:rFonts w:ascii="宋体" w:hAnsi="宋体" w:cs="宋体"/>
          <w:color w:val="auto"/>
          <w:highlight w:val="none"/>
        </w:rPr>
      </w:pPr>
      <w:bookmarkStart w:id="177" w:name="_Toc21305"/>
      <w:bookmarkStart w:id="178" w:name="_Toc357087380"/>
    </w:p>
    <w:p>
      <w:pPr>
        <w:rPr>
          <w:rFonts w:ascii="宋体" w:hAnsi="宋体" w:cs="宋体"/>
          <w:color w:val="auto"/>
          <w:highlight w:val="none"/>
        </w:rPr>
      </w:pPr>
    </w:p>
    <w:p>
      <w:pPr>
        <w:rPr>
          <w:rFonts w:ascii="宋体" w:hAnsi="宋体" w:cs="宋体"/>
          <w:color w:val="auto"/>
          <w:sz w:val="22"/>
          <w:szCs w:val="28"/>
          <w:highlight w:val="none"/>
        </w:rPr>
      </w:pPr>
      <w:r>
        <w:rPr>
          <w:rFonts w:hint="eastAsia" w:ascii="宋体" w:hAnsi="宋体" w:cs="宋体"/>
          <w:color w:val="auto"/>
          <w:sz w:val="22"/>
          <w:szCs w:val="28"/>
          <w:highlight w:val="none"/>
        </w:rPr>
        <w:br w:type="page"/>
      </w:r>
    </w:p>
    <w:p>
      <w:pPr>
        <w:jc w:val="center"/>
        <w:rPr>
          <w:rFonts w:ascii="宋体" w:hAnsi="宋体" w:cs="宋体"/>
          <w:color w:val="auto"/>
          <w:sz w:val="22"/>
          <w:szCs w:val="28"/>
          <w:highlight w:val="none"/>
        </w:rPr>
      </w:pPr>
      <w:r>
        <w:rPr>
          <w:rFonts w:hint="eastAsia" w:ascii="宋体" w:hAnsi="宋体" w:cs="宋体"/>
          <w:color w:val="auto"/>
          <w:sz w:val="22"/>
          <w:szCs w:val="28"/>
          <w:highlight w:val="none"/>
        </w:rPr>
        <w:t>书脊格式（规定格式）</w:t>
      </w:r>
    </w:p>
    <w:p>
      <w:pPr>
        <w:widowControl/>
        <w:spacing w:line="400" w:lineRule="exact"/>
        <w:jc w:val="center"/>
        <w:rPr>
          <w:rFonts w:ascii="宋体" w:hAnsi="宋体" w:cs="宋体"/>
          <w:color w:val="auto"/>
          <w:kern w:val="0"/>
          <w:sz w:val="28"/>
          <w:szCs w:val="28"/>
          <w:highlight w:val="none"/>
          <w:u w:color="000000"/>
        </w:rPr>
      </w:pPr>
      <w:r>
        <w:rPr>
          <w:rFonts w:hint="eastAsia" w:ascii="宋体" w:hAnsi="宋体" w:cs="宋体"/>
          <w:color w:val="auto"/>
          <w:kern w:val="0"/>
          <w:sz w:val="28"/>
          <w:szCs w:val="28"/>
          <w:highlight w:val="none"/>
          <w:u w:color="000000"/>
        </w:rPr>
        <w:t>书脊格式</w:t>
      </w:r>
    </w:p>
    <w:p>
      <w:pPr>
        <w:widowControl/>
        <w:spacing w:line="400" w:lineRule="exact"/>
        <w:jc w:val="center"/>
        <w:rPr>
          <w:rFonts w:ascii="宋体" w:hAnsi="宋体" w:cs="宋体"/>
          <w:color w:val="auto"/>
          <w:kern w:val="0"/>
          <w:sz w:val="28"/>
          <w:szCs w:val="28"/>
          <w:highlight w:val="none"/>
          <w:u w:color="000000"/>
        </w:rPr>
      </w:pPr>
    </w:p>
    <w:tbl>
      <w:tblPr>
        <w:tblStyle w:val="25"/>
        <w:tblpPr w:leftFromText="180" w:rightFromText="180" w:vertAnchor="text" w:horzAnchor="margin" w:tblpXSpec="center"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3" w:hRule="atLeast"/>
        </w:trPr>
        <w:tc>
          <w:tcPr>
            <w:tcW w:w="817" w:type="dxa"/>
            <w:textDirection w:val="tbRlV"/>
            <w:vAlign w:val="center"/>
          </w:tcPr>
          <w:p>
            <w:pPr>
              <w:widowControl/>
              <w:spacing w:line="400" w:lineRule="exact"/>
              <w:ind w:left="113" w:right="113"/>
              <w:textAlignment w:val="baseline"/>
              <w:rPr>
                <w:rFonts w:ascii="宋体" w:hAnsi="宋体" w:cs="宋体"/>
                <w:b/>
                <w:color w:val="auto"/>
                <w:kern w:val="0"/>
                <w:szCs w:val="21"/>
                <w:highlight w:val="none"/>
                <w:u w:color="000000"/>
              </w:rPr>
            </w:pPr>
            <w:r>
              <w:rPr>
                <w:rFonts w:hint="eastAsia" w:ascii="宋体" w:hAnsi="宋体" w:cs="宋体"/>
                <w:b/>
                <w:bCs/>
                <w:color w:val="auto"/>
                <w:kern w:val="0"/>
                <w:szCs w:val="21"/>
                <w:highlight w:val="none"/>
                <w:u w:color="000000"/>
              </w:rPr>
              <w:t>项目编号：              项目名称：                          投标单位名称：</w:t>
            </w:r>
          </w:p>
        </w:tc>
      </w:tr>
    </w:tbl>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color w:val="auto"/>
          <w:kern w:val="0"/>
          <w:sz w:val="28"/>
          <w:szCs w:val="28"/>
          <w:highlight w:val="none"/>
          <w:u w:color="000000"/>
        </w:rPr>
      </w:pPr>
    </w:p>
    <w:p>
      <w:pPr>
        <w:widowControl/>
        <w:spacing w:line="400" w:lineRule="exact"/>
        <w:jc w:val="center"/>
        <w:rPr>
          <w:rFonts w:ascii="宋体" w:hAnsi="宋体" w:cs="宋体"/>
          <w:bCs/>
          <w:color w:val="auto"/>
          <w:kern w:val="0"/>
          <w:sz w:val="22"/>
          <w:szCs w:val="28"/>
          <w:highlight w:val="none"/>
        </w:rPr>
      </w:pPr>
    </w:p>
    <w:p>
      <w:pPr>
        <w:rPr>
          <w:rFonts w:ascii="宋体" w:hAnsi="宋体" w:cs="宋体"/>
          <w:b/>
          <w:color w:val="auto"/>
          <w:sz w:val="24"/>
          <w:highlight w:val="none"/>
        </w:rPr>
      </w:pPr>
      <w:r>
        <w:rPr>
          <w:rFonts w:hint="eastAsia" w:ascii="宋体" w:hAnsi="宋体" w:cs="宋体"/>
          <w:bCs/>
          <w:color w:val="auto"/>
          <w:kern w:val="0"/>
          <w:sz w:val="22"/>
          <w:szCs w:val="28"/>
          <w:highlight w:val="none"/>
        </w:rPr>
        <w:t>注:书脊内容如果编辑空间不够，可以简写书脊内容标书厚度如小于1cm，可简化书脊</w:t>
      </w:r>
      <w:r>
        <w:rPr>
          <w:rFonts w:hint="eastAsia" w:ascii="宋体" w:hAnsi="宋体" w:cs="宋体"/>
          <w:b/>
          <w:color w:val="auto"/>
          <w:sz w:val="24"/>
          <w:highlight w:val="none"/>
        </w:rPr>
        <w:t>。</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3"/>
        <w:rPr>
          <w:rFonts w:ascii="宋体" w:hAnsi="宋体" w:eastAsia="宋体" w:cs="宋体"/>
          <w:color w:val="auto"/>
          <w:sz w:val="24"/>
          <w:szCs w:val="24"/>
          <w:highlight w:val="none"/>
        </w:rPr>
      </w:pPr>
      <w:bookmarkStart w:id="179" w:name="_Toc27462"/>
      <w:bookmarkStart w:id="180" w:name="_Toc16296"/>
      <w:r>
        <w:rPr>
          <w:rFonts w:hint="eastAsia" w:ascii="宋体" w:hAnsi="宋体" w:eastAsia="宋体" w:cs="宋体"/>
          <w:color w:val="auto"/>
          <w:sz w:val="24"/>
          <w:szCs w:val="24"/>
          <w:highlight w:val="none"/>
        </w:rPr>
        <w:t>二、目录</w:t>
      </w:r>
      <w:bookmarkEnd w:id="179"/>
      <w:bookmarkEnd w:id="180"/>
    </w:p>
    <w:p>
      <w:pPr>
        <w:rPr>
          <w:rFonts w:ascii="宋体" w:hAnsi="宋体" w:cs="宋体"/>
          <w:color w:val="auto"/>
          <w:szCs w:val="22"/>
          <w:highlight w:val="none"/>
        </w:rPr>
      </w:pPr>
    </w:p>
    <w:p>
      <w:pPr>
        <w:rPr>
          <w:rFonts w:ascii="宋体" w:hAnsi="宋体" w:cs="宋体"/>
          <w:color w:val="auto"/>
          <w:sz w:val="24"/>
          <w:szCs w:val="24"/>
          <w:highlight w:val="none"/>
        </w:rPr>
        <w:sectPr>
          <w:footnotePr>
            <w:pos w:val="beneathText"/>
          </w:footnotePr>
          <w:pgSz w:w="11906" w:h="16838"/>
          <w:pgMar w:top="1417" w:right="1644" w:bottom="1191" w:left="1757" w:header="850" w:footer="992" w:gutter="0"/>
          <w:cols w:space="0" w:num="1"/>
          <w:titlePg/>
          <w:docGrid w:linePitch="312" w:charSpace="0"/>
        </w:sectPr>
      </w:pPr>
      <w:r>
        <w:rPr>
          <w:rFonts w:hint="eastAsia" w:ascii="宋体" w:hAnsi="宋体" w:cs="宋体"/>
          <w:color w:val="auto"/>
          <w:sz w:val="24"/>
          <w:szCs w:val="24"/>
          <w:highlight w:val="none"/>
        </w:rPr>
        <w:t>根据响应文件自行编制</w:t>
      </w:r>
      <w:r>
        <w:rPr>
          <w:rFonts w:hint="eastAsia" w:ascii="宋体" w:hAnsi="宋体" w:cs="宋体"/>
          <w:color w:val="auto"/>
          <w:sz w:val="24"/>
          <w:szCs w:val="24"/>
          <w:highlight w:val="none"/>
          <w:u w:val="single"/>
        </w:rPr>
        <w:t>详细、清晰、精准的目录</w:t>
      </w:r>
      <w:r>
        <w:rPr>
          <w:rFonts w:hint="eastAsia" w:ascii="宋体" w:hAnsi="宋体" w:cs="宋体"/>
          <w:color w:val="auto"/>
          <w:sz w:val="24"/>
          <w:szCs w:val="24"/>
          <w:highlight w:val="none"/>
        </w:rPr>
        <w:t>。</w:t>
      </w:r>
    </w:p>
    <w:p>
      <w:pPr>
        <w:widowControl/>
        <w:jc w:val="left"/>
        <w:rPr>
          <w:rFonts w:ascii="宋体" w:hAnsi="宋体" w:cs="宋体"/>
          <w:color w:val="auto"/>
          <w:highlight w:val="none"/>
        </w:rPr>
      </w:pPr>
    </w:p>
    <w:p>
      <w:pPr>
        <w:pStyle w:val="3"/>
        <w:rPr>
          <w:rFonts w:ascii="宋体" w:hAnsi="宋体" w:eastAsia="宋体" w:cs="宋体"/>
          <w:color w:val="auto"/>
          <w:sz w:val="24"/>
          <w:szCs w:val="24"/>
          <w:highlight w:val="none"/>
        </w:rPr>
      </w:pPr>
      <w:bookmarkStart w:id="181" w:name="_Toc519085751"/>
      <w:bookmarkStart w:id="182" w:name="_Toc29707"/>
      <w:r>
        <w:rPr>
          <w:rFonts w:hint="eastAsia" w:ascii="宋体" w:hAnsi="宋体" w:eastAsia="宋体" w:cs="宋体"/>
          <w:color w:val="auto"/>
          <w:sz w:val="24"/>
          <w:szCs w:val="24"/>
          <w:highlight w:val="none"/>
        </w:rPr>
        <w:t>三、</w:t>
      </w:r>
      <w:bookmarkEnd w:id="166"/>
      <w:bookmarkEnd w:id="177"/>
      <w:bookmarkEnd w:id="178"/>
      <w:bookmarkEnd w:id="181"/>
      <w:r>
        <w:rPr>
          <w:rFonts w:hint="eastAsia" w:ascii="宋体" w:hAnsi="宋体" w:eastAsia="宋体" w:cs="宋体"/>
          <w:color w:val="auto"/>
          <w:sz w:val="24"/>
          <w:szCs w:val="24"/>
          <w:highlight w:val="none"/>
        </w:rPr>
        <w:t>谈判响应函</w:t>
      </w:r>
      <w:bookmarkEnd w:id="182"/>
    </w:p>
    <w:p>
      <w:pPr>
        <w:spacing w:line="400" w:lineRule="atLeas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pacing w:val="4"/>
          <w:sz w:val="24"/>
          <w:highlight w:val="none"/>
          <w:u w:val="single"/>
        </w:rPr>
        <w:t xml:space="preserve">     （采购人名称）   </w:t>
      </w:r>
    </w:p>
    <w:p>
      <w:pPr>
        <w:spacing w:line="400" w:lineRule="atLeast"/>
        <w:rPr>
          <w:rFonts w:ascii="宋体" w:hAnsi="宋体" w:cs="宋体"/>
          <w:color w:val="auto"/>
          <w:sz w:val="24"/>
          <w:highlight w:val="none"/>
        </w:rPr>
      </w:pPr>
    </w:p>
    <w:p>
      <w:pPr>
        <w:spacing w:line="400" w:lineRule="atLeast"/>
        <w:ind w:firstLine="540" w:firstLineChars="225"/>
        <w:rPr>
          <w:rFonts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采购项目的竞争性谈判文件，签字代表</w:t>
      </w:r>
      <w:r>
        <w:rPr>
          <w:rFonts w:hint="eastAsia" w:ascii="宋体" w:hAnsi="宋体" w:cs="宋体"/>
          <w:color w:val="auto"/>
          <w:sz w:val="24"/>
          <w:highlight w:val="none"/>
          <w:u w:val="single"/>
        </w:rPr>
        <w:t xml:space="preserve">              (全名、职务)</w:t>
      </w:r>
      <w:r>
        <w:rPr>
          <w:rFonts w:hint="eastAsia" w:ascii="宋体" w:hAnsi="宋体" w:cs="宋体"/>
          <w:color w:val="auto"/>
          <w:sz w:val="24"/>
          <w:highlight w:val="none"/>
        </w:rPr>
        <w:t>经正式授权并代表</w:t>
      </w:r>
      <w:r>
        <w:rPr>
          <w:rFonts w:hint="eastAsia" w:ascii="宋体" w:hAnsi="宋体" w:cs="宋体"/>
          <w:color w:val="auto"/>
          <w:sz w:val="24"/>
          <w:highlight w:val="none"/>
          <w:u w:val="single"/>
        </w:rPr>
        <w:t xml:space="preserve"> (供应商名称、地址）</w:t>
      </w:r>
      <w:r>
        <w:rPr>
          <w:rFonts w:hint="eastAsia" w:ascii="宋体" w:hAnsi="宋体" w:cs="宋体"/>
          <w:color w:val="auto"/>
          <w:sz w:val="24"/>
          <w:highlight w:val="none"/>
        </w:rPr>
        <w:t>提交包含下述内容的谈判响应文件正本</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份，电子版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400" w:lineRule="atLeast"/>
        <w:rPr>
          <w:rFonts w:ascii="宋体" w:hAnsi="宋体" w:cs="宋体"/>
          <w:color w:val="auto"/>
          <w:sz w:val="24"/>
          <w:highlight w:val="none"/>
        </w:rPr>
      </w:pPr>
      <w:r>
        <w:rPr>
          <w:rFonts w:hint="eastAsia" w:ascii="宋体" w:hAnsi="宋体" w:cs="宋体"/>
          <w:color w:val="auto"/>
          <w:sz w:val="24"/>
          <w:highlight w:val="none"/>
        </w:rPr>
        <w:t xml:space="preserve">    (1) 谈判响应函；</w:t>
      </w:r>
    </w:p>
    <w:p>
      <w:pPr>
        <w:spacing w:line="400" w:lineRule="atLeast"/>
        <w:rPr>
          <w:rFonts w:ascii="宋体" w:hAnsi="宋体" w:cs="宋体"/>
          <w:color w:val="auto"/>
          <w:sz w:val="24"/>
          <w:highlight w:val="none"/>
        </w:rPr>
      </w:pPr>
      <w:r>
        <w:rPr>
          <w:rFonts w:hint="eastAsia" w:ascii="宋体" w:hAnsi="宋体" w:cs="宋体"/>
          <w:color w:val="auto"/>
          <w:sz w:val="24"/>
          <w:highlight w:val="none"/>
        </w:rPr>
        <w:t xml:space="preserve">    (2) 首次谈判报价表；</w:t>
      </w:r>
    </w:p>
    <w:p>
      <w:pPr>
        <w:spacing w:line="400" w:lineRule="atLeast"/>
        <w:rPr>
          <w:rFonts w:ascii="宋体" w:hAnsi="宋体" w:cs="宋体"/>
          <w:color w:val="auto"/>
          <w:sz w:val="24"/>
          <w:highlight w:val="none"/>
        </w:rPr>
      </w:pPr>
      <w:r>
        <w:rPr>
          <w:rFonts w:hint="eastAsia" w:ascii="宋体" w:hAnsi="宋体" w:cs="宋体"/>
          <w:color w:val="auto"/>
          <w:sz w:val="24"/>
          <w:highlight w:val="none"/>
        </w:rPr>
        <w:t xml:space="preserve">    (3) 按谈判须知要求提供的全部文件和谈判文件要求的响应文件；</w:t>
      </w:r>
    </w:p>
    <w:p>
      <w:pPr>
        <w:spacing w:line="400" w:lineRule="atLeast"/>
        <w:rPr>
          <w:rFonts w:ascii="宋体" w:hAnsi="宋体" w:cs="宋体"/>
          <w:color w:val="auto"/>
          <w:sz w:val="24"/>
          <w:highlight w:val="none"/>
        </w:rPr>
      </w:pPr>
      <w:r>
        <w:rPr>
          <w:rFonts w:hint="eastAsia" w:ascii="宋体" w:hAnsi="宋体" w:cs="宋体"/>
          <w:color w:val="auto"/>
          <w:sz w:val="24"/>
          <w:highlight w:val="none"/>
        </w:rPr>
        <w:t xml:space="preserve">    (4) 供应商资格证明文件；</w:t>
      </w:r>
    </w:p>
    <w:p>
      <w:pPr>
        <w:spacing w:line="400" w:lineRule="atLeast"/>
        <w:ind w:firstLine="480"/>
        <w:rPr>
          <w:rFonts w:ascii="宋体" w:hAnsi="宋体" w:cs="宋体"/>
          <w:color w:val="auto"/>
          <w:sz w:val="24"/>
          <w:highlight w:val="none"/>
        </w:rPr>
      </w:pPr>
      <w:r>
        <w:rPr>
          <w:rFonts w:hint="eastAsia" w:ascii="宋体" w:hAnsi="宋体" w:cs="宋体"/>
          <w:color w:val="auto"/>
          <w:sz w:val="24"/>
          <w:highlight w:val="none"/>
        </w:rPr>
        <w:t>(5) 已交纳谈判保证金，金额为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atLeas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据此函，签字代表宣布同意如下：</w:t>
      </w:r>
    </w:p>
    <w:p>
      <w:pPr>
        <w:spacing w:line="400" w:lineRule="atLeast"/>
        <w:ind w:firstLine="420"/>
        <w:rPr>
          <w:rFonts w:ascii="宋体" w:hAnsi="宋体" w:cs="宋体"/>
          <w:color w:val="auto"/>
          <w:sz w:val="24"/>
          <w:highlight w:val="none"/>
        </w:rPr>
      </w:pPr>
      <w:r>
        <w:rPr>
          <w:rFonts w:hint="eastAsia" w:ascii="宋体" w:hAnsi="宋体" w:cs="宋体"/>
          <w:color w:val="auto"/>
          <w:sz w:val="24"/>
          <w:highlight w:val="none"/>
        </w:rPr>
        <w:t>1. 所附开标一览表中规定的报价为：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（即：大写金额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00" w:lineRule="atLeast"/>
        <w:ind w:firstLine="420"/>
        <w:rPr>
          <w:rFonts w:ascii="宋体" w:hAnsi="宋体" w:cs="宋体"/>
          <w:color w:val="auto"/>
          <w:sz w:val="24"/>
          <w:highlight w:val="none"/>
        </w:rPr>
      </w:pPr>
      <w:r>
        <w:rPr>
          <w:rFonts w:hint="eastAsia" w:ascii="宋体" w:hAnsi="宋体" w:cs="宋体"/>
          <w:color w:val="auto"/>
          <w:sz w:val="24"/>
          <w:highlight w:val="none"/>
        </w:rPr>
        <w:t>2.供应商将按谈判文件的规定履行合同责任和义务;</w:t>
      </w:r>
    </w:p>
    <w:p>
      <w:pPr>
        <w:spacing w:line="400" w:lineRule="atLeast"/>
        <w:ind w:firstLine="420"/>
        <w:rPr>
          <w:rFonts w:ascii="宋体" w:hAnsi="宋体" w:cs="宋体"/>
          <w:color w:val="auto"/>
          <w:sz w:val="24"/>
          <w:highlight w:val="none"/>
        </w:rPr>
      </w:pPr>
      <w:r>
        <w:rPr>
          <w:rFonts w:hint="eastAsia" w:ascii="宋体" w:hAnsi="宋体" w:cs="宋体"/>
          <w:color w:val="auto"/>
          <w:sz w:val="24"/>
          <w:highlight w:val="none"/>
        </w:rPr>
        <w:t>3. 供应商已详细审查全部谈判文件，包括修改文件（如有的话）以及全部参考资料和有关附件。我们完全理解并同意放弃对这方面有不明及误解的权利；</w:t>
      </w:r>
    </w:p>
    <w:p>
      <w:pPr>
        <w:spacing w:line="400" w:lineRule="atLeast"/>
        <w:ind w:firstLine="420"/>
        <w:rPr>
          <w:rFonts w:ascii="宋体" w:hAnsi="宋体" w:cs="宋体"/>
          <w:color w:val="auto"/>
          <w:sz w:val="24"/>
          <w:highlight w:val="none"/>
        </w:rPr>
      </w:pPr>
      <w:r>
        <w:rPr>
          <w:rFonts w:hint="eastAsia" w:ascii="宋体" w:hAnsi="宋体" w:cs="宋体"/>
          <w:color w:val="auto"/>
          <w:sz w:val="24"/>
          <w:highlight w:val="none"/>
        </w:rPr>
        <w:t>4. 谈判报价自谈判响应文件截止之日起有效期为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w:t>
      </w:r>
    </w:p>
    <w:p>
      <w:pPr>
        <w:spacing w:line="400" w:lineRule="atLeast"/>
        <w:ind w:firstLine="420"/>
        <w:rPr>
          <w:rFonts w:ascii="宋体" w:hAnsi="宋体" w:cs="宋体"/>
          <w:color w:val="auto"/>
          <w:sz w:val="24"/>
          <w:highlight w:val="none"/>
        </w:rPr>
      </w:pPr>
      <w:r>
        <w:rPr>
          <w:rFonts w:hint="eastAsia" w:ascii="宋体" w:hAnsi="宋体" w:cs="宋体"/>
          <w:color w:val="auto"/>
          <w:sz w:val="24"/>
          <w:highlight w:val="none"/>
        </w:rPr>
        <w:t>5. 如果在响应文件截止时间后，供应商在谈判有效期内撤回谈判报价；或成交后未按谈判文件中谈判须知规定的向采购代理机构交纳足额的招标代理服务费，其谈判保证金将被贵方没收；</w:t>
      </w:r>
    </w:p>
    <w:p>
      <w:pPr>
        <w:spacing w:line="400" w:lineRule="atLeast"/>
        <w:ind w:firstLine="420"/>
        <w:rPr>
          <w:rFonts w:ascii="宋体" w:hAnsi="宋体" w:cs="宋体"/>
          <w:color w:val="auto"/>
          <w:sz w:val="24"/>
          <w:highlight w:val="none"/>
        </w:rPr>
      </w:pPr>
      <w:r>
        <w:rPr>
          <w:rFonts w:hint="eastAsia" w:ascii="宋体" w:hAnsi="宋体" w:cs="宋体"/>
          <w:color w:val="auto"/>
          <w:sz w:val="24"/>
          <w:highlight w:val="none"/>
        </w:rPr>
        <w:t>6. 供应商同意提供按照贵方可能要求的与其报价有关的一切数据或资料，完全理解贵方不一定要接受最低价的谈判报价或收到的任何谈判报价。</w:t>
      </w:r>
    </w:p>
    <w:p>
      <w:pPr>
        <w:spacing w:line="400" w:lineRule="atLeast"/>
        <w:ind w:firstLine="420"/>
        <w:rPr>
          <w:rFonts w:ascii="宋体" w:hAnsi="宋体" w:cs="宋体"/>
          <w:color w:val="auto"/>
          <w:sz w:val="24"/>
          <w:highlight w:val="none"/>
        </w:rPr>
      </w:pPr>
      <w:r>
        <w:rPr>
          <w:rFonts w:hint="eastAsia" w:ascii="宋体" w:hAnsi="宋体" w:cs="宋体"/>
          <w:color w:val="auto"/>
          <w:sz w:val="24"/>
          <w:highlight w:val="none"/>
        </w:rPr>
        <w:t>7. 与本谈判有关的一切正式往来通讯请寄：</w:t>
      </w:r>
    </w:p>
    <w:p>
      <w:pPr>
        <w:spacing w:line="400" w:lineRule="atLeas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400" w:lineRule="atLeas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400" w:lineRule="atLeast"/>
        <w:jc w:val="lef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供应商代表姓名、职务（印刷体）：</w:t>
      </w:r>
      <w:r>
        <w:rPr>
          <w:rFonts w:hint="eastAsia" w:ascii="宋体" w:hAnsi="宋体" w:cs="宋体"/>
          <w:color w:val="auto"/>
          <w:sz w:val="24"/>
          <w:highlight w:val="none"/>
          <w:u w:val="single"/>
        </w:rPr>
        <w:t xml:space="preserve">                                   </w:t>
      </w:r>
    </w:p>
    <w:p>
      <w:pPr>
        <w:spacing w:line="400" w:lineRule="atLeast"/>
        <w:ind w:firstLine="360" w:firstLineChars="15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pPr>
        <w:spacing w:line="400" w:lineRule="atLeas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szCs w:val="24"/>
          <w:highlight w:val="none"/>
        </w:rPr>
        <w:t>法定代表人或授权代表（签字）：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00" w:lineRule="atLeast"/>
        <w:ind w:firstLine="422"/>
        <w:jc w:val="center"/>
        <w:rPr>
          <w:rFonts w:ascii="宋体" w:hAnsi="宋体" w:cs="宋体"/>
          <w:color w:val="auto"/>
          <w:sz w:val="24"/>
          <w:highlight w:val="none"/>
        </w:rPr>
      </w:pPr>
      <w:r>
        <w:rPr>
          <w:rFonts w:hint="eastAsia" w:ascii="宋体" w:hAnsi="宋体" w:cs="宋体"/>
          <w:color w:val="auto"/>
          <w:sz w:val="24"/>
          <w:highlight w:val="none"/>
        </w:rPr>
        <w:t xml:space="preserve">  </w:t>
      </w:r>
    </w:p>
    <w:p>
      <w:pPr>
        <w:spacing w:line="400" w:lineRule="atLeast"/>
        <w:ind w:firstLine="422"/>
        <w:jc w:val="center"/>
        <w:rPr>
          <w:rFonts w:ascii="宋体" w:hAnsi="宋体" w:cs="宋体"/>
          <w:color w:val="auto"/>
          <w:sz w:val="24"/>
          <w:highlight w:val="none"/>
        </w:rPr>
      </w:pPr>
    </w:p>
    <w:p>
      <w:pPr>
        <w:spacing w:line="400" w:lineRule="atLeast"/>
        <w:ind w:firstLine="422"/>
        <w:jc w:val="center"/>
        <w:rPr>
          <w:rFonts w:ascii="宋体" w:hAnsi="宋体" w:cs="宋体"/>
          <w:b/>
          <w:color w:val="auto"/>
          <w:highlight w:val="none"/>
        </w:rPr>
        <w:sectPr>
          <w:pgSz w:w="11906" w:h="16838"/>
          <w:pgMar w:top="1417" w:right="1644" w:bottom="1191" w:left="1757" w:header="850" w:footer="992" w:gutter="0"/>
          <w:cols w:space="0" w:num="1"/>
          <w:titlePg/>
          <w:docGrid w:linePitch="312" w:charSpace="0"/>
        </w:sectPr>
      </w:pPr>
      <w:r>
        <w:rPr>
          <w:rFonts w:hint="eastAsia" w:ascii="宋体" w:hAnsi="宋体" w:cs="宋体"/>
          <w:color w:val="auto"/>
          <w:sz w:val="24"/>
          <w:highlight w:val="none"/>
        </w:rPr>
        <w:t xml:space="preserve"> 日期：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bookmarkEnd w:id="167"/>
      <w:bookmarkEnd w:id="168"/>
      <w:bookmarkStart w:id="183" w:name="_Toc519085752"/>
    </w:p>
    <w:p>
      <w:pPr>
        <w:pStyle w:val="3"/>
        <w:ind w:firstLine="562"/>
        <w:rPr>
          <w:rFonts w:ascii="宋体" w:hAnsi="宋体" w:eastAsia="宋体" w:cs="宋体"/>
          <w:color w:val="auto"/>
          <w:sz w:val="24"/>
          <w:szCs w:val="24"/>
          <w:highlight w:val="none"/>
        </w:rPr>
      </w:pPr>
      <w:bookmarkStart w:id="184" w:name="_Toc17715"/>
      <w:r>
        <w:rPr>
          <w:rFonts w:hint="eastAsia" w:ascii="宋体" w:hAnsi="宋体" w:eastAsia="宋体" w:cs="宋体"/>
          <w:color w:val="auto"/>
          <w:sz w:val="24"/>
          <w:szCs w:val="24"/>
          <w:highlight w:val="none"/>
        </w:rPr>
        <w:t>四、</w:t>
      </w:r>
      <w:bookmarkEnd w:id="183"/>
      <w:r>
        <w:rPr>
          <w:rFonts w:hint="eastAsia" w:ascii="宋体" w:hAnsi="宋体" w:eastAsia="宋体" w:cs="宋体"/>
          <w:color w:val="auto"/>
          <w:sz w:val="24"/>
          <w:szCs w:val="24"/>
          <w:highlight w:val="none"/>
        </w:rPr>
        <w:t>首次谈判报价表</w:t>
      </w:r>
      <w:bookmarkEnd w:id="184"/>
    </w:p>
    <w:p>
      <w:pPr>
        <w:spacing w:line="360" w:lineRule="auto"/>
        <w:jc w:val="center"/>
        <w:rPr>
          <w:rFonts w:ascii="宋体" w:hAnsi="宋体" w:cs="宋体"/>
          <w:color w:val="auto"/>
          <w:sz w:val="24"/>
          <w:szCs w:val="22"/>
          <w:highlight w:val="none"/>
        </w:rPr>
      </w:pPr>
      <w:r>
        <w:rPr>
          <w:rFonts w:hint="eastAsia" w:ascii="宋体" w:hAnsi="宋体" w:cs="宋体"/>
          <w:color w:val="auto"/>
          <w:highlight w:val="none"/>
        </w:rPr>
        <w:t xml:space="preserve">                                                            </w:t>
      </w:r>
      <w:r>
        <w:rPr>
          <w:rFonts w:hint="eastAsia" w:ascii="宋体" w:hAnsi="宋体" w:cs="宋体"/>
          <w:color w:val="auto"/>
          <w:sz w:val="24"/>
          <w:szCs w:val="22"/>
          <w:highlight w:val="none"/>
        </w:rPr>
        <w:t xml:space="preserve">      </w:t>
      </w:r>
    </w:p>
    <w:p>
      <w:pPr>
        <w:spacing w:line="360" w:lineRule="auto"/>
        <w:jc w:val="right"/>
        <w:rPr>
          <w:rFonts w:ascii="宋体" w:hAnsi="宋体" w:cs="宋体"/>
          <w:color w:val="auto"/>
          <w:highlight w:val="none"/>
        </w:rPr>
      </w:pPr>
      <w:r>
        <w:rPr>
          <w:rFonts w:hint="eastAsia" w:ascii="宋体" w:hAnsi="宋体" w:cs="宋体"/>
          <w:color w:val="auto"/>
          <w:sz w:val="24"/>
          <w:szCs w:val="22"/>
          <w:highlight w:val="none"/>
        </w:rPr>
        <w:t xml:space="preserve"> 单位：元</w:t>
      </w:r>
    </w:p>
    <w:bookmarkEnd w:id="169"/>
    <w:bookmarkEnd w:id="170"/>
    <w:bookmarkEnd w:id="171"/>
    <w:bookmarkEnd w:id="172"/>
    <w:bookmarkEnd w:id="173"/>
    <w:bookmarkEnd w:id="174"/>
    <w:bookmarkEnd w:id="175"/>
    <w:p>
      <w:pPr>
        <w:rPr>
          <w:rFonts w:ascii="宋体" w:hAnsi="宋体" w:cs="宋体"/>
          <w:color w:val="auto"/>
          <w:highlight w:val="none"/>
        </w:rPr>
      </w:pPr>
      <w:bookmarkStart w:id="185" w:name="_Toc492955464"/>
      <w:bookmarkStart w:id="186" w:name="_Toc389620245"/>
      <w:bookmarkStart w:id="187" w:name="_Toc497546923"/>
      <w:bookmarkStart w:id="188" w:name="_Toc385992405"/>
      <w:bookmarkStart w:id="189" w:name="_Hlt491766443"/>
      <w:bookmarkStart w:id="190" w:name="_Toc497551825"/>
      <w:bookmarkStart w:id="191" w:name="_Toc246928964"/>
      <w:bookmarkStart w:id="192" w:name="_Toc497711590"/>
      <w:bookmarkStart w:id="193" w:name="_Toc497712138"/>
    </w:p>
    <w:tbl>
      <w:tblPr>
        <w:tblStyle w:val="2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 w:val="24"/>
                <w:szCs w:val="22"/>
                <w:highlight w:val="none"/>
              </w:rPr>
              <w:t>项目名称</w:t>
            </w:r>
          </w:p>
        </w:tc>
        <w:tc>
          <w:tcPr>
            <w:tcW w:w="6704"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ascii="宋体" w:hAnsi="宋体" w:cs="宋体"/>
                <w:color w:val="auto"/>
                <w:sz w:val="24"/>
                <w:szCs w:val="22"/>
                <w:highlight w:val="none"/>
              </w:rPr>
            </w:pPr>
            <w:r>
              <w:rPr>
                <w:rFonts w:hint="eastAsia" w:ascii="宋体" w:hAnsi="宋体" w:cs="宋体"/>
                <w:color w:val="auto"/>
                <w:sz w:val="24"/>
                <w:szCs w:val="22"/>
                <w:highlight w:val="none"/>
              </w:rPr>
              <w:t>项目编号</w:t>
            </w:r>
          </w:p>
        </w:tc>
        <w:tc>
          <w:tcPr>
            <w:tcW w:w="6704"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exact"/>
          <w:jc w:val="center"/>
        </w:trPr>
        <w:tc>
          <w:tcPr>
            <w:tcW w:w="2044" w:type="dxa"/>
            <w:vAlign w:val="center"/>
          </w:tcPr>
          <w:p>
            <w:pPr>
              <w:jc w:val="center"/>
              <w:rPr>
                <w:rFonts w:ascii="宋体" w:hAnsi="宋体" w:cs="宋体"/>
                <w:color w:val="auto"/>
                <w:sz w:val="24"/>
                <w:szCs w:val="22"/>
                <w:highlight w:val="none"/>
              </w:rPr>
            </w:pPr>
            <w:r>
              <w:rPr>
                <w:rFonts w:hint="eastAsia" w:ascii="宋体" w:hAnsi="宋体" w:cs="宋体"/>
                <w:color w:val="auto"/>
                <w:sz w:val="24"/>
                <w:szCs w:val="22"/>
                <w:highlight w:val="none"/>
              </w:rPr>
              <w:t>总报价</w:t>
            </w:r>
          </w:p>
          <w:p>
            <w:pPr>
              <w:jc w:val="center"/>
              <w:rPr>
                <w:rFonts w:ascii="宋体" w:hAnsi="宋体" w:cs="宋体"/>
                <w:color w:val="auto"/>
                <w:sz w:val="24"/>
                <w:szCs w:val="22"/>
                <w:highlight w:val="none"/>
              </w:rPr>
            </w:pPr>
            <w:r>
              <w:rPr>
                <w:rFonts w:hint="eastAsia" w:ascii="宋体" w:hAnsi="宋体" w:cs="宋体"/>
                <w:color w:val="auto"/>
                <w:sz w:val="24"/>
                <w:szCs w:val="22"/>
                <w:highlight w:val="none"/>
              </w:rPr>
              <w:t>（人民币）</w:t>
            </w:r>
          </w:p>
        </w:tc>
        <w:tc>
          <w:tcPr>
            <w:tcW w:w="6704" w:type="dxa"/>
            <w:vAlign w:val="center"/>
          </w:tcPr>
          <w:p>
            <w:pPr>
              <w:spacing w:line="360" w:lineRule="auto"/>
              <w:jc w:val="center"/>
              <w:rPr>
                <w:rFonts w:ascii="宋体" w:hAnsi="宋体" w:cs="宋体"/>
                <w:color w:val="auto"/>
                <w:sz w:val="24"/>
                <w:szCs w:val="22"/>
                <w:highlight w:val="none"/>
              </w:rPr>
            </w:pPr>
            <w:r>
              <w:rPr>
                <w:rFonts w:hint="eastAsia" w:ascii="宋体" w:hAnsi="宋体" w:cs="宋体"/>
                <w:color w:val="auto"/>
                <w:sz w:val="24"/>
                <w:szCs w:val="22"/>
                <w:highlight w:val="none"/>
              </w:rPr>
              <w:t>小写金额：￥</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w:t>
            </w:r>
          </w:p>
          <w:p>
            <w:pPr>
              <w:spacing w:line="360" w:lineRule="auto"/>
              <w:jc w:val="center"/>
              <w:rPr>
                <w:rFonts w:ascii="宋体" w:hAnsi="宋体" w:cs="宋体"/>
                <w:color w:val="auto"/>
                <w:sz w:val="24"/>
                <w:szCs w:val="22"/>
                <w:highlight w:val="none"/>
              </w:rPr>
            </w:pPr>
            <w:r>
              <w:rPr>
                <w:rFonts w:hint="eastAsia" w:ascii="宋体" w:hAnsi="宋体" w:cs="宋体"/>
                <w:color w:val="auto"/>
                <w:sz w:val="24"/>
                <w:szCs w:val="22"/>
                <w:highlight w:val="none"/>
              </w:rPr>
              <w:t>大写金额：</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jc w:val="left"/>
              <w:rPr>
                <w:rFonts w:ascii="宋体" w:hAnsi="宋体" w:cs="宋体"/>
                <w:color w:val="auto"/>
                <w:szCs w:val="21"/>
                <w:highlight w:val="none"/>
              </w:rPr>
            </w:pPr>
            <w:r>
              <w:rPr>
                <w:rFonts w:hint="eastAsia" w:ascii="宋体" w:hAnsi="宋体" w:cs="宋体"/>
                <w:color w:val="auto"/>
                <w:sz w:val="24"/>
                <w:szCs w:val="22"/>
                <w:highlight w:val="none"/>
              </w:rPr>
              <w:t>备注：表内报价内容以元为单位，保留小数点后两位。</w:t>
            </w:r>
          </w:p>
        </w:tc>
      </w:tr>
    </w:tbl>
    <w:p>
      <w:pPr>
        <w:rPr>
          <w:rFonts w:ascii="宋体" w:hAnsi="宋体" w:cs="宋体"/>
          <w:color w:val="auto"/>
          <w:sz w:val="28"/>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备注：供应商的报价应考虑到该采购项目所发生的一切费用。</w:t>
      </w:r>
    </w:p>
    <w:p>
      <w:pPr>
        <w:ind w:firstLine="420"/>
        <w:rPr>
          <w:rFonts w:ascii="宋体" w:hAnsi="宋体" w:cs="宋体"/>
          <w:color w:val="auto"/>
          <w:sz w:val="24"/>
          <w:highlight w:val="none"/>
        </w:rPr>
      </w:pPr>
    </w:p>
    <w:p>
      <w:pPr>
        <w:rPr>
          <w:rFonts w:ascii="宋体" w:hAnsi="宋体" w:cs="宋体"/>
          <w:color w:val="auto"/>
          <w:sz w:val="30"/>
          <w:highlight w:val="none"/>
        </w:rPr>
      </w:pPr>
    </w:p>
    <w:p>
      <w:pPr>
        <w:spacing w:line="480" w:lineRule="auto"/>
        <w:ind w:right="-161" w:firstLine="2640" w:firstLineChars="11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法定代表人或授权代表（签字）：</w:t>
      </w:r>
      <w:r>
        <w:rPr>
          <w:rFonts w:hint="eastAsia" w:ascii="宋体" w:hAnsi="宋体" w:cs="宋体"/>
          <w:color w:val="auto"/>
          <w:sz w:val="24"/>
          <w:szCs w:val="24"/>
          <w:highlight w:val="none"/>
          <w:u w:val="single"/>
        </w:rPr>
        <w:t xml:space="preserve">              </w:t>
      </w:r>
    </w:p>
    <w:p>
      <w:pPr>
        <w:spacing w:line="480" w:lineRule="auto"/>
        <w:ind w:right="-161"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pPr>
        <w:ind w:firstLine="2640" w:firstLineChars="1100"/>
        <w:rPr>
          <w:rFonts w:ascii="宋体" w:hAnsi="宋体" w:cs="宋体"/>
          <w:color w:val="auto"/>
          <w:sz w:val="24"/>
          <w:highlight w:val="none"/>
          <w:u w:val="singl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pPr>
        <w:adjustRightInd w:val="0"/>
        <w:spacing w:line="416" w:lineRule="atLeast"/>
        <w:textAlignment w:val="baseline"/>
        <w:rPr>
          <w:rFonts w:ascii="宋体" w:hAnsi="宋体" w:cs="宋体"/>
          <w:color w:val="auto"/>
          <w:highlight w:val="none"/>
        </w:rPr>
      </w:pPr>
    </w:p>
    <w:p>
      <w:pPr>
        <w:rPr>
          <w:rFonts w:ascii="宋体" w:hAnsi="宋体" w:cs="宋体"/>
          <w:color w:val="auto"/>
          <w:highlight w:val="none"/>
        </w:rPr>
      </w:pPr>
    </w:p>
    <w:p>
      <w:pPr>
        <w:pStyle w:val="41"/>
        <w:ind w:firstLine="562"/>
        <w:jc w:val="center"/>
        <w:rPr>
          <w:rFonts w:ascii="宋体" w:hAnsi="宋体" w:cs="宋体"/>
          <w:b/>
          <w:color w:val="auto"/>
          <w:highlight w:val="none"/>
        </w:rPr>
        <w:sectPr>
          <w:pgSz w:w="11906" w:h="16838"/>
          <w:pgMar w:top="1417" w:right="1644" w:bottom="1191" w:left="1757" w:header="850" w:footer="992" w:gutter="0"/>
          <w:cols w:space="0" w:num="1"/>
          <w:titlePg/>
          <w:docGrid w:linePitch="312" w:charSpace="0"/>
        </w:sectPr>
      </w:pPr>
    </w:p>
    <w:p>
      <w:pPr>
        <w:pStyle w:val="41"/>
        <w:ind w:firstLine="562"/>
        <w:jc w:val="center"/>
        <w:rPr>
          <w:rFonts w:ascii="宋体" w:hAnsi="宋体" w:cs="宋体"/>
          <w:b/>
          <w:color w:val="auto"/>
          <w:highlight w:val="none"/>
        </w:rPr>
      </w:pPr>
      <w:r>
        <w:rPr>
          <w:rFonts w:hint="eastAsia" w:ascii="宋体" w:hAnsi="宋体" w:cs="宋体"/>
          <w:b/>
          <w:color w:val="auto"/>
          <w:highlight w:val="none"/>
        </w:rPr>
        <w:t>1、分项报价表（格式）</w:t>
      </w:r>
    </w:p>
    <w:p>
      <w:pPr>
        <w:rPr>
          <w:rFonts w:ascii="宋体" w:hAnsi="宋体" w:cs="宋体"/>
          <w:color w:val="auto"/>
          <w:szCs w:val="24"/>
          <w:highlight w:val="none"/>
        </w:rPr>
      </w:pPr>
    </w:p>
    <w:tbl>
      <w:tblPr>
        <w:tblStyle w:val="2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24"/>
        <w:gridCol w:w="760"/>
        <w:gridCol w:w="1306"/>
        <w:gridCol w:w="783"/>
        <w:gridCol w:w="783"/>
        <w:gridCol w:w="783"/>
        <w:gridCol w:w="617"/>
        <w:gridCol w:w="925"/>
        <w:gridCol w:w="76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tcBorders>
              <w:top w:val="double" w:color="auto" w:sz="4" w:space="0"/>
              <w:left w:val="double" w:color="auto" w:sz="4" w:space="0"/>
              <w:right w:val="single" w:color="auto" w:sz="4" w:space="0"/>
            </w:tcBorders>
            <w:vAlign w:val="center"/>
          </w:tcPr>
          <w:p>
            <w:pPr>
              <w:pStyle w:val="14"/>
              <w:jc w:val="center"/>
              <w:rPr>
                <w:rFonts w:hint="default" w:hAnsi="宋体" w:cs="宋体"/>
                <w:color w:val="auto"/>
                <w:szCs w:val="24"/>
                <w:highlight w:val="none"/>
              </w:rPr>
            </w:pPr>
            <w:r>
              <w:rPr>
                <w:rFonts w:hAnsi="宋体" w:cs="宋体"/>
                <w:color w:val="auto"/>
                <w:spacing w:val="-20"/>
                <w:szCs w:val="24"/>
                <w:highlight w:val="none"/>
              </w:rPr>
              <w:t>序号</w:t>
            </w:r>
          </w:p>
        </w:tc>
        <w:tc>
          <w:tcPr>
            <w:tcW w:w="421" w:type="pct"/>
            <w:tcBorders>
              <w:top w:val="double" w:color="auto" w:sz="4" w:space="0"/>
              <w:left w:val="single" w:color="auto" w:sz="4" w:space="0"/>
              <w:right w:val="single" w:color="auto" w:sz="4" w:space="0"/>
            </w:tcBorders>
            <w:vAlign w:val="center"/>
          </w:tcPr>
          <w:p>
            <w:pPr>
              <w:pStyle w:val="14"/>
              <w:jc w:val="center"/>
              <w:rPr>
                <w:rFonts w:hint="default" w:hAnsi="宋体" w:cs="宋体"/>
                <w:color w:val="auto"/>
                <w:szCs w:val="24"/>
                <w:highlight w:val="none"/>
              </w:rPr>
            </w:pPr>
            <w:r>
              <w:rPr>
                <w:rFonts w:hAnsi="宋体" w:cs="宋体"/>
                <w:color w:val="auto"/>
                <w:szCs w:val="24"/>
                <w:highlight w:val="none"/>
              </w:rPr>
              <w:t>设备名称</w:t>
            </w:r>
          </w:p>
        </w:tc>
        <w:tc>
          <w:tcPr>
            <w:tcW w:w="442" w:type="pct"/>
            <w:tcBorders>
              <w:top w:val="double" w:color="auto" w:sz="4" w:space="0"/>
              <w:left w:val="single" w:color="auto" w:sz="4" w:space="0"/>
              <w:right w:val="single" w:color="auto" w:sz="4" w:space="0"/>
            </w:tcBorders>
            <w:vAlign w:val="center"/>
          </w:tcPr>
          <w:p>
            <w:pPr>
              <w:pStyle w:val="14"/>
              <w:jc w:val="center"/>
              <w:rPr>
                <w:rFonts w:hint="default" w:hAnsi="宋体" w:cs="宋体"/>
                <w:color w:val="auto"/>
                <w:szCs w:val="24"/>
                <w:highlight w:val="none"/>
              </w:rPr>
            </w:pPr>
            <w:r>
              <w:rPr>
                <w:rFonts w:hAnsi="宋体" w:cs="宋体"/>
                <w:color w:val="auto"/>
                <w:szCs w:val="24"/>
                <w:highlight w:val="none"/>
              </w:rPr>
              <w:t>品牌</w:t>
            </w:r>
          </w:p>
        </w:tc>
        <w:tc>
          <w:tcPr>
            <w:tcW w:w="755" w:type="pct"/>
            <w:tcBorders>
              <w:top w:val="double" w:color="auto" w:sz="4" w:space="0"/>
              <w:left w:val="single" w:color="auto" w:sz="4" w:space="0"/>
              <w:right w:val="single" w:color="auto" w:sz="4" w:space="0"/>
            </w:tcBorders>
            <w:vAlign w:val="center"/>
          </w:tcPr>
          <w:p>
            <w:pPr>
              <w:pStyle w:val="14"/>
              <w:jc w:val="center"/>
              <w:rPr>
                <w:rFonts w:hint="default" w:hAnsi="宋体" w:cs="宋体"/>
                <w:color w:val="auto"/>
                <w:szCs w:val="24"/>
                <w:highlight w:val="none"/>
              </w:rPr>
            </w:pPr>
            <w:r>
              <w:rPr>
                <w:rFonts w:hAnsi="宋体" w:cs="宋体"/>
                <w:color w:val="auto"/>
                <w:szCs w:val="24"/>
                <w:highlight w:val="none"/>
              </w:rPr>
              <w:t>规格型号</w:t>
            </w:r>
          </w:p>
        </w:tc>
        <w:tc>
          <w:tcPr>
            <w:tcW w:w="455" w:type="pct"/>
            <w:tcBorders>
              <w:top w:val="double" w:color="auto" w:sz="4" w:space="0"/>
              <w:left w:val="single" w:color="auto" w:sz="4" w:space="0"/>
              <w:right w:val="single" w:color="auto" w:sz="4" w:space="0"/>
            </w:tcBorders>
            <w:vAlign w:val="center"/>
          </w:tcPr>
          <w:p>
            <w:pPr>
              <w:pStyle w:val="14"/>
              <w:jc w:val="center"/>
              <w:rPr>
                <w:rFonts w:hint="default" w:hAnsi="宋体" w:cs="宋体"/>
                <w:color w:val="auto"/>
                <w:szCs w:val="24"/>
                <w:highlight w:val="none"/>
              </w:rPr>
            </w:pPr>
            <w:r>
              <w:rPr>
                <w:rFonts w:hAnsi="宋体" w:cs="宋体"/>
                <w:color w:val="auto"/>
                <w:spacing w:val="-20"/>
                <w:szCs w:val="24"/>
                <w:highlight w:val="none"/>
              </w:rPr>
              <w:t>制造厂家名称</w:t>
            </w:r>
          </w:p>
        </w:tc>
        <w:tc>
          <w:tcPr>
            <w:tcW w:w="455" w:type="pct"/>
            <w:tcBorders>
              <w:top w:val="double" w:color="auto" w:sz="4" w:space="0"/>
              <w:left w:val="single" w:color="auto" w:sz="4" w:space="0"/>
              <w:right w:val="single" w:color="auto" w:sz="4" w:space="0"/>
            </w:tcBorders>
            <w:vAlign w:val="center"/>
          </w:tcPr>
          <w:p>
            <w:pPr>
              <w:pStyle w:val="14"/>
              <w:rPr>
                <w:rFonts w:hint="default" w:hAnsi="宋体" w:cs="宋体"/>
                <w:color w:val="auto"/>
                <w:szCs w:val="24"/>
                <w:highlight w:val="none"/>
              </w:rPr>
            </w:pPr>
            <w:r>
              <w:rPr>
                <w:rFonts w:hAnsi="宋体" w:cs="宋体"/>
                <w:color w:val="auto"/>
                <w:spacing w:val="-20"/>
                <w:szCs w:val="24"/>
                <w:highlight w:val="none"/>
              </w:rPr>
              <w:t>制造厂家类型</w:t>
            </w:r>
          </w:p>
        </w:tc>
        <w:tc>
          <w:tcPr>
            <w:tcW w:w="455" w:type="pct"/>
            <w:tcBorders>
              <w:top w:val="double" w:color="auto" w:sz="4" w:space="0"/>
              <w:left w:val="single" w:color="auto" w:sz="4" w:space="0"/>
              <w:right w:val="single" w:color="auto" w:sz="4" w:space="0"/>
            </w:tcBorders>
            <w:vAlign w:val="center"/>
          </w:tcPr>
          <w:p>
            <w:pPr>
              <w:pStyle w:val="14"/>
              <w:rPr>
                <w:rFonts w:hint="default" w:hAnsi="宋体" w:cs="宋体"/>
                <w:color w:val="auto"/>
                <w:szCs w:val="24"/>
                <w:highlight w:val="none"/>
              </w:rPr>
            </w:pPr>
            <w:r>
              <w:rPr>
                <w:rFonts w:hAnsi="宋体" w:cs="宋体"/>
                <w:color w:val="auto"/>
                <w:szCs w:val="24"/>
                <w:highlight w:val="none"/>
              </w:rPr>
              <w:t>单位</w:t>
            </w:r>
          </w:p>
        </w:tc>
        <w:tc>
          <w:tcPr>
            <w:tcW w:w="360" w:type="pct"/>
            <w:tcBorders>
              <w:top w:val="double" w:color="auto" w:sz="4" w:space="0"/>
              <w:left w:val="single" w:color="auto" w:sz="4" w:space="0"/>
              <w:right w:val="single" w:color="auto" w:sz="4" w:space="0"/>
            </w:tcBorders>
            <w:vAlign w:val="center"/>
          </w:tcPr>
          <w:p>
            <w:pPr>
              <w:pStyle w:val="14"/>
              <w:rPr>
                <w:rFonts w:hint="default" w:hAnsi="宋体" w:cs="宋体"/>
                <w:b/>
                <w:color w:val="auto"/>
                <w:szCs w:val="24"/>
                <w:highlight w:val="none"/>
              </w:rPr>
            </w:pPr>
            <w:r>
              <w:rPr>
                <w:rFonts w:hAnsi="宋体" w:cs="宋体"/>
                <w:color w:val="auto"/>
                <w:szCs w:val="24"/>
                <w:highlight w:val="none"/>
              </w:rPr>
              <w:t>数量</w:t>
            </w:r>
          </w:p>
        </w:tc>
        <w:tc>
          <w:tcPr>
            <w:tcW w:w="536" w:type="pct"/>
            <w:tcBorders>
              <w:top w:val="double" w:color="auto" w:sz="4" w:space="0"/>
              <w:left w:val="single" w:color="auto" w:sz="4" w:space="0"/>
              <w:right w:val="single" w:color="auto" w:sz="4" w:space="0"/>
            </w:tcBorders>
            <w:vAlign w:val="center"/>
          </w:tcPr>
          <w:p>
            <w:pPr>
              <w:pStyle w:val="14"/>
              <w:jc w:val="center"/>
              <w:rPr>
                <w:rFonts w:hint="default" w:hAnsi="宋体" w:cs="宋体"/>
                <w:b/>
                <w:color w:val="auto"/>
                <w:szCs w:val="24"/>
                <w:highlight w:val="none"/>
              </w:rPr>
            </w:pPr>
            <w:r>
              <w:rPr>
                <w:rFonts w:hAnsi="宋体" w:cs="宋体"/>
                <w:color w:val="auto"/>
                <w:szCs w:val="24"/>
                <w:highlight w:val="none"/>
              </w:rPr>
              <w:t>单价(元)</w:t>
            </w:r>
          </w:p>
        </w:tc>
        <w:tc>
          <w:tcPr>
            <w:tcW w:w="444" w:type="pct"/>
            <w:tcBorders>
              <w:top w:val="double" w:color="auto" w:sz="4" w:space="0"/>
              <w:left w:val="single" w:color="auto" w:sz="4" w:space="0"/>
              <w:right w:val="single" w:color="auto" w:sz="4" w:space="0"/>
            </w:tcBorders>
            <w:vAlign w:val="center"/>
          </w:tcPr>
          <w:p>
            <w:pPr>
              <w:pStyle w:val="14"/>
              <w:jc w:val="center"/>
              <w:rPr>
                <w:rFonts w:hint="default" w:hAnsi="宋体" w:cs="宋体"/>
                <w:b/>
                <w:color w:val="auto"/>
                <w:szCs w:val="24"/>
                <w:highlight w:val="none"/>
              </w:rPr>
            </w:pPr>
            <w:r>
              <w:rPr>
                <w:rFonts w:hAnsi="宋体" w:cs="宋体"/>
                <w:color w:val="auto"/>
                <w:szCs w:val="24"/>
                <w:highlight w:val="none"/>
              </w:rPr>
              <w:t>合计(元)</w:t>
            </w:r>
          </w:p>
        </w:tc>
        <w:tc>
          <w:tcPr>
            <w:tcW w:w="462" w:type="pct"/>
            <w:tcBorders>
              <w:top w:val="double" w:color="auto" w:sz="4" w:space="0"/>
              <w:left w:val="single" w:color="auto" w:sz="4" w:space="0"/>
              <w:right w:val="double" w:color="auto" w:sz="4" w:space="0"/>
            </w:tcBorders>
            <w:vAlign w:val="center"/>
          </w:tcPr>
          <w:p>
            <w:pPr>
              <w:pStyle w:val="14"/>
              <w:jc w:val="center"/>
              <w:rPr>
                <w:rFonts w:hint="default" w:hAnsi="宋体" w:cs="宋体"/>
                <w:b/>
                <w:color w:val="auto"/>
                <w:szCs w:val="24"/>
                <w:highlight w:val="none"/>
              </w:rPr>
            </w:pPr>
            <w:r>
              <w:rPr>
                <w:rFonts w:hAnsi="宋体" w:cs="宋体"/>
                <w:b/>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07" w:type="pct"/>
            <w:tcBorders>
              <w:left w:val="double" w:color="auto" w:sz="4" w:space="0"/>
              <w:right w:val="single" w:color="auto" w:sz="4" w:space="0"/>
            </w:tcBorders>
          </w:tcPr>
          <w:p>
            <w:pPr>
              <w:spacing w:line="400" w:lineRule="atLeast"/>
              <w:jc w:val="center"/>
              <w:rPr>
                <w:rFonts w:ascii="宋体" w:hAnsi="宋体" w:cs="宋体"/>
                <w:color w:val="auto"/>
                <w:sz w:val="24"/>
                <w:szCs w:val="22"/>
                <w:highlight w:val="none"/>
              </w:rPr>
            </w:pPr>
            <w:r>
              <w:rPr>
                <w:rFonts w:hint="eastAsia" w:ascii="宋体" w:hAnsi="宋体" w:cs="宋体"/>
                <w:color w:val="auto"/>
                <w:sz w:val="24"/>
                <w:szCs w:val="22"/>
                <w:highlight w:val="none"/>
              </w:rPr>
              <w:t>1</w:t>
            </w:r>
          </w:p>
        </w:tc>
        <w:tc>
          <w:tcPr>
            <w:tcW w:w="421"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42"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7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360"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536"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44"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62" w:type="pct"/>
            <w:tcBorders>
              <w:left w:val="single" w:color="auto" w:sz="4" w:space="0"/>
              <w:right w:val="double" w:color="auto" w:sz="4" w:space="0"/>
            </w:tcBorders>
          </w:tcPr>
          <w:p>
            <w:pPr>
              <w:spacing w:line="400" w:lineRule="atLeast"/>
              <w:jc w:val="center"/>
              <w:rPr>
                <w:rFonts w:ascii="宋体" w:hAnsi="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07" w:type="pct"/>
            <w:tcBorders>
              <w:left w:val="double" w:color="auto" w:sz="4" w:space="0"/>
              <w:right w:val="single" w:color="auto" w:sz="4" w:space="0"/>
            </w:tcBorders>
            <w:vAlign w:val="center"/>
          </w:tcPr>
          <w:p>
            <w:pPr>
              <w:jc w:val="center"/>
              <w:rPr>
                <w:rFonts w:ascii="宋体" w:hAnsi="宋体" w:cs="宋体"/>
                <w:color w:val="auto"/>
                <w:sz w:val="24"/>
                <w:szCs w:val="22"/>
                <w:highlight w:val="none"/>
              </w:rPr>
            </w:pPr>
            <w:r>
              <w:rPr>
                <w:rFonts w:hint="eastAsia" w:ascii="宋体" w:hAnsi="宋体" w:cs="宋体"/>
                <w:color w:val="auto"/>
                <w:sz w:val="24"/>
                <w:highlight w:val="none"/>
              </w:rPr>
              <w:t>…</w:t>
            </w:r>
          </w:p>
        </w:tc>
        <w:tc>
          <w:tcPr>
            <w:tcW w:w="421"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42"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7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360"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536"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44"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62" w:type="pct"/>
            <w:tcBorders>
              <w:left w:val="single" w:color="auto" w:sz="4" w:space="0"/>
              <w:right w:val="double" w:color="auto" w:sz="4" w:space="0"/>
            </w:tcBorders>
          </w:tcPr>
          <w:p>
            <w:pPr>
              <w:spacing w:line="400" w:lineRule="atLeast"/>
              <w:jc w:val="center"/>
              <w:rPr>
                <w:rFonts w:ascii="宋体" w:hAnsi="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07" w:type="pct"/>
            <w:tcBorders>
              <w:left w:val="double" w:color="auto" w:sz="4" w:space="0"/>
              <w:right w:val="single" w:color="auto" w:sz="4" w:space="0"/>
            </w:tcBorders>
            <w:vAlign w:val="center"/>
          </w:tcPr>
          <w:p>
            <w:pPr>
              <w:jc w:val="center"/>
              <w:rPr>
                <w:rFonts w:ascii="宋体" w:hAnsi="宋体" w:cs="宋体"/>
                <w:color w:val="auto"/>
                <w:sz w:val="24"/>
                <w:szCs w:val="22"/>
                <w:highlight w:val="none"/>
              </w:rPr>
            </w:pPr>
            <w:r>
              <w:rPr>
                <w:rFonts w:hint="eastAsia" w:ascii="宋体" w:hAnsi="宋体" w:cs="宋体"/>
                <w:color w:val="auto"/>
                <w:sz w:val="24"/>
                <w:highlight w:val="none"/>
              </w:rPr>
              <w:t>N</w:t>
            </w:r>
          </w:p>
        </w:tc>
        <w:tc>
          <w:tcPr>
            <w:tcW w:w="421"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42"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7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360"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536"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44" w:type="pct"/>
            <w:tcBorders>
              <w:left w:val="single" w:color="auto" w:sz="4" w:space="0"/>
              <w:right w:val="single" w:color="auto" w:sz="4" w:space="0"/>
            </w:tcBorders>
          </w:tcPr>
          <w:p>
            <w:pPr>
              <w:spacing w:line="400" w:lineRule="atLeast"/>
              <w:jc w:val="center"/>
              <w:rPr>
                <w:rFonts w:ascii="宋体" w:hAnsi="宋体" w:cs="宋体"/>
                <w:color w:val="auto"/>
                <w:sz w:val="24"/>
                <w:szCs w:val="22"/>
                <w:highlight w:val="none"/>
              </w:rPr>
            </w:pPr>
          </w:p>
        </w:tc>
        <w:tc>
          <w:tcPr>
            <w:tcW w:w="462" w:type="pct"/>
            <w:tcBorders>
              <w:left w:val="single" w:color="auto" w:sz="4" w:space="0"/>
              <w:right w:val="double" w:color="auto" w:sz="4" w:space="0"/>
            </w:tcBorders>
          </w:tcPr>
          <w:p>
            <w:pPr>
              <w:spacing w:line="400" w:lineRule="atLeast"/>
              <w:jc w:val="center"/>
              <w:rPr>
                <w:rFonts w:ascii="宋体" w:hAnsi="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11"/>
            <w:tcBorders>
              <w:left w:val="double" w:color="auto" w:sz="4" w:space="0"/>
              <w:right w:val="double" w:color="auto" w:sz="4" w:space="0"/>
            </w:tcBorders>
          </w:tcPr>
          <w:p>
            <w:pPr>
              <w:spacing w:line="400" w:lineRule="atLeast"/>
              <w:rPr>
                <w:rFonts w:ascii="宋体" w:hAnsi="宋体" w:cs="宋体"/>
                <w:color w:val="auto"/>
                <w:sz w:val="24"/>
                <w:szCs w:val="22"/>
                <w:highlight w:val="none"/>
              </w:rPr>
            </w:pPr>
            <w:r>
              <w:rPr>
                <w:rFonts w:hint="eastAsia" w:ascii="宋体" w:hAnsi="宋体" w:cs="宋体"/>
                <w:color w:val="auto"/>
                <w:spacing w:val="-6"/>
                <w:sz w:val="24"/>
                <w:szCs w:val="24"/>
                <w:highlight w:val="none"/>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11"/>
            <w:tcBorders>
              <w:left w:val="double" w:color="auto" w:sz="4" w:space="0"/>
              <w:right w:val="double" w:color="auto" w:sz="4" w:space="0"/>
            </w:tcBorders>
          </w:tcPr>
          <w:p>
            <w:pPr>
              <w:spacing w:line="400" w:lineRule="atLeast"/>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其中：中、小、微企业产品占总报价比重</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，小、微企业产品占总报价比重</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000" w:type="pct"/>
            <w:gridSpan w:val="11"/>
            <w:tcBorders>
              <w:left w:val="double" w:color="auto" w:sz="4" w:space="0"/>
              <w:bottom w:val="double" w:color="auto" w:sz="4" w:space="0"/>
              <w:right w:val="double" w:color="auto" w:sz="4" w:space="0"/>
            </w:tcBorders>
          </w:tcPr>
          <w:p>
            <w:pPr>
              <w:spacing w:line="400" w:lineRule="atLeast"/>
              <w:rPr>
                <w:b/>
                <w:bCs/>
                <w:color w:val="auto"/>
                <w:highlight w:val="none"/>
              </w:rPr>
            </w:pPr>
            <w:r>
              <w:rPr>
                <w:rFonts w:hint="eastAsia"/>
                <w:b/>
                <w:bCs/>
                <w:color w:val="auto"/>
                <w:highlight w:val="none"/>
              </w:rPr>
              <w:t>备注：</w:t>
            </w:r>
          </w:p>
          <w:p>
            <w:pPr>
              <w:numPr>
                <w:ilvl w:val="0"/>
                <w:numId w:val="7"/>
              </w:numPr>
              <w:spacing w:line="400" w:lineRule="atLeast"/>
              <w:rPr>
                <w:b/>
                <w:bCs/>
                <w:color w:val="auto"/>
                <w:highlight w:val="none"/>
              </w:rPr>
            </w:pPr>
            <w:r>
              <w:rPr>
                <w:rFonts w:hint="eastAsia"/>
                <w:b/>
                <w:bCs/>
                <w:color w:val="auto"/>
                <w:highlight w:val="none"/>
              </w:rPr>
              <w:t>表内报价内容以元为单位，保留小数点后两位。</w:t>
            </w:r>
          </w:p>
          <w:p>
            <w:pPr>
              <w:numPr>
                <w:ilvl w:val="0"/>
                <w:numId w:val="7"/>
              </w:numPr>
              <w:spacing w:line="400" w:lineRule="atLeast"/>
              <w:rPr>
                <w:b/>
                <w:bCs/>
                <w:color w:val="auto"/>
                <w:highlight w:val="none"/>
              </w:rPr>
            </w:pPr>
            <w:r>
              <w:rPr>
                <w:rFonts w:hint="eastAsia"/>
                <w:b/>
                <w:bCs/>
                <w:color w:val="auto"/>
                <w:highlight w:val="none"/>
              </w:rPr>
              <w:t>“制造厂家类型”填写“大型”或“中型”或“小型”或“微型”，且与中小企业声明函中声明的必须一致。</w:t>
            </w:r>
          </w:p>
          <w:p>
            <w:pPr>
              <w:numPr>
                <w:ilvl w:val="0"/>
                <w:numId w:val="7"/>
              </w:numPr>
              <w:spacing w:line="400" w:lineRule="atLeast"/>
              <w:rPr>
                <w:color w:val="auto"/>
                <w:highlight w:val="none"/>
              </w:rPr>
            </w:pPr>
            <w:r>
              <w:rPr>
                <w:rFonts w:hint="eastAsia"/>
                <w:b/>
                <w:bCs/>
                <w:color w:val="auto"/>
                <w:highlight w:val="none"/>
              </w:rPr>
              <w:t>此表将随中标/成交结果公告一同公示。</w:t>
            </w:r>
          </w:p>
        </w:tc>
      </w:tr>
    </w:tbl>
    <w:p>
      <w:pPr>
        <w:rPr>
          <w:rFonts w:ascii="宋体" w:hAnsi="宋体" w:cs="宋体"/>
          <w:color w:val="auto"/>
          <w:szCs w:val="24"/>
          <w:highlight w:val="none"/>
        </w:rPr>
      </w:pPr>
      <w:r>
        <w:rPr>
          <w:rFonts w:hint="eastAsia" w:ascii="宋体" w:hAnsi="宋体" w:cs="宋体"/>
          <w:color w:val="auto"/>
          <w:szCs w:val="24"/>
          <w:highlight w:val="none"/>
        </w:rPr>
        <w:t xml:space="preserve">    </w:t>
      </w:r>
    </w:p>
    <w:p>
      <w:pPr>
        <w:kinsoku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注：1、本表中的“总价”与“首次谈判报价表”中的</w:t>
      </w:r>
      <w:r>
        <w:rPr>
          <w:rFonts w:hint="eastAsia" w:ascii="宋体" w:hAnsi="宋体" w:cs="宋体"/>
          <w:color w:val="auto"/>
          <w:spacing w:val="-6"/>
          <w:sz w:val="24"/>
          <w:highlight w:val="none"/>
        </w:rPr>
        <w:t>“谈判总价”</w:t>
      </w:r>
      <w:r>
        <w:rPr>
          <w:rFonts w:hint="eastAsia" w:ascii="宋体" w:hAnsi="宋体" w:cs="宋体"/>
          <w:color w:val="auto"/>
          <w:sz w:val="24"/>
          <w:highlight w:val="none"/>
        </w:rPr>
        <w:t>一致。各子项分别报价。</w:t>
      </w:r>
    </w:p>
    <w:p>
      <w:pPr>
        <w:pStyle w:val="10"/>
        <w:rPr>
          <w:rFonts w:ascii="宋体" w:hAnsi="宋体" w:cs="宋体"/>
          <w:color w:val="auto"/>
          <w:highlight w:val="none"/>
        </w:rPr>
      </w:pPr>
    </w:p>
    <w:p>
      <w:pPr>
        <w:rPr>
          <w:rFonts w:ascii="宋体" w:hAnsi="宋体" w:cs="宋体"/>
          <w:color w:val="auto"/>
          <w:szCs w:val="24"/>
          <w:highlight w:val="none"/>
        </w:rPr>
      </w:pPr>
    </w:p>
    <w:p>
      <w:pPr>
        <w:spacing w:line="480" w:lineRule="auto"/>
        <w:ind w:right="-161"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r>
        <w:rPr>
          <w:rFonts w:hint="eastAsia" w:ascii="宋体" w:hAnsi="宋体" w:cs="宋体"/>
          <w:color w:val="auto"/>
          <w:sz w:val="24"/>
          <w:szCs w:val="24"/>
          <w:highlight w:val="none"/>
          <w:u w:val="single"/>
        </w:rPr>
        <w:t xml:space="preserve">               </w:t>
      </w:r>
    </w:p>
    <w:p>
      <w:pPr>
        <w:spacing w:line="480" w:lineRule="auto"/>
        <w:ind w:right="-161"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（盖章）  </w:t>
      </w:r>
      <w:r>
        <w:rPr>
          <w:rFonts w:hint="eastAsia" w:ascii="宋体" w:hAnsi="宋体" w:cs="宋体"/>
          <w:color w:val="auto"/>
          <w:sz w:val="24"/>
          <w:szCs w:val="24"/>
          <w:highlight w:val="none"/>
          <w:u w:val="single"/>
        </w:rPr>
        <w:t xml:space="preserve">      </w:t>
      </w:r>
    </w:p>
    <w:p>
      <w:pPr>
        <w:ind w:firstLine="2640" w:firstLineChars="1100"/>
        <w:rPr>
          <w:rFonts w:ascii="宋体" w:hAnsi="宋体" w:cs="宋体"/>
          <w:color w:val="auto"/>
          <w:sz w:val="24"/>
          <w:highlight w:val="none"/>
          <w:u w:val="singl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pPr>
        <w:pStyle w:val="41"/>
        <w:ind w:firstLine="562"/>
        <w:jc w:val="center"/>
        <w:rPr>
          <w:rFonts w:ascii="宋体" w:hAnsi="宋体" w:cs="宋体"/>
          <w:b/>
          <w:color w:val="auto"/>
          <w:highlight w:val="none"/>
        </w:rPr>
        <w:sectPr>
          <w:footerReference r:id="rId10" w:type="default"/>
          <w:pgSz w:w="11906" w:h="16838"/>
          <w:pgMar w:top="1417" w:right="1644" w:bottom="1191" w:left="1757" w:header="850" w:footer="992" w:gutter="0"/>
          <w:cols w:space="0" w:num="1"/>
          <w:titlePg/>
          <w:docGrid w:linePitch="312" w:charSpace="0"/>
        </w:sectPr>
      </w:pPr>
    </w:p>
    <w:p>
      <w:pPr>
        <w:pStyle w:val="41"/>
        <w:ind w:firstLine="562"/>
        <w:jc w:val="center"/>
        <w:rPr>
          <w:rFonts w:ascii="宋体" w:hAnsi="宋体" w:cs="宋体"/>
          <w:b/>
          <w:color w:val="auto"/>
          <w:highlight w:val="none"/>
        </w:rPr>
      </w:pPr>
      <w:r>
        <w:rPr>
          <w:rFonts w:hint="eastAsia" w:ascii="宋体" w:hAnsi="宋体" w:cs="宋体"/>
          <w:b/>
          <w:color w:val="auto"/>
          <w:highlight w:val="none"/>
        </w:rPr>
        <w:t>2、</w:t>
      </w:r>
      <w:bookmarkStart w:id="194" w:name="_Toc15553"/>
      <w:r>
        <w:rPr>
          <w:rFonts w:hint="eastAsia" w:ascii="宋体" w:hAnsi="宋体" w:cs="宋体"/>
          <w:b/>
          <w:color w:val="auto"/>
          <w:highlight w:val="none"/>
        </w:rPr>
        <w:t>谈判内容要求技术/商务偏离表（格式）</w:t>
      </w:r>
    </w:p>
    <w:p>
      <w:pPr>
        <w:pStyle w:val="41"/>
        <w:ind w:firstLineChars="71"/>
        <w:rPr>
          <w:rFonts w:ascii="宋体" w:hAnsi="宋体" w:cs="宋体"/>
          <w:b/>
          <w:color w:val="auto"/>
          <w:highlight w:val="none"/>
        </w:rPr>
      </w:pPr>
    </w:p>
    <w:p>
      <w:pPr>
        <w:spacing w:line="400" w:lineRule="atLeast"/>
        <w:rPr>
          <w:rFonts w:ascii="宋体" w:hAnsi="宋体" w:cs="宋体"/>
          <w:color w:val="auto"/>
          <w:szCs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25"/>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exact"/>
              <w:ind w:left="40" w:leftChars="19"/>
              <w:jc w:val="center"/>
              <w:rPr>
                <w:rFonts w:ascii="宋体" w:hAnsi="宋体" w:cs="宋体"/>
                <w:b/>
                <w:color w:val="auto"/>
                <w:szCs w:val="24"/>
                <w:highlight w:val="none"/>
              </w:rPr>
            </w:pPr>
            <w:r>
              <w:rPr>
                <w:rFonts w:hint="eastAsia" w:ascii="宋体" w:hAnsi="宋体" w:cs="宋体"/>
                <w:b/>
                <w:color w:val="auto"/>
                <w:szCs w:val="24"/>
                <w:highlight w:val="none"/>
              </w:rPr>
              <w:t>序号</w:t>
            </w:r>
          </w:p>
        </w:tc>
        <w:tc>
          <w:tcPr>
            <w:tcW w:w="2794" w:type="dxa"/>
            <w:tcMar>
              <w:top w:w="57" w:type="dxa"/>
              <w:left w:w="28" w:type="dxa"/>
              <w:bottom w:w="57" w:type="dxa"/>
              <w:right w:w="28" w:type="dxa"/>
            </w:tcMar>
            <w:vAlign w:val="center"/>
          </w:tcPr>
          <w:p>
            <w:pPr>
              <w:spacing w:line="360" w:lineRule="exact"/>
              <w:ind w:left="210" w:leftChars="100"/>
              <w:jc w:val="center"/>
              <w:rPr>
                <w:rFonts w:ascii="宋体" w:hAnsi="宋体" w:cs="宋体"/>
                <w:b/>
                <w:color w:val="auto"/>
                <w:szCs w:val="24"/>
                <w:highlight w:val="none"/>
              </w:rPr>
            </w:pPr>
            <w:r>
              <w:rPr>
                <w:rFonts w:hint="eastAsia" w:ascii="宋体" w:hAnsi="宋体" w:cs="宋体"/>
                <w:b/>
                <w:color w:val="auto"/>
                <w:szCs w:val="24"/>
                <w:highlight w:val="none"/>
              </w:rPr>
              <w:t>谈判要求技术/商务需求</w:t>
            </w:r>
          </w:p>
        </w:tc>
        <w:tc>
          <w:tcPr>
            <w:tcW w:w="2659" w:type="dxa"/>
            <w:tcMar>
              <w:top w:w="57" w:type="dxa"/>
              <w:left w:w="28" w:type="dxa"/>
              <w:bottom w:w="57" w:type="dxa"/>
              <w:right w:w="28" w:type="dxa"/>
            </w:tcMar>
            <w:vAlign w:val="center"/>
          </w:tcPr>
          <w:p>
            <w:pPr>
              <w:spacing w:line="360" w:lineRule="exact"/>
              <w:jc w:val="center"/>
              <w:rPr>
                <w:rFonts w:ascii="宋体" w:hAnsi="宋体" w:cs="宋体"/>
                <w:b/>
                <w:color w:val="auto"/>
                <w:szCs w:val="24"/>
                <w:highlight w:val="none"/>
              </w:rPr>
            </w:pPr>
            <w:r>
              <w:rPr>
                <w:rFonts w:hint="eastAsia" w:ascii="宋体" w:hAnsi="宋体" w:cs="宋体"/>
                <w:b/>
                <w:color w:val="auto"/>
                <w:szCs w:val="24"/>
                <w:highlight w:val="none"/>
              </w:rPr>
              <w:t>响应技术/商务响应</w:t>
            </w:r>
          </w:p>
        </w:tc>
        <w:tc>
          <w:tcPr>
            <w:tcW w:w="2485" w:type="dxa"/>
            <w:tcMar>
              <w:top w:w="57" w:type="dxa"/>
              <w:left w:w="28" w:type="dxa"/>
              <w:bottom w:w="57" w:type="dxa"/>
              <w:right w:w="28" w:type="dxa"/>
            </w:tcMar>
            <w:vAlign w:val="center"/>
          </w:tcPr>
          <w:p>
            <w:pPr>
              <w:spacing w:line="360" w:lineRule="exact"/>
              <w:jc w:val="center"/>
              <w:rPr>
                <w:rFonts w:ascii="宋体" w:hAnsi="宋体" w:cs="宋体"/>
                <w:b/>
                <w:color w:val="auto"/>
                <w:szCs w:val="24"/>
                <w:highlight w:val="none"/>
              </w:rPr>
            </w:pPr>
            <w:r>
              <w:rPr>
                <w:rFonts w:hint="eastAsia" w:ascii="宋体" w:hAnsi="宋体" w:cs="宋体"/>
                <w:b/>
                <w:color w:val="auto"/>
                <w:szCs w:val="24"/>
                <w:highlight w:val="none"/>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r>
    </w:tbl>
    <w:p>
      <w:pPr>
        <w:spacing w:line="360" w:lineRule="auto"/>
        <w:rPr>
          <w:rFonts w:ascii="宋体" w:hAnsi="宋体" w:cs="宋体"/>
          <w:b/>
          <w:color w:val="auto"/>
          <w:szCs w:val="24"/>
          <w:highlight w:val="none"/>
        </w:rPr>
      </w:pPr>
      <w:r>
        <w:rPr>
          <w:rFonts w:hint="eastAsia" w:ascii="宋体" w:hAnsi="宋体" w:cs="宋体"/>
          <w:b/>
          <w:color w:val="auto"/>
          <w:szCs w:val="24"/>
          <w:highlight w:val="none"/>
        </w:rPr>
        <w:t>注：1、</w:t>
      </w:r>
      <w:r>
        <w:rPr>
          <w:rFonts w:hint="eastAsia" w:ascii="宋体" w:hAnsi="宋体" w:cs="宋体"/>
          <w:b/>
          <w:color w:val="auto"/>
          <w:szCs w:val="24"/>
          <w:highlight w:val="none"/>
          <w:u w:val="single"/>
        </w:rPr>
        <w:t>供应商应按采购清单逐条填写技术条款并响应，响应的产品参数条款不得直接复制采购要求，应按所投产品实际参数指标进行响应</w:t>
      </w:r>
      <w:r>
        <w:rPr>
          <w:rFonts w:hint="eastAsia" w:ascii="宋体" w:hAnsi="宋体" w:cs="宋体"/>
          <w:b/>
          <w:color w:val="auto"/>
          <w:szCs w:val="24"/>
          <w:highlight w:val="none"/>
        </w:rPr>
        <w:t>；</w:t>
      </w:r>
    </w:p>
    <w:p>
      <w:pPr>
        <w:pStyle w:val="10"/>
        <w:numPr>
          <w:ilvl w:val="0"/>
          <w:numId w:val="8"/>
        </w:numPr>
        <w:spacing w:line="360" w:lineRule="auto"/>
        <w:rPr>
          <w:rFonts w:ascii="宋体" w:hAnsi="宋体" w:cs="宋体"/>
          <w:color w:val="auto"/>
          <w:sz w:val="21"/>
          <w:highlight w:val="none"/>
        </w:rPr>
      </w:pPr>
      <w:r>
        <w:rPr>
          <w:rFonts w:hint="eastAsia" w:ascii="宋体" w:hAnsi="宋体" w:cs="宋体"/>
          <w:color w:val="auto"/>
          <w:sz w:val="21"/>
          <w:highlight w:val="none"/>
        </w:rPr>
        <w:t>商务条款偏离情况须对</w:t>
      </w:r>
      <w:r>
        <w:rPr>
          <w:rFonts w:hint="eastAsia" w:ascii="宋体" w:hAnsi="宋体" w:cs="宋体"/>
          <w:color w:val="auto"/>
          <w:sz w:val="21"/>
          <w:highlight w:val="none"/>
          <w:u w:val="single"/>
        </w:rPr>
        <w:t>交货安装期、质保期、付款方式</w:t>
      </w:r>
      <w:r>
        <w:rPr>
          <w:rFonts w:hint="eastAsia" w:ascii="宋体" w:hAnsi="宋体" w:cs="宋体"/>
          <w:color w:val="auto"/>
          <w:sz w:val="21"/>
          <w:highlight w:val="none"/>
        </w:rPr>
        <w:t>条款进行明确响应，其他未列明商务条款视为全部响应谈判文件要求；</w:t>
      </w:r>
    </w:p>
    <w:p>
      <w:pPr>
        <w:pStyle w:val="10"/>
        <w:numPr>
          <w:ilvl w:val="0"/>
          <w:numId w:val="8"/>
        </w:numPr>
        <w:spacing w:line="360" w:lineRule="auto"/>
        <w:rPr>
          <w:rFonts w:ascii="宋体" w:hAnsi="宋体" w:cs="宋体"/>
          <w:color w:val="auto"/>
          <w:sz w:val="21"/>
          <w:highlight w:val="none"/>
        </w:rPr>
      </w:pPr>
      <w:r>
        <w:rPr>
          <w:rFonts w:hint="eastAsia" w:ascii="宋体" w:hAnsi="宋体" w:cs="宋体"/>
          <w:color w:val="auto"/>
          <w:sz w:val="21"/>
          <w:highlight w:val="none"/>
        </w:rPr>
        <w:t>如列明技术响应情况有重要条款的缺漏项，谈判小组可认定为重大偏离，按无效标处理；</w:t>
      </w:r>
    </w:p>
    <w:p>
      <w:pPr>
        <w:numPr>
          <w:ilvl w:val="0"/>
          <w:numId w:val="8"/>
        </w:numPr>
        <w:spacing w:line="360" w:lineRule="auto"/>
        <w:rPr>
          <w:rFonts w:ascii="宋体" w:hAnsi="宋体" w:cs="宋体"/>
          <w:b/>
          <w:color w:val="auto"/>
          <w:highlight w:val="none"/>
        </w:rPr>
      </w:pPr>
      <w:r>
        <w:rPr>
          <w:rFonts w:hint="eastAsia" w:ascii="宋体" w:hAnsi="宋体" w:cs="宋体"/>
          <w:b/>
          <w:color w:val="auto"/>
          <w:highlight w:val="none"/>
        </w:rPr>
        <w:t>当本表参数响应内容与证明材料不一致，谈判小组可认定为虚假响应，按无效标处理；</w:t>
      </w:r>
    </w:p>
    <w:p>
      <w:pPr>
        <w:numPr>
          <w:ilvl w:val="0"/>
          <w:numId w:val="8"/>
        </w:numPr>
        <w:spacing w:line="360" w:lineRule="auto"/>
        <w:rPr>
          <w:rFonts w:ascii="宋体" w:hAnsi="宋体" w:cs="宋体"/>
          <w:b/>
          <w:color w:val="auto"/>
          <w:highlight w:val="none"/>
        </w:rPr>
      </w:pPr>
      <w:r>
        <w:rPr>
          <w:rFonts w:hint="eastAsia" w:ascii="宋体" w:hAnsi="宋体" w:cs="宋体"/>
          <w:b/>
          <w:color w:val="auto"/>
          <w:highlight w:val="none"/>
        </w:rPr>
        <w:t>供应商应提供采购文件要求要求的产品证明资料（如产品彩页、检测报告、功能截图）。</w:t>
      </w:r>
    </w:p>
    <w:p>
      <w:pPr>
        <w:spacing w:line="480" w:lineRule="auto"/>
        <w:ind w:right="-161" w:firstLine="2640" w:firstLineChars="1100"/>
        <w:rPr>
          <w:rFonts w:ascii="宋体" w:hAnsi="宋体" w:cs="宋体"/>
          <w:color w:val="auto"/>
          <w:sz w:val="24"/>
          <w:szCs w:val="24"/>
          <w:highlight w:val="none"/>
        </w:rPr>
      </w:pPr>
    </w:p>
    <w:p>
      <w:pPr>
        <w:spacing w:line="480" w:lineRule="auto"/>
        <w:ind w:right="-161" w:firstLine="2640" w:firstLineChars="11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法定代表人或授权代表（签字）：</w:t>
      </w:r>
      <w:r>
        <w:rPr>
          <w:rFonts w:hint="eastAsia" w:ascii="宋体" w:hAnsi="宋体" w:cs="宋体"/>
          <w:color w:val="auto"/>
          <w:sz w:val="24"/>
          <w:szCs w:val="24"/>
          <w:highlight w:val="none"/>
          <w:u w:val="single"/>
        </w:rPr>
        <w:t xml:space="preserve">                      </w:t>
      </w:r>
    </w:p>
    <w:p>
      <w:pPr>
        <w:spacing w:line="480" w:lineRule="auto"/>
        <w:ind w:right="-161"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（盖章）  </w:t>
      </w:r>
      <w:r>
        <w:rPr>
          <w:rFonts w:hint="eastAsia" w:ascii="宋体" w:hAnsi="宋体" w:cs="宋体"/>
          <w:color w:val="auto"/>
          <w:sz w:val="24"/>
          <w:szCs w:val="24"/>
          <w:highlight w:val="none"/>
          <w:u w:val="single"/>
        </w:rPr>
        <w:t xml:space="preserve">      </w:t>
      </w:r>
    </w:p>
    <w:p>
      <w:pPr>
        <w:ind w:firstLine="2640" w:firstLineChars="1100"/>
        <w:rPr>
          <w:rFonts w:ascii="宋体" w:hAnsi="宋体" w:cs="宋体"/>
          <w:color w:val="auto"/>
          <w:sz w:val="24"/>
          <w:highlight w:val="none"/>
          <w:u w:val="singl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pPr>
        <w:rPr>
          <w:rFonts w:ascii="宋体" w:hAnsi="宋体" w:cs="宋体"/>
          <w:color w:val="auto"/>
          <w:szCs w:val="24"/>
          <w:highlight w:val="none"/>
        </w:rPr>
      </w:pPr>
      <w:r>
        <w:rPr>
          <w:rFonts w:hint="eastAsia" w:ascii="宋体" w:hAnsi="宋体" w:cs="宋体"/>
          <w:color w:val="auto"/>
          <w:szCs w:val="24"/>
          <w:highlight w:val="none"/>
        </w:rPr>
        <w:br w:type="page"/>
      </w:r>
    </w:p>
    <w:p>
      <w:pPr>
        <w:pStyle w:val="41"/>
        <w:numPr>
          <w:ilvl w:val="0"/>
          <w:numId w:val="9"/>
        </w:numPr>
        <w:ind w:firstLine="562"/>
        <w:jc w:val="center"/>
        <w:rPr>
          <w:rFonts w:ascii="宋体" w:hAnsi="宋体" w:cs="宋体"/>
          <w:b/>
          <w:color w:val="auto"/>
          <w:highlight w:val="none"/>
        </w:rPr>
      </w:pPr>
      <w:r>
        <w:rPr>
          <w:rFonts w:hint="eastAsia" w:ascii="宋体" w:hAnsi="宋体" w:cs="宋体"/>
          <w:b/>
          <w:color w:val="auto"/>
          <w:highlight w:val="none"/>
        </w:rPr>
        <w:t>谈判文件要求</w:t>
      </w:r>
      <w:r>
        <w:rPr>
          <w:rFonts w:hint="eastAsia" w:ascii="宋体" w:hAnsi="宋体" w:cs="宋体"/>
          <w:b/>
          <w:color w:val="auto"/>
          <w:highlight w:val="none"/>
          <w:u w:val="single"/>
        </w:rPr>
        <w:t>提供的检测报告、功能截图</w:t>
      </w:r>
    </w:p>
    <w:p>
      <w:pPr>
        <w:pStyle w:val="10"/>
        <w:spacing w:line="360" w:lineRule="auto"/>
        <w:rPr>
          <w:rFonts w:ascii="宋体" w:hAnsi="宋体" w:cs="宋体"/>
          <w:color w:val="auto"/>
          <w:sz w:val="21"/>
          <w:highlight w:val="none"/>
        </w:rPr>
      </w:pPr>
    </w:p>
    <w:p>
      <w:pPr>
        <w:pStyle w:val="11"/>
        <w:rPr>
          <w:rFonts w:ascii="宋体" w:hAnsi="宋体" w:cs="宋体"/>
          <w:color w:val="auto"/>
          <w:highlight w:val="none"/>
        </w:rPr>
      </w:pPr>
    </w:p>
    <w:p>
      <w:pPr>
        <w:pStyle w:val="11"/>
        <w:numPr>
          <w:ilvl w:val="0"/>
          <w:numId w:val="10"/>
        </w:numPr>
        <w:spacing w:line="360" w:lineRule="auto"/>
        <w:ind w:firstLine="480"/>
        <w:rPr>
          <w:rFonts w:ascii="宋体" w:hAnsi="宋体" w:cs="宋体"/>
          <w:b/>
          <w:bCs/>
          <w:color w:val="auto"/>
          <w:sz w:val="24"/>
          <w:szCs w:val="32"/>
          <w:highlight w:val="none"/>
        </w:rPr>
      </w:pPr>
      <w:r>
        <w:rPr>
          <w:rFonts w:hint="eastAsia" w:ascii="宋体" w:hAnsi="宋体" w:cs="宋体"/>
          <w:color w:val="auto"/>
          <w:sz w:val="24"/>
          <w:szCs w:val="32"/>
          <w:highlight w:val="none"/>
        </w:rPr>
        <w:t>所附资料抬头须列</w:t>
      </w:r>
      <w:r>
        <w:rPr>
          <w:rFonts w:hint="eastAsia" w:ascii="宋体" w:hAnsi="宋体" w:cs="宋体"/>
          <w:b/>
          <w:bCs/>
          <w:color w:val="auto"/>
          <w:sz w:val="24"/>
          <w:szCs w:val="32"/>
          <w:highlight w:val="none"/>
          <w:u w:val="single"/>
        </w:rPr>
        <w:t>醒目标题</w:t>
      </w:r>
      <w:r>
        <w:rPr>
          <w:rFonts w:hint="eastAsia" w:ascii="宋体" w:hAnsi="宋体" w:cs="宋体"/>
          <w:color w:val="auto"/>
          <w:sz w:val="24"/>
          <w:szCs w:val="32"/>
          <w:highlight w:val="none"/>
        </w:rPr>
        <w:t>并同步至总目录，写明是针对哪一项产品的功能提供的材料。</w:t>
      </w:r>
    </w:p>
    <w:p>
      <w:pPr>
        <w:pStyle w:val="11"/>
        <w:numPr>
          <w:ilvl w:val="0"/>
          <w:numId w:val="10"/>
        </w:numPr>
        <w:spacing w:line="360" w:lineRule="auto"/>
        <w:ind w:firstLine="482"/>
        <w:rPr>
          <w:rFonts w:ascii="宋体" w:hAnsi="宋体" w:cs="宋体"/>
          <w:b/>
          <w:bCs/>
          <w:color w:val="auto"/>
          <w:sz w:val="24"/>
          <w:szCs w:val="32"/>
          <w:highlight w:val="none"/>
        </w:rPr>
      </w:pPr>
      <w:r>
        <w:rPr>
          <w:rFonts w:hint="eastAsia" w:ascii="宋体" w:hAnsi="宋体" w:cs="宋体"/>
          <w:b/>
          <w:bCs/>
          <w:color w:val="auto"/>
          <w:sz w:val="24"/>
          <w:szCs w:val="32"/>
          <w:highlight w:val="none"/>
        </w:rPr>
        <w:t>依次按产品序号顺序提供证明材料。</w:t>
      </w:r>
    </w:p>
    <w:p>
      <w:pPr>
        <w:pStyle w:val="11"/>
        <w:rPr>
          <w:rFonts w:ascii="宋体" w:hAnsi="宋体" w:cs="宋体"/>
          <w:color w:val="auto"/>
          <w:highlight w:val="none"/>
        </w:rPr>
      </w:pPr>
    </w:p>
    <w:p>
      <w:pPr>
        <w:pStyle w:val="11"/>
        <w:rPr>
          <w:rFonts w:ascii="宋体" w:hAnsi="宋体" w:cs="宋体"/>
          <w:color w:val="auto"/>
          <w:highlight w:val="none"/>
        </w:rPr>
      </w:pPr>
    </w:p>
    <w:p>
      <w:pPr>
        <w:rPr>
          <w:rFonts w:ascii="宋体" w:hAnsi="宋体" w:cs="宋体"/>
          <w:color w:val="auto"/>
          <w:szCs w:val="24"/>
          <w:highlight w:val="none"/>
        </w:rPr>
      </w:pPr>
      <w:r>
        <w:rPr>
          <w:rFonts w:hint="eastAsia" w:ascii="宋体" w:hAnsi="宋体" w:cs="宋体"/>
          <w:color w:val="auto"/>
          <w:szCs w:val="24"/>
          <w:highlight w:val="none"/>
        </w:rPr>
        <w:br w:type="page"/>
      </w:r>
    </w:p>
    <w:p>
      <w:pPr>
        <w:pStyle w:val="11"/>
        <w:ind w:firstLine="0" w:firstLineChars="0"/>
        <w:rPr>
          <w:rFonts w:ascii="宋体" w:hAnsi="宋体" w:cs="宋体"/>
          <w:color w:val="auto"/>
          <w:highlight w:val="none"/>
        </w:rPr>
      </w:pPr>
    </w:p>
    <w:p>
      <w:pPr>
        <w:pStyle w:val="41"/>
        <w:numPr>
          <w:ilvl w:val="0"/>
          <w:numId w:val="9"/>
        </w:numPr>
        <w:ind w:firstLine="562"/>
        <w:jc w:val="center"/>
        <w:rPr>
          <w:rFonts w:ascii="宋体" w:hAnsi="宋体" w:cs="宋体"/>
          <w:b/>
          <w:color w:val="auto"/>
          <w:highlight w:val="none"/>
        </w:rPr>
      </w:pPr>
      <w:r>
        <w:rPr>
          <w:rFonts w:hint="eastAsia" w:ascii="宋体" w:hAnsi="宋体" w:cs="宋体"/>
          <w:b/>
          <w:color w:val="auto"/>
          <w:highlight w:val="none"/>
        </w:rPr>
        <w:t>所投产品常用耗材一览表（如有）</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744"/>
        <w:gridCol w:w="1744"/>
        <w:gridCol w:w="1744"/>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41"/>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耗材名称</w:t>
            </w:r>
          </w:p>
        </w:tc>
        <w:tc>
          <w:tcPr>
            <w:tcW w:w="1744" w:type="dxa"/>
          </w:tcPr>
          <w:p>
            <w:pPr>
              <w:pStyle w:val="41"/>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对应产品</w:t>
            </w:r>
          </w:p>
        </w:tc>
        <w:tc>
          <w:tcPr>
            <w:tcW w:w="1744" w:type="dxa"/>
          </w:tcPr>
          <w:p>
            <w:pPr>
              <w:pStyle w:val="41"/>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规格型号</w:t>
            </w:r>
          </w:p>
        </w:tc>
        <w:tc>
          <w:tcPr>
            <w:tcW w:w="1744" w:type="dxa"/>
          </w:tcPr>
          <w:p>
            <w:pPr>
              <w:pStyle w:val="41"/>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单价</w:t>
            </w:r>
          </w:p>
        </w:tc>
        <w:tc>
          <w:tcPr>
            <w:tcW w:w="1744" w:type="dxa"/>
          </w:tcPr>
          <w:p>
            <w:pPr>
              <w:pStyle w:val="41"/>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41"/>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w:t>
            </w: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c>
          <w:tcPr>
            <w:tcW w:w="1744" w:type="dxa"/>
          </w:tcPr>
          <w:p>
            <w:pPr>
              <w:pStyle w:val="41"/>
              <w:ind w:firstLine="0" w:firstLineChars="0"/>
              <w:rPr>
                <w:rFonts w:ascii="宋体" w:hAnsi="宋体" w:cs="宋体"/>
                <w:b/>
                <w:color w:val="auto"/>
                <w:sz w:val="24"/>
                <w:szCs w:val="24"/>
                <w:highlight w:val="none"/>
              </w:rPr>
            </w:pPr>
          </w:p>
        </w:tc>
      </w:tr>
    </w:tbl>
    <w:p>
      <w:pPr>
        <w:pStyle w:val="41"/>
        <w:ind w:firstLine="0" w:firstLineChars="0"/>
        <w:rPr>
          <w:rFonts w:ascii="宋体" w:hAnsi="宋体" w:cs="宋体"/>
          <w:b/>
          <w:color w:val="auto"/>
          <w:highlight w:val="none"/>
        </w:rPr>
      </w:pPr>
    </w:p>
    <w:p>
      <w:pPr>
        <w:spacing w:line="480" w:lineRule="auto"/>
        <w:ind w:right="-161" w:firstLine="2640" w:firstLineChars="11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法定代表人或授权代表（签字或盖章）：</w:t>
      </w:r>
      <w:r>
        <w:rPr>
          <w:rFonts w:hint="eastAsia" w:ascii="宋体" w:hAnsi="宋体" w:cs="宋体"/>
          <w:color w:val="auto"/>
          <w:sz w:val="24"/>
          <w:szCs w:val="24"/>
          <w:highlight w:val="none"/>
          <w:u w:val="single"/>
        </w:rPr>
        <w:t xml:space="preserve">                      </w:t>
      </w:r>
    </w:p>
    <w:p>
      <w:pPr>
        <w:spacing w:line="480" w:lineRule="auto"/>
        <w:ind w:right="-161"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（盖章）  </w:t>
      </w:r>
      <w:r>
        <w:rPr>
          <w:rFonts w:hint="eastAsia" w:ascii="宋体" w:hAnsi="宋体" w:cs="宋体"/>
          <w:color w:val="auto"/>
          <w:sz w:val="24"/>
          <w:szCs w:val="24"/>
          <w:highlight w:val="none"/>
          <w:u w:val="single"/>
        </w:rPr>
        <w:t xml:space="preserve">      </w:t>
      </w:r>
    </w:p>
    <w:p>
      <w:pPr>
        <w:ind w:firstLine="2640" w:firstLineChars="1100"/>
        <w:rPr>
          <w:rFonts w:ascii="宋体" w:hAnsi="宋体" w:cs="宋体"/>
          <w:color w:val="auto"/>
          <w:sz w:val="24"/>
          <w:highlight w:val="none"/>
          <w:u w:val="singl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pPr>
        <w:spacing w:line="480" w:lineRule="exact"/>
        <w:rPr>
          <w:rFonts w:ascii="宋体" w:hAnsi="宋体" w:cs="宋体"/>
          <w:color w:val="auto"/>
          <w:szCs w:val="24"/>
          <w:highlight w:val="none"/>
        </w:rPr>
        <w:sectPr>
          <w:footerReference r:id="rId11" w:type="default"/>
          <w:pgSz w:w="11906" w:h="16838"/>
          <w:pgMar w:top="1417" w:right="1644" w:bottom="1191" w:left="1757" w:header="850" w:footer="992" w:gutter="0"/>
          <w:cols w:space="0" w:num="1"/>
          <w:titlePg/>
          <w:docGrid w:linePitch="312" w:charSpace="0"/>
        </w:sectPr>
      </w:pPr>
    </w:p>
    <w:p>
      <w:pPr>
        <w:widowControl/>
        <w:jc w:val="left"/>
        <w:rPr>
          <w:rFonts w:ascii="宋体" w:hAnsi="宋体" w:cs="宋体"/>
          <w:b/>
          <w:color w:val="auto"/>
          <w:kern w:val="0"/>
          <w:sz w:val="28"/>
          <w:highlight w:val="none"/>
        </w:rPr>
      </w:pPr>
    </w:p>
    <w:bookmarkEnd w:id="185"/>
    <w:bookmarkEnd w:id="186"/>
    <w:bookmarkEnd w:id="187"/>
    <w:bookmarkEnd w:id="188"/>
    <w:bookmarkEnd w:id="189"/>
    <w:bookmarkEnd w:id="190"/>
    <w:bookmarkEnd w:id="191"/>
    <w:bookmarkEnd w:id="192"/>
    <w:bookmarkEnd w:id="193"/>
    <w:bookmarkEnd w:id="194"/>
    <w:p>
      <w:pPr>
        <w:rPr>
          <w:rFonts w:ascii="宋体" w:hAnsi="宋体" w:cs="宋体"/>
          <w:color w:val="auto"/>
          <w:highlight w:val="none"/>
        </w:rPr>
      </w:pPr>
      <w:bookmarkStart w:id="195" w:name="_Toc173809567"/>
      <w:bookmarkStart w:id="196" w:name="_Toc497711597"/>
      <w:bookmarkStart w:id="197" w:name="_Toc497546930"/>
      <w:bookmarkStart w:id="198" w:name="_Toc167595494"/>
      <w:bookmarkStart w:id="199" w:name="_Toc492955471"/>
      <w:bookmarkStart w:id="200" w:name="_Toc497551832"/>
      <w:bookmarkStart w:id="201" w:name="_Toc246928970"/>
      <w:bookmarkStart w:id="202" w:name="_Toc497712145"/>
    </w:p>
    <w:bookmarkEnd w:id="195"/>
    <w:bookmarkEnd w:id="196"/>
    <w:bookmarkEnd w:id="197"/>
    <w:bookmarkEnd w:id="198"/>
    <w:bookmarkEnd w:id="199"/>
    <w:bookmarkEnd w:id="200"/>
    <w:bookmarkEnd w:id="201"/>
    <w:bookmarkEnd w:id="202"/>
    <w:p>
      <w:pPr>
        <w:pStyle w:val="3"/>
        <w:ind w:firstLine="562"/>
        <w:rPr>
          <w:rFonts w:ascii="宋体" w:hAnsi="宋体" w:eastAsia="宋体" w:cs="宋体"/>
          <w:color w:val="auto"/>
          <w:sz w:val="24"/>
          <w:szCs w:val="24"/>
          <w:highlight w:val="none"/>
        </w:rPr>
      </w:pPr>
      <w:bookmarkStart w:id="203" w:name="_Toc27140"/>
      <w:bookmarkStart w:id="204" w:name="_Toc519085755"/>
      <w:r>
        <w:rPr>
          <w:rFonts w:hint="eastAsia" w:ascii="宋体" w:hAnsi="宋体" w:eastAsia="宋体" w:cs="宋体"/>
          <w:color w:val="auto"/>
          <w:sz w:val="24"/>
          <w:szCs w:val="24"/>
          <w:highlight w:val="none"/>
        </w:rPr>
        <w:t>五、响应方案</w:t>
      </w:r>
      <w:bookmarkEnd w:id="203"/>
      <w:bookmarkEnd w:id="204"/>
    </w:p>
    <w:p>
      <w:pPr>
        <w:spacing w:line="360" w:lineRule="auto"/>
        <w:ind w:firstLine="480" w:firstLineChars="200"/>
        <w:rPr>
          <w:rFonts w:ascii="宋体" w:hAnsi="宋体" w:cs="宋体"/>
          <w:color w:val="auto"/>
          <w:sz w:val="24"/>
          <w:szCs w:val="28"/>
          <w:highlight w:val="none"/>
        </w:rPr>
      </w:pP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谈判响应方案：</w:t>
      </w:r>
    </w:p>
    <w:p>
      <w:pPr>
        <w:spacing w:line="500" w:lineRule="exact"/>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供应商根据本项目实际情况及要求编写，格式自拟。</w:t>
      </w: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tabs>
          <w:tab w:val="center" w:pos="4419"/>
        </w:tabs>
        <w:spacing w:line="360" w:lineRule="auto"/>
        <w:rPr>
          <w:rFonts w:ascii="宋体" w:hAnsi="宋体" w:cs="宋体"/>
          <w:color w:val="auto"/>
          <w:sz w:val="24"/>
          <w:szCs w:val="24"/>
          <w:highlight w:val="none"/>
        </w:rPr>
      </w:pPr>
    </w:p>
    <w:p>
      <w:pPr>
        <w:rPr>
          <w:rFonts w:ascii="宋体" w:hAnsi="宋体" w:cs="宋体"/>
          <w:color w:val="auto"/>
          <w:highlight w:val="none"/>
        </w:rPr>
      </w:pPr>
    </w:p>
    <w:p>
      <w:pPr>
        <w:pStyle w:val="3"/>
        <w:ind w:firstLine="560"/>
        <w:rPr>
          <w:rFonts w:ascii="宋体" w:hAnsi="宋体" w:eastAsia="宋体" w:cs="宋体"/>
          <w:color w:val="auto"/>
          <w:highlight w:val="none"/>
        </w:rPr>
      </w:pPr>
      <w:bookmarkStart w:id="205" w:name="_Toc519085756"/>
      <w:r>
        <w:rPr>
          <w:rFonts w:hint="eastAsia" w:ascii="宋体" w:hAnsi="宋体" w:eastAsia="宋体" w:cs="宋体"/>
          <w:color w:val="auto"/>
          <w:highlight w:val="none"/>
        </w:rPr>
        <w:br w:type="page"/>
      </w:r>
      <w:bookmarkStart w:id="206" w:name="_Toc25248"/>
      <w:r>
        <w:rPr>
          <w:rFonts w:hint="eastAsia" w:ascii="宋体" w:hAnsi="宋体" w:eastAsia="宋体" w:cs="宋体"/>
          <w:color w:val="auto"/>
          <w:sz w:val="24"/>
          <w:szCs w:val="24"/>
          <w:highlight w:val="none"/>
        </w:rPr>
        <w:t>六、供应商资格证明文件及其他</w:t>
      </w:r>
      <w:bookmarkEnd w:id="205"/>
      <w:bookmarkEnd w:id="206"/>
    </w:p>
    <w:p>
      <w:pPr>
        <w:pStyle w:val="20"/>
        <w:spacing w:beforeAutospacing="0" w:afterAutospacing="0" w:line="360" w:lineRule="auto"/>
        <w:ind w:firstLine="420"/>
        <w:rPr>
          <w:rFonts w:cs="宋体"/>
          <w:color w:val="auto"/>
          <w:szCs w:val="24"/>
          <w:highlight w:val="none"/>
        </w:rPr>
      </w:pPr>
      <w:r>
        <w:rPr>
          <w:rFonts w:hint="eastAsia" w:cs="宋体"/>
          <w:color w:val="auto"/>
          <w:szCs w:val="24"/>
          <w:highlight w:val="none"/>
        </w:rPr>
        <w:t>1、满足《中华人民共和国政府采购法》第二十二条规定</w:t>
      </w:r>
    </w:p>
    <w:p>
      <w:pPr>
        <w:pStyle w:val="20"/>
        <w:spacing w:beforeAutospacing="0" w:afterAutospacing="0" w:line="360" w:lineRule="auto"/>
        <w:ind w:firstLine="420"/>
        <w:rPr>
          <w:rFonts w:cs="宋体"/>
          <w:color w:val="auto"/>
          <w:szCs w:val="24"/>
          <w:highlight w:val="none"/>
        </w:rPr>
      </w:pPr>
      <w:r>
        <w:rPr>
          <w:rFonts w:hint="eastAsia" w:cs="宋体"/>
          <w:color w:val="auto"/>
          <w:szCs w:val="24"/>
          <w:highlight w:val="none"/>
        </w:rPr>
        <w:t>①.合法有效的企事业法人、其他组织或自然人；</w:t>
      </w:r>
    </w:p>
    <w:p>
      <w:pPr>
        <w:pStyle w:val="20"/>
        <w:spacing w:beforeAutospacing="0" w:afterAutospacing="0" w:line="360" w:lineRule="auto"/>
        <w:ind w:firstLine="420"/>
        <w:rPr>
          <w:rFonts w:cs="宋体"/>
          <w:color w:val="auto"/>
          <w:szCs w:val="24"/>
          <w:highlight w:val="none"/>
        </w:rPr>
      </w:pPr>
      <w:r>
        <w:rPr>
          <w:rFonts w:hint="eastAsia" w:cs="宋体"/>
          <w:color w:val="auto"/>
          <w:szCs w:val="24"/>
          <w:highlight w:val="none"/>
        </w:rPr>
        <w:t>②.具有良好的商业信誉和健全的财务会计制度；</w:t>
      </w:r>
    </w:p>
    <w:p>
      <w:pPr>
        <w:pStyle w:val="20"/>
        <w:spacing w:beforeAutospacing="0" w:afterAutospacing="0" w:line="360" w:lineRule="auto"/>
        <w:ind w:firstLine="420"/>
        <w:rPr>
          <w:rFonts w:cs="宋体"/>
          <w:color w:val="auto"/>
          <w:szCs w:val="24"/>
          <w:highlight w:val="none"/>
        </w:rPr>
      </w:pPr>
      <w:r>
        <w:rPr>
          <w:rFonts w:hint="eastAsia" w:cs="宋体"/>
          <w:color w:val="auto"/>
          <w:szCs w:val="24"/>
          <w:highlight w:val="none"/>
        </w:rPr>
        <w:t>③.具有履行合同所必需的设备和专业技术能力；</w:t>
      </w:r>
    </w:p>
    <w:p>
      <w:pPr>
        <w:pStyle w:val="20"/>
        <w:spacing w:beforeAutospacing="0" w:afterAutospacing="0" w:line="360" w:lineRule="auto"/>
        <w:ind w:firstLine="420"/>
        <w:rPr>
          <w:rFonts w:cs="宋体"/>
          <w:color w:val="auto"/>
          <w:szCs w:val="24"/>
          <w:highlight w:val="none"/>
        </w:rPr>
      </w:pPr>
      <w:r>
        <w:rPr>
          <w:rFonts w:hint="eastAsia" w:cs="宋体"/>
          <w:color w:val="auto"/>
          <w:szCs w:val="24"/>
          <w:highlight w:val="none"/>
        </w:rPr>
        <w:t>④.有依法缴纳税收和社会保障资金的良好记录；</w:t>
      </w:r>
    </w:p>
    <w:p>
      <w:pPr>
        <w:pStyle w:val="20"/>
        <w:spacing w:beforeAutospacing="0" w:afterAutospacing="0" w:line="360" w:lineRule="auto"/>
        <w:ind w:firstLine="420"/>
        <w:rPr>
          <w:rFonts w:cs="宋体"/>
          <w:color w:val="auto"/>
          <w:szCs w:val="24"/>
          <w:highlight w:val="none"/>
        </w:rPr>
      </w:pPr>
      <w:r>
        <w:rPr>
          <w:rFonts w:hint="eastAsia" w:cs="宋体"/>
          <w:color w:val="auto"/>
          <w:szCs w:val="24"/>
          <w:highlight w:val="none"/>
        </w:rPr>
        <w:t>⑤.近三年内，在经营活动中没有重大违法记录；</w:t>
      </w:r>
    </w:p>
    <w:p>
      <w:pPr>
        <w:pStyle w:val="20"/>
        <w:spacing w:beforeAutospacing="0" w:afterAutospacing="0" w:line="360" w:lineRule="auto"/>
        <w:ind w:firstLine="420"/>
        <w:rPr>
          <w:rFonts w:cs="宋体"/>
          <w:color w:val="auto"/>
          <w:szCs w:val="24"/>
          <w:highlight w:val="none"/>
        </w:rPr>
      </w:pPr>
      <w:r>
        <w:rPr>
          <w:rFonts w:hint="eastAsia" w:cs="宋体"/>
          <w:color w:val="auto"/>
          <w:szCs w:val="24"/>
          <w:highlight w:val="none"/>
        </w:rPr>
        <w:t>2、本项目的特定资格要求：</w:t>
      </w:r>
    </w:p>
    <w:p>
      <w:pPr>
        <w:pStyle w:val="20"/>
        <w:spacing w:beforeAutospacing="0" w:afterAutospacing="0" w:line="360" w:lineRule="auto"/>
        <w:ind w:firstLine="420"/>
        <w:rPr>
          <w:rFonts w:cs="宋体"/>
          <w:color w:val="auto"/>
          <w:szCs w:val="24"/>
          <w:highlight w:val="none"/>
        </w:rPr>
      </w:pPr>
      <w:r>
        <w:rPr>
          <w:rFonts w:hint="eastAsia" w:cs="宋体"/>
          <w:color w:val="auto"/>
          <w:szCs w:val="24"/>
          <w:highlight w:val="none"/>
        </w:rPr>
        <w:t>①.单位负责人为同一人或者存在直接控股、管理关系的不同供应商，不得同时参加本项目采购活动；②.本项目为不专门面向中小企业采购项目。</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widowControl/>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pStyle w:val="4"/>
        <w:rPr>
          <w:rFonts w:ascii="宋体" w:hAnsi="宋体" w:cs="宋体"/>
          <w:color w:val="auto"/>
          <w:sz w:val="24"/>
          <w:szCs w:val="24"/>
          <w:highlight w:val="none"/>
        </w:rPr>
      </w:pPr>
      <w:bookmarkStart w:id="207" w:name="_Toc332805171"/>
      <w:bookmarkStart w:id="208" w:name="_Toc332805616"/>
      <w:bookmarkStart w:id="209" w:name="_Toc332805172"/>
      <w:bookmarkStart w:id="210" w:name="_Toc332805617"/>
      <w:r>
        <w:rPr>
          <w:rFonts w:hint="eastAsia" w:ascii="宋体" w:hAnsi="宋体" w:cs="宋体"/>
          <w:color w:val="auto"/>
          <w:sz w:val="24"/>
          <w:szCs w:val="24"/>
          <w:highlight w:val="none"/>
        </w:rPr>
        <w:t>1、满足《中华人民共和国政府采购法》第二十二条规定</w:t>
      </w:r>
    </w:p>
    <w:p>
      <w:pPr>
        <w:tabs>
          <w:tab w:val="left" w:pos="5580"/>
        </w:tabs>
        <w:spacing w:before="120" w:line="360" w:lineRule="auto"/>
        <w:outlineLvl w:val="3"/>
        <w:rPr>
          <w:rFonts w:ascii="宋体" w:hAnsi="宋体" w:cs="宋体"/>
          <w:b/>
          <w:color w:val="auto"/>
          <w:sz w:val="24"/>
          <w:highlight w:val="none"/>
        </w:rPr>
      </w:pPr>
      <w:r>
        <w:rPr>
          <w:rFonts w:hint="eastAsia" w:ascii="宋体" w:hAnsi="宋体" w:cs="宋体"/>
          <w:b/>
          <w:color w:val="auto"/>
          <w:sz w:val="24"/>
          <w:highlight w:val="none"/>
        </w:rPr>
        <w:t>①.合法有效的企事业法人、其他组织或自然人；</w:t>
      </w:r>
    </w:p>
    <w:p>
      <w:pPr>
        <w:pStyle w:val="14"/>
        <w:tabs>
          <w:tab w:val="left" w:pos="5580"/>
        </w:tabs>
        <w:spacing w:before="120" w:line="360" w:lineRule="auto"/>
        <w:rPr>
          <w:rFonts w:hint="default" w:hAnsi="宋体" w:cs="宋体"/>
          <w:b/>
          <w:color w:val="auto"/>
          <w:szCs w:val="24"/>
          <w:highlight w:val="none"/>
        </w:rPr>
      </w:pPr>
    </w:p>
    <w:p>
      <w:pPr>
        <w:pStyle w:val="14"/>
        <w:tabs>
          <w:tab w:val="left" w:pos="5580"/>
        </w:tabs>
        <w:spacing w:before="120" w:line="360" w:lineRule="auto"/>
        <w:rPr>
          <w:rFonts w:hint="default" w:hAnsi="宋体" w:cs="宋体"/>
          <w:b/>
          <w:color w:val="auto"/>
          <w:szCs w:val="24"/>
          <w:highlight w:val="none"/>
        </w:rPr>
      </w:pPr>
    </w:p>
    <w:p>
      <w:pPr>
        <w:pStyle w:val="14"/>
        <w:tabs>
          <w:tab w:val="left" w:pos="5580"/>
        </w:tabs>
        <w:spacing w:before="120" w:line="360" w:lineRule="auto"/>
        <w:ind w:firstLine="352" w:firstLineChars="147"/>
        <w:rPr>
          <w:rFonts w:hint="default" w:hAnsi="宋体" w:cs="宋体"/>
          <w:color w:val="auto"/>
          <w:szCs w:val="24"/>
          <w:highlight w:val="none"/>
        </w:rPr>
      </w:pPr>
      <w:r>
        <w:rPr>
          <w:rFonts w:hAnsi="宋体" w:cs="宋体"/>
          <w:color w:val="auto"/>
          <w:szCs w:val="24"/>
          <w:highlight w:val="none"/>
        </w:rPr>
        <w:t>说明：</w:t>
      </w:r>
    </w:p>
    <w:p>
      <w:pPr>
        <w:pStyle w:val="14"/>
        <w:tabs>
          <w:tab w:val="left" w:pos="5580"/>
        </w:tabs>
        <w:spacing w:before="120" w:line="360" w:lineRule="auto"/>
        <w:ind w:firstLine="352" w:firstLineChars="147"/>
        <w:rPr>
          <w:rFonts w:hint="default" w:hAnsi="宋体" w:cs="宋体"/>
          <w:color w:val="auto"/>
          <w:szCs w:val="24"/>
          <w:highlight w:val="none"/>
        </w:rPr>
      </w:pPr>
      <w:r>
        <w:rPr>
          <w:rFonts w:hAnsi="宋体" w:cs="宋体"/>
          <w:color w:val="auto"/>
          <w:szCs w:val="24"/>
          <w:highlight w:val="none"/>
        </w:rPr>
        <w:t>1、如供应商是企业（包括合伙企业），应提供在工商部门注册的有效“企业法人营业执照”或“营业执照”；</w:t>
      </w:r>
    </w:p>
    <w:p>
      <w:pPr>
        <w:pStyle w:val="14"/>
        <w:tabs>
          <w:tab w:val="left" w:pos="5580"/>
        </w:tabs>
        <w:spacing w:before="120" w:line="360" w:lineRule="auto"/>
        <w:ind w:firstLine="352" w:firstLineChars="147"/>
        <w:rPr>
          <w:rFonts w:hint="default" w:hAnsi="宋体" w:cs="宋体"/>
          <w:color w:val="auto"/>
          <w:szCs w:val="24"/>
          <w:highlight w:val="none"/>
        </w:rPr>
      </w:pPr>
      <w:r>
        <w:rPr>
          <w:rFonts w:hAnsi="宋体" w:cs="宋体"/>
          <w:color w:val="auto"/>
          <w:szCs w:val="24"/>
          <w:highlight w:val="none"/>
        </w:rPr>
        <w:t>2、如供应商是事业单位，应提供有效的“事业单位法人证书”；</w:t>
      </w:r>
    </w:p>
    <w:p>
      <w:pPr>
        <w:pStyle w:val="14"/>
        <w:tabs>
          <w:tab w:val="left" w:pos="5580"/>
        </w:tabs>
        <w:spacing w:before="120" w:line="360" w:lineRule="auto"/>
        <w:ind w:firstLine="352" w:firstLineChars="147"/>
        <w:rPr>
          <w:rFonts w:hint="default" w:hAnsi="宋体" w:cs="宋体"/>
          <w:color w:val="auto"/>
          <w:szCs w:val="24"/>
          <w:highlight w:val="none"/>
        </w:rPr>
      </w:pPr>
      <w:r>
        <w:rPr>
          <w:rFonts w:hAnsi="宋体" w:cs="宋体"/>
          <w:color w:val="auto"/>
          <w:szCs w:val="24"/>
          <w:highlight w:val="none"/>
        </w:rPr>
        <w:t>3、如供应商是个体工商户，应提供有效的“个体工商户营业执照”；</w:t>
      </w:r>
    </w:p>
    <w:p>
      <w:pPr>
        <w:pStyle w:val="14"/>
        <w:tabs>
          <w:tab w:val="left" w:pos="5580"/>
        </w:tabs>
        <w:spacing w:before="120" w:line="360" w:lineRule="auto"/>
        <w:ind w:firstLine="352" w:firstLineChars="147"/>
        <w:rPr>
          <w:rFonts w:hint="default" w:hAnsi="宋体" w:cs="宋体"/>
          <w:color w:val="auto"/>
          <w:szCs w:val="24"/>
          <w:highlight w:val="none"/>
        </w:rPr>
        <w:sectPr>
          <w:pgSz w:w="11906" w:h="16838"/>
          <w:pgMar w:top="1417" w:right="1644" w:bottom="1191" w:left="1757" w:header="850" w:footer="992" w:gutter="0"/>
          <w:cols w:space="0" w:num="1"/>
          <w:titlePg/>
          <w:docGrid w:linePitch="312" w:charSpace="0"/>
        </w:sectPr>
      </w:pPr>
      <w:r>
        <w:rPr>
          <w:rFonts w:hAnsi="宋体" w:cs="宋体"/>
          <w:color w:val="auto"/>
          <w:szCs w:val="24"/>
          <w:highlight w:val="none"/>
        </w:rPr>
        <w:t>4、如供应商为自然人，应提供有效的自然人身份证明。</w:t>
      </w:r>
    </w:p>
    <w:p>
      <w:pPr>
        <w:pStyle w:val="6"/>
        <w:rPr>
          <w:rFonts w:ascii="宋体" w:hAnsi="宋体" w:cs="宋体"/>
          <w:color w:val="auto"/>
          <w:sz w:val="24"/>
          <w:szCs w:val="24"/>
          <w:highlight w:val="none"/>
        </w:rPr>
      </w:pPr>
      <w:r>
        <w:rPr>
          <w:rFonts w:hint="eastAsia" w:ascii="宋体" w:hAnsi="宋体" w:cs="宋体"/>
          <w:color w:val="auto"/>
          <w:sz w:val="24"/>
          <w:szCs w:val="24"/>
          <w:highlight w:val="none"/>
        </w:rPr>
        <w:t>法定代表人证明书或授权委托书</w:t>
      </w:r>
    </w:p>
    <w:p>
      <w:pPr>
        <w:pStyle w:val="6"/>
        <w:rPr>
          <w:rFonts w:ascii="宋体" w:hAnsi="宋体" w:cs="宋体"/>
          <w:color w:val="auto"/>
          <w:sz w:val="24"/>
          <w:szCs w:val="24"/>
          <w:highlight w:val="none"/>
        </w:rPr>
      </w:pPr>
      <w:r>
        <w:rPr>
          <w:rFonts w:hint="eastAsia" w:ascii="宋体" w:hAnsi="宋体" w:cs="宋体"/>
          <w:color w:val="auto"/>
          <w:sz w:val="24"/>
          <w:szCs w:val="24"/>
          <w:highlight w:val="none"/>
        </w:rPr>
        <w:t>（1）法定代表人证明书</w:t>
      </w:r>
    </w:p>
    <w:p>
      <w:pPr>
        <w:tabs>
          <w:tab w:val="left" w:pos="210"/>
        </w:tabs>
        <w:spacing w:line="320" w:lineRule="exact"/>
        <w:jc w:val="center"/>
        <w:rPr>
          <w:rFonts w:ascii="宋体" w:hAnsi="宋体" w:cs="宋体"/>
          <w:b/>
          <w:color w:val="auto"/>
          <w:kern w:val="0"/>
          <w:sz w:val="24"/>
          <w:szCs w:val="24"/>
          <w:highlight w:val="none"/>
        </w:rPr>
      </w:pPr>
    </w:p>
    <w:tbl>
      <w:tblPr>
        <w:tblStyle w:val="2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pPr>
              <w:tabs>
                <w:tab w:val="left" w:pos="210"/>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致：陕西中信海诚造价咨询有限公司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64" w:type="dxa"/>
            <w:vMerge w:val="restart"/>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w:t>
            </w:r>
          </w:p>
          <w:p>
            <w:pPr>
              <w:tabs>
                <w:tab w:val="left" w:pos="210"/>
              </w:tabs>
              <w:spacing w:line="320" w:lineRule="exact"/>
              <w:jc w:val="center"/>
              <w:rPr>
                <w:rFonts w:ascii="宋体" w:hAnsi="宋体" w:cs="宋体"/>
                <w:color w:val="auto"/>
                <w:kern w:val="0"/>
                <w:sz w:val="24"/>
                <w:szCs w:val="24"/>
                <w:highlight w:val="none"/>
              </w:rPr>
            </w:pPr>
          </w:p>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业</w:t>
            </w:r>
          </w:p>
          <w:p>
            <w:pPr>
              <w:tabs>
                <w:tab w:val="left" w:pos="210"/>
              </w:tabs>
              <w:spacing w:line="320" w:lineRule="exact"/>
              <w:jc w:val="center"/>
              <w:rPr>
                <w:rFonts w:ascii="宋体" w:hAnsi="宋体" w:cs="宋体"/>
                <w:color w:val="auto"/>
                <w:kern w:val="0"/>
                <w:sz w:val="24"/>
                <w:szCs w:val="24"/>
                <w:highlight w:val="none"/>
              </w:rPr>
            </w:pPr>
          </w:p>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w:t>
            </w:r>
          </w:p>
          <w:p>
            <w:pPr>
              <w:tabs>
                <w:tab w:val="left" w:pos="210"/>
              </w:tabs>
              <w:spacing w:line="320" w:lineRule="exact"/>
              <w:jc w:val="center"/>
              <w:rPr>
                <w:rFonts w:ascii="宋体" w:hAnsi="宋体" w:cs="宋体"/>
                <w:color w:val="auto"/>
                <w:kern w:val="0"/>
                <w:sz w:val="24"/>
                <w:szCs w:val="24"/>
                <w:highlight w:val="none"/>
              </w:rPr>
            </w:pPr>
          </w:p>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人</w:t>
            </w:r>
          </w:p>
        </w:tc>
        <w:tc>
          <w:tcPr>
            <w:tcW w:w="2151" w:type="dxa"/>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企业名称</w:t>
            </w:r>
          </w:p>
        </w:tc>
        <w:tc>
          <w:tcPr>
            <w:tcW w:w="6571" w:type="dxa"/>
            <w:gridSpan w:val="4"/>
            <w:vAlign w:val="center"/>
          </w:tcPr>
          <w:p>
            <w:pPr>
              <w:tabs>
                <w:tab w:val="left" w:pos="210"/>
              </w:tabs>
              <w:spacing w:line="32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4" w:type="dxa"/>
            <w:vMerge w:val="continue"/>
            <w:vAlign w:val="center"/>
          </w:tcPr>
          <w:p>
            <w:pPr>
              <w:tabs>
                <w:tab w:val="left" w:pos="210"/>
              </w:tabs>
              <w:spacing w:line="320" w:lineRule="exact"/>
              <w:jc w:val="center"/>
              <w:rPr>
                <w:rFonts w:ascii="宋体" w:hAnsi="宋体" w:cs="宋体"/>
                <w:color w:val="auto"/>
                <w:kern w:val="0"/>
                <w:sz w:val="24"/>
                <w:szCs w:val="24"/>
                <w:highlight w:val="none"/>
              </w:rPr>
            </w:pPr>
          </w:p>
        </w:tc>
        <w:tc>
          <w:tcPr>
            <w:tcW w:w="2151" w:type="dxa"/>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法定地址</w:t>
            </w:r>
          </w:p>
        </w:tc>
        <w:tc>
          <w:tcPr>
            <w:tcW w:w="6571" w:type="dxa"/>
            <w:gridSpan w:val="4"/>
            <w:vAlign w:val="center"/>
          </w:tcPr>
          <w:p>
            <w:pPr>
              <w:tabs>
                <w:tab w:val="left" w:pos="210"/>
              </w:tabs>
              <w:spacing w:line="32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564" w:type="dxa"/>
            <w:vMerge w:val="continue"/>
            <w:vAlign w:val="center"/>
          </w:tcPr>
          <w:p>
            <w:pPr>
              <w:tabs>
                <w:tab w:val="left" w:pos="210"/>
              </w:tabs>
              <w:spacing w:line="320" w:lineRule="exact"/>
              <w:jc w:val="center"/>
              <w:rPr>
                <w:rFonts w:ascii="宋体" w:hAnsi="宋体" w:cs="宋体"/>
                <w:color w:val="auto"/>
                <w:kern w:val="0"/>
                <w:sz w:val="24"/>
                <w:szCs w:val="24"/>
                <w:highlight w:val="none"/>
              </w:rPr>
            </w:pPr>
          </w:p>
        </w:tc>
        <w:tc>
          <w:tcPr>
            <w:tcW w:w="2151" w:type="dxa"/>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c>
          <w:tcPr>
            <w:tcW w:w="6571" w:type="dxa"/>
            <w:gridSpan w:val="4"/>
            <w:vAlign w:val="center"/>
          </w:tcPr>
          <w:p>
            <w:pPr>
              <w:tabs>
                <w:tab w:val="left" w:pos="210"/>
              </w:tabs>
              <w:spacing w:line="32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p>
        </w:tc>
        <w:tc>
          <w:tcPr>
            <w:tcW w:w="2151" w:type="dxa"/>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2329" w:type="dxa"/>
            <w:gridSpan w:val="2"/>
            <w:vAlign w:val="center"/>
          </w:tcPr>
          <w:p>
            <w:pPr>
              <w:tabs>
                <w:tab w:val="left" w:pos="210"/>
              </w:tabs>
              <w:spacing w:line="320" w:lineRule="exact"/>
              <w:jc w:val="center"/>
              <w:rPr>
                <w:rFonts w:ascii="宋体" w:hAnsi="宋体" w:cs="宋体"/>
                <w:color w:val="auto"/>
                <w:kern w:val="0"/>
                <w:sz w:val="24"/>
                <w:szCs w:val="24"/>
                <w:highlight w:val="none"/>
              </w:rPr>
            </w:pPr>
          </w:p>
        </w:tc>
        <w:tc>
          <w:tcPr>
            <w:tcW w:w="2145" w:type="dxa"/>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性别</w:t>
            </w:r>
          </w:p>
        </w:tc>
        <w:tc>
          <w:tcPr>
            <w:tcW w:w="2097" w:type="dxa"/>
            <w:vAlign w:val="center"/>
          </w:tcPr>
          <w:p>
            <w:pPr>
              <w:tabs>
                <w:tab w:val="left" w:pos="210"/>
              </w:tabs>
              <w:spacing w:line="32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ascii="宋体" w:hAnsi="宋体" w:cs="宋体"/>
                <w:color w:val="auto"/>
                <w:kern w:val="0"/>
                <w:sz w:val="24"/>
                <w:szCs w:val="24"/>
                <w:highlight w:val="none"/>
              </w:rPr>
            </w:pPr>
          </w:p>
        </w:tc>
        <w:tc>
          <w:tcPr>
            <w:tcW w:w="2151" w:type="dxa"/>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职务</w:t>
            </w:r>
          </w:p>
        </w:tc>
        <w:tc>
          <w:tcPr>
            <w:tcW w:w="2329" w:type="dxa"/>
            <w:gridSpan w:val="2"/>
            <w:vAlign w:val="center"/>
          </w:tcPr>
          <w:p>
            <w:pPr>
              <w:tabs>
                <w:tab w:val="left" w:pos="210"/>
              </w:tabs>
              <w:spacing w:line="320" w:lineRule="exact"/>
              <w:jc w:val="center"/>
              <w:rPr>
                <w:rFonts w:ascii="宋体" w:hAnsi="宋体" w:cs="宋体"/>
                <w:color w:val="auto"/>
                <w:kern w:val="0"/>
                <w:sz w:val="24"/>
                <w:szCs w:val="24"/>
                <w:highlight w:val="none"/>
              </w:rPr>
            </w:pPr>
          </w:p>
        </w:tc>
        <w:tc>
          <w:tcPr>
            <w:tcW w:w="2145" w:type="dxa"/>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p>
        </w:tc>
        <w:tc>
          <w:tcPr>
            <w:tcW w:w="2097" w:type="dxa"/>
            <w:vAlign w:val="center"/>
          </w:tcPr>
          <w:p>
            <w:pPr>
              <w:tabs>
                <w:tab w:val="left" w:pos="210"/>
              </w:tabs>
              <w:spacing w:line="32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ascii="宋体" w:hAnsi="宋体" w:cs="宋体"/>
                <w:color w:val="auto"/>
                <w:kern w:val="0"/>
                <w:sz w:val="24"/>
                <w:szCs w:val="24"/>
                <w:highlight w:val="none"/>
              </w:rPr>
            </w:pPr>
          </w:p>
        </w:tc>
        <w:tc>
          <w:tcPr>
            <w:tcW w:w="2151" w:type="dxa"/>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c>
          <w:tcPr>
            <w:tcW w:w="6571" w:type="dxa"/>
            <w:gridSpan w:val="4"/>
            <w:vAlign w:val="center"/>
          </w:tcPr>
          <w:p>
            <w:pPr>
              <w:tabs>
                <w:tab w:val="left" w:pos="210"/>
              </w:tabs>
              <w:spacing w:line="32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法定代表人身份证复印件</w:t>
            </w:r>
          </w:p>
        </w:tc>
        <w:tc>
          <w:tcPr>
            <w:tcW w:w="4296" w:type="dxa"/>
            <w:gridSpan w:val="2"/>
            <w:vMerge w:val="restart"/>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（粘贴处）</w:t>
            </w:r>
          </w:p>
        </w:tc>
        <w:tc>
          <w:tcPr>
            <w:tcW w:w="4426" w:type="dxa"/>
            <w:gridSpan w:val="3"/>
            <w:vAlign w:val="center"/>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pPr>
              <w:tabs>
                <w:tab w:val="left" w:pos="210"/>
              </w:tabs>
              <w:spacing w:line="320" w:lineRule="exact"/>
              <w:jc w:val="center"/>
              <w:rPr>
                <w:rFonts w:ascii="宋体" w:hAnsi="宋体" w:cs="宋体"/>
                <w:color w:val="auto"/>
                <w:kern w:val="0"/>
                <w:sz w:val="24"/>
                <w:szCs w:val="24"/>
                <w:highlight w:val="none"/>
              </w:rPr>
            </w:pPr>
          </w:p>
        </w:tc>
        <w:tc>
          <w:tcPr>
            <w:tcW w:w="4296" w:type="dxa"/>
            <w:gridSpan w:val="2"/>
            <w:vMerge w:val="continue"/>
            <w:vAlign w:val="center"/>
          </w:tcPr>
          <w:p>
            <w:pPr>
              <w:tabs>
                <w:tab w:val="left" w:pos="210"/>
              </w:tabs>
              <w:spacing w:line="320" w:lineRule="exact"/>
              <w:jc w:val="center"/>
              <w:rPr>
                <w:rFonts w:ascii="宋体" w:hAnsi="宋体" w:cs="宋体"/>
                <w:color w:val="auto"/>
                <w:kern w:val="0"/>
                <w:sz w:val="24"/>
                <w:szCs w:val="24"/>
                <w:highlight w:val="none"/>
              </w:rPr>
            </w:pPr>
          </w:p>
        </w:tc>
        <w:tc>
          <w:tcPr>
            <w:tcW w:w="4426" w:type="dxa"/>
            <w:gridSpan w:val="3"/>
            <w:vAlign w:val="bottom"/>
          </w:tcPr>
          <w:p>
            <w:pPr>
              <w:tabs>
                <w:tab w:val="left" w:pos="210"/>
              </w:tabs>
              <w:spacing w:line="3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（公章）</w:t>
            </w:r>
          </w:p>
          <w:p>
            <w:pPr>
              <w:tabs>
                <w:tab w:val="left" w:pos="210"/>
              </w:tabs>
              <w:spacing w:line="320" w:lineRule="exact"/>
              <w:jc w:val="center"/>
              <w:rPr>
                <w:rFonts w:ascii="宋体" w:hAnsi="宋体" w:cs="宋体"/>
                <w:color w:val="auto"/>
                <w:kern w:val="0"/>
                <w:sz w:val="24"/>
                <w:szCs w:val="24"/>
                <w:highlight w:val="none"/>
              </w:rPr>
            </w:pPr>
          </w:p>
          <w:p>
            <w:pPr>
              <w:tabs>
                <w:tab w:val="left" w:pos="210"/>
              </w:tabs>
              <w:spacing w:line="320" w:lineRule="exact"/>
              <w:jc w:val="center"/>
              <w:rPr>
                <w:rFonts w:ascii="宋体" w:hAnsi="宋体" w:cs="宋体"/>
                <w:color w:val="auto"/>
                <w:kern w:val="0"/>
                <w:sz w:val="24"/>
                <w:szCs w:val="24"/>
                <w:highlight w:val="none"/>
              </w:rPr>
            </w:pPr>
          </w:p>
          <w:p>
            <w:pPr>
              <w:tabs>
                <w:tab w:val="left" w:pos="210"/>
              </w:tabs>
              <w:spacing w:line="320" w:lineRule="exact"/>
              <w:jc w:val="center"/>
              <w:rPr>
                <w:rFonts w:ascii="宋体" w:hAnsi="宋体" w:cs="宋体"/>
                <w:color w:val="auto"/>
                <w:kern w:val="0"/>
                <w:sz w:val="24"/>
                <w:szCs w:val="24"/>
                <w:highlight w:val="none"/>
              </w:rPr>
            </w:pPr>
          </w:p>
          <w:p>
            <w:pPr>
              <w:tabs>
                <w:tab w:val="left" w:pos="210"/>
              </w:tabs>
              <w:spacing w:line="320" w:lineRule="exact"/>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年  月  日 </w:t>
            </w:r>
          </w:p>
        </w:tc>
      </w:tr>
    </w:tbl>
    <w:p>
      <w:pPr>
        <w:pStyle w:val="6"/>
        <w:tabs>
          <w:tab w:val="left" w:pos="210"/>
        </w:tabs>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kern w:val="2"/>
          <w:sz w:val="24"/>
          <w:szCs w:val="24"/>
          <w:highlight w:val="none"/>
        </w:rPr>
        <w:t>（2）授权委托书</w:t>
      </w:r>
    </w:p>
    <w:p>
      <w:pPr>
        <w:pStyle w:val="14"/>
        <w:spacing w:line="500" w:lineRule="exact"/>
        <w:rPr>
          <w:rFonts w:hint="default" w:hAnsi="宋体" w:cs="宋体"/>
          <w:b/>
          <w:bCs/>
          <w:color w:val="auto"/>
          <w:szCs w:val="24"/>
          <w:highlight w:val="none"/>
        </w:rPr>
      </w:pPr>
      <w:r>
        <w:rPr>
          <w:rFonts w:hAnsi="宋体" w:cs="宋体"/>
          <w:color w:val="auto"/>
          <w:spacing w:val="4"/>
          <w:highlight w:val="none"/>
          <w:u w:val="single"/>
        </w:rPr>
        <w:t xml:space="preserve">     （采购人名称）   </w:t>
      </w:r>
      <w:r>
        <w:rPr>
          <w:rFonts w:hAnsi="宋体" w:cs="宋体"/>
          <w:color w:val="auto"/>
          <w:szCs w:val="24"/>
          <w:highlight w:val="none"/>
        </w:rPr>
        <w:t>：</w:t>
      </w:r>
    </w:p>
    <w:p>
      <w:pPr>
        <w:pStyle w:val="14"/>
        <w:spacing w:line="500" w:lineRule="exact"/>
        <w:ind w:firstLine="420"/>
        <w:rPr>
          <w:rFonts w:hint="default" w:hAnsi="宋体" w:cs="宋体"/>
          <w:color w:val="auto"/>
          <w:szCs w:val="24"/>
          <w:highlight w:val="none"/>
        </w:rPr>
      </w:pPr>
      <w:r>
        <w:rPr>
          <w:rFonts w:hAnsi="宋体" w:cs="宋体"/>
          <w:color w:val="auto"/>
          <w:szCs w:val="24"/>
          <w:highlight w:val="none"/>
        </w:rPr>
        <w:t>本授权书声明：注册于（</w:t>
      </w:r>
      <w:r>
        <w:rPr>
          <w:rFonts w:hAnsi="宋体" w:cs="宋体"/>
          <w:color w:val="auto"/>
          <w:szCs w:val="24"/>
          <w:highlight w:val="none"/>
          <w:u w:val="single"/>
        </w:rPr>
        <w:t xml:space="preserve">工商行政管理局名称）之（委托单位全称） </w:t>
      </w:r>
      <w:r>
        <w:rPr>
          <w:rFonts w:hAnsi="宋体" w:cs="宋体"/>
          <w:color w:val="auto"/>
          <w:szCs w:val="24"/>
          <w:highlight w:val="none"/>
        </w:rPr>
        <w:t>的法定代表人</w:t>
      </w:r>
      <w:r>
        <w:rPr>
          <w:rFonts w:hAnsi="宋体" w:cs="宋体"/>
          <w:color w:val="auto"/>
          <w:szCs w:val="24"/>
          <w:highlight w:val="none"/>
          <w:u w:val="single"/>
        </w:rPr>
        <w:t>（姓名、性别、职务）</w:t>
      </w:r>
      <w:r>
        <w:rPr>
          <w:rFonts w:hAnsi="宋体" w:cs="宋体"/>
          <w:color w:val="auto"/>
          <w:szCs w:val="24"/>
          <w:highlight w:val="none"/>
        </w:rPr>
        <w:t>授权本公司的</w:t>
      </w:r>
      <w:r>
        <w:rPr>
          <w:rFonts w:hAnsi="宋体" w:cs="宋体"/>
          <w:color w:val="auto"/>
          <w:szCs w:val="24"/>
          <w:highlight w:val="none"/>
          <w:u w:val="single"/>
        </w:rPr>
        <w:t>（被授权人姓名、性别、职务）</w:t>
      </w:r>
      <w:r>
        <w:rPr>
          <w:rFonts w:hAnsi="宋体" w:cs="宋体"/>
          <w:color w:val="auto"/>
          <w:szCs w:val="24"/>
          <w:highlight w:val="none"/>
        </w:rPr>
        <w:t>为合法代理人，就贵方组织的有关</w:t>
      </w:r>
      <w:r>
        <w:rPr>
          <w:rFonts w:hAnsi="宋体" w:cs="宋体"/>
          <w:color w:val="auto"/>
          <w:szCs w:val="24"/>
          <w:highlight w:val="none"/>
          <w:u w:val="single"/>
        </w:rPr>
        <w:t>（项目名称：      项目编号：     ）</w:t>
      </w:r>
      <w:r>
        <w:rPr>
          <w:rFonts w:hAnsi="宋体" w:cs="宋体"/>
          <w:color w:val="auto"/>
          <w:szCs w:val="24"/>
          <w:highlight w:val="none"/>
        </w:rPr>
        <w:t>的谈判采购的具体事务，签署全部有关文件、文书、协议、合同，本公司对被授权人在本项目中的签名承担全部法律责任。本授权书自响应文件递交截止时间起计算有效期为</w:t>
      </w:r>
      <w:r>
        <w:rPr>
          <w:rFonts w:hAnsi="宋体" w:cs="宋体"/>
          <w:color w:val="auto"/>
          <w:szCs w:val="24"/>
          <w:highlight w:val="none"/>
          <w:u w:val="single"/>
        </w:rPr>
        <w:t xml:space="preserve">    </w:t>
      </w:r>
      <w:r>
        <w:rPr>
          <w:rFonts w:hAnsi="宋体" w:cs="宋体"/>
          <w:color w:val="auto"/>
          <w:szCs w:val="24"/>
          <w:highlight w:val="none"/>
        </w:rPr>
        <w:t>天。</w:t>
      </w:r>
    </w:p>
    <w:p>
      <w:pPr>
        <w:pStyle w:val="14"/>
        <w:spacing w:line="500" w:lineRule="exact"/>
        <w:ind w:firstLine="480" w:firstLineChars="200"/>
        <w:rPr>
          <w:rFonts w:hint="default" w:hAnsi="宋体" w:cs="宋体"/>
          <w:color w:val="auto"/>
          <w:szCs w:val="24"/>
          <w:highlight w:val="none"/>
        </w:rPr>
      </w:pPr>
      <w:r>
        <w:rPr>
          <w:rFonts w:hAnsi="宋体" w:cs="宋体"/>
          <w:color w:val="auto"/>
          <w:szCs w:val="24"/>
          <w:highlight w:val="none"/>
        </w:rPr>
        <w:t>委托单位：    （公章）                  法定代表人（签字）：</w:t>
      </w:r>
    </w:p>
    <w:p>
      <w:pPr>
        <w:pStyle w:val="14"/>
        <w:spacing w:line="500" w:lineRule="exact"/>
        <w:ind w:firstLine="480" w:firstLineChars="200"/>
        <w:rPr>
          <w:rFonts w:hint="default" w:hAnsi="宋体" w:cs="宋体"/>
          <w:color w:val="auto"/>
          <w:szCs w:val="24"/>
          <w:highlight w:val="none"/>
        </w:rPr>
      </w:pPr>
      <w:r>
        <w:rPr>
          <w:rFonts w:hAnsi="宋体" w:cs="宋体"/>
          <w:color w:val="auto"/>
          <w:szCs w:val="24"/>
          <w:highlight w:val="none"/>
        </w:rPr>
        <w:t>签发日期：</w:t>
      </w:r>
      <w:r>
        <w:rPr>
          <w:rFonts w:hAnsi="宋体" w:cs="宋体"/>
          <w:color w:val="auto"/>
          <w:szCs w:val="24"/>
          <w:highlight w:val="none"/>
          <w:u w:val="single"/>
        </w:rPr>
        <w:t xml:space="preserve">     </w:t>
      </w:r>
      <w:r>
        <w:rPr>
          <w:rFonts w:hAnsi="宋体" w:cs="宋体"/>
          <w:color w:val="auto"/>
          <w:szCs w:val="24"/>
          <w:highlight w:val="none"/>
        </w:rPr>
        <w:t>年</w:t>
      </w:r>
      <w:r>
        <w:rPr>
          <w:rFonts w:hAnsi="宋体" w:cs="宋体"/>
          <w:color w:val="auto"/>
          <w:szCs w:val="24"/>
          <w:highlight w:val="none"/>
          <w:u w:val="single"/>
        </w:rPr>
        <w:t xml:space="preserve">    </w:t>
      </w:r>
      <w:r>
        <w:rPr>
          <w:rFonts w:hAnsi="宋体" w:cs="宋体"/>
          <w:color w:val="auto"/>
          <w:szCs w:val="24"/>
          <w:highlight w:val="none"/>
        </w:rPr>
        <w:t>月</w:t>
      </w:r>
      <w:r>
        <w:rPr>
          <w:rFonts w:hAnsi="宋体" w:cs="宋体"/>
          <w:color w:val="auto"/>
          <w:szCs w:val="24"/>
          <w:highlight w:val="none"/>
          <w:u w:val="single"/>
        </w:rPr>
        <w:t xml:space="preserve">    </w:t>
      </w:r>
      <w:r>
        <w:rPr>
          <w:rFonts w:hAnsi="宋体" w:cs="宋体"/>
          <w:color w:val="auto"/>
          <w:szCs w:val="24"/>
          <w:highlight w:val="none"/>
        </w:rPr>
        <w:t>日</w:t>
      </w:r>
    </w:p>
    <w:p>
      <w:pPr>
        <w:pStyle w:val="14"/>
        <w:spacing w:line="500" w:lineRule="exact"/>
        <w:ind w:firstLine="480" w:firstLineChars="200"/>
        <w:rPr>
          <w:rFonts w:hint="default" w:hAnsi="宋体" w:cs="宋体"/>
          <w:color w:val="auto"/>
          <w:szCs w:val="24"/>
          <w:highlight w:val="none"/>
        </w:rPr>
      </w:pPr>
    </w:p>
    <w:p>
      <w:pPr>
        <w:pStyle w:val="14"/>
        <w:spacing w:line="500" w:lineRule="exact"/>
        <w:ind w:firstLine="480" w:firstLineChars="200"/>
        <w:rPr>
          <w:rFonts w:hint="default" w:hAnsi="宋体" w:cs="宋体"/>
          <w:color w:val="auto"/>
          <w:szCs w:val="24"/>
          <w:highlight w:val="none"/>
        </w:rPr>
      </w:pPr>
      <w:r>
        <w:rPr>
          <w:rFonts w:hAnsi="宋体" w:cs="宋体"/>
          <w:color w:val="auto"/>
          <w:szCs w:val="24"/>
          <w:highlight w:val="none"/>
        </w:rPr>
        <w:t>附：被授权人姓名：</w:t>
      </w:r>
      <w:r>
        <w:rPr>
          <w:rFonts w:hAnsi="宋体" w:cs="宋体"/>
          <w:color w:val="auto"/>
          <w:szCs w:val="24"/>
          <w:highlight w:val="none"/>
          <w:u w:val="single"/>
        </w:rPr>
        <w:t xml:space="preserve">              </w:t>
      </w:r>
      <w:r>
        <w:rPr>
          <w:rFonts w:hAnsi="宋体" w:cs="宋体"/>
          <w:color w:val="auto"/>
          <w:szCs w:val="24"/>
          <w:highlight w:val="none"/>
        </w:rPr>
        <w:t>性别：</w:t>
      </w:r>
      <w:r>
        <w:rPr>
          <w:rFonts w:hAnsi="宋体" w:cs="宋体"/>
          <w:color w:val="auto"/>
          <w:szCs w:val="24"/>
          <w:highlight w:val="none"/>
          <w:u w:val="single"/>
        </w:rPr>
        <w:t xml:space="preserve">       </w:t>
      </w:r>
      <w:r>
        <w:rPr>
          <w:rFonts w:hAnsi="宋体" w:cs="宋体"/>
          <w:color w:val="auto"/>
          <w:szCs w:val="24"/>
          <w:highlight w:val="none"/>
        </w:rPr>
        <w:t>职务：</w:t>
      </w:r>
      <w:r>
        <w:rPr>
          <w:rFonts w:hAnsi="宋体" w:cs="宋体"/>
          <w:color w:val="auto"/>
          <w:szCs w:val="24"/>
          <w:highlight w:val="none"/>
          <w:u w:val="single"/>
        </w:rPr>
        <w:t xml:space="preserve">             </w:t>
      </w:r>
    </w:p>
    <w:p>
      <w:pPr>
        <w:pStyle w:val="14"/>
        <w:spacing w:line="500" w:lineRule="exact"/>
        <w:ind w:firstLine="960" w:firstLineChars="400"/>
        <w:rPr>
          <w:rFonts w:hint="default" w:hAnsi="宋体" w:cs="宋体"/>
          <w:color w:val="auto"/>
          <w:szCs w:val="24"/>
          <w:highlight w:val="none"/>
          <w:u w:val="single"/>
        </w:rPr>
      </w:pPr>
      <w:r>
        <w:rPr>
          <w:rFonts w:hAnsi="宋体" w:cs="宋体"/>
          <w:color w:val="auto"/>
          <w:szCs w:val="24"/>
          <w:highlight w:val="none"/>
        </w:rPr>
        <w:t xml:space="preserve">联系地址：  </w:t>
      </w:r>
      <w:r>
        <w:rPr>
          <w:rFonts w:hAnsi="宋体" w:cs="宋体"/>
          <w:color w:val="auto"/>
          <w:szCs w:val="24"/>
          <w:highlight w:val="none"/>
          <w:u w:val="single"/>
        </w:rPr>
        <w:t xml:space="preserve">                                                </w:t>
      </w:r>
    </w:p>
    <w:p>
      <w:pPr>
        <w:pStyle w:val="14"/>
        <w:spacing w:line="500" w:lineRule="exact"/>
        <w:ind w:firstLine="960" w:firstLineChars="400"/>
        <w:rPr>
          <w:rFonts w:hint="default" w:hAnsi="宋体" w:cs="宋体"/>
          <w:color w:val="auto"/>
          <w:szCs w:val="24"/>
          <w:highlight w:val="none"/>
          <w:u w:val="single"/>
        </w:rPr>
      </w:pPr>
      <w:r>
        <w:rPr>
          <w:rFonts w:hAnsi="宋体" w:cs="宋体"/>
          <w:color w:val="auto"/>
          <w:szCs w:val="24"/>
          <w:highlight w:val="none"/>
        </w:rPr>
        <w:t>联系电话：</w:t>
      </w:r>
      <w:r>
        <w:rPr>
          <w:rFonts w:hAnsi="宋体" w:cs="宋体"/>
          <w:color w:val="auto"/>
          <w:szCs w:val="24"/>
          <w:highlight w:val="none"/>
          <w:u w:val="single"/>
        </w:rPr>
        <w:t xml:space="preserve">                  </w:t>
      </w:r>
      <w:r>
        <w:rPr>
          <w:rFonts w:hAnsi="宋体" w:cs="宋体"/>
          <w:color w:val="auto"/>
          <w:szCs w:val="24"/>
          <w:highlight w:val="none"/>
        </w:rPr>
        <w:t>传真：</w:t>
      </w:r>
      <w:r>
        <w:rPr>
          <w:rFonts w:hAnsi="宋体" w:cs="宋体"/>
          <w:color w:val="auto"/>
          <w:szCs w:val="24"/>
          <w:highlight w:val="none"/>
          <w:u w:val="single"/>
        </w:rPr>
        <w:t xml:space="preserve">                          </w:t>
      </w:r>
    </w:p>
    <w:p>
      <w:pPr>
        <w:pStyle w:val="14"/>
        <w:spacing w:line="500" w:lineRule="exact"/>
        <w:ind w:firstLine="960" w:firstLineChars="400"/>
        <w:rPr>
          <w:rFonts w:hint="default" w:hAnsi="宋体" w:cs="宋体"/>
          <w:color w:val="auto"/>
          <w:szCs w:val="24"/>
          <w:highlight w:val="none"/>
          <w:u w:val="single"/>
        </w:rPr>
      </w:pPr>
      <w:r>
        <w:rPr>
          <w:rFonts w:hAnsi="宋体" w:cs="宋体"/>
          <w:color w:val="auto"/>
          <w:szCs w:val="24"/>
          <w:highlight w:val="none"/>
        </w:rPr>
        <w:t>被授权人签字：</w:t>
      </w:r>
      <w:r>
        <w:rPr>
          <w:rFonts w:hAnsi="宋体" w:cs="宋体"/>
          <w:color w:val="auto"/>
          <w:szCs w:val="24"/>
          <w:highlight w:val="none"/>
          <w:u w:val="single"/>
        </w:rPr>
        <w:t xml:space="preserve">            </w:t>
      </w:r>
    </w:p>
    <w:p>
      <w:pPr>
        <w:pStyle w:val="14"/>
        <w:spacing w:line="440" w:lineRule="exact"/>
        <w:ind w:firstLine="480" w:firstLineChars="200"/>
        <w:rPr>
          <w:rFonts w:hint="default" w:hAnsi="宋体" w:cs="宋体"/>
          <w:color w:val="auto"/>
          <w:szCs w:val="24"/>
          <w:highlight w:val="none"/>
        </w:rPr>
      </w:pPr>
      <w:r>
        <w:rPr>
          <w:rFonts w:hAnsi="宋体" w:cs="宋体"/>
          <w:color w:val="auto"/>
          <w:szCs w:val="24"/>
          <w:highlight w:val="none"/>
        </w:rPr>
        <w:t>说明：授权书内容填写要明确，文字要工整清楚，涂改无效。</w:t>
      </w:r>
    </w:p>
    <w:p>
      <w:pPr>
        <w:pStyle w:val="14"/>
        <w:spacing w:line="500" w:lineRule="exact"/>
        <w:ind w:firstLine="2760" w:firstLineChars="1150"/>
        <w:rPr>
          <w:rFonts w:hint="default" w:hAnsi="宋体" w:cs="宋体"/>
          <w:color w:val="auto"/>
          <w:szCs w:val="24"/>
          <w:highlight w:val="none"/>
        </w:rPr>
      </w:pPr>
      <w:r>
        <w:rPr>
          <w:rFonts w:hAnsi="宋体" w:cs="宋体"/>
          <w:color w:val="auto"/>
          <w:szCs w:val="24"/>
          <w:highlight w:val="none"/>
        </w:rPr>
        <w:t>法定代表人/被授权人身份证复印件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02" w:hRule="atLeast"/>
          <w:jc w:val="center"/>
        </w:trPr>
        <w:tc>
          <w:tcPr>
            <w:tcW w:w="4193" w:type="dxa"/>
            <w:shd w:val="clear" w:color="auto" w:fill="E0E0E0"/>
            <w:vAlign w:val="center"/>
          </w:tcPr>
          <w:p>
            <w:pPr>
              <w:pStyle w:val="14"/>
              <w:spacing w:line="500" w:lineRule="exact"/>
              <w:jc w:val="center"/>
              <w:rPr>
                <w:rFonts w:hint="default" w:hAnsi="宋体" w:cs="宋体"/>
                <w:color w:val="auto"/>
                <w:szCs w:val="24"/>
                <w:highlight w:val="none"/>
                <w:shd w:val="pct10" w:color="auto" w:fill="FFFFFF"/>
              </w:rPr>
            </w:pPr>
            <w:r>
              <w:rPr>
                <w:rFonts w:hAnsi="宋体" w:cs="宋体"/>
                <w:color w:val="auto"/>
                <w:szCs w:val="24"/>
                <w:highlight w:val="none"/>
                <w:shd w:val="pct10" w:color="auto" w:fill="FFFFFF"/>
              </w:rPr>
              <w:t>法定代表人身份证复印件（正、反两面）</w:t>
            </w:r>
          </w:p>
        </w:tc>
        <w:tc>
          <w:tcPr>
            <w:tcW w:w="4193" w:type="dxa"/>
            <w:shd w:val="clear" w:color="auto" w:fill="E0E0E0"/>
            <w:vAlign w:val="center"/>
          </w:tcPr>
          <w:p>
            <w:pPr>
              <w:pStyle w:val="14"/>
              <w:spacing w:line="500" w:lineRule="exact"/>
              <w:jc w:val="center"/>
              <w:rPr>
                <w:rFonts w:hint="default" w:hAnsi="宋体" w:cs="宋体"/>
                <w:color w:val="auto"/>
                <w:szCs w:val="24"/>
                <w:highlight w:val="none"/>
                <w:shd w:val="pct10" w:color="auto" w:fill="FFFFFF"/>
              </w:rPr>
            </w:pPr>
            <w:r>
              <w:rPr>
                <w:rFonts w:hAnsi="宋体" w:cs="宋体"/>
                <w:color w:val="auto"/>
                <w:szCs w:val="24"/>
                <w:highlight w:val="none"/>
                <w:shd w:val="pct10" w:color="auto" w:fill="FFFFFF"/>
              </w:rPr>
              <w:t>被授权人身份证复印件（正、反两面）</w:t>
            </w:r>
          </w:p>
        </w:tc>
      </w:tr>
    </w:tbl>
    <w:p>
      <w:pPr>
        <w:pStyle w:val="14"/>
        <w:spacing w:line="440" w:lineRule="exact"/>
        <w:ind w:firstLine="480" w:firstLineChars="200"/>
        <w:rPr>
          <w:rFonts w:hint="default" w:hAnsi="宋体" w:cs="宋体"/>
          <w:color w:val="auto"/>
          <w:szCs w:val="24"/>
          <w:highlight w:val="none"/>
        </w:rPr>
      </w:pPr>
      <w:r>
        <w:rPr>
          <w:rFonts w:hAnsi="宋体" w:cs="宋体"/>
          <w:color w:val="auto"/>
          <w:szCs w:val="24"/>
          <w:highlight w:val="none"/>
        </w:rPr>
        <w:t>法定代表人直接参与投标的，无需提供此授权书。</w:t>
      </w:r>
    </w:p>
    <w:p>
      <w:pPr>
        <w:spacing w:line="360" w:lineRule="auto"/>
        <w:ind w:left="1"/>
        <w:jc w:val="center"/>
        <w:rPr>
          <w:rFonts w:ascii="宋体" w:hAnsi="宋体" w:cs="宋体"/>
          <w:b/>
          <w:color w:val="auto"/>
          <w:sz w:val="32"/>
          <w:szCs w:val="32"/>
          <w:highlight w:val="none"/>
        </w:rPr>
      </w:pPr>
    </w:p>
    <w:p>
      <w:pPr>
        <w:spacing w:line="360" w:lineRule="auto"/>
        <w:ind w:left="1"/>
        <w:jc w:val="center"/>
        <w:rPr>
          <w:rFonts w:ascii="宋体" w:hAnsi="宋体" w:cs="宋体"/>
          <w:b/>
          <w:color w:val="auto"/>
          <w:sz w:val="32"/>
          <w:szCs w:val="32"/>
          <w:highlight w:val="none"/>
        </w:rPr>
        <w:sectPr>
          <w:pgSz w:w="11906" w:h="16838"/>
          <w:pgMar w:top="1417" w:right="1644" w:bottom="1191" w:left="1757" w:header="850" w:footer="992" w:gutter="0"/>
          <w:cols w:space="0" w:num="1"/>
          <w:titlePg/>
          <w:docGrid w:linePitch="312" w:charSpace="0"/>
        </w:sectPr>
      </w:pPr>
    </w:p>
    <w:bookmarkEnd w:id="207"/>
    <w:bookmarkEnd w:id="208"/>
    <w:p>
      <w:pPr>
        <w:tabs>
          <w:tab w:val="left" w:pos="5580"/>
        </w:tabs>
        <w:spacing w:before="120" w:line="360" w:lineRule="auto"/>
        <w:outlineLvl w:val="3"/>
        <w:rPr>
          <w:rFonts w:ascii="宋体" w:hAnsi="宋体" w:cs="宋体"/>
          <w:b/>
          <w:color w:val="auto"/>
          <w:sz w:val="24"/>
          <w:highlight w:val="none"/>
        </w:rPr>
      </w:pPr>
      <w:r>
        <w:rPr>
          <w:rFonts w:hint="eastAsia" w:ascii="宋体" w:hAnsi="宋体" w:cs="宋体"/>
          <w:b/>
          <w:color w:val="auto"/>
          <w:sz w:val="24"/>
          <w:highlight w:val="none"/>
        </w:rPr>
        <w:t>②.具有良好的商业信誉和健全的财务会计制度；</w:t>
      </w:r>
    </w:p>
    <w:p>
      <w:pPr>
        <w:tabs>
          <w:tab w:val="left" w:pos="3060"/>
          <w:tab w:val="left" w:pos="5580"/>
        </w:tabs>
        <w:spacing w:before="120" w:line="360" w:lineRule="auto"/>
        <w:ind w:left="3057" w:hanging="1619"/>
        <w:rPr>
          <w:rFonts w:ascii="宋体" w:hAnsi="宋体" w:cs="宋体"/>
          <w:b/>
          <w:color w:val="auto"/>
          <w:sz w:val="24"/>
          <w:highlight w:val="none"/>
        </w:rPr>
      </w:pPr>
    </w:p>
    <w:p>
      <w:pPr>
        <w:tabs>
          <w:tab w:val="left" w:pos="3060"/>
          <w:tab w:val="left" w:pos="5580"/>
        </w:tabs>
        <w:spacing w:before="120" w:line="360" w:lineRule="auto"/>
        <w:ind w:left="3057" w:hanging="1619"/>
        <w:rPr>
          <w:rFonts w:ascii="宋体" w:hAnsi="宋体" w:cs="宋体"/>
          <w:b/>
          <w:color w:val="auto"/>
          <w:sz w:val="24"/>
          <w:highlight w:val="none"/>
        </w:rPr>
      </w:pPr>
    </w:p>
    <w:p>
      <w:pPr>
        <w:tabs>
          <w:tab w:val="left" w:pos="5580"/>
        </w:tabs>
        <w:spacing w:before="120"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p>
    <w:p>
      <w:pPr>
        <w:spacing w:line="360" w:lineRule="auto"/>
        <w:ind w:firstLine="480" w:firstLineChars="200"/>
        <w:jc w:val="left"/>
        <w:rPr>
          <w:rFonts w:ascii="宋体" w:hAnsi="宋体" w:cs="宋体"/>
          <w:color w:val="auto"/>
          <w:kern w:val="28"/>
          <w:sz w:val="24"/>
          <w:szCs w:val="24"/>
          <w:highlight w:val="none"/>
        </w:rPr>
      </w:pPr>
      <w:r>
        <w:rPr>
          <w:rFonts w:hint="eastAsia" w:ascii="宋体" w:hAnsi="宋体" w:cs="宋体"/>
          <w:color w:val="auto"/>
          <w:kern w:val="28"/>
          <w:sz w:val="24"/>
          <w:szCs w:val="24"/>
          <w:highlight w:val="none"/>
        </w:rPr>
        <w:t>1、提供2021年度经审计的财务报告（至少包括资产负债表、利润表、现金流量表及其附注，成立时间至提交竞争性谈判响应文件截止时间不足一年的可提供成立后任意时段的资产负债表）或其基本存款账户开户银行开具的资信证明（如基本户银行不具备开具资信证明条件，由其上级部门开具，供应商应附相关说明）。</w:t>
      </w:r>
    </w:p>
    <w:p>
      <w:pPr>
        <w:spacing w:line="360" w:lineRule="auto"/>
        <w:ind w:firstLine="480" w:firstLineChars="200"/>
        <w:jc w:val="left"/>
        <w:rPr>
          <w:rFonts w:ascii="宋体" w:hAnsi="宋体" w:cs="宋体"/>
          <w:color w:val="auto"/>
          <w:kern w:val="28"/>
          <w:sz w:val="24"/>
          <w:szCs w:val="24"/>
          <w:highlight w:val="none"/>
        </w:rPr>
      </w:pPr>
      <w:r>
        <w:rPr>
          <w:rFonts w:hint="eastAsia" w:ascii="宋体" w:hAnsi="宋体" w:cs="宋体"/>
          <w:color w:val="auto"/>
          <w:kern w:val="28"/>
          <w:sz w:val="24"/>
          <w:szCs w:val="24"/>
          <w:highlight w:val="none"/>
        </w:rPr>
        <w:t>2、信用记录</w:t>
      </w:r>
    </w:p>
    <w:p>
      <w:pPr>
        <w:spacing w:line="360" w:lineRule="auto"/>
        <w:ind w:firstLine="480" w:firstLineChars="200"/>
        <w:jc w:val="left"/>
        <w:rPr>
          <w:rFonts w:ascii="宋体" w:hAnsi="宋体" w:cs="宋体"/>
          <w:b/>
          <w:color w:val="auto"/>
          <w:sz w:val="24"/>
          <w:highlight w:val="none"/>
        </w:rPr>
        <w:sectPr>
          <w:pgSz w:w="11906" w:h="16838"/>
          <w:pgMar w:top="1417" w:right="1644" w:bottom="1191" w:left="1757" w:header="850" w:footer="992" w:gutter="0"/>
          <w:cols w:space="0" w:num="1"/>
          <w:titlePg/>
          <w:docGrid w:linePitch="312" w:charSpace="0"/>
        </w:sectPr>
      </w:pPr>
      <w:r>
        <w:rPr>
          <w:rFonts w:hint="eastAsia" w:ascii="宋体" w:hAnsi="宋体" w:cs="宋体"/>
          <w:color w:val="auto"/>
          <w:kern w:val="28"/>
          <w:sz w:val="24"/>
          <w:szCs w:val="24"/>
          <w:highlight w:val="none"/>
        </w:rPr>
        <w:t>通过“信用中国”网站（www.creditchina.gov.cn）和中国政府采购网（www.ccgp.gov.cn）查询供应商信用记录，被列入失信被执行人、重大税收违法案件当事人名单、政府采购严重违法失信行为记录名单的单位将被拒绝参与本项目谈判。</w:t>
      </w:r>
    </w:p>
    <w:p>
      <w:pPr>
        <w:tabs>
          <w:tab w:val="left" w:pos="5580"/>
        </w:tabs>
        <w:spacing w:before="120" w:line="360" w:lineRule="auto"/>
        <w:outlineLvl w:val="3"/>
        <w:rPr>
          <w:rFonts w:ascii="宋体" w:hAnsi="宋体" w:cs="宋体"/>
          <w:b/>
          <w:color w:val="auto"/>
          <w:sz w:val="24"/>
          <w:highlight w:val="none"/>
        </w:rPr>
      </w:pPr>
      <w:r>
        <w:rPr>
          <w:rFonts w:hint="eastAsia" w:ascii="宋体" w:hAnsi="宋体" w:cs="宋体"/>
          <w:b/>
          <w:color w:val="auto"/>
          <w:sz w:val="24"/>
          <w:highlight w:val="none"/>
        </w:rPr>
        <w:t>③.具有履行合同所必需的设备和专业技术能力；</w:t>
      </w:r>
    </w:p>
    <w:p>
      <w:pPr>
        <w:spacing w:line="360" w:lineRule="auto"/>
        <w:rPr>
          <w:rFonts w:ascii="宋体" w:hAnsi="宋体" w:cs="宋体"/>
          <w:color w:val="auto"/>
          <w:spacing w:val="4"/>
          <w:sz w:val="24"/>
          <w:highlight w:val="none"/>
          <w:u w:val="single"/>
        </w:rPr>
      </w:pPr>
    </w:p>
    <w:p>
      <w:pPr>
        <w:spacing w:line="360" w:lineRule="auto"/>
        <w:jc w:val="center"/>
        <w:rPr>
          <w:rFonts w:ascii="宋体" w:hAnsi="宋体" w:cs="宋体"/>
          <w:color w:val="auto"/>
          <w:spacing w:val="4"/>
          <w:sz w:val="24"/>
          <w:highlight w:val="none"/>
        </w:rPr>
      </w:pPr>
      <w:r>
        <w:rPr>
          <w:rFonts w:hint="eastAsia" w:ascii="宋体" w:hAnsi="宋体" w:cs="宋体"/>
          <w:b/>
          <w:color w:val="auto"/>
          <w:sz w:val="24"/>
          <w:highlight w:val="none"/>
        </w:rPr>
        <w:t>具有履行合同所必需的设备和专业技术能力的承诺函</w:t>
      </w:r>
    </w:p>
    <w:p>
      <w:pPr>
        <w:spacing w:line="360" w:lineRule="auto"/>
        <w:rPr>
          <w:rFonts w:ascii="宋体" w:hAnsi="宋体" w:cs="宋体"/>
          <w:color w:val="auto"/>
          <w:spacing w:val="4"/>
          <w:sz w:val="24"/>
          <w:highlight w:val="none"/>
          <w:u w:val="single"/>
        </w:rPr>
      </w:pPr>
      <w:r>
        <w:rPr>
          <w:rFonts w:hint="eastAsia" w:ascii="宋体" w:hAnsi="宋体" w:cs="宋体"/>
          <w:color w:val="auto"/>
          <w:spacing w:val="4"/>
          <w:sz w:val="24"/>
          <w:highlight w:val="none"/>
        </w:rPr>
        <w:t>致：</w:t>
      </w:r>
      <w:r>
        <w:rPr>
          <w:rFonts w:hint="eastAsia" w:ascii="宋体" w:hAnsi="宋体" w:cs="宋体"/>
          <w:color w:val="auto"/>
          <w:spacing w:val="4"/>
          <w:sz w:val="24"/>
          <w:highlight w:val="none"/>
          <w:u w:val="single"/>
        </w:rPr>
        <w:t xml:space="preserve">     （采购人名称）   </w:t>
      </w:r>
      <w:r>
        <w:rPr>
          <w:rFonts w:hint="eastAsia" w:ascii="宋体" w:hAnsi="宋体" w:cs="宋体"/>
          <w:color w:val="auto"/>
          <w:spacing w:val="4"/>
          <w:sz w:val="24"/>
          <w:highlight w:val="none"/>
        </w:rPr>
        <w:t>：</w:t>
      </w:r>
    </w:p>
    <w:p>
      <w:pPr>
        <w:spacing w:beforeLines="100" w:afterLines="50" w:line="360" w:lineRule="auto"/>
        <w:ind w:firstLine="496" w:firstLineChars="200"/>
        <w:rPr>
          <w:rFonts w:ascii="宋体" w:hAnsi="宋体" w:cs="宋体"/>
          <w:color w:val="auto"/>
          <w:spacing w:val="4"/>
          <w:sz w:val="24"/>
          <w:highlight w:val="none"/>
        </w:rPr>
      </w:pPr>
      <w:r>
        <w:rPr>
          <w:rFonts w:hint="eastAsia" w:ascii="宋体" w:hAnsi="宋体" w:cs="宋体"/>
          <w:color w:val="auto"/>
          <w:spacing w:val="4"/>
          <w:sz w:val="24"/>
          <w:highlight w:val="none"/>
          <w:u w:val="single"/>
        </w:rPr>
        <w:t>（公司或其他组织）</w:t>
      </w:r>
      <w:r>
        <w:rPr>
          <w:rFonts w:hint="eastAsia" w:ascii="宋体" w:hAnsi="宋体" w:cs="宋体"/>
          <w:color w:val="auto"/>
          <w:spacing w:val="4"/>
          <w:sz w:val="24"/>
          <w:highlight w:val="none"/>
        </w:rPr>
        <w:t>于</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年</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月</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日在中华人民共和国境内</w:t>
      </w:r>
      <w:r>
        <w:rPr>
          <w:rFonts w:hint="eastAsia" w:ascii="宋体" w:hAnsi="宋体" w:cs="宋体"/>
          <w:color w:val="auto"/>
          <w:spacing w:val="4"/>
          <w:sz w:val="24"/>
          <w:highlight w:val="none"/>
          <w:u w:val="single"/>
        </w:rPr>
        <w:t>（详细注册地址）</w:t>
      </w:r>
      <w:r>
        <w:rPr>
          <w:rFonts w:hint="eastAsia" w:ascii="宋体" w:hAnsi="宋体" w:cs="宋体"/>
          <w:color w:val="auto"/>
          <w:spacing w:val="4"/>
          <w:sz w:val="24"/>
          <w:highlight w:val="none"/>
        </w:rPr>
        <w:t>合法注册并经营，公司主营业务为</w:t>
      </w:r>
      <w:r>
        <w:rPr>
          <w:rFonts w:hint="eastAsia" w:ascii="宋体" w:hAnsi="宋体" w:cs="宋体"/>
          <w:color w:val="auto"/>
          <w:spacing w:val="4"/>
          <w:sz w:val="24"/>
          <w:highlight w:val="none"/>
          <w:u w:val="single"/>
        </w:rPr>
        <w:t>（）</w:t>
      </w:r>
      <w:r>
        <w:rPr>
          <w:rFonts w:hint="eastAsia" w:ascii="宋体" w:hAnsi="宋体" w:cs="宋体"/>
          <w:color w:val="auto"/>
          <w:spacing w:val="4"/>
          <w:sz w:val="24"/>
          <w:highlight w:val="none"/>
        </w:rPr>
        <w:t>，营业（生产经营）面积为</w:t>
      </w:r>
      <w:r>
        <w:rPr>
          <w:rFonts w:hint="eastAsia" w:ascii="宋体" w:hAnsi="宋体" w:cs="宋体"/>
          <w:color w:val="auto"/>
          <w:spacing w:val="4"/>
          <w:sz w:val="24"/>
          <w:highlight w:val="none"/>
          <w:u w:val="single"/>
        </w:rPr>
        <w:t>（）</w:t>
      </w:r>
      <w:r>
        <w:rPr>
          <w:rFonts w:hint="eastAsia" w:ascii="宋体" w:hAnsi="宋体" w:cs="宋体"/>
          <w:color w:val="auto"/>
          <w:spacing w:val="4"/>
          <w:sz w:val="24"/>
          <w:highlight w:val="none"/>
        </w:rPr>
        <w:t>。主要设备有</w:t>
      </w:r>
      <w:r>
        <w:rPr>
          <w:rFonts w:hint="eastAsia" w:ascii="宋体" w:hAnsi="宋体" w:cs="宋体"/>
          <w:color w:val="auto"/>
          <w:spacing w:val="4"/>
          <w:sz w:val="24"/>
          <w:highlight w:val="none"/>
          <w:u w:val="single"/>
        </w:rPr>
        <w:t>（品种、数量）</w:t>
      </w:r>
      <w:r>
        <w:rPr>
          <w:rFonts w:hint="eastAsia" w:ascii="宋体" w:hAnsi="宋体" w:cs="宋体"/>
          <w:color w:val="auto"/>
          <w:spacing w:val="4"/>
          <w:sz w:val="24"/>
          <w:highlight w:val="none"/>
        </w:rPr>
        <w:t>，其中用于履行本合同所必需的设备有</w:t>
      </w:r>
      <w:r>
        <w:rPr>
          <w:rFonts w:hint="eastAsia" w:ascii="宋体" w:hAnsi="宋体" w:cs="宋体"/>
          <w:color w:val="auto"/>
          <w:spacing w:val="4"/>
          <w:sz w:val="24"/>
          <w:highlight w:val="none"/>
          <w:u w:val="single"/>
        </w:rPr>
        <w:t>（ 品种、数量）</w:t>
      </w:r>
      <w:r>
        <w:rPr>
          <w:rFonts w:hint="eastAsia" w:ascii="宋体" w:hAnsi="宋体" w:cs="宋体"/>
          <w:color w:val="auto"/>
          <w:spacing w:val="4"/>
          <w:sz w:val="24"/>
          <w:highlight w:val="none"/>
        </w:rPr>
        <w:t>；现有员工数量为</w:t>
      </w:r>
      <w:r>
        <w:rPr>
          <w:rFonts w:hint="eastAsia" w:ascii="宋体" w:hAnsi="宋体" w:cs="宋体"/>
          <w:color w:val="auto"/>
          <w:spacing w:val="4"/>
          <w:sz w:val="24"/>
          <w:highlight w:val="none"/>
          <w:u w:val="single"/>
        </w:rPr>
        <w:t>（）</w:t>
      </w:r>
      <w:r>
        <w:rPr>
          <w:rFonts w:hint="eastAsia" w:ascii="宋体" w:hAnsi="宋体" w:cs="宋体"/>
          <w:color w:val="auto"/>
          <w:spacing w:val="4"/>
          <w:sz w:val="24"/>
          <w:highlight w:val="none"/>
        </w:rPr>
        <w:t>，其中与履行本合同相关的专业技术人员有</w:t>
      </w:r>
      <w:r>
        <w:rPr>
          <w:rFonts w:hint="eastAsia" w:ascii="宋体" w:hAnsi="宋体" w:cs="宋体"/>
          <w:color w:val="auto"/>
          <w:spacing w:val="4"/>
          <w:sz w:val="24"/>
          <w:highlight w:val="none"/>
          <w:u w:val="single"/>
        </w:rPr>
        <w:t>（专业能力、数量）</w:t>
      </w:r>
      <w:r>
        <w:rPr>
          <w:rFonts w:hint="eastAsia" w:ascii="宋体" w:hAnsi="宋体" w:cs="宋体"/>
          <w:color w:val="auto"/>
          <w:spacing w:val="4"/>
          <w:sz w:val="24"/>
          <w:highlight w:val="none"/>
        </w:rPr>
        <w:t>，本单位郑重承诺，具有履行本合同所必需的设备和专业技术能力。</w:t>
      </w:r>
    </w:p>
    <w:p>
      <w:pPr>
        <w:spacing w:beforeLines="100" w:afterLines="50" w:line="360" w:lineRule="auto"/>
        <w:ind w:firstLine="170"/>
        <w:rPr>
          <w:rFonts w:ascii="宋体" w:hAnsi="宋体" w:cs="宋体"/>
          <w:color w:val="auto"/>
          <w:spacing w:val="4"/>
          <w:sz w:val="24"/>
          <w:highlight w:val="none"/>
        </w:rPr>
      </w:pPr>
    </w:p>
    <w:p>
      <w:pPr>
        <w:spacing w:beforeLines="100" w:afterLines="50" w:line="360" w:lineRule="auto"/>
        <w:ind w:firstLine="2480" w:firstLineChars="1000"/>
        <w:jc w:val="left"/>
        <w:rPr>
          <w:rFonts w:ascii="宋体" w:hAnsi="宋体" w:cs="宋体"/>
          <w:color w:val="auto"/>
          <w:spacing w:val="14"/>
          <w:kern w:val="0"/>
          <w:sz w:val="24"/>
          <w:highlight w:val="none"/>
        </w:rPr>
      </w:pPr>
      <w:r>
        <w:rPr>
          <w:rFonts w:hint="eastAsia" w:ascii="宋体" w:hAnsi="宋体" w:cs="宋体"/>
          <w:color w:val="auto"/>
          <w:spacing w:val="4"/>
          <w:sz w:val="24"/>
          <w:highlight w:val="none"/>
        </w:rPr>
        <w:t>供应商名称（盖章）：</w:t>
      </w:r>
      <w:r>
        <w:rPr>
          <w:rFonts w:hint="eastAsia" w:ascii="宋体" w:hAnsi="宋体" w:cs="宋体"/>
          <w:color w:val="auto"/>
          <w:spacing w:val="14"/>
          <w:kern w:val="0"/>
          <w:sz w:val="24"/>
          <w:highlight w:val="none"/>
          <w:u w:val="single"/>
        </w:rPr>
        <w:t xml:space="preserve">（单位全称） </w:t>
      </w:r>
      <w:r>
        <w:rPr>
          <w:rFonts w:hint="eastAsia" w:ascii="宋体" w:hAnsi="宋体" w:cs="宋体"/>
          <w:color w:val="auto"/>
          <w:sz w:val="24"/>
          <w:highlight w:val="none"/>
          <w:u w:val="single"/>
        </w:rPr>
        <w:t xml:space="preserve">                                             </w:t>
      </w:r>
      <w:r>
        <w:rPr>
          <w:rFonts w:hint="eastAsia" w:ascii="宋体" w:hAnsi="宋体" w:cs="宋体"/>
          <w:color w:val="auto"/>
          <w:spacing w:val="14"/>
          <w:kern w:val="0"/>
          <w:sz w:val="24"/>
          <w:highlight w:val="none"/>
          <w:u w:val="single"/>
        </w:rPr>
        <w:t xml:space="preserve">      </w:t>
      </w:r>
    </w:p>
    <w:p>
      <w:pPr>
        <w:spacing w:beforeLines="100" w:afterLines="50" w:line="360" w:lineRule="auto"/>
        <w:ind w:firstLine="2520" w:firstLineChars="1050"/>
        <w:jc w:val="left"/>
        <w:rPr>
          <w:rFonts w:ascii="宋体" w:hAnsi="宋体" w:cs="宋体"/>
          <w:color w:val="auto"/>
          <w:spacing w:val="4"/>
          <w:sz w:val="24"/>
          <w:highlight w:val="none"/>
        </w:rPr>
      </w:pPr>
      <w:r>
        <w:rPr>
          <w:rFonts w:hint="eastAsia" w:ascii="宋体" w:hAnsi="宋体" w:cs="宋体"/>
          <w:color w:val="auto"/>
          <w:kern w:val="0"/>
          <w:sz w:val="24"/>
          <w:highlight w:val="none"/>
        </w:rPr>
        <w:t>法定代表人或委托代理人（签字或盖章）：</w:t>
      </w:r>
      <w:r>
        <w:rPr>
          <w:rFonts w:hint="eastAsia" w:ascii="宋体" w:hAnsi="宋体" w:cs="宋体"/>
          <w:color w:val="auto"/>
          <w:sz w:val="24"/>
          <w:highlight w:val="none"/>
          <w:u w:val="single"/>
        </w:rPr>
        <w:t xml:space="preserve">                                             </w:t>
      </w:r>
    </w:p>
    <w:p>
      <w:pPr>
        <w:spacing w:beforeLines="100" w:afterLines="50" w:line="360" w:lineRule="auto"/>
        <w:ind w:firstLine="170"/>
        <w:rPr>
          <w:rFonts w:ascii="宋体" w:hAnsi="宋体" w:cs="宋体"/>
          <w:color w:val="auto"/>
          <w:spacing w:val="4"/>
          <w:sz w:val="24"/>
          <w:highlight w:val="none"/>
        </w:rPr>
      </w:pPr>
      <w:r>
        <w:rPr>
          <w:rFonts w:hint="eastAsia" w:ascii="宋体" w:hAnsi="宋体" w:cs="宋体"/>
          <w:color w:val="auto"/>
          <w:spacing w:val="4"/>
          <w:sz w:val="24"/>
          <w:highlight w:val="none"/>
        </w:rPr>
        <w:t xml:space="preserve">                                         日期：   年     月    日</w:t>
      </w:r>
    </w:p>
    <w:p>
      <w:pPr>
        <w:tabs>
          <w:tab w:val="left" w:pos="5580"/>
        </w:tabs>
        <w:spacing w:before="120" w:line="360" w:lineRule="auto"/>
        <w:outlineLvl w:val="3"/>
        <w:rPr>
          <w:rFonts w:ascii="宋体" w:hAnsi="宋体" w:cs="宋体"/>
          <w:b/>
          <w:color w:val="auto"/>
          <w:sz w:val="24"/>
          <w:highlight w:val="none"/>
        </w:rPr>
        <w:sectPr>
          <w:pgSz w:w="11906" w:h="16838"/>
          <w:pgMar w:top="1417" w:right="1644" w:bottom="1191" w:left="1757" w:header="850" w:footer="992" w:gutter="0"/>
          <w:cols w:space="0" w:num="1"/>
          <w:titlePg/>
          <w:docGrid w:linePitch="312" w:charSpace="0"/>
        </w:sectPr>
      </w:pPr>
    </w:p>
    <w:bookmarkEnd w:id="209"/>
    <w:bookmarkEnd w:id="210"/>
    <w:p>
      <w:pPr>
        <w:tabs>
          <w:tab w:val="left" w:pos="5580"/>
        </w:tabs>
        <w:spacing w:before="120" w:line="360" w:lineRule="auto"/>
        <w:outlineLvl w:val="3"/>
        <w:rPr>
          <w:rFonts w:ascii="宋体" w:hAnsi="宋体" w:cs="宋体"/>
          <w:b/>
          <w:color w:val="auto"/>
          <w:szCs w:val="24"/>
          <w:highlight w:val="none"/>
        </w:rPr>
      </w:pPr>
      <w:r>
        <w:rPr>
          <w:rFonts w:hint="eastAsia" w:ascii="宋体" w:hAnsi="宋体" w:cs="宋体"/>
          <w:b/>
          <w:color w:val="auto"/>
          <w:sz w:val="24"/>
          <w:highlight w:val="none"/>
        </w:rPr>
        <w:t>④.有依法缴纳税收和社会保障资金的良好记录；</w:t>
      </w:r>
    </w:p>
    <w:p>
      <w:pPr>
        <w:spacing w:before="120" w:line="360" w:lineRule="auto"/>
        <w:rPr>
          <w:rFonts w:ascii="宋体" w:hAnsi="宋体" w:cs="宋体"/>
          <w:color w:val="auto"/>
          <w:sz w:val="24"/>
          <w:highlight w:val="none"/>
        </w:rPr>
      </w:pPr>
    </w:p>
    <w:p>
      <w:pPr>
        <w:spacing w:before="120"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说明：</w:t>
      </w:r>
    </w:p>
    <w:p>
      <w:pPr>
        <w:pStyle w:val="23"/>
        <w:spacing w:line="360" w:lineRule="auto"/>
        <w:rPr>
          <w:rFonts w:ascii="宋体" w:hAnsi="宋体" w:cs="宋体"/>
          <w:color w:val="auto"/>
          <w:sz w:val="24"/>
          <w:highlight w:val="none"/>
        </w:rPr>
      </w:pPr>
      <w:r>
        <w:rPr>
          <w:rFonts w:hint="eastAsia" w:ascii="宋体" w:hAnsi="宋体" w:cs="宋体"/>
          <w:color w:val="auto"/>
          <w:sz w:val="24"/>
          <w:highlight w:val="none"/>
        </w:rPr>
        <w:t>1、有依法缴纳税收和社会保障资金的良好记录</w:t>
      </w:r>
      <w:r>
        <w:rPr>
          <w:rFonts w:hint="eastAsia" w:ascii="宋体" w:hAnsi="宋体" w:cs="宋体"/>
          <w:color w:val="auto"/>
          <w:sz w:val="24"/>
          <w:highlight w:val="none"/>
        </w:rPr>
        <w:tab/>
      </w:r>
      <w:r>
        <w:rPr>
          <w:rFonts w:hint="eastAsia" w:ascii="宋体" w:hAnsi="宋体" w:cs="宋体"/>
          <w:color w:val="auto"/>
          <w:sz w:val="24"/>
          <w:highlight w:val="none"/>
        </w:rPr>
        <w:t>1、税收缴纳证明：提供供应商2022年9月1日至今任意1个月已缴纳税收凭证或税务机关开具的完税证明（任意税种）；</w:t>
      </w:r>
    </w:p>
    <w:p>
      <w:pPr>
        <w:pStyle w:val="23"/>
        <w:spacing w:line="360" w:lineRule="auto"/>
        <w:rPr>
          <w:rFonts w:ascii="宋体" w:hAnsi="宋体" w:cs="宋体"/>
          <w:color w:val="auto"/>
          <w:sz w:val="24"/>
          <w:highlight w:val="none"/>
        </w:rPr>
      </w:pPr>
      <w:r>
        <w:rPr>
          <w:rFonts w:hint="eastAsia" w:ascii="宋体" w:hAnsi="宋体" w:cs="宋体"/>
          <w:color w:val="auto"/>
          <w:sz w:val="24"/>
          <w:highlight w:val="none"/>
        </w:rPr>
        <w:t>2、社会保障资金缴纳证明：提供供应商2022年9月1日至今任意1个月已缴纳的社会保障资金缴存单据或社保机构开具的社会保险参保缴费情况证明；</w:t>
      </w:r>
    </w:p>
    <w:p>
      <w:pPr>
        <w:pStyle w:val="23"/>
        <w:spacing w:line="360" w:lineRule="auto"/>
        <w:rPr>
          <w:rFonts w:ascii="宋体" w:hAnsi="宋体" w:cs="宋体"/>
          <w:color w:val="auto"/>
          <w:sz w:val="24"/>
          <w:highlight w:val="none"/>
        </w:rPr>
      </w:pPr>
      <w:r>
        <w:rPr>
          <w:rFonts w:hint="eastAsia" w:ascii="宋体" w:hAnsi="宋体" w:cs="宋体"/>
          <w:color w:val="auto"/>
          <w:sz w:val="24"/>
          <w:highlight w:val="none"/>
        </w:rPr>
        <w:t>3、依法免税的应提供相关文件证明；依法不需要缴纳社会保障资金的应提供相关文件证明。。</w:t>
      </w:r>
    </w:p>
    <w:p>
      <w:pPr>
        <w:pStyle w:val="23"/>
        <w:rPr>
          <w:rFonts w:ascii="宋体" w:hAnsi="宋体" w:cs="宋体"/>
          <w:color w:val="auto"/>
          <w:sz w:val="24"/>
          <w:highlight w:val="none"/>
        </w:rPr>
      </w:pPr>
    </w:p>
    <w:p>
      <w:pPr>
        <w:pStyle w:val="23"/>
        <w:rPr>
          <w:rFonts w:ascii="宋体" w:hAnsi="宋体" w:cs="宋体"/>
          <w:color w:val="auto"/>
          <w:sz w:val="24"/>
          <w:highlight w:val="none"/>
        </w:rPr>
      </w:pPr>
    </w:p>
    <w:p>
      <w:pPr>
        <w:pStyle w:val="23"/>
        <w:rPr>
          <w:rFonts w:ascii="宋体" w:hAnsi="宋体" w:cs="宋体"/>
          <w:color w:val="auto"/>
          <w:sz w:val="24"/>
          <w:highlight w:val="none"/>
        </w:rPr>
      </w:pPr>
    </w:p>
    <w:p>
      <w:pPr>
        <w:pStyle w:val="23"/>
        <w:rPr>
          <w:rFonts w:ascii="宋体" w:hAnsi="宋体" w:cs="宋体"/>
          <w:color w:val="auto"/>
          <w:sz w:val="24"/>
          <w:highlight w:val="none"/>
        </w:rPr>
      </w:pPr>
    </w:p>
    <w:p>
      <w:pPr>
        <w:pStyle w:val="23"/>
        <w:rPr>
          <w:rFonts w:ascii="宋体" w:hAnsi="宋体" w:cs="宋体"/>
          <w:color w:val="auto"/>
          <w:sz w:val="24"/>
          <w:highlight w:val="none"/>
        </w:rPr>
      </w:pPr>
    </w:p>
    <w:p>
      <w:pPr>
        <w:tabs>
          <w:tab w:val="left" w:pos="5580"/>
        </w:tabs>
        <w:spacing w:before="120" w:line="360" w:lineRule="auto"/>
        <w:outlineLvl w:val="3"/>
        <w:rPr>
          <w:rFonts w:ascii="宋体" w:hAnsi="宋体" w:cs="宋体"/>
          <w:b/>
          <w:color w:val="auto"/>
          <w:sz w:val="24"/>
          <w:highlight w:val="none"/>
        </w:rPr>
        <w:sectPr>
          <w:pgSz w:w="11906" w:h="16838"/>
          <w:pgMar w:top="1417" w:right="1644" w:bottom="1191" w:left="1757" w:header="850" w:footer="992" w:gutter="0"/>
          <w:cols w:space="0" w:num="1"/>
          <w:titlePg/>
          <w:docGrid w:linePitch="312" w:charSpace="0"/>
        </w:sectPr>
      </w:pPr>
      <w:bookmarkStart w:id="211" w:name="_Toc519085757"/>
      <w:bookmarkStart w:id="212" w:name="_Toc14151"/>
    </w:p>
    <w:p>
      <w:pPr>
        <w:tabs>
          <w:tab w:val="left" w:pos="5580"/>
        </w:tabs>
        <w:spacing w:before="120" w:line="360" w:lineRule="auto"/>
        <w:outlineLvl w:val="3"/>
        <w:rPr>
          <w:rFonts w:ascii="宋体" w:hAnsi="宋体" w:cs="宋体"/>
          <w:b/>
          <w:color w:val="auto"/>
          <w:sz w:val="24"/>
          <w:highlight w:val="none"/>
        </w:rPr>
      </w:pPr>
      <w:r>
        <w:rPr>
          <w:rFonts w:hint="eastAsia" w:ascii="宋体" w:hAnsi="宋体" w:cs="宋体"/>
          <w:b/>
          <w:color w:val="auto"/>
          <w:sz w:val="24"/>
          <w:highlight w:val="none"/>
        </w:rPr>
        <w:t>⑤.近三年内，在经营活动中没有重大违法记录；</w:t>
      </w:r>
    </w:p>
    <w:p>
      <w:pPr>
        <w:spacing w:before="120" w:line="360" w:lineRule="auto"/>
        <w:jc w:val="center"/>
        <w:rPr>
          <w:rFonts w:ascii="宋体" w:hAnsi="宋体" w:cs="宋体"/>
          <w:b/>
          <w:color w:val="auto"/>
          <w:sz w:val="24"/>
          <w:highlight w:val="none"/>
        </w:rPr>
      </w:pPr>
    </w:p>
    <w:p>
      <w:pPr>
        <w:spacing w:line="360" w:lineRule="auto"/>
        <w:ind w:left="1"/>
        <w:jc w:val="center"/>
        <w:rPr>
          <w:rFonts w:ascii="宋体" w:hAnsi="宋体" w:cs="宋体"/>
          <w:b/>
          <w:color w:val="auto"/>
          <w:sz w:val="28"/>
          <w:szCs w:val="28"/>
          <w:highlight w:val="none"/>
        </w:rPr>
      </w:pPr>
      <w:r>
        <w:rPr>
          <w:rFonts w:hint="eastAsia" w:ascii="宋体" w:hAnsi="宋体" w:cs="宋体"/>
          <w:b/>
          <w:color w:val="auto"/>
          <w:sz w:val="28"/>
          <w:szCs w:val="28"/>
          <w:highlight w:val="none"/>
        </w:rPr>
        <w:t>供应商无重大违法记录的书面声明格式</w:t>
      </w:r>
    </w:p>
    <w:p>
      <w:pPr>
        <w:spacing w:line="360" w:lineRule="auto"/>
        <w:rPr>
          <w:rFonts w:ascii="宋体" w:hAnsi="宋体" w:cs="宋体"/>
          <w:b/>
          <w:color w:val="auto"/>
          <w:spacing w:val="4"/>
          <w:sz w:val="24"/>
          <w:highlight w:val="none"/>
          <w:u w:val="single"/>
        </w:rPr>
      </w:pPr>
    </w:p>
    <w:p>
      <w:pPr>
        <w:spacing w:line="480" w:lineRule="auto"/>
        <w:rPr>
          <w:rFonts w:ascii="宋体" w:hAnsi="宋体" w:cs="宋体"/>
          <w:color w:val="auto"/>
          <w:spacing w:val="4"/>
          <w:sz w:val="24"/>
          <w:highlight w:val="none"/>
          <w:u w:val="single"/>
        </w:rPr>
      </w:pPr>
      <w:r>
        <w:rPr>
          <w:rFonts w:hint="eastAsia" w:ascii="宋体" w:hAnsi="宋体" w:cs="宋体"/>
          <w:color w:val="auto"/>
          <w:spacing w:val="4"/>
          <w:sz w:val="24"/>
          <w:highlight w:val="none"/>
        </w:rPr>
        <w:t>致：</w:t>
      </w:r>
      <w:r>
        <w:rPr>
          <w:rFonts w:hint="eastAsia" w:ascii="宋体" w:hAnsi="宋体" w:cs="宋体"/>
          <w:color w:val="auto"/>
          <w:spacing w:val="4"/>
          <w:sz w:val="24"/>
          <w:highlight w:val="none"/>
          <w:u w:val="single"/>
        </w:rPr>
        <w:t xml:space="preserve">     （采购人名称）    </w:t>
      </w:r>
      <w:r>
        <w:rPr>
          <w:rFonts w:hint="eastAsia" w:ascii="宋体" w:hAnsi="宋体" w:cs="宋体"/>
          <w:color w:val="auto"/>
          <w:spacing w:val="4"/>
          <w:sz w:val="24"/>
          <w:highlight w:val="none"/>
        </w:rPr>
        <w:t>：</w:t>
      </w:r>
    </w:p>
    <w:p>
      <w:pPr>
        <w:spacing w:line="480" w:lineRule="auto"/>
        <w:ind w:firstLine="496" w:firstLineChars="200"/>
        <w:rPr>
          <w:rFonts w:ascii="宋体" w:hAnsi="宋体" w:cs="宋体"/>
          <w:color w:val="auto"/>
          <w:spacing w:val="4"/>
          <w:sz w:val="24"/>
          <w:highlight w:val="none"/>
        </w:rPr>
      </w:pPr>
      <w:r>
        <w:rPr>
          <w:rFonts w:hint="eastAsia" w:ascii="宋体" w:hAnsi="宋体" w:cs="宋体"/>
          <w:color w:val="auto"/>
          <w:spacing w:val="4"/>
          <w:sz w:val="24"/>
          <w:highlight w:val="none"/>
        </w:rPr>
        <w:t>（</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公司）为在中华人民共和国境内合法注册并经营的机构。在此郑重声明，我公司在参与本次政府采购活动前3年内在经营活动中没有重大违法记录。</w:t>
      </w:r>
    </w:p>
    <w:p>
      <w:pPr>
        <w:spacing w:line="480" w:lineRule="auto"/>
        <w:ind w:firstLine="496" w:firstLineChars="200"/>
        <w:rPr>
          <w:rFonts w:ascii="宋体" w:hAnsi="宋体" w:cs="宋体"/>
          <w:color w:val="auto"/>
          <w:spacing w:val="4"/>
          <w:sz w:val="24"/>
          <w:highlight w:val="none"/>
        </w:rPr>
      </w:pPr>
    </w:p>
    <w:p>
      <w:pPr>
        <w:spacing w:line="480" w:lineRule="auto"/>
        <w:ind w:firstLine="496" w:firstLineChars="200"/>
        <w:rPr>
          <w:rFonts w:ascii="宋体" w:hAnsi="宋体" w:cs="宋体"/>
          <w:color w:val="auto"/>
          <w:spacing w:val="4"/>
          <w:sz w:val="24"/>
          <w:highlight w:val="none"/>
        </w:rPr>
      </w:pPr>
    </w:p>
    <w:p>
      <w:pPr>
        <w:spacing w:beforeLines="100" w:afterLines="50" w:line="360" w:lineRule="auto"/>
        <w:ind w:firstLine="2480" w:firstLineChars="1000"/>
        <w:jc w:val="left"/>
        <w:rPr>
          <w:rFonts w:ascii="宋体" w:hAnsi="宋体" w:cs="宋体"/>
          <w:color w:val="auto"/>
          <w:spacing w:val="14"/>
          <w:kern w:val="0"/>
          <w:sz w:val="24"/>
          <w:highlight w:val="none"/>
        </w:rPr>
      </w:pPr>
      <w:r>
        <w:rPr>
          <w:rFonts w:hint="eastAsia" w:ascii="宋体" w:hAnsi="宋体" w:cs="宋体"/>
          <w:color w:val="auto"/>
          <w:spacing w:val="4"/>
          <w:sz w:val="24"/>
          <w:highlight w:val="none"/>
        </w:rPr>
        <w:t>供应商名称（盖章）：</w:t>
      </w:r>
      <w:r>
        <w:rPr>
          <w:rFonts w:hint="eastAsia" w:ascii="宋体" w:hAnsi="宋体" w:cs="宋体"/>
          <w:color w:val="auto"/>
          <w:spacing w:val="14"/>
          <w:kern w:val="0"/>
          <w:sz w:val="24"/>
          <w:highlight w:val="none"/>
          <w:u w:val="single"/>
        </w:rPr>
        <w:t xml:space="preserve">（单位全称） </w:t>
      </w:r>
      <w:r>
        <w:rPr>
          <w:rFonts w:hint="eastAsia" w:ascii="宋体" w:hAnsi="宋体" w:cs="宋体"/>
          <w:color w:val="auto"/>
          <w:sz w:val="24"/>
          <w:highlight w:val="none"/>
          <w:u w:val="single"/>
        </w:rPr>
        <w:t xml:space="preserve">                                             </w:t>
      </w:r>
      <w:r>
        <w:rPr>
          <w:rFonts w:hint="eastAsia" w:ascii="宋体" w:hAnsi="宋体" w:cs="宋体"/>
          <w:color w:val="auto"/>
          <w:spacing w:val="14"/>
          <w:kern w:val="0"/>
          <w:sz w:val="24"/>
          <w:highlight w:val="none"/>
          <w:u w:val="single"/>
        </w:rPr>
        <w:t xml:space="preserve">      </w:t>
      </w:r>
    </w:p>
    <w:p>
      <w:pPr>
        <w:spacing w:beforeLines="100" w:afterLines="50" w:line="360" w:lineRule="auto"/>
        <w:ind w:firstLine="2520" w:firstLineChars="1050"/>
        <w:jc w:val="left"/>
        <w:rPr>
          <w:rFonts w:ascii="宋体" w:hAnsi="宋体" w:cs="宋体"/>
          <w:color w:val="auto"/>
          <w:spacing w:val="4"/>
          <w:sz w:val="24"/>
          <w:highlight w:val="none"/>
        </w:rPr>
      </w:pPr>
      <w:r>
        <w:rPr>
          <w:rFonts w:hint="eastAsia" w:ascii="宋体" w:hAnsi="宋体" w:cs="宋体"/>
          <w:color w:val="auto"/>
          <w:kern w:val="0"/>
          <w:sz w:val="24"/>
          <w:highlight w:val="none"/>
        </w:rPr>
        <w:t>法定代表人或委托代理人（签字或盖章）：</w:t>
      </w:r>
      <w:r>
        <w:rPr>
          <w:rFonts w:hint="eastAsia" w:ascii="宋体" w:hAnsi="宋体" w:cs="宋体"/>
          <w:color w:val="auto"/>
          <w:sz w:val="24"/>
          <w:highlight w:val="none"/>
          <w:u w:val="single"/>
        </w:rPr>
        <w:t xml:space="preserve">                                             </w:t>
      </w:r>
    </w:p>
    <w:p>
      <w:pPr>
        <w:spacing w:beforeLines="100" w:afterLines="50" w:line="360" w:lineRule="auto"/>
        <w:ind w:firstLine="170"/>
        <w:rPr>
          <w:rFonts w:ascii="宋体" w:hAnsi="宋体" w:cs="宋体"/>
          <w:color w:val="auto"/>
          <w:spacing w:val="4"/>
          <w:sz w:val="24"/>
          <w:highlight w:val="none"/>
        </w:rPr>
      </w:pPr>
      <w:r>
        <w:rPr>
          <w:rFonts w:hint="eastAsia" w:ascii="宋体" w:hAnsi="宋体" w:cs="宋体"/>
          <w:color w:val="auto"/>
          <w:spacing w:val="4"/>
          <w:sz w:val="24"/>
          <w:highlight w:val="none"/>
        </w:rPr>
        <w:t xml:space="preserve">                                         日期：   年     月    日</w:t>
      </w:r>
    </w:p>
    <w:p>
      <w:pPr>
        <w:rPr>
          <w:rFonts w:ascii="宋体" w:hAnsi="宋体" w:cs="宋体"/>
          <w:color w:val="auto"/>
          <w:highlight w:val="none"/>
        </w:rPr>
      </w:pPr>
    </w:p>
    <w:p>
      <w:pPr>
        <w:rPr>
          <w:rFonts w:ascii="宋体" w:hAnsi="宋体" w:cs="宋体"/>
          <w:color w:val="auto"/>
          <w:highlight w:val="none"/>
        </w:rPr>
      </w:pPr>
    </w:p>
    <w:p>
      <w:pPr>
        <w:spacing w:line="480" w:lineRule="auto"/>
        <w:ind w:firstLine="496" w:firstLineChars="200"/>
        <w:rPr>
          <w:rFonts w:ascii="宋体" w:hAnsi="宋体" w:cs="宋体"/>
          <w:color w:val="auto"/>
          <w:spacing w:val="4"/>
          <w:sz w:val="24"/>
          <w:highlight w:val="none"/>
        </w:rPr>
        <w:sectPr>
          <w:pgSz w:w="11906" w:h="16838"/>
          <w:pgMar w:top="1417" w:right="1644" w:bottom="1191" w:left="1757" w:header="850" w:footer="992" w:gutter="0"/>
          <w:cols w:space="0" w:num="1"/>
          <w:titlePg/>
          <w:docGrid w:linePitch="312" w:charSpace="0"/>
        </w:sectPr>
      </w:pPr>
      <w:r>
        <w:rPr>
          <w:rFonts w:hint="eastAsia" w:ascii="宋体" w:hAnsi="宋体" w:cs="宋体"/>
          <w:color w:val="auto"/>
          <w:spacing w:val="4"/>
          <w:sz w:val="24"/>
          <w:highlight w:val="none"/>
        </w:rPr>
        <w:t>说明：重大违法记录是指供应商因违法经营受到刑事处罚或者责令停产停业、吊销许可证或者执照、较大数额罚款等行政处罚。</w:t>
      </w:r>
    </w:p>
    <w:p>
      <w:pPr>
        <w:pStyle w:val="4"/>
        <w:rPr>
          <w:rFonts w:ascii="宋体" w:hAnsi="宋体" w:cs="宋体"/>
          <w:color w:val="auto"/>
          <w:sz w:val="24"/>
          <w:szCs w:val="24"/>
          <w:highlight w:val="none"/>
        </w:rPr>
      </w:pPr>
      <w:bookmarkStart w:id="213" w:name="_Toc332805620"/>
      <w:bookmarkStart w:id="214" w:name="_Toc332805175"/>
      <w:r>
        <w:rPr>
          <w:rFonts w:hint="eastAsia" w:ascii="宋体" w:hAnsi="宋体" w:cs="宋体"/>
          <w:color w:val="auto"/>
          <w:sz w:val="24"/>
          <w:szCs w:val="24"/>
          <w:highlight w:val="none"/>
        </w:rPr>
        <w:t>2、本项目的特定资格要求：</w:t>
      </w:r>
    </w:p>
    <w:bookmarkEnd w:id="213"/>
    <w:bookmarkEnd w:id="214"/>
    <w:p>
      <w:pPr>
        <w:spacing w:line="480" w:lineRule="auto"/>
        <w:ind w:firstLine="496" w:firstLineChars="200"/>
        <w:rPr>
          <w:rFonts w:ascii="宋体" w:hAnsi="宋体" w:cs="宋体"/>
          <w:color w:val="auto"/>
          <w:spacing w:val="4"/>
          <w:sz w:val="24"/>
          <w:highlight w:val="none"/>
        </w:rPr>
      </w:pPr>
      <w:r>
        <w:rPr>
          <w:rFonts w:hint="eastAsia" w:ascii="宋体" w:hAnsi="宋体" w:cs="宋体"/>
          <w:color w:val="auto"/>
          <w:spacing w:val="4"/>
          <w:sz w:val="24"/>
          <w:highlight w:val="none"/>
        </w:rPr>
        <w:t>①.单位负责人为同一人或者存在直接控股、管理关系的不同供应商，不得同时参加本项目采购活动；②.本项目为不专门面向中小企业采购项目。</w:t>
      </w:r>
    </w:p>
    <w:p>
      <w:pPr>
        <w:spacing w:line="480" w:lineRule="auto"/>
        <w:ind w:firstLine="496" w:firstLineChars="200"/>
        <w:rPr>
          <w:rFonts w:ascii="宋体" w:hAnsi="宋体" w:cs="宋体"/>
          <w:color w:val="auto"/>
          <w:spacing w:val="4"/>
          <w:sz w:val="24"/>
          <w:highlight w:val="none"/>
        </w:rPr>
      </w:pPr>
      <w:r>
        <w:rPr>
          <w:rFonts w:hint="eastAsia" w:ascii="宋体" w:hAnsi="宋体" w:cs="宋体"/>
          <w:color w:val="auto"/>
          <w:spacing w:val="4"/>
          <w:sz w:val="24"/>
          <w:highlight w:val="none"/>
        </w:rPr>
        <w:br w:type="page"/>
      </w:r>
    </w:p>
    <w:p>
      <w:pPr>
        <w:pStyle w:val="6"/>
        <w:jc w:val="center"/>
        <w:rPr>
          <w:rFonts w:ascii="宋体" w:hAnsi="宋体" w:cs="宋体"/>
          <w:color w:val="auto"/>
          <w:highlight w:val="none"/>
        </w:rPr>
      </w:pPr>
      <w:r>
        <w:rPr>
          <w:rFonts w:hint="eastAsia" w:ascii="宋体" w:hAnsi="宋体" w:cs="宋体"/>
          <w:color w:val="auto"/>
          <w:highlight w:val="none"/>
        </w:rPr>
        <w:t>投标声明（格式）</w:t>
      </w:r>
    </w:p>
    <w:p>
      <w:pPr>
        <w:spacing w:line="360" w:lineRule="auto"/>
        <w:rPr>
          <w:rFonts w:ascii="宋体" w:hAnsi="宋体" w:cs="宋体"/>
          <w:color w:val="auto"/>
          <w:spacing w:val="4"/>
          <w:sz w:val="24"/>
          <w:highlight w:val="none"/>
          <w:u w:val="single"/>
        </w:rPr>
      </w:pPr>
      <w:r>
        <w:rPr>
          <w:rFonts w:hint="eastAsia" w:ascii="宋体" w:hAnsi="宋体" w:cs="宋体"/>
          <w:color w:val="auto"/>
          <w:spacing w:val="4"/>
          <w:sz w:val="24"/>
          <w:highlight w:val="none"/>
        </w:rPr>
        <w:t>致：</w:t>
      </w:r>
      <w:r>
        <w:rPr>
          <w:rFonts w:hint="eastAsia" w:ascii="宋体" w:hAnsi="宋体" w:cs="宋体"/>
          <w:color w:val="auto"/>
          <w:spacing w:val="4"/>
          <w:sz w:val="24"/>
          <w:highlight w:val="none"/>
          <w:u w:val="single"/>
        </w:rPr>
        <w:t xml:space="preserve">     （采购人名称）   </w:t>
      </w:r>
      <w:r>
        <w:rPr>
          <w:rFonts w:hint="eastAsia" w:ascii="宋体" w:hAnsi="宋体" w:cs="宋体"/>
          <w:color w:val="auto"/>
          <w:spacing w:val="4"/>
          <w:sz w:val="24"/>
          <w:highlight w:val="none"/>
        </w:rPr>
        <w:t>：</w:t>
      </w:r>
    </w:p>
    <w:p>
      <w:pPr>
        <w:spacing w:beforeLines="100" w:afterLines="50" w:line="360" w:lineRule="auto"/>
        <w:ind w:firstLine="496" w:firstLineChars="200"/>
        <w:rPr>
          <w:rFonts w:ascii="宋体" w:hAnsi="宋体" w:cs="宋体"/>
          <w:color w:val="auto"/>
          <w:spacing w:val="4"/>
          <w:sz w:val="24"/>
          <w:highlight w:val="none"/>
        </w:rPr>
      </w:pPr>
      <w:r>
        <w:rPr>
          <w:rFonts w:hint="eastAsia" w:ascii="宋体" w:hAnsi="宋体" w:cs="宋体"/>
          <w:color w:val="auto"/>
          <w:spacing w:val="4"/>
          <w:sz w:val="24"/>
          <w:highlight w:val="none"/>
        </w:rPr>
        <w:t>我公司的</w:t>
      </w:r>
      <w:r>
        <w:rPr>
          <w:rFonts w:hint="eastAsia" w:ascii="宋体" w:hAnsi="宋体" w:cs="宋体"/>
          <w:color w:val="auto"/>
          <w:sz w:val="24"/>
          <w:szCs w:val="24"/>
          <w:highlight w:val="none"/>
          <w:lang w:val="zh-CN"/>
        </w:rPr>
        <w:t>单位负责人</w:t>
      </w:r>
      <w:r>
        <w:rPr>
          <w:rFonts w:hint="eastAsia" w:ascii="宋体" w:hAnsi="宋体" w:cs="宋体"/>
          <w:color w:val="auto"/>
          <w:sz w:val="24"/>
          <w:szCs w:val="24"/>
          <w:highlight w:val="none"/>
        </w:rPr>
        <w:t>不与其他投标供应商的单位负责人</w:t>
      </w:r>
      <w:r>
        <w:rPr>
          <w:rFonts w:hint="eastAsia" w:ascii="宋体" w:hAnsi="宋体" w:cs="宋体"/>
          <w:color w:val="auto"/>
          <w:sz w:val="24"/>
          <w:szCs w:val="24"/>
          <w:highlight w:val="none"/>
          <w:lang w:val="zh-CN"/>
        </w:rPr>
        <w:t>为同一人，</w:t>
      </w:r>
      <w:r>
        <w:rPr>
          <w:rFonts w:hint="eastAsia" w:ascii="宋体" w:hAnsi="宋体" w:cs="宋体"/>
          <w:color w:val="auto"/>
          <w:sz w:val="24"/>
          <w:szCs w:val="24"/>
          <w:highlight w:val="none"/>
        </w:rPr>
        <w:t>不存在与其他供应商有</w:t>
      </w:r>
      <w:r>
        <w:rPr>
          <w:rFonts w:hint="eastAsia" w:ascii="宋体" w:hAnsi="宋体" w:cs="宋体"/>
          <w:color w:val="auto"/>
          <w:sz w:val="24"/>
          <w:szCs w:val="24"/>
          <w:highlight w:val="none"/>
          <w:lang w:val="zh-CN"/>
        </w:rPr>
        <w:t>直接控股、管理关系。</w:t>
      </w:r>
    </w:p>
    <w:p>
      <w:pPr>
        <w:spacing w:beforeLines="100" w:afterLines="50" w:line="360" w:lineRule="auto"/>
        <w:ind w:firstLine="170"/>
        <w:rPr>
          <w:rFonts w:ascii="宋体" w:hAnsi="宋体" w:cs="宋体"/>
          <w:color w:val="auto"/>
          <w:spacing w:val="4"/>
          <w:sz w:val="24"/>
          <w:highlight w:val="none"/>
        </w:rPr>
      </w:pPr>
    </w:p>
    <w:p>
      <w:pPr>
        <w:spacing w:beforeLines="100" w:afterLines="50" w:line="360" w:lineRule="auto"/>
        <w:ind w:firstLine="170"/>
        <w:rPr>
          <w:rFonts w:ascii="宋体" w:hAnsi="宋体" w:cs="宋体"/>
          <w:color w:val="auto"/>
          <w:spacing w:val="4"/>
          <w:sz w:val="24"/>
          <w:highlight w:val="none"/>
        </w:rPr>
      </w:pP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供应商（公章）：                法定代表人/被授权人（签字或盖章）：</w:t>
      </w:r>
    </w:p>
    <w:p>
      <w:pPr>
        <w:spacing w:line="360" w:lineRule="auto"/>
        <w:ind w:firstLine="643" w:firstLineChars="200"/>
        <w:jc w:val="center"/>
        <w:rPr>
          <w:rFonts w:ascii="宋体" w:hAnsi="宋体" w:cs="宋体"/>
          <w:b/>
          <w:bCs/>
          <w:color w:val="auto"/>
          <w:kern w:val="44"/>
          <w:sz w:val="32"/>
          <w:szCs w:val="44"/>
          <w:highlight w:val="none"/>
        </w:rPr>
      </w:pPr>
    </w:p>
    <w:p>
      <w:pPr>
        <w:spacing w:line="360" w:lineRule="auto"/>
        <w:ind w:firstLine="643" w:firstLineChars="200"/>
        <w:jc w:val="center"/>
        <w:rPr>
          <w:rFonts w:ascii="宋体" w:hAnsi="宋体" w:cs="宋体"/>
          <w:color w:val="auto"/>
          <w:sz w:val="24"/>
          <w:highlight w:val="none"/>
        </w:rPr>
      </w:pPr>
      <w:r>
        <w:rPr>
          <w:rFonts w:hint="eastAsia" w:ascii="宋体" w:hAnsi="宋体" w:cs="宋体"/>
          <w:b/>
          <w:bCs/>
          <w:color w:val="auto"/>
          <w:kern w:val="44"/>
          <w:sz w:val="32"/>
          <w:szCs w:val="44"/>
          <w:highlight w:val="none"/>
        </w:rPr>
        <w:t xml:space="preserve">                    </w:t>
      </w:r>
      <w:r>
        <w:rPr>
          <w:rFonts w:hint="eastAsia" w:ascii="宋体" w:hAnsi="宋体" w:cs="宋体"/>
          <w:color w:val="auto"/>
          <w:sz w:val="24"/>
          <w:highlight w:val="none"/>
        </w:rPr>
        <w:t xml:space="preserve">  年   月   日</w:t>
      </w:r>
    </w:p>
    <w:p>
      <w:pPr>
        <w:rPr>
          <w:rFonts w:ascii="宋体" w:hAnsi="宋体" w:cs="宋体"/>
          <w:color w:val="auto"/>
          <w:highlight w:val="none"/>
        </w:rPr>
        <w:sectPr>
          <w:pgSz w:w="11906" w:h="16838"/>
          <w:pgMar w:top="1417" w:right="1644" w:bottom="1191" w:left="1757" w:header="850" w:footer="992" w:gutter="0"/>
          <w:cols w:space="0" w:num="1"/>
          <w:titlePg/>
          <w:docGrid w:linePitch="312" w:charSpace="0"/>
        </w:sectPr>
      </w:pPr>
    </w:p>
    <w:p>
      <w:pPr>
        <w:pStyle w:val="6"/>
        <w:jc w:val="center"/>
        <w:rPr>
          <w:rFonts w:ascii="宋体" w:hAnsi="宋体" w:cs="宋体"/>
          <w:color w:val="auto"/>
          <w:highlight w:val="none"/>
        </w:rPr>
      </w:pPr>
      <w:r>
        <w:rPr>
          <w:rFonts w:hint="eastAsia" w:ascii="宋体" w:hAnsi="宋体" w:cs="宋体"/>
          <w:color w:val="auto"/>
          <w:highlight w:val="none"/>
        </w:rPr>
        <w:t>联合体协议</w:t>
      </w:r>
    </w:p>
    <w:p>
      <w:pPr>
        <w:rPr>
          <w:color w:val="auto"/>
          <w:highlight w:val="none"/>
        </w:rPr>
      </w:pP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牵头人名称：</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法定住所：</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成员二名称： </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法定住所：</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p>
    <w:p>
      <w:pPr>
        <w:pStyle w:val="14"/>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鉴于上述各成员单位经过友好协商，自愿组成 </w:t>
      </w:r>
      <w:r>
        <w:rPr>
          <w:rFonts w:asciiTheme="minorEastAsia" w:hAnsiTheme="minorEastAsia" w:eastAsiaTheme="minorEastAsia" w:cstheme="minorEastAsia"/>
          <w:color w:val="auto"/>
          <w:szCs w:val="24"/>
          <w:highlight w:val="none"/>
          <w:u w:val="single"/>
        </w:rPr>
        <w:t xml:space="preserve">     </w:t>
      </w:r>
      <w:r>
        <w:rPr>
          <w:color w:val="auto"/>
          <w:szCs w:val="24"/>
          <w:highlight w:val="none"/>
          <w:u w:val="single"/>
        </w:rPr>
        <w:t xml:space="preserve"> </w:t>
      </w:r>
      <w:r>
        <w:rPr>
          <w:rFonts w:asciiTheme="minorEastAsia" w:hAnsiTheme="minorEastAsia" w:eastAsiaTheme="minorEastAsia" w:cstheme="minorEastAsia"/>
          <w:color w:val="auto"/>
          <w:szCs w:val="24"/>
          <w:highlight w:val="none"/>
        </w:rPr>
        <w:t>（联合体名称）联合体，共同参加</w:t>
      </w:r>
      <w:r>
        <w:rPr>
          <w:rFonts w:asciiTheme="minorEastAsia" w:hAnsiTheme="minorEastAsia" w:eastAsiaTheme="minorEastAsia" w:cstheme="minorEastAsia"/>
          <w:color w:val="auto"/>
          <w:szCs w:val="24"/>
          <w:highlight w:val="none"/>
          <w:u w:val="single"/>
        </w:rPr>
        <w:t xml:space="preserve">      </w:t>
      </w:r>
      <w:r>
        <w:rPr>
          <w:rFonts w:asciiTheme="minorEastAsia" w:hAnsiTheme="minorEastAsia" w:eastAsiaTheme="minorEastAsia" w:cstheme="minorEastAsia"/>
          <w:color w:val="auto"/>
          <w:szCs w:val="24"/>
          <w:highlight w:val="none"/>
        </w:rPr>
        <w:t>（采购人名称）（以下简称采购人）</w:t>
      </w:r>
      <w:r>
        <w:rPr>
          <w:rFonts w:asciiTheme="minorEastAsia" w:hAnsiTheme="minorEastAsia" w:eastAsiaTheme="minorEastAsia" w:cstheme="minorEastAsia"/>
          <w:color w:val="auto"/>
          <w:szCs w:val="24"/>
          <w:highlight w:val="none"/>
          <w:u w:val="single"/>
        </w:rPr>
        <w:t xml:space="preserve">      </w:t>
      </w:r>
      <w:r>
        <w:rPr>
          <w:rFonts w:asciiTheme="minorEastAsia" w:hAnsiTheme="minorEastAsia" w:eastAsiaTheme="minorEastAsia" w:cstheme="minorEastAsia"/>
          <w:color w:val="auto"/>
          <w:szCs w:val="24"/>
          <w:highlight w:val="none"/>
        </w:rPr>
        <w:t>（项目名称）（以下简称本项目）的政府采购投标并争取赢得本项目供货合同（以下简称合同）。现就联合体投标事宜订立如下协议：</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（某成员单位名称）为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（联合体名称）牵头人。</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4．联合体各成员单位内部的职责分工如下：</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。按照本条上述分工，联合体成员单位各自所承担的合同工作量比例如下：</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5．投标工作和联合体在中标后工程实施过程中的有关费用按各自承担的工作量分摊。</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6．联合体中标后，本联合体协议是合同的附件，对联合体各成员单位有合同约束力。</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7．本协议书自签署之日起生效，联合体未中标或者中标时合同履行完毕后自动失效。</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8．本协议书一式</w:t>
      </w:r>
      <w:r>
        <w:rPr>
          <w:rFonts w:hint="eastAsia" w:asciiTheme="minorEastAsia" w:hAnsiTheme="minorEastAsia" w:eastAsiaTheme="minorEastAsia" w:cstheme="minorEastAsia"/>
          <w:color w:val="auto"/>
          <w:sz w:val="24"/>
          <w:szCs w:val="24"/>
          <w:highlight w:val="none"/>
          <w:u w:val="single"/>
        </w:rPr>
        <w:t xml:space="preserve">  叁  </w:t>
      </w:r>
      <w:r>
        <w:rPr>
          <w:rFonts w:hint="eastAsia" w:asciiTheme="minorEastAsia" w:hAnsiTheme="minorEastAsia" w:eastAsiaTheme="minorEastAsia" w:cstheme="minorEastAsia"/>
          <w:color w:val="auto"/>
          <w:sz w:val="24"/>
          <w:szCs w:val="24"/>
          <w:highlight w:val="none"/>
        </w:rPr>
        <w:t>份，联合体成员和招标人各执一份。</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牵头人名称：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（签字或盖章）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成员二名称：</w:t>
      </w:r>
      <w:r>
        <w:rPr>
          <w:rFonts w:hint="eastAsia" w:asciiTheme="minorEastAsia" w:hAnsiTheme="minorEastAsia" w:eastAsiaTheme="minorEastAsia" w:cstheme="minorEastAsia"/>
          <w:color w:val="auto"/>
          <w:sz w:val="24"/>
          <w:szCs w:val="24"/>
          <w:highlight w:val="none"/>
          <w:u w:val="single"/>
        </w:rPr>
        <w:t xml:space="preserve">  </w:t>
      </w:r>
      <w:r>
        <w:rPr>
          <w:rFonts w:hint="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（签字或盖章）</w:t>
      </w:r>
    </w:p>
    <w:p>
      <w:pPr>
        <w:wordWrap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360" w:lineRule="auto"/>
        <w:ind w:firstLine="4560" w:firstLineChars="19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pStyle w:val="10"/>
        <w:rPr>
          <w:color w:val="auto"/>
          <w:highlight w:val="none"/>
        </w:rPr>
        <w:sectPr>
          <w:pgSz w:w="11906" w:h="16838"/>
          <w:pgMar w:top="1417" w:right="1644" w:bottom="1191" w:left="1757" w:header="850" w:footer="992" w:gutter="0"/>
          <w:cols w:space="0" w:num="1"/>
          <w:titlePg/>
          <w:docGrid w:linePitch="312" w:charSpace="0"/>
        </w:sectPr>
      </w:pPr>
    </w:p>
    <w:p>
      <w:pPr>
        <w:pStyle w:val="3"/>
        <w:ind w:firstLine="560"/>
        <w:rPr>
          <w:rFonts w:ascii="宋体" w:hAnsi="宋体" w:eastAsia="宋体" w:cs="宋体"/>
          <w:color w:val="auto"/>
          <w:sz w:val="24"/>
          <w:szCs w:val="24"/>
          <w:highlight w:val="none"/>
        </w:rPr>
      </w:pPr>
      <w:bookmarkStart w:id="215" w:name="_Toc29651"/>
      <w:r>
        <w:rPr>
          <w:rFonts w:hint="eastAsia" w:ascii="宋体" w:hAnsi="宋体" w:eastAsia="宋体" w:cs="宋体"/>
          <w:color w:val="auto"/>
          <w:sz w:val="24"/>
          <w:szCs w:val="24"/>
          <w:highlight w:val="none"/>
        </w:rPr>
        <w:t>七、陕西省政府采购供应商拒绝政府采购领域商业贿赂承诺书</w:t>
      </w:r>
      <w:bookmarkEnd w:id="211"/>
      <w:bookmarkEnd w:id="215"/>
    </w:p>
    <w:p>
      <w:pPr>
        <w:pStyle w:val="41"/>
        <w:ind w:firstLine="482"/>
        <w:rPr>
          <w:rFonts w:ascii="宋体" w:hAnsi="宋体" w:cs="宋体"/>
          <w:b/>
          <w:color w:val="auto"/>
          <w:sz w:val="24"/>
          <w:highlight w:val="none"/>
        </w:rPr>
      </w:pPr>
    </w:p>
    <w:p>
      <w:pPr>
        <w:widowControl/>
        <w:spacing w:line="408" w:lineRule="auto"/>
        <w:ind w:left="239" w:leftChars="114" w:firstLine="470" w:firstLineChars="196"/>
        <w:jc w:val="left"/>
        <w:rPr>
          <w:rFonts w:ascii="宋体" w:hAnsi="宋体" w:cs="宋体"/>
          <w:color w:val="auto"/>
          <w:kern w:val="0"/>
          <w:sz w:val="24"/>
          <w:highlight w:val="none"/>
        </w:rPr>
      </w:pPr>
      <w:r>
        <w:rPr>
          <w:rFonts w:hint="eastAsia" w:ascii="宋体" w:hAnsi="宋体" w:cs="宋体"/>
          <w:color w:val="auto"/>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ascii="宋体" w:hAnsi="宋体" w:cs="宋体"/>
          <w:color w:val="auto"/>
          <w:kern w:val="0"/>
          <w:sz w:val="24"/>
          <w:highlight w:val="none"/>
        </w:rPr>
      </w:pPr>
      <w:r>
        <w:rPr>
          <w:rFonts w:hint="eastAsia" w:ascii="宋体" w:hAnsi="宋体" w:cs="宋体"/>
          <w:color w:val="auto"/>
          <w:kern w:val="0"/>
          <w:sz w:val="24"/>
          <w:highlight w:val="none"/>
        </w:rPr>
        <w:t>1、在参与政府采购活动中遵纪守法、诚信经营、公平竞标。</w:t>
      </w:r>
    </w:p>
    <w:p>
      <w:pPr>
        <w:widowControl/>
        <w:spacing w:line="408" w:lineRule="auto"/>
        <w:ind w:left="239" w:leftChars="114" w:firstLine="470" w:firstLineChars="196"/>
        <w:jc w:val="left"/>
        <w:rPr>
          <w:rFonts w:ascii="宋体" w:hAnsi="宋体" w:cs="宋体"/>
          <w:color w:val="auto"/>
          <w:kern w:val="0"/>
          <w:sz w:val="24"/>
          <w:highlight w:val="none"/>
        </w:rPr>
      </w:pPr>
      <w:r>
        <w:rPr>
          <w:rFonts w:hint="eastAsia" w:ascii="宋体" w:hAnsi="宋体" w:cs="宋体"/>
          <w:color w:val="auto"/>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ascii="宋体" w:hAnsi="宋体" w:cs="宋体"/>
          <w:color w:val="auto"/>
          <w:kern w:val="0"/>
          <w:sz w:val="24"/>
          <w:highlight w:val="none"/>
        </w:rPr>
      </w:pPr>
      <w:r>
        <w:rPr>
          <w:rFonts w:hint="eastAsia" w:ascii="宋体" w:hAnsi="宋体" w:cs="宋体"/>
          <w:color w:val="auto"/>
          <w:kern w:val="0"/>
          <w:sz w:val="24"/>
          <w:highlight w:val="none"/>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ascii="宋体" w:hAnsi="宋体" w:cs="宋体"/>
          <w:color w:val="auto"/>
          <w:kern w:val="0"/>
          <w:sz w:val="24"/>
          <w:highlight w:val="none"/>
        </w:rPr>
      </w:pPr>
      <w:r>
        <w:rPr>
          <w:rFonts w:hint="eastAsia" w:ascii="宋体" w:hAnsi="宋体" w:cs="宋体"/>
          <w:color w:val="auto"/>
          <w:kern w:val="0"/>
          <w:sz w:val="24"/>
          <w:highlight w:val="none"/>
        </w:rPr>
        <w:t>4、不采取“围标、陪标”等商业欺诈手段获得政府采购定单。</w:t>
      </w:r>
    </w:p>
    <w:p>
      <w:pPr>
        <w:widowControl/>
        <w:spacing w:line="408" w:lineRule="auto"/>
        <w:ind w:left="239" w:leftChars="114" w:firstLine="470" w:firstLineChars="196"/>
        <w:jc w:val="left"/>
        <w:rPr>
          <w:rFonts w:ascii="宋体" w:hAnsi="宋体" w:cs="宋体"/>
          <w:color w:val="auto"/>
          <w:kern w:val="0"/>
          <w:sz w:val="24"/>
          <w:highlight w:val="none"/>
        </w:rPr>
      </w:pPr>
      <w:r>
        <w:rPr>
          <w:rFonts w:hint="eastAsia" w:ascii="宋体" w:hAnsi="宋体" w:cs="宋体"/>
          <w:color w:val="auto"/>
          <w:kern w:val="0"/>
          <w:sz w:val="24"/>
          <w:highlight w:val="none"/>
        </w:rPr>
        <w:t>5、不采取不正当手段诋毁、排挤其他供应商。</w:t>
      </w:r>
    </w:p>
    <w:p>
      <w:pPr>
        <w:widowControl/>
        <w:spacing w:line="408" w:lineRule="auto"/>
        <w:ind w:left="239" w:leftChars="114" w:firstLine="470" w:firstLineChars="196"/>
        <w:jc w:val="left"/>
        <w:rPr>
          <w:rFonts w:ascii="宋体" w:hAnsi="宋体" w:cs="宋体"/>
          <w:color w:val="auto"/>
          <w:kern w:val="0"/>
          <w:sz w:val="24"/>
          <w:highlight w:val="none"/>
        </w:rPr>
      </w:pPr>
      <w:r>
        <w:rPr>
          <w:rFonts w:hint="eastAsia" w:ascii="宋体" w:hAnsi="宋体" w:cs="宋体"/>
          <w:color w:val="auto"/>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ascii="宋体" w:hAnsi="宋体" w:cs="宋体"/>
          <w:color w:val="auto"/>
          <w:kern w:val="0"/>
          <w:sz w:val="24"/>
          <w:highlight w:val="none"/>
        </w:rPr>
      </w:pPr>
      <w:r>
        <w:rPr>
          <w:rFonts w:hint="eastAsia" w:ascii="宋体" w:hAnsi="宋体" w:cs="宋体"/>
          <w:color w:val="auto"/>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ascii="宋体" w:hAnsi="宋体" w:cs="宋体"/>
          <w:color w:val="auto"/>
          <w:kern w:val="0"/>
          <w:sz w:val="24"/>
          <w:highlight w:val="none"/>
        </w:rPr>
      </w:pPr>
      <w:r>
        <w:rPr>
          <w:rFonts w:hint="eastAsia" w:ascii="宋体" w:hAnsi="宋体" w:cs="宋体"/>
          <w:color w:val="auto"/>
          <w:kern w:val="0"/>
          <w:sz w:val="24"/>
          <w:highlight w:val="none"/>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ascii="宋体" w:hAnsi="宋体" w:cs="宋体"/>
          <w:color w:val="auto"/>
          <w:kern w:val="0"/>
          <w:sz w:val="24"/>
          <w:highlight w:val="none"/>
        </w:rPr>
      </w:pPr>
      <w:r>
        <w:rPr>
          <w:rFonts w:hint="eastAsia" w:ascii="宋体" w:hAnsi="宋体" w:cs="宋体"/>
          <w:color w:val="auto"/>
          <w:kern w:val="0"/>
          <w:sz w:val="24"/>
          <w:highlight w:val="none"/>
        </w:rPr>
        <w:t>9、不发生其他有悖于政府采购公开、公平、公正和诚信原则的行为。</w:t>
      </w:r>
    </w:p>
    <w:p>
      <w:pPr>
        <w:pStyle w:val="10"/>
        <w:rPr>
          <w:color w:val="auto"/>
          <w:highlight w:val="none"/>
        </w:rPr>
      </w:pPr>
    </w:p>
    <w:p>
      <w:pPr>
        <w:widowControl/>
        <w:spacing w:line="408" w:lineRule="auto"/>
        <w:ind w:left="239" w:leftChars="114"/>
        <w:jc w:val="left"/>
        <w:rPr>
          <w:rFonts w:ascii="宋体" w:hAnsi="宋体" w:cs="宋体"/>
          <w:color w:val="auto"/>
          <w:kern w:val="0"/>
          <w:sz w:val="24"/>
          <w:highlight w:val="none"/>
        </w:rPr>
      </w:pPr>
      <w:r>
        <w:rPr>
          <w:rFonts w:hint="eastAsia" w:ascii="宋体" w:hAnsi="宋体" w:cs="宋体"/>
          <w:color w:val="auto"/>
          <w:kern w:val="0"/>
          <w:sz w:val="24"/>
          <w:highlight w:val="none"/>
        </w:rPr>
        <w:t>承诺单位：（盖章）</w:t>
      </w:r>
    </w:p>
    <w:p>
      <w:pPr>
        <w:widowControl/>
        <w:spacing w:line="408" w:lineRule="auto"/>
        <w:ind w:left="239" w:leftChars="114"/>
        <w:jc w:val="left"/>
        <w:rPr>
          <w:rFonts w:ascii="宋体" w:hAnsi="宋体" w:cs="宋体"/>
          <w:color w:val="auto"/>
          <w:kern w:val="0"/>
          <w:sz w:val="24"/>
          <w:highlight w:val="none"/>
        </w:rPr>
      </w:pPr>
      <w:r>
        <w:rPr>
          <w:rFonts w:hint="eastAsia" w:ascii="宋体" w:hAnsi="宋体" w:cs="宋体"/>
          <w:color w:val="auto"/>
          <w:sz w:val="24"/>
          <w:szCs w:val="24"/>
          <w:highlight w:val="none"/>
        </w:rPr>
        <w:t>法定代表人或授权代表</w:t>
      </w:r>
      <w:r>
        <w:rPr>
          <w:rFonts w:hint="eastAsia" w:ascii="宋体" w:hAnsi="宋体" w:cs="宋体"/>
          <w:color w:val="auto"/>
          <w:kern w:val="0"/>
          <w:sz w:val="24"/>
          <w:highlight w:val="none"/>
        </w:rPr>
        <w:t>：（签字或盖章）</w:t>
      </w:r>
    </w:p>
    <w:p>
      <w:pPr>
        <w:widowControl/>
        <w:spacing w:line="408" w:lineRule="auto"/>
        <w:ind w:left="239" w:leftChars="114"/>
        <w:jc w:val="left"/>
        <w:rPr>
          <w:rFonts w:ascii="宋体" w:hAnsi="宋体" w:cs="宋体"/>
          <w:color w:val="auto"/>
          <w:kern w:val="0"/>
          <w:sz w:val="24"/>
          <w:highlight w:val="none"/>
        </w:rPr>
      </w:pPr>
      <w:r>
        <w:rPr>
          <w:rFonts w:hint="eastAsia" w:ascii="宋体" w:hAnsi="宋体" w:cs="宋体"/>
          <w:color w:val="auto"/>
          <w:kern w:val="0"/>
          <w:sz w:val="24"/>
          <w:highlight w:val="none"/>
        </w:rPr>
        <w:t>地  址：                        </w:t>
      </w:r>
    </w:p>
    <w:p>
      <w:pPr>
        <w:widowControl/>
        <w:spacing w:line="408" w:lineRule="auto"/>
        <w:ind w:left="239" w:leftChars="114"/>
        <w:jc w:val="left"/>
        <w:rPr>
          <w:rFonts w:ascii="宋体" w:hAnsi="宋体" w:cs="宋体"/>
          <w:color w:val="auto"/>
          <w:kern w:val="0"/>
          <w:sz w:val="24"/>
          <w:highlight w:val="none"/>
        </w:rPr>
      </w:pPr>
      <w:r>
        <w:rPr>
          <w:rFonts w:hint="eastAsia" w:ascii="宋体" w:hAnsi="宋体" w:cs="宋体"/>
          <w:color w:val="auto"/>
          <w:kern w:val="0"/>
          <w:sz w:val="24"/>
          <w:highlight w:val="none"/>
        </w:rPr>
        <w:t>邮  编：</w:t>
      </w:r>
    </w:p>
    <w:p>
      <w:pPr>
        <w:widowControl/>
        <w:spacing w:line="408" w:lineRule="auto"/>
        <w:ind w:left="239" w:leftChars="114"/>
        <w:jc w:val="left"/>
        <w:rPr>
          <w:rFonts w:ascii="宋体" w:hAnsi="宋体" w:cs="宋体"/>
          <w:color w:val="auto"/>
          <w:kern w:val="0"/>
          <w:sz w:val="24"/>
          <w:highlight w:val="none"/>
        </w:rPr>
      </w:pPr>
      <w:r>
        <w:rPr>
          <w:rFonts w:hint="eastAsia" w:ascii="宋体" w:hAnsi="宋体" w:cs="宋体"/>
          <w:color w:val="auto"/>
          <w:kern w:val="0"/>
          <w:sz w:val="24"/>
          <w:highlight w:val="none"/>
        </w:rPr>
        <w:t>电  话：                                                            年  月  日</w:t>
      </w:r>
    </w:p>
    <w:p>
      <w:pPr>
        <w:widowControl/>
        <w:spacing w:line="408" w:lineRule="auto"/>
        <w:ind w:left="239" w:leftChars="114"/>
        <w:jc w:val="left"/>
        <w:rPr>
          <w:rFonts w:ascii="宋体" w:hAnsi="宋体" w:cs="宋体"/>
          <w:color w:val="auto"/>
          <w:kern w:val="0"/>
          <w:sz w:val="24"/>
          <w:highlight w:val="none"/>
        </w:rPr>
      </w:pPr>
    </w:p>
    <w:p>
      <w:pPr>
        <w:spacing w:line="360" w:lineRule="auto"/>
        <w:ind w:left="1"/>
        <w:jc w:val="center"/>
        <w:rPr>
          <w:rFonts w:ascii="宋体" w:hAnsi="宋体" w:cs="宋体"/>
          <w:b/>
          <w:color w:val="auto"/>
          <w:highlight w:val="none"/>
        </w:rPr>
      </w:pPr>
      <w:r>
        <w:rPr>
          <w:rFonts w:hint="eastAsia" w:ascii="宋体" w:hAnsi="宋体" w:cs="宋体"/>
          <w:b/>
          <w:color w:val="auto"/>
          <w:sz w:val="32"/>
          <w:szCs w:val="32"/>
          <w:highlight w:val="none"/>
        </w:rPr>
        <w:br w:type="page"/>
      </w:r>
      <w:bookmarkStart w:id="216" w:name="_Toc519085758"/>
    </w:p>
    <w:bookmarkEnd w:id="212"/>
    <w:bookmarkEnd w:id="216"/>
    <w:p>
      <w:pPr>
        <w:pStyle w:val="3"/>
        <w:ind w:firstLine="560"/>
        <w:rPr>
          <w:rFonts w:ascii="宋体" w:hAnsi="宋体" w:eastAsia="宋体" w:cs="宋体"/>
          <w:color w:val="auto"/>
          <w:sz w:val="24"/>
          <w:szCs w:val="24"/>
          <w:highlight w:val="none"/>
        </w:rPr>
      </w:pPr>
      <w:bookmarkStart w:id="217" w:name="_Toc25333"/>
      <w:bookmarkStart w:id="218" w:name="_Toc32411"/>
      <w:bookmarkStart w:id="219" w:name="_Toc15317"/>
      <w:r>
        <w:rPr>
          <w:rFonts w:hint="eastAsia" w:ascii="宋体" w:hAnsi="宋体" w:eastAsia="宋体" w:cs="宋体"/>
          <w:color w:val="auto"/>
          <w:sz w:val="24"/>
          <w:szCs w:val="24"/>
          <w:highlight w:val="none"/>
        </w:rPr>
        <w:t>八、供应商满足政府采购相关优惠政策的声明或证明材料</w:t>
      </w:r>
      <w:bookmarkEnd w:id="217"/>
      <w:bookmarkEnd w:id="218"/>
      <w:bookmarkEnd w:id="219"/>
    </w:p>
    <w:p>
      <w:pPr>
        <w:spacing w:before="120" w:line="360" w:lineRule="auto"/>
        <w:rPr>
          <w:rFonts w:ascii="宋体" w:hAnsi="宋体" w:cs="宋体"/>
          <w:b/>
          <w:color w:val="auto"/>
          <w:sz w:val="24"/>
          <w:highlight w:val="none"/>
        </w:rPr>
      </w:pPr>
      <w:r>
        <w:rPr>
          <w:rFonts w:hint="eastAsia" w:ascii="宋体" w:hAnsi="宋体" w:cs="宋体"/>
          <w:color w:val="auto"/>
          <w:kern w:val="0"/>
          <w:sz w:val="24"/>
          <w:highlight w:val="none"/>
        </w:rPr>
        <w:t> 　</w:t>
      </w:r>
    </w:p>
    <w:p>
      <w:pPr>
        <w:rPr>
          <w:rFonts w:ascii="宋体" w:hAnsi="宋体" w:cs="宋体"/>
          <w:color w:val="auto"/>
          <w:highlight w:val="none"/>
        </w:rPr>
      </w:pPr>
    </w:p>
    <w:p>
      <w:pPr>
        <w:widowControl/>
        <w:spacing w:line="432"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凡满足政府采购相关优惠政策的供应商自行根据相关政策规定提供声明和证明材料，如供应商不符合要求无需提供。</w:t>
      </w:r>
    </w:p>
    <w:p>
      <w:pPr>
        <w:spacing w:line="500" w:lineRule="exact"/>
        <w:ind w:firstLine="480" w:firstLineChars="200"/>
        <w:jc w:val="left"/>
        <w:rPr>
          <w:rFonts w:ascii="宋体" w:hAnsi="宋体" w:cs="宋体"/>
          <w:color w:val="auto"/>
          <w:sz w:val="24"/>
          <w:szCs w:val="24"/>
          <w:highlight w:val="none"/>
        </w:rPr>
        <w:sectPr>
          <w:pgSz w:w="11906" w:h="16838"/>
          <w:pgMar w:top="1417" w:right="1644" w:bottom="1191" w:left="1757" w:header="850" w:footer="992" w:gutter="0"/>
          <w:cols w:space="0" w:num="1"/>
          <w:titlePg/>
          <w:docGrid w:linePitch="312" w:charSpace="0"/>
        </w:sectPr>
      </w:pPr>
    </w:p>
    <w:p>
      <w:pPr>
        <w:spacing w:line="50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中小企业声明函（货物）</w:t>
      </w:r>
    </w:p>
    <w:p>
      <w:pPr>
        <w:spacing w:line="500" w:lineRule="exact"/>
        <w:jc w:val="center"/>
        <w:rPr>
          <w:rFonts w:ascii="宋体" w:hAnsi="宋体" w:cs="宋体"/>
          <w:b/>
          <w:color w:val="auto"/>
          <w:sz w:val="30"/>
          <w:szCs w:val="30"/>
          <w:highlight w:val="none"/>
        </w:rPr>
      </w:pP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cs="宋体"/>
          <w:color w:val="auto"/>
          <w:kern w:val="0"/>
          <w:sz w:val="24"/>
          <w:szCs w:val="24"/>
          <w:highlight w:val="none"/>
          <w:u w:val="single"/>
        </w:rPr>
        <w:t>（单位名称）</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widowControl/>
        <w:numPr>
          <w:ilvl w:val="0"/>
          <w:numId w:val="11"/>
        </w:num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（采购文件中明确的所属行业）行业</w:t>
      </w:r>
      <w:r>
        <w:rPr>
          <w:rFonts w:hint="eastAsia"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widowControl/>
        <w:numPr>
          <w:ilvl w:val="0"/>
          <w:numId w:val="11"/>
        </w:num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（采购文件中明确的所属行业）行业</w:t>
      </w:r>
      <w:r>
        <w:rPr>
          <w:rFonts w:hint="eastAsia"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widowControl/>
        <w:spacing w:line="360" w:lineRule="auto"/>
        <w:ind w:firstLine="480" w:firstLineChars="200"/>
        <w:jc w:val="left"/>
        <w:rPr>
          <w:rFonts w:ascii="宋体" w:hAnsi="宋体" w:cs="宋体"/>
          <w:color w:val="auto"/>
          <w:kern w:val="0"/>
          <w:sz w:val="24"/>
          <w:szCs w:val="24"/>
          <w:highlight w:val="none"/>
        </w:rPr>
      </w:pP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企业名称（盖章）：</w:t>
      </w:r>
    </w:p>
    <w:p>
      <w:pPr>
        <w:widowControl/>
        <w:spacing w:line="360" w:lineRule="auto"/>
        <w:ind w:firstLine="480" w:firstLineChars="200"/>
        <w:jc w:val="left"/>
        <w:rPr>
          <w:rFonts w:ascii="宋体" w:hAnsi="宋体" w:cs="宋体"/>
          <w:color w:val="auto"/>
          <w:kern w:val="0"/>
          <w:sz w:val="24"/>
          <w:szCs w:val="24"/>
          <w:highlight w:val="none"/>
        </w:rPr>
      </w:pP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w:t>
      </w:r>
    </w:p>
    <w:p>
      <w:pPr>
        <w:widowControl/>
        <w:spacing w:line="360" w:lineRule="auto"/>
        <w:ind w:firstLine="480" w:firstLineChars="200"/>
        <w:jc w:val="left"/>
        <w:rPr>
          <w:rFonts w:ascii="宋体" w:hAnsi="宋体" w:cs="宋体"/>
          <w:color w:val="auto"/>
          <w:kern w:val="0"/>
          <w:sz w:val="24"/>
          <w:szCs w:val="24"/>
          <w:highlight w:val="none"/>
        </w:rPr>
      </w:pPr>
    </w:p>
    <w:p>
      <w:pPr>
        <w:widowControl/>
        <w:spacing w:line="360" w:lineRule="auto"/>
        <w:ind w:firstLine="480" w:firstLineChars="200"/>
        <w:jc w:val="left"/>
        <w:rPr>
          <w:rFonts w:ascii="宋体" w:hAnsi="宋体" w:cs="宋体"/>
          <w:color w:val="auto"/>
          <w:kern w:val="0"/>
          <w:sz w:val="24"/>
          <w:szCs w:val="24"/>
          <w:highlight w:val="none"/>
        </w:rPr>
      </w:pPr>
    </w:p>
    <w:p>
      <w:pPr>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pPr>
        <w:widowControl/>
        <w:numPr>
          <w:ilvl w:val="0"/>
          <w:numId w:val="12"/>
        </w:numPr>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从业人员、营业收入、资产总额填报上一年度数据，无上一年度数据的新成立企业可不填报。</w:t>
      </w:r>
    </w:p>
    <w:p>
      <w:pPr>
        <w:widowControl/>
        <w:numPr>
          <w:ilvl w:val="0"/>
          <w:numId w:val="12"/>
        </w:numPr>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非中型/小型/微型企业无需出具此函。根据中小企业划型标准规定（工信部联企业[2011]300号），本项目属于工业。本项目为货物类政府采购项目，根据《政府采购促进中小企业发展管理办法》（财库﹝2020﹞46号）的规定，货物由中小企业制造，即货物由中小企业生产且使用该中小企业商号或者注册商标，而以代理商身份参与的供应商本身。</w:t>
      </w:r>
    </w:p>
    <w:p>
      <w:pPr>
        <w:widowControl/>
        <w:numPr>
          <w:ilvl w:val="0"/>
          <w:numId w:val="12"/>
        </w:numPr>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此函应与《分项报价表》相对应。</w:t>
      </w:r>
    </w:p>
    <w:p>
      <w:pPr>
        <w:widowControl/>
        <w:numPr>
          <w:ilvl w:val="0"/>
          <w:numId w:val="12"/>
        </w:numPr>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公示期间若发现供应商虚假填报本表，将被上报至财政主管部门，处以相应惩罚。</w:t>
      </w:r>
    </w:p>
    <w:p>
      <w:pPr>
        <w:pStyle w:val="24"/>
        <w:ind w:firstLine="482"/>
        <w:rPr>
          <w:rFonts w:ascii="宋体" w:hAnsi="宋体" w:cs="宋体"/>
          <w:b/>
          <w:bCs/>
          <w:color w:val="auto"/>
          <w:kern w:val="0"/>
          <w:sz w:val="24"/>
          <w:highlight w:val="none"/>
        </w:rPr>
      </w:pPr>
      <w:r>
        <w:rPr>
          <w:rFonts w:hint="eastAsia" w:ascii="宋体" w:hAnsi="宋体" w:cs="宋体"/>
          <w:b/>
          <w:bCs/>
          <w:color w:val="auto"/>
          <w:kern w:val="0"/>
          <w:sz w:val="24"/>
          <w:highlight w:val="none"/>
        </w:rPr>
        <w:t>5后附中小企业查询小程序。</w:t>
      </w:r>
    </w:p>
    <w:p>
      <w:pPr>
        <w:rPr>
          <w:color w:val="auto"/>
          <w:highlight w:val="none"/>
        </w:rPr>
      </w:pPr>
    </w:p>
    <w:p>
      <w:pPr>
        <w:rPr>
          <w:rFonts w:ascii="宋体" w:hAnsi="宋体" w:cs="宋体"/>
          <w:color w:val="auto"/>
          <w:highlight w:val="none"/>
        </w:rPr>
      </w:pPr>
    </w:p>
    <w:p>
      <w:pPr>
        <w:tabs>
          <w:tab w:val="left" w:pos="5670"/>
        </w:tabs>
        <w:spacing w:line="500" w:lineRule="exact"/>
        <w:ind w:firstLine="420" w:firstLineChars="200"/>
        <w:jc w:val="center"/>
        <w:rPr>
          <w:rFonts w:ascii="宋体" w:hAnsi="宋体" w:cs="宋体"/>
          <w:b/>
          <w:color w:val="auto"/>
          <w:sz w:val="30"/>
          <w:szCs w:val="30"/>
          <w:highlight w:val="none"/>
        </w:rPr>
      </w:pPr>
      <w:r>
        <w:rPr>
          <w:rFonts w:hint="eastAsia" w:ascii="宋体" w:hAnsi="宋体" w:cs="宋体"/>
          <w:color w:val="auto"/>
          <w:highlight w:val="none"/>
        </w:rPr>
        <w:drawing>
          <wp:anchor distT="0" distB="0" distL="114300" distR="114300" simplePos="0" relativeHeight="251659264" behindDoc="0" locked="0" layoutInCell="1" allowOverlap="1">
            <wp:simplePos x="0" y="0"/>
            <wp:positionH relativeFrom="column">
              <wp:posOffset>1034415</wp:posOffset>
            </wp:positionH>
            <wp:positionV relativeFrom="paragraph">
              <wp:posOffset>57150</wp:posOffset>
            </wp:positionV>
            <wp:extent cx="3237230" cy="6492240"/>
            <wp:effectExtent l="0" t="0" r="1270" b="10160"/>
            <wp:wrapNone/>
            <wp:docPr id="7" name="图片 7" descr="3d13c85815f00ecb4dfee7cc2b249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d13c85815f00ecb4dfee7cc2b2496e"/>
                    <pic:cNvPicPr>
                      <a:picLocks noChangeAspect="1"/>
                    </pic:cNvPicPr>
                  </pic:nvPicPr>
                  <pic:blipFill>
                    <a:blip r:embed="rId14" cstate="print"/>
                    <a:stretch>
                      <a:fillRect/>
                    </a:stretch>
                  </pic:blipFill>
                  <pic:spPr>
                    <a:xfrm>
                      <a:off x="0" y="0"/>
                      <a:ext cx="3237230" cy="6492240"/>
                    </a:xfrm>
                    <a:prstGeom prst="rect">
                      <a:avLst/>
                    </a:prstGeom>
                  </pic:spPr>
                </pic:pic>
              </a:graphicData>
            </a:graphic>
          </wp:anchor>
        </w:drawing>
      </w:r>
      <w:r>
        <w:rPr>
          <w:rFonts w:hint="eastAsia" w:ascii="宋体" w:hAnsi="宋体" w:cs="宋体"/>
          <w:color w:val="auto"/>
          <w:highlight w:val="none"/>
        </w:rPr>
        <w:br w:type="page"/>
      </w:r>
      <w:r>
        <w:rPr>
          <w:rFonts w:hint="eastAsia" w:ascii="宋体" w:hAnsi="宋体" w:cs="宋体"/>
          <w:b/>
          <w:color w:val="auto"/>
          <w:sz w:val="30"/>
          <w:szCs w:val="30"/>
          <w:highlight w:val="none"/>
        </w:rPr>
        <w:t>残疾人福利性单位声明函</w:t>
      </w:r>
    </w:p>
    <w:p>
      <w:pPr>
        <w:spacing w:line="500" w:lineRule="exact"/>
        <w:jc w:val="center"/>
        <w:rPr>
          <w:rFonts w:ascii="宋体" w:hAnsi="宋体" w:cs="宋体"/>
          <w:b/>
          <w:color w:val="auto"/>
          <w:sz w:val="30"/>
          <w:szCs w:val="30"/>
          <w:highlight w:val="none"/>
        </w:rPr>
      </w:pPr>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项目编号：____）采购活动提供本单位制造的货物（由本单位承担工程/提供服务），或者提供其他残疾人福利性单位制造的货物（不包括使用非残疾人福利性单位注册商标的货物）。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pPr>
        <w:spacing w:line="500" w:lineRule="exact"/>
        <w:ind w:firstLine="480" w:firstLineChars="200"/>
        <w:jc w:val="left"/>
        <w:rPr>
          <w:rFonts w:ascii="宋体" w:hAnsi="宋体" w:cs="宋体"/>
          <w:color w:val="auto"/>
          <w:sz w:val="24"/>
          <w:szCs w:val="24"/>
          <w:highlight w:val="none"/>
        </w:rPr>
      </w:pPr>
    </w:p>
    <w:p>
      <w:pPr>
        <w:tabs>
          <w:tab w:val="left" w:pos="567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名称</w:t>
      </w:r>
      <w:r>
        <w:rPr>
          <w:rFonts w:hint="eastAsia" w:ascii="宋体" w:hAnsi="宋体" w:cs="宋体"/>
          <w:color w:val="auto"/>
          <w:sz w:val="24"/>
          <w:szCs w:val="24"/>
          <w:highlight w:val="none"/>
        </w:rPr>
        <w:t>（加盖公章）</w:t>
      </w:r>
    </w:p>
    <w:p>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w:t>
      </w:r>
      <w:r>
        <w:rPr>
          <w:rFonts w:hint="eastAsia" w:ascii="宋体" w:hAnsi="宋体" w:cs="宋体"/>
          <w:color w:val="auto"/>
          <w:szCs w:val="24"/>
          <w:highlight w:val="none"/>
        </w:rPr>
        <w:t>签字或盖章</w:t>
      </w:r>
      <w:r>
        <w:rPr>
          <w:rFonts w:hint="eastAsia" w:ascii="宋体" w:hAnsi="宋体" w:cs="宋体"/>
          <w:color w:val="auto"/>
          <w:sz w:val="24"/>
          <w:szCs w:val="24"/>
          <w:highlight w:val="none"/>
        </w:rPr>
        <w:t>）</w:t>
      </w:r>
    </w:p>
    <w:p>
      <w:pPr>
        <w:tabs>
          <w:tab w:val="left" w:pos="567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日　期：　　年　月　日</w:t>
      </w:r>
    </w:p>
    <w:p>
      <w:pPr>
        <w:tabs>
          <w:tab w:val="left" w:pos="5670"/>
        </w:tabs>
        <w:spacing w:line="500" w:lineRule="exact"/>
        <w:ind w:firstLine="480" w:firstLineChars="200"/>
        <w:jc w:val="left"/>
        <w:rPr>
          <w:rFonts w:ascii="宋体" w:hAnsi="宋体" w:cs="宋体"/>
          <w:color w:val="auto"/>
          <w:sz w:val="24"/>
          <w:szCs w:val="24"/>
          <w:highlight w:val="none"/>
        </w:rPr>
      </w:pPr>
    </w:p>
    <w:p>
      <w:pPr>
        <w:tabs>
          <w:tab w:val="left" w:pos="5670"/>
        </w:tabs>
        <w:ind w:firstLine="566"/>
        <w:jc w:val="left"/>
        <w:rPr>
          <w:rFonts w:ascii="宋体" w:hAnsi="宋体" w:cs="宋体"/>
          <w:color w:val="auto"/>
          <w:sz w:val="24"/>
          <w:szCs w:val="24"/>
          <w:highlight w:val="none"/>
        </w:rPr>
      </w:pPr>
      <w:r>
        <w:rPr>
          <w:rFonts w:hint="eastAsia" w:ascii="宋体" w:hAnsi="宋体" w:cs="宋体"/>
          <w:b/>
          <w:bCs/>
          <w:color w:val="auto"/>
          <w:sz w:val="24"/>
          <w:szCs w:val="24"/>
          <w:highlight w:val="none"/>
        </w:rPr>
        <w:t>备注：</w:t>
      </w:r>
      <w:r>
        <w:rPr>
          <w:rFonts w:hint="eastAsia" w:ascii="宋体" w:hAnsi="宋体" w:cs="宋体"/>
          <w:color w:val="auto"/>
          <w:sz w:val="24"/>
          <w:szCs w:val="24"/>
          <w:highlight w:val="none"/>
        </w:rPr>
        <w:t>根据《财政部 民政部 中国残疾人联合会关于促进残疾人就业政府采购政策的通知》（财库〔2017〕141号）的规定：</w:t>
      </w:r>
    </w:p>
    <w:p>
      <w:pPr>
        <w:tabs>
          <w:tab w:val="left" w:pos="5670"/>
        </w:tabs>
        <w:ind w:firstLine="566"/>
        <w:jc w:val="left"/>
        <w:rPr>
          <w:rFonts w:ascii="宋体" w:hAnsi="宋体" w:cs="宋体"/>
          <w:color w:val="auto"/>
          <w:sz w:val="24"/>
          <w:szCs w:val="24"/>
          <w:highlight w:val="none"/>
        </w:rPr>
      </w:pPr>
      <w:r>
        <w:rPr>
          <w:rFonts w:hint="eastAsia" w:ascii="宋体" w:hAnsi="宋体" w:cs="宋体"/>
          <w:color w:val="auto"/>
          <w:sz w:val="24"/>
          <w:szCs w:val="24"/>
          <w:highlight w:val="none"/>
        </w:rPr>
        <w:t>一、享受政府采购支持政策的残疾人福利性单位应当同时满足以下条件：</w:t>
      </w:r>
    </w:p>
    <w:p>
      <w:pPr>
        <w:tabs>
          <w:tab w:val="left" w:pos="5670"/>
        </w:tabs>
        <w:ind w:firstLine="566"/>
        <w:jc w:val="left"/>
        <w:rPr>
          <w:rFonts w:ascii="宋体" w:hAnsi="宋体" w:cs="宋体"/>
          <w:color w:val="auto"/>
          <w:sz w:val="24"/>
          <w:szCs w:val="24"/>
          <w:highlight w:val="none"/>
        </w:rPr>
      </w:pPr>
      <w:r>
        <w:rPr>
          <w:rFonts w:hint="eastAsia" w:ascii="宋体" w:hAnsi="宋体" w:cs="宋体"/>
          <w:color w:val="auto"/>
          <w:sz w:val="24"/>
          <w:szCs w:val="24"/>
          <w:highlight w:val="none"/>
        </w:rPr>
        <w:t>（一）安置的残疾人占本单位在职职工人数的比例不低于25%（含25%），并且安置的残疾人人数不少于10人（含10人）；</w:t>
      </w:r>
    </w:p>
    <w:p>
      <w:pPr>
        <w:tabs>
          <w:tab w:val="left" w:pos="5670"/>
        </w:tabs>
        <w:ind w:firstLine="566"/>
        <w:jc w:val="left"/>
        <w:rPr>
          <w:rFonts w:ascii="宋体" w:hAnsi="宋体" w:cs="宋体"/>
          <w:color w:val="auto"/>
          <w:sz w:val="24"/>
          <w:szCs w:val="24"/>
          <w:highlight w:val="none"/>
        </w:rPr>
      </w:pPr>
      <w:r>
        <w:rPr>
          <w:rFonts w:hint="eastAsia" w:ascii="宋体" w:hAnsi="宋体" w:cs="宋体"/>
          <w:color w:val="auto"/>
          <w:sz w:val="24"/>
          <w:szCs w:val="24"/>
          <w:highlight w:val="none"/>
        </w:rPr>
        <w:t>（二）依法与安置的每位残疾人签订了一年以上（含一年）的劳动合同或服务协议；</w:t>
      </w:r>
    </w:p>
    <w:p>
      <w:pPr>
        <w:tabs>
          <w:tab w:val="left" w:pos="5670"/>
        </w:tabs>
        <w:ind w:firstLine="566"/>
        <w:jc w:val="left"/>
        <w:rPr>
          <w:rFonts w:ascii="宋体" w:hAnsi="宋体" w:cs="宋体"/>
          <w:color w:val="auto"/>
          <w:sz w:val="24"/>
          <w:szCs w:val="24"/>
          <w:highlight w:val="none"/>
        </w:rPr>
      </w:pPr>
      <w:r>
        <w:rPr>
          <w:rFonts w:hint="eastAsia" w:ascii="宋体" w:hAnsi="宋体" w:cs="宋体"/>
          <w:color w:val="auto"/>
          <w:sz w:val="24"/>
          <w:szCs w:val="24"/>
          <w:highlight w:val="none"/>
        </w:rPr>
        <w:t>（三）为安置的每位残疾人按月足额缴纳了基本养老保险、基本医疗保险、失业保险、工伤保险和生育保险等社会保险费；</w:t>
      </w:r>
    </w:p>
    <w:p>
      <w:pPr>
        <w:tabs>
          <w:tab w:val="left" w:pos="5670"/>
        </w:tabs>
        <w:ind w:firstLine="566"/>
        <w:jc w:val="left"/>
        <w:rPr>
          <w:rFonts w:ascii="宋体" w:hAnsi="宋体" w:cs="宋体"/>
          <w:color w:val="auto"/>
          <w:sz w:val="24"/>
          <w:szCs w:val="24"/>
          <w:highlight w:val="none"/>
        </w:rPr>
      </w:pPr>
      <w:r>
        <w:rPr>
          <w:rFonts w:hint="eastAsia" w:ascii="宋体" w:hAnsi="宋体" w:cs="宋体"/>
          <w:color w:val="auto"/>
          <w:sz w:val="24"/>
          <w:szCs w:val="24"/>
          <w:highlight w:val="none"/>
        </w:rPr>
        <w:t>（四）通过银行等金融机构向安置的每位残疾人，按月支付了不低于单位所在区县适用的经省级人民政府批准的月最低工资标准的工资；</w:t>
      </w:r>
    </w:p>
    <w:p>
      <w:pPr>
        <w:tabs>
          <w:tab w:val="left" w:pos="5670"/>
        </w:tabs>
        <w:ind w:firstLine="566"/>
        <w:jc w:val="left"/>
        <w:rPr>
          <w:rFonts w:ascii="宋体" w:hAnsi="宋体" w:cs="宋体"/>
          <w:color w:val="auto"/>
          <w:sz w:val="24"/>
          <w:szCs w:val="24"/>
          <w:highlight w:val="none"/>
        </w:rPr>
      </w:pPr>
      <w:r>
        <w:rPr>
          <w:rFonts w:hint="eastAsia" w:ascii="宋体" w:hAnsi="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pPr>
        <w:tabs>
          <w:tab w:val="left" w:pos="5670"/>
        </w:tabs>
        <w:ind w:firstLine="566"/>
        <w:jc w:val="left"/>
        <w:rPr>
          <w:rFonts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二、中标/成交供应商为残疾人福利性单位的，采购人或者其委托的采购代理机构应当随中标/成交结果同时公告其《残疾人福利性单位声明函》，接受社会监督。</w:t>
      </w:r>
    </w:p>
    <w:p>
      <w:pPr>
        <w:tabs>
          <w:tab w:val="left" w:pos="5670"/>
        </w:tabs>
        <w:spacing w:line="500" w:lineRule="exact"/>
        <w:ind w:firstLine="482" w:firstLineChars="200"/>
        <w:jc w:val="left"/>
        <w:rPr>
          <w:rFonts w:ascii="宋体" w:hAnsi="宋体" w:cs="宋体"/>
          <w:b/>
          <w:color w:val="auto"/>
          <w:sz w:val="30"/>
          <w:szCs w:val="30"/>
          <w:highlight w:val="none"/>
        </w:rPr>
      </w:pPr>
      <w:r>
        <w:rPr>
          <w:rFonts w:hint="eastAsia" w:ascii="宋体" w:hAnsi="宋体" w:cs="宋体"/>
          <w:b/>
          <w:bCs/>
          <w:color w:val="auto"/>
          <w:sz w:val="24"/>
          <w:szCs w:val="24"/>
          <w:highlight w:val="none"/>
        </w:rPr>
        <w:t>非残疾人福利性单位无需出具此函。</w:t>
      </w:r>
    </w:p>
    <w:p>
      <w:pPr>
        <w:pStyle w:val="5"/>
        <w:rPr>
          <w:rFonts w:ascii="宋体" w:hAnsi="宋体" w:eastAsia="宋体" w:cs="宋体"/>
          <w:color w:val="auto"/>
          <w:highlight w:val="none"/>
        </w:rPr>
        <w:sectPr>
          <w:pgSz w:w="11906" w:h="16838"/>
          <w:pgMar w:top="1417" w:right="1644" w:bottom="1191" w:left="1757" w:header="850" w:footer="992" w:gutter="0"/>
          <w:cols w:space="0" w:num="1"/>
          <w:titlePg/>
          <w:docGrid w:linePitch="312" w:charSpace="0"/>
        </w:sectPr>
      </w:pPr>
    </w:p>
    <w:p>
      <w:pPr>
        <w:tabs>
          <w:tab w:val="left" w:pos="5670"/>
        </w:tabs>
        <w:spacing w:line="500" w:lineRule="exact"/>
        <w:ind w:firstLine="3313" w:firstLineChars="1100"/>
        <w:jc w:val="left"/>
        <w:rPr>
          <w:rFonts w:ascii="宋体" w:hAnsi="宋体" w:cs="宋体"/>
          <w:b/>
          <w:color w:val="auto"/>
          <w:sz w:val="30"/>
          <w:szCs w:val="30"/>
          <w:highlight w:val="none"/>
        </w:rPr>
      </w:pPr>
      <w:r>
        <w:rPr>
          <w:rFonts w:hint="eastAsia" w:ascii="宋体" w:hAnsi="宋体" w:cs="宋体"/>
          <w:b/>
          <w:color w:val="auto"/>
          <w:sz w:val="30"/>
          <w:szCs w:val="30"/>
          <w:highlight w:val="none"/>
        </w:rPr>
        <w:t>监狱企业证明函</w:t>
      </w:r>
    </w:p>
    <w:p>
      <w:pPr>
        <w:spacing w:line="500" w:lineRule="exact"/>
        <w:jc w:val="center"/>
        <w:rPr>
          <w:rFonts w:ascii="宋体" w:hAnsi="宋体" w:cs="宋体"/>
          <w:b/>
          <w:color w:val="auto"/>
          <w:sz w:val="30"/>
          <w:szCs w:val="30"/>
          <w:highlight w:val="none"/>
        </w:rPr>
      </w:pPr>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监狱企业参加政府采购活动时，应当提供由省级以上监狱管理局、戒毒管理局（含新疆生产建设兵团）出具的属于监狱企业的证明文件。</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非监狱企业无需出具此函。</w:t>
      </w:r>
    </w:p>
    <w:p>
      <w:pPr>
        <w:rPr>
          <w:rFonts w:ascii="宋体" w:hAnsi="宋体" w:cs="宋体"/>
          <w:color w:val="auto"/>
          <w:highlight w:val="none"/>
        </w:rPr>
      </w:pPr>
    </w:p>
    <w:p>
      <w:pPr>
        <w:rPr>
          <w:rFonts w:ascii="宋体" w:hAnsi="宋体" w:cs="宋体"/>
          <w:b/>
          <w:color w:val="auto"/>
          <w:sz w:val="30"/>
          <w:szCs w:val="30"/>
          <w:highlight w:val="none"/>
        </w:rPr>
      </w:pPr>
    </w:p>
    <w:p>
      <w:pPr>
        <w:rPr>
          <w:rFonts w:ascii="宋体" w:hAnsi="宋体" w:cs="宋体"/>
          <w:b/>
          <w:color w:val="auto"/>
          <w:sz w:val="30"/>
          <w:szCs w:val="30"/>
          <w:highlight w:val="none"/>
        </w:rPr>
      </w:pPr>
    </w:p>
    <w:p>
      <w:pPr>
        <w:rPr>
          <w:rFonts w:ascii="宋体" w:hAnsi="宋体" w:cs="宋体"/>
          <w:b/>
          <w:color w:val="auto"/>
          <w:sz w:val="30"/>
          <w:szCs w:val="30"/>
          <w:highlight w:val="none"/>
        </w:rPr>
      </w:pPr>
    </w:p>
    <w:p>
      <w:pPr>
        <w:rPr>
          <w:rFonts w:ascii="宋体" w:hAnsi="宋体" w:cs="宋体"/>
          <w:b/>
          <w:color w:val="auto"/>
          <w:sz w:val="30"/>
          <w:szCs w:val="30"/>
          <w:highlight w:val="none"/>
        </w:rPr>
      </w:pPr>
    </w:p>
    <w:p>
      <w:pPr>
        <w:rPr>
          <w:rFonts w:ascii="宋体" w:hAnsi="宋体" w:cs="宋体"/>
          <w:b/>
          <w:color w:val="auto"/>
          <w:sz w:val="30"/>
          <w:szCs w:val="30"/>
          <w:highlight w:val="none"/>
        </w:rPr>
      </w:pPr>
    </w:p>
    <w:p>
      <w:pPr>
        <w:rPr>
          <w:rFonts w:ascii="宋体" w:hAnsi="宋体" w:cs="宋体"/>
          <w:b/>
          <w:color w:val="auto"/>
          <w:sz w:val="30"/>
          <w:szCs w:val="30"/>
          <w:highlight w:val="none"/>
        </w:rPr>
      </w:pPr>
    </w:p>
    <w:p>
      <w:pPr>
        <w:rPr>
          <w:rFonts w:ascii="宋体" w:hAnsi="宋体" w:cs="宋体"/>
          <w:b/>
          <w:color w:val="auto"/>
          <w:sz w:val="30"/>
          <w:szCs w:val="30"/>
          <w:highlight w:val="none"/>
        </w:rPr>
      </w:pPr>
    </w:p>
    <w:sectPr>
      <w:pgSz w:w="11906" w:h="16838"/>
      <w:pgMar w:top="1417" w:right="1644" w:bottom="1191" w:left="1757" w:header="850"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10002FF" w:usb1="4000FCFF" w:usb2="00000009" w:usb3="00000000" w:csb0="6000019F" w:csb1="DFD70000"/>
  </w:font>
  <w:font w:name="Segoe UI">
    <w:panose1 w:val="020B0502040204020203"/>
    <w:charset w:val="00"/>
    <w:family w:val="swiss"/>
    <w:pitch w:val="default"/>
    <w:sig w:usb0="E10022FF" w:usb1="C000E47F" w:usb2="00000029" w:usb3="00000000" w:csb0="200001DF" w:csb1="20000000"/>
  </w:font>
  <w:font w:name="SourceHanSansCN-Regular">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9"/>
      </w:rPr>
    </w:pPr>
    <w:r>
      <w:fldChar w:fldCharType="begin"/>
    </w:r>
    <w:r>
      <w:rPr>
        <w:rStyle w:val="29"/>
      </w:rPr>
      <w:instrText xml:space="preserve">PAGE  </w:instrTex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cs="宋体"/>
        <w:szCs w:val="18"/>
      </w:rPr>
    </w:pPr>
  </w:p>
  <w:p>
    <w:pPr>
      <w:pStyle w:val="16"/>
      <w:rPr>
        <w:rFonts w:cs="宋体"/>
        <w:szCs w:val="18"/>
      </w:rPr>
    </w:pPr>
    <w:r>
      <w:rPr>
        <w:rFonts w:hint="eastAsia" w:cs="宋体"/>
        <w:szCs w:val="18"/>
      </w:rPr>
      <w:t>陕西中信海诚造价咨询有限公司              地址：西安市碑林区含光北路2号广丰国际大厦II区806室</w:t>
    </w:r>
  </w:p>
  <w:p>
    <w:pPr>
      <w:pStyle w:val="16"/>
      <w:jc w:val="center"/>
      <w:rPr>
        <w:rFonts w:ascii="宋体" w:hAnsi="宋体" w:cs="宋体"/>
      </w:rPr>
    </w:pPr>
    <w:r>
      <w:pict>
        <v:shape id="_x0000_s2051" o:spid="_x0000_s2051" o:spt="202" type="#_x0000_t202" style="position:absolute;left:0pt;margin-left:178.45pt;margin-top:1pt;height:17.05pt;width:89.4pt;mso-position-horizontal-relative:margin;z-index:251660288;mso-width-relative:page;mso-height-relative:page;" filled="f" stroked="f" coordsize="21600,21600" o:gfxdata="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wEIjtcAAAAIAQAADwAAAAAAAAABACAAAAAiAAAAZHJzL2Rvd25y&#10;ZXYueG1sUEsBAhQAFAAAAAgAh07iQB2ass84AgAAYgQAAA4AAAAAAAAAAQAgAAAAJgEAAGRycy9l&#10;Mm9Eb2MueG1sUEsFBgAAAAAGAAYAWQEAANAFAAAAAA==&#10;">
          <v:path/>
          <v:fill on="f" focussize="0,0"/>
          <v:stroke on="f" weight="0.5pt" joinstyle="miter"/>
          <v:imagedata o:title=""/>
          <o:lock v:ext="edit"/>
          <v:textbox inset="0mm,0mm,0mm,0mm">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cs="宋体"/>
        <w:szCs w:val="18"/>
      </w:rPr>
    </w:pPr>
  </w:p>
  <w:p>
    <w:pPr>
      <w:pStyle w:val="16"/>
      <w:rPr>
        <w:rFonts w:cs="宋体"/>
        <w:szCs w:val="18"/>
      </w:rPr>
    </w:pPr>
    <w:r>
      <w:rPr>
        <w:rFonts w:hint="eastAsia" w:cs="宋体"/>
        <w:szCs w:val="18"/>
      </w:rPr>
      <w:t>陕西中信海诚造价咨询有限公司            地址：西安市碑林区含光北路2号广丰国际大厦II区806室</w:t>
    </w:r>
  </w:p>
  <w:p>
    <w:pPr>
      <w:pStyle w:val="16"/>
      <w:rPr>
        <w:rFonts w:cs="宋体"/>
        <w:szCs w:val="18"/>
      </w:rPr>
    </w:pPr>
    <w:r>
      <w:pict>
        <v:shape id="_x0000_s2052" o:spid="_x0000_s2052" o:spt="202" type="#_x0000_t202" style="position:absolute;left:0pt;margin-left:154.1pt;margin-top:1.55pt;height:18.2pt;width:105pt;mso-position-horizontal-relative:margin;z-index:251661312;mso-width-relative:page;mso-height-relative:page;" filled="f" stroked="f" coordsize="21600,21600" o:gfxdata="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3VZ9UAAAAIAQAADwAAAAAAAAABACAAAAAiAAAAZHJzL2Rvd25yZXYu&#10;eG1sUEsBAhQAFAAAAAgAh07iQGG4qFQ3AgAAYgQAAA4AAAAAAAAAAQAgAAAAJAEAAGRycy9lMm9E&#10;b2MueG1sUEsFBgAAAAAGAAYAWQEAAM0FAAAAAA==&#10;">
          <v:path/>
          <v:fill on="f" focussize="0,0"/>
          <v:stroke on="f" weight="0.5pt" joinstyle="miter"/>
          <v:imagedata o:title=""/>
          <o:lock v:ext="edit"/>
          <v:textbox inset="0mm,0mm,0mm,0mm">
            <w:txbxContent>
              <w:p>
                <w:pPr>
                  <w:pStyle w:val="16"/>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w:r>
  </w:p>
  <w:p>
    <w:pPr>
      <w:pStyle w:val="16"/>
      <w:jc w:val="cente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cs="宋体"/>
        <w:szCs w:val="18"/>
      </w:rPr>
    </w:pPr>
  </w:p>
  <w:p>
    <w:pPr>
      <w:pStyle w:val="16"/>
      <w:rPr>
        <w:rFonts w:cs="宋体"/>
        <w:szCs w:val="18"/>
      </w:rPr>
    </w:pPr>
    <w:r>
      <w:rPr>
        <w:rFonts w:hint="eastAsia" w:cs="宋体"/>
        <w:szCs w:val="18"/>
      </w:rPr>
      <w:t>陕西中信海诚造价咨询有限公司                                                                            地址：西安市碑林区含光北路2号广丰国际大厦II区806室</w:t>
    </w:r>
  </w:p>
  <w:p>
    <w:pPr>
      <w:pStyle w:val="16"/>
      <w:jc w:val="center"/>
      <w:rPr>
        <w:rFonts w:ascii="宋体" w:hAnsi="宋体" w:cs="宋体"/>
      </w:rPr>
    </w:pPr>
    <w:r>
      <w:pict>
        <v:shape id="_x0000_s2050" o:spid="_x0000_s2050" o:spt="202" type="#_x0000_t202" style="position:absolute;left:0pt;margin-left:296.65pt;margin-top:1pt;height:17.05pt;width:102.8pt;mso-position-horizontal-relative:margin;z-index:251662336;mso-width-relative:page;mso-height-relative:page;" filled="f" stroked="f" coordsize="21600,21600" o:gfxdata="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x9kaX1wAAAAgBAAAPAAAAAAAAAAEAIAAAACIAAABkcnMvZG93bnJl&#10;di54bWxQSwECFAAUAAAACACHTuJAZFVk6TcCAABiBAAADgAAAAAAAAABACAAAAAmAQAAZHJzL2Uy&#10;b0RvYy54bWxQSwUGAAAAAAYABgBZAQAAzwUAAAAA&#10;">
          <v:path/>
          <v:fill on="f" focussize="0,0"/>
          <v:stroke on="f" weight="0.5pt" joinstyle="miter"/>
          <v:imagedata o:title=""/>
          <o:lock v:ext="edit"/>
          <v:textbox inset="0mm,0mm,0mm,0mm">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cs="宋体"/>
        <w:szCs w:val="18"/>
      </w:rPr>
    </w:pPr>
  </w:p>
  <w:p>
    <w:pPr>
      <w:pStyle w:val="16"/>
      <w:rPr>
        <w:rFonts w:cs="宋体"/>
        <w:szCs w:val="18"/>
      </w:rPr>
    </w:pPr>
    <w:r>
      <w:rPr>
        <w:rFonts w:hint="eastAsia" w:cs="宋体"/>
        <w:szCs w:val="18"/>
      </w:rPr>
      <w:t>陕西中信海诚造价咨询有限公司              地址：西安市碑林区含光北路2号广丰国际大厦II区806室</w:t>
    </w:r>
  </w:p>
  <w:p>
    <w:pPr>
      <w:pStyle w:val="16"/>
      <w:jc w:val="center"/>
      <w:rPr>
        <w:rFonts w:ascii="宋体" w:hAnsi="宋体" w:cs="宋体"/>
      </w:rPr>
    </w:pPr>
    <w:r>
      <w:pict>
        <v:shape id="_x0000_s2049" o:spid="_x0000_s2049" o:spt="202" type="#_x0000_t202" style="position:absolute;left:0pt;margin-left:152.05pt;margin-top:1pt;height:17.05pt;width:100.95pt;mso-position-horizontal-relative:margin;z-index:251663360;mso-width-relative:page;mso-height-relative:page;" filled="f" stroked="f" coordsize="21600,21600" o:gfxdata="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SZQq61QAAAAgBAAAPAAAAAAAAAAEAIAAAACIAAABkcnMvZG93bnJldi54&#10;bWxQSwECFAAUAAAACACHTuJABEXWFjYCAABiBAAADgAAAAAAAAABACAAAAAkAQAAZHJzL2Uyb0Rv&#10;Yy54bWxQSwUGAAAAAAYABgBZAQAAzAUAAAAA&#10;">
          <v:path/>
          <v:fill on="f" focussize="0,0"/>
          <v:stroke on="f" weight="0.5pt" joinstyle="miter"/>
          <v:imagedata o:title=""/>
          <o:lock v:ext="edit"/>
          <v:textbox inset="0mm,0mm,0mm,0mm">
            <w:txbxContent>
              <w:p>
                <w:pPr>
                  <w:pStyle w:val="16"/>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Cs w:val="18"/>
      </w:rPr>
    </w:pPr>
    <w:r>
      <w:rPr>
        <w:rFonts w:hint="eastAsia" w:ascii="宋体" w:hAnsi="宋体" w:cs="宋体"/>
        <w:szCs w:val="18"/>
      </w:rPr>
      <w:t>初中理化生实验考试系统项目竞争性谈判文件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Cs w:val="18"/>
      </w:rPr>
    </w:pPr>
    <w:r>
      <w:rPr>
        <w:rFonts w:hint="eastAsia" w:ascii="宋体" w:hAnsi="宋体" w:cs="宋体"/>
        <w:szCs w:val="18"/>
      </w:rPr>
      <w:t>初中理化生实验考试系统</w:t>
    </w:r>
    <w:r>
      <w:rPr>
        <w:rFonts w:hint="eastAsia" w:ascii="宋体" w:hAnsi="宋体" w:cs="宋体"/>
        <w:szCs w:val="18"/>
        <w:lang w:eastAsia="zh-CN"/>
      </w:rPr>
      <w:t>采购</w:t>
    </w:r>
    <w:r>
      <w:rPr>
        <w:rFonts w:hint="eastAsia" w:ascii="宋体" w:hAnsi="宋体" w:cs="宋体"/>
        <w:szCs w:val="18"/>
      </w:rPr>
      <w:t>项目竞争性谈判文件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宋体" w:hAnsi="宋体" w:cs="宋体"/>
        <w:szCs w:val="18"/>
      </w:rPr>
      <w:t>初中理化生实验考试系统项目竞争性谈判文件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E7A21"/>
    <w:multiLevelType w:val="singleLevel"/>
    <w:tmpl w:val="970E7A21"/>
    <w:lvl w:ilvl="0" w:tentative="0">
      <w:start w:val="1"/>
      <w:numFmt w:val="decimal"/>
      <w:suff w:val="nothing"/>
      <w:lvlText w:val="%1、"/>
      <w:lvlJc w:val="left"/>
    </w:lvl>
  </w:abstractNum>
  <w:abstractNum w:abstractNumId="1">
    <w:nsid w:val="B0AE91AE"/>
    <w:multiLevelType w:val="singleLevel"/>
    <w:tmpl w:val="B0AE91AE"/>
    <w:lvl w:ilvl="0" w:tentative="0">
      <w:start w:val="3"/>
      <w:numFmt w:val="decimal"/>
      <w:suff w:val="nothing"/>
      <w:lvlText w:val="%1、"/>
      <w:lvlJc w:val="left"/>
    </w:lvl>
  </w:abstractNum>
  <w:abstractNum w:abstractNumId="2">
    <w:nsid w:val="B5D25826"/>
    <w:multiLevelType w:val="singleLevel"/>
    <w:tmpl w:val="B5D25826"/>
    <w:lvl w:ilvl="0" w:tentative="0">
      <w:start w:val="2"/>
      <w:numFmt w:val="decimal"/>
      <w:suff w:val="nothing"/>
      <w:lvlText w:val="%1、"/>
      <w:lvlJc w:val="left"/>
    </w:lvl>
  </w:abstractNum>
  <w:abstractNum w:abstractNumId="3">
    <w:nsid w:val="DC289C3F"/>
    <w:multiLevelType w:val="singleLevel"/>
    <w:tmpl w:val="DC289C3F"/>
    <w:lvl w:ilvl="0" w:tentative="0">
      <w:start w:val="1"/>
      <w:numFmt w:val="chineseCounting"/>
      <w:suff w:val="nothing"/>
      <w:lvlText w:val="%1、"/>
      <w:lvlJc w:val="left"/>
      <w:rPr>
        <w:rFonts w:hint="eastAsia" w:ascii="宋体" w:hAnsi="宋体" w:eastAsia="宋体" w:cs="宋体"/>
        <w:sz w:val="24"/>
        <w:szCs w:val="24"/>
      </w:rPr>
    </w:lvl>
  </w:abstractNum>
  <w:abstractNum w:abstractNumId="4">
    <w:nsid w:val="FC5F827B"/>
    <w:multiLevelType w:val="singleLevel"/>
    <w:tmpl w:val="FC5F827B"/>
    <w:lvl w:ilvl="0" w:tentative="0">
      <w:start w:val="1"/>
      <w:numFmt w:val="decimal"/>
      <w:lvlText w:val="%1."/>
      <w:lvlJc w:val="left"/>
      <w:pPr>
        <w:tabs>
          <w:tab w:val="left" w:pos="312"/>
        </w:tabs>
      </w:pPr>
    </w:lvl>
  </w:abstractNum>
  <w:abstractNum w:abstractNumId="5">
    <w:nsid w:val="FE9D9E2D"/>
    <w:multiLevelType w:val="singleLevel"/>
    <w:tmpl w:val="FE9D9E2D"/>
    <w:lvl w:ilvl="0" w:tentative="0">
      <w:start w:val="1"/>
      <w:numFmt w:val="decimal"/>
      <w:suff w:val="nothing"/>
      <w:lvlText w:val="%1、"/>
      <w:lvlJc w:val="left"/>
    </w:lvl>
  </w:abstractNum>
  <w:abstractNum w:abstractNumId="6">
    <w:nsid w:val="005859CF"/>
    <w:multiLevelType w:val="singleLevel"/>
    <w:tmpl w:val="005859CF"/>
    <w:lvl w:ilvl="0" w:tentative="0">
      <w:start w:val="1"/>
      <w:numFmt w:val="decimal"/>
      <w:lvlText w:val="%1."/>
      <w:lvlJc w:val="left"/>
      <w:pPr>
        <w:ind w:left="425" w:hanging="425"/>
      </w:pPr>
      <w:rPr>
        <w:rFonts w:hint="default"/>
      </w:rPr>
    </w:lvl>
  </w:abstractNum>
  <w:abstractNum w:abstractNumId="7">
    <w:nsid w:val="05DC2D9D"/>
    <w:multiLevelType w:val="singleLevel"/>
    <w:tmpl w:val="05DC2D9D"/>
    <w:lvl w:ilvl="0" w:tentative="0">
      <w:start w:val="2"/>
      <w:numFmt w:val="chineseCounting"/>
      <w:suff w:val="nothing"/>
      <w:lvlText w:val="（%1）"/>
      <w:lvlJc w:val="left"/>
      <w:rPr>
        <w:rFonts w:hint="eastAsia"/>
      </w:rPr>
    </w:lvl>
  </w:abstractNum>
  <w:abstractNum w:abstractNumId="8">
    <w:nsid w:val="1C1749AA"/>
    <w:multiLevelType w:val="singleLevel"/>
    <w:tmpl w:val="1C1749AA"/>
    <w:lvl w:ilvl="0" w:tentative="0">
      <w:start w:val="1"/>
      <w:numFmt w:val="decimal"/>
      <w:suff w:val="nothing"/>
      <w:lvlText w:val="%1）"/>
      <w:lvlJc w:val="left"/>
    </w:lvl>
  </w:abstractNum>
  <w:abstractNum w:abstractNumId="9">
    <w:nsid w:val="4432A424"/>
    <w:multiLevelType w:val="singleLevel"/>
    <w:tmpl w:val="4432A424"/>
    <w:lvl w:ilvl="0" w:tentative="0">
      <w:start w:val="1"/>
      <w:numFmt w:val="decimal"/>
      <w:suff w:val="nothing"/>
      <w:lvlText w:val="%1、"/>
      <w:lvlJc w:val="left"/>
      <w:pPr>
        <w:ind w:left="-60"/>
      </w:pPr>
    </w:lvl>
  </w:abstractNum>
  <w:abstractNum w:abstractNumId="10">
    <w:nsid w:val="69843588"/>
    <w:multiLevelType w:val="singleLevel"/>
    <w:tmpl w:val="69843588"/>
    <w:lvl w:ilvl="0" w:tentative="0">
      <w:start w:val="1"/>
      <w:numFmt w:val="decimal"/>
      <w:suff w:val="nothing"/>
      <w:lvlText w:val="%1、"/>
      <w:lvlJc w:val="left"/>
    </w:lvl>
  </w:abstractNum>
  <w:abstractNum w:abstractNumId="11">
    <w:nsid w:val="70E23EC0"/>
    <w:multiLevelType w:val="singleLevel"/>
    <w:tmpl w:val="70E23EC0"/>
    <w:lvl w:ilvl="0" w:tentative="0">
      <w:start w:val="1"/>
      <w:numFmt w:val="decimal"/>
      <w:lvlText w:val="%1."/>
      <w:lvlJc w:val="left"/>
      <w:pPr>
        <w:ind w:left="425" w:hanging="425"/>
      </w:pPr>
      <w:rPr>
        <w:rFonts w:hint="default"/>
      </w:rPr>
    </w:lvl>
  </w:abstractNum>
  <w:num w:numId="1">
    <w:abstractNumId w:val="11"/>
  </w:num>
  <w:num w:numId="2">
    <w:abstractNumId w:val="10"/>
  </w:num>
  <w:num w:numId="3">
    <w:abstractNumId w:val="6"/>
  </w:num>
  <w:num w:numId="4">
    <w:abstractNumId w:val="0"/>
  </w:num>
  <w:num w:numId="5">
    <w:abstractNumId w:val="3"/>
  </w:num>
  <w:num w:numId="6">
    <w:abstractNumId w:val="7"/>
  </w:num>
  <w:num w:numId="7">
    <w:abstractNumId w:val="5"/>
  </w:num>
  <w:num w:numId="8">
    <w:abstractNumId w:val="2"/>
  </w:num>
  <w:num w:numId="9">
    <w:abstractNumId w:val="1"/>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dit="forms" w:formatting="1" w:enforcement="0"/>
  <w:defaultTabStop w:val="420"/>
  <w:drawingGridHorizontalSpacing w:val="210"/>
  <w:drawingGridVerticalSpacing w:val="156"/>
  <w:noPunctuationKerning w:val="1"/>
  <w:characterSpacingControl w:val="compressPunctuation"/>
  <w:hdrShapeDefaults>
    <o:shapelayout v:ext="edit">
      <o:idmap v:ext="edit" data="2"/>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hYzAyMzg1MTgwOGI0OGQzMWRiOGNlZWVlOTM3YzYifQ=="/>
  </w:docVars>
  <w:rsids>
    <w:rsidRoot w:val="68E14B9D"/>
    <w:rsid w:val="00020B2A"/>
    <w:rsid w:val="00030E3B"/>
    <w:rsid w:val="00036460"/>
    <w:rsid w:val="00082611"/>
    <w:rsid w:val="000F5B9D"/>
    <w:rsid w:val="00160CDD"/>
    <w:rsid w:val="00173181"/>
    <w:rsid w:val="00181BEC"/>
    <w:rsid w:val="00184E6A"/>
    <w:rsid w:val="001E01C9"/>
    <w:rsid w:val="001E264E"/>
    <w:rsid w:val="0023578A"/>
    <w:rsid w:val="00287BB1"/>
    <w:rsid w:val="002A0EFA"/>
    <w:rsid w:val="002A6B4B"/>
    <w:rsid w:val="002B67D6"/>
    <w:rsid w:val="003005B1"/>
    <w:rsid w:val="0030743C"/>
    <w:rsid w:val="00317B43"/>
    <w:rsid w:val="00321DA0"/>
    <w:rsid w:val="003A6814"/>
    <w:rsid w:val="00433134"/>
    <w:rsid w:val="00460885"/>
    <w:rsid w:val="004819D5"/>
    <w:rsid w:val="00486D75"/>
    <w:rsid w:val="004C5F35"/>
    <w:rsid w:val="004D6D2A"/>
    <w:rsid w:val="00503783"/>
    <w:rsid w:val="005C3B13"/>
    <w:rsid w:val="005C5513"/>
    <w:rsid w:val="005E4180"/>
    <w:rsid w:val="00675F3D"/>
    <w:rsid w:val="0068355E"/>
    <w:rsid w:val="00685920"/>
    <w:rsid w:val="006F62CC"/>
    <w:rsid w:val="00753CB9"/>
    <w:rsid w:val="00792F0C"/>
    <w:rsid w:val="007C7A9A"/>
    <w:rsid w:val="008961E1"/>
    <w:rsid w:val="0092286A"/>
    <w:rsid w:val="00941083"/>
    <w:rsid w:val="00966EE6"/>
    <w:rsid w:val="009C267F"/>
    <w:rsid w:val="009D1750"/>
    <w:rsid w:val="009E795C"/>
    <w:rsid w:val="00A0287F"/>
    <w:rsid w:val="00A425D6"/>
    <w:rsid w:val="00A53485"/>
    <w:rsid w:val="00AD41B0"/>
    <w:rsid w:val="00AF3035"/>
    <w:rsid w:val="00B3567E"/>
    <w:rsid w:val="00BE24F7"/>
    <w:rsid w:val="00C236C0"/>
    <w:rsid w:val="00C41DA6"/>
    <w:rsid w:val="00C920C1"/>
    <w:rsid w:val="00C92D04"/>
    <w:rsid w:val="00CD4BDE"/>
    <w:rsid w:val="00D459A3"/>
    <w:rsid w:val="00D75AED"/>
    <w:rsid w:val="00D9767A"/>
    <w:rsid w:val="00DA3868"/>
    <w:rsid w:val="00DA50FE"/>
    <w:rsid w:val="00DB7D6D"/>
    <w:rsid w:val="00E12827"/>
    <w:rsid w:val="00E332EB"/>
    <w:rsid w:val="00E36116"/>
    <w:rsid w:val="00E4172E"/>
    <w:rsid w:val="00E94ED6"/>
    <w:rsid w:val="00EA6363"/>
    <w:rsid w:val="00EA7518"/>
    <w:rsid w:val="00ED7CAD"/>
    <w:rsid w:val="00EE06DE"/>
    <w:rsid w:val="00EF7C50"/>
    <w:rsid w:val="00F03510"/>
    <w:rsid w:val="00F9194A"/>
    <w:rsid w:val="00FB3B8E"/>
    <w:rsid w:val="00FE22B2"/>
    <w:rsid w:val="00FF48CE"/>
    <w:rsid w:val="026B0E48"/>
    <w:rsid w:val="02B03C97"/>
    <w:rsid w:val="02BE1B3F"/>
    <w:rsid w:val="02C26E5E"/>
    <w:rsid w:val="02F60B1E"/>
    <w:rsid w:val="032A0C79"/>
    <w:rsid w:val="03564A79"/>
    <w:rsid w:val="039E4FA9"/>
    <w:rsid w:val="03C96D89"/>
    <w:rsid w:val="04172BF8"/>
    <w:rsid w:val="043F3CA7"/>
    <w:rsid w:val="04DA3A06"/>
    <w:rsid w:val="04E50E24"/>
    <w:rsid w:val="04F679A1"/>
    <w:rsid w:val="04FB2EB1"/>
    <w:rsid w:val="050642F1"/>
    <w:rsid w:val="05650933"/>
    <w:rsid w:val="058E78B6"/>
    <w:rsid w:val="0675074F"/>
    <w:rsid w:val="069B07AA"/>
    <w:rsid w:val="07460585"/>
    <w:rsid w:val="07E7022F"/>
    <w:rsid w:val="07E763D1"/>
    <w:rsid w:val="080816E0"/>
    <w:rsid w:val="080D4F1E"/>
    <w:rsid w:val="082964D9"/>
    <w:rsid w:val="08A544E7"/>
    <w:rsid w:val="08CE1BEC"/>
    <w:rsid w:val="09836E04"/>
    <w:rsid w:val="0A797E83"/>
    <w:rsid w:val="0AB82D91"/>
    <w:rsid w:val="0B853613"/>
    <w:rsid w:val="0CE42258"/>
    <w:rsid w:val="0CF54666"/>
    <w:rsid w:val="0D573B2D"/>
    <w:rsid w:val="0D576FA9"/>
    <w:rsid w:val="0DA36D2B"/>
    <w:rsid w:val="0E0F7F0B"/>
    <w:rsid w:val="0E3A1D5C"/>
    <w:rsid w:val="0E813FB1"/>
    <w:rsid w:val="0E8925F9"/>
    <w:rsid w:val="0EA9019B"/>
    <w:rsid w:val="0EEB1858"/>
    <w:rsid w:val="0F31639B"/>
    <w:rsid w:val="0F466F3B"/>
    <w:rsid w:val="0F9676F6"/>
    <w:rsid w:val="0FD47384"/>
    <w:rsid w:val="10B87336"/>
    <w:rsid w:val="10DF0397"/>
    <w:rsid w:val="10ED04B1"/>
    <w:rsid w:val="10F5023B"/>
    <w:rsid w:val="11474561"/>
    <w:rsid w:val="119B329C"/>
    <w:rsid w:val="11A623CB"/>
    <w:rsid w:val="12716693"/>
    <w:rsid w:val="12766E6A"/>
    <w:rsid w:val="12A91934"/>
    <w:rsid w:val="12C25A87"/>
    <w:rsid w:val="12DD6110"/>
    <w:rsid w:val="12E71012"/>
    <w:rsid w:val="136E2B1F"/>
    <w:rsid w:val="13F83460"/>
    <w:rsid w:val="149C06D4"/>
    <w:rsid w:val="14F50214"/>
    <w:rsid w:val="14FF7444"/>
    <w:rsid w:val="15AA110F"/>
    <w:rsid w:val="15C80202"/>
    <w:rsid w:val="15CA5D30"/>
    <w:rsid w:val="15F06E59"/>
    <w:rsid w:val="16365C85"/>
    <w:rsid w:val="16594A73"/>
    <w:rsid w:val="166070CD"/>
    <w:rsid w:val="166A5115"/>
    <w:rsid w:val="16B62592"/>
    <w:rsid w:val="16B67B5B"/>
    <w:rsid w:val="173B0CF0"/>
    <w:rsid w:val="17C410E8"/>
    <w:rsid w:val="17F142F2"/>
    <w:rsid w:val="183250CC"/>
    <w:rsid w:val="18B84D23"/>
    <w:rsid w:val="18D64480"/>
    <w:rsid w:val="1913512D"/>
    <w:rsid w:val="19695EA1"/>
    <w:rsid w:val="197C23D2"/>
    <w:rsid w:val="19A6749C"/>
    <w:rsid w:val="1A311299"/>
    <w:rsid w:val="1AA54730"/>
    <w:rsid w:val="1CE15080"/>
    <w:rsid w:val="1CF1611C"/>
    <w:rsid w:val="1D2753DD"/>
    <w:rsid w:val="1DE11FCD"/>
    <w:rsid w:val="1EA9562C"/>
    <w:rsid w:val="1ED86328"/>
    <w:rsid w:val="1F1D0FA8"/>
    <w:rsid w:val="1F8C4ACB"/>
    <w:rsid w:val="1F9E003B"/>
    <w:rsid w:val="1FB15B3E"/>
    <w:rsid w:val="20974C17"/>
    <w:rsid w:val="21162ADA"/>
    <w:rsid w:val="21282C9D"/>
    <w:rsid w:val="21413C8E"/>
    <w:rsid w:val="21486AD4"/>
    <w:rsid w:val="21855480"/>
    <w:rsid w:val="219F4C39"/>
    <w:rsid w:val="21B64435"/>
    <w:rsid w:val="21E83927"/>
    <w:rsid w:val="22761F52"/>
    <w:rsid w:val="22922850"/>
    <w:rsid w:val="231478EE"/>
    <w:rsid w:val="23191484"/>
    <w:rsid w:val="23482EF7"/>
    <w:rsid w:val="238F5A30"/>
    <w:rsid w:val="23C27C22"/>
    <w:rsid w:val="24184829"/>
    <w:rsid w:val="243B0C17"/>
    <w:rsid w:val="247D7612"/>
    <w:rsid w:val="24913C2C"/>
    <w:rsid w:val="24C03050"/>
    <w:rsid w:val="24D90E50"/>
    <w:rsid w:val="24DA2E77"/>
    <w:rsid w:val="25842E2E"/>
    <w:rsid w:val="25D91DE0"/>
    <w:rsid w:val="26106916"/>
    <w:rsid w:val="264F1DAC"/>
    <w:rsid w:val="2731493A"/>
    <w:rsid w:val="27806612"/>
    <w:rsid w:val="27ED457B"/>
    <w:rsid w:val="28D477F0"/>
    <w:rsid w:val="296E4EFF"/>
    <w:rsid w:val="29B45308"/>
    <w:rsid w:val="29F933D2"/>
    <w:rsid w:val="2A6718E9"/>
    <w:rsid w:val="2B2506EE"/>
    <w:rsid w:val="2B684EC8"/>
    <w:rsid w:val="2B9619FE"/>
    <w:rsid w:val="2BBE6F14"/>
    <w:rsid w:val="2BD44CEC"/>
    <w:rsid w:val="2D003251"/>
    <w:rsid w:val="2D2A4919"/>
    <w:rsid w:val="2D823B19"/>
    <w:rsid w:val="2DBF32F7"/>
    <w:rsid w:val="2DE8293D"/>
    <w:rsid w:val="2E430855"/>
    <w:rsid w:val="2E9A01D7"/>
    <w:rsid w:val="2E9F2BA8"/>
    <w:rsid w:val="2EC754FB"/>
    <w:rsid w:val="2F2B3F2B"/>
    <w:rsid w:val="2F7C1992"/>
    <w:rsid w:val="2FD40A9F"/>
    <w:rsid w:val="30153CF8"/>
    <w:rsid w:val="30271754"/>
    <w:rsid w:val="307870CA"/>
    <w:rsid w:val="308A4FC2"/>
    <w:rsid w:val="30E635EF"/>
    <w:rsid w:val="31081ED3"/>
    <w:rsid w:val="31167FB1"/>
    <w:rsid w:val="31501BB8"/>
    <w:rsid w:val="32735337"/>
    <w:rsid w:val="32F403E5"/>
    <w:rsid w:val="331308B2"/>
    <w:rsid w:val="339B5E6E"/>
    <w:rsid w:val="34B03B5A"/>
    <w:rsid w:val="351F4A4B"/>
    <w:rsid w:val="352762FB"/>
    <w:rsid w:val="35306081"/>
    <w:rsid w:val="35483492"/>
    <w:rsid w:val="35AD3460"/>
    <w:rsid w:val="35C175DC"/>
    <w:rsid w:val="35F953B3"/>
    <w:rsid w:val="367F4D3B"/>
    <w:rsid w:val="370F5C4C"/>
    <w:rsid w:val="37111B4C"/>
    <w:rsid w:val="37415A36"/>
    <w:rsid w:val="382261BB"/>
    <w:rsid w:val="382A7843"/>
    <w:rsid w:val="384D3846"/>
    <w:rsid w:val="386E4086"/>
    <w:rsid w:val="391B520F"/>
    <w:rsid w:val="398A71F8"/>
    <w:rsid w:val="39A07173"/>
    <w:rsid w:val="3A084A21"/>
    <w:rsid w:val="3A380EDB"/>
    <w:rsid w:val="3AC63FA8"/>
    <w:rsid w:val="3B0B7CC2"/>
    <w:rsid w:val="3B7047BA"/>
    <w:rsid w:val="3C1F5239"/>
    <w:rsid w:val="3C826B6D"/>
    <w:rsid w:val="3C834E16"/>
    <w:rsid w:val="3CE232A1"/>
    <w:rsid w:val="3DA247BE"/>
    <w:rsid w:val="3E0C32FF"/>
    <w:rsid w:val="3E254B56"/>
    <w:rsid w:val="3EAC7D34"/>
    <w:rsid w:val="3F6D58F2"/>
    <w:rsid w:val="3FA7438D"/>
    <w:rsid w:val="40526335"/>
    <w:rsid w:val="408708C6"/>
    <w:rsid w:val="40D55FC1"/>
    <w:rsid w:val="42165935"/>
    <w:rsid w:val="42214C53"/>
    <w:rsid w:val="4224223B"/>
    <w:rsid w:val="42375BDE"/>
    <w:rsid w:val="42AD1826"/>
    <w:rsid w:val="42D95A64"/>
    <w:rsid w:val="42FA51D3"/>
    <w:rsid w:val="43075DC8"/>
    <w:rsid w:val="43B17D90"/>
    <w:rsid w:val="44934FB2"/>
    <w:rsid w:val="44CC2F1C"/>
    <w:rsid w:val="459D5052"/>
    <w:rsid w:val="45C47D8D"/>
    <w:rsid w:val="45E75709"/>
    <w:rsid w:val="463A5FFE"/>
    <w:rsid w:val="46770A39"/>
    <w:rsid w:val="46C603C0"/>
    <w:rsid w:val="46FE3916"/>
    <w:rsid w:val="485F5A2D"/>
    <w:rsid w:val="48E26672"/>
    <w:rsid w:val="490E096C"/>
    <w:rsid w:val="4910720E"/>
    <w:rsid w:val="494F1608"/>
    <w:rsid w:val="4AE03396"/>
    <w:rsid w:val="4AE62AAE"/>
    <w:rsid w:val="4B0D1A8F"/>
    <w:rsid w:val="4B5F041B"/>
    <w:rsid w:val="4BA267E9"/>
    <w:rsid w:val="4BD86D8D"/>
    <w:rsid w:val="4C01632E"/>
    <w:rsid w:val="4C331B03"/>
    <w:rsid w:val="4C504CF2"/>
    <w:rsid w:val="4C8C76CE"/>
    <w:rsid w:val="4CFB7112"/>
    <w:rsid w:val="4D2B6942"/>
    <w:rsid w:val="4D482242"/>
    <w:rsid w:val="4D602B6B"/>
    <w:rsid w:val="4DA24BDF"/>
    <w:rsid w:val="4DAA5044"/>
    <w:rsid w:val="4E616C3D"/>
    <w:rsid w:val="4FA450F9"/>
    <w:rsid w:val="4FB939C0"/>
    <w:rsid w:val="4FC03594"/>
    <w:rsid w:val="4FDD71CE"/>
    <w:rsid w:val="50FF44A5"/>
    <w:rsid w:val="514029A7"/>
    <w:rsid w:val="51E01378"/>
    <w:rsid w:val="51F90549"/>
    <w:rsid w:val="52112A75"/>
    <w:rsid w:val="52281D83"/>
    <w:rsid w:val="53021A50"/>
    <w:rsid w:val="53E3498A"/>
    <w:rsid w:val="54533A36"/>
    <w:rsid w:val="54816FCD"/>
    <w:rsid w:val="54B35A61"/>
    <w:rsid w:val="54C622AA"/>
    <w:rsid w:val="54DA4E6B"/>
    <w:rsid w:val="54F8581B"/>
    <w:rsid w:val="551B0923"/>
    <w:rsid w:val="55664D9D"/>
    <w:rsid w:val="56360DA6"/>
    <w:rsid w:val="56893461"/>
    <w:rsid w:val="56FC12E0"/>
    <w:rsid w:val="575241F5"/>
    <w:rsid w:val="58596CBA"/>
    <w:rsid w:val="58867C79"/>
    <w:rsid w:val="589E64A1"/>
    <w:rsid w:val="58A21DAF"/>
    <w:rsid w:val="5918439C"/>
    <w:rsid w:val="59A47F88"/>
    <w:rsid w:val="59B3689E"/>
    <w:rsid w:val="59DC482A"/>
    <w:rsid w:val="5ABD0931"/>
    <w:rsid w:val="5B5E4E03"/>
    <w:rsid w:val="5B871FF5"/>
    <w:rsid w:val="5B8A674F"/>
    <w:rsid w:val="5BA94701"/>
    <w:rsid w:val="5BBC3C32"/>
    <w:rsid w:val="5BDA07F6"/>
    <w:rsid w:val="5C80505E"/>
    <w:rsid w:val="5CCA4DB2"/>
    <w:rsid w:val="5D5B4236"/>
    <w:rsid w:val="5D6448D7"/>
    <w:rsid w:val="5D85684A"/>
    <w:rsid w:val="5DBB6A4D"/>
    <w:rsid w:val="5DDD08B6"/>
    <w:rsid w:val="5DF07ECB"/>
    <w:rsid w:val="5E731AA7"/>
    <w:rsid w:val="5EAB07C7"/>
    <w:rsid w:val="5F8C3876"/>
    <w:rsid w:val="6153538F"/>
    <w:rsid w:val="61EC16EE"/>
    <w:rsid w:val="62E14735"/>
    <w:rsid w:val="630A013F"/>
    <w:rsid w:val="63626C83"/>
    <w:rsid w:val="63DF696F"/>
    <w:rsid w:val="640A041F"/>
    <w:rsid w:val="64291F0A"/>
    <w:rsid w:val="64384F95"/>
    <w:rsid w:val="643A5DAD"/>
    <w:rsid w:val="64422923"/>
    <w:rsid w:val="64820305"/>
    <w:rsid w:val="649752F2"/>
    <w:rsid w:val="64FA7634"/>
    <w:rsid w:val="6541152B"/>
    <w:rsid w:val="65441F93"/>
    <w:rsid w:val="65C629FA"/>
    <w:rsid w:val="65D469A4"/>
    <w:rsid w:val="65EE0C62"/>
    <w:rsid w:val="66E84C26"/>
    <w:rsid w:val="66F627FA"/>
    <w:rsid w:val="671A529D"/>
    <w:rsid w:val="676F4FF1"/>
    <w:rsid w:val="678767D7"/>
    <w:rsid w:val="67F667BA"/>
    <w:rsid w:val="68493A94"/>
    <w:rsid w:val="687C4C4A"/>
    <w:rsid w:val="68910BAB"/>
    <w:rsid w:val="68A06514"/>
    <w:rsid w:val="68E14B9D"/>
    <w:rsid w:val="69010F7C"/>
    <w:rsid w:val="69303956"/>
    <w:rsid w:val="69551FF4"/>
    <w:rsid w:val="6959390B"/>
    <w:rsid w:val="6A905B81"/>
    <w:rsid w:val="6B981E05"/>
    <w:rsid w:val="6BEC358E"/>
    <w:rsid w:val="6D0936FF"/>
    <w:rsid w:val="6D0F055C"/>
    <w:rsid w:val="6D2650AA"/>
    <w:rsid w:val="6D545F9D"/>
    <w:rsid w:val="6D650477"/>
    <w:rsid w:val="6DAF7683"/>
    <w:rsid w:val="6DB34CEE"/>
    <w:rsid w:val="6DD57802"/>
    <w:rsid w:val="6E5A77CC"/>
    <w:rsid w:val="6E6D107E"/>
    <w:rsid w:val="6E830B91"/>
    <w:rsid w:val="6E9175C9"/>
    <w:rsid w:val="6EA712FB"/>
    <w:rsid w:val="6F115FA3"/>
    <w:rsid w:val="6F4110B0"/>
    <w:rsid w:val="6F67333C"/>
    <w:rsid w:val="6F9603E0"/>
    <w:rsid w:val="6FA74C06"/>
    <w:rsid w:val="70166085"/>
    <w:rsid w:val="710A080E"/>
    <w:rsid w:val="71D465A4"/>
    <w:rsid w:val="721335B7"/>
    <w:rsid w:val="72C749B5"/>
    <w:rsid w:val="73521564"/>
    <w:rsid w:val="73714780"/>
    <w:rsid w:val="739E141C"/>
    <w:rsid w:val="73E12740"/>
    <w:rsid w:val="74A06B32"/>
    <w:rsid w:val="74E71794"/>
    <w:rsid w:val="74F61A28"/>
    <w:rsid w:val="75174EF0"/>
    <w:rsid w:val="756861B9"/>
    <w:rsid w:val="7593069C"/>
    <w:rsid w:val="75E94D61"/>
    <w:rsid w:val="760F6440"/>
    <w:rsid w:val="763216AE"/>
    <w:rsid w:val="775D23A9"/>
    <w:rsid w:val="77884403"/>
    <w:rsid w:val="782A5497"/>
    <w:rsid w:val="78744B90"/>
    <w:rsid w:val="78866844"/>
    <w:rsid w:val="790C7500"/>
    <w:rsid w:val="794074A5"/>
    <w:rsid w:val="7964518E"/>
    <w:rsid w:val="79940285"/>
    <w:rsid w:val="79C41825"/>
    <w:rsid w:val="7AA064A2"/>
    <w:rsid w:val="7AA560F1"/>
    <w:rsid w:val="7AC12467"/>
    <w:rsid w:val="7B181812"/>
    <w:rsid w:val="7B214172"/>
    <w:rsid w:val="7B22333A"/>
    <w:rsid w:val="7B4302CD"/>
    <w:rsid w:val="7B88061D"/>
    <w:rsid w:val="7B9421BA"/>
    <w:rsid w:val="7BD37F30"/>
    <w:rsid w:val="7C141288"/>
    <w:rsid w:val="7CF62216"/>
    <w:rsid w:val="7D5C326D"/>
    <w:rsid w:val="7DBA117A"/>
    <w:rsid w:val="7E0C4283"/>
    <w:rsid w:val="7E121065"/>
    <w:rsid w:val="7E4F53C3"/>
    <w:rsid w:val="7EC07DE8"/>
    <w:rsid w:val="7F2D1569"/>
    <w:rsid w:val="7FDE549E"/>
    <w:rsid w:val="7FEB0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jc w:val="center"/>
      <w:outlineLvl w:val="0"/>
    </w:pPr>
    <w:rPr>
      <w:b/>
      <w:kern w:val="44"/>
      <w:sz w:val="36"/>
    </w:rPr>
  </w:style>
  <w:style w:type="paragraph" w:styleId="3">
    <w:name w:val="heading 2"/>
    <w:basedOn w:val="1"/>
    <w:next w:val="1"/>
    <w:link w:val="47"/>
    <w:qFormat/>
    <w:uiPriority w:val="0"/>
    <w:pPr>
      <w:keepNext/>
      <w:keepLines/>
      <w:spacing w:line="415" w:lineRule="auto"/>
      <w:jc w:val="center"/>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paragraph" w:styleId="6">
    <w:name w:val="heading 5"/>
    <w:basedOn w:val="1"/>
    <w:next w:val="1"/>
    <w:qFormat/>
    <w:uiPriority w:val="0"/>
    <w:pPr>
      <w:keepNext/>
      <w:keepLines/>
      <w:adjustRightInd w:val="0"/>
      <w:spacing w:line="376" w:lineRule="atLeast"/>
      <w:outlineLvl w:val="4"/>
    </w:pPr>
    <w:rPr>
      <w:b/>
      <w:kern w:val="0"/>
      <w:sz w:val="28"/>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style>
  <w:style w:type="paragraph" w:styleId="9">
    <w:name w:val="annotation text"/>
    <w:basedOn w:val="1"/>
    <w:link w:val="56"/>
    <w:semiHidden/>
    <w:unhideWhenUsed/>
    <w:qFormat/>
    <w:uiPriority w:val="0"/>
    <w:pPr>
      <w:jc w:val="left"/>
    </w:pPr>
  </w:style>
  <w:style w:type="paragraph" w:styleId="10">
    <w:name w:val="Body Text"/>
    <w:basedOn w:val="1"/>
    <w:next w:val="1"/>
    <w:link w:val="157"/>
    <w:qFormat/>
    <w:uiPriority w:val="99"/>
    <w:rPr>
      <w:b/>
      <w:sz w:val="28"/>
    </w:rPr>
  </w:style>
  <w:style w:type="paragraph" w:styleId="11">
    <w:name w:val="Body Text Indent"/>
    <w:basedOn w:val="1"/>
    <w:next w:val="12"/>
    <w:link w:val="43"/>
    <w:qFormat/>
    <w:uiPriority w:val="99"/>
    <w:pPr>
      <w:ind w:firstLine="420" w:firstLineChars="200"/>
    </w:pPr>
    <w:rPr>
      <w:rFonts w:ascii="Calibri" w:hAnsi="Calibri"/>
      <w:szCs w:val="24"/>
    </w:rPr>
  </w:style>
  <w:style w:type="paragraph" w:styleId="12">
    <w:name w:val="envelope return"/>
    <w:basedOn w:val="1"/>
    <w:qFormat/>
    <w:uiPriority w:val="0"/>
    <w:pPr>
      <w:snapToGrid w:val="0"/>
    </w:pPr>
    <w:rPr>
      <w:rFonts w:ascii="Arial" w:hAnsi="Arial"/>
    </w:rPr>
  </w:style>
  <w:style w:type="paragraph" w:styleId="13">
    <w:name w:val="toc 3"/>
    <w:basedOn w:val="1"/>
    <w:next w:val="1"/>
    <w:semiHidden/>
    <w:unhideWhenUsed/>
    <w:qFormat/>
    <w:uiPriority w:val="0"/>
    <w:pPr>
      <w:ind w:left="840" w:leftChars="400"/>
    </w:pPr>
  </w:style>
  <w:style w:type="paragraph" w:styleId="14">
    <w:name w:val="Plain Text"/>
    <w:basedOn w:val="1"/>
    <w:next w:val="1"/>
    <w:qFormat/>
    <w:uiPriority w:val="0"/>
    <w:rPr>
      <w:rFonts w:hint="eastAsia" w:ascii="宋体" w:hAnsi="Courier New"/>
      <w:sz w:val="24"/>
    </w:rPr>
  </w:style>
  <w:style w:type="paragraph" w:styleId="15">
    <w:name w:val="Balloon Text"/>
    <w:basedOn w:val="1"/>
    <w:link w:val="48"/>
    <w:qFormat/>
    <w:uiPriority w:val="0"/>
    <w:rPr>
      <w:sz w:val="18"/>
      <w:szCs w:val="18"/>
    </w:rPr>
  </w:style>
  <w:style w:type="paragraph" w:styleId="16">
    <w:name w:val="footer"/>
    <w:basedOn w:val="1"/>
    <w:link w:val="46"/>
    <w:qFormat/>
    <w:uiPriority w:val="0"/>
    <w:pPr>
      <w:tabs>
        <w:tab w:val="center" w:pos="4153"/>
        <w:tab w:val="right" w:pos="8306"/>
      </w:tabs>
      <w:snapToGrid w:val="0"/>
      <w:jc w:val="left"/>
    </w:pPr>
    <w:rPr>
      <w:sz w:val="18"/>
    </w:rPr>
  </w:style>
  <w:style w:type="paragraph" w:styleId="17">
    <w:name w:val="header"/>
    <w:basedOn w:val="1"/>
    <w:link w:val="45"/>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8">
    <w:name w:val="toc 1"/>
    <w:basedOn w:val="1"/>
    <w:next w:val="1"/>
    <w:qFormat/>
    <w:uiPriority w:val="39"/>
    <w:pPr>
      <w:jc w:val="left"/>
    </w:pPr>
    <w:rPr>
      <w:b/>
      <w:bCs/>
      <w:caps/>
      <w:sz w:val="20"/>
    </w:rPr>
  </w:style>
  <w:style w:type="paragraph" w:styleId="19">
    <w:name w:val="toc 2"/>
    <w:basedOn w:val="1"/>
    <w:next w:val="1"/>
    <w:qFormat/>
    <w:uiPriority w:val="39"/>
    <w:pPr>
      <w:ind w:left="210"/>
      <w:jc w:val="left"/>
    </w:pPr>
    <w:rPr>
      <w:smallCaps/>
      <w:sz w:val="20"/>
    </w:rPr>
  </w:style>
  <w:style w:type="paragraph" w:styleId="20">
    <w:name w:val="Normal (Web)"/>
    <w:basedOn w:val="1"/>
    <w:qFormat/>
    <w:uiPriority w:val="99"/>
    <w:pPr>
      <w:widowControl/>
      <w:spacing w:beforeAutospacing="1" w:afterAutospacing="1"/>
      <w:jc w:val="left"/>
    </w:pPr>
    <w:rPr>
      <w:rFonts w:ascii="宋体" w:hAnsi="宋体"/>
      <w:kern w:val="0"/>
      <w:sz w:val="24"/>
    </w:rPr>
  </w:style>
  <w:style w:type="paragraph" w:styleId="21">
    <w:name w:val="Title"/>
    <w:basedOn w:val="1"/>
    <w:next w:val="1"/>
    <w:qFormat/>
    <w:uiPriority w:val="0"/>
    <w:pPr>
      <w:spacing w:before="240" w:after="60"/>
      <w:jc w:val="center"/>
      <w:outlineLvl w:val="0"/>
    </w:pPr>
    <w:rPr>
      <w:rFonts w:ascii="等线 Light" w:hAnsi="等线 Light"/>
      <w:b/>
      <w:bCs/>
      <w:sz w:val="32"/>
      <w:szCs w:val="32"/>
    </w:rPr>
  </w:style>
  <w:style w:type="paragraph" w:styleId="22">
    <w:name w:val="annotation subject"/>
    <w:basedOn w:val="9"/>
    <w:next w:val="9"/>
    <w:link w:val="57"/>
    <w:semiHidden/>
    <w:unhideWhenUsed/>
    <w:qFormat/>
    <w:uiPriority w:val="0"/>
    <w:rPr>
      <w:b/>
      <w:bCs/>
    </w:rPr>
  </w:style>
  <w:style w:type="paragraph" w:styleId="23">
    <w:name w:val="Body Text First Indent"/>
    <w:basedOn w:val="10"/>
    <w:next w:val="24"/>
    <w:qFormat/>
    <w:uiPriority w:val="0"/>
    <w:pPr>
      <w:adjustRightInd w:val="0"/>
      <w:ind w:firstLine="420"/>
      <w:jc w:val="left"/>
      <w:textAlignment w:val="baseline"/>
    </w:pPr>
    <w:rPr>
      <w:b w:val="0"/>
      <w:kern w:val="0"/>
      <w:sz w:val="21"/>
    </w:rPr>
  </w:style>
  <w:style w:type="paragraph" w:styleId="24">
    <w:name w:val="Body Text First Indent 2"/>
    <w:basedOn w:val="11"/>
    <w:next w:val="1"/>
    <w:link w:val="44"/>
    <w:qFormat/>
    <w:uiPriority w:val="99"/>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0"/>
    <w:rPr>
      <w:color w:val="800080"/>
      <w:u w:val="none"/>
    </w:rPr>
  </w:style>
  <w:style w:type="character" w:styleId="31">
    <w:name w:val="Emphasis"/>
    <w:basedOn w:val="27"/>
    <w:qFormat/>
    <w:uiPriority w:val="0"/>
  </w:style>
  <w:style w:type="character" w:styleId="32">
    <w:name w:val="HTML Definition"/>
    <w:basedOn w:val="27"/>
    <w:semiHidden/>
    <w:unhideWhenUsed/>
    <w:qFormat/>
    <w:uiPriority w:val="0"/>
    <w:rPr>
      <w:i/>
      <w:iCs/>
    </w:rPr>
  </w:style>
  <w:style w:type="character" w:styleId="33">
    <w:name w:val="Hyperlink"/>
    <w:qFormat/>
    <w:uiPriority w:val="99"/>
    <w:rPr>
      <w:color w:val="333333"/>
      <w:u w:val="none"/>
    </w:rPr>
  </w:style>
  <w:style w:type="character" w:styleId="34">
    <w:name w:val="HTML Code"/>
    <w:basedOn w:val="27"/>
    <w:semiHidden/>
    <w:unhideWhenUsed/>
    <w:qFormat/>
    <w:uiPriority w:val="0"/>
    <w:rPr>
      <w:rFonts w:ascii="Consolas" w:hAnsi="Consolas" w:eastAsia="Consolas" w:cs="Consolas"/>
      <w:color w:val="C7254E"/>
      <w:sz w:val="21"/>
      <w:szCs w:val="21"/>
      <w:shd w:val="clear" w:color="auto" w:fill="F9F2F4"/>
    </w:rPr>
  </w:style>
  <w:style w:type="character" w:styleId="35">
    <w:name w:val="annotation reference"/>
    <w:basedOn w:val="27"/>
    <w:semiHidden/>
    <w:unhideWhenUsed/>
    <w:qFormat/>
    <w:uiPriority w:val="0"/>
    <w:rPr>
      <w:sz w:val="21"/>
      <w:szCs w:val="21"/>
    </w:rPr>
  </w:style>
  <w:style w:type="character" w:styleId="36">
    <w:name w:val="HTML Keyboard"/>
    <w:basedOn w:val="27"/>
    <w:semiHidden/>
    <w:unhideWhenUsed/>
    <w:qFormat/>
    <w:uiPriority w:val="0"/>
    <w:rPr>
      <w:rFonts w:hint="default" w:ascii="Consolas" w:hAnsi="Consolas" w:eastAsia="Consolas" w:cs="Consolas"/>
      <w:color w:val="FFFFFF"/>
      <w:sz w:val="21"/>
      <w:szCs w:val="21"/>
      <w:shd w:val="clear" w:color="auto" w:fill="333333"/>
    </w:rPr>
  </w:style>
  <w:style w:type="character" w:styleId="37">
    <w:name w:val="HTML Sample"/>
    <w:basedOn w:val="27"/>
    <w:semiHidden/>
    <w:unhideWhenUsed/>
    <w:qFormat/>
    <w:uiPriority w:val="0"/>
    <w:rPr>
      <w:rFonts w:hint="default" w:ascii="Consolas" w:hAnsi="Consolas" w:eastAsia="Consolas" w:cs="Consolas"/>
      <w:sz w:val="21"/>
      <w:szCs w:val="21"/>
    </w:rPr>
  </w:style>
  <w:style w:type="paragraph" w:customStyle="1" w:styleId="38">
    <w:name w:val="首行缩进"/>
    <w:basedOn w:val="1"/>
    <w:qFormat/>
    <w:uiPriority w:val="0"/>
    <w:pPr>
      <w:spacing w:line="360" w:lineRule="auto"/>
      <w:ind w:firstLine="480" w:firstLineChars="200"/>
    </w:pPr>
    <w:rPr>
      <w:rFonts w:ascii="宋体" w:hAnsi="宋体" w:cs="宋体"/>
      <w:kern w:val="0"/>
      <w:sz w:val="24"/>
    </w:rPr>
  </w:style>
  <w:style w:type="paragraph" w:customStyle="1" w:styleId="39">
    <w:name w:val="_Style 6"/>
    <w:basedOn w:val="2"/>
    <w:next w:val="1"/>
    <w:qFormat/>
    <w:uiPriority w:val="39"/>
    <w:pPr>
      <w:widowControl/>
      <w:spacing w:before="240" w:line="259" w:lineRule="auto"/>
      <w:jc w:val="left"/>
      <w:outlineLvl w:val="9"/>
    </w:pPr>
    <w:rPr>
      <w:rFonts w:ascii="等线 Light" w:hAnsi="等线 Light" w:eastAsia="等线 Light"/>
      <w:b w:val="0"/>
      <w:color w:val="2F5496"/>
      <w:kern w:val="0"/>
      <w:sz w:val="32"/>
      <w:szCs w:val="32"/>
    </w:rPr>
  </w:style>
  <w:style w:type="paragraph" w:customStyle="1" w:styleId="40">
    <w:name w:val="列出段落1"/>
    <w:basedOn w:val="1"/>
    <w:qFormat/>
    <w:uiPriority w:val="0"/>
    <w:pPr>
      <w:ind w:firstLine="420" w:firstLineChars="200"/>
    </w:pPr>
    <w:rPr>
      <w:szCs w:val="24"/>
    </w:rPr>
  </w:style>
  <w:style w:type="paragraph" w:customStyle="1" w:styleId="4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3">
    <w:name w:val="正文文本缩进 Char"/>
    <w:basedOn w:val="27"/>
    <w:link w:val="11"/>
    <w:qFormat/>
    <w:uiPriority w:val="99"/>
    <w:rPr>
      <w:rFonts w:ascii="Calibri" w:hAnsi="Calibri" w:eastAsia="宋体" w:cs="Times New Roman"/>
      <w:kern w:val="2"/>
      <w:sz w:val="21"/>
      <w:szCs w:val="24"/>
    </w:rPr>
  </w:style>
  <w:style w:type="character" w:customStyle="1" w:styleId="44">
    <w:name w:val="正文首行缩进 2 Char"/>
    <w:basedOn w:val="43"/>
    <w:link w:val="24"/>
    <w:qFormat/>
    <w:uiPriority w:val="99"/>
    <w:rPr>
      <w:rFonts w:ascii="Calibri" w:hAnsi="Calibri" w:eastAsia="宋体" w:cs="Times New Roman"/>
      <w:kern w:val="2"/>
      <w:sz w:val="21"/>
      <w:szCs w:val="24"/>
    </w:rPr>
  </w:style>
  <w:style w:type="character" w:customStyle="1" w:styleId="45">
    <w:name w:val="页眉 Char"/>
    <w:basedOn w:val="27"/>
    <w:link w:val="17"/>
    <w:qFormat/>
    <w:uiPriority w:val="0"/>
    <w:rPr>
      <w:rFonts w:ascii="Times New Roman" w:hAnsi="Times New Roman" w:eastAsia="宋体" w:cs="Times New Roman"/>
      <w:sz w:val="18"/>
    </w:rPr>
  </w:style>
  <w:style w:type="character" w:customStyle="1" w:styleId="46">
    <w:name w:val="页脚 Char"/>
    <w:basedOn w:val="27"/>
    <w:link w:val="16"/>
    <w:qFormat/>
    <w:uiPriority w:val="0"/>
    <w:rPr>
      <w:rFonts w:ascii="Times New Roman" w:hAnsi="Times New Roman" w:eastAsia="宋体" w:cs="Times New Roman"/>
      <w:kern w:val="2"/>
      <w:sz w:val="18"/>
    </w:rPr>
  </w:style>
  <w:style w:type="character" w:customStyle="1" w:styleId="47">
    <w:name w:val="标题 2 Char"/>
    <w:link w:val="3"/>
    <w:qFormat/>
    <w:uiPriority w:val="0"/>
    <w:rPr>
      <w:rFonts w:ascii="Arial" w:hAnsi="Arial" w:eastAsia="黑体"/>
      <w:b/>
      <w:sz w:val="32"/>
    </w:rPr>
  </w:style>
  <w:style w:type="character" w:customStyle="1" w:styleId="48">
    <w:name w:val="批注框文本 Char"/>
    <w:basedOn w:val="27"/>
    <w:link w:val="15"/>
    <w:qFormat/>
    <w:uiPriority w:val="0"/>
    <w:rPr>
      <w:kern w:val="2"/>
      <w:sz w:val="18"/>
      <w:szCs w:val="18"/>
    </w:rPr>
  </w:style>
  <w:style w:type="character" w:customStyle="1" w:styleId="49">
    <w:name w:val="beforeinfotext"/>
    <w:basedOn w:val="27"/>
    <w:qFormat/>
    <w:uiPriority w:val="0"/>
    <w:rPr>
      <w:color w:val="666666"/>
    </w:rPr>
  </w:style>
  <w:style w:type="paragraph" w:customStyle="1" w:styleId="50">
    <w:name w:val="title12"/>
    <w:basedOn w:val="1"/>
    <w:qFormat/>
    <w:uiPriority w:val="0"/>
    <w:pPr>
      <w:spacing w:before="100"/>
      <w:jc w:val="left"/>
    </w:pPr>
    <w:rPr>
      <w:b/>
      <w:kern w:val="0"/>
      <w:sz w:val="15"/>
      <w:szCs w:val="15"/>
    </w:rPr>
  </w:style>
  <w:style w:type="character" w:customStyle="1" w:styleId="51">
    <w:name w:val="number"/>
    <w:basedOn w:val="27"/>
    <w:qFormat/>
    <w:uiPriority w:val="0"/>
    <w:rPr>
      <w:color w:val="FF8833"/>
      <w:sz w:val="12"/>
      <w:szCs w:val="12"/>
    </w:rPr>
  </w:style>
  <w:style w:type="character" w:customStyle="1" w:styleId="52">
    <w:name w:val="proollist"/>
    <w:basedOn w:val="27"/>
    <w:qFormat/>
    <w:uiPriority w:val="0"/>
  </w:style>
  <w:style w:type="character" w:customStyle="1" w:styleId="53">
    <w:name w:val="phone"/>
    <w:basedOn w:val="27"/>
    <w:qFormat/>
    <w:uiPriority w:val="0"/>
    <w:rPr>
      <w:color w:val="FF8833"/>
      <w:sz w:val="12"/>
      <w:szCs w:val="12"/>
    </w:rPr>
  </w:style>
  <w:style w:type="character" w:customStyle="1" w:styleId="54">
    <w:name w:val="stclosebtn"/>
    <w:basedOn w:val="27"/>
    <w:qFormat/>
    <w:uiPriority w:val="0"/>
  </w:style>
  <w:style w:type="paragraph" w:customStyle="1" w:styleId="55">
    <w:name w:val="正文缩进1"/>
    <w:basedOn w:val="1"/>
    <w:qFormat/>
    <w:uiPriority w:val="0"/>
    <w:pPr>
      <w:autoSpaceDE w:val="0"/>
      <w:autoSpaceDN w:val="0"/>
      <w:adjustRightInd w:val="0"/>
      <w:ind w:firstLine="420"/>
      <w:jc w:val="left"/>
    </w:pPr>
    <w:rPr>
      <w:rFonts w:ascii="宋体"/>
      <w:kern w:val="0"/>
      <w:sz w:val="24"/>
    </w:rPr>
  </w:style>
  <w:style w:type="character" w:customStyle="1" w:styleId="56">
    <w:name w:val="批注文字 Char"/>
    <w:basedOn w:val="27"/>
    <w:link w:val="9"/>
    <w:semiHidden/>
    <w:qFormat/>
    <w:uiPriority w:val="0"/>
    <w:rPr>
      <w:kern w:val="2"/>
      <w:sz w:val="21"/>
    </w:rPr>
  </w:style>
  <w:style w:type="character" w:customStyle="1" w:styleId="57">
    <w:name w:val="批注主题 Char"/>
    <w:basedOn w:val="56"/>
    <w:link w:val="22"/>
    <w:semiHidden/>
    <w:qFormat/>
    <w:uiPriority w:val="0"/>
    <w:rPr>
      <w:b/>
      <w:bCs/>
      <w:kern w:val="2"/>
      <w:sz w:val="21"/>
    </w:rPr>
  </w:style>
  <w:style w:type="character" w:customStyle="1" w:styleId="58">
    <w:name w:val="font21"/>
    <w:basedOn w:val="27"/>
    <w:qFormat/>
    <w:uiPriority w:val="0"/>
    <w:rPr>
      <w:rFonts w:hint="eastAsia" w:ascii="宋体" w:hAnsi="宋体" w:eastAsia="宋体" w:cs="宋体"/>
      <w:color w:val="000000"/>
      <w:sz w:val="20"/>
      <w:szCs w:val="20"/>
      <w:u w:val="none"/>
    </w:rPr>
  </w:style>
  <w:style w:type="character" w:customStyle="1" w:styleId="59">
    <w:name w:val="font31"/>
    <w:basedOn w:val="27"/>
    <w:qFormat/>
    <w:uiPriority w:val="0"/>
    <w:rPr>
      <w:rFonts w:hint="eastAsia" w:ascii="宋体" w:hAnsi="宋体" w:eastAsia="宋体" w:cs="宋体"/>
      <w:b/>
      <w:bCs/>
      <w:color w:val="000000"/>
      <w:sz w:val="20"/>
      <w:szCs w:val="20"/>
      <w:u w:val="none"/>
    </w:rPr>
  </w:style>
  <w:style w:type="paragraph" w:styleId="60">
    <w:name w:val="List Paragraph"/>
    <w:basedOn w:val="1"/>
    <w:qFormat/>
    <w:uiPriority w:val="34"/>
    <w:pPr>
      <w:ind w:firstLine="420" w:firstLineChars="200"/>
    </w:pPr>
    <w:rPr>
      <w:rFonts w:ascii="Calibri" w:hAnsi="Calibri"/>
    </w:rPr>
  </w:style>
  <w:style w:type="paragraph" w:customStyle="1" w:styleId="61">
    <w:name w:val="p0"/>
    <w:basedOn w:val="1"/>
    <w:qFormat/>
    <w:uiPriority w:val="0"/>
    <w:pPr>
      <w:widowControl/>
    </w:pPr>
    <w:rPr>
      <w:kern w:val="0"/>
      <w:szCs w:val="21"/>
    </w:rPr>
  </w:style>
  <w:style w:type="character" w:customStyle="1" w:styleId="62">
    <w:name w:val="font71"/>
    <w:basedOn w:val="27"/>
    <w:qFormat/>
    <w:uiPriority w:val="0"/>
    <w:rPr>
      <w:rFonts w:hint="eastAsia" w:ascii="宋体" w:hAnsi="宋体" w:eastAsia="宋体" w:cs="宋体"/>
      <w:color w:val="000000"/>
      <w:sz w:val="28"/>
      <w:szCs w:val="28"/>
      <w:u w:val="single"/>
    </w:rPr>
  </w:style>
  <w:style w:type="paragraph" w:customStyle="1" w:styleId="63">
    <w:name w:val="列出段落3"/>
    <w:basedOn w:val="1"/>
    <w:qFormat/>
    <w:uiPriority w:val="34"/>
    <w:pPr>
      <w:ind w:firstLine="420" w:firstLineChars="200"/>
    </w:pPr>
    <w:rPr>
      <w:rFonts w:ascii="Calibri" w:hAnsi="Calibri"/>
      <w:szCs w:val="22"/>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5">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 w:type="paragraph" w:customStyle="1" w:styleId="66">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67">
    <w:name w:val="font41"/>
    <w:basedOn w:val="27"/>
    <w:qFormat/>
    <w:uiPriority w:val="0"/>
    <w:rPr>
      <w:rFonts w:hint="eastAsia" w:ascii="宋体" w:hAnsi="宋体" w:eastAsia="宋体" w:cs="宋体"/>
      <w:color w:val="FF0000"/>
      <w:sz w:val="16"/>
      <w:szCs w:val="16"/>
      <w:u w:val="none"/>
    </w:rPr>
  </w:style>
  <w:style w:type="paragraph" w:customStyle="1" w:styleId="68">
    <w:name w:val="Other|1"/>
    <w:basedOn w:val="1"/>
    <w:qFormat/>
    <w:uiPriority w:val="0"/>
    <w:pPr>
      <w:spacing w:line="434" w:lineRule="auto"/>
      <w:ind w:firstLine="400"/>
      <w:jc w:val="left"/>
    </w:pPr>
    <w:rPr>
      <w:rFonts w:ascii="宋体" w:hAnsi="宋体" w:cs="宋体"/>
      <w:color w:val="000000"/>
      <w:kern w:val="0"/>
      <w:sz w:val="28"/>
      <w:szCs w:val="28"/>
      <w:lang w:val="zh-TW" w:eastAsia="zh-TW" w:bidi="zh-TW"/>
    </w:rPr>
  </w:style>
  <w:style w:type="character" w:customStyle="1" w:styleId="69">
    <w:name w:val="font51"/>
    <w:qFormat/>
    <w:uiPriority w:val="0"/>
    <w:rPr>
      <w:rFonts w:hint="eastAsia" w:ascii="宋体" w:hAnsi="宋体" w:eastAsia="宋体" w:cs="宋体"/>
      <w:color w:val="FF0000"/>
      <w:sz w:val="16"/>
      <w:szCs w:val="16"/>
      <w:u w:val="none"/>
    </w:rPr>
  </w:style>
  <w:style w:type="character" w:customStyle="1" w:styleId="70">
    <w:name w:val="font01"/>
    <w:qFormat/>
    <w:uiPriority w:val="0"/>
    <w:rPr>
      <w:rFonts w:hint="eastAsia" w:ascii="宋体" w:hAnsi="宋体" w:eastAsia="宋体" w:cs="宋体"/>
      <w:color w:val="000000"/>
      <w:sz w:val="16"/>
      <w:szCs w:val="16"/>
      <w:u w:val="none"/>
    </w:rPr>
  </w:style>
  <w:style w:type="character" w:customStyle="1" w:styleId="71">
    <w:name w:val="font141"/>
    <w:basedOn w:val="27"/>
    <w:qFormat/>
    <w:uiPriority w:val="0"/>
    <w:rPr>
      <w:rFonts w:ascii="Segoe UI" w:hAnsi="Segoe UI" w:eastAsia="Segoe UI" w:cs="Segoe UI"/>
      <w:color w:val="171A1D"/>
      <w:sz w:val="20"/>
      <w:szCs w:val="20"/>
      <w:u w:val="none"/>
    </w:rPr>
  </w:style>
  <w:style w:type="character" w:customStyle="1" w:styleId="72">
    <w:name w:val="font121"/>
    <w:basedOn w:val="27"/>
    <w:qFormat/>
    <w:uiPriority w:val="0"/>
    <w:rPr>
      <w:rFonts w:hint="eastAsia" w:ascii="宋体" w:hAnsi="宋体" w:eastAsia="宋体" w:cs="宋体"/>
      <w:color w:val="171A1D"/>
      <w:sz w:val="20"/>
      <w:szCs w:val="20"/>
      <w:u w:val="none"/>
    </w:rPr>
  </w:style>
  <w:style w:type="character" w:customStyle="1" w:styleId="73">
    <w:name w:val="font131"/>
    <w:basedOn w:val="27"/>
    <w:qFormat/>
    <w:uiPriority w:val="0"/>
    <w:rPr>
      <w:rFonts w:ascii="Calibri" w:hAnsi="Calibri" w:cs="Calibri"/>
      <w:color w:val="000000"/>
      <w:sz w:val="20"/>
      <w:szCs w:val="20"/>
      <w:u w:val="none"/>
    </w:rPr>
  </w:style>
  <w:style w:type="character" w:customStyle="1" w:styleId="74">
    <w:name w:val="font11"/>
    <w:basedOn w:val="27"/>
    <w:qFormat/>
    <w:uiPriority w:val="0"/>
    <w:rPr>
      <w:rFonts w:hint="eastAsia" w:ascii="宋体" w:hAnsi="宋体" w:eastAsia="宋体" w:cs="宋体"/>
      <w:color w:val="000000"/>
      <w:sz w:val="22"/>
      <w:szCs w:val="22"/>
      <w:u w:val="none"/>
    </w:rPr>
  </w:style>
  <w:style w:type="character" w:customStyle="1" w:styleId="75">
    <w:name w:val="nth-of-type(8)"/>
    <w:basedOn w:val="27"/>
    <w:qFormat/>
    <w:uiPriority w:val="0"/>
  </w:style>
  <w:style w:type="character" w:customStyle="1" w:styleId="76">
    <w:name w:val="titleshow"/>
    <w:basedOn w:val="27"/>
    <w:qFormat/>
    <w:uiPriority w:val="0"/>
    <w:rPr>
      <w:color w:val="3E464C"/>
    </w:rPr>
  </w:style>
  <w:style w:type="character" w:customStyle="1" w:styleId="77">
    <w:name w:val="nth-of-type(6)"/>
    <w:basedOn w:val="27"/>
    <w:qFormat/>
    <w:uiPriority w:val="0"/>
  </w:style>
  <w:style w:type="character" w:customStyle="1" w:styleId="78">
    <w:name w:val="nth-of-type(6)1"/>
    <w:basedOn w:val="27"/>
    <w:qFormat/>
    <w:uiPriority w:val="0"/>
  </w:style>
  <w:style w:type="character" w:customStyle="1" w:styleId="79">
    <w:name w:val="nth-of-type(6)2"/>
    <w:basedOn w:val="27"/>
    <w:qFormat/>
    <w:uiPriority w:val="0"/>
  </w:style>
  <w:style w:type="character" w:customStyle="1" w:styleId="80">
    <w:name w:val="nth-of-type(6)3"/>
    <w:basedOn w:val="27"/>
    <w:qFormat/>
    <w:uiPriority w:val="0"/>
  </w:style>
  <w:style w:type="character" w:customStyle="1" w:styleId="81">
    <w:name w:val="nth-of-type(6)4"/>
    <w:basedOn w:val="27"/>
    <w:qFormat/>
    <w:uiPriority w:val="0"/>
    <w:rPr>
      <w:color w:val="0082DF"/>
    </w:rPr>
  </w:style>
  <w:style w:type="character" w:customStyle="1" w:styleId="82">
    <w:name w:val="nth-of-type(6)5"/>
    <w:basedOn w:val="27"/>
    <w:qFormat/>
    <w:uiPriority w:val="0"/>
  </w:style>
  <w:style w:type="character" w:customStyle="1" w:styleId="83">
    <w:name w:val="nth-of-type(1)"/>
    <w:basedOn w:val="27"/>
    <w:qFormat/>
    <w:uiPriority w:val="0"/>
  </w:style>
  <w:style w:type="character" w:customStyle="1" w:styleId="84">
    <w:name w:val="nth-of-type(1)1"/>
    <w:basedOn w:val="27"/>
    <w:qFormat/>
    <w:uiPriority w:val="0"/>
  </w:style>
  <w:style w:type="character" w:customStyle="1" w:styleId="85">
    <w:name w:val="nth-of-type(1)2"/>
    <w:basedOn w:val="27"/>
    <w:qFormat/>
    <w:uiPriority w:val="0"/>
  </w:style>
  <w:style w:type="character" w:customStyle="1" w:styleId="86">
    <w:name w:val="nth-of-type(1)3"/>
    <w:basedOn w:val="27"/>
    <w:qFormat/>
    <w:uiPriority w:val="0"/>
    <w:rPr>
      <w:sz w:val="14"/>
      <w:szCs w:val="14"/>
    </w:rPr>
  </w:style>
  <w:style w:type="character" w:customStyle="1" w:styleId="87">
    <w:name w:val="nth-of-type(1)4"/>
    <w:basedOn w:val="27"/>
    <w:qFormat/>
    <w:uiPriority w:val="0"/>
  </w:style>
  <w:style w:type="character" w:customStyle="1" w:styleId="88">
    <w:name w:val="nth-of-type(1)5"/>
    <w:basedOn w:val="27"/>
    <w:qFormat/>
    <w:uiPriority w:val="0"/>
  </w:style>
  <w:style w:type="character" w:customStyle="1" w:styleId="89">
    <w:name w:val="nth-of-type(1)6"/>
    <w:basedOn w:val="27"/>
    <w:qFormat/>
    <w:uiPriority w:val="0"/>
  </w:style>
  <w:style w:type="character" w:customStyle="1" w:styleId="90">
    <w:name w:val="nth-of-type(1)7"/>
    <w:basedOn w:val="27"/>
    <w:qFormat/>
    <w:uiPriority w:val="0"/>
  </w:style>
  <w:style w:type="character" w:customStyle="1" w:styleId="91">
    <w:name w:val="nth-of-type(1)8"/>
    <w:basedOn w:val="27"/>
    <w:qFormat/>
    <w:uiPriority w:val="0"/>
  </w:style>
  <w:style w:type="character" w:customStyle="1" w:styleId="92">
    <w:name w:val="nth-of-type(1)9"/>
    <w:basedOn w:val="27"/>
    <w:qFormat/>
    <w:uiPriority w:val="0"/>
  </w:style>
  <w:style w:type="character" w:customStyle="1" w:styleId="93">
    <w:name w:val="nth-of-type(1)10"/>
    <w:basedOn w:val="27"/>
    <w:qFormat/>
    <w:uiPriority w:val="0"/>
    <w:rPr>
      <w:rFonts w:ascii="SourceHanSansCN-Regular" w:hAnsi="SourceHanSansCN-Regular" w:eastAsia="SourceHanSansCN-Regular" w:cs="SourceHanSansCN-Regular"/>
      <w:color w:val="FB560A"/>
      <w:sz w:val="14"/>
      <w:szCs w:val="14"/>
    </w:rPr>
  </w:style>
  <w:style w:type="character" w:customStyle="1" w:styleId="94">
    <w:name w:val="nth-of-type(1)11"/>
    <w:basedOn w:val="27"/>
    <w:qFormat/>
    <w:uiPriority w:val="0"/>
  </w:style>
  <w:style w:type="character" w:customStyle="1" w:styleId="95">
    <w:name w:val="nth-of-type(1)12"/>
    <w:basedOn w:val="27"/>
    <w:qFormat/>
    <w:uiPriority w:val="0"/>
  </w:style>
  <w:style w:type="character" w:customStyle="1" w:styleId="96">
    <w:name w:val="nth-of-type(1)13"/>
    <w:basedOn w:val="27"/>
    <w:qFormat/>
    <w:uiPriority w:val="0"/>
  </w:style>
  <w:style w:type="character" w:customStyle="1" w:styleId="97">
    <w:name w:val="nth-of-type(1)14"/>
    <w:basedOn w:val="27"/>
    <w:qFormat/>
    <w:uiPriority w:val="0"/>
  </w:style>
  <w:style w:type="character" w:customStyle="1" w:styleId="98">
    <w:name w:val="nth-of-type(1)15"/>
    <w:basedOn w:val="27"/>
    <w:qFormat/>
    <w:uiPriority w:val="0"/>
  </w:style>
  <w:style w:type="character" w:customStyle="1" w:styleId="99">
    <w:name w:val="nth-of-type(1)16"/>
    <w:basedOn w:val="27"/>
    <w:qFormat/>
    <w:uiPriority w:val="0"/>
  </w:style>
  <w:style w:type="character" w:customStyle="1" w:styleId="100">
    <w:name w:val="nth-of-type(1)17"/>
    <w:basedOn w:val="27"/>
    <w:qFormat/>
    <w:uiPriority w:val="0"/>
  </w:style>
  <w:style w:type="character" w:customStyle="1" w:styleId="101">
    <w:name w:val="nth-of-type(1)18"/>
    <w:basedOn w:val="27"/>
    <w:qFormat/>
    <w:uiPriority w:val="0"/>
  </w:style>
  <w:style w:type="character" w:customStyle="1" w:styleId="102">
    <w:name w:val="nth-of-type(2)"/>
    <w:basedOn w:val="27"/>
    <w:qFormat/>
    <w:uiPriority w:val="0"/>
  </w:style>
  <w:style w:type="character" w:customStyle="1" w:styleId="103">
    <w:name w:val="nth-of-type(2)1"/>
    <w:basedOn w:val="27"/>
    <w:qFormat/>
    <w:uiPriority w:val="0"/>
  </w:style>
  <w:style w:type="character" w:customStyle="1" w:styleId="104">
    <w:name w:val="nth-of-type(2)2"/>
    <w:basedOn w:val="27"/>
    <w:qFormat/>
    <w:uiPriority w:val="0"/>
  </w:style>
  <w:style w:type="character" w:customStyle="1" w:styleId="105">
    <w:name w:val="nth-of-type(2)3"/>
    <w:basedOn w:val="27"/>
    <w:qFormat/>
    <w:uiPriority w:val="0"/>
    <w:rPr>
      <w:sz w:val="14"/>
      <w:szCs w:val="14"/>
    </w:rPr>
  </w:style>
  <w:style w:type="character" w:customStyle="1" w:styleId="106">
    <w:name w:val="nth-of-type(2)4"/>
    <w:basedOn w:val="27"/>
    <w:qFormat/>
    <w:uiPriority w:val="0"/>
  </w:style>
  <w:style w:type="character" w:customStyle="1" w:styleId="107">
    <w:name w:val="nth-of-type(2)5"/>
    <w:basedOn w:val="27"/>
    <w:qFormat/>
    <w:uiPriority w:val="0"/>
  </w:style>
  <w:style w:type="character" w:customStyle="1" w:styleId="108">
    <w:name w:val="nth-of-type(2)6"/>
    <w:basedOn w:val="27"/>
    <w:qFormat/>
    <w:uiPriority w:val="0"/>
  </w:style>
  <w:style w:type="character" w:customStyle="1" w:styleId="109">
    <w:name w:val="nth-of-type(2)7"/>
    <w:basedOn w:val="27"/>
    <w:qFormat/>
    <w:uiPriority w:val="0"/>
  </w:style>
  <w:style w:type="character" w:customStyle="1" w:styleId="110">
    <w:name w:val="nth-of-type(2)8"/>
    <w:basedOn w:val="27"/>
    <w:qFormat/>
    <w:uiPriority w:val="0"/>
  </w:style>
  <w:style w:type="character" w:customStyle="1" w:styleId="111">
    <w:name w:val="nth-of-type(2)9"/>
    <w:basedOn w:val="27"/>
    <w:qFormat/>
    <w:uiPriority w:val="0"/>
  </w:style>
  <w:style w:type="character" w:customStyle="1" w:styleId="112">
    <w:name w:val="nth-of-type(2)10"/>
    <w:basedOn w:val="27"/>
    <w:qFormat/>
    <w:uiPriority w:val="0"/>
  </w:style>
  <w:style w:type="character" w:customStyle="1" w:styleId="113">
    <w:name w:val="nth-of-type(2)11"/>
    <w:basedOn w:val="27"/>
    <w:qFormat/>
    <w:uiPriority w:val="0"/>
  </w:style>
  <w:style w:type="character" w:customStyle="1" w:styleId="114">
    <w:name w:val="nth-of-type(2)12"/>
    <w:basedOn w:val="27"/>
    <w:qFormat/>
    <w:uiPriority w:val="0"/>
  </w:style>
  <w:style w:type="character" w:customStyle="1" w:styleId="115">
    <w:name w:val="nth-of-type(2)13"/>
    <w:basedOn w:val="27"/>
    <w:qFormat/>
    <w:uiPriority w:val="0"/>
  </w:style>
  <w:style w:type="character" w:customStyle="1" w:styleId="116">
    <w:name w:val="nth-of-type(2)14"/>
    <w:basedOn w:val="27"/>
    <w:qFormat/>
    <w:uiPriority w:val="0"/>
  </w:style>
  <w:style w:type="character" w:customStyle="1" w:styleId="117">
    <w:name w:val="before"/>
    <w:basedOn w:val="27"/>
    <w:qFormat/>
    <w:uiPriority w:val="0"/>
    <w:rPr>
      <w:shd w:val="clear" w:color="auto" w:fill="C20E0C"/>
    </w:rPr>
  </w:style>
  <w:style w:type="character" w:customStyle="1" w:styleId="118">
    <w:name w:val="nth-of-type(5)"/>
    <w:basedOn w:val="27"/>
    <w:qFormat/>
    <w:uiPriority w:val="0"/>
    <w:rPr>
      <w:sz w:val="14"/>
      <w:szCs w:val="14"/>
    </w:rPr>
  </w:style>
  <w:style w:type="character" w:customStyle="1" w:styleId="119">
    <w:name w:val="nth-child(2)"/>
    <w:basedOn w:val="27"/>
    <w:qFormat/>
    <w:uiPriority w:val="0"/>
  </w:style>
  <w:style w:type="character" w:customStyle="1" w:styleId="120">
    <w:name w:val="nth-of-type(4)"/>
    <w:basedOn w:val="27"/>
    <w:qFormat/>
    <w:uiPriority w:val="0"/>
    <w:rPr>
      <w:sz w:val="14"/>
      <w:szCs w:val="14"/>
    </w:rPr>
  </w:style>
  <w:style w:type="character" w:customStyle="1" w:styleId="121">
    <w:name w:val="nth-of-type(4)1"/>
    <w:basedOn w:val="27"/>
    <w:qFormat/>
    <w:uiPriority w:val="0"/>
  </w:style>
  <w:style w:type="character" w:customStyle="1" w:styleId="122">
    <w:name w:val="nth-of-type(4)2"/>
    <w:basedOn w:val="27"/>
    <w:qFormat/>
    <w:uiPriority w:val="0"/>
  </w:style>
  <w:style w:type="character" w:customStyle="1" w:styleId="123">
    <w:name w:val="nth-of-type(4)3"/>
    <w:basedOn w:val="27"/>
    <w:qFormat/>
    <w:uiPriority w:val="0"/>
  </w:style>
  <w:style w:type="character" w:customStyle="1" w:styleId="124">
    <w:name w:val="nth-of-type(4)4"/>
    <w:basedOn w:val="27"/>
    <w:qFormat/>
    <w:uiPriority w:val="0"/>
  </w:style>
  <w:style w:type="character" w:customStyle="1" w:styleId="125">
    <w:name w:val="nth-of-type(4)5"/>
    <w:basedOn w:val="27"/>
    <w:qFormat/>
    <w:uiPriority w:val="0"/>
  </w:style>
  <w:style w:type="character" w:customStyle="1" w:styleId="126">
    <w:name w:val="nth-of-type(4)6"/>
    <w:basedOn w:val="27"/>
    <w:qFormat/>
    <w:uiPriority w:val="0"/>
  </w:style>
  <w:style w:type="character" w:customStyle="1" w:styleId="127">
    <w:name w:val="nth-of-type(4)7"/>
    <w:basedOn w:val="27"/>
    <w:qFormat/>
    <w:uiPriority w:val="0"/>
  </w:style>
  <w:style w:type="character" w:customStyle="1" w:styleId="128">
    <w:name w:val="nth-of-type(4)8"/>
    <w:basedOn w:val="27"/>
    <w:qFormat/>
    <w:uiPriority w:val="0"/>
  </w:style>
  <w:style w:type="character" w:customStyle="1" w:styleId="129">
    <w:name w:val="nth-of-type(3)"/>
    <w:basedOn w:val="27"/>
    <w:qFormat/>
    <w:uiPriority w:val="0"/>
    <w:rPr>
      <w:sz w:val="14"/>
      <w:szCs w:val="14"/>
    </w:rPr>
  </w:style>
  <w:style w:type="character" w:customStyle="1" w:styleId="130">
    <w:name w:val="nth-of-type(3)1"/>
    <w:basedOn w:val="27"/>
    <w:qFormat/>
    <w:uiPriority w:val="0"/>
  </w:style>
  <w:style w:type="character" w:customStyle="1" w:styleId="131">
    <w:name w:val="nth-of-type(3)2"/>
    <w:basedOn w:val="27"/>
    <w:qFormat/>
    <w:uiPriority w:val="0"/>
  </w:style>
  <w:style w:type="character" w:customStyle="1" w:styleId="132">
    <w:name w:val="nth-of-type(3)3"/>
    <w:basedOn w:val="27"/>
    <w:qFormat/>
    <w:uiPriority w:val="0"/>
  </w:style>
  <w:style w:type="character" w:customStyle="1" w:styleId="133">
    <w:name w:val="nth-of-type(3)4"/>
    <w:basedOn w:val="27"/>
    <w:qFormat/>
    <w:uiPriority w:val="0"/>
  </w:style>
  <w:style w:type="character" w:customStyle="1" w:styleId="134">
    <w:name w:val="nth-of-type(3)5"/>
    <w:basedOn w:val="27"/>
    <w:qFormat/>
    <w:uiPriority w:val="0"/>
  </w:style>
  <w:style w:type="character" w:customStyle="1" w:styleId="135">
    <w:name w:val="nth-of-type(3)6"/>
    <w:basedOn w:val="27"/>
    <w:qFormat/>
    <w:uiPriority w:val="0"/>
  </w:style>
  <w:style w:type="character" w:customStyle="1" w:styleId="136">
    <w:name w:val="nth-of-type(3)7"/>
    <w:basedOn w:val="27"/>
    <w:qFormat/>
    <w:uiPriority w:val="0"/>
  </w:style>
  <w:style w:type="character" w:customStyle="1" w:styleId="137">
    <w:name w:val="layui-this4"/>
    <w:basedOn w:val="27"/>
    <w:qFormat/>
    <w:uiPriority w:val="0"/>
    <w:rPr>
      <w:bdr w:val="single" w:color="EEEEEE" w:sz="4" w:space="0"/>
      <w:shd w:val="clear" w:color="auto" w:fill="FFFFFF"/>
    </w:rPr>
  </w:style>
  <w:style w:type="character" w:customStyle="1" w:styleId="138">
    <w:name w:val="first-child1"/>
    <w:basedOn w:val="27"/>
    <w:qFormat/>
    <w:uiPriority w:val="0"/>
  </w:style>
  <w:style w:type="character" w:customStyle="1" w:styleId="139">
    <w:name w:val="first-child2"/>
    <w:basedOn w:val="27"/>
    <w:qFormat/>
    <w:uiPriority w:val="0"/>
  </w:style>
  <w:style w:type="character" w:customStyle="1" w:styleId="140">
    <w:name w:val="first-child3"/>
    <w:basedOn w:val="27"/>
    <w:qFormat/>
    <w:uiPriority w:val="0"/>
  </w:style>
  <w:style w:type="character" w:customStyle="1" w:styleId="141">
    <w:name w:val="first-child4"/>
    <w:basedOn w:val="27"/>
    <w:qFormat/>
    <w:uiPriority w:val="0"/>
  </w:style>
  <w:style w:type="character" w:customStyle="1" w:styleId="142">
    <w:name w:val="hover25"/>
    <w:basedOn w:val="27"/>
    <w:qFormat/>
    <w:uiPriority w:val="0"/>
    <w:rPr>
      <w:color w:val="167AE0"/>
    </w:rPr>
  </w:style>
  <w:style w:type="character" w:customStyle="1" w:styleId="143">
    <w:name w:val="hover26"/>
    <w:basedOn w:val="27"/>
    <w:qFormat/>
    <w:uiPriority w:val="0"/>
  </w:style>
  <w:style w:type="character" w:customStyle="1" w:styleId="144">
    <w:name w:val="nth-child(3)"/>
    <w:basedOn w:val="27"/>
    <w:qFormat/>
    <w:uiPriority w:val="0"/>
  </w:style>
  <w:style w:type="character" w:customStyle="1" w:styleId="145">
    <w:name w:val="nth-of-type(7)"/>
    <w:basedOn w:val="27"/>
    <w:qFormat/>
    <w:uiPriority w:val="0"/>
  </w:style>
  <w:style w:type="character" w:customStyle="1" w:styleId="146">
    <w:name w:val="nth-of-type(7)1"/>
    <w:basedOn w:val="27"/>
    <w:qFormat/>
    <w:uiPriority w:val="0"/>
  </w:style>
  <w:style w:type="character" w:customStyle="1" w:styleId="147">
    <w:name w:val="nth-of-type(7)2"/>
    <w:basedOn w:val="27"/>
    <w:qFormat/>
    <w:uiPriority w:val="0"/>
  </w:style>
  <w:style w:type="character" w:customStyle="1" w:styleId="148">
    <w:name w:val="nth-of-type(9)"/>
    <w:basedOn w:val="27"/>
    <w:qFormat/>
    <w:uiPriority w:val="0"/>
  </w:style>
  <w:style w:type="character" w:customStyle="1" w:styleId="149">
    <w:name w:val="layui-laypage-curr"/>
    <w:basedOn w:val="27"/>
    <w:qFormat/>
    <w:uiPriority w:val="0"/>
  </w:style>
  <w:style w:type="character" w:customStyle="1" w:styleId="150">
    <w:name w:val="last-child1"/>
    <w:basedOn w:val="27"/>
    <w:qFormat/>
    <w:uiPriority w:val="0"/>
  </w:style>
  <w:style w:type="character" w:customStyle="1" w:styleId="151">
    <w:name w:val="last-child2"/>
    <w:basedOn w:val="27"/>
    <w:qFormat/>
    <w:uiPriority w:val="0"/>
    <w:rPr>
      <w:color w:val="FFFFFF"/>
    </w:rPr>
  </w:style>
  <w:style w:type="character" w:customStyle="1" w:styleId="152">
    <w:name w:val="last-child3"/>
    <w:basedOn w:val="27"/>
    <w:qFormat/>
    <w:uiPriority w:val="0"/>
  </w:style>
  <w:style w:type="character" w:customStyle="1" w:styleId="153">
    <w:name w:val="lineshow"/>
    <w:basedOn w:val="27"/>
    <w:qFormat/>
    <w:uiPriority w:val="0"/>
  </w:style>
  <w:style w:type="character" w:customStyle="1" w:styleId="154">
    <w:name w:val="lineshow1"/>
    <w:basedOn w:val="27"/>
    <w:qFormat/>
    <w:uiPriority w:val="0"/>
  </w:style>
  <w:style w:type="character" w:customStyle="1" w:styleId="155">
    <w:name w:val="nth-of-type(10)"/>
    <w:basedOn w:val="27"/>
    <w:qFormat/>
    <w:uiPriority w:val="0"/>
  </w:style>
  <w:style w:type="character" w:customStyle="1" w:styleId="156">
    <w:name w:val="nth-child(1)"/>
    <w:basedOn w:val="27"/>
    <w:qFormat/>
    <w:uiPriority w:val="0"/>
  </w:style>
  <w:style w:type="character" w:customStyle="1" w:styleId="157">
    <w:name w:val="正文文本 Char"/>
    <w:basedOn w:val="27"/>
    <w:link w:val="10"/>
    <w:uiPriority w:val="99"/>
    <w:rPr>
      <w:b/>
      <w:kern w:val="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35193</Words>
  <Characters>38537</Characters>
  <Lines>320</Lines>
  <Paragraphs>90</Paragraphs>
  <TotalTime>12</TotalTime>
  <ScaleCrop>false</ScaleCrop>
  <LinksUpToDate>false</LinksUpToDate>
  <CharactersWithSpaces>42281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2020-08-10T02:16:00Z</dcterms:created>
  <dc:creator>吃猫的鱼</dc:creator>
  <cp:lastModifiedBy>Administrator</cp:lastModifiedBy>
  <cp:lastPrinted>2018-10-10T07:57:00Z</cp:lastPrinted>
  <dcterms:modified xsi:type="dcterms:W3CDTF">2023-01-13T01:55:07Z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F37E8B1D843641948A23227F43509ECE</vt:lpwstr>
  </property>
</Properties>
</file>