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240" w:afterLines="100" w:line="360" w:lineRule="auto"/>
        <w:jc w:val="center"/>
        <w:outlineLvl w:val="0"/>
        <w:rPr>
          <w:rFonts w:hint="eastAsia" w:ascii="宋体" w:hAnsi="宋体" w:eastAsia="宋体" w:cs="宋体"/>
          <w:b w:val="0"/>
          <w:color w:val="000000"/>
          <w:sz w:val="44"/>
          <w:szCs w:val="44"/>
          <w:highlight w:val="none"/>
        </w:rPr>
      </w:pPr>
      <w:r>
        <w:rPr>
          <w:rFonts w:hint="eastAsia" w:ascii="宋体" w:hAnsi="宋体" w:eastAsia="宋体" w:cs="宋体"/>
          <w:b w:val="0"/>
          <w:color w:val="000000"/>
          <w:sz w:val="44"/>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color w:val="000000"/>
          <w:sz w:val="28"/>
          <w:szCs w:val="28"/>
          <w:highlight w:val="none"/>
          <w:lang w:eastAsia="zh-CN"/>
        </w:rPr>
      </w:pPr>
      <w:r>
        <w:rPr>
          <w:rFonts w:hint="eastAsia" w:ascii="宋体" w:hAnsi="宋体" w:cs="宋体"/>
          <w:b/>
          <w:color w:val="000000"/>
          <w:sz w:val="28"/>
          <w:szCs w:val="28"/>
          <w:highlight w:val="none"/>
          <w:lang w:eastAsia="zh-CN"/>
        </w:rPr>
        <w:t>一、项目概况</w:t>
      </w:r>
    </w:p>
    <w:p>
      <w:pPr>
        <w:pStyle w:val="5"/>
        <w:tabs>
          <w:tab w:val="left" w:pos="600"/>
        </w:tabs>
        <w:spacing w:line="360" w:lineRule="auto"/>
        <w:ind w:firstLineChars="3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在辖区内进行省、市级示范小区垃圾投放点配套设施建设投放、设备后期维护项目。垃圾分类房安装前，需对垃圾分类房的基础、上下水、电路进行处理，安装完成后达到使用要求。本项目行业属性工业。</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textAlignment w:val="auto"/>
        <w:rPr>
          <w:rFonts w:hint="eastAsia" w:ascii="宋体" w:hAnsi="宋体" w:cs="宋体"/>
          <w:b/>
          <w:color w:val="000000"/>
          <w:sz w:val="28"/>
          <w:szCs w:val="28"/>
          <w:highlight w:val="none"/>
          <w:lang w:eastAsia="zh-CN"/>
        </w:rPr>
      </w:pPr>
      <w:r>
        <w:rPr>
          <w:rFonts w:hint="eastAsia" w:ascii="宋体" w:hAnsi="宋体" w:cs="宋体"/>
          <w:b/>
          <w:color w:val="000000"/>
          <w:sz w:val="28"/>
          <w:szCs w:val="28"/>
          <w:highlight w:val="none"/>
          <w:lang w:eastAsia="zh-CN"/>
        </w:rPr>
        <w:t>采购内容</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2.1 技术要求</w:t>
      </w:r>
    </w:p>
    <w:p>
      <w:pPr>
        <w:pStyle w:val="2"/>
        <w:spacing w:before="0" w:after="120" w:afterLines="50" w:line="360" w:lineRule="auto"/>
        <w:ind w:firstLine="422" w:firstLineChars="200"/>
        <w:outlineLvl w:val="3"/>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2.1.1带有☆号的技术参数为实质性条款不得有偏差。</w:t>
      </w:r>
    </w:p>
    <w:p>
      <w:pPr>
        <w:pStyle w:val="2"/>
        <w:spacing w:before="0" w:after="0" w:line="360" w:lineRule="auto"/>
        <w:ind w:firstLine="422" w:firstLineChars="200"/>
        <w:outlineLvl w:val="3"/>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 xml:space="preserve">2.1.2 </w:t>
      </w:r>
      <w:r>
        <w:rPr>
          <w:rFonts w:hint="eastAsia" w:ascii="宋体" w:hAnsi="宋体" w:eastAsia="宋体" w:cs="宋体"/>
          <w:color w:val="000000"/>
          <w:sz w:val="21"/>
          <w:szCs w:val="21"/>
          <w:highlight w:val="none"/>
        </w:rPr>
        <w:t>核心产品名称：</w:t>
      </w:r>
    </w:p>
    <w:p>
      <w:pPr>
        <w:pStyle w:val="2"/>
        <w:spacing w:before="0" w:after="0" w:line="360" w:lineRule="auto"/>
        <w:ind w:firstLine="422" w:firstLineChars="200"/>
        <w:outlineLvl w:val="3"/>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第一包：垃圾房</w:t>
      </w:r>
    </w:p>
    <w:p>
      <w:pPr>
        <w:pStyle w:val="2"/>
        <w:spacing w:before="0" w:after="0" w:line="360" w:lineRule="auto"/>
        <w:ind w:firstLine="422" w:firstLineChars="200"/>
        <w:outlineLvl w:val="3"/>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第二包：垃圾房</w:t>
      </w:r>
    </w:p>
    <w:p>
      <w:pPr>
        <w:pStyle w:val="2"/>
        <w:spacing w:before="0" w:after="0" w:line="360" w:lineRule="auto"/>
        <w:ind w:firstLine="422" w:firstLineChars="200"/>
        <w:outlineLvl w:val="3"/>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2.1.3 下列产品为强制采购的节能产品（如有）：</w:t>
      </w:r>
    </w:p>
    <w:p>
      <w:pPr>
        <w:pStyle w:val="4"/>
        <w:spacing w:line="360" w:lineRule="auto"/>
        <w:ind w:firstLine="625" w:firstLineChars="298"/>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val="en-US" w:eastAsia="zh-CN"/>
        </w:rPr>
        <w:t>第一包：</w:t>
      </w:r>
      <w:r>
        <w:rPr>
          <w:rFonts w:hint="eastAsia" w:ascii="宋体" w:hAnsi="宋体" w:eastAsia="宋体" w:cs="宋体"/>
          <w:bCs/>
          <w:color w:val="000000"/>
          <w:szCs w:val="21"/>
          <w:highlight w:val="none"/>
          <w:lang w:eastAsia="zh-CN"/>
        </w:rPr>
        <w:t>无</w:t>
      </w:r>
    </w:p>
    <w:p>
      <w:pPr>
        <w:pStyle w:val="4"/>
        <w:spacing w:line="360" w:lineRule="auto"/>
        <w:ind w:firstLine="625" w:firstLineChars="298"/>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第二包：无</w:t>
      </w:r>
    </w:p>
    <w:p>
      <w:pPr>
        <w:pStyle w:val="2"/>
        <w:spacing w:before="0" w:after="0" w:line="360" w:lineRule="auto"/>
        <w:ind w:firstLine="422" w:firstLineChars="200"/>
        <w:outlineLvl w:val="3"/>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2.1.4货物技术要求一览表</w:t>
      </w:r>
    </w:p>
    <w:p>
      <w:pPr>
        <w:ind w:firstLine="422" w:firstLineChars="200"/>
        <w:rPr>
          <w:rFonts w:hint="eastAsia"/>
          <w:color w:val="000000"/>
          <w:highlight w:val="none"/>
          <w:lang w:val="en-US" w:eastAsia="zh-CN"/>
        </w:rPr>
      </w:pPr>
      <w:r>
        <w:rPr>
          <w:rFonts w:hint="eastAsia" w:ascii="宋体" w:hAnsi="宋体" w:eastAsia="宋体" w:cs="宋体"/>
          <w:b/>
          <w:bCs/>
          <w:color w:val="000000"/>
          <w:sz w:val="21"/>
          <w:szCs w:val="21"/>
          <w:highlight w:val="none"/>
          <w:lang w:val="en-US" w:eastAsia="zh-CN"/>
        </w:rPr>
        <w:t>招标文件中所列材质及设备仅为简单描述，投标时应以附件中的材质及设备要求为准，此表用于分项报价、货物（产品）说明一览表填写。</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32"/>
        <w:gridCol w:w="1038"/>
        <w:gridCol w:w="4414"/>
        <w:gridCol w:w="414"/>
        <w:gridCol w:w="573"/>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000" w:type="pct"/>
            <w:gridSpan w:val="7"/>
            <w:shd w:val="clear" w:color="auto" w:fill="D8E4BC"/>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第一包：省级示范小区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000" w:type="pct"/>
            <w:gridSpan w:val="7"/>
            <w:shd w:val="clear" w:color="auto" w:fill="D8E4BC"/>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6个省级示范小区建设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34"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546" w:type="pct"/>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地点</w:t>
            </w:r>
          </w:p>
        </w:tc>
        <w:tc>
          <w:tcPr>
            <w:tcW w:w="608" w:type="pct"/>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尺寸</w:t>
            </w:r>
          </w:p>
        </w:tc>
        <w:tc>
          <w:tcPr>
            <w:tcW w:w="2589" w:type="pct"/>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材质及设备</w:t>
            </w:r>
          </w:p>
        </w:tc>
        <w:tc>
          <w:tcPr>
            <w:tcW w:w="243" w:type="pct"/>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336" w:type="pct"/>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341" w:type="pct"/>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4" w:type="pct"/>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46" w:type="pct"/>
            <w:vMerge w:val="restar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荣城小区</w:t>
            </w:r>
          </w:p>
        </w:tc>
        <w:tc>
          <w:tcPr>
            <w:tcW w:w="11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6*3*3.1mH</w:t>
            </w:r>
          </w:p>
        </w:tc>
        <w:tc>
          <w:tcPr>
            <w:tcW w:w="47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哑黑喷砂不锈钢、黑镜钢、201不锈钢防滑花纹地板、80*80*3镀锌方管、内衬5cm岩棉夹芯板、不锈钢烤漆立体字、丝印喷漆、铝扣板吊顶、烟雾报警器、50寸户外广告触摸屏、led户外彩色显示屏（4.08m*0.54m）、灭火器两个、节能照明灯、强力排风扇、配电箱、地漏、百叶窗、拖把池、电源开关、16A插座、一体式单开门、自动感应开盖、嵌入式紫外臭氧灭菌灯、灭蝇灯、开关，哑光不锈钢手动洗手池、两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shd w:val="clear" w:color="auto" w:fill="FFFFFF"/>
            <w:noWrap w:val="0"/>
            <w:vAlign w:val="center"/>
          </w:tcPr>
          <w:p>
            <w:pPr>
              <w:jc w:val="center"/>
              <w:rPr>
                <w:rFonts w:hint="eastAsia" w:ascii="宋体" w:hAnsi="宋体" w:eastAsia="宋体" w:cs="宋体"/>
                <w:i w:val="0"/>
                <w:iCs w:val="0"/>
                <w:color w:val="000000"/>
                <w:sz w:val="18"/>
                <w:szCs w:val="18"/>
                <w:highlight w:val="none"/>
                <w:u w:val="none"/>
              </w:rPr>
            </w:pPr>
          </w:p>
        </w:tc>
        <w:tc>
          <w:tcPr>
            <w:tcW w:w="341" w:type="pct"/>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垃圾房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334" w:type="pct"/>
            <w:vMerge w:val="continue"/>
            <w:shd w:val="clear" w:color="auto" w:fill="auto"/>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shd w:val="clear" w:color="auto" w:fill="FFFFFF"/>
            <w:noWrap/>
            <w:vAlign w:val="center"/>
          </w:tcPr>
          <w:p>
            <w:pPr>
              <w:jc w:val="center"/>
              <w:rPr>
                <w:rFonts w:hint="eastAsia" w:ascii="宋体" w:hAnsi="宋体" w:eastAsia="宋体" w:cs="宋体"/>
                <w:i w:val="0"/>
                <w:iCs w:val="0"/>
                <w:color w:val="000000"/>
                <w:sz w:val="18"/>
                <w:szCs w:val="18"/>
                <w:highlight w:val="none"/>
                <w:u w:val="none"/>
              </w:rPr>
            </w:pPr>
          </w:p>
        </w:tc>
        <w:tc>
          <w:tcPr>
            <w:tcW w:w="11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6*2.5*3.1mH</w:t>
            </w:r>
          </w:p>
        </w:tc>
        <w:tc>
          <w:tcPr>
            <w:tcW w:w="47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哑黑喷砂不锈钢、黑镜钢、201不锈钢防滑花纹地板、80*80*3镀锌方管、内衬5cm岩棉夹芯板、不锈钢烤漆立体字、丝印喷漆、铝扣板吊顶、烟雾报警器、50寸户外广告触摸屏、led户外彩色显示屏（4.08m*0.54m）、灭火器两个、节能照明灯、强力排风扇、配电箱、地漏、百叶窗、拖把池、电源开关、16A插座、一体式单开门、自动感应开盖、嵌入式紫外臭氧灭菌灯、灭蝇灯、开关，哑光不锈钢手动洗手池、两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continue"/>
            <w:shd w:val="clear" w:color="auto" w:fill="FFFFFF"/>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4" w:type="pct"/>
            <w:vMerge w:val="continue"/>
            <w:shd w:val="clear" w:color="auto" w:fill="auto"/>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shd w:val="clear" w:color="auto" w:fill="FFFFFF"/>
            <w:noWrap/>
            <w:vAlign w:val="center"/>
          </w:tcPr>
          <w:p>
            <w:pPr>
              <w:jc w:val="center"/>
              <w:rPr>
                <w:rFonts w:hint="eastAsia" w:ascii="宋体" w:hAnsi="宋体" w:eastAsia="宋体" w:cs="宋体"/>
                <w:i w:val="0"/>
                <w:iCs w:val="0"/>
                <w:color w:val="000000"/>
                <w:sz w:val="18"/>
                <w:szCs w:val="18"/>
                <w:highlight w:val="none"/>
                <w:u w:val="none"/>
              </w:rPr>
            </w:pPr>
          </w:p>
        </w:tc>
        <w:tc>
          <w:tcPr>
            <w:tcW w:w="11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5*2.5*3.1mH</w:t>
            </w:r>
          </w:p>
        </w:tc>
        <w:tc>
          <w:tcPr>
            <w:tcW w:w="47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哑黑喷砂不锈钢、黑镜钢、201不锈钢防滑花纹地板、80*80*3镀锌方管、内衬5cm岩棉夹芯板、不锈钢烤漆立体字、丝印喷漆、铝扣板吊顶、烟雾报警器、50寸户外广告触摸屏、led户外彩色显示屏（2.72m*0.54m）、灭火器两个、节能照明灯、强力排风扇、配电箱、地漏、百叶窗、拖把池、电源开关、16A插座、一体式单开门、自动感应开盖、嵌入式紫外臭氧灭菌灯、灭蝇灯、开关，哑光不锈钢手动洗手池、两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continue"/>
            <w:shd w:val="clear" w:color="auto" w:fill="FFFFFF"/>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334" w:type="pct"/>
            <w:vMerge w:val="continue"/>
            <w:shd w:val="clear" w:color="auto" w:fill="auto"/>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shd w:val="clear" w:color="auto" w:fill="FFFFFF"/>
            <w:noWrap/>
            <w:vAlign w:val="center"/>
          </w:tcPr>
          <w:p>
            <w:pPr>
              <w:jc w:val="center"/>
              <w:rPr>
                <w:rFonts w:hint="eastAsia" w:ascii="宋体" w:hAnsi="宋体" w:eastAsia="宋体" w:cs="宋体"/>
                <w:i w:val="0"/>
                <w:iCs w:val="0"/>
                <w:color w:val="000000"/>
                <w:sz w:val="18"/>
                <w:szCs w:val="18"/>
                <w:highlight w:val="none"/>
                <w:u w:val="none"/>
              </w:rPr>
            </w:pPr>
          </w:p>
        </w:tc>
        <w:tc>
          <w:tcPr>
            <w:tcW w:w="111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9*3.5m*3mH</w:t>
            </w:r>
          </w:p>
        </w:tc>
        <w:tc>
          <w:tcPr>
            <w:tcW w:w="4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艺烤漆立体字+干挂石材+201不锈钢防滑花纹地板,80*80*3方管、内衬5cm岩棉夹芯板、烟雾报警器、灭火器两个、节能照明灯、强力排风扇、配电箱、百叶窗、拖把池、地漏、电源开关、16A插座、嵌入式紫外线臭氧灭菌灯、灭蝇灯、监控摄像头、双开大门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垃圾暂存间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34" w:type="pct"/>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46" w:type="pct"/>
            <w:vMerge w:val="restar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兴庆宫小区</w:t>
            </w:r>
          </w:p>
        </w:tc>
        <w:tc>
          <w:tcPr>
            <w:tcW w:w="11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5*3m*3.1mH</w:t>
            </w:r>
          </w:p>
        </w:tc>
        <w:tc>
          <w:tcPr>
            <w:tcW w:w="47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哑黑喷砂不锈钢、黑镜钢、201不锈钢防滑花纹地板、80*80*3镀锌方管、内衬5cm岩棉夹芯板、不锈钢烤漆立体字、丝印喷漆、铝扣板吊顶、烟雾报警器、50寸户外广告触摸屏、led户外彩色显示屏（2.72m*0.54m）、灭火器两个、节能照明灯、强力排风扇、配电箱、地漏、百叶窗、拖把池、电源开关、16A插座、一体式单开门、自动感应开盖、嵌入式紫外臭氧灭菌灯、灭蝇灯、开关，哑光不锈钢手动洗手池、两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34" w:type="pct"/>
            <w:vMerge w:val="continue"/>
            <w:shd w:val="clear" w:color="auto" w:fill="auto"/>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shd w:val="clear" w:color="auto" w:fill="FFFFFF"/>
            <w:noWrap/>
            <w:vAlign w:val="center"/>
          </w:tcPr>
          <w:p>
            <w:pPr>
              <w:jc w:val="center"/>
              <w:rPr>
                <w:rFonts w:hint="eastAsia" w:ascii="宋体" w:hAnsi="宋体" w:eastAsia="宋体" w:cs="宋体"/>
                <w:i w:val="0"/>
                <w:iCs w:val="0"/>
                <w:color w:val="000000"/>
                <w:sz w:val="18"/>
                <w:szCs w:val="18"/>
                <w:highlight w:val="none"/>
                <w:u w:val="none"/>
              </w:rPr>
            </w:pPr>
          </w:p>
        </w:tc>
        <w:tc>
          <w:tcPr>
            <w:tcW w:w="11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4*2.5m*3mH</w:t>
            </w:r>
          </w:p>
        </w:tc>
        <w:tc>
          <w:tcPr>
            <w:tcW w:w="47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201不锈钢防滑花纹地板、80*80*3镀锌方管、内衬5cm岩棉夹芯板、不锈钢烤漆立体字、铝扣板吊顶、烟雾报警器、单红LED屏幕、灭火器两个、节能照明灯、强力排风扇、配电箱、地漏、百叶窗、拖把池、电源开关、16A插座、自动感应开盖、嵌入式紫外臭氧灭菌灯、洗手池、5mm银镜、两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continue"/>
            <w:shd w:val="clear" w:color="auto" w:fill="FFFFFF"/>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334" w:type="pct"/>
            <w:vMerge w:val="continue"/>
            <w:shd w:val="clear" w:color="auto" w:fill="auto"/>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shd w:val="clear" w:color="auto" w:fill="FFFFFF"/>
            <w:noWrap/>
            <w:vAlign w:val="center"/>
          </w:tcPr>
          <w:p>
            <w:pPr>
              <w:jc w:val="center"/>
              <w:rPr>
                <w:rFonts w:hint="eastAsia" w:ascii="宋体" w:hAnsi="宋体" w:eastAsia="宋体" w:cs="宋体"/>
                <w:i w:val="0"/>
                <w:iCs w:val="0"/>
                <w:color w:val="000000"/>
                <w:sz w:val="18"/>
                <w:szCs w:val="18"/>
                <w:highlight w:val="none"/>
                <w:u w:val="none"/>
              </w:rPr>
            </w:pPr>
          </w:p>
        </w:tc>
        <w:tc>
          <w:tcPr>
            <w:tcW w:w="111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6*3.5*3mH</w:t>
            </w:r>
          </w:p>
        </w:tc>
        <w:tc>
          <w:tcPr>
            <w:tcW w:w="4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艺烤漆立体字+干挂石材+201不锈钢防滑花纹地板,80*80*3方管、内衬5cm岩棉夹芯板、烟雾报警器、灭火器两个、节能照明灯、强力排风扇、配电箱、百叶窗、拖把池、地漏、电源开关、16A插座、嵌入式紫外线臭氧灭菌灯、灭蝇灯、监控摄像头、双开大门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垃圾暂存间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334" w:type="pct"/>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46"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陕西省日报社家属院</w:t>
            </w:r>
          </w:p>
        </w:tc>
        <w:tc>
          <w:tcPr>
            <w:tcW w:w="11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6*2.5*3.1mH</w:t>
            </w:r>
          </w:p>
        </w:tc>
        <w:tc>
          <w:tcPr>
            <w:tcW w:w="47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哑黑喷砂不锈钢、黑镜钢、201不锈钢防滑花纹地板、80*80*3镀锌方管、内衬5cm岩棉夹芯板、不锈钢烤漆立体字、丝印喷漆、铝扣板吊顶、烟雾报警器、50寸户外广告触摸屏、led户外彩色显示屏（4.08m*0.54m）、灭火器两个、节能照明灯、强力排风扇、配电箱、地漏、百叶窗、拖把池、电源开关、16A插座、一体式单开门、自动感应开盖、嵌入式紫外臭氧灭菌灯、灭蝇灯、开关，哑光不锈钢手动洗手池、两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334" w:type="pct"/>
            <w:vMerge w:val="continue"/>
            <w:shd w:val="clear" w:color="auto" w:fill="auto"/>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11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4*2.5m*3mH</w:t>
            </w:r>
          </w:p>
        </w:tc>
        <w:tc>
          <w:tcPr>
            <w:tcW w:w="47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201不锈钢防滑花纹地板、80*80*3镀锌方管、内衬5cm岩棉夹芯板、不锈钢烤漆立体字、铝扣板吊顶、烟雾报警器、单红LED屏幕、灭火器两个、节能照明灯、强力排风扇、配电箱、地漏、百叶窗、拖把池、电源开关、16A插座、自动感应开盖、嵌入式紫外臭氧灭菌灯、洗手池、5mm银镜、两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continue"/>
            <w:shd w:val="clear" w:color="auto" w:fill="FFFFFF"/>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334"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46" w:type="pct"/>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金泉小区</w:t>
            </w:r>
          </w:p>
        </w:tc>
        <w:tc>
          <w:tcPr>
            <w:tcW w:w="11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6*3m*3.1mH</w:t>
            </w:r>
          </w:p>
        </w:tc>
        <w:tc>
          <w:tcPr>
            <w:tcW w:w="47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哑黑喷砂不锈钢、黑镜钢、201不锈钢防滑花纹地板、80*80*3镀锌方管、内衬5cm岩棉夹芯板、不锈钢烤漆立体字、丝印喷漆、铝扣板吊顶、烟雾报警器、50寸户外广告触摸屏、led户外彩色显示屏（4.08m*0.54m）、灭火器两个、节能照明灯、强力排风扇、配电箱、地漏、百叶窗、拖把池、电源开关、16A插座、一体式单开门、自动感应开盖、嵌入式紫外臭氧灭菌灯、灭蝇灯、开关，哑光不锈钢手动洗手池、两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34"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46"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光机所</w:t>
            </w:r>
          </w:p>
        </w:tc>
        <w:tc>
          <w:tcPr>
            <w:tcW w:w="111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6*3m*3.1mH</w:t>
            </w:r>
          </w:p>
        </w:tc>
        <w:tc>
          <w:tcPr>
            <w:tcW w:w="4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哑黑喷砂不锈钢+黑镜钢+201不锈钢防滑花纹地板、80*80*3镀锌方管、内衬5cm岩棉夹芯板、不锈钢烤漆立体字、丝印喷漆、铝扣板吊顶、烟雾报警器、50寸户外广告触摸屏、led户外彩色显示屏（4.08m*0.54m）、灭火器两个、节能照明灯、强力排风扇、配电箱、地漏、百叶窗、拖把池、电源开关、16A插座、一体式单开门、自动感应开盖、嵌入式紫外臭氧灭菌灯、灭蝇灯、开关，哑光不锈钢手动洗手池、两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4" w:type="pct"/>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46" w:type="pct"/>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时光界</w:t>
            </w:r>
          </w:p>
        </w:tc>
        <w:tc>
          <w:tcPr>
            <w:tcW w:w="111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6*2*3mH</w:t>
            </w:r>
          </w:p>
        </w:tc>
        <w:tc>
          <w:tcPr>
            <w:tcW w:w="4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201不锈钢防滑花纹地板、80*80*3镀锌方管、内衬5cm岩棉夹芯板、不锈钢烤漆立体字、铝扣板吊顶、烟雾报警器、单红LED屏幕、灭火器两个、节能照明灯、强力排风扇、配电箱、地漏、百叶窗、拖把池、电源开关、16A插座、自动感应开盖、嵌入式紫外臭氧灭菌灯、洗手池、5mm银镜、两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334" w:type="pct"/>
            <w:vMerge w:val="continue"/>
            <w:shd w:val="clear" w:color="auto" w:fill="auto"/>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shd w:val="clear" w:color="auto" w:fill="auto"/>
            <w:noWrap w:val="0"/>
            <w:vAlign w:val="center"/>
          </w:tcPr>
          <w:p>
            <w:pPr>
              <w:jc w:val="center"/>
              <w:rPr>
                <w:rFonts w:hint="eastAsia" w:ascii="宋体" w:hAnsi="宋体" w:eastAsia="宋体" w:cs="宋体"/>
                <w:i w:val="0"/>
                <w:iCs w:val="0"/>
                <w:color w:val="000000"/>
                <w:sz w:val="18"/>
                <w:szCs w:val="18"/>
                <w:highlight w:val="none"/>
                <w:u w:val="none"/>
              </w:rPr>
            </w:pPr>
          </w:p>
        </w:tc>
        <w:tc>
          <w:tcPr>
            <w:tcW w:w="1117"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3*1*2.8mH</w:t>
            </w:r>
          </w:p>
        </w:tc>
        <w:tc>
          <w:tcPr>
            <w:tcW w:w="4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304不锈钢、80*80*3方管、花岗岩石材、不锈钢烤漆立体字、单红LED屏幕、灭火器1个、节能照明灯、自动开盖、一组240L车载垃圾桶、监控摄像头等</w:t>
            </w:r>
          </w:p>
        </w:tc>
        <w:tc>
          <w:tcPr>
            <w:tcW w:w="4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334"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608"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6.7*9.7*2.9mH</w:t>
            </w:r>
          </w:p>
        </w:tc>
        <w:tc>
          <w:tcPr>
            <w:tcW w:w="2589"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在原有建筑基础上，增加门口标识标语、门头、文字等，内部增加消杀设备一套，包含烟雾报警器、灭火器两个、节能照明灯、强力排风扇、配电箱、百叶窗、拖把池、地漏、电源开关、16A插座、嵌入式紫外线臭氧灭菌灯、灭蝇灯、监控摄像头等</w:t>
            </w:r>
          </w:p>
        </w:tc>
        <w:tc>
          <w:tcPr>
            <w:tcW w:w="243"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3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翻新暂存间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54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6个省级示范小区</w:t>
            </w:r>
          </w:p>
        </w:tc>
        <w:tc>
          <w:tcPr>
            <w:tcW w:w="3198"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每个小区包含铁艺烤漆小品立体装置2套、草地宣传装置20套、2.4*1.2m户外挂墙广告5套、60*90cm户外海报20套、灯杆旗或挂树铭牌20套等</w:t>
            </w:r>
          </w:p>
        </w:tc>
        <w:tc>
          <w:tcPr>
            <w:tcW w:w="243"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3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氛围营造</w:t>
            </w:r>
          </w:p>
        </w:tc>
      </w:tr>
    </w:tbl>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（1）投放点设置：按照相关标准和数量要求合理设置分类投放点，投放点须有投放指南（图文并茂），能够起到指引居民投放实效；承诺制度等相关公示内容齐全、正确。</w:t>
      </w:r>
    </w:p>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（2）可回收物暂存点：按照相关要求设置可回收物暂存点；按类别暂存，制度健全。</w:t>
      </w:r>
    </w:p>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（3）有害垃圾暂存点：按照相关要求设置独立密闭有害垃圾暂存点；收集容器设置合理，制度健</w:t>
      </w:r>
    </w:p>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全。</w:t>
      </w:r>
    </w:p>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 xml:space="preserve">（4）集中收集点：1.集中收集点密闭，管理规范。2.大件垃圾暂存点，管理规范。 </w:t>
      </w:r>
    </w:p>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注：投放点分类容器满足投放需求，投放点可与收集点合并设置。</w:t>
      </w:r>
    </w:p>
    <w:p>
      <w:pPr>
        <w:keepNext w:val="0"/>
        <w:keepLines w:val="0"/>
        <w:widowControl/>
        <w:suppressLineNumbers w:val="0"/>
        <w:spacing w:line="360" w:lineRule="auto"/>
        <w:ind w:firstLine="420" w:firstLineChars="200"/>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本项目合同履行过程中，应因地制宜、合理布局、规划建设生活垃圾分类集中收集点，具体布置点位及最终实施方案根据现场实际情况按甲方要求进行调整。</w:t>
      </w:r>
    </w:p>
    <w:p>
      <w:pPr>
        <w:ind w:firstLine="422" w:firstLineChars="200"/>
        <w:rPr>
          <w:color w:val="000000"/>
          <w:highlight w:val="none"/>
        </w:rPr>
      </w:pPr>
      <w:r>
        <w:rPr>
          <w:rFonts w:hint="eastAsia" w:ascii="宋体" w:hAnsi="宋体" w:eastAsia="宋体" w:cs="宋体"/>
          <w:b/>
          <w:bCs/>
          <w:color w:val="000000"/>
          <w:sz w:val="21"/>
          <w:szCs w:val="21"/>
          <w:highlight w:val="none"/>
          <w:lang w:val="en-US" w:eastAsia="zh-CN"/>
        </w:rPr>
        <w:t>招标文件中所列材质及设备仅为简单描述，投标时应以附件中的材质及设备要求为准，此表用于分项报价、货物（产品）说明一览表填写。</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32"/>
        <w:gridCol w:w="1038"/>
        <w:gridCol w:w="4414"/>
        <w:gridCol w:w="414"/>
        <w:gridCol w:w="573"/>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000" w:type="pct"/>
            <w:gridSpan w:val="7"/>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第二包：市级示范小区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00" w:type="pct"/>
            <w:gridSpan w:val="7"/>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（1）6个市级示范小区建设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334"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46" w:type="pct"/>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保吉巷小区</w:t>
            </w:r>
          </w:p>
        </w:tc>
        <w:tc>
          <w:tcPr>
            <w:tcW w:w="11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6m*3m*2.7mH</w:t>
            </w:r>
          </w:p>
        </w:tc>
        <w:tc>
          <w:tcPr>
            <w:tcW w:w="47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框架材质80*80*2.0mm镀锌方管、外墙面镀锌板1.0mm内衬、8mm层板、汽车漆、201不锈钢防滑花纹地板、不锈钢烤漆立体字、铝扣板吊顶、烟雾报警器、单红LED屏幕、灭火器、节能照明灯、强力排风扇、配电箱、地漏、拖把池、电源开关、16A插座、脚踩式开盖、嵌入式紫外臭氧灭菌灯、洗手池、5mm银镜、两组240L车载垃圾桶、监控摄像头等</w:t>
            </w:r>
          </w:p>
        </w:tc>
        <w:tc>
          <w:tcPr>
            <w:tcW w:w="44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334"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11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3*2m*2.7mH</w:t>
            </w:r>
          </w:p>
        </w:tc>
        <w:tc>
          <w:tcPr>
            <w:tcW w:w="47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框架材质80*80*2.0mm镀锌方管、外墙面镀锌板1.0mm内衬、8mm层板、汽车漆、201不锈钢防滑花纹地板、不锈钢烤漆立体字、铝扣板吊顶、烟雾报警器、单红LED屏幕、灭火器、节能照明灯、强力排风扇、配电箱、地漏、拖把池、电源开关、16A插座、脚踩式开盖、嵌入式紫外臭氧灭菌灯、两组240L车载垃圾桶、监控摄像头等</w:t>
            </w:r>
          </w:p>
        </w:tc>
        <w:tc>
          <w:tcPr>
            <w:tcW w:w="44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334"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11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9*3.5m*3mH</w:t>
            </w:r>
          </w:p>
        </w:tc>
        <w:tc>
          <w:tcPr>
            <w:tcW w:w="47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艺烤漆立体字+干挂石材+201不锈钢防滑花纹地板,80*80*3方管、内衬5cm岩棉夹芯板、烟雾报警器、灭火器两个、节能照明灯、强力排风扇、配电箱、百叶窗、拖把池、地漏、电源开关、16A插座、嵌入式紫外线臭氧灭菌灯、灭蝇灯、监控摄像头、双开大门等</w:t>
            </w:r>
          </w:p>
        </w:tc>
        <w:tc>
          <w:tcPr>
            <w:tcW w:w="44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垃圾暂存间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超英长乐家园</w:t>
            </w:r>
          </w:p>
        </w:tc>
        <w:tc>
          <w:tcPr>
            <w:tcW w:w="11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4*1mH</w:t>
            </w:r>
          </w:p>
        </w:tc>
        <w:tc>
          <w:tcPr>
            <w:tcW w:w="47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主框架材质80*80*2.0mm镀锌方管、外墙面镀锌板1.0mm内衬、汽车漆、不锈钢烤漆立体字、单红LED屏幕、灭火器、节能照明灯、脚踩式开盖、嵌入式紫外臭氧灭菌灯、一组240L车载垃圾桶、监控摄像头等</w:t>
            </w:r>
          </w:p>
        </w:tc>
        <w:tc>
          <w:tcPr>
            <w:tcW w:w="44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334"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46" w:type="pct"/>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华路经九路小区</w:t>
            </w:r>
          </w:p>
        </w:tc>
        <w:tc>
          <w:tcPr>
            <w:tcW w:w="11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5*2.5*2.7mH</w:t>
            </w:r>
          </w:p>
        </w:tc>
        <w:tc>
          <w:tcPr>
            <w:tcW w:w="47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框架材质80*80*2.0mm镀锌方管、外墙面镀锌板1.0mm内衬、8mm层板、汽车漆、201不锈钢防滑花纹地板、不锈钢烤漆立体字、铝扣板吊顶、烟雾报警器、单红LED屏幕、灭火器、节能照明灯、强力排风扇、配电箱、地漏、拖把池、电源开关、16A插座、脚踩式开盖、嵌入式紫外臭氧灭菌灯、洗手池、5mm银镜、两组240L车载垃圾桶、监控摄像头等</w:t>
            </w:r>
          </w:p>
        </w:tc>
        <w:tc>
          <w:tcPr>
            <w:tcW w:w="44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334"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11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6*2.5*2.7mH</w:t>
            </w:r>
          </w:p>
        </w:tc>
        <w:tc>
          <w:tcPr>
            <w:tcW w:w="47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框架材质80*80*2.0mm镀锌方管、外墙面镀锌板1.0mm内衬、8mm层板、汽车漆、201不锈钢防滑花纹地板、不锈钢烤漆立体字、铝扣板吊顶、烟雾报警器、单红LED屏幕、灭火器、节能照明灯、强力排风扇、配电箱、地漏、拖把池、电源开关、16A插座、脚踩式开盖、嵌入式紫外臭氧灭菌灯、洗手池、5mm银镜、两组240L车载垃圾桶、监控摄像头等</w:t>
            </w:r>
          </w:p>
        </w:tc>
        <w:tc>
          <w:tcPr>
            <w:tcW w:w="44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西勘社区</w:t>
            </w:r>
          </w:p>
        </w:tc>
        <w:tc>
          <w:tcPr>
            <w:tcW w:w="11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1.35m*0.35m*0.97mH</w:t>
            </w:r>
          </w:p>
        </w:tc>
        <w:tc>
          <w:tcPr>
            <w:tcW w:w="47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玻璃钢内胆+304不锈钢外桶</w:t>
            </w:r>
          </w:p>
        </w:tc>
        <w:tc>
          <w:tcPr>
            <w:tcW w:w="44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体育局家属院</w:t>
            </w:r>
          </w:p>
        </w:tc>
        <w:tc>
          <w:tcPr>
            <w:tcW w:w="11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5*2.5*2.7mH</w:t>
            </w:r>
          </w:p>
        </w:tc>
        <w:tc>
          <w:tcPr>
            <w:tcW w:w="47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框架材质80*80*2.0mm镀锌方管、外墙面镀锌板1.0mm内衬、8mm层板、汽车漆、201不锈钢防滑花纹地板、不锈钢烤漆立体字、铝扣板吊顶、烟雾报警器、单红LED屏幕、灭火器、节能照明灯、强力排风扇、配电箱、地漏、拖把池、电源开关、16A插座、脚踩式开盖、嵌入式紫外臭氧灭菌灯、洗手池、5mm银镜、两组240L车载垃圾桶、监控摄像头等</w:t>
            </w:r>
          </w:p>
        </w:tc>
        <w:tc>
          <w:tcPr>
            <w:tcW w:w="44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小雁塔小学</w:t>
            </w:r>
          </w:p>
        </w:tc>
        <w:tc>
          <w:tcPr>
            <w:tcW w:w="11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9m*2.7m*3.3mH</w:t>
            </w:r>
          </w:p>
        </w:tc>
        <w:tc>
          <w:tcPr>
            <w:tcW w:w="47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喷灰磨砂不锈钢、201不锈钢防滑花纹地板、80*80*2镀锌方管、内衬5cm岩棉夹芯板、不锈钢烤漆立体字、铝扣板吊顶、烟雾报警器、单红LED屏幕、灭火器、节能照明灯、强力排风扇、配电箱、地漏、百叶窗、拖把池、电源开关、16A插座、自动感应开盖、嵌入式紫外臭氧灭菌灯、洗手池、5mm银镜、两组240L垃圾桶、不锈钢汽车烤漆成品门、监控摄像头等</w:t>
            </w:r>
          </w:p>
        </w:tc>
        <w:tc>
          <w:tcPr>
            <w:tcW w:w="44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垃圾房与暂存间一体式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334"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54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6个市级示范小区</w:t>
            </w:r>
          </w:p>
        </w:tc>
        <w:tc>
          <w:tcPr>
            <w:tcW w:w="3198"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每个小区包含铁艺烤漆小品立体装置2套、草地宣传装置20套、2.4*1.2m户外挂墙广告5套、60*90cm户外海报20套、灯杆旗或挂树铭牌20套等</w:t>
            </w:r>
          </w:p>
        </w:tc>
        <w:tc>
          <w:tcPr>
            <w:tcW w:w="243"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3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氛围营造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7"/>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（2）9个市级示范小区提升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34"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南苑中央广场小区</w:t>
            </w:r>
          </w:p>
        </w:tc>
        <w:tc>
          <w:tcPr>
            <w:tcW w:w="3198" w:type="pct"/>
            <w:gridSpan w:val="2"/>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每个小区包含针对性设计海报一套、铁艺烤漆小品立体装置4套、草地宣传装置20套、草地带亮化宣传20套、2.4*1.2m户外挂墙广告5套、60*90cm户外海报20套、灯杆旗或挂树铭牌20套、led广告宣传屏2组等</w:t>
            </w:r>
          </w:p>
        </w:tc>
        <w:tc>
          <w:tcPr>
            <w:tcW w:w="243" w:type="pct"/>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336" w:type="pct"/>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示范小区提升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34"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东窑坊小区</w:t>
            </w:r>
          </w:p>
        </w:tc>
        <w:tc>
          <w:tcPr>
            <w:tcW w:w="3198" w:type="pct"/>
            <w:gridSpan w:val="2"/>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243"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3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41"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34"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高山流水星币传说</w:t>
            </w:r>
          </w:p>
        </w:tc>
        <w:tc>
          <w:tcPr>
            <w:tcW w:w="3198" w:type="pct"/>
            <w:gridSpan w:val="2"/>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243"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3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41"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34"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伊顿公馆</w:t>
            </w:r>
          </w:p>
        </w:tc>
        <w:tc>
          <w:tcPr>
            <w:tcW w:w="3198" w:type="pct"/>
            <w:gridSpan w:val="2"/>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243"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3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41"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34"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心晴雅苑小区</w:t>
            </w:r>
          </w:p>
        </w:tc>
        <w:tc>
          <w:tcPr>
            <w:tcW w:w="3198" w:type="pct"/>
            <w:gridSpan w:val="2"/>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243"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3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41"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34"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东新城市家园</w:t>
            </w:r>
          </w:p>
        </w:tc>
        <w:tc>
          <w:tcPr>
            <w:tcW w:w="3198" w:type="pct"/>
            <w:gridSpan w:val="2"/>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243"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3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41"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34"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秋林苑</w:t>
            </w:r>
          </w:p>
        </w:tc>
        <w:tc>
          <w:tcPr>
            <w:tcW w:w="3198" w:type="pct"/>
            <w:gridSpan w:val="2"/>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243"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3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41"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34"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46"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南门国际小区</w:t>
            </w:r>
          </w:p>
        </w:tc>
        <w:tc>
          <w:tcPr>
            <w:tcW w:w="3198" w:type="pct"/>
            <w:gridSpan w:val="2"/>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243"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3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41"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34" w:type="pct"/>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46" w:type="pct"/>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宏信国际花园</w:t>
            </w:r>
          </w:p>
        </w:tc>
        <w:tc>
          <w:tcPr>
            <w:tcW w:w="3198" w:type="pct"/>
            <w:gridSpan w:val="2"/>
            <w:vMerge w:val="continue"/>
            <w:noWrap w:val="0"/>
            <w:vAlign w:val="center"/>
          </w:tcPr>
          <w:p>
            <w:pPr>
              <w:jc w:val="center"/>
              <w:rPr>
                <w:rFonts w:hint="eastAsia" w:ascii="宋体" w:hAnsi="宋体" w:eastAsia="宋体" w:cs="宋体"/>
                <w:i w:val="0"/>
                <w:iCs w:val="0"/>
                <w:color w:val="000000"/>
                <w:sz w:val="18"/>
                <w:szCs w:val="18"/>
                <w:highlight w:val="none"/>
                <w:u w:val="none"/>
              </w:rPr>
            </w:pPr>
          </w:p>
        </w:tc>
        <w:tc>
          <w:tcPr>
            <w:tcW w:w="243"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3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341" w:type="pct"/>
            <w:vMerge w:val="continue"/>
            <w:noWrap w:val="0"/>
            <w:vAlign w:val="center"/>
          </w:tcPr>
          <w:p>
            <w:pPr>
              <w:jc w:val="center"/>
              <w:rPr>
                <w:rFonts w:hint="eastAsia" w:ascii="宋体" w:hAnsi="宋体" w:eastAsia="宋体" w:cs="宋体"/>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334"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546" w:type="pct"/>
            <w:vMerge w:val="continue"/>
            <w:noWrap/>
            <w:vAlign w:val="center"/>
          </w:tcPr>
          <w:p>
            <w:pPr>
              <w:jc w:val="center"/>
              <w:rPr>
                <w:rFonts w:hint="eastAsia" w:ascii="宋体" w:hAnsi="宋体" w:eastAsia="宋体" w:cs="宋体"/>
                <w:i w:val="0"/>
                <w:iCs w:val="0"/>
                <w:color w:val="000000"/>
                <w:sz w:val="18"/>
                <w:szCs w:val="18"/>
                <w:highlight w:val="none"/>
                <w:u w:val="none"/>
              </w:rPr>
            </w:pPr>
          </w:p>
        </w:tc>
        <w:tc>
          <w:tcPr>
            <w:tcW w:w="1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6m*3m*2.7mH</w:t>
            </w:r>
          </w:p>
        </w:tc>
        <w:tc>
          <w:tcPr>
            <w:tcW w:w="47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框架材质80*80*2.0mm镀锌方管、外墙面镀锌板1.0mm内衬、8mm层板、汽车漆、201不锈钢防滑花纹地板、不锈钢烤漆立体字、铝扣板吊顶、烟雾报警器、单红LED屏幕、灭火器、节能照明灯、强力排风扇、配电箱、地漏、拖把池、电源开关、16A插座、脚踩式开盖、嵌入式紫外臭氧灭菌灯、洗手池、5mm银镜、两组240L车载垃圾桶、监控摄像头等</w:t>
            </w:r>
          </w:p>
        </w:tc>
        <w:tc>
          <w:tcPr>
            <w:tcW w:w="4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41"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垃圾分类收集房</w:t>
            </w:r>
          </w:p>
        </w:tc>
      </w:tr>
    </w:tbl>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（1）投放点设置：按照相关标准和数量要求合理设置分类投放点，投放点须有投放指南（图文并茂），能够起到指引居民投放实效；承诺制度等相关公示内容齐全、正确。</w:t>
      </w:r>
    </w:p>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（2）可回收物暂存点：按照相关要求设置可回收物暂存点；按类别暂存，制度健全。</w:t>
      </w:r>
    </w:p>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（3）有害垃圾暂存点：按照相关要求设置独立密闭有害垃圾暂存点；收集容器设置合理，制度健</w:t>
      </w:r>
    </w:p>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全。</w:t>
      </w:r>
    </w:p>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 xml:space="preserve">（4）集中收集点：1.集中收集点密闭，管理规范。2.大件垃圾暂存点，管理规范。 </w:t>
      </w:r>
    </w:p>
    <w:p>
      <w:pPr>
        <w:keepNext w:val="0"/>
        <w:keepLines w:val="0"/>
        <w:widowControl/>
        <w:suppressLineNumbers w:val="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注：投放点分类容器满足投放需求，投放点可与收集点合并设置。</w:t>
      </w:r>
    </w:p>
    <w:p>
      <w:pPr>
        <w:keepNext w:val="0"/>
        <w:keepLines w:val="0"/>
        <w:widowControl/>
        <w:suppressLineNumbers w:val="0"/>
        <w:spacing w:line="360" w:lineRule="auto"/>
        <w:ind w:firstLine="420" w:firstLineChars="200"/>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本项目合同履行过程中，应因地制宜、合理布局、规划建设生活垃圾分类集中收集点，具体布置点位及最终实施方案根据现场实际情况按甲方要求进行调整。</w:t>
      </w:r>
    </w:p>
    <w:p>
      <w:pPr>
        <w:pStyle w:val="4"/>
        <w:spacing w:line="360" w:lineRule="auto"/>
        <w:ind w:firstLine="422" w:firstLineChars="200"/>
        <w:outlineLvl w:val="3"/>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2.1.5  质量要求</w:t>
      </w:r>
    </w:p>
    <w:p>
      <w:pPr>
        <w:pStyle w:val="4"/>
        <w:spacing w:line="360" w:lineRule="auto"/>
        <w:ind w:firstLine="625" w:firstLineChars="298"/>
        <w:outlineLvl w:val="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bCs/>
          <w:color w:val="000000"/>
          <w:szCs w:val="21"/>
          <w:highlight w:val="none"/>
        </w:rPr>
        <w:t>2.1.5.1 货物（产品）制造商、经销代理商应严格遵守《中华人民共和国产品质量法》，确保提供的产品符合质量标准，达到合格产品的要求。</w:t>
      </w:r>
      <w:r>
        <w:rPr>
          <w:rFonts w:hint="eastAsia" w:ascii="宋体" w:hAnsi="宋体" w:eastAsia="宋体" w:cs="宋体"/>
          <w:color w:val="000000"/>
          <w:szCs w:val="21"/>
          <w:highlight w:val="none"/>
        </w:rPr>
        <w:t>可能危及人体健康和人身、财产安全的工业产品，必须符合保障人体健康和人身、财产安全的国家标准、行业标准;未制定国家标准、行业标准的，必须符合保障人体健康和人身、财产安全的要求。</w:t>
      </w:r>
    </w:p>
    <w:p>
      <w:pPr>
        <w:pStyle w:val="4"/>
        <w:spacing w:line="360" w:lineRule="auto"/>
        <w:ind w:firstLine="625" w:firstLineChars="298"/>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b/>
          <w:bCs/>
          <w:color w:val="000000"/>
          <w:szCs w:val="21"/>
          <w:highlight w:val="none"/>
        </w:rPr>
        <w:t>2.1.5.2  货物（产品）执行的标准、规范：</w:t>
      </w:r>
    </w:p>
    <w:p>
      <w:pPr>
        <w:pStyle w:val="4"/>
        <w:spacing w:line="360" w:lineRule="auto"/>
        <w:ind w:firstLine="682" w:firstLineChars="325"/>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（1）国家标准、规范</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w:t>
      </w:r>
    </w:p>
    <w:p>
      <w:pPr>
        <w:pStyle w:val="4"/>
        <w:spacing w:line="360" w:lineRule="auto"/>
        <w:ind w:firstLine="682" w:firstLineChars="325"/>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（2）行业标准、规范</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w:t>
      </w:r>
    </w:p>
    <w:p>
      <w:pPr>
        <w:pStyle w:val="4"/>
        <w:spacing w:line="360" w:lineRule="auto"/>
        <w:ind w:firstLine="682" w:firstLineChars="325"/>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（3）地方标准、规范</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w:t>
      </w:r>
    </w:p>
    <w:p>
      <w:pPr>
        <w:pStyle w:val="4"/>
        <w:spacing w:line="360" w:lineRule="auto"/>
        <w:ind w:firstLine="682" w:firstLineChars="325"/>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（4）团体标准、规范</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w:t>
      </w:r>
    </w:p>
    <w:p>
      <w:pPr>
        <w:pStyle w:val="4"/>
        <w:spacing w:line="360" w:lineRule="auto"/>
        <w:ind w:firstLine="682" w:firstLineChars="325"/>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（5）企业标准、规范</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w:t>
      </w:r>
    </w:p>
    <w:p>
      <w:pPr>
        <w:pStyle w:val="4"/>
        <w:spacing w:line="360" w:lineRule="auto"/>
        <w:ind w:firstLine="625" w:firstLineChars="298"/>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2.1.5.3 本章第2.1.5.2条款未明确货物（产品）执行标准、规范的，则按下列方法选择：</w:t>
      </w:r>
    </w:p>
    <w:p>
      <w:pPr>
        <w:pStyle w:val="4"/>
        <w:spacing w:line="360" w:lineRule="auto"/>
        <w:ind w:left="840" w:hanging="840" w:hangingChars="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 顺序执行：国家标准→行业标准→地方标准→团体标准→企业标准（有国家标准按国家标准执行，没有国家标准按行业标准，以此类推）；</w:t>
      </w:r>
    </w:p>
    <w:p>
      <w:pPr>
        <w:pStyle w:val="4"/>
        <w:spacing w:line="360" w:lineRule="auto"/>
        <w:ind w:left="840" w:hanging="840" w:hangingChars="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 最高标准执行：国家标准，行业标准，地方标准，团体标准，企业标准（那个标准高执行那个标准）；</w:t>
      </w:r>
    </w:p>
    <w:p>
      <w:pPr>
        <w:pStyle w:val="4"/>
        <w:spacing w:line="360" w:lineRule="auto"/>
        <w:ind w:left="840" w:hanging="840" w:hangingChars="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rPr>
        <w:fldChar w:fldCharType="begin"/>
      </w:r>
      <w:r>
        <w:rPr>
          <w:rFonts w:hint="eastAsia" w:ascii="宋体" w:hAnsi="宋体" w:eastAsia="宋体" w:cs="宋体"/>
          <w:color w:val="000000"/>
          <w:szCs w:val="21"/>
          <w:highlight w:val="none"/>
        </w:rPr>
        <w:instrText xml:space="preserve"> eq \o\ac(□,</w:instrText>
      </w:r>
      <w:r>
        <w:rPr>
          <w:rFonts w:hint="eastAsia" w:ascii="宋体" w:hAnsi="宋体" w:eastAsia="宋体" w:cs="宋体"/>
          <w:color w:val="000000"/>
          <w:position w:val="2"/>
          <w:szCs w:val="21"/>
          <w:highlight w:val="none"/>
        </w:rPr>
        <w:instrText xml:space="preserve">√</w:instrText>
      </w:r>
      <w:r>
        <w:rPr>
          <w:rFonts w:hint="eastAsia" w:ascii="宋体" w:hAnsi="宋体" w:eastAsia="宋体" w:cs="宋体"/>
          <w:color w:val="000000"/>
          <w:szCs w:val="21"/>
          <w:highlight w:val="none"/>
        </w:rPr>
        <w:instrText xml:space="preserve">)</w:instrText>
      </w:r>
      <w:r>
        <w:rPr>
          <w:rFonts w:hint="eastAsia" w:ascii="宋体" w:hAnsi="宋体" w:eastAsia="宋体" w:cs="宋体"/>
          <w:color w:val="000000"/>
          <w:szCs w:val="21"/>
          <w:highlight w:val="none"/>
        </w:rPr>
        <w:fldChar w:fldCharType="end"/>
      </w:r>
      <w:r>
        <w:rPr>
          <w:rFonts w:hint="eastAsia" w:ascii="宋体" w:hAnsi="宋体" w:eastAsia="宋体" w:cs="宋体"/>
          <w:color w:val="000000"/>
          <w:szCs w:val="21"/>
          <w:highlight w:val="none"/>
        </w:rPr>
        <w:t xml:space="preserve"> 必须执行：国家、行业强制性标准。</w:t>
      </w:r>
    </w:p>
    <w:p>
      <w:pPr>
        <w:pStyle w:val="4"/>
        <w:spacing w:line="360" w:lineRule="auto"/>
        <w:ind w:firstLine="422" w:firstLineChars="200"/>
        <w:outlineLvl w:val="3"/>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2.1.6安全要求</w:t>
      </w:r>
    </w:p>
    <w:p>
      <w:pPr>
        <w:pStyle w:val="4"/>
        <w:spacing w:line="360" w:lineRule="auto"/>
        <w:ind w:firstLine="630" w:firstLineChars="3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认真贯彻执行国家及省、市有关安全文明生产的法律法规规章和强制性标准、安全操作规程等，建立健全</w:t>
      </w:r>
      <w:r>
        <w:rPr>
          <w:rFonts w:hint="eastAsia" w:ascii="宋体" w:hAnsi="宋体" w:eastAsia="宋体" w:cs="宋体"/>
          <w:color w:val="000000"/>
          <w:kern w:val="0"/>
          <w:szCs w:val="21"/>
          <w:highlight w:val="none"/>
          <w:lang w:eastAsia="zh-CN"/>
        </w:rPr>
        <w:t>安装</w:t>
      </w:r>
      <w:r>
        <w:rPr>
          <w:rFonts w:hint="eastAsia" w:ascii="宋体" w:hAnsi="宋体" w:eastAsia="宋体" w:cs="宋体"/>
          <w:color w:val="000000"/>
          <w:kern w:val="0"/>
          <w:szCs w:val="21"/>
          <w:highlight w:val="none"/>
        </w:rPr>
        <w:t>现场安全文明生产保证体系，落实各项具体措施，切实履行安全文明生产责任和义务，保护职工身体健康和生命安全，以及社会公众安全，保护环境卫生，保持</w:t>
      </w:r>
      <w:r>
        <w:rPr>
          <w:rFonts w:hint="eastAsia" w:ascii="宋体" w:hAnsi="宋体" w:eastAsia="宋体" w:cs="宋体"/>
          <w:color w:val="000000"/>
          <w:kern w:val="0"/>
          <w:szCs w:val="21"/>
          <w:highlight w:val="none"/>
          <w:lang w:eastAsia="zh-CN"/>
        </w:rPr>
        <w:t>安装</w:t>
      </w:r>
      <w:r>
        <w:rPr>
          <w:rFonts w:hint="eastAsia" w:ascii="宋体" w:hAnsi="宋体" w:eastAsia="宋体" w:cs="宋体"/>
          <w:color w:val="000000"/>
          <w:kern w:val="0"/>
          <w:szCs w:val="21"/>
          <w:highlight w:val="none"/>
        </w:rPr>
        <w:t>现场整齐有序，做到文明施工。</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2.2 商务要求</w:t>
      </w:r>
    </w:p>
    <w:p>
      <w:pPr>
        <w:pStyle w:val="2"/>
        <w:spacing w:before="120" w:beforeLines="50" w:after="120" w:afterLines="50" w:line="360" w:lineRule="auto"/>
        <w:ind w:firstLine="527" w:firstLineChars="250"/>
        <w:outlineLvl w:val="3"/>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2.2.1带有☆号的商务要求为实质性条款不得有偏差。</w:t>
      </w:r>
    </w:p>
    <w:p>
      <w:pPr>
        <w:pStyle w:val="4"/>
        <w:spacing w:line="360" w:lineRule="auto"/>
        <w:ind w:firstLine="525" w:firstLineChars="2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2.2.2交货时间和地点：</w:t>
      </w:r>
      <w:r>
        <w:rPr>
          <w:rFonts w:hint="eastAsia" w:ascii="宋体" w:hAnsi="宋体" w:eastAsia="宋体" w:cs="宋体"/>
          <w:color w:val="000000"/>
          <w:szCs w:val="21"/>
          <w:highlight w:val="none"/>
        </w:rPr>
        <w:t>见投标人须知附表。</w:t>
      </w:r>
    </w:p>
    <w:p>
      <w:pPr>
        <w:pStyle w:val="4"/>
        <w:spacing w:line="360" w:lineRule="auto"/>
        <w:ind w:firstLine="525" w:firstLineChars="2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2.2.3付款条件：</w:t>
      </w:r>
      <w:r>
        <w:rPr>
          <w:rFonts w:hint="eastAsia" w:ascii="宋体" w:hAnsi="宋体" w:eastAsia="宋体" w:cs="宋体"/>
          <w:color w:val="000000"/>
          <w:szCs w:val="21"/>
          <w:highlight w:val="none"/>
        </w:rPr>
        <w:t>见投标人须知附表。</w:t>
      </w:r>
    </w:p>
    <w:p>
      <w:pPr>
        <w:pStyle w:val="4"/>
        <w:spacing w:line="360" w:lineRule="auto"/>
        <w:ind w:firstLine="525" w:firstLineChars="2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2.2.4运输要求：</w:t>
      </w:r>
      <w:r>
        <w:rPr>
          <w:rFonts w:hint="eastAsia" w:ascii="宋体" w:hAnsi="宋体" w:eastAsia="宋体" w:cs="宋体"/>
          <w:color w:val="000000"/>
          <w:szCs w:val="21"/>
          <w:highlight w:val="none"/>
        </w:rPr>
        <w:t>采用公路或铁路运输方式，选择风险小、运费低和运距短的运输路线。运杂费一次性包死在总价内，采购人不再额外支付，包括从生产厂家到使用（安装）现场的包装、装载、运输、卸载、现场保管、二次倒运等费用。</w:t>
      </w:r>
    </w:p>
    <w:p>
      <w:pPr>
        <w:pStyle w:val="8"/>
        <w:spacing w:line="360" w:lineRule="auto"/>
        <w:ind w:left="141" w:leftChars="67" w:firstLine="420" w:firstLineChars="199"/>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2.2.5包装要求：</w:t>
      </w:r>
    </w:p>
    <w:p>
      <w:pPr>
        <w:pStyle w:val="8"/>
        <w:spacing w:line="360" w:lineRule="auto"/>
        <w:ind w:left="141" w:leftChars="67" w:firstLine="630" w:firstLineChars="300"/>
        <w:rPr>
          <w:rFonts w:hint="eastAsia" w:ascii="宋体" w:hAnsi="宋体" w:eastAsia="宋体" w:cs="宋体"/>
          <w:b/>
          <w:color w:val="000000"/>
          <w:szCs w:val="21"/>
          <w:highlight w:val="none"/>
        </w:rPr>
      </w:pPr>
      <w:r>
        <w:rPr>
          <w:rFonts w:hint="eastAsia" w:ascii="宋体" w:hAnsi="宋体" w:eastAsia="宋体" w:cs="宋体"/>
          <w:color w:val="000000"/>
          <w:sz w:val="21"/>
          <w:szCs w:val="21"/>
          <w:highlight w:val="none"/>
        </w:rPr>
        <w:t>☆2.2.5.1全部货物（产品）均应按照国家、行业规定的标准和保护措施进行包装，该包装应适应于远距离运输、防潮、防震、防锈和防野蛮装卸，以确保货物安全运抵指定地点。</w:t>
      </w:r>
    </w:p>
    <w:p>
      <w:pPr>
        <w:pStyle w:val="4"/>
        <w:spacing w:line="360" w:lineRule="auto"/>
        <w:ind w:firstLine="735" w:firstLineChars="3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2.2.5.2 当包装使用塑料、纸质、木材等包装材料时，除应当按照国家、行业规定的包装标准进行包装外，还需按照《商品包装政府采购需求标准（试行）》（财办库[2020]）123号）规定的环保要求进行包装。</w:t>
      </w:r>
    </w:p>
    <w:p>
      <w:pPr>
        <w:pStyle w:val="4"/>
        <w:spacing w:line="360" w:lineRule="auto"/>
        <w:ind w:firstLine="735" w:firstLineChars="3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2.2.5.3 当采用快递交货方式时，快递包装除应当按照国家、行业规定的包装标准进行包装外，还需按照《快递包装政府采购需求标准（试行）》（财办库[2020]）123号）规定的环保要求进行包装。</w:t>
      </w:r>
    </w:p>
    <w:p>
      <w:pPr>
        <w:pStyle w:val="4"/>
        <w:spacing w:line="360" w:lineRule="auto"/>
        <w:ind w:firstLine="485" w:firstLineChars="230"/>
        <w:rPr>
          <w:rFonts w:hint="eastAsia" w:ascii="宋体" w:hAnsi="宋体" w:eastAsia="宋体" w:cs="宋体"/>
          <w:b/>
          <w:color w:val="000000"/>
          <w:szCs w:val="21"/>
          <w:highlight w:val="none"/>
        </w:rPr>
      </w:pPr>
      <w:r>
        <w:rPr>
          <w:rFonts w:hint="eastAsia" w:ascii="宋体" w:hAnsi="宋体" w:eastAsia="宋体" w:cs="宋体"/>
          <w:b/>
          <w:bCs/>
          <w:color w:val="000000"/>
          <w:szCs w:val="21"/>
          <w:highlight w:val="none"/>
        </w:rPr>
        <w:t>2.2.6</w:t>
      </w:r>
      <w:r>
        <w:rPr>
          <w:rFonts w:hint="eastAsia" w:ascii="宋体" w:hAnsi="宋体" w:eastAsia="宋体" w:cs="宋体"/>
          <w:b/>
          <w:color w:val="000000"/>
          <w:szCs w:val="21"/>
          <w:highlight w:val="none"/>
        </w:rPr>
        <w:t xml:space="preserve"> 售后服务要求：</w:t>
      </w:r>
    </w:p>
    <w:p>
      <w:pPr>
        <w:pStyle w:val="4"/>
        <w:spacing w:line="360" w:lineRule="auto"/>
        <w:ind w:firstLine="312" w:firstLineChars="14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 </w:t>
      </w:r>
      <w:r>
        <w:rPr>
          <w:rFonts w:hint="eastAsia" w:ascii="宋体" w:hAnsi="宋体" w:eastAsia="宋体" w:cs="宋体"/>
          <w:b/>
          <w:color w:val="000000"/>
          <w:szCs w:val="21"/>
          <w:highlight w:val="none"/>
        </w:rPr>
        <w:t>2.2.6.1 基本要求</w:t>
      </w:r>
    </w:p>
    <w:p>
      <w:pPr>
        <w:pStyle w:val="4"/>
        <w:spacing w:line="360" w:lineRule="auto"/>
        <w:ind w:firstLine="627" w:firstLineChars="29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（1）中标人须指派专人负责与采购人联系售后服务事宜； </w:t>
      </w:r>
    </w:p>
    <w:p>
      <w:pPr>
        <w:widowControl/>
        <w:spacing w:line="360" w:lineRule="auto"/>
        <w:ind w:firstLine="630" w:firstLineChars="3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（2）中标人负责货物（产品）的现场安装、调试和启动；</w:t>
      </w:r>
    </w:p>
    <w:p>
      <w:pPr>
        <w:widowControl/>
        <w:spacing w:line="360" w:lineRule="auto"/>
        <w:ind w:firstLine="630" w:firstLineChars="3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中标人负责货物（产品）的安装、启动、运行及维护等对使用人员进行免费培训：培训主要内容为货物的基本结构、性能、主要部件的构造及原理，日常使用操作、维护保养与管理，常见故障的排除、紧急情况的处理等，如使用方未使用过同类型货物，中标人还需就货物的功能对使用方人员进行相应的技术培训，培训地点为货物安装现场或由使用方安排；</w:t>
      </w:r>
    </w:p>
    <w:p>
      <w:pPr>
        <w:widowControl/>
        <w:spacing w:line="360" w:lineRule="auto"/>
        <w:ind w:firstLine="630" w:firstLineChars="3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（4）质保期自采购人在货物质量验收单（终验）上签名之日起计算，质保费用计入总价；</w:t>
      </w:r>
    </w:p>
    <w:p>
      <w:pPr>
        <w:widowControl/>
        <w:spacing w:line="360" w:lineRule="auto"/>
        <w:ind w:firstLine="630" w:firstLineChars="3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（5）质保期内，中标人负责对其提供的货物整机进行维修和系统维护，不再收取任何费用，但不可抗力（如火灾、雷击等）造成的故障除外；</w:t>
      </w:r>
    </w:p>
    <w:p>
      <w:pPr>
        <w:pStyle w:val="4"/>
        <w:spacing w:line="360" w:lineRule="auto"/>
        <w:ind w:firstLine="630" w:firstLineChars="300"/>
        <w:rPr>
          <w:rFonts w:hint="eastAsia" w:ascii="宋体" w:hAnsi="宋体" w:cs="宋体"/>
          <w:color w:val="000000"/>
          <w:szCs w:val="21"/>
          <w:highlight w:val="none"/>
        </w:rPr>
      </w:pPr>
      <w:r>
        <w:rPr>
          <w:rFonts w:hint="eastAsia" w:ascii="宋体" w:hAnsi="宋体" w:eastAsia="宋体" w:cs="宋体"/>
          <w:color w:val="000000"/>
          <w:kern w:val="0"/>
          <w:szCs w:val="21"/>
          <w:highlight w:val="none"/>
        </w:rPr>
        <w:t>（6）货物故障报修的响应时间为：</w:t>
      </w:r>
      <w:r>
        <w:rPr>
          <w:rFonts w:hint="eastAsia" w:ascii="宋体" w:hAnsi="宋体" w:cs="宋体"/>
          <w:color w:val="000000"/>
          <w:szCs w:val="21"/>
          <w:highlight w:val="none"/>
        </w:rPr>
        <w:t>工作期间（星期一至星期五8：00-18：00）为2时；非工作期间为4小时；</w:t>
      </w:r>
    </w:p>
    <w:p>
      <w:pPr>
        <w:widowControl/>
        <w:spacing w:line="360" w:lineRule="auto"/>
        <w:ind w:firstLine="630" w:firstLineChars="300"/>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（7）中标人在接到甲方通知后须</w:t>
      </w:r>
      <w:r>
        <w:rPr>
          <w:rFonts w:hint="eastAsia" w:ascii="宋体" w:hAnsi="宋体" w:eastAsia="宋体" w:cs="宋体"/>
          <w:color w:val="000000"/>
          <w:szCs w:val="21"/>
          <w:highlight w:val="none"/>
          <w:u w:val="single"/>
          <w:lang w:val="en-US" w:eastAsia="zh-CN"/>
        </w:rPr>
        <w:t>24</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小时内完成维修或更换，并承担修理或更换的费用；</w:t>
      </w:r>
    </w:p>
    <w:p>
      <w:pPr>
        <w:widowControl/>
        <w:spacing w:line="360" w:lineRule="auto"/>
        <w:ind w:firstLine="630" w:firstLineChars="300"/>
        <w:jc w:val="left"/>
        <w:rPr>
          <w:rFonts w:hint="eastAsia" w:ascii="宋体" w:hAnsi="宋体" w:eastAsia="宋体" w:cs="宋体"/>
          <w:color w:val="000000"/>
          <w:kern w:val="0"/>
          <w:szCs w:val="21"/>
          <w:highlight w:val="none"/>
        </w:rPr>
      </w:pPr>
      <w:r>
        <w:rPr>
          <w:rFonts w:hint="eastAsia" w:ascii="宋体" w:hAnsi="宋体" w:eastAsia="宋体" w:cs="宋体"/>
          <w:color w:val="000000"/>
          <w:szCs w:val="21"/>
          <w:highlight w:val="none"/>
        </w:rPr>
        <w:t>（8）</w:t>
      </w:r>
      <w:r>
        <w:rPr>
          <w:rFonts w:hint="eastAsia" w:ascii="宋体" w:hAnsi="宋体" w:eastAsia="宋体" w:cs="宋体"/>
          <w:color w:val="000000"/>
          <w:kern w:val="0"/>
          <w:szCs w:val="21"/>
          <w:highlight w:val="none"/>
        </w:rPr>
        <w:t>所有货物服务方式均为中标人上门服务，即由中标人派员到货物使用现场维修，由此产生的一切费用均由中标人承担；</w:t>
      </w:r>
    </w:p>
    <w:p>
      <w:pPr>
        <w:widowControl/>
        <w:spacing w:line="360" w:lineRule="auto"/>
        <w:ind w:firstLine="630" w:firstLineChars="3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（9）质保期结束后的货物维修、维护及费用由双方另行协商；</w:t>
      </w:r>
    </w:p>
    <w:p>
      <w:pPr>
        <w:widowControl/>
        <w:spacing w:line="360" w:lineRule="auto"/>
        <w:ind w:firstLine="630" w:firstLineChars="300"/>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（10）其它。</w:t>
      </w:r>
    </w:p>
    <w:p>
      <w:pPr>
        <w:pStyle w:val="4"/>
        <w:spacing w:line="360" w:lineRule="auto"/>
        <w:ind w:firstLine="735" w:firstLineChars="3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2.2.6.2 质保期要求：</w:t>
      </w:r>
      <w:r>
        <w:rPr>
          <w:rFonts w:hint="eastAsia" w:ascii="宋体" w:hAnsi="宋体" w:eastAsia="宋体" w:cs="宋体"/>
          <w:b/>
          <w:color w:val="000000"/>
          <w:szCs w:val="21"/>
          <w:highlight w:val="none"/>
          <w:lang w:val="en-US" w:eastAsia="zh-CN"/>
        </w:rPr>
        <w:t>各包</w:t>
      </w:r>
      <w:r>
        <w:rPr>
          <w:rFonts w:hint="eastAsia" w:ascii="宋体" w:hAnsi="宋体" w:eastAsia="宋体" w:cs="宋体"/>
          <w:color w:val="000000"/>
          <w:szCs w:val="21"/>
          <w:highlight w:val="none"/>
        </w:rPr>
        <w:t>货物（产品）的质保期不少于</w:t>
      </w:r>
      <w:r>
        <w:rPr>
          <w:rFonts w:hint="eastAsia" w:ascii="宋体" w:hAnsi="宋体" w:eastAsia="宋体" w:cs="宋体"/>
          <w:color w:val="000000"/>
          <w:szCs w:val="21"/>
          <w:highlight w:val="none"/>
          <w:u w:val="single"/>
          <w:lang w:val="en-US" w:eastAsia="zh-CN"/>
        </w:rPr>
        <w:t>12个</w:t>
      </w:r>
      <w:r>
        <w:rPr>
          <w:rFonts w:hint="eastAsia" w:ascii="宋体" w:hAnsi="宋体" w:eastAsia="宋体" w:cs="宋体"/>
          <w:color w:val="000000"/>
          <w:szCs w:val="21"/>
          <w:highlight w:val="none"/>
        </w:rPr>
        <w:t>月。中标人承诺超过招标文件要求的，按其承诺的质保期进行质保。</w:t>
      </w:r>
    </w:p>
    <w:p>
      <w:pPr>
        <w:pStyle w:val="4"/>
        <w:spacing w:line="360" w:lineRule="auto"/>
        <w:ind w:firstLine="735" w:firstLineChars="3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2.2.6.3 产品“三包”要求：</w:t>
      </w:r>
      <w:r>
        <w:rPr>
          <w:rFonts w:hint="eastAsia" w:ascii="宋体" w:hAnsi="宋体" w:eastAsia="宋体" w:cs="宋体"/>
          <w:color w:val="000000"/>
          <w:szCs w:val="21"/>
          <w:highlight w:val="none"/>
        </w:rPr>
        <w:t>货物（产品）属于国家规定的“三包产品”，产品制造商、经销代理商应遵守“三包”的规定，在产品发生质量问题时，及时对所提供产品实行“包退、包换、保修”服务。</w:t>
      </w:r>
    </w:p>
    <w:p>
      <w:pPr>
        <w:widowControl/>
        <w:spacing w:after="240" w:afterLines="100" w:line="400" w:lineRule="atLeast"/>
        <w:ind w:firstLine="315" w:firstLineChars="15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2.2.6.4电子电器产品服务要求：</w:t>
      </w:r>
      <w:r>
        <w:rPr>
          <w:rFonts w:hint="eastAsia" w:ascii="宋体" w:hAnsi="宋体" w:eastAsia="宋体" w:cs="宋体"/>
          <w:color w:val="000000"/>
          <w:szCs w:val="21"/>
          <w:highlight w:val="none"/>
        </w:rPr>
        <w:t>货物（产品）属于电子电器的，产品制造商、经销代理商应按照《政府采购电子电器服务规范》（GB/T 33496-2017）的要求提供服务。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DCDC5"/>
    <w:multiLevelType w:val="singleLevel"/>
    <w:tmpl w:val="18ADCD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WYyZDNhM2MyN2IxMWZiZjE3OGZiYjU1NjEyNWYifQ=="/>
  </w:docVars>
  <w:rsids>
    <w:rsidRoot w:val="00000000"/>
    <w:rsid w:val="31F2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uiPriority w:val="0"/>
    <w:pPr>
      <w:ind w:firstLine="420"/>
    </w:pPr>
    <w:rPr>
      <w:szCs w:val="20"/>
    </w:rPr>
  </w:style>
  <w:style w:type="paragraph" w:styleId="5">
    <w:name w:val="Body Text Indent"/>
    <w:basedOn w:val="1"/>
    <w:uiPriority w:val="0"/>
    <w:pPr>
      <w:ind w:firstLine="630"/>
    </w:pPr>
    <w:rPr>
      <w:sz w:val="32"/>
      <w:szCs w:val="20"/>
    </w:rPr>
  </w:style>
  <w:style w:type="paragraph" w:customStyle="1" w:styleId="8">
    <w:name w:val="样式 首行缩进:  2 字符"/>
    <w:basedOn w:val="1"/>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2022-11-01T01:51:32Z</dcterms:created>
  <dc:creator>Administrator</dc:creator>
  <cp:lastModifiedBy>Admin</cp:lastModifiedBy>
  <dcterms:modified xsi:type="dcterms:W3CDTF">2022-11-01T01:51:53Z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4A28F312DC39413384D53EC831F3CD92</vt:lpwstr>
  </property>
</Properties>
</file>