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right"/>
        <w:rPr>
          <w:rFonts w:ascii="宋体" w:cs="Times New Roman"/>
          <w:b/>
          <w:bCs/>
        </w:rPr>
      </w:pPr>
      <w:r>
        <w:rPr>
          <w:rFonts w:hint="eastAsia" w:ascii="宋体" w:cs="Times New Roman"/>
          <w:sz w:val="28"/>
          <w:szCs w:val="28"/>
        </w:rPr>
        <w:t xml:space="preserve"> </w:t>
      </w:r>
    </w:p>
    <w:p>
      <w:pPr>
        <w:widowControl/>
        <w:shd w:val="clear" w:color="auto" w:fill="FFFFFF"/>
        <w:spacing w:before="150" w:after="150" w:line="390" w:lineRule="atLeast"/>
        <w:rPr>
          <w:rFonts w:ascii="宋体" w:hAnsi="宋体" w:cs="宋体"/>
          <w:b/>
          <w:bCs/>
          <w:sz w:val="28"/>
          <w:szCs w:val="28"/>
          <w:lang w:val="zh-CN"/>
        </w:rPr>
      </w:pPr>
      <w:r>
        <w:rPr>
          <w:rFonts w:hint="eastAsia" w:ascii="宋体" w:hAnsi="宋体" w:cs="宋体"/>
          <w:b/>
          <w:bCs/>
          <w:sz w:val="28"/>
          <w:szCs w:val="28"/>
          <w:lang w:val="zh-CN"/>
        </w:rPr>
        <w:t>项目编号：YFC2022-GP-005F</w:t>
      </w:r>
    </w:p>
    <w:p>
      <w:pPr>
        <w:autoSpaceDE w:val="0"/>
        <w:autoSpaceDN w:val="0"/>
        <w:adjustRightInd w:val="0"/>
        <w:snapToGrid w:val="0"/>
        <w:spacing w:line="360" w:lineRule="auto"/>
        <w:jc w:val="left"/>
        <w:rPr>
          <w:rFonts w:ascii="宋体" w:hAnsi="宋体" w:cs="宋体"/>
          <w:b/>
          <w:bCs/>
          <w:sz w:val="28"/>
          <w:szCs w:val="28"/>
          <w:lang w:val="zh-CN"/>
        </w:rPr>
      </w:pPr>
      <w:r>
        <w:rPr>
          <w:rFonts w:hint="eastAsia" w:ascii="宋体" w:hAnsi="宋体" w:cs="宋体"/>
          <w:b/>
          <w:bCs/>
          <w:sz w:val="28"/>
          <w:szCs w:val="28"/>
          <w:lang w:val="zh-CN"/>
        </w:rPr>
        <w:t xml:space="preserve">  </w:t>
      </w:r>
    </w:p>
    <w:p>
      <w:pPr>
        <w:pStyle w:val="2"/>
        <w:textAlignment w:val="baseline"/>
        <w:rPr>
          <w:rStyle w:val="123"/>
          <w:rFonts w:ascii="宋体" w:hAnsi="宋体"/>
          <w:b/>
          <w:bCs/>
        </w:rPr>
      </w:pPr>
    </w:p>
    <w:p>
      <w:pPr>
        <w:textAlignment w:val="baseline"/>
        <w:rPr>
          <w:rStyle w:val="123"/>
          <w:rFonts w:ascii="宋体" w:hAnsi="宋体" w:cs="仿宋"/>
          <w:b/>
          <w:bCs/>
          <w:sz w:val="48"/>
          <w:szCs w:val="48"/>
        </w:rPr>
      </w:pPr>
      <w:r>
        <w:rPr>
          <w:rStyle w:val="123"/>
          <w:rFonts w:ascii="宋体" w:hAnsi="宋体"/>
        </w:rPr>
        <w:t xml:space="preserve">                               </w:t>
      </w:r>
    </w:p>
    <w:p>
      <w:pPr>
        <w:tabs>
          <w:tab w:val="left" w:pos="5670"/>
        </w:tabs>
        <w:autoSpaceDE w:val="0"/>
        <w:autoSpaceDN w:val="0"/>
        <w:adjustRightInd w:val="0"/>
        <w:snapToGrid w:val="0"/>
        <w:spacing w:line="360" w:lineRule="auto"/>
        <w:jc w:val="center"/>
        <w:rPr>
          <w:rFonts w:ascii="宋体" w:hAnsi="宋体" w:cs="宋体"/>
          <w:b/>
          <w:bCs/>
          <w:sz w:val="48"/>
          <w:szCs w:val="48"/>
        </w:rPr>
      </w:pPr>
      <w:r>
        <w:rPr>
          <w:rFonts w:hint="eastAsia" w:ascii="宋体" w:hAnsi="宋体" w:cs="宋体"/>
          <w:b/>
          <w:bCs/>
          <w:sz w:val="48"/>
          <w:szCs w:val="48"/>
        </w:rPr>
        <w:t>莲湖区市政设施调查项目</w:t>
      </w:r>
    </w:p>
    <w:p>
      <w:pPr>
        <w:tabs>
          <w:tab w:val="left" w:pos="5670"/>
        </w:tabs>
        <w:autoSpaceDE w:val="0"/>
        <w:autoSpaceDN w:val="0"/>
        <w:adjustRightInd w:val="0"/>
        <w:snapToGrid w:val="0"/>
        <w:spacing w:line="360" w:lineRule="auto"/>
        <w:jc w:val="center"/>
        <w:rPr>
          <w:rFonts w:ascii="宋体" w:hAnsi="宋体" w:cs="宋体"/>
          <w:b/>
          <w:bCs/>
          <w:sz w:val="48"/>
          <w:szCs w:val="48"/>
        </w:rPr>
      </w:pPr>
      <w:r>
        <w:rPr>
          <w:rFonts w:hint="eastAsia" w:ascii="宋体" w:hAnsi="宋体" w:cs="宋体"/>
          <w:b/>
          <w:bCs/>
          <w:sz w:val="48"/>
          <w:szCs w:val="48"/>
        </w:rPr>
        <w:t>竞争性磋商文件</w:t>
      </w:r>
    </w:p>
    <w:p>
      <w:pPr>
        <w:pStyle w:val="2"/>
        <w:textAlignment w:val="baseline"/>
        <w:rPr>
          <w:rStyle w:val="123"/>
          <w:sz w:val="18"/>
        </w:rPr>
      </w:pPr>
      <w:r>
        <w:rPr>
          <w:rFonts w:hint="eastAsia" w:ascii="宋体" w:hAnsi="宋体" w:cs="宋体"/>
          <w:b/>
          <w:bCs/>
          <w:sz w:val="48"/>
          <w:szCs w:val="48"/>
        </w:rPr>
        <w:drawing>
          <wp:anchor distT="0" distB="0" distL="114300" distR="114300" simplePos="0" relativeHeight="251659264" behindDoc="1" locked="0" layoutInCell="1" allowOverlap="1">
            <wp:simplePos x="0" y="0"/>
            <wp:positionH relativeFrom="column">
              <wp:posOffset>1338580</wp:posOffset>
            </wp:positionH>
            <wp:positionV relativeFrom="paragraph">
              <wp:posOffset>99695</wp:posOffset>
            </wp:positionV>
            <wp:extent cx="2654300" cy="2461260"/>
            <wp:effectExtent l="0" t="0" r="0" b="0"/>
            <wp:wrapTight wrapText="bothSides">
              <wp:wrapPolygon>
                <wp:start x="0" y="0"/>
                <wp:lineTo x="0" y="21399"/>
                <wp:lineTo x="21393" y="21399"/>
                <wp:lineTo x="21393" y="0"/>
                <wp:lineTo x="0" y="0"/>
              </wp:wrapPolygon>
            </wp:wrapTight>
            <wp:docPr id="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pic:cNvPicPr>
                      <a:picLocks noChangeAspect="1"/>
                    </pic:cNvPicPr>
                  </pic:nvPicPr>
                  <pic:blipFill>
                    <a:blip r:embed="rId9"/>
                    <a:stretch>
                      <a:fillRect/>
                    </a:stretch>
                  </pic:blipFill>
                  <pic:spPr>
                    <a:xfrm>
                      <a:off x="0" y="0"/>
                      <a:ext cx="2654300" cy="2461260"/>
                    </a:xfrm>
                    <a:prstGeom prst="rect">
                      <a:avLst/>
                    </a:prstGeom>
                    <a:noFill/>
                    <a:ln>
                      <a:noFill/>
                    </a:ln>
                  </pic:spPr>
                </pic:pic>
              </a:graphicData>
            </a:graphic>
          </wp:anchor>
        </w:drawing>
      </w:r>
    </w:p>
    <w:p>
      <w:pPr>
        <w:pStyle w:val="2"/>
        <w:textAlignment w:val="baseline"/>
        <w:rPr>
          <w:rStyle w:val="123"/>
          <w:sz w:val="18"/>
        </w:rPr>
      </w:pPr>
    </w:p>
    <w:p>
      <w:pPr>
        <w:pStyle w:val="2"/>
        <w:textAlignment w:val="baseline"/>
        <w:rPr>
          <w:rStyle w:val="123"/>
          <w:sz w:val="18"/>
        </w:rPr>
      </w:pPr>
    </w:p>
    <w:p>
      <w:pPr>
        <w:spacing w:line="360" w:lineRule="auto"/>
        <w:jc w:val="center"/>
        <w:textAlignment w:val="baseline"/>
        <w:rPr>
          <w:rStyle w:val="123"/>
          <w:rFonts w:ascii="宋体" w:hAnsi="宋体"/>
          <w:b/>
          <w:sz w:val="28"/>
          <w:szCs w:val="28"/>
        </w:rPr>
      </w:pPr>
    </w:p>
    <w:p>
      <w:pPr>
        <w:spacing w:line="360" w:lineRule="auto"/>
        <w:jc w:val="center"/>
        <w:textAlignment w:val="baseline"/>
        <w:rPr>
          <w:rStyle w:val="123"/>
          <w:rFonts w:ascii="宋体" w:hAnsi="宋体"/>
          <w:b/>
          <w:sz w:val="28"/>
          <w:szCs w:val="28"/>
        </w:rPr>
      </w:pPr>
    </w:p>
    <w:p>
      <w:pPr>
        <w:spacing w:line="360" w:lineRule="auto"/>
        <w:jc w:val="center"/>
        <w:textAlignment w:val="baseline"/>
        <w:rPr>
          <w:rStyle w:val="123"/>
          <w:rFonts w:ascii="宋体" w:hAnsi="宋体"/>
          <w:b/>
          <w:sz w:val="28"/>
          <w:szCs w:val="28"/>
        </w:rPr>
      </w:pPr>
    </w:p>
    <w:p>
      <w:pPr>
        <w:spacing w:line="360" w:lineRule="auto"/>
        <w:jc w:val="center"/>
        <w:textAlignment w:val="baseline"/>
        <w:rPr>
          <w:rStyle w:val="123"/>
          <w:rFonts w:ascii="宋体" w:hAnsi="宋体"/>
          <w:b/>
          <w:sz w:val="28"/>
          <w:szCs w:val="28"/>
        </w:rPr>
      </w:pPr>
    </w:p>
    <w:p>
      <w:pPr>
        <w:spacing w:line="360" w:lineRule="auto"/>
        <w:jc w:val="center"/>
        <w:textAlignment w:val="baseline"/>
        <w:rPr>
          <w:rStyle w:val="123"/>
          <w:rFonts w:ascii="宋体" w:hAnsi="宋体"/>
          <w:b/>
          <w:sz w:val="28"/>
          <w:szCs w:val="28"/>
        </w:rPr>
      </w:pPr>
    </w:p>
    <w:p>
      <w:pPr>
        <w:spacing w:line="360" w:lineRule="auto"/>
        <w:jc w:val="center"/>
        <w:textAlignment w:val="baseline"/>
        <w:rPr>
          <w:rStyle w:val="123"/>
          <w:rFonts w:ascii="宋体" w:hAnsi="宋体"/>
          <w:b/>
          <w:sz w:val="28"/>
          <w:szCs w:val="28"/>
        </w:rPr>
      </w:pPr>
    </w:p>
    <w:p>
      <w:pPr>
        <w:pStyle w:val="2"/>
        <w:textAlignment w:val="baseline"/>
        <w:rPr>
          <w:rStyle w:val="123"/>
          <w:sz w:val="18"/>
        </w:rPr>
      </w:pPr>
    </w:p>
    <w:p>
      <w:pPr>
        <w:pStyle w:val="2"/>
        <w:textAlignment w:val="baseline"/>
        <w:rPr>
          <w:rStyle w:val="123"/>
          <w:sz w:val="18"/>
        </w:rPr>
      </w:pPr>
    </w:p>
    <w:p>
      <w:pPr>
        <w:pStyle w:val="2"/>
        <w:textAlignment w:val="baseline"/>
        <w:rPr>
          <w:rStyle w:val="123"/>
          <w:sz w:val="18"/>
        </w:rPr>
      </w:pPr>
    </w:p>
    <w:p>
      <w:pPr>
        <w:pStyle w:val="2"/>
        <w:textAlignment w:val="baseline"/>
        <w:rPr>
          <w:rStyle w:val="123"/>
          <w:sz w:val="18"/>
        </w:rPr>
      </w:pPr>
    </w:p>
    <w:p>
      <w:pPr>
        <w:pStyle w:val="2"/>
        <w:textAlignment w:val="baseline"/>
        <w:rPr>
          <w:rStyle w:val="123"/>
          <w:sz w:val="18"/>
        </w:rPr>
      </w:pPr>
    </w:p>
    <w:p>
      <w:pPr>
        <w:pStyle w:val="2"/>
        <w:textAlignment w:val="baseline"/>
        <w:rPr>
          <w:rStyle w:val="123"/>
          <w:sz w:val="18"/>
        </w:rPr>
      </w:pPr>
    </w:p>
    <w:p>
      <w:pPr>
        <w:pStyle w:val="2"/>
        <w:textAlignment w:val="baseline"/>
        <w:rPr>
          <w:rStyle w:val="123"/>
          <w:sz w:val="18"/>
        </w:rPr>
      </w:pPr>
    </w:p>
    <w:p>
      <w:pPr>
        <w:pStyle w:val="2"/>
        <w:textAlignment w:val="baseline"/>
        <w:rPr>
          <w:rStyle w:val="123"/>
          <w:sz w:val="18"/>
        </w:rPr>
      </w:pPr>
    </w:p>
    <w:p>
      <w:pPr>
        <w:pStyle w:val="2"/>
        <w:textAlignment w:val="baseline"/>
        <w:rPr>
          <w:rStyle w:val="123"/>
          <w:sz w:val="18"/>
        </w:rPr>
      </w:pPr>
    </w:p>
    <w:p>
      <w:pPr>
        <w:pStyle w:val="2"/>
        <w:textAlignment w:val="baseline"/>
        <w:rPr>
          <w:rStyle w:val="123"/>
          <w:sz w:val="18"/>
        </w:rPr>
      </w:pPr>
    </w:p>
    <w:p>
      <w:pPr>
        <w:pStyle w:val="31"/>
        <w:spacing w:line="450" w:lineRule="atLeast"/>
        <w:ind w:firstLine="1124" w:firstLineChars="400"/>
        <w:jc w:val="both"/>
        <w:rPr>
          <w:b/>
          <w:bCs/>
          <w:sz w:val="28"/>
          <w:szCs w:val="28"/>
        </w:rPr>
      </w:pPr>
      <w:r>
        <w:rPr>
          <w:rFonts w:hint="eastAsia"/>
          <w:b/>
          <w:sz w:val="28"/>
          <w:szCs w:val="28"/>
        </w:rPr>
        <w:t xml:space="preserve">   采   购   人：西安市莲湖区城市管理和综合执法局</w:t>
      </w:r>
    </w:p>
    <w:p>
      <w:pPr>
        <w:spacing w:line="360" w:lineRule="auto"/>
        <w:jc w:val="center"/>
        <w:rPr>
          <w:rFonts w:ascii="宋体" w:hAnsi="宋体" w:cs="宋体"/>
          <w:b/>
          <w:bCs/>
          <w:sz w:val="28"/>
          <w:szCs w:val="28"/>
        </w:rPr>
      </w:pPr>
      <w:r>
        <w:rPr>
          <w:rFonts w:hint="eastAsia"/>
          <w:b/>
          <w:sz w:val="28"/>
          <w:szCs w:val="28"/>
        </w:rPr>
        <w:t xml:space="preserve">     </w:t>
      </w:r>
      <w:r>
        <w:rPr>
          <w:rFonts w:hint="eastAsia" w:hAnsi="宋体" w:cs="宋体"/>
          <w:b/>
          <w:sz w:val="28"/>
          <w:szCs w:val="28"/>
        </w:rPr>
        <w:t>采购代理机构：</w:t>
      </w:r>
      <w:r>
        <w:rPr>
          <w:rFonts w:hint="eastAsia"/>
          <w:b/>
          <w:sz w:val="28"/>
          <w:szCs w:val="28"/>
        </w:rPr>
        <w:t>陕西源丰成工程项目管理有限公司</w:t>
      </w:r>
    </w:p>
    <w:p>
      <w:pPr>
        <w:tabs>
          <w:tab w:val="left" w:pos="5460"/>
        </w:tabs>
        <w:autoSpaceDE w:val="0"/>
        <w:autoSpaceDN w:val="0"/>
        <w:adjustRightInd w:val="0"/>
        <w:snapToGrid w:val="0"/>
        <w:spacing w:line="360" w:lineRule="auto"/>
        <w:jc w:val="center"/>
        <w:rPr>
          <w:rFonts w:ascii="宋体" w:hAnsi="宋体" w:cs="宋体"/>
          <w:b/>
          <w:bCs/>
          <w:sz w:val="28"/>
          <w:szCs w:val="28"/>
        </w:rPr>
      </w:pPr>
      <w:r>
        <w:rPr>
          <w:rFonts w:hint="eastAsia" w:ascii="宋体" w:hAnsi="宋体" w:cs="宋体"/>
          <w:b/>
          <w:bCs/>
          <w:sz w:val="28"/>
          <w:szCs w:val="28"/>
        </w:rPr>
        <w:t xml:space="preserve">    </w:t>
      </w:r>
      <w:r>
        <w:rPr>
          <w:rFonts w:hint="eastAsia" w:ascii="宋体" w:hAnsi="宋体" w:cs="宋体"/>
          <w:b/>
          <w:bCs/>
          <w:sz w:val="28"/>
          <w:szCs w:val="28"/>
          <w:lang w:val="zh-CN"/>
        </w:rPr>
        <w:t>二〇二二年三月</w:t>
      </w:r>
    </w:p>
    <w:p>
      <w:pPr>
        <w:pStyle w:val="24"/>
        <w:tabs>
          <w:tab w:val="right" w:leader="dot" w:pos="9747"/>
        </w:tabs>
        <w:spacing w:line="360" w:lineRule="auto"/>
        <w:jc w:val="center"/>
        <w:rPr>
          <w:rFonts w:ascii="宋体" w:hAnsi="宋体" w:cs="宋体"/>
          <w:b w:val="0"/>
          <w:szCs w:val="24"/>
        </w:rPr>
        <w:sectPr>
          <w:headerReference r:id="rId3" w:type="first"/>
          <w:pgSz w:w="11907" w:h="16840"/>
          <w:pgMar w:top="1440" w:right="1701" w:bottom="1440" w:left="1701" w:header="850" w:footer="964" w:gutter="0"/>
          <w:pgNumType w:start="1"/>
          <w:cols w:space="720" w:num="1"/>
          <w:docGrid w:linePitch="326" w:charSpace="0"/>
        </w:sectPr>
      </w:pPr>
    </w:p>
    <w:p>
      <w:pPr>
        <w:pStyle w:val="24"/>
        <w:tabs>
          <w:tab w:val="right" w:leader="dot" w:pos="9747"/>
        </w:tabs>
        <w:spacing w:line="360" w:lineRule="auto"/>
        <w:jc w:val="center"/>
        <w:rPr>
          <w:rFonts w:ascii="宋体" w:hAnsi="宋体" w:cs="宋体"/>
          <w:b w:val="0"/>
          <w:szCs w:val="24"/>
        </w:rPr>
      </w:pPr>
      <w:r>
        <w:rPr>
          <w:rFonts w:hint="eastAsia" w:ascii="宋体" w:hAnsi="宋体" w:cs="宋体"/>
          <w:b w:val="0"/>
          <w:szCs w:val="24"/>
        </w:rPr>
        <w:t>目 录</w:t>
      </w:r>
    </w:p>
    <w:p>
      <w:pPr>
        <w:rPr>
          <w:rFonts w:ascii="宋体" w:hAnsi="宋体" w:cs="宋体"/>
          <w:bCs/>
          <w:szCs w:val="24"/>
        </w:rPr>
      </w:pPr>
    </w:p>
    <w:p>
      <w:pPr>
        <w:pStyle w:val="24"/>
        <w:tabs>
          <w:tab w:val="right" w:leader="dot" w:pos="8495"/>
        </w:tabs>
        <w:rPr>
          <w:rFonts w:eastAsiaTheme="minorEastAsia" w:cstheme="minorBidi"/>
          <w:b w:val="0"/>
          <w:bCs w:val="0"/>
          <w:caps w:val="0"/>
          <w:sz w:val="21"/>
          <w:szCs w:val="22"/>
        </w:rPr>
      </w:pPr>
      <w:r>
        <w:rPr>
          <w:rFonts w:hint="eastAsia" w:ascii="宋体" w:hAnsi="宋体" w:cs="宋体"/>
          <w:b w:val="0"/>
          <w:caps w:val="0"/>
          <w:sz w:val="22"/>
          <w:szCs w:val="24"/>
        </w:rPr>
        <w:fldChar w:fldCharType="begin"/>
      </w:r>
      <w:r>
        <w:rPr>
          <w:rFonts w:hint="eastAsia" w:ascii="宋体" w:hAnsi="宋体" w:cs="宋体"/>
          <w:b w:val="0"/>
          <w:caps w:val="0"/>
          <w:sz w:val="22"/>
          <w:szCs w:val="24"/>
        </w:rPr>
        <w:instrText xml:space="preserve"> TOC \o "1-2" \h \z \u </w:instrText>
      </w:r>
      <w:r>
        <w:rPr>
          <w:rFonts w:hint="eastAsia" w:ascii="宋体" w:hAnsi="宋体" w:cs="宋体"/>
          <w:b w:val="0"/>
          <w:caps w:val="0"/>
          <w:sz w:val="22"/>
          <w:szCs w:val="24"/>
        </w:rPr>
        <w:fldChar w:fldCharType="separate"/>
      </w:r>
      <w:r>
        <w:fldChar w:fldCharType="begin"/>
      </w:r>
      <w:r>
        <w:instrText xml:space="preserve"> HYPERLINK \l "_Toc89440021" </w:instrText>
      </w:r>
      <w:r>
        <w:fldChar w:fldCharType="separate"/>
      </w:r>
      <w:r>
        <w:rPr>
          <w:rStyle w:val="47"/>
          <w:rFonts w:hint="eastAsia"/>
        </w:rPr>
        <w:t>第一章</w:t>
      </w:r>
      <w:r>
        <w:rPr>
          <w:rStyle w:val="47"/>
        </w:rPr>
        <w:t xml:space="preserve"> </w:t>
      </w:r>
      <w:r>
        <w:rPr>
          <w:rStyle w:val="47"/>
          <w:rFonts w:hint="eastAsia"/>
        </w:rPr>
        <w:t>竞争性磋商公告</w:t>
      </w:r>
      <w:r>
        <w:tab/>
      </w:r>
      <w:r>
        <w:fldChar w:fldCharType="begin"/>
      </w:r>
      <w:r>
        <w:instrText xml:space="preserve"> PAGEREF _Toc89440021 \h </w:instrText>
      </w:r>
      <w:r>
        <w:fldChar w:fldCharType="separate"/>
      </w:r>
      <w:r>
        <w:t>2</w:t>
      </w:r>
      <w:r>
        <w:fldChar w:fldCharType="end"/>
      </w:r>
      <w:r>
        <w:fldChar w:fldCharType="end"/>
      </w:r>
    </w:p>
    <w:p>
      <w:pPr>
        <w:pStyle w:val="24"/>
        <w:tabs>
          <w:tab w:val="right" w:leader="dot" w:pos="8495"/>
        </w:tabs>
        <w:rPr>
          <w:rFonts w:eastAsiaTheme="minorEastAsia" w:cstheme="minorBidi"/>
          <w:b w:val="0"/>
          <w:bCs w:val="0"/>
          <w:caps w:val="0"/>
          <w:sz w:val="21"/>
          <w:szCs w:val="22"/>
        </w:rPr>
      </w:pPr>
      <w:r>
        <w:fldChar w:fldCharType="begin"/>
      </w:r>
      <w:r>
        <w:instrText xml:space="preserve"> HYPERLINK \l "_Toc89440022" </w:instrText>
      </w:r>
      <w:r>
        <w:fldChar w:fldCharType="separate"/>
      </w:r>
      <w:r>
        <w:rPr>
          <w:rStyle w:val="47"/>
          <w:rFonts w:hint="eastAsia"/>
        </w:rPr>
        <w:t>第二章</w:t>
      </w:r>
      <w:r>
        <w:rPr>
          <w:rStyle w:val="47"/>
        </w:rPr>
        <w:t xml:space="preserve"> </w:t>
      </w:r>
      <w:r>
        <w:rPr>
          <w:rStyle w:val="47"/>
          <w:rFonts w:hint="eastAsia"/>
        </w:rPr>
        <w:t>供应商须知前附表</w:t>
      </w:r>
      <w:r>
        <w:tab/>
      </w:r>
      <w:r>
        <w:fldChar w:fldCharType="begin"/>
      </w:r>
      <w:r>
        <w:instrText xml:space="preserve"> PAGEREF _Toc89440022 \h </w:instrText>
      </w:r>
      <w:r>
        <w:fldChar w:fldCharType="separate"/>
      </w:r>
      <w:r>
        <w:t>5</w:t>
      </w:r>
      <w:r>
        <w:fldChar w:fldCharType="end"/>
      </w:r>
      <w:r>
        <w:fldChar w:fldCharType="end"/>
      </w:r>
    </w:p>
    <w:p>
      <w:pPr>
        <w:pStyle w:val="24"/>
        <w:tabs>
          <w:tab w:val="right" w:leader="dot" w:pos="8495"/>
        </w:tabs>
        <w:rPr>
          <w:rFonts w:eastAsiaTheme="minorEastAsia" w:cstheme="minorBidi"/>
          <w:b w:val="0"/>
          <w:bCs w:val="0"/>
          <w:caps w:val="0"/>
          <w:sz w:val="21"/>
          <w:szCs w:val="22"/>
        </w:rPr>
      </w:pPr>
      <w:r>
        <w:fldChar w:fldCharType="begin"/>
      </w:r>
      <w:r>
        <w:instrText xml:space="preserve"> HYPERLINK \l "_Toc89440023" </w:instrText>
      </w:r>
      <w:r>
        <w:fldChar w:fldCharType="separate"/>
      </w:r>
      <w:r>
        <w:rPr>
          <w:rStyle w:val="47"/>
          <w:rFonts w:hint="eastAsia"/>
        </w:rPr>
        <w:t>第三章</w:t>
      </w:r>
      <w:r>
        <w:rPr>
          <w:rStyle w:val="47"/>
        </w:rPr>
        <w:t xml:space="preserve"> </w:t>
      </w:r>
      <w:r>
        <w:rPr>
          <w:rStyle w:val="47"/>
          <w:rFonts w:hint="eastAsia"/>
        </w:rPr>
        <w:t>供应商须知</w:t>
      </w:r>
      <w:r>
        <w:tab/>
      </w:r>
      <w:r>
        <w:fldChar w:fldCharType="begin"/>
      </w:r>
      <w:r>
        <w:instrText xml:space="preserve"> PAGEREF _Toc89440023 \h </w:instrText>
      </w:r>
      <w:r>
        <w:fldChar w:fldCharType="separate"/>
      </w:r>
      <w:r>
        <w:t>10</w:t>
      </w:r>
      <w:r>
        <w:fldChar w:fldCharType="end"/>
      </w:r>
      <w:r>
        <w:fldChar w:fldCharType="end"/>
      </w:r>
    </w:p>
    <w:p>
      <w:pPr>
        <w:pStyle w:val="28"/>
        <w:tabs>
          <w:tab w:val="right" w:leader="dot" w:pos="8495"/>
        </w:tabs>
        <w:rPr>
          <w:rFonts w:eastAsiaTheme="minorEastAsia" w:cstheme="minorBidi"/>
          <w:smallCaps w:val="0"/>
          <w:sz w:val="21"/>
          <w:szCs w:val="22"/>
        </w:rPr>
      </w:pPr>
      <w:r>
        <w:fldChar w:fldCharType="begin"/>
      </w:r>
      <w:r>
        <w:instrText xml:space="preserve"> HYPERLINK \l "_Toc89440024" </w:instrText>
      </w:r>
      <w:r>
        <w:fldChar w:fldCharType="separate"/>
      </w:r>
      <w:r>
        <w:rPr>
          <w:rStyle w:val="47"/>
          <w:rFonts w:hint="eastAsia" w:cs="宋体" w:asciiTheme="minorEastAsia" w:hAnsiTheme="minorEastAsia"/>
          <w:iCs/>
        </w:rPr>
        <w:t>一、总则</w:t>
      </w:r>
      <w:r>
        <w:tab/>
      </w:r>
      <w:r>
        <w:fldChar w:fldCharType="begin"/>
      </w:r>
      <w:r>
        <w:instrText xml:space="preserve"> PAGEREF _Toc89440024 \h </w:instrText>
      </w:r>
      <w:r>
        <w:fldChar w:fldCharType="separate"/>
      </w:r>
      <w:r>
        <w:t>10</w:t>
      </w:r>
      <w:r>
        <w:fldChar w:fldCharType="end"/>
      </w:r>
      <w:r>
        <w:fldChar w:fldCharType="end"/>
      </w:r>
    </w:p>
    <w:p>
      <w:pPr>
        <w:pStyle w:val="28"/>
        <w:tabs>
          <w:tab w:val="right" w:leader="dot" w:pos="8495"/>
        </w:tabs>
        <w:rPr>
          <w:rFonts w:eastAsiaTheme="minorEastAsia" w:cstheme="minorBidi"/>
          <w:smallCaps w:val="0"/>
          <w:sz w:val="21"/>
          <w:szCs w:val="22"/>
        </w:rPr>
      </w:pPr>
      <w:r>
        <w:fldChar w:fldCharType="begin"/>
      </w:r>
      <w:r>
        <w:instrText xml:space="preserve"> HYPERLINK \l "_Toc89440025" </w:instrText>
      </w:r>
      <w:r>
        <w:fldChar w:fldCharType="separate"/>
      </w:r>
      <w:r>
        <w:rPr>
          <w:rStyle w:val="47"/>
          <w:rFonts w:hint="eastAsia" w:cs="宋体" w:asciiTheme="minorEastAsia" w:hAnsiTheme="minorEastAsia"/>
          <w:iCs/>
        </w:rPr>
        <w:t>二、磋商文件说明</w:t>
      </w:r>
      <w:r>
        <w:tab/>
      </w:r>
      <w:r>
        <w:fldChar w:fldCharType="begin"/>
      </w:r>
      <w:r>
        <w:instrText xml:space="preserve"> PAGEREF _Toc89440025 \h </w:instrText>
      </w:r>
      <w:r>
        <w:fldChar w:fldCharType="separate"/>
      </w:r>
      <w:r>
        <w:t>10</w:t>
      </w:r>
      <w:r>
        <w:fldChar w:fldCharType="end"/>
      </w:r>
      <w:r>
        <w:fldChar w:fldCharType="end"/>
      </w:r>
    </w:p>
    <w:p>
      <w:pPr>
        <w:pStyle w:val="28"/>
        <w:tabs>
          <w:tab w:val="right" w:leader="dot" w:pos="8495"/>
        </w:tabs>
        <w:rPr>
          <w:rFonts w:eastAsiaTheme="minorEastAsia" w:cstheme="minorBidi"/>
          <w:smallCaps w:val="0"/>
          <w:sz w:val="21"/>
          <w:szCs w:val="22"/>
        </w:rPr>
      </w:pPr>
      <w:r>
        <w:fldChar w:fldCharType="begin"/>
      </w:r>
      <w:r>
        <w:instrText xml:space="preserve"> HYPERLINK \l "_Toc89440026" </w:instrText>
      </w:r>
      <w:r>
        <w:fldChar w:fldCharType="separate"/>
      </w:r>
      <w:r>
        <w:rPr>
          <w:rStyle w:val="47"/>
          <w:rFonts w:hint="eastAsia" w:cs="宋体" w:asciiTheme="minorEastAsia" w:hAnsiTheme="minorEastAsia"/>
          <w:iCs/>
        </w:rPr>
        <w:t>三、磋商文件的编写</w:t>
      </w:r>
      <w:r>
        <w:tab/>
      </w:r>
      <w:r>
        <w:fldChar w:fldCharType="begin"/>
      </w:r>
      <w:r>
        <w:instrText xml:space="preserve"> PAGEREF _Toc89440026 \h </w:instrText>
      </w:r>
      <w:r>
        <w:fldChar w:fldCharType="separate"/>
      </w:r>
      <w:r>
        <w:t>11</w:t>
      </w:r>
      <w:r>
        <w:fldChar w:fldCharType="end"/>
      </w:r>
      <w:r>
        <w:fldChar w:fldCharType="end"/>
      </w:r>
    </w:p>
    <w:p>
      <w:pPr>
        <w:pStyle w:val="28"/>
        <w:tabs>
          <w:tab w:val="right" w:leader="dot" w:pos="8495"/>
        </w:tabs>
        <w:rPr>
          <w:rFonts w:eastAsiaTheme="minorEastAsia" w:cstheme="minorBidi"/>
          <w:smallCaps w:val="0"/>
          <w:sz w:val="21"/>
          <w:szCs w:val="22"/>
        </w:rPr>
      </w:pPr>
      <w:r>
        <w:fldChar w:fldCharType="begin"/>
      </w:r>
      <w:r>
        <w:instrText xml:space="preserve"> HYPERLINK \l "_Toc89440027" </w:instrText>
      </w:r>
      <w:r>
        <w:fldChar w:fldCharType="separate"/>
      </w:r>
      <w:r>
        <w:rPr>
          <w:rStyle w:val="47"/>
          <w:rFonts w:hint="eastAsia" w:cs="宋体" w:asciiTheme="minorEastAsia" w:hAnsiTheme="minorEastAsia"/>
          <w:iCs/>
        </w:rPr>
        <w:t>四、响应文件的递交</w:t>
      </w:r>
      <w:r>
        <w:tab/>
      </w:r>
      <w:r>
        <w:fldChar w:fldCharType="begin"/>
      </w:r>
      <w:r>
        <w:instrText xml:space="preserve"> PAGEREF _Toc89440027 \h </w:instrText>
      </w:r>
      <w:r>
        <w:fldChar w:fldCharType="separate"/>
      </w:r>
      <w:r>
        <w:t>14</w:t>
      </w:r>
      <w:r>
        <w:fldChar w:fldCharType="end"/>
      </w:r>
      <w:r>
        <w:fldChar w:fldCharType="end"/>
      </w:r>
    </w:p>
    <w:p>
      <w:pPr>
        <w:pStyle w:val="28"/>
        <w:tabs>
          <w:tab w:val="right" w:leader="dot" w:pos="8495"/>
        </w:tabs>
        <w:rPr>
          <w:rFonts w:eastAsiaTheme="minorEastAsia" w:cstheme="minorBidi"/>
          <w:smallCaps w:val="0"/>
          <w:sz w:val="21"/>
          <w:szCs w:val="22"/>
        </w:rPr>
      </w:pPr>
      <w:r>
        <w:fldChar w:fldCharType="begin"/>
      </w:r>
      <w:r>
        <w:instrText xml:space="preserve"> HYPERLINK \l "_Toc89440028" </w:instrText>
      </w:r>
      <w:r>
        <w:fldChar w:fldCharType="separate"/>
      </w:r>
      <w:r>
        <w:rPr>
          <w:rStyle w:val="47"/>
          <w:rFonts w:hint="eastAsia" w:cs="宋体" w:asciiTheme="minorEastAsia" w:hAnsiTheme="minorEastAsia"/>
          <w:iCs/>
        </w:rPr>
        <w:t>五、开标</w:t>
      </w:r>
      <w:r>
        <w:rPr>
          <w:rStyle w:val="47"/>
          <w:rFonts w:cs="宋体" w:asciiTheme="minorEastAsia" w:hAnsiTheme="minorEastAsia"/>
          <w:iCs/>
        </w:rPr>
        <w:t>/</w:t>
      </w:r>
      <w:r>
        <w:rPr>
          <w:rStyle w:val="47"/>
          <w:rFonts w:hint="eastAsia" w:cs="宋体" w:asciiTheme="minorEastAsia" w:hAnsiTheme="minorEastAsia"/>
          <w:iCs/>
        </w:rPr>
        <w:t>评审</w:t>
      </w:r>
      <w:r>
        <w:tab/>
      </w:r>
      <w:r>
        <w:fldChar w:fldCharType="begin"/>
      </w:r>
      <w:r>
        <w:instrText xml:space="preserve"> PAGEREF _Toc89440028 \h </w:instrText>
      </w:r>
      <w:r>
        <w:fldChar w:fldCharType="separate"/>
      </w:r>
      <w:r>
        <w:t>14</w:t>
      </w:r>
      <w:r>
        <w:fldChar w:fldCharType="end"/>
      </w:r>
      <w:r>
        <w:fldChar w:fldCharType="end"/>
      </w:r>
    </w:p>
    <w:p>
      <w:pPr>
        <w:pStyle w:val="28"/>
        <w:tabs>
          <w:tab w:val="right" w:leader="dot" w:pos="8495"/>
        </w:tabs>
        <w:rPr>
          <w:rFonts w:eastAsiaTheme="minorEastAsia" w:cstheme="minorBidi"/>
          <w:smallCaps w:val="0"/>
          <w:sz w:val="21"/>
          <w:szCs w:val="22"/>
        </w:rPr>
      </w:pPr>
      <w:r>
        <w:fldChar w:fldCharType="begin"/>
      </w:r>
      <w:r>
        <w:instrText xml:space="preserve"> HYPERLINK \l "_Toc89440029" </w:instrText>
      </w:r>
      <w:r>
        <w:fldChar w:fldCharType="separate"/>
      </w:r>
      <w:r>
        <w:rPr>
          <w:rStyle w:val="47"/>
          <w:rFonts w:hint="eastAsia" w:cs="宋体" w:asciiTheme="minorEastAsia" w:hAnsiTheme="minorEastAsia"/>
          <w:iCs/>
        </w:rPr>
        <w:t>六、授予合同</w:t>
      </w:r>
      <w:r>
        <w:tab/>
      </w:r>
      <w:r>
        <w:fldChar w:fldCharType="begin"/>
      </w:r>
      <w:r>
        <w:instrText xml:space="preserve"> PAGEREF _Toc89440029 \h </w:instrText>
      </w:r>
      <w:r>
        <w:fldChar w:fldCharType="separate"/>
      </w:r>
      <w:r>
        <w:t>20</w:t>
      </w:r>
      <w:r>
        <w:fldChar w:fldCharType="end"/>
      </w:r>
      <w:r>
        <w:fldChar w:fldCharType="end"/>
      </w:r>
    </w:p>
    <w:p>
      <w:pPr>
        <w:pStyle w:val="24"/>
        <w:tabs>
          <w:tab w:val="right" w:leader="dot" w:pos="8495"/>
        </w:tabs>
        <w:rPr>
          <w:rFonts w:eastAsiaTheme="minorEastAsia" w:cstheme="minorBidi"/>
          <w:b w:val="0"/>
          <w:bCs w:val="0"/>
          <w:caps w:val="0"/>
          <w:sz w:val="21"/>
          <w:szCs w:val="22"/>
        </w:rPr>
      </w:pPr>
      <w:r>
        <w:fldChar w:fldCharType="begin"/>
      </w:r>
      <w:r>
        <w:instrText xml:space="preserve"> HYPERLINK \l "_Toc89440030" </w:instrText>
      </w:r>
      <w:r>
        <w:fldChar w:fldCharType="separate"/>
      </w:r>
      <w:r>
        <w:rPr>
          <w:rStyle w:val="47"/>
          <w:rFonts w:hint="eastAsia"/>
        </w:rPr>
        <w:t>第四章</w:t>
      </w:r>
      <w:r>
        <w:rPr>
          <w:rStyle w:val="47"/>
        </w:rPr>
        <w:t xml:space="preserve"> </w:t>
      </w:r>
      <w:r>
        <w:rPr>
          <w:rStyle w:val="47"/>
          <w:rFonts w:hint="eastAsia"/>
        </w:rPr>
        <w:t>合同条款</w:t>
      </w:r>
      <w:r>
        <w:tab/>
      </w:r>
      <w:r>
        <w:fldChar w:fldCharType="begin"/>
      </w:r>
      <w:r>
        <w:instrText xml:space="preserve"> PAGEREF _Toc89440030 \h </w:instrText>
      </w:r>
      <w:r>
        <w:fldChar w:fldCharType="separate"/>
      </w:r>
      <w:r>
        <w:t>24</w:t>
      </w:r>
      <w:r>
        <w:fldChar w:fldCharType="end"/>
      </w:r>
      <w:r>
        <w:fldChar w:fldCharType="end"/>
      </w:r>
    </w:p>
    <w:p>
      <w:pPr>
        <w:pStyle w:val="24"/>
        <w:tabs>
          <w:tab w:val="right" w:leader="dot" w:pos="8495"/>
        </w:tabs>
        <w:rPr>
          <w:rFonts w:eastAsiaTheme="minorEastAsia" w:cstheme="minorBidi"/>
          <w:b w:val="0"/>
          <w:bCs w:val="0"/>
          <w:caps w:val="0"/>
          <w:sz w:val="21"/>
          <w:szCs w:val="22"/>
        </w:rPr>
      </w:pPr>
      <w:r>
        <w:fldChar w:fldCharType="begin"/>
      </w:r>
      <w:r>
        <w:instrText xml:space="preserve"> HYPERLINK \l "_Toc89440031" </w:instrText>
      </w:r>
      <w:r>
        <w:fldChar w:fldCharType="separate"/>
      </w:r>
      <w:r>
        <w:rPr>
          <w:rStyle w:val="47"/>
          <w:rFonts w:hint="eastAsia" w:cs="Calibri"/>
        </w:rPr>
        <w:t>第五章</w:t>
      </w:r>
      <w:r>
        <w:rPr>
          <w:rStyle w:val="47"/>
          <w:rFonts w:cs="Calibri"/>
        </w:rPr>
        <w:t xml:space="preserve"> </w:t>
      </w:r>
      <w:r>
        <w:rPr>
          <w:rStyle w:val="47"/>
          <w:rFonts w:hint="eastAsia" w:cs="Calibri"/>
        </w:rPr>
        <w:t>采购内容及技术要求</w:t>
      </w:r>
      <w:r>
        <w:tab/>
      </w:r>
      <w:r>
        <w:fldChar w:fldCharType="begin"/>
      </w:r>
      <w:r>
        <w:instrText xml:space="preserve"> PAGEREF _Toc89440031 \h </w:instrText>
      </w:r>
      <w:r>
        <w:fldChar w:fldCharType="separate"/>
      </w:r>
      <w:r>
        <w:t>27</w:t>
      </w:r>
      <w:r>
        <w:fldChar w:fldCharType="end"/>
      </w:r>
      <w:r>
        <w:fldChar w:fldCharType="end"/>
      </w:r>
    </w:p>
    <w:p>
      <w:pPr>
        <w:pStyle w:val="24"/>
        <w:tabs>
          <w:tab w:val="right" w:leader="dot" w:pos="8495"/>
        </w:tabs>
        <w:rPr>
          <w:rFonts w:eastAsiaTheme="minorEastAsia" w:cstheme="minorBidi"/>
          <w:b w:val="0"/>
          <w:bCs w:val="0"/>
          <w:caps w:val="0"/>
          <w:sz w:val="21"/>
          <w:szCs w:val="22"/>
        </w:rPr>
      </w:pPr>
      <w:r>
        <w:fldChar w:fldCharType="begin"/>
      </w:r>
      <w:r>
        <w:instrText xml:space="preserve"> HYPERLINK \l "_Toc89440032" </w:instrText>
      </w:r>
      <w:r>
        <w:fldChar w:fldCharType="separate"/>
      </w:r>
      <w:r>
        <w:rPr>
          <w:rStyle w:val="47"/>
          <w:rFonts w:hint="eastAsia" w:cs="Calibri"/>
        </w:rPr>
        <w:t>第六章</w:t>
      </w:r>
      <w:r>
        <w:rPr>
          <w:rStyle w:val="47"/>
          <w:rFonts w:cs="Calibri"/>
        </w:rPr>
        <w:t xml:space="preserve"> </w:t>
      </w:r>
      <w:r>
        <w:rPr>
          <w:rStyle w:val="47"/>
          <w:rFonts w:hint="eastAsia" w:cs="Calibri"/>
        </w:rPr>
        <w:t>评审方法及标准</w:t>
      </w:r>
      <w:r>
        <w:tab/>
      </w:r>
      <w:r>
        <w:fldChar w:fldCharType="begin"/>
      </w:r>
      <w:r>
        <w:instrText xml:space="preserve"> PAGEREF _Toc89440032 \h </w:instrText>
      </w:r>
      <w:r>
        <w:fldChar w:fldCharType="separate"/>
      </w:r>
      <w:r>
        <w:t>30</w:t>
      </w:r>
      <w:r>
        <w:fldChar w:fldCharType="end"/>
      </w:r>
      <w:r>
        <w:fldChar w:fldCharType="end"/>
      </w:r>
    </w:p>
    <w:p>
      <w:pPr>
        <w:pStyle w:val="28"/>
        <w:tabs>
          <w:tab w:val="right" w:leader="dot" w:pos="8495"/>
        </w:tabs>
        <w:rPr>
          <w:rFonts w:eastAsiaTheme="minorEastAsia" w:cstheme="minorBidi"/>
          <w:smallCaps w:val="0"/>
          <w:sz w:val="21"/>
          <w:szCs w:val="22"/>
        </w:rPr>
      </w:pPr>
      <w:r>
        <w:fldChar w:fldCharType="begin"/>
      </w:r>
      <w:r>
        <w:instrText xml:space="preserve"> HYPERLINK \l "_Toc89440033" </w:instrText>
      </w:r>
      <w:r>
        <w:fldChar w:fldCharType="separate"/>
      </w:r>
      <w:r>
        <w:rPr>
          <w:rStyle w:val="47"/>
          <w:rFonts w:hint="eastAsia" w:ascii="宋体" w:hAnsi="宋体" w:cs="宋体"/>
          <w:iCs/>
        </w:rPr>
        <w:t>一、评审程序</w:t>
      </w:r>
      <w:r>
        <w:tab/>
      </w:r>
      <w:r>
        <w:fldChar w:fldCharType="begin"/>
      </w:r>
      <w:r>
        <w:instrText xml:space="preserve"> PAGEREF _Toc89440033 \h </w:instrText>
      </w:r>
      <w:r>
        <w:fldChar w:fldCharType="separate"/>
      </w:r>
      <w:r>
        <w:t>30</w:t>
      </w:r>
      <w:r>
        <w:fldChar w:fldCharType="end"/>
      </w:r>
      <w:r>
        <w:fldChar w:fldCharType="end"/>
      </w:r>
    </w:p>
    <w:p>
      <w:pPr>
        <w:pStyle w:val="28"/>
        <w:tabs>
          <w:tab w:val="right" w:leader="dot" w:pos="8495"/>
        </w:tabs>
        <w:rPr>
          <w:rFonts w:eastAsiaTheme="minorEastAsia" w:cstheme="minorBidi"/>
          <w:smallCaps w:val="0"/>
          <w:sz w:val="21"/>
          <w:szCs w:val="22"/>
        </w:rPr>
      </w:pPr>
      <w:r>
        <w:fldChar w:fldCharType="begin"/>
      </w:r>
      <w:r>
        <w:instrText xml:space="preserve"> HYPERLINK \l "_Toc89440034" </w:instrText>
      </w:r>
      <w:r>
        <w:fldChar w:fldCharType="separate"/>
      </w:r>
      <w:r>
        <w:rPr>
          <w:rStyle w:val="47"/>
          <w:rFonts w:hint="eastAsia" w:cs="Cambria" w:asciiTheme="minorEastAsia" w:hAnsiTheme="minorEastAsia"/>
        </w:rPr>
        <w:t>二、评分细则</w:t>
      </w:r>
      <w:r>
        <w:tab/>
      </w:r>
      <w:r>
        <w:fldChar w:fldCharType="begin"/>
      </w:r>
      <w:r>
        <w:instrText xml:space="preserve"> PAGEREF _Toc89440034 \h </w:instrText>
      </w:r>
      <w:r>
        <w:fldChar w:fldCharType="separate"/>
      </w:r>
      <w:r>
        <w:t>33</w:t>
      </w:r>
      <w:r>
        <w:fldChar w:fldCharType="end"/>
      </w:r>
      <w:r>
        <w:fldChar w:fldCharType="end"/>
      </w:r>
    </w:p>
    <w:p>
      <w:pPr>
        <w:pStyle w:val="28"/>
        <w:tabs>
          <w:tab w:val="right" w:leader="dot" w:pos="8495"/>
        </w:tabs>
        <w:rPr>
          <w:rFonts w:eastAsiaTheme="minorEastAsia" w:cstheme="minorBidi"/>
          <w:smallCaps w:val="0"/>
          <w:sz w:val="21"/>
          <w:szCs w:val="22"/>
        </w:rPr>
      </w:pPr>
      <w:r>
        <w:fldChar w:fldCharType="begin"/>
      </w:r>
      <w:r>
        <w:instrText xml:space="preserve"> HYPERLINK \l "_Toc89440035" </w:instrText>
      </w:r>
      <w:r>
        <w:fldChar w:fldCharType="separate"/>
      </w:r>
      <w:r>
        <w:rPr>
          <w:rStyle w:val="47"/>
          <w:rFonts w:hint="eastAsia" w:cs="宋体" w:asciiTheme="minorEastAsia" w:hAnsiTheme="minorEastAsia"/>
          <w:iCs/>
        </w:rPr>
        <w:t>三、汇总得分</w:t>
      </w:r>
      <w:r>
        <w:tab/>
      </w:r>
      <w:r>
        <w:fldChar w:fldCharType="begin"/>
      </w:r>
      <w:r>
        <w:instrText xml:space="preserve"> PAGEREF _Toc89440035 \h </w:instrText>
      </w:r>
      <w:r>
        <w:fldChar w:fldCharType="separate"/>
      </w:r>
      <w:r>
        <w:t>35</w:t>
      </w:r>
      <w:r>
        <w:fldChar w:fldCharType="end"/>
      </w:r>
      <w:r>
        <w:fldChar w:fldCharType="end"/>
      </w:r>
    </w:p>
    <w:p>
      <w:pPr>
        <w:pStyle w:val="24"/>
        <w:tabs>
          <w:tab w:val="right" w:leader="dot" w:pos="8495"/>
        </w:tabs>
        <w:rPr>
          <w:rFonts w:eastAsiaTheme="minorEastAsia" w:cstheme="minorBidi"/>
          <w:b w:val="0"/>
          <w:bCs w:val="0"/>
          <w:caps w:val="0"/>
          <w:sz w:val="21"/>
          <w:szCs w:val="22"/>
        </w:rPr>
      </w:pPr>
      <w:r>
        <w:fldChar w:fldCharType="begin"/>
      </w:r>
      <w:r>
        <w:instrText xml:space="preserve"> HYPERLINK \l "_Toc89440036" </w:instrText>
      </w:r>
      <w:r>
        <w:fldChar w:fldCharType="separate"/>
      </w:r>
      <w:r>
        <w:rPr>
          <w:rStyle w:val="47"/>
          <w:rFonts w:hint="eastAsia"/>
        </w:rPr>
        <w:t>第七章</w:t>
      </w:r>
      <w:r>
        <w:rPr>
          <w:rStyle w:val="47"/>
        </w:rPr>
        <w:t xml:space="preserve"> </w:t>
      </w:r>
      <w:r>
        <w:rPr>
          <w:rStyle w:val="47"/>
          <w:rFonts w:hint="eastAsia"/>
          <w:lang w:val="zh-CN"/>
        </w:rPr>
        <w:t>响应文件</w:t>
      </w:r>
      <w:r>
        <w:rPr>
          <w:rStyle w:val="47"/>
          <w:rFonts w:hint="eastAsia"/>
        </w:rPr>
        <w:t>格式</w:t>
      </w:r>
      <w:r>
        <w:tab/>
      </w:r>
      <w:r>
        <w:fldChar w:fldCharType="begin"/>
      </w:r>
      <w:r>
        <w:instrText xml:space="preserve"> PAGEREF _Toc89440036 \h </w:instrText>
      </w:r>
      <w:r>
        <w:fldChar w:fldCharType="separate"/>
      </w:r>
      <w:r>
        <w:t>37</w:t>
      </w:r>
      <w:r>
        <w:fldChar w:fldCharType="end"/>
      </w:r>
      <w:r>
        <w:fldChar w:fldCharType="end"/>
      </w:r>
    </w:p>
    <w:p>
      <w:pPr>
        <w:pStyle w:val="14"/>
        <w:spacing w:line="360" w:lineRule="auto"/>
        <w:rPr>
          <w:rFonts w:ascii="宋体" w:hAnsi="宋体" w:cs="宋体"/>
          <w:bCs/>
          <w:sz w:val="22"/>
          <w:szCs w:val="24"/>
        </w:rPr>
      </w:pPr>
      <w:r>
        <w:rPr>
          <w:rFonts w:hint="eastAsia" w:ascii="宋体" w:hAnsi="宋体" w:cs="宋体"/>
          <w:bCs/>
          <w:caps/>
          <w:kern w:val="2"/>
          <w:szCs w:val="24"/>
        </w:rPr>
        <w:fldChar w:fldCharType="end"/>
      </w:r>
    </w:p>
    <w:p>
      <w:pPr>
        <w:spacing w:line="360" w:lineRule="auto"/>
        <w:rPr>
          <w:sz w:val="22"/>
        </w:rPr>
      </w:pPr>
    </w:p>
    <w:p>
      <w:pPr>
        <w:pStyle w:val="14"/>
        <w:spacing w:line="360" w:lineRule="auto"/>
      </w:pPr>
    </w:p>
    <w:p>
      <w:pPr>
        <w:spacing w:line="360" w:lineRule="auto"/>
      </w:pPr>
    </w:p>
    <w:p>
      <w:pPr>
        <w:pStyle w:val="14"/>
        <w:spacing w:line="360" w:lineRule="auto"/>
      </w:pPr>
    </w:p>
    <w:p>
      <w:pPr>
        <w:spacing w:line="360" w:lineRule="auto"/>
      </w:pPr>
    </w:p>
    <w:p>
      <w:pPr>
        <w:pStyle w:val="14"/>
        <w:spacing w:line="360" w:lineRule="auto"/>
      </w:pPr>
    </w:p>
    <w:p/>
    <w:p>
      <w:pPr>
        <w:pStyle w:val="14"/>
      </w:pPr>
    </w:p>
    <w:p/>
    <w:p>
      <w:pPr>
        <w:pStyle w:val="14"/>
      </w:pPr>
    </w:p>
    <w:p/>
    <w:p>
      <w:pPr>
        <w:pStyle w:val="14"/>
      </w:pPr>
    </w:p>
    <w:p>
      <w:pPr>
        <w:pStyle w:val="14"/>
      </w:pPr>
    </w:p>
    <w:p>
      <w:bookmarkStart w:id="0" w:name="_Toc48655743"/>
      <w:bookmarkStart w:id="1" w:name="_Toc27740"/>
      <w:bookmarkStart w:id="2" w:name="_Toc484353341"/>
      <w:r>
        <w:rPr>
          <w:rFonts w:hint="eastAsia"/>
        </w:rPr>
        <w:br w:type="page"/>
      </w:r>
    </w:p>
    <w:p>
      <w:pPr>
        <w:pStyle w:val="3"/>
        <w:rPr>
          <w:rFonts w:eastAsia="黑体"/>
        </w:rPr>
      </w:pPr>
      <w:bookmarkStart w:id="3" w:name="_Toc89440021"/>
      <w:r>
        <w:rPr>
          <w:rFonts w:hint="eastAsia"/>
        </w:rPr>
        <w:t>第一章 竞争性磋商公告</w:t>
      </w:r>
      <w:bookmarkEnd w:id="0"/>
      <w:bookmarkEnd w:id="3"/>
    </w:p>
    <w:p/>
    <w:p>
      <w:pPr>
        <w:pStyle w:val="31"/>
        <w:spacing w:before="0" w:beforeAutospacing="0" w:after="0" w:afterAutospacing="0" w:line="360" w:lineRule="auto"/>
        <w:ind w:firstLine="482" w:firstLineChars="200"/>
        <w:rPr>
          <w:color w:val="auto"/>
        </w:rPr>
      </w:pPr>
      <w:bookmarkStart w:id="4" w:name="_Toc48655744"/>
      <w:r>
        <w:rPr>
          <w:rFonts w:hint="eastAsia"/>
          <w:b/>
          <w:color w:val="auto"/>
          <w:lang w:bidi="ar"/>
        </w:rPr>
        <w:t>莲湖区市政设施调查项目</w:t>
      </w:r>
      <w:r>
        <w:rPr>
          <w:b/>
          <w:color w:val="auto"/>
          <w:lang w:bidi="ar"/>
        </w:rPr>
        <w:t>潜在的</w:t>
      </w:r>
      <w:r>
        <w:rPr>
          <w:rFonts w:hint="eastAsia"/>
          <w:b/>
          <w:color w:val="auto"/>
          <w:lang w:bidi="ar"/>
        </w:rPr>
        <w:t>响应供应商</w:t>
      </w:r>
      <w:r>
        <w:rPr>
          <w:b/>
          <w:color w:val="auto"/>
          <w:lang w:bidi="ar"/>
        </w:rPr>
        <w:t>可在</w:t>
      </w:r>
      <w:r>
        <w:rPr>
          <w:rFonts w:hint="eastAsia"/>
          <w:b/>
          <w:color w:val="auto"/>
          <w:lang w:bidi="ar"/>
        </w:rPr>
        <w:t>西安市雁塔区科技五路8号数字大厦5楼508室获取响应文件，并于2022年04月02日09时30分前递交响应文件。</w:t>
      </w:r>
      <w:r>
        <w:rPr>
          <w:b/>
          <w:color w:val="auto"/>
          <w:lang w:bidi="ar"/>
        </w:rPr>
        <w:t xml:space="preserve"> </w:t>
      </w:r>
    </w:p>
    <w:p>
      <w:pPr>
        <w:pStyle w:val="31"/>
        <w:spacing w:before="0" w:beforeAutospacing="0" w:after="0" w:afterAutospacing="0" w:line="360" w:lineRule="auto"/>
        <w:outlineLvl w:val="1"/>
        <w:rPr>
          <w:color w:val="auto"/>
        </w:rPr>
      </w:pPr>
      <w:r>
        <w:rPr>
          <w:b/>
          <w:color w:val="auto"/>
          <w:lang w:bidi="ar"/>
        </w:rPr>
        <w:t>一、项目基本情况：</w:t>
      </w:r>
    </w:p>
    <w:p>
      <w:pPr>
        <w:pStyle w:val="31"/>
        <w:spacing w:before="0" w:beforeAutospacing="0" w:after="0" w:afterAutospacing="0" w:line="360" w:lineRule="auto"/>
        <w:ind w:firstLine="420"/>
        <w:rPr>
          <w:color w:val="auto"/>
        </w:rPr>
      </w:pPr>
      <w:r>
        <w:rPr>
          <w:color w:val="auto"/>
        </w:rPr>
        <w:t>1、项目编号：</w:t>
      </w:r>
      <w:r>
        <w:rPr>
          <w:rFonts w:hint="eastAsia"/>
          <w:color w:val="auto"/>
        </w:rPr>
        <w:t>YFC2022-GP-005F</w:t>
      </w:r>
    </w:p>
    <w:p>
      <w:pPr>
        <w:pStyle w:val="31"/>
        <w:spacing w:before="0" w:beforeAutospacing="0" w:after="0" w:afterAutospacing="0" w:line="360" w:lineRule="auto"/>
        <w:ind w:firstLine="420"/>
        <w:rPr>
          <w:color w:val="auto"/>
        </w:rPr>
      </w:pPr>
      <w:r>
        <w:rPr>
          <w:color w:val="auto"/>
        </w:rPr>
        <w:t>2、项目名称：</w:t>
      </w:r>
      <w:r>
        <w:rPr>
          <w:rFonts w:hint="eastAsia"/>
          <w:color w:val="auto"/>
        </w:rPr>
        <w:t>莲湖区市政设施调查项目</w:t>
      </w:r>
    </w:p>
    <w:p>
      <w:pPr>
        <w:pStyle w:val="31"/>
        <w:spacing w:before="0" w:beforeAutospacing="0" w:after="0" w:afterAutospacing="0" w:line="360" w:lineRule="auto"/>
        <w:ind w:firstLine="420"/>
        <w:rPr>
          <w:color w:val="auto"/>
        </w:rPr>
      </w:pPr>
      <w:r>
        <w:rPr>
          <w:color w:val="auto"/>
        </w:rPr>
        <w:t>3、预算金额：</w:t>
      </w:r>
      <w:r>
        <w:rPr>
          <w:rFonts w:hint="eastAsia"/>
          <w:color w:val="auto"/>
        </w:rPr>
        <w:t>385500.00元</w:t>
      </w:r>
    </w:p>
    <w:p>
      <w:pPr>
        <w:pStyle w:val="31"/>
        <w:spacing w:before="0" w:beforeAutospacing="0" w:after="0" w:afterAutospacing="0" w:line="360" w:lineRule="auto"/>
        <w:ind w:firstLine="420"/>
        <w:rPr>
          <w:color w:val="auto"/>
        </w:rPr>
      </w:pPr>
      <w:r>
        <w:rPr>
          <w:color w:val="auto"/>
        </w:rPr>
        <w:t>4、最高限价：</w:t>
      </w:r>
      <w:r>
        <w:rPr>
          <w:rFonts w:hint="eastAsia"/>
          <w:color w:val="auto"/>
        </w:rPr>
        <w:t>385500.00元</w:t>
      </w:r>
    </w:p>
    <w:p>
      <w:pPr>
        <w:pStyle w:val="31"/>
        <w:spacing w:before="0" w:beforeAutospacing="0" w:after="0" w:afterAutospacing="0" w:line="360" w:lineRule="auto"/>
        <w:ind w:firstLine="420"/>
        <w:rPr>
          <w:color w:val="auto"/>
        </w:rPr>
      </w:pPr>
      <w:r>
        <w:rPr>
          <w:color w:val="auto"/>
        </w:rPr>
        <w:t>5、采购需求：</w:t>
      </w:r>
      <w:r>
        <w:rPr>
          <w:rFonts w:hint="eastAsia"/>
          <w:color w:val="auto"/>
        </w:rPr>
        <w:t>市政设施调查（详见第五章）</w:t>
      </w:r>
    </w:p>
    <w:p>
      <w:pPr>
        <w:pStyle w:val="31"/>
        <w:numPr>
          <w:ilvl w:val="0"/>
          <w:numId w:val="3"/>
        </w:numPr>
        <w:spacing w:before="0" w:beforeAutospacing="0" w:after="0" w:afterAutospacing="0" w:line="360" w:lineRule="auto"/>
        <w:ind w:firstLine="420"/>
        <w:rPr>
          <w:color w:val="auto"/>
        </w:rPr>
      </w:pPr>
      <w:r>
        <w:rPr>
          <w:color w:val="auto"/>
        </w:rPr>
        <w:t>合同履行期限：</w:t>
      </w:r>
      <w:r>
        <w:rPr>
          <w:rFonts w:hint="eastAsia"/>
          <w:color w:val="auto"/>
        </w:rPr>
        <w:t>2022-04-06 00:00:00 至 2022-05-05 00:00:00（具体服务起止日期可随合同签订时间相应顺延）</w:t>
      </w:r>
    </w:p>
    <w:p>
      <w:pPr>
        <w:pStyle w:val="31"/>
        <w:numPr>
          <w:ilvl w:val="0"/>
          <w:numId w:val="3"/>
        </w:numPr>
        <w:spacing w:before="0" w:beforeAutospacing="0" w:after="0" w:afterAutospacing="0" w:line="360" w:lineRule="auto"/>
        <w:ind w:firstLine="420"/>
        <w:rPr>
          <w:color w:val="auto"/>
        </w:rPr>
      </w:pPr>
      <w:r>
        <w:rPr>
          <w:color w:val="auto"/>
        </w:rPr>
        <w:t>本项目是否接受联合体投标：</w:t>
      </w:r>
      <w:r>
        <w:rPr>
          <w:rFonts w:hint="eastAsia"/>
          <w:color w:val="auto"/>
        </w:rPr>
        <w:t>否</w:t>
      </w:r>
    </w:p>
    <w:p>
      <w:pPr>
        <w:pStyle w:val="31"/>
        <w:spacing w:before="0" w:beforeAutospacing="0" w:after="0" w:afterAutospacing="0" w:line="360" w:lineRule="auto"/>
        <w:outlineLvl w:val="1"/>
        <w:rPr>
          <w:color w:val="auto"/>
        </w:rPr>
      </w:pPr>
      <w:r>
        <w:rPr>
          <w:b/>
          <w:color w:val="auto"/>
          <w:lang w:bidi="ar"/>
        </w:rPr>
        <w:t xml:space="preserve">二、 </w:t>
      </w:r>
      <w:r>
        <w:rPr>
          <w:rFonts w:hint="eastAsia"/>
          <w:b/>
          <w:color w:val="auto"/>
          <w:lang w:bidi="ar"/>
        </w:rPr>
        <w:t>响应供应商</w:t>
      </w:r>
      <w:r>
        <w:rPr>
          <w:b/>
          <w:color w:val="auto"/>
          <w:lang w:bidi="ar"/>
        </w:rPr>
        <w:t xml:space="preserve">的资格要求 </w:t>
      </w:r>
    </w:p>
    <w:p>
      <w:pPr>
        <w:pStyle w:val="31"/>
        <w:spacing w:before="0" w:beforeAutospacing="0" w:after="0" w:afterAutospacing="0" w:line="360" w:lineRule="auto"/>
        <w:ind w:firstLine="480" w:firstLineChars="200"/>
        <w:rPr>
          <w:color w:val="auto"/>
        </w:rPr>
      </w:pPr>
      <w:r>
        <w:rPr>
          <w:color w:val="auto"/>
        </w:rPr>
        <w:t>1、满足《中华人民共和国政府采购法》第二十二条规定</w:t>
      </w:r>
    </w:p>
    <w:p>
      <w:pPr>
        <w:pStyle w:val="31"/>
        <w:spacing w:before="0" w:beforeAutospacing="0" w:after="0" w:afterAutospacing="0" w:line="360" w:lineRule="auto"/>
        <w:ind w:firstLine="480" w:firstLineChars="200"/>
        <w:rPr>
          <w:color w:val="auto"/>
          <w:lang w:val="zh-CN"/>
        </w:rPr>
      </w:pPr>
      <w:r>
        <w:rPr>
          <w:color w:val="auto"/>
        </w:rPr>
        <w:t>2、落实政府采购政策需满足的资格要求：</w:t>
      </w:r>
      <w:r>
        <w:rPr>
          <w:rFonts w:hint="eastAsia"/>
          <w:color w:val="auto"/>
          <w:lang w:val="zh-CN"/>
        </w:rPr>
        <w:t>本项目专门面向小微企业采购（1）《财政部国家发展改革委关于印发〈节能产品政府采购实施意见〉的通知》（财库〔2004〕185号）；（2）《国务院办公厅关于建立政府强制节能产品制度的通知》（国办发〔2007〕51号）；（3）《财政部环保总局关于环境标志产品政府采购实施的意见》（财库〔2006〕90号）；（4）《财政部司法部关于政府采购支持监狱企业发展有关问题的通知》（财库〔2014〕68号）；（5）《政府采购促进中小企业发展管理办法》（财库〔2020〕46 号）；（6）《关于在政府采购活动中查询及使用信用记录有关问题的通知》（财库〔2016〕125 号）；（7）《三部门联合发布关于促进残疾人就业政府采购政策的通知》（财库〔2017〕141号）；（8）《财政部 发展改革委 生态环境部 市场监管总局 关于调整优化节能产品、环境标志产品政府采购执行机制的通知》（财库〔2019〕9号）；（9）《关于运用政府采购政策支持脱贫攻坚的通知》（财库〔2019〕27号）；（10）陕西省财政厅关于印发《陕西省中小企业政府采购信用融资办法》（陕财办采〔2018〕23号）。（11）《陕西省财政厅关于加快推进我省中小企业政府采购信用融资工作的通知》（陕财办采[2020]15号）（12）《政府采购进口产品管理办法》（财库〔2007〕119号）（13）《关于政府采购进口产品管理有关问题的通知》（财办库〔2008〕248号）；（14）国务院办公厅《关于加快推进重要产品追溯体系建设的意见》（国办发〔2015〕95号）；（15）《关于印发政府采购贫困地区农副产品实施方案的通知》财库（〔2019〕41号）。</w:t>
      </w:r>
    </w:p>
    <w:p>
      <w:pPr>
        <w:pStyle w:val="31"/>
        <w:spacing w:before="0" w:beforeAutospacing="0" w:after="0" w:afterAutospacing="0" w:line="360" w:lineRule="auto"/>
        <w:rPr>
          <w:color w:val="auto"/>
        </w:rPr>
      </w:pPr>
      <w:r>
        <w:rPr>
          <w:color w:val="auto"/>
        </w:rPr>
        <w:t>3、本项目的特定资格要求：</w:t>
      </w:r>
    </w:p>
    <w:p>
      <w:pPr>
        <w:pStyle w:val="31"/>
        <w:spacing w:before="0" w:beforeAutospacing="0" w:after="0" w:afterAutospacing="0" w:line="360" w:lineRule="auto"/>
        <w:rPr>
          <w:color w:val="auto"/>
        </w:rPr>
      </w:pPr>
      <w:r>
        <w:rPr>
          <w:rFonts w:hint="eastAsia"/>
          <w:color w:val="auto"/>
        </w:rPr>
        <w:t>（1）响应供应商需提供合法有效的统一社会信用代码营业执照（事业单位提供事业单位法人证书，自然人应提供身份证）。</w:t>
      </w:r>
    </w:p>
    <w:p>
      <w:pPr>
        <w:pStyle w:val="31"/>
        <w:spacing w:before="0" w:beforeAutospacing="0" w:after="0" w:afterAutospacing="0" w:line="360" w:lineRule="auto"/>
        <w:rPr>
          <w:color w:val="auto"/>
        </w:rPr>
      </w:pPr>
      <w:r>
        <w:rPr>
          <w:rFonts w:hint="eastAsia"/>
          <w:color w:val="auto"/>
        </w:rPr>
        <w:t>（2）法定代表人参加投标的，须提供本人身份证加盖公章的复印件；法定代表人授权他人参加投标的，须提供法定代表人授权委托书及被授权代表的身份证复印件。（非法人单位的负责人参照法定代表人提供相关资料）。</w:t>
      </w:r>
    </w:p>
    <w:p>
      <w:pPr>
        <w:pStyle w:val="31"/>
        <w:spacing w:before="0" w:beforeAutospacing="0" w:after="0" w:afterAutospacing="0" w:line="360" w:lineRule="auto"/>
        <w:rPr>
          <w:color w:val="auto"/>
        </w:rPr>
      </w:pPr>
      <w:r>
        <w:rPr>
          <w:rFonts w:hint="eastAsia"/>
          <w:color w:val="auto"/>
        </w:rPr>
        <w:t>（3）财务状况报告：提供2021年度经审计的财务会计报告；成立时间至提交响应文件截止时间不足一年的可提供成立后任意时段的资产负债表或响应截止时间前三个月内银行出具的资信证明文件或信用担保机构出具的投标担保函。</w:t>
      </w:r>
    </w:p>
    <w:p>
      <w:pPr>
        <w:pStyle w:val="31"/>
        <w:spacing w:before="0" w:beforeAutospacing="0" w:after="0" w:afterAutospacing="0" w:line="360" w:lineRule="auto"/>
        <w:rPr>
          <w:color w:val="auto"/>
        </w:rPr>
      </w:pPr>
      <w:r>
        <w:rPr>
          <w:rFonts w:hint="eastAsia"/>
          <w:color w:val="auto"/>
        </w:rPr>
        <w:t>（4）社会保障资金缴纳证明：提供供应商2021年1月1日以来至少一个月已缴纳的社会保障资金缴存单据或社保机构开具的社会保险参保缴费情况证明；依法不需要缴纳社会保障资金的供应商应提供加盖公章的相关证明文件。</w:t>
      </w:r>
    </w:p>
    <w:p>
      <w:pPr>
        <w:pStyle w:val="31"/>
        <w:spacing w:before="0" w:beforeAutospacing="0" w:after="0" w:afterAutospacing="0" w:line="360" w:lineRule="auto"/>
        <w:rPr>
          <w:color w:val="auto"/>
        </w:rPr>
      </w:pPr>
      <w:r>
        <w:rPr>
          <w:rFonts w:hint="eastAsia"/>
          <w:color w:val="auto"/>
        </w:rPr>
        <w:t>（5）税收缴纳证明：提供供应商2021年1月1日以来已缴纳的至少一个月的纳税证明或完税证明，依法免税的供应商应提供加盖公章的相关证明文件。</w:t>
      </w:r>
    </w:p>
    <w:p>
      <w:pPr>
        <w:pStyle w:val="31"/>
        <w:spacing w:before="0" w:beforeAutospacing="0" w:after="0" w:afterAutospacing="0" w:line="360" w:lineRule="auto"/>
        <w:rPr>
          <w:color w:val="auto"/>
        </w:rPr>
      </w:pPr>
      <w:r>
        <w:rPr>
          <w:rFonts w:hint="eastAsia"/>
          <w:color w:val="auto"/>
        </w:rPr>
        <w:t>（6）响应单位须具备乙级测绘及以上资质，拟派往项目负责人须为注册测绘师；</w:t>
      </w:r>
    </w:p>
    <w:p>
      <w:pPr>
        <w:pStyle w:val="31"/>
        <w:spacing w:before="0" w:beforeAutospacing="0" w:after="0" w:afterAutospacing="0" w:line="360" w:lineRule="auto"/>
        <w:rPr>
          <w:color w:val="auto"/>
        </w:rPr>
      </w:pPr>
      <w:r>
        <w:rPr>
          <w:rFonts w:hint="eastAsia"/>
          <w:color w:val="auto"/>
        </w:rPr>
        <w:t>（7）</w:t>
      </w:r>
      <w:r>
        <w:rPr>
          <w:rFonts w:hint="eastAsia"/>
          <w:color w:val="auto"/>
          <w:lang w:val="zh-CN"/>
        </w:rPr>
        <w:t>具备履行合同所必需的设备和专业技术能力的证明材料(由供应商根据项目需求提供说明材料或者承诺)</w:t>
      </w:r>
    </w:p>
    <w:p>
      <w:pPr>
        <w:pStyle w:val="31"/>
        <w:spacing w:before="0" w:beforeAutospacing="0" w:after="0" w:afterAutospacing="0" w:line="360" w:lineRule="auto"/>
        <w:rPr>
          <w:color w:val="auto"/>
        </w:rPr>
      </w:pPr>
      <w:r>
        <w:rPr>
          <w:rFonts w:hint="eastAsia"/>
          <w:color w:val="auto"/>
        </w:rPr>
        <w:t>（8）书面信用声明：参加本次政府采购活动前3年内在经营活动中没有重大违纪、未被列入失信被执行人、重大税收违法案件当事人名单、政府采购严重违法失信行为记录名单的书面声明。开标评审将登陆“信用中国”网站（</w:t>
      </w:r>
      <w:r>
        <w:rPr>
          <w:rFonts w:hint="eastAsia"/>
          <w:color w:val="auto"/>
        </w:rPr>
        <w:drawing>
          <wp:inline distT="0" distB="0" distL="114300" distR="114300">
            <wp:extent cx="190500" cy="139700"/>
            <wp:effectExtent l="0" t="0" r="0" b="12700"/>
            <wp:docPr id="12" name="图片 1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IMG_257"/>
                    <pic:cNvPicPr>
                      <a:picLocks noChangeAspect="1"/>
                    </pic:cNvPicPr>
                  </pic:nvPicPr>
                  <pic:blipFill>
                    <a:blip r:embed="rId10" cstate="print"/>
                    <a:stretch>
                      <a:fillRect/>
                    </a:stretch>
                  </pic:blipFill>
                  <pic:spPr>
                    <a:xfrm>
                      <a:off x="0" y="0"/>
                      <a:ext cx="190500" cy="139700"/>
                    </a:xfrm>
                    <a:prstGeom prst="rect">
                      <a:avLst/>
                    </a:prstGeom>
                    <a:noFill/>
                    <a:ln>
                      <a:noFill/>
                    </a:ln>
                  </pic:spPr>
                </pic:pic>
              </a:graphicData>
            </a:graphic>
          </wp:inline>
        </w:drawing>
      </w:r>
      <w:r>
        <w:rPr>
          <w:rFonts w:hint="eastAsia"/>
          <w:color w:val="auto"/>
        </w:rPr>
        <w:t>www.creditchina.gov.cn）和“中国政府采购网”（</w:t>
      </w:r>
      <w:r>
        <w:rPr>
          <w:rFonts w:hint="eastAsia"/>
          <w:color w:val="auto"/>
        </w:rPr>
        <w:drawing>
          <wp:inline distT="0" distB="0" distL="114300" distR="114300">
            <wp:extent cx="190500" cy="139700"/>
            <wp:effectExtent l="0" t="0" r="0" b="12700"/>
            <wp:docPr id="14" name="图片 14"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IMG_257"/>
                    <pic:cNvPicPr>
                      <a:picLocks noChangeAspect="1"/>
                    </pic:cNvPicPr>
                  </pic:nvPicPr>
                  <pic:blipFill>
                    <a:blip r:embed="rId10" cstate="print"/>
                    <a:stretch>
                      <a:fillRect/>
                    </a:stretch>
                  </pic:blipFill>
                  <pic:spPr>
                    <a:xfrm>
                      <a:off x="0" y="0"/>
                      <a:ext cx="190500" cy="139700"/>
                    </a:xfrm>
                    <a:prstGeom prst="rect">
                      <a:avLst/>
                    </a:prstGeom>
                    <a:noFill/>
                    <a:ln>
                      <a:noFill/>
                    </a:ln>
                  </pic:spPr>
                </pic:pic>
              </a:graphicData>
            </a:graphic>
          </wp:inline>
        </w:drawing>
      </w:r>
      <w:r>
        <w:rPr>
          <w:rFonts w:hint="eastAsia"/>
          <w:color w:val="auto"/>
        </w:rPr>
        <w:t>www.ccgp.gov.cn）进行审查。</w:t>
      </w:r>
    </w:p>
    <w:p>
      <w:pPr>
        <w:pStyle w:val="31"/>
        <w:spacing w:before="0" w:beforeAutospacing="0" w:after="0" w:afterAutospacing="0" w:line="360" w:lineRule="auto"/>
        <w:rPr>
          <w:color w:val="auto"/>
        </w:rPr>
      </w:pPr>
      <w:r>
        <w:rPr>
          <w:rFonts w:hint="eastAsia"/>
          <w:color w:val="auto"/>
        </w:rPr>
        <w:t>注：事业单位法人参与投标可不提供财务状况报告、社会保障资金缴纳证明及税收缴纳证明。</w:t>
      </w:r>
    </w:p>
    <w:p>
      <w:pPr>
        <w:pStyle w:val="31"/>
        <w:spacing w:before="0" w:beforeAutospacing="0" w:after="0" w:afterAutospacing="0" w:line="360" w:lineRule="auto"/>
        <w:rPr>
          <w:color w:val="auto"/>
        </w:rPr>
      </w:pPr>
      <w:r>
        <w:rPr>
          <w:rFonts w:hint="eastAsia"/>
          <w:color w:val="auto"/>
        </w:rPr>
        <w:t>（9）单位负责人为同一人或者存在控股、管理关系的不同单位不得同时参加同一项目投标；</w:t>
      </w:r>
    </w:p>
    <w:p>
      <w:pPr>
        <w:pStyle w:val="31"/>
        <w:spacing w:before="0" w:beforeAutospacing="0" w:after="0" w:afterAutospacing="0" w:line="360" w:lineRule="auto"/>
        <w:outlineLvl w:val="1"/>
        <w:rPr>
          <w:b/>
          <w:bCs/>
          <w:color w:val="auto"/>
        </w:rPr>
      </w:pPr>
      <w:r>
        <w:rPr>
          <w:b/>
          <w:bCs/>
          <w:color w:val="auto"/>
          <w:lang w:bidi="ar"/>
        </w:rPr>
        <w:t xml:space="preserve">三、 </w:t>
      </w:r>
      <w:r>
        <w:rPr>
          <w:rFonts w:hint="eastAsia"/>
          <w:b/>
          <w:bCs/>
          <w:color w:val="auto"/>
          <w:lang w:bidi="ar"/>
        </w:rPr>
        <w:t>竞争性磋商文件</w:t>
      </w:r>
      <w:r>
        <w:rPr>
          <w:b/>
          <w:bCs/>
          <w:color w:val="auto"/>
          <w:lang w:bidi="ar"/>
        </w:rPr>
        <w:t xml:space="preserve">的获取方式 </w:t>
      </w:r>
    </w:p>
    <w:p>
      <w:pPr>
        <w:pStyle w:val="31"/>
        <w:spacing w:before="0" w:beforeAutospacing="0" w:after="0" w:afterAutospacing="0" w:line="360" w:lineRule="auto"/>
        <w:ind w:firstLine="420"/>
        <w:rPr>
          <w:color w:val="auto"/>
        </w:rPr>
      </w:pPr>
      <w:r>
        <w:rPr>
          <w:color w:val="auto"/>
        </w:rPr>
        <w:t>时间：即日起至202</w:t>
      </w:r>
      <w:r>
        <w:rPr>
          <w:rFonts w:hint="eastAsia"/>
          <w:color w:val="auto"/>
        </w:rPr>
        <w:t>2</w:t>
      </w:r>
      <w:r>
        <w:rPr>
          <w:color w:val="auto"/>
        </w:rPr>
        <w:t>-</w:t>
      </w:r>
      <w:r>
        <w:rPr>
          <w:rFonts w:hint="eastAsia"/>
          <w:color w:val="auto"/>
        </w:rPr>
        <w:t>03</w:t>
      </w:r>
      <w:r>
        <w:rPr>
          <w:color w:val="auto"/>
        </w:rPr>
        <w:t>-</w:t>
      </w:r>
      <w:r>
        <w:rPr>
          <w:rFonts w:hint="eastAsia"/>
          <w:color w:val="auto"/>
        </w:rPr>
        <w:t>29 16</w:t>
      </w:r>
      <w:r>
        <w:rPr>
          <w:color w:val="auto"/>
        </w:rPr>
        <w:t>:</w:t>
      </w:r>
      <w:r>
        <w:rPr>
          <w:rFonts w:hint="eastAsia"/>
          <w:color w:val="auto"/>
        </w:rPr>
        <w:t>00</w:t>
      </w:r>
      <w:r>
        <w:rPr>
          <w:color w:val="auto"/>
        </w:rPr>
        <w:t>止</w:t>
      </w:r>
    </w:p>
    <w:p>
      <w:pPr>
        <w:pStyle w:val="31"/>
        <w:spacing w:before="0" w:beforeAutospacing="0" w:after="0" w:afterAutospacing="0" w:line="360" w:lineRule="auto"/>
        <w:ind w:firstLine="420"/>
        <w:rPr>
          <w:bCs/>
          <w:color w:val="auto"/>
          <w:lang w:bidi="ar"/>
        </w:rPr>
      </w:pPr>
      <w:r>
        <w:rPr>
          <w:color w:val="auto"/>
        </w:rPr>
        <w:t>地点：</w:t>
      </w:r>
      <w:r>
        <w:rPr>
          <w:rFonts w:hint="eastAsia"/>
          <w:bCs/>
          <w:color w:val="auto"/>
          <w:lang w:bidi="ar"/>
        </w:rPr>
        <w:t>西安市雁塔区科技五路8号数字大厦5楼508室</w:t>
      </w:r>
    </w:p>
    <w:p>
      <w:pPr>
        <w:pStyle w:val="31"/>
        <w:spacing w:before="0" w:beforeAutospacing="0" w:after="0" w:afterAutospacing="0" w:line="360" w:lineRule="auto"/>
        <w:ind w:firstLine="420"/>
        <w:rPr>
          <w:color w:val="auto"/>
        </w:rPr>
      </w:pPr>
      <w:r>
        <w:rPr>
          <w:color w:val="auto"/>
        </w:rPr>
        <w:t>方式：现场获取/邮寄</w:t>
      </w:r>
    </w:p>
    <w:p>
      <w:pPr>
        <w:pStyle w:val="31"/>
        <w:spacing w:before="0" w:beforeAutospacing="0" w:after="0" w:afterAutospacing="0" w:line="360" w:lineRule="auto"/>
        <w:ind w:firstLine="420"/>
        <w:rPr>
          <w:color w:val="auto"/>
        </w:rPr>
      </w:pPr>
      <w:r>
        <w:rPr>
          <w:color w:val="auto"/>
        </w:rPr>
        <w:t>售价：</w:t>
      </w:r>
      <w:r>
        <w:rPr>
          <w:rFonts w:hint="eastAsia"/>
          <w:color w:val="auto"/>
        </w:rPr>
        <w:t>免费赠送</w:t>
      </w:r>
    </w:p>
    <w:p>
      <w:pPr>
        <w:pStyle w:val="33"/>
        <w:spacing w:line="360" w:lineRule="auto"/>
        <w:ind w:firstLine="480" w:firstLineChars="200"/>
      </w:pPr>
      <w:r>
        <w:rPr>
          <w:rFonts w:hint="eastAsia" w:ascii="宋体" w:hAnsi="宋体" w:cs="宋体"/>
          <w:bCs/>
          <w:szCs w:val="24"/>
        </w:rPr>
        <w:t>注：获取竞争性磋商文件请携带单位介绍信原件、经办人身份证复印件加盖公章（谢绝邮寄）。</w:t>
      </w:r>
    </w:p>
    <w:p>
      <w:pPr>
        <w:pStyle w:val="31"/>
        <w:spacing w:before="0" w:beforeAutospacing="0" w:after="0" w:afterAutospacing="0" w:line="360" w:lineRule="auto"/>
        <w:outlineLvl w:val="1"/>
        <w:rPr>
          <w:color w:val="auto"/>
        </w:rPr>
      </w:pPr>
      <w:r>
        <w:rPr>
          <w:b/>
          <w:color w:val="auto"/>
          <w:lang w:bidi="ar"/>
        </w:rPr>
        <w:t xml:space="preserve">四、 响应文件递交 </w:t>
      </w:r>
    </w:p>
    <w:p>
      <w:pPr>
        <w:pStyle w:val="31"/>
        <w:spacing w:before="0" w:beforeAutospacing="0" w:after="0" w:afterAutospacing="0" w:line="360" w:lineRule="auto"/>
        <w:ind w:firstLine="420"/>
        <w:rPr>
          <w:color w:val="auto"/>
        </w:rPr>
      </w:pPr>
      <w:r>
        <w:rPr>
          <w:color w:val="auto"/>
        </w:rPr>
        <w:t>截止时间：</w:t>
      </w:r>
      <w:r>
        <w:rPr>
          <w:rFonts w:hint="eastAsia"/>
          <w:color w:val="auto"/>
        </w:rPr>
        <w:t>2022-04-02  09:30:00</w:t>
      </w:r>
    </w:p>
    <w:p>
      <w:pPr>
        <w:pStyle w:val="31"/>
        <w:spacing w:before="0" w:beforeAutospacing="0" w:after="0" w:afterAutospacing="0" w:line="360" w:lineRule="auto"/>
        <w:ind w:firstLine="420"/>
        <w:rPr>
          <w:color w:val="C00000"/>
        </w:rPr>
      </w:pPr>
      <w:r>
        <w:rPr>
          <w:color w:val="auto"/>
        </w:rPr>
        <w:t>地点：</w:t>
      </w:r>
      <w:r>
        <w:rPr>
          <w:rFonts w:hint="eastAsia"/>
          <w:color w:val="auto"/>
        </w:rPr>
        <w:t>西安市雁塔区科技五路8号数字大厦十层会议室</w:t>
      </w:r>
    </w:p>
    <w:p>
      <w:pPr>
        <w:pStyle w:val="31"/>
        <w:spacing w:before="0" w:beforeAutospacing="0" w:after="0" w:afterAutospacing="0" w:line="360" w:lineRule="auto"/>
        <w:outlineLvl w:val="1"/>
        <w:rPr>
          <w:color w:val="auto"/>
        </w:rPr>
      </w:pPr>
      <w:r>
        <w:rPr>
          <w:b/>
          <w:color w:val="auto"/>
          <w:lang w:bidi="ar"/>
        </w:rPr>
        <w:t>五、公告期限</w:t>
      </w:r>
    </w:p>
    <w:p>
      <w:pPr>
        <w:pStyle w:val="31"/>
        <w:spacing w:before="0" w:beforeAutospacing="0" w:after="0" w:afterAutospacing="0" w:line="360" w:lineRule="auto"/>
        <w:ind w:firstLine="420"/>
        <w:rPr>
          <w:color w:val="auto"/>
        </w:rPr>
      </w:pPr>
      <w:r>
        <w:rPr>
          <w:color w:val="auto"/>
        </w:rPr>
        <w:t>自本公告发布之日起</w:t>
      </w:r>
      <w:r>
        <w:rPr>
          <w:rFonts w:hint="eastAsia"/>
          <w:color w:val="auto"/>
        </w:rPr>
        <w:t>5</w:t>
      </w:r>
      <w:r>
        <w:rPr>
          <w:color w:val="auto"/>
        </w:rPr>
        <w:t>个工作日。</w:t>
      </w:r>
    </w:p>
    <w:p>
      <w:pPr>
        <w:pStyle w:val="31"/>
        <w:numPr>
          <w:ilvl w:val="0"/>
          <w:numId w:val="4"/>
        </w:numPr>
        <w:spacing w:before="0" w:beforeAutospacing="0" w:after="0" w:afterAutospacing="0" w:line="360" w:lineRule="auto"/>
        <w:outlineLvl w:val="1"/>
        <w:rPr>
          <w:b/>
          <w:color w:val="auto"/>
          <w:lang w:bidi="ar"/>
        </w:rPr>
      </w:pPr>
      <w:r>
        <w:rPr>
          <w:b/>
          <w:color w:val="auto"/>
          <w:lang w:bidi="ar"/>
        </w:rPr>
        <w:t>其他补充事宜</w:t>
      </w:r>
    </w:p>
    <w:p>
      <w:pPr>
        <w:pStyle w:val="31"/>
        <w:numPr>
          <w:ilvl w:val="0"/>
          <w:numId w:val="5"/>
        </w:numPr>
        <w:spacing w:before="0" w:beforeAutospacing="0" w:after="0" w:afterAutospacing="0" w:line="360" w:lineRule="auto"/>
        <w:ind w:firstLine="480" w:firstLineChars="200"/>
        <w:rPr>
          <w:color w:val="auto"/>
        </w:rPr>
      </w:pPr>
      <w:r>
        <w:rPr>
          <w:rFonts w:hint="eastAsia"/>
          <w:color w:val="auto"/>
        </w:rPr>
        <w:t>请供应商按照陕西省财政厅关于政府采购供应商注册登记有关事项的通知中的要求，通过陕西省政府采购网（</w:t>
      </w:r>
      <w:r>
        <w:rPr>
          <w:rFonts w:hint="eastAsia"/>
          <w:color w:val="auto"/>
        </w:rPr>
        <w:drawing>
          <wp:inline distT="0" distB="0" distL="114300" distR="114300">
            <wp:extent cx="190500" cy="142875"/>
            <wp:effectExtent l="0" t="0" r="0" b="9525"/>
            <wp:docPr id="1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descr="IMG_256"/>
                    <pic:cNvPicPr>
                      <a:picLocks noChangeAspect="1"/>
                    </pic:cNvPicPr>
                  </pic:nvPicPr>
                  <pic:blipFill>
                    <a:blip r:embed="rId10"/>
                    <a:stretch>
                      <a:fillRect/>
                    </a:stretch>
                  </pic:blipFill>
                  <pic:spPr>
                    <a:xfrm>
                      <a:off x="0" y="0"/>
                      <a:ext cx="190500" cy="142875"/>
                    </a:xfrm>
                    <a:prstGeom prst="rect">
                      <a:avLst/>
                    </a:prstGeom>
                    <a:noFill/>
                    <a:ln w="9525">
                      <a:noFill/>
                    </a:ln>
                  </pic:spPr>
                </pic:pic>
              </a:graphicData>
            </a:graphic>
          </wp:inline>
        </w:drawing>
      </w:r>
      <w:r>
        <w:rPr>
          <w:rFonts w:hint="eastAsia"/>
          <w:color w:val="auto"/>
        </w:rPr>
        <w:t>http://www.ccgp-shaanxi.gov.cn/）注册登记加入陕西省政府采购供应商库。</w:t>
      </w:r>
    </w:p>
    <w:p>
      <w:pPr>
        <w:pStyle w:val="31"/>
        <w:numPr>
          <w:ilvl w:val="0"/>
          <w:numId w:val="5"/>
        </w:numPr>
        <w:spacing w:before="0" w:beforeAutospacing="0" w:after="0" w:afterAutospacing="0" w:line="360" w:lineRule="auto"/>
        <w:ind w:firstLine="480" w:firstLineChars="200"/>
        <w:rPr>
          <w:color w:val="auto"/>
        </w:rPr>
      </w:pPr>
      <w:r>
        <w:rPr>
          <w:rFonts w:hint="eastAsia"/>
          <w:color w:val="auto"/>
        </w:rPr>
        <w:t>由于疫情影响，在开标当天响应供应商仅1人（法定代表人或</w:t>
      </w:r>
      <w:r>
        <w:rPr>
          <w:rFonts w:hint="eastAsia"/>
          <w:color w:val="auto"/>
          <w:lang w:val="zh-CN"/>
        </w:rPr>
        <w:t>授权代表</w:t>
      </w:r>
      <w:r>
        <w:rPr>
          <w:rFonts w:hint="eastAsia"/>
          <w:color w:val="auto"/>
        </w:rPr>
        <w:t>）参加开标会议。</w:t>
      </w:r>
    </w:p>
    <w:p>
      <w:pPr>
        <w:pStyle w:val="31"/>
        <w:spacing w:before="0" w:beforeAutospacing="0" w:after="0" w:afterAutospacing="0" w:line="360" w:lineRule="auto"/>
        <w:outlineLvl w:val="1"/>
        <w:rPr>
          <w:color w:val="auto"/>
        </w:rPr>
      </w:pPr>
      <w:r>
        <w:rPr>
          <w:b/>
          <w:color w:val="auto"/>
          <w:lang w:bidi="ar"/>
        </w:rPr>
        <w:t xml:space="preserve">七、对本次招标提出询问，请按以下方式联系。 </w:t>
      </w:r>
    </w:p>
    <w:p>
      <w:pPr>
        <w:pStyle w:val="31"/>
        <w:spacing w:before="0" w:beforeAutospacing="0" w:after="0" w:afterAutospacing="0" w:line="360" w:lineRule="auto"/>
        <w:ind w:firstLine="420"/>
        <w:outlineLvl w:val="2"/>
        <w:rPr>
          <w:color w:val="333333"/>
        </w:rPr>
      </w:pPr>
      <w:r>
        <w:rPr>
          <w:color w:val="auto"/>
        </w:rPr>
        <w:t>1、采购人信息：</w:t>
      </w:r>
      <w:r>
        <w:rPr>
          <w:rFonts w:hint="eastAsia"/>
          <w:color w:val="auto"/>
        </w:rPr>
        <w:t>西安市莲湖区城市管理和综合执法局</w:t>
      </w:r>
    </w:p>
    <w:p>
      <w:pPr>
        <w:pStyle w:val="31"/>
        <w:spacing w:before="0" w:beforeAutospacing="0" w:after="0" w:afterAutospacing="0" w:line="360" w:lineRule="auto"/>
        <w:ind w:firstLine="420"/>
        <w:rPr>
          <w:color w:val="auto"/>
        </w:rPr>
      </w:pPr>
      <w:r>
        <w:rPr>
          <w:color w:val="auto"/>
        </w:rPr>
        <w:t>联系人</w:t>
      </w:r>
      <w:r>
        <w:rPr>
          <w:rFonts w:hint="eastAsia"/>
          <w:color w:val="auto"/>
        </w:rPr>
        <w:t>：孙老师</w:t>
      </w:r>
    </w:p>
    <w:p>
      <w:pPr>
        <w:pStyle w:val="31"/>
        <w:spacing w:before="0" w:beforeAutospacing="0" w:after="0" w:afterAutospacing="0" w:line="360" w:lineRule="auto"/>
        <w:ind w:firstLine="420"/>
        <w:rPr>
          <w:color w:val="0000FF"/>
        </w:rPr>
      </w:pPr>
      <w:r>
        <w:rPr>
          <w:color w:val="auto"/>
        </w:rPr>
        <w:t>联系地址：</w:t>
      </w:r>
      <w:r>
        <w:rPr>
          <w:rFonts w:hint="eastAsia"/>
          <w:color w:val="auto"/>
        </w:rPr>
        <w:t>西安市莲湖区红埠街33号</w:t>
      </w:r>
    </w:p>
    <w:p>
      <w:pPr>
        <w:pStyle w:val="31"/>
        <w:spacing w:before="0" w:beforeAutospacing="0" w:after="0" w:afterAutospacing="0" w:line="360" w:lineRule="auto"/>
        <w:ind w:firstLine="420"/>
        <w:rPr>
          <w:rFonts w:hint="eastAsia" w:eastAsia="宋体"/>
          <w:color w:val="C00000"/>
          <w:lang w:eastAsia="zh-CN"/>
        </w:rPr>
      </w:pPr>
      <w:r>
        <w:rPr>
          <w:color w:val="auto"/>
        </w:rPr>
        <w:t>联系电话：</w:t>
      </w:r>
      <w:r>
        <w:rPr>
          <w:rFonts w:hint="eastAsia"/>
          <w:color w:val="auto"/>
          <w:lang w:eastAsia="zh-CN"/>
        </w:rPr>
        <w:t>029-89621609</w:t>
      </w:r>
    </w:p>
    <w:p>
      <w:pPr>
        <w:pStyle w:val="31"/>
        <w:spacing w:before="0" w:beforeAutospacing="0" w:after="0" w:afterAutospacing="0" w:line="360" w:lineRule="auto"/>
        <w:ind w:firstLine="420"/>
        <w:outlineLvl w:val="2"/>
        <w:rPr>
          <w:color w:val="auto"/>
        </w:rPr>
      </w:pPr>
      <w:r>
        <w:rPr>
          <w:color w:val="auto"/>
        </w:rPr>
        <w:t>2、项目联系方式</w:t>
      </w:r>
    </w:p>
    <w:p>
      <w:pPr>
        <w:pStyle w:val="31"/>
        <w:spacing w:before="0" w:beforeAutospacing="0" w:after="0" w:afterAutospacing="0" w:line="360" w:lineRule="auto"/>
        <w:ind w:firstLine="420"/>
        <w:rPr>
          <w:color w:val="auto"/>
        </w:rPr>
      </w:pPr>
      <w:r>
        <w:rPr>
          <w:color w:val="auto"/>
        </w:rPr>
        <w:t>项目联系人：</w:t>
      </w:r>
      <w:r>
        <w:rPr>
          <w:rFonts w:hint="eastAsia"/>
          <w:color w:val="auto"/>
        </w:rPr>
        <w:t>刘金杰</w:t>
      </w:r>
    </w:p>
    <w:p>
      <w:pPr>
        <w:pStyle w:val="31"/>
        <w:spacing w:before="0" w:beforeAutospacing="0" w:after="0" w:afterAutospacing="0" w:line="360" w:lineRule="auto"/>
        <w:ind w:firstLine="420"/>
        <w:rPr>
          <w:color w:val="auto"/>
        </w:rPr>
      </w:pPr>
      <w:r>
        <w:rPr>
          <w:color w:val="auto"/>
        </w:rPr>
        <w:t>电 话：029-88228984</w:t>
      </w:r>
    </w:p>
    <w:p>
      <w:pPr>
        <w:pStyle w:val="31"/>
        <w:spacing w:before="0" w:beforeAutospacing="0" w:after="0" w:afterAutospacing="0" w:line="360" w:lineRule="auto"/>
        <w:ind w:firstLine="420"/>
        <w:outlineLvl w:val="2"/>
        <w:rPr>
          <w:color w:val="auto"/>
        </w:rPr>
      </w:pPr>
      <w:r>
        <w:rPr>
          <w:color w:val="auto"/>
        </w:rPr>
        <w:t>3、采购代理机构信息</w:t>
      </w:r>
    </w:p>
    <w:p>
      <w:pPr>
        <w:pStyle w:val="31"/>
        <w:spacing w:before="0" w:beforeAutospacing="0" w:after="0" w:afterAutospacing="0" w:line="360" w:lineRule="auto"/>
        <w:ind w:firstLine="420"/>
        <w:rPr>
          <w:color w:val="auto"/>
        </w:rPr>
      </w:pPr>
      <w:r>
        <w:rPr>
          <w:color w:val="auto"/>
        </w:rPr>
        <w:t>名称：陕西源丰成工程项目管理有限公司</w:t>
      </w:r>
    </w:p>
    <w:p>
      <w:pPr>
        <w:pStyle w:val="31"/>
        <w:spacing w:before="0" w:beforeAutospacing="0" w:after="0" w:afterAutospacing="0" w:line="360" w:lineRule="auto"/>
        <w:ind w:firstLine="420"/>
        <w:rPr>
          <w:color w:val="auto"/>
        </w:rPr>
      </w:pPr>
      <w:r>
        <w:rPr>
          <w:color w:val="auto"/>
        </w:rPr>
        <w:t>联系地址：西安市雁塔区科技五路8号数字大厦5楼508室</w:t>
      </w:r>
    </w:p>
    <w:p>
      <w:pPr>
        <w:spacing w:line="360" w:lineRule="auto"/>
        <w:ind w:firstLine="480" w:firstLineChars="200"/>
        <w:rPr>
          <w:rFonts w:hAnsi="宋体" w:cs="宋体"/>
          <w:szCs w:val="24"/>
        </w:rPr>
      </w:pPr>
      <w:r>
        <w:rPr>
          <w:rFonts w:hint="eastAsia" w:ascii="宋体" w:hAnsi="宋体" w:cs="宋体"/>
        </w:rPr>
        <w:t>　</w:t>
      </w:r>
      <w:r>
        <w:rPr>
          <w:rFonts w:hint="eastAsia" w:ascii="宋体" w:hAnsi="宋体" w:cs="宋体"/>
        </w:rPr>
        <w:br w:type="page"/>
      </w:r>
    </w:p>
    <w:p>
      <w:pPr>
        <w:pStyle w:val="3"/>
      </w:pPr>
      <w:bookmarkStart w:id="5" w:name="_Toc89440022"/>
      <w:r>
        <w:rPr>
          <w:rFonts w:hint="eastAsia"/>
        </w:rPr>
        <w:t>第二章 供应商须知</w:t>
      </w:r>
      <w:bookmarkStart w:id="6" w:name="_Toc16257"/>
      <w:r>
        <w:rPr>
          <w:rFonts w:hint="eastAsia"/>
        </w:rPr>
        <w:t>前附表</w:t>
      </w:r>
      <w:bookmarkEnd w:id="4"/>
      <w:bookmarkEnd w:id="5"/>
    </w:p>
    <w:tbl>
      <w:tblPr>
        <w:tblStyle w:val="35"/>
        <w:tblW w:w="9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542"/>
        <w:gridCol w:w="6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860" w:type="dxa"/>
            <w:vAlign w:val="center"/>
          </w:tcPr>
          <w:p>
            <w:pPr>
              <w:jc w:val="center"/>
              <w:rPr>
                <w:rFonts w:ascii="宋体" w:hAnsi="宋体" w:cs="宋体"/>
                <w:b/>
                <w:bCs/>
                <w:szCs w:val="24"/>
              </w:rPr>
            </w:pPr>
            <w:r>
              <w:rPr>
                <w:rFonts w:hint="eastAsia" w:ascii="宋体" w:hAnsi="宋体" w:cs="宋体"/>
                <w:b/>
                <w:bCs/>
                <w:szCs w:val="24"/>
              </w:rPr>
              <w:t>项号</w:t>
            </w:r>
          </w:p>
        </w:tc>
        <w:tc>
          <w:tcPr>
            <w:tcW w:w="1542" w:type="dxa"/>
            <w:vAlign w:val="center"/>
          </w:tcPr>
          <w:p>
            <w:pPr>
              <w:jc w:val="center"/>
              <w:rPr>
                <w:rFonts w:ascii="宋体" w:hAnsi="宋体" w:cs="宋体"/>
                <w:b/>
                <w:bCs/>
                <w:szCs w:val="24"/>
              </w:rPr>
            </w:pPr>
            <w:r>
              <w:rPr>
                <w:rFonts w:hint="eastAsia" w:ascii="宋体" w:hAnsi="宋体" w:cs="宋体"/>
                <w:b/>
                <w:bCs/>
                <w:szCs w:val="24"/>
              </w:rPr>
              <w:t>条 款</w:t>
            </w:r>
          </w:p>
        </w:tc>
        <w:tc>
          <w:tcPr>
            <w:tcW w:w="6970" w:type="dxa"/>
            <w:vAlign w:val="center"/>
          </w:tcPr>
          <w:p>
            <w:pPr>
              <w:jc w:val="center"/>
              <w:rPr>
                <w:rFonts w:ascii="宋体" w:hAnsi="宋体" w:cs="宋体"/>
                <w:b/>
                <w:bCs/>
                <w:szCs w:val="24"/>
              </w:rPr>
            </w:pPr>
            <w:r>
              <w:rPr>
                <w:rFonts w:hint="eastAsia" w:ascii="宋体" w:hAnsi="宋体" w:cs="宋体"/>
                <w:b/>
                <w:bCs/>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60" w:type="dxa"/>
            <w:vAlign w:val="center"/>
          </w:tcPr>
          <w:p>
            <w:pPr>
              <w:jc w:val="center"/>
              <w:rPr>
                <w:rFonts w:ascii="宋体" w:hAnsi="宋体" w:cs="宋体"/>
                <w:szCs w:val="24"/>
              </w:rPr>
            </w:pPr>
            <w:r>
              <w:rPr>
                <w:rFonts w:hint="eastAsia" w:ascii="宋体" w:hAnsi="宋体" w:cs="宋体"/>
                <w:szCs w:val="24"/>
              </w:rPr>
              <w:t>1</w:t>
            </w:r>
          </w:p>
        </w:tc>
        <w:tc>
          <w:tcPr>
            <w:tcW w:w="1542" w:type="dxa"/>
            <w:vAlign w:val="center"/>
          </w:tcPr>
          <w:p>
            <w:pPr>
              <w:jc w:val="center"/>
              <w:rPr>
                <w:rFonts w:ascii="宋体" w:hAnsi="宋体" w:cs="宋体"/>
                <w:szCs w:val="24"/>
              </w:rPr>
            </w:pPr>
            <w:r>
              <w:rPr>
                <w:rFonts w:hint="eastAsia" w:ascii="宋体" w:hAnsi="宋体" w:cs="宋体"/>
                <w:szCs w:val="24"/>
              </w:rPr>
              <w:t>项目名称</w:t>
            </w:r>
          </w:p>
        </w:tc>
        <w:tc>
          <w:tcPr>
            <w:tcW w:w="6970" w:type="dxa"/>
            <w:vAlign w:val="center"/>
          </w:tcPr>
          <w:p>
            <w:pPr>
              <w:rPr>
                <w:rFonts w:ascii="宋体" w:hAnsi="宋体" w:cs="宋体"/>
                <w:szCs w:val="24"/>
              </w:rPr>
            </w:pPr>
            <w:r>
              <w:rPr>
                <w:rFonts w:hint="eastAsia" w:ascii="宋体" w:hAnsi="宋体" w:cs="宋体"/>
                <w:szCs w:val="24"/>
              </w:rPr>
              <w:t>莲湖区市政设施调查项目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60" w:type="dxa"/>
            <w:vAlign w:val="center"/>
          </w:tcPr>
          <w:p>
            <w:pPr>
              <w:jc w:val="center"/>
              <w:rPr>
                <w:rFonts w:ascii="宋体" w:hAnsi="宋体" w:cs="宋体"/>
                <w:szCs w:val="24"/>
              </w:rPr>
            </w:pPr>
            <w:r>
              <w:rPr>
                <w:rFonts w:hint="eastAsia" w:ascii="宋体" w:hAnsi="宋体" w:cs="宋体"/>
                <w:szCs w:val="24"/>
              </w:rPr>
              <w:t>2</w:t>
            </w:r>
          </w:p>
        </w:tc>
        <w:tc>
          <w:tcPr>
            <w:tcW w:w="1542" w:type="dxa"/>
            <w:vAlign w:val="center"/>
          </w:tcPr>
          <w:p>
            <w:pPr>
              <w:jc w:val="center"/>
              <w:rPr>
                <w:rFonts w:ascii="宋体" w:hAnsi="宋体" w:cs="宋体"/>
                <w:szCs w:val="24"/>
              </w:rPr>
            </w:pPr>
            <w:r>
              <w:rPr>
                <w:rFonts w:hint="eastAsia" w:ascii="宋体" w:hAnsi="宋体" w:cs="宋体"/>
                <w:szCs w:val="24"/>
              </w:rPr>
              <w:t>项目编号</w:t>
            </w:r>
          </w:p>
        </w:tc>
        <w:tc>
          <w:tcPr>
            <w:tcW w:w="6970" w:type="dxa"/>
            <w:vAlign w:val="center"/>
          </w:tcPr>
          <w:p>
            <w:pPr>
              <w:jc w:val="left"/>
              <w:rPr>
                <w:rFonts w:ascii="宋体" w:hAnsi="宋体" w:cs="宋体"/>
                <w:szCs w:val="24"/>
              </w:rPr>
            </w:pPr>
            <w:r>
              <w:rPr>
                <w:rFonts w:hint="eastAsia" w:ascii="宋体" w:hAnsi="宋体" w:cs="宋体"/>
                <w:szCs w:val="24"/>
              </w:rPr>
              <w:t>YFC2022-GP-005F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60" w:type="dxa"/>
            <w:vAlign w:val="center"/>
          </w:tcPr>
          <w:p>
            <w:pPr>
              <w:jc w:val="center"/>
              <w:rPr>
                <w:rFonts w:ascii="宋体" w:hAnsi="宋体" w:cs="宋体"/>
                <w:szCs w:val="24"/>
              </w:rPr>
            </w:pPr>
            <w:r>
              <w:rPr>
                <w:rFonts w:hint="eastAsia" w:ascii="宋体" w:hAnsi="宋体" w:cs="宋体"/>
                <w:szCs w:val="24"/>
              </w:rPr>
              <w:t>3</w:t>
            </w:r>
          </w:p>
        </w:tc>
        <w:tc>
          <w:tcPr>
            <w:tcW w:w="1542" w:type="dxa"/>
            <w:vAlign w:val="center"/>
          </w:tcPr>
          <w:p>
            <w:pPr>
              <w:jc w:val="center"/>
              <w:rPr>
                <w:rFonts w:ascii="宋体" w:hAnsi="宋体" w:cs="宋体"/>
                <w:szCs w:val="24"/>
              </w:rPr>
            </w:pPr>
            <w:r>
              <w:rPr>
                <w:rFonts w:hint="eastAsia" w:ascii="宋体" w:hAnsi="宋体" w:cs="宋体"/>
                <w:szCs w:val="24"/>
              </w:rPr>
              <w:t>资金状况</w:t>
            </w:r>
          </w:p>
        </w:tc>
        <w:tc>
          <w:tcPr>
            <w:tcW w:w="6970" w:type="dxa"/>
            <w:vAlign w:val="center"/>
          </w:tcPr>
          <w:p>
            <w:pPr>
              <w:rPr>
                <w:rFonts w:ascii="宋体" w:hAnsi="宋体" w:cs="宋体"/>
                <w:szCs w:val="24"/>
              </w:rPr>
            </w:pPr>
            <w:r>
              <w:rPr>
                <w:rFonts w:hint="eastAsia" w:ascii="宋体" w:hAnsi="宋体" w:cs="宋体"/>
                <w:szCs w:val="24"/>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jc w:val="center"/>
        </w:trPr>
        <w:tc>
          <w:tcPr>
            <w:tcW w:w="860" w:type="dxa"/>
            <w:vAlign w:val="center"/>
          </w:tcPr>
          <w:p>
            <w:pPr>
              <w:jc w:val="center"/>
              <w:rPr>
                <w:rFonts w:ascii="宋体" w:hAnsi="宋体" w:cs="宋体"/>
                <w:szCs w:val="24"/>
              </w:rPr>
            </w:pPr>
            <w:r>
              <w:rPr>
                <w:rFonts w:hint="eastAsia" w:ascii="宋体" w:hAnsi="宋体" w:cs="宋体"/>
                <w:szCs w:val="24"/>
              </w:rPr>
              <w:t>4</w:t>
            </w:r>
          </w:p>
        </w:tc>
        <w:tc>
          <w:tcPr>
            <w:tcW w:w="1542" w:type="dxa"/>
            <w:vAlign w:val="center"/>
          </w:tcPr>
          <w:p>
            <w:pPr>
              <w:jc w:val="center"/>
              <w:rPr>
                <w:rFonts w:ascii="宋体" w:hAnsi="宋体" w:cs="宋体"/>
                <w:szCs w:val="24"/>
              </w:rPr>
            </w:pPr>
            <w:r>
              <w:rPr>
                <w:rFonts w:hint="eastAsia" w:ascii="宋体" w:hAnsi="宋体" w:cs="宋体"/>
                <w:szCs w:val="24"/>
              </w:rPr>
              <w:t>采购人</w:t>
            </w:r>
          </w:p>
        </w:tc>
        <w:tc>
          <w:tcPr>
            <w:tcW w:w="6970" w:type="dxa"/>
            <w:vAlign w:val="center"/>
          </w:tcPr>
          <w:p>
            <w:r>
              <w:rPr>
                <w:rFonts w:hint="eastAsia"/>
              </w:rPr>
              <w:t>名称：西安市莲湖区城市管理和综合执法局　　</w:t>
            </w:r>
          </w:p>
          <w:p>
            <w:r>
              <w:rPr>
                <w:rFonts w:hint="eastAsia"/>
              </w:rPr>
              <w:t>地址：西安市莲湖区红埠街33号</w:t>
            </w:r>
          </w:p>
          <w:p>
            <w:r>
              <w:rPr>
                <w:rFonts w:hint="eastAsia"/>
              </w:rPr>
              <w:t>联系人：孙老师</w:t>
            </w:r>
          </w:p>
          <w:p>
            <w:pPr>
              <w:rPr>
                <w:rFonts w:hint="eastAsia" w:eastAsia="宋体"/>
                <w:lang w:eastAsia="zh-CN"/>
              </w:rPr>
            </w:pPr>
            <w:r>
              <w:rPr>
                <w:rFonts w:hint="eastAsia"/>
              </w:rPr>
              <w:t>联系方式：</w:t>
            </w:r>
            <w:r>
              <w:rPr>
                <w:rFonts w:hint="eastAsia" w:ascii="宋体" w:hAnsi="宋体" w:eastAsia="宋体" w:cs="宋体"/>
                <w:lang w:eastAsia="zh-CN"/>
              </w:rPr>
              <w:t>029-89621609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jc w:val="center"/>
        </w:trPr>
        <w:tc>
          <w:tcPr>
            <w:tcW w:w="860" w:type="dxa"/>
            <w:vAlign w:val="center"/>
          </w:tcPr>
          <w:p>
            <w:pPr>
              <w:jc w:val="center"/>
              <w:rPr>
                <w:rFonts w:ascii="宋体" w:hAnsi="宋体" w:cs="宋体"/>
                <w:szCs w:val="24"/>
              </w:rPr>
            </w:pPr>
            <w:r>
              <w:rPr>
                <w:rFonts w:hint="eastAsia" w:ascii="宋体" w:hAnsi="宋体" w:cs="宋体"/>
                <w:szCs w:val="24"/>
              </w:rPr>
              <w:t>5</w:t>
            </w:r>
          </w:p>
        </w:tc>
        <w:tc>
          <w:tcPr>
            <w:tcW w:w="1542" w:type="dxa"/>
            <w:vAlign w:val="center"/>
          </w:tcPr>
          <w:p>
            <w:pPr>
              <w:pStyle w:val="57"/>
              <w:jc w:val="center"/>
              <w:rPr>
                <w:rFonts w:ascii="宋体" w:hAnsi="宋体" w:cs="宋体"/>
                <w:sz w:val="24"/>
              </w:rPr>
            </w:pPr>
            <w:r>
              <w:rPr>
                <w:rFonts w:hint="eastAsia" w:ascii="宋体" w:hAnsi="宋体" w:cs="宋体"/>
                <w:sz w:val="24"/>
              </w:rPr>
              <w:t>采购代理</w:t>
            </w:r>
          </w:p>
          <w:p>
            <w:pPr>
              <w:pStyle w:val="57"/>
              <w:jc w:val="center"/>
              <w:rPr>
                <w:rFonts w:ascii="宋体" w:hAnsi="宋体" w:cs="宋体"/>
                <w:sz w:val="24"/>
              </w:rPr>
            </w:pPr>
            <w:r>
              <w:rPr>
                <w:rFonts w:hint="eastAsia" w:ascii="宋体" w:hAnsi="宋体" w:cs="宋体"/>
                <w:sz w:val="24"/>
              </w:rPr>
              <w:t>机构</w:t>
            </w:r>
          </w:p>
        </w:tc>
        <w:tc>
          <w:tcPr>
            <w:tcW w:w="6970" w:type="dxa"/>
            <w:vAlign w:val="center"/>
          </w:tcPr>
          <w:p>
            <w:pPr>
              <w:rPr>
                <w:rFonts w:ascii="宋体" w:hAnsi="宋体" w:cs="宋体"/>
                <w:szCs w:val="24"/>
              </w:rPr>
            </w:pPr>
            <w:r>
              <w:rPr>
                <w:rFonts w:hint="eastAsia" w:ascii="宋体" w:hAnsi="宋体" w:cs="宋体"/>
                <w:szCs w:val="24"/>
              </w:rPr>
              <w:t>名称：陕西源丰成工程项目管理有限公司</w:t>
            </w:r>
          </w:p>
          <w:p>
            <w:pPr>
              <w:rPr>
                <w:rFonts w:ascii="宋体" w:hAnsi="宋体" w:cs="宋体"/>
                <w:szCs w:val="24"/>
              </w:rPr>
            </w:pPr>
            <w:r>
              <w:rPr>
                <w:rFonts w:hint="eastAsia" w:ascii="宋体" w:hAnsi="宋体" w:cs="宋体"/>
                <w:szCs w:val="24"/>
              </w:rPr>
              <w:t>地址：西安市雁塔区科技五路8号数字大厦5楼508室</w:t>
            </w:r>
          </w:p>
          <w:p>
            <w:r>
              <w:rPr>
                <w:rFonts w:hint="eastAsia"/>
              </w:rPr>
              <w:t>联系人：刘金杰</w:t>
            </w:r>
          </w:p>
          <w:p>
            <w:pPr>
              <w:rPr>
                <w:rFonts w:ascii="宋体" w:hAnsi="宋体" w:cs="宋体"/>
                <w:szCs w:val="24"/>
              </w:rPr>
            </w:pPr>
            <w:r>
              <w:rPr>
                <w:rFonts w:hint="eastAsia" w:ascii="宋体" w:hAnsi="宋体" w:cs="宋体"/>
                <w:szCs w:val="24"/>
              </w:rPr>
              <w:t>联系方式：029-88228984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860" w:type="dxa"/>
            <w:vAlign w:val="center"/>
          </w:tcPr>
          <w:p>
            <w:pPr>
              <w:jc w:val="center"/>
              <w:rPr>
                <w:rFonts w:ascii="宋体" w:hAnsi="宋体" w:cs="宋体"/>
                <w:szCs w:val="24"/>
              </w:rPr>
            </w:pPr>
            <w:r>
              <w:rPr>
                <w:rFonts w:hint="eastAsia" w:ascii="宋体" w:hAnsi="宋体" w:cs="宋体"/>
                <w:szCs w:val="24"/>
              </w:rPr>
              <w:t>6</w:t>
            </w:r>
          </w:p>
        </w:tc>
        <w:tc>
          <w:tcPr>
            <w:tcW w:w="1542" w:type="dxa"/>
            <w:vAlign w:val="center"/>
          </w:tcPr>
          <w:p>
            <w:pPr>
              <w:jc w:val="center"/>
              <w:rPr>
                <w:rFonts w:ascii="宋体" w:hAnsi="宋体" w:cs="宋体"/>
                <w:szCs w:val="24"/>
              </w:rPr>
            </w:pPr>
            <w:r>
              <w:rPr>
                <w:rFonts w:hint="eastAsia" w:ascii="宋体" w:hAnsi="宋体" w:cs="宋体"/>
                <w:szCs w:val="24"/>
              </w:rPr>
              <w:t>采购内容</w:t>
            </w:r>
          </w:p>
        </w:tc>
        <w:tc>
          <w:tcPr>
            <w:tcW w:w="6970" w:type="dxa"/>
            <w:vAlign w:val="center"/>
          </w:tcPr>
          <w:p>
            <w:pPr>
              <w:rPr>
                <w:rFonts w:ascii="宋体" w:hAnsi="宋体" w:cs="宋体"/>
                <w:szCs w:val="24"/>
              </w:rPr>
            </w:pPr>
            <w:r>
              <w:rPr>
                <w:rFonts w:hint="eastAsia" w:ascii="宋体" w:hAnsi="宋体" w:cs="宋体"/>
                <w:szCs w:val="24"/>
              </w:rPr>
              <w:t>详见第五章采购内容及技术要求。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860" w:type="dxa"/>
            <w:vAlign w:val="center"/>
          </w:tcPr>
          <w:p>
            <w:pPr>
              <w:jc w:val="center"/>
              <w:rPr>
                <w:rFonts w:ascii="宋体" w:hAnsi="宋体" w:cs="宋体"/>
                <w:szCs w:val="24"/>
              </w:rPr>
            </w:pPr>
            <w:r>
              <w:rPr>
                <w:rFonts w:hint="eastAsia" w:ascii="宋体" w:hAnsi="宋体" w:cs="宋体"/>
                <w:szCs w:val="24"/>
              </w:rPr>
              <w:t>7</w:t>
            </w:r>
          </w:p>
        </w:tc>
        <w:tc>
          <w:tcPr>
            <w:tcW w:w="1542" w:type="dxa"/>
            <w:vAlign w:val="center"/>
          </w:tcPr>
          <w:p>
            <w:pPr>
              <w:jc w:val="center"/>
              <w:rPr>
                <w:rFonts w:ascii="宋体" w:hAnsi="宋体" w:cs="宋体"/>
                <w:szCs w:val="24"/>
              </w:rPr>
            </w:pPr>
            <w:r>
              <w:rPr>
                <w:rFonts w:hint="eastAsia" w:ascii="宋体" w:hAnsi="宋体" w:cs="宋体"/>
                <w:szCs w:val="24"/>
              </w:rPr>
              <w:t>最高限价</w:t>
            </w:r>
          </w:p>
        </w:tc>
        <w:tc>
          <w:tcPr>
            <w:tcW w:w="6970" w:type="dxa"/>
            <w:vAlign w:val="center"/>
          </w:tcPr>
          <w:p>
            <w:pPr>
              <w:pStyle w:val="31"/>
              <w:spacing w:before="0" w:beforeAutospacing="0" w:after="0" w:afterAutospacing="0"/>
            </w:pPr>
            <w:r>
              <w:t>385500.00元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860" w:type="dxa"/>
            <w:vAlign w:val="center"/>
          </w:tcPr>
          <w:p>
            <w:pPr>
              <w:jc w:val="center"/>
              <w:rPr>
                <w:rFonts w:ascii="宋体" w:hAnsi="宋体" w:cs="宋体"/>
                <w:szCs w:val="24"/>
              </w:rPr>
            </w:pPr>
            <w:r>
              <w:rPr>
                <w:rFonts w:hint="eastAsia" w:ascii="宋体" w:hAnsi="宋体" w:cs="宋体"/>
                <w:szCs w:val="24"/>
              </w:rPr>
              <w:t>8</w:t>
            </w:r>
          </w:p>
        </w:tc>
        <w:tc>
          <w:tcPr>
            <w:tcW w:w="1542" w:type="dxa"/>
            <w:vAlign w:val="center"/>
          </w:tcPr>
          <w:p>
            <w:pPr>
              <w:jc w:val="center"/>
              <w:rPr>
                <w:rFonts w:ascii="宋体" w:hAnsi="宋体" w:cs="宋体"/>
                <w:szCs w:val="24"/>
              </w:rPr>
            </w:pPr>
            <w:r>
              <w:rPr>
                <w:rFonts w:hint="eastAsia" w:ascii="宋体" w:hAnsi="宋体" w:cs="宋体"/>
                <w:szCs w:val="24"/>
              </w:rPr>
              <w:t>磋商文件</w:t>
            </w:r>
          </w:p>
          <w:p>
            <w:pPr>
              <w:jc w:val="center"/>
              <w:rPr>
                <w:rFonts w:ascii="宋体" w:hAnsi="宋体" w:cs="宋体"/>
                <w:szCs w:val="24"/>
              </w:rPr>
            </w:pPr>
            <w:r>
              <w:rPr>
                <w:rFonts w:hint="eastAsia" w:ascii="宋体" w:hAnsi="宋体" w:cs="宋体"/>
                <w:szCs w:val="24"/>
              </w:rPr>
              <w:t>领取</w:t>
            </w:r>
          </w:p>
        </w:tc>
        <w:tc>
          <w:tcPr>
            <w:tcW w:w="6970" w:type="dxa"/>
            <w:vAlign w:val="center"/>
          </w:tcPr>
          <w:p>
            <w:pPr>
              <w:rPr>
                <w:rFonts w:ascii="宋体" w:hAnsi="宋体" w:cs="宋体"/>
                <w:szCs w:val="24"/>
              </w:rPr>
            </w:pPr>
            <w:r>
              <w:rPr>
                <w:rFonts w:hint="eastAsia" w:ascii="宋体" w:hAnsi="宋体" w:cs="宋体"/>
                <w:szCs w:val="24"/>
              </w:rPr>
              <w:t>时间：即日起至2022年03月29日16时00分止</w:t>
            </w:r>
          </w:p>
          <w:p>
            <w:pPr>
              <w:rPr>
                <w:rFonts w:ascii="宋体" w:hAnsi="宋体" w:cs="宋体"/>
                <w:szCs w:val="24"/>
              </w:rPr>
            </w:pPr>
            <w:r>
              <w:rPr>
                <w:rFonts w:hint="eastAsia" w:ascii="宋体" w:hAnsi="宋体" w:cs="宋体"/>
                <w:szCs w:val="24"/>
              </w:rPr>
              <w:t>地点：</w:t>
            </w:r>
            <w:r>
              <w:rPr>
                <w:rFonts w:hint="eastAsia"/>
                <w:bCs/>
                <w:lang w:bidi="ar"/>
              </w:rPr>
              <w:t>西安市雁塔区科技五路</w:t>
            </w:r>
            <w:r>
              <w:rPr>
                <w:rFonts w:hint="eastAsia" w:ascii="宋体" w:hAnsi="宋体" w:cs="宋体"/>
                <w:szCs w:val="24"/>
              </w:rPr>
              <w:t>8号数字大厦5楼508室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60" w:type="dxa"/>
            <w:vAlign w:val="center"/>
          </w:tcPr>
          <w:p>
            <w:pPr>
              <w:jc w:val="center"/>
              <w:rPr>
                <w:rFonts w:ascii="宋体" w:hAnsi="宋体" w:cs="宋体"/>
                <w:szCs w:val="24"/>
              </w:rPr>
            </w:pPr>
            <w:r>
              <w:rPr>
                <w:rFonts w:hint="eastAsia" w:ascii="宋体" w:hAnsi="宋体" w:cs="宋体"/>
                <w:szCs w:val="24"/>
              </w:rPr>
              <w:t>9</w:t>
            </w:r>
          </w:p>
        </w:tc>
        <w:tc>
          <w:tcPr>
            <w:tcW w:w="1542" w:type="dxa"/>
            <w:vAlign w:val="center"/>
          </w:tcPr>
          <w:p>
            <w:pPr>
              <w:jc w:val="center"/>
              <w:rPr>
                <w:rFonts w:ascii="宋体" w:hAnsi="宋体" w:cs="宋体"/>
                <w:szCs w:val="24"/>
              </w:rPr>
            </w:pPr>
            <w:r>
              <w:rPr>
                <w:rFonts w:hint="eastAsia" w:ascii="宋体" w:hAnsi="宋体" w:cs="宋体"/>
                <w:szCs w:val="24"/>
              </w:rPr>
              <w:t>现场踏勘</w:t>
            </w:r>
          </w:p>
        </w:tc>
        <w:tc>
          <w:tcPr>
            <w:tcW w:w="6970" w:type="dxa"/>
            <w:vAlign w:val="center"/>
          </w:tcPr>
          <w:p>
            <w:pPr>
              <w:rPr>
                <w:rFonts w:ascii="宋体" w:hAnsi="宋体" w:cs="宋体"/>
                <w:szCs w:val="24"/>
              </w:rPr>
            </w:pPr>
            <w:r>
              <w:rPr>
                <w:rFonts w:hint="eastAsia" w:ascii="宋体" w:hAnsi="宋体" w:cs="宋体"/>
                <w:szCs w:val="24"/>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jc w:val="center"/>
        </w:trPr>
        <w:tc>
          <w:tcPr>
            <w:tcW w:w="860" w:type="dxa"/>
            <w:vAlign w:val="center"/>
          </w:tcPr>
          <w:p>
            <w:pPr>
              <w:jc w:val="center"/>
              <w:rPr>
                <w:rFonts w:ascii="宋体" w:hAnsi="宋体" w:cs="宋体"/>
                <w:szCs w:val="24"/>
              </w:rPr>
            </w:pPr>
            <w:r>
              <w:rPr>
                <w:rFonts w:hint="eastAsia" w:ascii="宋体" w:hAnsi="宋体" w:cs="宋体"/>
                <w:szCs w:val="24"/>
              </w:rPr>
              <w:t>10</w:t>
            </w:r>
          </w:p>
        </w:tc>
        <w:tc>
          <w:tcPr>
            <w:tcW w:w="1542" w:type="dxa"/>
            <w:vAlign w:val="center"/>
          </w:tcPr>
          <w:p>
            <w:pPr>
              <w:jc w:val="center"/>
              <w:rPr>
                <w:rFonts w:ascii="宋体" w:hAnsi="宋体" w:cs="宋体"/>
                <w:szCs w:val="24"/>
              </w:rPr>
            </w:pPr>
            <w:r>
              <w:rPr>
                <w:rFonts w:hint="eastAsia" w:ascii="宋体" w:hAnsi="宋体" w:cs="宋体"/>
                <w:szCs w:val="24"/>
              </w:rPr>
              <w:t>响应文件</w:t>
            </w:r>
          </w:p>
          <w:p>
            <w:pPr>
              <w:jc w:val="center"/>
              <w:rPr>
                <w:rFonts w:ascii="宋体" w:hAnsi="宋体" w:cs="宋体"/>
                <w:szCs w:val="24"/>
              </w:rPr>
            </w:pPr>
            <w:r>
              <w:rPr>
                <w:rFonts w:hint="eastAsia" w:ascii="宋体" w:hAnsi="宋体" w:cs="宋体"/>
                <w:szCs w:val="24"/>
              </w:rPr>
              <w:t>递交</w:t>
            </w:r>
          </w:p>
        </w:tc>
        <w:tc>
          <w:tcPr>
            <w:tcW w:w="6970" w:type="dxa"/>
            <w:vAlign w:val="center"/>
          </w:tcPr>
          <w:p>
            <w:pPr>
              <w:rPr>
                <w:rFonts w:ascii="宋体" w:hAnsi="宋体" w:cs="宋体"/>
                <w:szCs w:val="24"/>
              </w:rPr>
            </w:pPr>
            <w:r>
              <w:rPr>
                <w:rFonts w:hint="eastAsia" w:ascii="宋体" w:hAnsi="宋体" w:cs="宋体"/>
                <w:szCs w:val="24"/>
              </w:rPr>
              <w:t>统一递交响应文件时间、地点：</w:t>
            </w:r>
          </w:p>
          <w:p>
            <w:pPr>
              <w:rPr>
                <w:rFonts w:ascii="宋体" w:hAnsi="宋体" w:cs="宋体"/>
                <w:bCs/>
                <w:szCs w:val="24"/>
              </w:rPr>
            </w:pPr>
            <w:r>
              <w:rPr>
                <w:rFonts w:hint="eastAsia" w:ascii="宋体" w:hAnsi="宋体" w:cs="宋体"/>
                <w:szCs w:val="24"/>
              </w:rPr>
              <w:t>时间：</w:t>
            </w:r>
            <w:r>
              <w:rPr>
                <w:rFonts w:hint="eastAsia" w:ascii="宋体" w:hAnsi="宋体" w:cs="宋体"/>
              </w:rPr>
              <w:t>2022年04月02日09时30分（北京时间）</w:t>
            </w:r>
          </w:p>
          <w:p>
            <w:pPr>
              <w:rPr>
                <w:rFonts w:ascii="宋体" w:hAnsi="宋体" w:cs="宋体"/>
                <w:szCs w:val="24"/>
              </w:rPr>
            </w:pPr>
            <w:r>
              <w:rPr>
                <w:rFonts w:hint="eastAsia" w:ascii="宋体" w:hAnsi="宋体" w:cs="宋体"/>
                <w:szCs w:val="24"/>
              </w:rPr>
              <w:t>地点：西安市雁塔区科技五路8号数字大厦10楼会议室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860" w:type="dxa"/>
            <w:vAlign w:val="center"/>
          </w:tcPr>
          <w:p>
            <w:pPr>
              <w:jc w:val="center"/>
              <w:rPr>
                <w:rFonts w:ascii="宋体" w:hAnsi="宋体" w:cs="宋体"/>
                <w:szCs w:val="24"/>
              </w:rPr>
            </w:pPr>
            <w:r>
              <w:rPr>
                <w:rFonts w:hint="eastAsia" w:ascii="宋体" w:hAnsi="宋体" w:cs="宋体"/>
                <w:szCs w:val="24"/>
              </w:rPr>
              <w:t>11</w:t>
            </w:r>
          </w:p>
        </w:tc>
        <w:tc>
          <w:tcPr>
            <w:tcW w:w="1542" w:type="dxa"/>
            <w:vAlign w:val="center"/>
          </w:tcPr>
          <w:p>
            <w:pPr>
              <w:jc w:val="center"/>
              <w:rPr>
                <w:rFonts w:ascii="宋体" w:hAnsi="宋体" w:cs="宋体"/>
                <w:szCs w:val="24"/>
              </w:rPr>
            </w:pPr>
            <w:r>
              <w:rPr>
                <w:rFonts w:hint="eastAsia" w:ascii="宋体" w:hAnsi="宋体" w:cs="宋体"/>
                <w:szCs w:val="24"/>
              </w:rPr>
              <w:t>开标时间、</w:t>
            </w:r>
          </w:p>
          <w:p>
            <w:pPr>
              <w:jc w:val="center"/>
              <w:rPr>
                <w:rFonts w:ascii="宋体" w:hAnsi="宋体" w:cs="宋体"/>
                <w:szCs w:val="24"/>
              </w:rPr>
            </w:pPr>
            <w:r>
              <w:rPr>
                <w:rFonts w:hint="eastAsia" w:ascii="宋体" w:hAnsi="宋体" w:cs="宋体"/>
                <w:szCs w:val="24"/>
              </w:rPr>
              <w:t>地点</w:t>
            </w:r>
          </w:p>
        </w:tc>
        <w:tc>
          <w:tcPr>
            <w:tcW w:w="6970" w:type="dxa"/>
            <w:vAlign w:val="center"/>
          </w:tcPr>
          <w:p>
            <w:r>
              <w:rPr>
                <w:rFonts w:hint="eastAsia"/>
              </w:rPr>
              <w:t>开标时间：</w:t>
            </w:r>
            <w:r>
              <w:rPr>
                <w:rFonts w:hint="eastAsia" w:ascii="宋体" w:hAnsi="宋体" w:cs="宋体"/>
              </w:rPr>
              <w:t>2021年04月02日09时30分</w:t>
            </w:r>
            <w:r>
              <w:rPr>
                <w:rFonts w:hint="eastAsia"/>
              </w:rPr>
              <w:t>（北京时间）</w:t>
            </w:r>
          </w:p>
          <w:p>
            <w:r>
              <w:rPr>
                <w:rFonts w:hint="eastAsia"/>
              </w:rPr>
              <w:t>开标地点：</w:t>
            </w:r>
            <w:r>
              <w:rPr>
                <w:rFonts w:hint="eastAsia" w:ascii="宋体" w:hAnsi="宋体" w:cs="宋体"/>
                <w:szCs w:val="24"/>
              </w:rPr>
              <w:t>西安市雁塔区科技五路8号数字大厦10楼会议室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60" w:type="dxa"/>
            <w:vAlign w:val="center"/>
          </w:tcPr>
          <w:p>
            <w:pPr>
              <w:jc w:val="center"/>
              <w:rPr>
                <w:rFonts w:ascii="宋体" w:hAnsi="宋体" w:cs="宋体"/>
                <w:szCs w:val="24"/>
              </w:rPr>
            </w:pPr>
            <w:r>
              <w:rPr>
                <w:rFonts w:hint="eastAsia" w:ascii="宋体" w:hAnsi="宋体" w:cs="宋体"/>
                <w:szCs w:val="24"/>
              </w:rPr>
              <w:t>12</w:t>
            </w:r>
          </w:p>
        </w:tc>
        <w:tc>
          <w:tcPr>
            <w:tcW w:w="1542" w:type="dxa"/>
            <w:vAlign w:val="center"/>
          </w:tcPr>
          <w:p>
            <w:pPr>
              <w:jc w:val="center"/>
              <w:rPr>
                <w:rFonts w:ascii="宋体" w:hAnsi="宋体" w:cs="宋体"/>
                <w:szCs w:val="24"/>
              </w:rPr>
            </w:pPr>
            <w:r>
              <w:rPr>
                <w:rFonts w:hint="eastAsia" w:ascii="宋体" w:hAnsi="宋体" w:cs="宋体"/>
                <w:szCs w:val="24"/>
              </w:rPr>
              <w:t>服务期限</w:t>
            </w:r>
          </w:p>
        </w:tc>
        <w:tc>
          <w:tcPr>
            <w:tcW w:w="6970" w:type="dxa"/>
            <w:vAlign w:val="center"/>
          </w:tcPr>
          <w:p>
            <w:pPr>
              <w:rPr>
                <w:rFonts w:ascii="宋体" w:hAnsi="宋体" w:cs="宋体"/>
                <w:szCs w:val="24"/>
              </w:rPr>
            </w:pPr>
            <w:r>
              <w:rPr>
                <w:rFonts w:hint="eastAsia" w:ascii="宋体" w:hAnsi="宋体" w:cs="宋体"/>
                <w:szCs w:val="24"/>
              </w:rPr>
              <w:t>自合同签订之日起1个月内完成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60" w:type="dxa"/>
            <w:vAlign w:val="center"/>
          </w:tcPr>
          <w:p>
            <w:pPr>
              <w:jc w:val="center"/>
              <w:rPr>
                <w:rFonts w:ascii="宋体" w:hAnsi="宋体" w:cs="宋体"/>
                <w:szCs w:val="24"/>
              </w:rPr>
            </w:pPr>
            <w:r>
              <w:rPr>
                <w:rFonts w:hint="eastAsia" w:ascii="宋体" w:hAnsi="宋体" w:cs="宋体"/>
                <w:szCs w:val="24"/>
              </w:rPr>
              <w:t>13</w:t>
            </w:r>
          </w:p>
        </w:tc>
        <w:tc>
          <w:tcPr>
            <w:tcW w:w="1542" w:type="dxa"/>
            <w:vAlign w:val="center"/>
          </w:tcPr>
          <w:p>
            <w:pPr>
              <w:jc w:val="center"/>
              <w:rPr>
                <w:rFonts w:ascii="宋体" w:hAnsi="宋体" w:cs="宋体"/>
                <w:color w:val="auto"/>
                <w:szCs w:val="24"/>
              </w:rPr>
            </w:pPr>
            <w:r>
              <w:rPr>
                <w:rFonts w:hint="eastAsia" w:ascii="宋体" w:hAnsi="宋体" w:cs="宋体"/>
                <w:color w:val="auto"/>
                <w:szCs w:val="24"/>
              </w:rPr>
              <w:t>付款方式</w:t>
            </w:r>
          </w:p>
        </w:tc>
        <w:tc>
          <w:tcPr>
            <w:tcW w:w="6970" w:type="dxa"/>
            <w:vAlign w:val="center"/>
          </w:tcPr>
          <w:p>
            <w:pPr>
              <w:jc w:val="left"/>
              <w:rPr>
                <w:rFonts w:ascii="宋体" w:hAnsi="宋体" w:cs="宋体"/>
                <w:bCs/>
                <w:color w:val="auto"/>
                <w:szCs w:val="24"/>
                <w:lang w:val="zh-CN"/>
              </w:rPr>
            </w:pPr>
            <w:r>
              <w:rPr>
                <w:rFonts w:hint="eastAsia" w:ascii="宋体" w:hAnsi="宋体" w:cs="宋体"/>
                <w:bCs/>
                <w:color w:val="auto"/>
                <w:szCs w:val="24"/>
                <w:lang w:val="zh-CN"/>
              </w:rPr>
              <w:t>（1）本合同无预付款；</w:t>
            </w:r>
          </w:p>
          <w:p>
            <w:pPr>
              <w:jc w:val="left"/>
              <w:rPr>
                <w:rFonts w:ascii="宋体" w:hAnsi="宋体" w:cs="宋体"/>
                <w:bCs/>
                <w:color w:val="auto"/>
                <w:szCs w:val="24"/>
                <w:lang w:val="zh-CN"/>
              </w:rPr>
            </w:pPr>
            <w:r>
              <w:rPr>
                <w:rFonts w:hint="eastAsia" w:ascii="宋体" w:hAnsi="宋体" w:cs="宋体"/>
                <w:bCs/>
                <w:color w:val="auto"/>
                <w:szCs w:val="24"/>
                <w:lang w:val="zh-CN"/>
              </w:rPr>
              <w:t>（2）</w:t>
            </w:r>
            <w:r>
              <w:rPr>
                <w:rFonts w:hint="eastAsia" w:ascii="宋体" w:hAnsi="宋体" w:cs="宋体"/>
                <w:bCs/>
                <w:color w:val="auto"/>
                <w:szCs w:val="24"/>
              </w:rPr>
              <w:t>调查成果汇交无问题</w:t>
            </w:r>
            <w:r>
              <w:rPr>
                <w:rFonts w:hint="eastAsia" w:ascii="宋体" w:hAnsi="宋体" w:cs="宋体"/>
                <w:bCs/>
                <w:color w:val="auto"/>
                <w:szCs w:val="24"/>
                <w:lang w:val="zh-CN"/>
              </w:rPr>
              <w:t>后15个工作日内支付至合同总价款的</w:t>
            </w:r>
            <w:r>
              <w:rPr>
                <w:rFonts w:hint="eastAsia" w:ascii="宋体" w:hAnsi="宋体" w:cs="宋体"/>
                <w:bCs/>
                <w:color w:val="auto"/>
                <w:szCs w:val="24"/>
              </w:rPr>
              <w:t>85</w:t>
            </w:r>
            <w:r>
              <w:rPr>
                <w:rFonts w:hint="eastAsia" w:ascii="宋体" w:hAnsi="宋体" w:cs="宋体"/>
                <w:bCs/>
                <w:color w:val="auto"/>
                <w:szCs w:val="24"/>
                <w:lang w:val="zh-CN"/>
              </w:rPr>
              <w:t>%；</w:t>
            </w:r>
          </w:p>
          <w:p>
            <w:pPr>
              <w:jc w:val="left"/>
              <w:rPr>
                <w:rFonts w:ascii="宋体" w:hAnsi="宋体" w:cs="宋体"/>
                <w:bCs/>
                <w:color w:val="auto"/>
                <w:szCs w:val="24"/>
                <w:u w:val="single"/>
              </w:rPr>
            </w:pPr>
            <w:r>
              <w:rPr>
                <w:rFonts w:hint="eastAsia" w:ascii="宋体" w:hAnsi="宋体" w:cs="宋体"/>
                <w:bCs/>
                <w:color w:val="auto"/>
                <w:szCs w:val="24"/>
                <w:lang w:val="zh-CN"/>
              </w:rPr>
              <w:t>（3）通过评审合格、资料移交后15个工作日内支付至合同总价款的97%价款，留合同总价款3%的质保金，在项目验收合格一年后7个工作日内支付。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860" w:type="dxa"/>
            <w:vAlign w:val="center"/>
          </w:tcPr>
          <w:p>
            <w:pPr>
              <w:jc w:val="center"/>
              <w:rPr>
                <w:rFonts w:ascii="宋体" w:hAnsi="宋体" w:cs="宋体"/>
                <w:szCs w:val="24"/>
              </w:rPr>
            </w:pPr>
            <w:r>
              <w:rPr>
                <w:rFonts w:hint="eastAsia" w:ascii="宋体" w:hAnsi="宋体" w:cs="宋体"/>
                <w:szCs w:val="24"/>
              </w:rPr>
              <w:t>14</w:t>
            </w:r>
          </w:p>
        </w:tc>
        <w:tc>
          <w:tcPr>
            <w:tcW w:w="1542" w:type="dxa"/>
            <w:vAlign w:val="center"/>
          </w:tcPr>
          <w:p>
            <w:pPr>
              <w:jc w:val="center"/>
              <w:rPr>
                <w:rFonts w:ascii="宋体" w:hAnsi="宋体" w:cs="宋体"/>
                <w:szCs w:val="24"/>
              </w:rPr>
            </w:pPr>
            <w:r>
              <w:rPr>
                <w:rFonts w:hint="eastAsia" w:ascii="宋体" w:hAnsi="宋体" w:cs="宋体"/>
                <w:szCs w:val="24"/>
              </w:rPr>
              <w:t>报  价</w:t>
            </w:r>
          </w:p>
        </w:tc>
        <w:tc>
          <w:tcPr>
            <w:tcW w:w="6970" w:type="dxa"/>
            <w:vAlign w:val="center"/>
          </w:tcPr>
          <w:p>
            <w:pPr>
              <w:numPr>
                <w:ilvl w:val="0"/>
                <w:numId w:val="6"/>
              </w:numPr>
              <w:rPr>
                <w:rFonts w:ascii="宋体" w:hAnsi="宋体" w:cs="宋体"/>
                <w:szCs w:val="24"/>
              </w:rPr>
            </w:pPr>
            <w:r>
              <w:rPr>
                <w:rFonts w:hint="eastAsia" w:ascii="宋体" w:hAnsi="宋体" w:cs="宋体"/>
                <w:szCs w:val="24"/>
              </w:rPr>
              <w:t>响应供应商应根据本项目所列采购内容及要求并结合实际情况自主报价。凡本磋商文件要求（或允许）及响应供应商认为需要进行响应报价的各项费用项目，若报价时未报或未在磋商文件中予以说明，采购人将认为这些费用响应供应商已计取，并包含在总报价中。</w:t>
            </w:r>
          </w:p>
          <w:p>
            <w:pPr>
              <w:rPr>
                <w:rFonts w:ascii="宋体" w:hAnsi="宋体" w:cs="宋体"/>
                <w:szCs w:val="24"/>
              </w:rPr>
            </w:pPr>
            <w:r>
              <w:rPr>
                <w:rFonts w:hint="eastAsia" w:ascii="宋体" w:hAnsi="宋体" w:cs="宋体"/>
                <w:szCs w:val="24"/>
              </w:rPr>
              <w:t>（2）参照国家、省、市物价等有关收费标准的规定。</w:t>
            </w:r>
          </w:p>
          <w:p>
            <w:pPr>
              <w:rPr>
                <w:rFonts w:ascii="宋体" w:hAnsi="宋体" w:cs="宋体"/>
                <w:bCs/>
                <w:szCs w:val="24"/>
              </w:rPr>
            </w:pPr>
            <w:r>
              <w:rPr>
                <w:rFonts w:hint="eastAsia" w:ascii="宋体" w:hAnsi="宋体" w:cs="宋体"/>
                <w:szCs w:val="24"/>
              </w:rPr>
              <w:t>（3）响应报价包含国家现行税率征收的一切税费。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860" w:type="dxa"/>
            <w:vAlign w:val="center"/>
          </w:tcPr>
          <w:p>
            <w:pPr>
              <w:jc w:val="center"/>
              <w:rPr>
                <w:rFonts w:ascii="宋体" w:hAnsi="宋体" w:cs="宋体"/>
                <w:szCs w:val="24"/>
              </w:rPr>
            </w:pPr>
            <w:r>
              <w:rPr>
                <w:rFonts w:hint="eastAsia" w:ascii="宋体" w:hAnsi="宋体" w:cs="宋体"/>
                <w:szCs w:val="24"/>
              </w:rPr>
              <w:t>15</w:t>
            </w:r>
          </w:p>
        </w:tc>
        <w:tc>
          <w:tcPr>
            <w:tcW w:w="1542" w:type="dxa"/>
            <w:vAlign w:val="center"/>
          </w:tcPr>
          <w:p>
            <w:pPr>
              <w:jc w:val="center"/>
              <w:rPr>
                <w:rFonts w:ascii="宋体" w:hAnsi="宋体" w:cs="宋体"/>
                <w:szCs w:val="24"/>
              </w:rPr>
            </w:pPr>
            <w:r>
              <w:rPr>
                <w:rFonts w:hint="eastAsia" w:ascii="宋体" w:hAnsi="宋体" w:cs="宋体"/>
                <w:szCs w:val="24"/>
              </w:rPr>
              <w:t>磋商保证金</w:t>
            </w:r>
          </w:p>
        </w:tc>
        <w:tc>
          <w:tcPr>
            <w:tcW w:w="6970" w:type="dxa"/>
            <w:vAlign w:val="center"/>
          </w:tcPr>
          <w:p>
            <w:pPr>
              <w:widowControl/>
              <w:tabs>
                <w:tab w:val="left" w:pos="1620"/>
              </w:tabs>
              <w:ind w:right="-226" w:rightChars="-94"/>
              <w:jc w:val="left"/>
              <w:rPr>
                <w:rFonts w:ascii="宋体" w:hAnsi="宋体" w:cs="宋体"/>
                <w:szCs w:val="24"/>
              </w:rPr>
            </w:pPr>
            <w:r>
              <w:rPr>
                <w:rFonts w:hint="eastAsia" w:ascii="宋体" w:hAnsi="宋体" w:cs="宋体"/>
                <w:szCs w:val="24"/>
              </w:rPr>
              <w:t>本项目不收取磋商保证金，请忽略文件格式中关于保证金的规定。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60" w:type="dxa"/>
            <w:vAlign w:val="center"/>
          </w:tcPr>
          <w:p>
            <w:pPr>
              <w:jc w:val="center"/>
              <w:rPr>
                <w:rFonts w:ascii="宋体" w:hAnsi="宋体" w:cs="宋体"/>
                <w:szCs w:val="24"/>
              </w:rPr>
            </w:pPr>
            <w:r>
              <w:rPr>
                <w:rFonts w:hint="eastAsia" w:ascii="宋体" w:hAnsi="宋体" w:cs="宋体"/>
                <w:szCs w:val="24"/>
              </w:rPr>
              <w:t>16</w:t>
            </w:r>
          </w:p>
        </w:tc>
        <w:tc>
          <w:tcPr>
            <w:tcW w:w="1542" w:type="dxa"/>
            <w:vAlign w:val="center"/>
          </w:tcPr>
          <w:p>
            <w:pPr>
              <w:jc w:val="center"/>
              <w:rPr>
                <w:rFonts w:ascii="宋体" w:hAnsi="宋体" w:cs="宋体"/>
                <w:szCs w:val="24"/>
              </w:rPr>
            </w:pPr>
            <w:r>
              <w:rPr>
                <w:rFonts w:hint="eastAsia" w:ascii="宋体" w:hAnsi="宋体" w:cs="宋体"/>
                <w:szCs w:val="24"/>
              </w:rPr>
              <w:t>响应有效期</w:t>
            </w:r>
          </w:p>
        </w:tc>
        <w:tc>
          <w:tcPr>
            <w:tcW w:w="6970" w:type="dxa"/>
            <w:vAlign w:val="center"/>
          </w:tcPr>
          <w:p>
            <w:pPr>
              <w:rPr>
                <w:rFonts w:ascii="宋体" w:hAnsi="宋体" w:cs="宋体"/>
                <w:szCs w:val="24"/>
              </w:rPr>
            </w:pPr>
            <w:r>
              <w:rPr>
                <w:rFonts w:hint="eastAsia" w:ascii="宋体" w:hAnsi="宋体" w:cs="宋体"/>
                <w:szCs w:val="24"/>
              </w:rPr>
              <w:t>响应文件从开标之日起，响应有效期为60日历天。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60" w:type="dxa"/>
            <w:vAlign w:val="center"/>
          </w:tcPr>
          <w:p>
            <w:pPr>
              <w:jc w:val="center"/>
              <w:rPr>
                <w:rFonts w:ascii="宋体" w:hAnsi="宋体" w:cs="宋体"/>
                <w:szCs w:val="24"/>
              </w:rPr>
            </w:pPr>
            <w:r>
              <w:rPr>
                <w:rFonts w:hint="eastAsia" w:ascii="宋体" w:hAnsi="宋体" w:cs="宋体"/>
                <w:szCs w:val="24"/>
              </w:rPr>
              <w:t>17</w:t>
            </w:r>
          </w:p>
        </w:tc>
        <w:tc>
          <w:tcPr>
            <w:tcW w:w="1542" w:type="dxa"/>
            <w:vAlign w:val="center"/>
          </w:tcPr>
          <w:p>
            <w:pPr>
              <w:jc w:val="center"/>
              <w:rPr>
                <w:rFonts w:ascii="宋体" w:hAnsi="宋体" w:cs="宋体"/>
                <w:szCs w:val="24"/>
              </w:rPr>
            </w:pPr>
            <w:r>
              <w:rPr>
                <w:rFonts w:hint="eastAsia" w:ascii="宋体" w:hAnsi="宋体" w:cs="宋体"/>
                <w:szCs w:val="24"/>
              </w:rPr>
              <w:t>响应文件</w:t>
            </w:r>
          </w:p>
          <w:p>
            <w:pPr>
              <w:jc w:val="center"/>
              <w:rPr>
                <w:rFonts w:ascii="宋体" w:hAnsi="宋体" w:cs="宋体"/>
                <w:szCs w:val="24"/>
              </w:rPr>
            </w:pPr>
            <w:r>
              <w:rPr>
                <w:rFonts w:hint="eastAsia" w:ascii="宋体" w:hAnsi="宋体" w:cs="宋体"/>
                <w:szCs w:val="24"/>
              </w:rPr>
              <w:t>份数</w:t>
            </w:r>
          </w:p>
        </w:tc>
        <w:tc>
          <w:tcPr>
            <w:tcW w:w="6970" w:type="dxa"/>
            <w:vAlign w:val="center"/>
          </w:tcPr>
          <w:p>
            <w:pPr>
              <w:rPr>
                <w:rFonts w:ascii="宋体" w:hAnsi="宋体" w:cs="宋体"/>
                <w:szCs w:val="24"/>
              </w:rPr>
            </w:pPr>
            <w:r>
              <w:rPr>
                <w:rFonts w:hint="eastAsia" w:ascii="宋体" w:hAnsi="宋体" w:cs="宋体"/>
                <w:szCs w:val="24"/>
              </w:rPr>
              <w:t>响应文件正本一套、副本两套、电子文件二份（U盘存储，在U盘上注明单位名称）。（响应文件不退还）。</w:t>
            </w:r>
          </w:p>
          <w:p>
            <w:pPr>
              <w:rPr>
                <w:rFonts w:ascii="宋体" w:hAnsi="宋体" w:cs="宋体"/>
                <w:szCs w:val="24"/>
              </w:rPr>
            </w:pPr>
            <w:r>
              <w:rPr>
                <w:rFonts w:hint="eastAsia" w:ascii="宋体" w:hAnsi="宋体" w:cs="宋体"/>
                <w:szCs w:val="24"/>
              </w:rPr>
              <w:t>电子文件格式：响应文件正本加盖公章、签字齐全的纸质版扫描成的PDF格式。</w:t>
            </w:r>
          </w:p>
          <w:p>
            <w:pPr>
              <w:rPr>
                <w:rFonts w:ascii="宋体" w:hAnsi="宋体" w:cs="宋体"/>
                <w:szCs w:val="24"/>
              </w:rPr>
            </w:pPr>
            <w:r>
              <w:rPr>
                <w:rFonts w:hint="eastAsia" w:ascii="宋体" w:hAnsi="宋体" w:cs="宋体"/>
                <w:szCs w:val="24"/>
              </w:rPr>
              <w:t>响应供应商应在响应文件封面及响应文件密封文件袋正面注明“正本”、“副本”。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jc w:val="center"/>
        </w:trPr>
        <w:tc>
          <w:tcPr>
            <w:tcW w:w="860" w:type="dxa"/>
            <w:vAlign w:val="center"/>
          </w:tcPr>
          <w:p>
            <w:pPr>
              <w:jc w:val="center"/>
              <w:rPr>
                <w:rFonts w:ascii="宋体" w:hAnsi="宋体" w:cs="宋体"/>
                <w:szCs w:val="24"/>
              </w:rPr>
            </w:pPr>
            <w:r>
              <w:rPr>
                <w:rFonts w:hint="eastAsia" w:ascii="宋体" w:hAnsi="宋体" w:cs="宋体"/>
                <w:szCs w:val="24"/>
              </w:rPr>
              <w:t>18</w:t>
            </w:r>
          </w:p>
        </w:tc>
        <w:tc>
          <w:tcPr>
            <w:tcW w:w="1542" w:type="dxa"/>
            <w:vAlign w:val="center"/>
          </w:tcPr>
          <w:p>
            <w:pPr>
              <w:jc w:val="center"/>
              <w:rPr>
                <w:rFonts w:ascii="宋体" w:hAnsi="宋体" w:cs="宋体"/>
                <w:szCs w:val="24"/>
              </w:rPr>
            </w:pPr>
            <w:r>
              <w:rPr>
                <w:rFonts w:hint="eastAsia" w:ascii="宋体" w:hAnsi="宋体" w:cs="宋体"/>
                <w:szCs w:val="24"/>
              </w:rPr>
              <w:t>响应文件</w:t>
            </w:r>
          </w:p>
          <w:p>
            <w:pPr>
              <w:jc w:val="center"/>
              <w:rPr>
                <w:rFonts w:ascii="宋体" w:hAnsi="宋体" w:cs="宋体"/>
                <w:szCs w:val="24"/>
              </w:rPr>
            </w:pPr>
            <w:r>
              <w:rPr>
                <w:rFonts w:hint="eastAsia" w:ascii="宋体" w:hAnsi="宋体" w:cs="宋体"/>
                <w:szCs w:val="24"/>
              </w:rPr>
              <w:t>装订要求</w:t>
            </w:r>
          </w:p>
        </w:tc>
        <w:tc>
          <w:tcPr>
            <w:tcW w:w="6970" w:type="dxa"/>
            <w:vAlign w:val="center"/>
          </w:tcPr>
          <w:p>
            <w:pPr>
              <w:pStyle w:val="31"/>
              <w:spacing w:before="0" w:beforeAutospacing="0" w:after="0" w:afterAutospacing="0"/>
            </w:pPr>
            <w:r>
              <w:rPr>
                <w:rFonts w:hint="eastAsia"/>
              </w:rPr>
              <w:t>响应文件应牢固装订成册，不可插页抽页，响应文件一正二副，每册采用A4页幅打印、左侧胶装方式装订，装订应牢固、不易拆散和换页，活页装订的响应文件按无效响应文件处理。</w:t>
            </w:r>
          </w:p>
          <w:p>
            <w:pPr>
              <w:pStyle w:val="31"/>
              <w:spacing w:before="0" w:beforeAutospacing="0" w:after="0" w:afterAutospacing="0"/>
            </w:pPr>
            <w:r>
              <w:rPr>
                <w:rFonts w:hint="eastAsia"/>
              </w:rPr>
              <w:t>装袋要求：</w:t>
            </w:r>
          </w:p>
          <w:p>
            <w:pPr>
              <w:pStyle w:val="31"/>
              <w:spacing w:before="0" w:beforeAutospacing="0" w:after="0" w:afterAutospacing="0"/>
            </w:pPr>
            <w:r>
              <w:rPr>
                <w:rFonts w:hint="eastAsia"/>
              </w:rPr>
              <w:t>响应文件正本一份（单独密封）</w:t>
            </w:r>
          </w:p>
          <w:p>
            <w:pPr>
              <w:pStyle w:val="31"/>
              <w:spacing w:before="0" w:beforeAutospacing="0" w:after="0" w:afterAutospacing="0"/>
            </w:pPr>
            <w:r>
              <w:rPr>
                <w:rFonts w:hint="eastAsia"/>
              </w:rPr>
              <w:t>响应文件副本二份（单独密封）</w:t>
            </w:r>
          </w:p>
          <w:p>
            <w:pPr>
              <w:pStyle w:val="31"/>
              <w:spacing w:before="0" w:beforeAutospacing="0" w:after="0" w:afterAutospacing="0"/>
            </w:pPr>
            <w:r>
              <w:rPr>
                <w:rFonts w:hint="eastAsia"/>
              </w:rPr>
              <w:t>电子版二份（电子U盘，封装在正本中）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0" w:hRule="atLeast"/>
          <w:jc w:val="center"/>
        </w:trPr>
        <w:tc>
          <w:tcPr>
            <w:tcW w:w="860" w:type="dxa"/>
            <w:vAlign w:val="center"/>
          </w:tcPr>
          <w:p>
            <w:pPr>
              <w:jc w:val="center"/>
              <w:rPr>
                <w:rFonts w:ascii="宋体" w:hAnsi="宋体" w:cs="宋体"/>
                <w:szCs w:val="24"/>
              </w:rPr>
            </w:pPr>
            <w:r>
              <w:rPr>
                <w:rFonts w:hint="eastAsia" w:ascii="宋体" w:hAnsi="宋体" w:cs="宋体"/>
                <w:szCs w:val="24"/>
              </w:rPr>
              <w:t>19</w:t>
            </w:r>
          </w:p>
        </w:tc>
        <w:tc>
          <w:tcPr>
            <w:tcW w:w="1542" w:type="dxa"/>
            <w:vAlign w:val="center"/>
          </w:tcPr>
          <w:p>
            <w:pPr>
              <w:jc w:val="center"/>
              <w:rPr>
                <w:rFonts w:ascii="宋体" w:hAnsi="宋体" w:cs="宋体"/>
                <w:szCs w:val="24"/>
              </w:rPr>
            </w:pPr>
            <w:r>
              <w:rPr>
                <w:rFonts w:hint="eastAsia" w:ascii="宋体" w:hAnsi="宋体" w:cs="宋体"/>
                <w:szCs w:val="24"/>
              </w:rPr>
              <w:t>响应供应商的资格条件</w:t>
            </w:r>
          </w:p>
        </w:tc>
        <w:tc>
          <w:tcPr>
            <w:tcW w:w="6970" w:type="dxa"/>
            <w:vAlign w:val="center"/>
          </w:tcPr>
          <w:p>
            <w:pPr>
              <w:pStyle w:val="31"/>
              <w:spacing w:before="0" w:beforeAutospacing="0" w:after="0" w:afterAutospacing="0"/>
            </w:pPr>
            <w:r>
              <w:rPr>
                <w:rFonts w:hint="eastAsia"/>
              </w:rPr>
              <w:t>1、满足《中华人民共和国政府采购法》第二十二条规定</w:t>
            </w:r>
          </w:p>
          <w:p>
            <w:pPr>
              <w:pStyle w:val="31"/>
              <w:spacing w:before="0" w:beforeAutospacing="0" w:after="0" w:afterAutospacing="0"/>
              <w:rPr>
                <w:color w:val="auto"/>
              </w:rPr>
            </w:pPr>
            <w:r>
              <w:rPr>
                <w:rFonts w:hint="eastAsia"/>
                <w:color w:val="auto"/>
              </w:rPr>
              <w:t>2</w:t>
            </w:r>
            <w:r>
              <w:rPr>
                <w:color w:val="auto"/>
              </w:rPr>
              <w:t>、本项目的特定资格要求：</w:t>
            </w:r>
          </w:p>
          <w:p>
            <w:pPr>
              <w:pStyle w:val="31"/>
              <w:spacing w:before="0" w:beforeAutospacing="0" w:after="0" w:afterAutospacing="0"/>
            </w:pPr>
            <w:r>
              <w:rPr>
                <w:rFonts w:hint="eastAsia"/>
              </w:rPr>
              <w:t>（1）响应供应商需提供合法有效的统一社会信用代码营业执照（事业单位提供事业单位法人证书，自然人应提供身份证）。</w:t>
            </w:r>
          </w:p>
          <w:p>
            <w:pPr>
              <w:pStyle w:val="31"/>
              <w:spacing w:before="0" w:beforeAutospacing="0" w:after="0" w:afterAutospacing="0"/>
            </w:pPr>
            <w:r>
              <w:rPr>
                <w:rFonts w:hint="eastAsia"/>
              </w:rPr>
              <w:t>（2）法定代表人参加投标的，须提供本人身份证加盖公章的复印件；法定代表人授权他人参加投标的，须提供法定代表人授权委托书及被授权代表的身份证复印件。（非法人单位的负责人参照法定代表人提供相关资料）。</w:t>
            </w:r>
          </w:p>
          <w:p>
            <w:pPr>
              <w:pStyle w:val="31"/>
              <w:spacing w:before="0" w:beforeAutospacing="0" w:after="0" w:afterAutospacing="0"/>
            </w:pPr>
            <w:r>
              <w:rPr>
                <w:rFonts w:hint="eastAsia"/>
              </w:rPr>
              <w:t>（3）财务状况报告：提供2021年度经审计的财务会计报告；成立时间至提交响应文件截止时间不足一年的可提供成立后任意时段的资产负债表或响应截止时间前三个月内银行出具的资信证明文件或信用担保机构出具的投标担保函。</w:t>
            </w:r>
          </w:p>
          <w:p>
            <w:pPr>
              <w:pStyle w:val="31"/>
              <w:spacing w:before="0" w:beforeAutospacing="0" w:after="0" w:afterAutospacing="0"/>
            </w:pPr>
            <w:r>
              <w:rPr>
                <w:rFonts w:hint="eastAsia"/>
              </w:rPr>
              <w:t>（4）社会保障资金缴纳证明：提供供应商2021年1月1日以来至少一个月已缴纳的社会保障资金缴存单据或社保机构开具的社会保险参保缴费情况证明；依法不需要缴纳社会保障资金的供应商应提供加盖公章的相关证明文件。</w:t>
            </w:r>
          </w:p>
          <w:p>
            <w:pPr>
              <w:pStyle w:val="31"/>
              <w:spacing w:before="0" w:beforeAutospacing="0" w:after="0" w:afterAutospacing="0"/>
            </w:pPr>
            <w:r>
              <w:rPr>
                <w:rFonts w:hint="eastAsia"/>
              </w:rPr>
              <w:t>（5）税收缴纳证明：提供供应商2021年1月1日以来已缴纳的至少一个月的纳税证明或完税证明，依法免税的供应商应提供加盖公章的相关证明文件。</w:t>
            </w:r>
          </w:p>
          <w:p>
            <w:pPr>
              <w:pStyle w:val="31"/>
              <w:spacing w:before="0" w:beforeAutospacing="0" w:after="0" w:afterAutospacing="0"/>
            </w:pPr>
            <w:r>
              <w:rPr>
                <w:rFonts w:hint="eastAsia"/>
              </w:rPr>
              <w:t>（6）响应单位须具备乙级测绘及以上资质，拟派往项目负责人须为注册测绘师。</w:t>
            </w:r>
          </w:p>
          <w:p>
            <w:pPr>
              <w:pStyle w:val="31"/>
              <w:spacing w:before="0" w:beforeAutospacing="0" w:after="0" w:afterAutospacing="0"/>
            </w:pPr>
            <w:r>
              <w:rPr>
                <w:rFonts w:hint="eastAsia"/>
              </w:rPr>
              <w:t>（7）</w:t>
            </w:r>
            <w:r>
              <w:rPr>
                <w:rFonts w:hint="eastAsia"/>
                <w:lang w:val="zh-CN"/>
              </w:rPr>
              <w:t>具备履行合同所必需的设备和专业技术能力的证明材料(由供应商根据项目需求提供说明材料或者承诺)</w:t>
            </w:r>
          </w:p>
          <w:p>
            <w:pPr>
              <w:pStyle w:val="31"/>
              <w:spacing w:before="0" w:beforeAutospacing="0" w:after="0" w:afterAutospacing="0"/>
            </w:pPr>
            <w:r>
              <w:rPr>
                <w:rFonts w:hint="eastAsia"/>
              </w:rPr>
              <w:t>（8）书面信用声明：参加本次政府采购活动前3年内在经营活动中没有重大违纪、未被列入失信被执行人、重大税收违法案件当事人名单、政府采购严重违法失信行为记录名单的书面声明。开标评审将登陆“信用中国”网站（</w:t>
            </w:r>
            <w:r>
              <w:rPr>
                <w:rFonts w:hint="eastAsia"/>
              </w:rPr>
              <w:drawing>
                <wp:inline distT="0" distB="0" distL="114300" distR="114300">
                  <wp:extent cx="190500" cy="139700"/>
                  <wp:effectExtent l="0" t="0" r="0" b="12700"/>
                  <wp:docPr id="8" name="图片 8"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257"/>
                          <pic:cNvPicPr>
                            <a:picLocks noChangeAspect="1"/>
                          </pic:cNvPicPr>
                        </pic:nvPicPr>
                        <pic:blipFill>
                          <a:blip r:embed="rId10" cstate="print"/>
                          <a:stretch>
                            <a:fillRect/>
                          </a:stretch>
                        </pic:blipFill>
                        <pic:spPr>
                          <a:xfrm>
                            <a:off x="0" y="0"/>
                            <a:ext cx="190500" cy="139700"/>
                          </a:xfrm>
                          <a:prstGeom prst="rect">
                            <a:avLst/>
                          </a:prstGeom>
                          <a:noFill/>
                          <a:ln>
                            <a:noFill/>
                          </a:ln>
                        </pic:spPr>
                      </pic:pic>
                    </a:graphicData>
                  </a:graphic>
                </wp:inline>
              </w:drawing>
            </w:r>
            <w:r>
              <w:rPr>
                <w:rFonts w:hint="eastAsia"/>
              </w:rPr>
              <w:t>www.creditchina.gov.cn）和“中国政府采购网”（</w:t>
            </w:r>
            <w:r>
              <w:rPr>
                <w:rFonts w:hint="eastAsia"/>
              </w:rPr>
              <w:drawing>
                <wp:inline distT="0" distB="0" distL="114300" distR="114300">
                  <wp:extent cx="190500" cy="139700"/>
                  <wp:effectExtent l="0" t="0" r="0" b="12700"/>
                  <wp:docPr id="9" name="图片 9"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IMG_257"/>
                          <pic:cNvPicPr>
                            <a:picLocks noChangeAspect="1"/>
                          </pic:cNvPicPr>
                        </pic:nvPicPr>
                        <pic:blipFill>
                          <a:blip r:embed="rId10" cstate="print"/>
                          <a:stretch>
                            <a:fillRect/>
                          </a:stretch>
                        </pic:blipFill>
                        <pic:spPr>
                          <a:xfrm>
                            <a:off x="0" y="0"/>
                            <a:ext cx="190500" cy="139700"/>
                          </a:xfrm>
                          <a:prstGeom prst="rect">
                            <a:avLst/>
                          </a:prstGeom>
                          <a:noFill/>
                          <a:ln>
                            <a:noFill/>
                          </a:ln>
                        </pic:spPr>
                      </pic:pic>
                    </a:graphicData>
                  </a:graphic>
                </wp:inline>
              </w:drawing>
            </w:r>
            <w:r>
              <w:rPr>
                <w:rFonts w:hint="eastAsia"/>
              </w:rPr>
              <w:t>www.ccgp.gov.cn）进行审查。</w:t>
            </w:r>
          </w:p>
          <w:p>
            <w:pPr>
              <w:pStyle w:val="31"/>
              <w:spacing w:before="0" w:beforeAutospacing="0" w:after="0" w:afterAutospacing="0"/>
            </w:pPr>
            <w:r>
              <w:rPr>
                <w:rFonts w:hint="eastAsia"/>
              </w:rPr>
              <w:t>注：事业单位法人参与投标可不提供财务状况报告、社会保障资金缴纳证明及税收缴纳证明。</w:t>
            </w:r>
          </w:p>
          <w:p>
            <w:pPr>
              <w:pStyle w:val="31"/>
              <w:spacing w:before="0" w:beforeAutospacing="0" w:after="0" w:afterAutospacing="0"/>
            </w:pPr>
            <w:r>
              <w:rPr>
                <w:rFonts w:hint="eastAsia"/>
              </w:rPr>
              <w:t>（9）单位负责人为同一人或者存在控股、管理关系的不同单位不得同时参加同一项目投标。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860" w:type="dxa"/>
            <w:vAlign w:val="center"/>
          </w:tcPr>
          <w:p>
            <w:pPr>
              <w:jc w:val="center"/>
              <w:rPr>
                <w:rFonts w:ascii="宋体" w:hAnsi="宋体" w:cs="宋体"/>
                <w:szCs w:val="24"/>
              </w:rPr>
            </w:pPr>
            <w:r>
              <w:rPr>
                <w:rFonts w:hint="eastAsia" w:ascii="宋体" w:hAnsi="宋体" w:cs="宋体"/>
                <w:szCs w:val="24"/>
              </w:rPr>
              <w:t>20</w:t>
            </w:r>
          </w:p>
        </w:tc>
        <w:tc>
          <w:tcPr>
            <w:tcW w:w="1542" w:type="dxa"/>
            <w:vAlign w:val="center"/>
          </w:tcPr>
          <w:p>
            <w:pPr>
              <w:jc w:val="center"/>
              <w:rPr>
                <w:rFonts w:ascii="宋体" w:hAnsi="宋体" w:cs="宋体"/>
                <w:b/>
                <w:bCs/>
                <w:szCs w:val="24"/>
              </w:rPr>
            </w:pPr>
            <w:r>
              <w:rPr>
                <w:rFonts w:hint="eastAsia" w:ascii="宋体" w:hAnsi="宋体" w:cs="宋体"/>
                <w:szCs w:val="24"/>
              </w:rPr>
              <w:t>合同签订</w:t>
            </w:r>
          </w:p>
        </w:tc>
        <w:tc>
          <w:tcPr>
            <w:tcW w:w="6970" w:type="dxa"/>
            <w:vAlign w:val="center"/>
          </w:tcPr>
          <w:p>
            <w:pPr>
              <w:pStyle w:val="31"/>
              <w:spacing w:before="0" w:beforeAutospacing="0" w:after="0" w:afterAutospacing="0"/>
            </w:pPr>
            <w:r>
              <w:rPr>
                <w:rFonts w:hint="eastAsia"/>
                <w:color w:val="auto"/>
                <w:kern w:val="2"/>
              </w:rPr>
              <w:t>成交通知书发出后30日内，中标人和采购人签订合同。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60" w:type="dxa"/>
            <w:vAlign w:val="center"/>
          </w:tcPr>
          <w:p>
            <w:pPr>
              <w:jc w:val="center"/>
              <w:rPr>
                <w:rFonts w:ascii="宋体" w:hAnsi="宋体" w:cs="宋体"/>
                <w:szCs w:val="24"/>
              </w:rPr>
            </w:pPr>
            <w:r>
              <w:rPr>
                <w:rFonts w:hint="eastAsia" w:ascii="宋体" w:hAnsi="宋体" w:cs="宋体"/>
                <w:szCs w:val="24"/>
              </w:rPr>
              <w:t>21</w:t>
            </w:r>
          </w:p>
        </w:tc>
        <w:tc>
          <w:tcPr>
            <w:tcW w:w="1542" w:type="dxa"/>
            <w:vAlign w:val="center"/>
          </w:tcPr>
          <w:p>
            <w:pPr>
              <w:jc w:val="center"/>
              <w:rPr>
                <w:rFonts w:ascii="宋体" w:hAnsi="宋体" w:cs="宋体"/>
                <w:szCs w:val="24"/>
              </w:rPr>
            </w:pPr>
            <w:r>
              <w:rPr>
                <w:rFonts w:hint="eastAsia" w:ascii="宋体" w:hAnsi="宋体" w:cs="宋体"/>
                <w:szCs w:val="24"/>
              </w:rPr>
              <w:t>转包</w:t>
            </w:r>
          </w:p>
        </w:tc>
        <w:tc>
          <w:tcPr>
            <w:tcW w:w="6970" w:type="dxa"/>
            <w:vAlign w:val="center"/>
          </w:tcPr>
          <w:p>
            <w:pPr>
              <w:rPr>
                <w:rFonts w:ascii="宋体" w:hAnsi="宋体" w:cs="宋体"/>
                <w:szCs w:val="24"/>
              </w:rPr>
            </w:pPr>
            <w:r>
              <w:rPr>
                <w:rFonts w:hint="eastAsia" w:ascii="宋体" w:hAnsi="宋体" w:cs="宋体"/>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60" w:type="dxa"/>
            <w:vAlign w:val="center"/>
          </w:tcPr>
          <w:p>
            <w:pPr>
              <w:jc w:val="center"/>
              <w:rPr>
                <w:rFonts w:ascii="宋体" w:hAnsi="宋体" w:cs="宋体"/>
                <w:szCs w:val="24"/>
              </w:rPr>
            </w:pPr>
            <w:r>
              <w:rPr>
                <w:rFonts w:hint="eastAsia" w:ascii="宋体" w:hAnsi="宋体" w:cs="宋体"/>
                <w:szCs w:val="24"/>
              </w:rPr>
              <w:t>22</w:t>
            </w:r>
          </w:p>
        </w:tc>
        <w:tc>
          <w:tcPr>
            <w:tcW w:w="1542" w:type="dxa"/>
            <w:vAlign w:val="center"/>
          </w:tcPr>
          <w:p>
            <w:pPr>
              <w:jc w:val="center"/>
              <w:rPr>
                <w:rFonts w:ascii="宋体" w:hAnsi="宋体" w:cs="宋体"/>
                <w:szCs w:val="24"/>
              </w:rPr>
            </w:pPr>
            <w:r>
              <w:rPr>
                <w:rFonts w:hint="eastAsia" w:ascii="宋体" w:hAnsi="宋体" w:cs="宋体"/>
                <w:szCs w:val="24"/>
              </w:rPr>
              <w:t>备选方案</w:t>
            </w:r>
          </w:p>
        </w:tc>
        <w:tc>
          <w:tcPr>
            <w:tcW w:w="6970" w:type="dxa"/>
            <w:vAlign w:val="center"/>
          </w:tcPr>
          <w:p>
            <w:pPr>
              <w:rPr>
                <w:rFonts w:ascii="宋体" w:hAnsi="宋体" w:cs="宋体"/>
                <w:szCs w:val="24"/>
              </w:rPr>
            </w:pPr>
            <w:r>
              <w:rPr>
                <w:rFonts w:hint="eastAsia" w:ascii="宋体" w:hAnsi="宋体" w:cs="宋体"/>
                <w:szCs w:val="24"/>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860" w:type="dxa"/>
            <w:vAlign w:val="center"/>
          </w:tcPr>
          <w:p>
            <w:pPr>
              <w:jc w:val="center"/>
              <w:rPr>
                <w:rFonts w:ascii="宋体" w:hAnsi="宋体" w:cs="宋体"/>
                <w:szCs w:val="24"/>
              </w:rPr>
            </w:pPr>
            <w:r>
              <w:rPr>
                <w:rFonts w:hint="eastAsia" w:ascii="宋体" w:hAnsi="宋体" w:cs="宋体"/>
                <w:szCs w:val="24"/>
              </w:rPr>
              <w:t>23</w:t>
            </w:r>
          </w:p>
        </w:tc>
        <w:tc>
          <w:tcPr>
            <w:tcW w:w="1542" w:type="dxa"/>
            <w:vAlign w:val="center"/>
          </w:tcPr>
          <w:p>
            <w:pPr>
              <w:jc w:val="center"/>
              <w:rPr>
                <w:rFonts w:ascii="宋体" w:hAnsi="宋体" w:cs="宋体"/>
                <w:szCs w:val="24"/>
              </w:rPr>
            </w:pPr>
            <w:r>
              <w:rPr>
                <w:rStyle w:val="39"/>
                <w:rFonts w:hint="eastAsia" w:ascii="宋体" w:hAnsi="宋体" w:cs="宋体"/>
                <w:b w:val="0"/>
                <w:shd w:val="clear" w:color="auto" w:fill="FFFFFF"/>
              </w:rPr>
              <w:t>质疑答复</w:t>
            </w:r>
          </w:p>
        </w:tc>
        <w:tc>
          <w:tcPr>
            <w:tcW w:w="6970" w:type="dxa"/>
            <w:vAlign w:val="center"/>
          </w:tcPr>
          <w:p>
            <w:pPr>
              <w:rPr>
                <w:bCs/>
              </w:rPr>
            </w:pPr>
            <w:r>
              <w:rPr>
                <w:rFonts w:hint="eastAsia"/>
                <w:bCs/>
              </w:rPr>
              <w:t>响应供应商提出质疑应符合中华人民共和国财政部令第94号《政府采购质疑和投诉办法》的规定：</w:t>
            </w:r>
          </w:p>
          <w:p>
            <w:pPr>
              <w:rPr>
                <w:bCs/>
              </w:rPr>
            </w:pPr>
            <w:r>
              <w:rPr>
                <w:rFonts w:hint="eastAsia"/>
                <w:bCs/>
              </w:rPr>
              <w:t>1、提出质疑的响应供应商应当是参与所质疑项目采购活动的响应供应商。</w:t>
            </w:r>
          </w:p>
          <w:p>
            <w:pPr>
              <w:rPr>
                <w:bCs/>
              </w:rPr>
            </w:pPr>
            <w:r>
              <w:rPr>
                <w:rFonts w:hint="eastAsia"/>
                <w:bCs/>
              </w:rPr>
              <w:t>2、响应供应商认为采购文件、采购过程、中标或者成交结果使自己的权益受到损害的，可以在知道或者应知其权益受到损害之日起7个工作日内，以书面形式向采购人、采购代理机构提出质疑，响应供应商应在法定质疑期内一次性提出针对同一采购程序环节的质疑。</w:t>
            </w:r>
          </w:p>
          <w:p>
            <w:pPr>
              <w:rPr>
                <w:bCs/>
              </w:rPr>
            </w:pPr>
            <w:r>
              <w:rPr>
                <w:rFonts w:hint="eastAsia"/>
                <w:bCs/>
              </w:rPr>
              <w:t>响应供应商应知其权益受到损害之日，是指：</w:t>
            </w:r>
          </w:p>
          <w:p>
            <w:pPr>
              <w:rPr>
                <w:bCs/>
              </w:rPr>
            </w:pPr>
            <w:r>
              <w:rPr>
                <w:rFonts w:hint="eastAsia"/>
                <w:bCs/>
              </w:rPr>
              <w:t>（1）对可以质疑的采购文件提出质疑的，为收到采购文件之日或者采购文件公告期限届满之日；</w:t>
            </w:r>
          </w:p>
          <w:p>
            <w:pPr>
              <w:rPr>
                <w:bCs/>
              </w:rPr>
            </w:pPr>
            <w:r>
              <w:rPr>
                <w:rFonts w:hint="eastAsia"/>
                <w:bCs/>
              </w:rPr>
              <w:t>（2）对采购过程提出质疑的，为各采购程序环节结束之日；</w:t>
            </w:r>
          </w:p>
          <w:p>
            <w:pPr>
              <w:rPr>
                <w:bCs/>
              </w:rPr>
            </w:pPr>
            <w:r>
              <w:rPr>
                <w:rFonts w:hint="eastAsia"/>
                <w:bCs/>
              </w:rPr>
              <w:t>（3）对中标或者成交结果提出质疑的，为中标或者成交结果公告期限届满之日。</w:t>
            </w:r>
          </w:p>
          <w:p>
            <w:pPr>
              <w:rPr>
                <w:bCs/>
              </w:rPr>
            </w:pPr>
            <w:r>
              <w:rPr>
                <w:rFonts w:hint="eastAsia"/>
              </w:rPr>
              <w:t>3、</w:t>
            </w:r>
            <w:r>
              <w:rPr>
                <w:rFonts w:hint="eastAsia"/>
                <w:bCs/>
              </w:rPr>
              <w:t>响应供应商提出质疑应当提交质疑函和必要的证明材料。质疑函应当包括：</w:t>
            </w:r>
          </w:p>
          <w:p>
            <w:pPr>
              <w:rPr>
                <w:bCs/>
              </w:rPr>
            </w:pPr>
            <w:r>
              <w:rPr>
                <w:rFonts w:hint="eastAsia"/>
                <w:bCs/>
              </w:rPr>
              <w:t>3.1响应供应商的姓名或者名称、地址、邮编、联系人及联系电话；</w:t>
            </w:r>
          </w:p>
          <w:p>
            <w:pPr>
              <w:rPr>
                <w:bCs/>
              </w:rPr>
            </w:pPr>
            <w:r>
              <w:rPr>
                <w:rFonts w:hint="eastAsia"/>
                <w:bCs/>
              </w:rPr>
              <w:t>3.2质疑项目的名称、编号；</w:t>
            </w:r>
          </w:p>
          <w:p>
            <w:pPr>
              <w:rPr>
                <w:bCs/>
              </w:rPr>
            </w:pPr>
            <w:r>
              <w:rPr>
                <w:rFonts w:hint="eastAsia"/>
                <w:bCs/>
              </w:rPr>
              <w:t>3.3具体、明确的质疑事项和与质疑事项相关的请求；</w:t>
            </w:r>
          </w:p>
          <w:p>
            <w:pPr>
              <w:rPr>
                <w:bCs/>
              </w:rPr>
            </w:pPr>
            <w:r>
              <w:rPr>
                <w:rFonts w:hint="eastAsia"/>
                <w:bCs/>
              </w:rPr>
              <w:t>3.4事实依据；</w:t>
            </w:r>
          </w:p>
          <w:p>
            <w:pPr>
              <w:rPr>
                <w:bCs/>
              </w:rPr>
            </w:pPr>
            <w:r>
              <w:rPr>
                <w:rFonts w:hint="eastAsia"/>
                <w:bCs/>
              </w:rPr>
              <w:t>3.5必要的法律依据；</w:t>
            </w:r>
          </w:p>
          <w:p>
            <w:pPr>
              <w:rPr>
                <w:bCs/>
              </w:rPr>
            </w:pPr>
            <w:r>
              <w:rPr>
                <w:rFonts w:hint="eastAsia"/>
                <w:bCs/>
              </w:rPr>
              <w:t>3.6提出质疑的日期。</w:t>
            </w:r>
          </w:p>
          <w:p>
            <w:pPr>
              <w:rPr>
                <w:bCs/>
              </w:rPr>
            </w:pPr>
            <w:r>
              <w:rPr>
                <w:rFonts w:hint="eastAsia"/>
                <w:bCs/>
              </w:rPr>
              <w:t>质疑函应采用财政部颁布的《政府采购响应供应商质疑函范本》。</w:t>
            </w:r>
          </w:p>
          <w:p>
            <w:pPr>
              <w:rPr>
                <w:bCs/>
              </w:rPr>
            </w:pPr>
            <w:r>
              <w:rPr>
                <w:rFonts w:hint="eastAsia"/>
                <w:bCs/>
              </w:rPr>
              <w:t>响应供应商为自然人的，应当由本人签字；响应供应商为法人或者其他组织的，应当由法定代表人、主要负责人，或者其授权代表签字或者盖章，并加盖公章。</w:t>
            </w:r>
          </w:p>
          <w:p>
            <w:pPr>
              <w:rPr>
                <w:bCs/>
              </w:rPr>
            </w:pPr>
            <w:r>
              <w:rPr>
                <w:rFonts w:hint="eastAsia"/>
                <w:bCs/>
              </w:rPr>
              <w:t>4、响应供应商可以委托代理人进行质疑。其授权委托书应当载明代理人的姓名或者名称、代理事项、具体权限、期限和相关事项。响应供应商为自然人的，应当由本人签字；响应供应商为法人或者其他组织的，应当由法定代表人、主要负责人签字或者盖章，并加盖公章。</w:t>
            </w:r>
          </w:p>
          <w:p>
            <w:r>
              <w:rPr>
                <w:rFonts w:hint="eastAsia"/>
              </w:rPr>
              <w:t>5、有下列情形之一的，属于无效质疑，采购代理机构和采购人不予受理：</w:t>
            </w:r>
          </w:p>
          <w:p>
            <w:r>
              <w:rPr>
                <w:rFonts w:hint="eastAsia"/>
              </w:rPr>
              <w:t>5.1质疑响应供应商不是</w:t>
            </w:r>
            <w:r>
              <w:rPr>
                <w:rFonts w:hint="eastAsia"/>
                <w:bCs/>
              </w:rPr>
              <w:t>参与所质疑项目采购活动的响应供应商</w:t>
            </w:r>
            <w:r>
              <w:rPr>
                <w:rFonts w:hint="eastAsia"/>
              </w:rPr>
              <w:t>；</w:t>
            </w:r>
          </w:p>
          <w:p>
            <w:r>
              <w:rPr>
                <w:rFonts w:hint="eastAsia"/>
              </w:rPr>
              <w:t>5.2未在法定质疑期内发出质疑的；</w:t>
            </w:r>
          </w:p>
          <w:p>
            <w:r>
              <w:rPr>
                <w:rFonts w:hint="eastAsia"/>
              </w:rPr>
              <w:t>5.3质疑未以书面形式提出；</w:t>
            </w:r>
          </w:p>
          <w:p>
            <w:r>
              <w:rPr>
                <w:rFonts w:hint="eastAsia"/>
              </w:rPr>
              <w:t>5.4质疑函没有合法有效的签字、盖章或授权的；</w:t>
            </w:r>
          </w:p>
          <w:p>
            <w:r>
              <w:rPr>
                <w:rFonts w:hint="eastAsia"/>
              </w:rPr>
              <w:t>5.5以非法手段取得证据、材料的；</w:t>
            </w:r>
          </w:p>
          <w:p>
            <w:r>
              <w:rPr>
                <w:rFonts w:hint="eastAsia"/>
              </w:rPr>
              <w:t>5.6质疑答复后，同一质疑人就同一事项再次提出质疑的；</w:t>
            </w:r>
          </w:p>
          <w:p>
            <w:r>
              <w:rPr>
                <w:rFonts w:hint="eastAsia"/>
              </w:rPr>
              <w:t>5.7不符合法律、法规、规章和政府采购监管机构规定的其他条件的。</w:t>
            </w:r>
          </w:p>
          <w:p>
            <w:pPr>
              <w:rPr>
                <w:bCs/>
              </w:rPr>
            </w:pPr>
            <w:r>
              <w:rPr>
                <w:rFonts w:hint="eastAsia"/>
                <w:bCs/>
              </w:rPr>
              <w:t>6、质疑答复</w:t>
            </w:r>
          </w:p>
          <w:p>
            <w:pPr>
              <w:rPr>
                <w:bCs/>
              </w:rPr>
            </w:pPr>
            <w:r>
              <w:rPr>
                <w:rFonts w:hint="eastAsia"/>
                <w:bCs/>
              </w:rPr>
              <w:t>采购人、采购代理机构在收到质疑函后七个工作日内做出答复。</w:t>
            </w:r>
          </w:p>
          <w:p>
            <w:r>
              <w:rPr>
                <w:rFonts w:hint="eastAsia"/>
                <w:bCs/>
              </w:rPr>
              <w:t>7、质疑接收方</w:t>
            </w:r>
            <w:r>
              <w:rPr>
                <w:rFonts w:hint="eastAsia"/>
              </w:rPr>
              <w:t>式：响应供应商以书面形式将</w:t>
            </w:r>
            <w:r>
              <w:rPr>
                <w:rFonts w:hint="eastAsia"/>
                <w:bCs/>
              </w:rPr>
              <w:t>质疑函原件和必要的证明材料</w:t>
            </w:r>
            <w:r>
              <w:rPr>
                <w:rFonts w:hint="eastAsia"/>
              </w:rPr>
              <w:t>送至接收部门，法定代表人、主要负责人、自然人提交质疑函须提交其身份证复印件，代理人提交质疑函须提交授权委托书及授权人和被授权人身份证复印件。</w:t>
            </w:r>
          </w:p>
          <w:p>
            <w:pPr>
              <w:rPr>
                <w:bCs/>
              </w:rPr>
            </w:pPr>
            <w:r>
              <w:rPr>
                <w:rFonts w:hint="eastAsia"/>
                <w:bCs/>
              </w:rPr>
              <w:t>接收部门：陕西源丰成工程项目管理有限公司</w:t>
            </w:r>
          </w:p>
          <w:p>
            <w:pPr>
              <w:rPr>
                <w:bCs/>
              </w:rPr>
            </w:pPr>
            <w:r>
              <w:rPr>
                <w:rFonts w:hint="eastAsia"/>
                <w:bCs/>
              </w:rPr>
              <w:t>接收人：刘金杰</w:t>
            </w:r>
          </w:p>
          <w:p>
            <w:pPr>
              <w:rPr>
                <w:bCs/>
              </w:rPr>
            </w:pPr>
            <w:r>
              <w:rPr>
                <w:rFonts w:hint="eastAsia"/>
                <w:bCs/>
              </w:rPr>
              <w:t>联系电话：029-88228984</w:t>
            </w:r>
          </w:p>
          <w:p>
            <w:pPr>
              <w:rPr>
                <w:rFonts w:ascii="宋体" w:hAnsi="宋体" w:cs="宋体"/>
                <w:szCs w:val="24"/>
              </w:rPr>
            </w:pPr>
            <w:r>
              <w:rPr>
                <w:rFonts w:hint="eastAsia"/>
                <w:bCs/>
              </w:rPr>
              <w:t>地 址：陕西省西安市高新区科技五路8号数字大厦5楼508室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0" w:type="dxa"/>
            <w:vAlign w:val="center"/>
          </w:tcPr>
          <w:p>
            <w:pPr>
              <w:jc w:val="center"/>
              <w:rPr>
                <w:rFonts w:ascii="宋体" w:hAnsi="宋体" w:cs="宋体"/>
                <w:szCs w:val="24"/>
              </w:rPr>
            </w:pPr>
            <w:r>
              <w:rPr>
                <w:rFonts w:hint="eastAsia" w:ascii="宋体" w:hAnsi="宋体" w:cs="宋体"/>
                <w:szCs w:val="24"/>
              </w:rPr>
              <w:t>24</w:t>
            </w:r>
          </w:p>
        </w:tc>
        <w:tc>
          <w:tcPr>
            <w:tcW w:w="1542" w:type="dxa"/>
            <w:vAlign w:val="center"/>
          </w:tcPr>
          <w:p>
            <w:pPr>
              <w:jc w:val="center"/>
              <w:rPr>
                <w:rFonts w:ascii="宋体" w:hAnsi="宋体" w:cs="宋体"/>
                <w:szCs w:val="24"/>
              </w:rPr>
            </w:pPr>
            <w:r>
              <w:rPr>
                <w:rFonts w:hint="eastAsia" w:ascii="宋体" w:hAnsi="宋体" w:cs="宋体"/>
                <w:szCs w:val="24"/>
              </w:rPr>
              <w:t>需落实的政府采购政策</w:t>
            </w:r>
          </w:p>
        </w:tc>
        <w:tc>
          <w:tcPr>
            <w:tcW w:w="6970" w:type="dxa"/>
            <w:vAlign w:val="center"/>
          </w:tcPr>
          <w:p>
            <w:pPr>
              <w:rPr>
                <w:lang w:val="zh-CN"/>
              </w:rPr>
            </w:pPr>
            <w:r>
              <w:rPr>
                <w:rFonts w:hint="eastAsia"/>
                <w:lang w:val="zh-CN"/>
              </w:rPr>
              <w:t>本项目专门面向小微企业采购</w:t>
            </w:r>
          </w:p>
          <w:p>
            <w:pPr>
              <w:numPr>
                <w:ilvl w:val="0"/>
                <w:numId w:val="7"/>
              </w:numPr>
              <w:rPr>
                <w:lang w:val="zh-CN"/>
              </w:rPr>
            </w:pPr>
            <w:r>
              <w:rPr>
                <w:rFonts w:hint="eastAsia"/>
                <w:lang w:val="zh-CN"/>
              </w:rPr>
              <w:t>《财政部国家发展改革委关于印发〈节能产品政府采购实施意见〉的通知》（财库〔2004〕185号）；</w:t>
            </w:r>
          </w:p>
          <w:p>
            <w:pPr>
              <w:numPr>
                <w:ilvl w:val="0"/>
                <w:numId w:val="7"/>
              </w:numPr>
              <w:rPr>
                <w:lang w:val="zh-CN"/>
              </w:rPr>
            </w:pPr>
            <w:r>
              <w:rPr>
                <w:rFonts w:hint="eastAsia"/>
                <w:lang w:val="zh-CN"/>
              </w:rPr>
              <w:t>《国务院办公厅关于建立政府强制节能产品制度的通知》（国办发〔2007〕51号）；</w:t>
            </w:r>
          </w:p>
          <w:p>
            <w:pPr>
              <w:numPr>
                <w:ilvl w:val="0"/>
                <w:numId w:val="7"/>
              </w:numPr>
              <w:rPr>
                <w:lang w:val="zh-CN"/>
              </w:rPr>
            </w:pPr>
            <w:r>
              <w:rPr>
                <w:rFonts w:hint="eastAsia"/>
                <w:lang w:val="zh-CN"/>
              </w:rPr>
              <w:t>《财政部环保总局关于环境标志产品政府采购实施的意见》（财库〔2006〕90号）；</w:t>
            </w:r>
          </w:p>
          <w:p>
            <w:pPr>
              <w:numPr>
                <w:ilvl w:val="0"/>
                <w:numId w:val="7"/>
              </w:numPr>
              <w:rPr>
                <w:lang w:val="zh-CN"/>
              </w:rPr>
            </w:pPr>
            <w:r>
              <w:rPr>
                <w:rFonts w:hint="eastAsia"/>
                <w:lang w:val="zh-CN"/>
              </w:rPr>
              <w:t>《财政部司法部关于政府采购支持监狱企业发展有关问题的通知》（财库〔2014〕68号）；</w:t>
            </w:r>
          </w:p>
          <w:p>
            <w:pPr>
              <w:numPr>
                <w:ilvl w:val="0"/>
                <w:numId w:val="7"/>
              </w:numPr>
              <w:rPr>
                <w:lang w:val="zh-CN"/>
              </w:rPr>
            </w:pPr>
            <w:r>
              <w:rPr>
                <w:rFonts w:hint="eastAsia"/>
                <w:lang w:val="zh-CN"/>
              </w:rPr>
              <w:t>《政府采购促进中小企业发展管理办法》（财库〔2020〕46 号）；</w:t>
            </w:r>
          </w:p>
          <w:p>
            <w:pPr>
              <w:numPr>
                <w:ilvl w:val="0"/>
                <w:numId w:val="7"/>
              </w:numPr>
              <w:rPr>
                <w:lang w:val="zh-CN"/>
              </w:rPr>
            </w:pPr>
            <w:r>
              <w:rPr>
                <w:rFonts w:hint="eastAsia"/>
                <w:lang w:val="zh-CN"/>
              </w:rPr>
              <w:t>《关于在政府采购活动中查询及使用信用记录有关问题的通知》（财库〔2016〕125 号）；</w:t>
            </w:r>
          </w:p>
          <w:p>
            <w:pPr>
              <w:numPr>
                <w:ilvl w:val="0"/>
                <w:numId w:val="7"/>
              </w:numPr>
              <w:rPr>
                <w:lang w:val="zh-CN"/>
              </w:rPr>
            </w:pPr>
            <w:r>
              <w:rPr>
                <w:rFonts w:hint="eastAsia"/>
                <w:lang w:val="zh-CN"/>
              </w:rPr>
              <w:t>《三部门联合发布关于促进残疾人就业政府采购政策的通知》（财库〔2017〕141号）；</w:t>
            </w:r>
          </w:p>
          <w:p>
            <w:pPr>
              <w:numPr>
                <w:ilvl w:val="0"/>
                <w:numId w:val="7"/>
              </w:numPr>
              <w:rPr>
                <w:lang w:val="zh-CN"/>
              </w:rPr>
            </w:pPr>
            <w:r>
              <w:rPr>
                <w:rFonts w:hint="eastAsia"/>
                <w:lang w:val="zh-CN"/>
              </w:rPr>
              <w:t>《财政部 发展改革委 生态环境部 市场监管总局 关于调整优化节能产品、环境标志产品政府采购执行机制的通知》（财库〔2019〕9号）；</w:t>
            </w:r>
          </w:p>
          <w:p>
            <w:pPr>
              <w:numPr>
                <w:ilvl w:val="0"/>
                <w:numId w:val="7"/>
              </w:numPr>
              <w:rPr>
                <w:lang w:val="zh-CN"/>
              </w:rPr>
            </w:pPr>
            <w:r>
              <w:rPr>
                <w:rFonts w:hint="eastAsia"/>
                <w:lang w:val="zh-CN"/>
              </w:rPr>
              <w:t>《关于运用政府采购政策支持脱贫攻坚的通知》（财库〔2019〕27号）；</w:t>
            </w:r>
          </w:p>
          <w:p>
            <w:pPr>
              <w:numPr>
                <w:ilvl w:val="0"/>
                <w:numId w:val="7"/>
              </w:numPr>
              <w:rPr>
                <w:lang w:val="zh-CN"/>
              </w:rPr>
            </w:pPr>
            <w:r>
              <w:rPr>
                <w:rFonts w:hint="eastAsia"/>
                <w:lang w:val="zh-CN"/>
              </w:rPr>
              <w:t>陕西省财政厅关于印发《陕西省中小企业政府采购信用融资办法》（陕财办采〔2018〕23号）。</w:t>
            </w:r>
          </w:p>
          <w:p>
            <w:pPr>
              <w:numPr>
                <w:ilvl w:val="0"/>
                <w:numId w:val="7"/>
              </w:numPr>
              <w:rPr>
                <w:lang w:val="zh-CN"/>
              </w:rPr>
            </w:pPr>
            <w:r>
              <w:rPr>
                <w:rFonts w:hint="eastAsia"/>
                <w:lang w:val="zh-CN"/>
              </w:rPr>
              <w:t>《陕西省财政厅关于加快推进我省中小企业政府采购信用融资工作的通知》（陕财办采[2020]15号）</w:t>
            </w:r>
          </w:p>
          <w:p>
            <w:pPr>
              <w:numPr>
                <w:ilvl w:val="0"/>
                <w:numId w:val="7"/>
              </w:numPr>
              <w:rPr>
                <w:lang w:val="zh-CN"/>
              </w:rPr>
            </w:pPr>
            <w:r>
              <w:rPr>
                <w:rFonts w:hint="eastAsia"/>
                <w:lang w:val="zh-CN"/>
              </w:rPr>
              <w:t>《政府采购进口产品管理办法》（财库〔2007〕119号）（13）《关于政府采购进口产品管理有关问题的通知》（财办库〔2008〕248号）；</w:t>
            </w:r>
          </w:p>
          <w:p>
            <w:pPr>
              <w:numPr>
                <w:ilvl w:val="0"/>
                <w:numId w:val="7"/>
              </w:numPr>
              <w:rPr>
                <w:lang w:val="zh-CN"/>
              </w:rPr>
            </w:pPr>
            <w:r>
              <w:rPr>
                <w:rFonts w:hint="eastAsia"/>
                <w:lang w:val="zh-CN"/>
              </w:rPr>
              <w:t>国务院办公厅《关于加快推进重要产品追溯体系建设的意见》（国办发〔2015〕95号）；</w:t>
            </w:r>
          </w:p>
          <w:p>
            <w:pPr>
              <w:rPr>
                <w:rFonts w:ascii="宋体" w:hAnsi="宋体" w:cs="宋体"/>
                <w:szCs w:val="24"/>
              </w:rPr>
            </w:pPr>
            <w:r>
              <w:rPr>
                <w:rFonts w:hint="eastAsia"/>
                <w:lang w:val="zh-CN"/>
              </w:rPr>
              <w:t>（15）《关于印发政府采购贫困地区农副产品实施方案的通知》财库（〔2019〕41号）。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9" w:hRule="atLeast"/>
          <w:jc w:val="center"/>
        </w:trPr>
        <w:tc>
          <w:tcPr>
            <w:tcW w:w="860" w:type="dxa"/>
            <w:vAlign w:val="center"/>
          </w:tcPr>
          <w:p>
            <w:pPr>
              <w:jc w:val="center"/>
              <w:rPr>
                <w:rFonts w:ascii="宋体" w:hAnsi="宋体" w:cs="宋体"/>
                <w:szCs w:val="24"/>
              </w:rPr>
            </w:pPr>
            <w:r>
              <w:rPr>
                <w:rFonts w:hint="eastAsia" w:ascii="宋体" w:hAnsi="宋体" w:cs="宋体"/>
                <w:szCs w:val="24"/>
              </w:rPr>
              <w:t>25</w:t>
            </w:r>
          </w:p>
        </w:tc>
        <w:tc>
          <w:tcPr>
            <w:tcW w:w="1542" w:type="dxa"/>
            <w:vAlign w:val="center"/>
          </w:tcPr>
          <w:p>
            <w:pPr>
              <w:jc w:val="center"/>
              <w:rPr>
                <w:rFonts w:ascii="宋体" w:hAnsi="宋体" w:cs="宋体"/>
                <w:szCs w:val="24"/>
              </w:rPr>
            </w:pPr>
            <w:r>
              <w:t>招标代理服务费</w:t>
            </w:r>
          </w:p>
        </w:tc>
        <w:tc>
          <w:tcPr>
            <w:tcW w:w="6970" w:type="dxa"/>
            <w:vAlign w:val="center"/>
          </w:tcPr>
          <w:p>
            <w:pPr>
              <w:jc w:val="left"/>
            </w:pPr>
            <w:r>
              <w:rPr>
                <w:rFonts w:hint="eastAsia"/>
              </w:rPr>
              <w:t>收取标准：参照国家计委颁发的《招标代理服务收费管理暂行办法》（计价格[2002]1980号）、国家发展改革委员会办公厅颁发的《关于招标代理服务收费有关问题的通知》（发改办价格[2003]857号）文件规定及国家发展改革委《关于降低部分建设项目收费标准规范收费行为等有关问题的通知》[2011]534号</w:t>
            </w:r>
            <w:r>
              <w:rPr>
                <w:rFonts w:hint="eastAsia"/>
                <w:u w:val="single"/>
              </w:rPr>
              <w:t>服务类</w:t>
            </w:r>
            <w:r>
              <w:rPr>
                <w:rFonts w:hint="eastAsia"/>
              </w:rPr>
              <w:t>下浮20%收取。为保证受托人合理成本，若代理服务费按照该计价方式不足5000元的，按照5000元计取。</w:t>
            </w:r>
          </w:p>
          <w:p>
            <w:pPr>
              <w:jc w:val="left"/>
            </w:pPr>
            <w:r>
              <w:rPr>
                <w:rFonts w:hint="eastAsia"/>
              </w:rPr>
              <w:t>代理报酬的币种：人民币 汇率：无</w:t>
            </w:r>
          </w:p>
          <w:p>
            <w:pPr>
              <w:jc w:val="left"/>
            </w:pPr>
            <w:r>
              <w:rPr>
                <w:rFonts w:hint="eastAsia"/>
              </w:rPr>
              <w:t>代理报酬的支付方式：成交人直接支付给受托人。</w:t>
            </w:r>
          </w:p>
          <w:p>
            <w:pPr>
              <w:jc w:val="left"/>
              <w:rPr>
                <w:rFonts w:ascii="宋体" w:hAnsi="宋体" w:cs="宋体"/>
                <w:szCs w:val="24"/>
              </w:rPr>
            </w:pPr>
            <w:r>
              <w:rPr>
                <w:rFonts w:hint="eastAsia"/>
              </w:rPr>
              <w:t>代理报酬的支付时间：《成交通知书》发出前。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60" w:type="dxa"/>
            <w:vAlign w:val="center"/>
          </w:tcPr>
          <w:p>
            <w:pPr>
              <w:ind w:left="170"/>
              <w:textAlignment w:val="baseline"/>
              <w:rPr>
                <w:rFonts w:ascii="宋体" w:hAnsi="宋体"/>
                <w:szCs w:val="24"/>
              </w:rPr>
            </w:pPr>
            <w:r>
              <w:rPr>
                <w:rFonts w:hint="eastAsia" w:ascii="宋体" w:hAnsi="宋体"/>
                <w:szCs w:val="24"/>
              </w:rPr>
              <w:t>26</w:t>
            </w:r>
          </w:p>
        </w:tc>
        <w:tc>
          <w:tcPr>
            <w:tcW w:w="1542" w:type="dxa"/>
            <w:vAlign w:val="center"/>
          </w:tcPr>
          <w:p>
            <w:pPr>
              <w:jc w:val="center"/>
              <w:textAlignment w:val="baseline"/>
              <w:rPr>
                <w:rFonts w:ascii="宋体" w:hAnsi="宋体"/>
                <w:szCs w:val="24"/>
              </w:rPr>
            </w:pPr>
            <w:r>
              <w:rPr>
                <w:rStyle w:val="123"/>
                <w:rFonts w:ascii="宋体" w:hAnsi="宋体"/>
                <w:szCs w:val="24"/>
              </w:rPr>
              <w:t>磋商报价次数、磋商程序和最终报价的产生原则</w:t>
            </w:r>
          </w:p>
        </w:tc>
        <w:tc>
          <w:tcPr>
            <w:tcW w:w="6970" w:type="dxa"/>
            <w:vAlign w:val="center"/>
          </w:tcPr>
          <w:p>
            <w:pPr>
              <w:textAlignment w:val="baseline"/>
              <w:rPr>
                <w:rStyle w:val="123"/>
                <w:rFonts w:ascii="宋体" w:hAnsi="宋体"/>
                <w:szCs w:val="24"/>
              </w:rPr>
            </w:pPr>
            <w:r>
              <w:rPr>
                <w:rStyle w:val="123"/>
                <w:rFonts w:ascii="宋体" w:hAnsi="宋体"/>
                <w:szCs w:val="24"/>
              </w:rPr>
              <w:t>本次磋商采用二次报价。</w:t>
            </w:r>
          </w:p>
          <w:p>
            <w:pPr>
              <w:textAlignment w:val="baseline"/>
              <w:rPr>
                <w:rStyle w:val="123"/>
                <w:rFonts w:ascii="宋体" w:hAnsi="宋体"/>
                <w:szCs w:val="24"/>
              </w:rPr>
            </w:pPr>
            <w:r>
              <w:rPr>
                <w:rStyle w:val="123"/>
                <w:rFonts w:ascii="宋体" w:hAnsi="宋体"/>
                <w:szCs w:val="24"/>
              </w:rPr>
              <w:t>磋商程序为：</w:t>
            </w:r>
          </w:p>
          <w:p>
            <w:pPr>
              <w:numPr>
                <w:ilvl w:val="0"/>
                <w:numId w:val="8"/>
              </w:numPr>
              <w:rPr>
                <w:rStyle w:val="123"/>
                <w:rFonts w:ascii="宋体" w:hAnsi="宋体"/>
                <w:szCs w:val="24"/>
              </w:rPr>
            </w:pPr>
            <w:r>
              <w:rPr>
                <w:rStyle w:val="123"/>
                <w:rFonts w:ascii="宋体" w:hAnsi="宋体"/>
                <w:szCs w:val="24"/>
              </w:rPr>
              <w:t>磋商小组对所有提交的响应文件进行评审；</w:t>
            </w:r>
          </w:p>
          <w:p>
            <w:pPr>
              <w:numPr>
                <w:ilvl w:val="0"/>
                <w:numId w:val="8"/>
              </w:numPr>
              <w:rPr>
                <w:rStyle w:val="123"/>
                <w:rFonts w:ascii="宋体" w:hAnsi="宋体"/>
                <w:szCs w:val="24"/>
              </w:rPr>
            </w:pPr>
            <w:r>
              <w:rPr>
                <w:rStyle w:val="123"/>
                <w:rFonts w:ascii="宋体" w:hAnsi="宋体"/>
                <w:szCs w:val="24"/>
              </w:rPr>
              <w:t>磋商小组所有成员集中与单一供应商分别进行磋商；</w:t>
            </w:r>
          </w:p>
          <w:p>
            <w:pPr>
              <w:numPr>
                <w:ilvl w:val="0"/>
                <w:numId w:val="8"/>
              </w:numPr>
              <w:rPr>
                <w:rStyle w:val="123"/>
                <w:rFonts w:ascii="宋体" w:hAnsi="宋体"/>
                <w:szCs w:val="24"/>
              </w:rPr>
            </w:pPr>
            <w:r>
              <w:rPr>
                <w:rStyle w:val="123"/>
                <w:rFonts w:ascii="宋体" w:hAnsi="宋体"/>
                <w:szCs w:val="24"/>
              </w:rPr>
              <w:t>供应商按照要求提交二次报价；</w:t>
            </w:r>
          </w:p>
          <w:p>
            <w:pPr>
              <w:textAlignment w:val="baseline"/>
              <w:rPr>
                <w:rFonts w:ascii="宋体" w:hAnsi="宋体"/>
                <w:szCs w:val="24"/>
              </w:rPr>
            </w:pPr>
            <w:r>
              <w:rPr>
                <w:rStyle w:val="123"/>
                <w:rFonts w:ascii="宋体" w:hAnsi="宋体"/>
                <w:szCs w:val="24"/>
              </w:rPr>
              <w:t xml:space="preserve">4）磋商小组评审、推荐成交候选人。在磋商过程中，磋商小组可以根据磋商文件和磋商情况实质性变动采购需求中的技术、服务要求以及合同草案条款，二次报价为最终报价。 </w:t>
            </w:r>
          </w:p>
        </w:tc>
      </w:tr>
    </w:tbl>
    <w:p>
      <w:pPr>
        <w:spacing w:line="360" w:lineRule="auto"/>
        <w:ind w:firstLine="481"/>
        <w:jc w:val="left"/>
        <w:rPr>
          <w:rFonts w:ascii="宋体" w:hAnsi="宋体" w:cs="宋体"/>
          <w:szCs w:val="24"/>
        </w:rPr>
      </w:pPr>
    </w:p>
    <w:p>
      <w:pPr>
        <w:spacing w:line="360" w:lineRule="auto"/>
        <w:ind w:firstLine="481"/>
        <w:jc w:val="left"/>
        <w:rPr>
          <w:rFonts w:ascii="宋体" w:hAnsi="宋体" w:cs="宋体"/>
          <w:szCs w:val="24"/>
        </w:rPr>
      </w:pPr>
    </w:p>
    <w:bookmarkEnd w:id="6"/>
    <w:p>
      <w:pPr>
        <w:spacing w:line="360" w:lineRule="auto"/>
        <w:jc w:val="left"/>
        <w:rPr>
          <w:rFonts w:ascii="宋体" w:cs="Times New Roman"/>
          <w:szCs w:val="24"/>
        </w:rPr>
        <w:sectPr>
          <w:headerReference r:id="rId4" w:type="default"/>
          <w:footerReference r:id="rId5" w:type="default"/>
          <w:pgSz w:w="11907" w:h="16840"/>
          <w:pgMar w:top="1440" w:right="1701" w:bottom="1440" w:left="1701" w:header="850" w:footer="964" w:gutter="0"/>
          <w:pgNumType w:start="1"/>
          <w:cols w:space="720" w:num="1"/>
          <w:docGrid w:linePitch="326" w:charSpace="0"/>
        </w:sectPr>
      </w:pPr>
    </w:p>
    <w:p>
      <w:pPr>
        <w:pStyle w:val="3"/>
      </w:pPr>
      <w:bookmarkStart w:id="7" w:name="_Toc48655745"/>
      <w:bookmarkStart w:id="8" w:name="_Toc89440023"/>
      <w:r>
        <w:rPr>
          <w:rFonts w:hint="eastAsia"/>
        </w:rPr>
        <w:t>第三章 供应商须知</w:t>
      </w:r>
      <w:bookmarkEnd w:id="7"/>
      <w:bookmarkEnd w:id="8"/>
    </w:p>
    <w:p>
      <w:pPr>
        <w:pStyle w:val="4"/>
        <w:tabs>
          <w:tab w:val="left" w:pos="576"/>
        </w:tabs>
        <w:spacing w:before="0" w:after="0" w:line="360" w:lineRule="auto"/>
        <w:jc w:val="left"/>
        <w:rPr>
          <w:rFonts w:cs="宋体" w:asciiTheme="minorEastAsia" w:hAnsiTheme="minorEastAsia" w:eastAsiaTheme="minorEastAsia"/>
          <w:iCs/>
          <w:szCs w:val="24"/>
        </w:rPr>
      </w:pPr>
      <w:bookmarkStart w:id="9" w:name="_Toc48655746"/>
      <w:bookmarkStart w:id="10" w:name="_Toc408331519"/>
      <w:bookmarkStart w:id="11" w:name="_Toc386965823"/>
      <w:bookmarkStart w:id="12" w:name="_Toc89440024"/>
      <w:bookmarkStart w:id="13" w:name="_Toc4481"/>
      <w:bookmarkStart w:id="14" w:name="_Toc32712"/>
      <w:bookmarkStart w:id="15" w:name="_Toc392236612"/>
      <w:bookmarkStart w:id="16" w:name="_Toc17356"/>
      <w:bookmarkStart w:id="17" w:name="_Toc3770"/>
      <w:bookmarkStart w:id="18" w:name="_Toc233435917"/>
      <w:bookmarkStart w:id="19" w:name="_Toc16221"/>
      <w:bookmarkStart w:id="20" w:name="_Toc10078"/>
      <w:bookmarkStart w:id="21" w:name="_Toc32342"/>
      <w:bookmarkStart w:id="22" w:name="_Toc25476"/>
      <w:bookmarkStart w:id="23" w:name="_Toc22920"/>
      <w:r>
        <w:rPr>
          <w:rFonts w:hint="eastAsia" w:cs="宋体" w:asciiTheme="minorEastAsia" w:hAnsiTheme="minorEastAsia" w:eastAsiaTheme="minorEastAsia"/>
          <w:iCs/>
          <w:szCs w:val="24"/>
        </w:rPr>
        <w:t>一、总则</w:t>
      </w:r>
      <w:bookmarkEnd w:id="9"/>
      <w:bookmarkEnd w:id="10"/>
      <w:bookmarkEnd w:id="11"/>
      <w:bookmarkEnd w:id="12"/>
      <w:bookmarkEnd w:id="13"/>
      <w:bookmarkEnd w:id="14"/>
      <w:bookmarkEnd w:id="15"/>
      <w:bookmarkEnd w:id="16"/>
      <w:bookmarkEnd w:id="17"/>
      <w:bookmarkEnd w:id="18"/>
    </w:p>
    <w:p>
      <w:pPr>
        <w:spacing w:line="360" w:lineRule="auto"/>
        <w:ind w:firstLine="482" w:firstLineChars="200"/>
        <w:outlineLvl w:val="2"/>
        <w:rPr>
          <w:rFonts w:asciiTheme="minorEastAsia" w:hAnsiTheme="minorEastAsia" w:eastAsiaTheme="minorEastAsia"/>
          <w:b/>
          <w:bCs/>
          <w:szCs w:val="24"/>
        </w:rPr>
      </w:pPr>
      <w:bookmarkStart w:id="24" w:name="_Toc408331520"/>
      <w:bookmarkStart w:id="25" w:name="_Toc10130"/>
      <w:bookmarkStart w:id="26" w:name="_Toc392236613"/>
      <w:bookmarkStart w:id="27" w:name="_Toc1870"/>
      <w:bookmarkStart w:id="28" w:name="_Toc233435918"/>
      <w:bookmarkStart w:id="29" w:name="_Toc19814"/>
      <w:bookmarkStart w:id="30" w:name="_Toc386965824"/>
      <w:bookmarkStart w:id="31" w:name="_Toc2075"/>
      <w:r>
        <w:rPr>
          <w:rFonts w:hint="eastAsia" w:asciiTheme="minorEastAsia" w:hAnsiTheme="minorEastAsia" w:eastAsiaTheme="minorEastAsia"/>
          <w:b/>
          <w:bCs/>
          <w:szCs w:val="24"/>
        </w:rPr>
        <w:t>1 适用范围</w:t>
      </w:r>
      <w:bookmarkEnd w:id="24"/>
      <w:bookmarkEnd w:id="25"/>
      <w:bookmarkEnd w:id="26"/>
      <w:bookmarkEnd w:id="27"/>
      <w:bookmarkEnd w:id="28"/>
      <w:bookmarkEnd w:id="29"/>
      <w:bookmarkEnd w:id="30"/>
      <w:bookmarkEnd w:id="31"/>
    </w:p>
    <w:p>
      <w:pPr>
        <w:spacing w:line="360" w:lineRule="auto"/>
        <w:ind w:firstLine="240" w:firstLineChars="100"/>
        <w:rPr>
          <w:rFonts w:cs="宋体" w:asciiTheme="minorEastAsia" w:hAnsiTheme="minorEastAsia" w:eastAsiaTheme="minorEastAsia"/>
          <w:szCs w:val="24"/>
        </w:rPr>
      </w:pPr>
      <w:r>
        <w:rPr>
          <w:rFonts w:hint="eastAsia" w:cs="宋体" w:asciiTheme="minorEastAsia" w:hAnsiTheme="minorEastAsia" w:eastAsiaTheme="minorEastAsia"/>
          <w:szCs w:val="24"/>
        </w:rPr>
        <w:t>本磋商文件仅适用于本次磋商中所叙述的服务。</w:t>
      </w:r>
    </w:p>
    <w:p>
      <w:pPr>
        <w:spacing w:line="360" w:lineRule="auto"/>
        <w:ind w:firstLine="482" w:firstLineChars="200"/>
        <w:outlineLvl w:val="2"/>
        <w:rPr>
          <w:rFonts w:cs="宋体" w:asciiTheme="minorEastAsia" w:hAnsiTheme="minorEastAsia" w:eastAsiaTheme="minorEastAsia"/>
          <w:szCs w:val="24"/>
        </w:rPr>
      </w:pPr>
      <w:bookmarkStart w:id="32" w:name="_Toc386965825"/>
      <w:bookmarkStart w:id="33" w:name="_Toc12800"/>
      <w:bookmarkStart w:id="34" w:name="_Toc392236614"/>
      <w:bookmarkStart w:id="35" w:name="_Toc233435919"/>
      <w:bookmarkStart w:id="36" w:name="_Toc408331521"/>
      <w:bookmarkStart w:id="37" w:name="_Toc16646"/>
      <w:bookmarkStart w:id="38" w:name="_Toc21218"/>
      <w:bookmarkStart w:id="39" w:name="_Toc20492"/>
      <w:r>
        <w:rPr>
          <w:rFonts w:hint="eastAsia" w:asciiTheme="minorEastAsia" w:hAnsiTheme="minorEastAsia" w:eastAsiaTheme="minorEastAsia"/>
          <w:b/>
          <w:bCs/>
          <w:szCs w:val="24"/>
        </w:rPr>
        <w:t>2 定义</w:t>
      </w:r>
      <w:bookmarkEnd w:id="32"/>
      <w:bookmarkEnd w:id="33"/>
      <w:bookmarkEnd w:id="34"/>
      <w:bookmarkEnd w:id="35"/>
      <w:bookmarkEnd w:id="36"/>
      <w:bookmarkEnd w:id="37"/>
      <w:bookmarkEnd w:id="38"/>
      <w:bookmarkEnd w:id="39"/>
      <w:r>
        <w:rPr>
          <w:rFonts w:hint="eastAsia" w:asciiTheme="minorEastAsia" w:hAnsiTheme="minorEastAsia" w:eastAsiaTheme="minorEastAsia"/>
          <w:b/>
          <w:bCs/>
          <w:szCs w:val="24"/>
        </w:rPr>
        <w:t xml:space="preserve"> </w:t>
      </w:r>
    </w:p>
    <w:p>
      <w:pPr>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2.1 “采购人”系指西安市莲湖区城市管理和综合执法局。</w:t>
      </w:r>
    </w:p>
    <w:p>
      <w:pPr>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2.2“采购代理机构”系指陕西源丰成工程项目管理有限公司。</w:t>
      </w:r>
    </w:p>
    <w:p>
      <w:pPr>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2.3“响应供应商”系指响应磋商文件要求，提交响应文件的服务单位，可为法人。</w:t>
      </w:r>
    </w:p>
    <w:p>
      <w:pPr>
        <w:spacing w:line="360" w:lineRule="auto"/>
        <w:ind w:firstLine="480" w:firstLineChars="200"/>
        <w:rPr>
          <w:rFonts w:cs="宋体" w:asciiTheme="minorEastAsia" w:hAnsiTheme="minorEastAsia" w:eastAsiaTheme="minorEastAsia"/>
          <w:szCs w:val="24"/>
        </w:rPr>
      </w:pPr>
      <w:bookmarkStart w:id="40" w:name="_Toc15675"/>
      <w:bookmarkStart w:id="41" w:name="_Toc10347"/>
      <w:bookmarkStart w:id="42" w:name="_Toc13004"/>
      <w:bookmarkStart w:id="43" w:name="_Toc497546880"/>
      <w:bookmarkStart w:id="44" w:name="_Toc497551782"/>
      <w:bookmarkStart w:id="45" w:name="_Toc385992360"/>
      <w:bookmarkStart w:id="46" w:name="_Toc497712095"/>
      <w:bookmarkStart w:id="47" w:name="_Toc389620199"/>
      <w:bookmarkStart w:id="48" w:name="_Toc497711547"/>
      <w:bookmarkStart w:id="49" w:name="_Toc492955421"/>
      <w:r>
        <w:rPr>
          <w:rFonts w:hint="eastAsia" w:cs="宋体" w:asciiTheme="minorEastAsia" w:hAnsiTheme="minorEastAsia" w:eastAsiaTheme="minorEastAsia"/>
          <w:szCs w:val="24"/>
        </w:rPr>
        <w:t>2.4“服务”系指磋商文件规定响应供应商须承担的市政调查服务以及其他类似的义务。</w:t>
      </w:r>
    </w:p>
    <w:p>
      <w:pPr>
        <w:spacing w:line="360" w:lineRule="auto"/>
        <w:ind w:firstLine="482" w:firstLineChars="200"/>
        <w:outlineLvl w:val="2"/>
        <w:rPr>
          <w:rFonts w:asciiTheme="minorEastAsia" w:hAnsiTheme="minorEastAsia" w:eastAsiaTheme="minorEastAsia"/>
          <w:b/>
          <w:bCs/>
          <w:szCs w:val="24"/>
        </w:rPr>
      </w:pPr>
      <w:bookmarkStart w:id="50" w:name="_Toc18059"/>
      <w:bookmarkStart w:id="51" w:name="_Toc27651"/>
      <w:bookmarkStart w:id="52" w:name="_Toc13986"/>
      <w:r>
        <w:rPr>
          <w:rFonts w:hint="eastAsia" w:asciiTheme="minorEastAsia" w:hAnsiTheme="minorEastAsia" w:eastAsiaTheme="minorEastAsia"/>
          <w:b/>
          <w:bCs/>
          <w:szCs w:val="24"/>
        </w:rPr>
        <w:t>3. 合格的</w:t>
      </w:r>
      <w:bookmarkEnd w:id="40"/>
      <w:bookmarkEnd w:id="41"/>
      <w:bookmarkEnd w:id="42"/>
      <w:bookmarkEnd w:id="50"/>
      <w:bookmarkEnd w:id="51"/>
      <w:bookmarkEnd w:id="52"/>
      <w:r>
        <w:rPr>
          <w:rFonts w:hint="eastAsia" w:asciiTheme="minorEastAsia" w:hAnsiTheme="minorEastAsia" w:eastAsiaTheme="minorEastAsia"/>
          <w:b/>
          <w:bCs/>
          <w:szCs w:val="24"/>
        </w:rPr>
        <w:t>响应供应商</w:t>
      </w:r>
    </w:p>
    <w:p>
      <w:pPr>
        <w:overflowPunct w:val="0"/>
        <w:adjustRightInd w:val="0"/>
        <w:snapToGrid w:val="0"/>
        <w:spacing w:line="360" w:lineRule="auto"/>
        <w:ind w:firstLine="480" w:firstLineChars="200"/>
        <w:rPr>
          <w:rFonts w:cs="宋体" w:asciiTheme="minorEastAsia" w:hAnsiTheme="minorEastAsia" w:eastAsiaTheme="minorEastAsia"/>
          <w:szCs w:val="24"/>
        </w:rPr>
      </w:pPr>
      <w:bookmarkStart w:id="53" w:name="_Toc246928899"/>
      <w:r>
        <w:rPr>
          <w:rFonts w:hint="eastAsia" w:cs="宋体" w:asciiTheme="minorEastAsia" w:hAnsiTheme="minorEastAsia" w:eastAsiaTheme="minorEastAsia"/>
          <w:szCs w:val="24"/>
        </w:rPr>
        <w:t>3.1 凡符合响应供应商资格要求且有能力提供采购货物和服务的响应供应商均可参加采购活动。</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3.2 响应供应商必须在磋商公告载明的地点获取响应文件并登记备案，未经获取响应文件并登记备案的潜在响应供应商均无资格参加本次采购活动。</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3.3 响应供应商应参照《中华人民共和国政府采购法》及其它有关的中国法律和法规。</w:t>
      </w:r>
    </w:p>
    <w:bookmarkEnd w:id="53"/>
    <w:p>
      <w:pPr>
        <w:spacing w:line="360" w:lineRule="auto"/>
        <w:ind w:firstLine="482" w:firstLineChars="200"/>
        <w:outlineLvl w:val="2"/>
        <w:rPr>
          <w:rFonts w:asciiTheme="minorEastAsia" w:hAnsiTheme="minorEastAsia" w:eastAsiaTheme="minorEastAsia"/>
          <w:b/>
          <w:bCs/>
          <w:szCs w:val="24"/>
        </w:rPr>
      </w:pPr>
      <w:bookmarkStart w:id="54" w:name="_Toc30568"/>
      <w:bookmarkStart w:id="55" w:name="_Toc19994"/>
      <w:bookmarkStart w:id="56" w:name="_Toc12948"/>
      <w:bookmarkStart w:id="57" w:name="_Toc24624"/>
      <w:bookmarkStart w:id="58" w:name="_Toc311415574"/>
      <w:bookmarkStart w:id="59" w:name="_Toc14686"/>
      <w:bookmarkStart w:id="60" w:name="_Toc29332"/>
      <w:bookmarkStart w:id="61" w:name="_Toc246928900"/>
      <w:r>
        <w:rPr>
          <w:rFonts w:hint="eastAsia" w:asciiTheme="minorEastAsia" w:hAnsiTheme="minorEastAsia" w:eastAsiaTheme="minorEastAsia"/>
          <w:b/>
          <w:bCs/>
          <w:szCs w:val="24"/>
        </w:rPr>
        <w:t>4. 合格服务</w:t>
      </w:r>
      <w:bookmarkEnd w:id="54"/>
      <w:bookmarkEnd w:id="55"/>
      <w:bookmarkEnd w:id="56"/>
      <w:bookmarkEnd w:id="57"/>
      <w:bookmarkEnd w:id="58"/>
      <w:bookmarkEnd w:id="59"/>
      <w:bookmarkEnd w:id="60"/>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4.1 合同中提供的所有有关的服务，均应来自国家有关政府采购规定的服务的合格来源，本合同的支付也仅限于这些服务。</w:t>
      </w:r>
    </w:p>
    <w:p>
      <w:pPr>
        <w:spacing w:line="360" w:lineRule="auto"/>
        <w:ind w:firstLine="482" w:firstLineChars="200"/>
        <w:outlineLvl w:val="2"/>
        <w:rPr>
          <w:rFonts w:asciiTheme="minorEastAsia" w:hAnsiTheme="minorEastAsia" w:eastAsiaTheme="minorEastAsia"/>
          <w:b/>
          <w:bCs/>
          <w:szCs w:val="24"/>
        </w:rPr>
      </w:pPr>
      <w:bookmarkStart w:id="62" w:name="_Toc2488"/>
      <w:bookmarkStart w:id="63" w:name="_Toc3554"/>
      <w:bookmarkStart w:id="64" w:name="_Toc6599"/>
      <w:bookmarkStart w:id="65" w:name="_Toc19841"/>
      <w:bookmarkStart w:id="66" w:name="_Toc311415575"/>
      <w:bookmarkStart w:id="67" w:name="_Toc15604"/>
      <w:bookmarkStart w:id="68" w:name="_Toc93"/>
      <w:r>
        <w:rPr>
          <w:rFonts w:hint="eastAsia" w:asciiTheme="minorEastAsia" w:hAnsiTheme="minorEastAsia" w:eastAsiaTheme="minorEastAsia"/>
          <w:b/>
          <w:bCs/>
          <w:szCs w:val="24"/>
        </w:rPr>
        <w:t>5. 费用</w:t>
      </w:r>
      <w:bookmarkEnd w:id="62"/>
      <w:bookmarkEnd w:id="63"/>
      <w:bookmarkEnd w:id="64"/>
      <w:bookmarkEnd w:id="65"/>
      <w:bookmarkEnd w:id="66"/>
      <w:bookmarkEnd w:id="67"/>
      <w:bookmarkEnd w:id="68"/>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5.1 响应供应商应承担所有与编写和提交响应文件有关的费用，采购人和采购代理机构在任何情况下均无义务和责任承担该费用。</w:t>
      </w:r>
    </w:p>
    <w:p>
      <w:pPr>
        <w:pStyle w:val="4"/>
        <w:tabs>
          <w:tab w:val="left" w:pos="576"/>
        </w:tabs>
        <w:spacing w:before="0" w:after="0" w:line="360" w:lineRule="auto"/>
        <w:jc w:val="left"/>
        <w:rPr>
          <w:rFonts w:cs="宋体" w:asciiTheme="minorEastAsia" w:hAnsiTheme="minorEastAsia" w:eastAsiaTheme="minorEastAsia"/>
          <w:iCs/>
          <w:szCs w:val="24"/>
        </w:rPr>
      </w:pPr>
      <w:bookmarkStart w:id="69" w:name="_Toc7313"/>
      <w:bookmarkStart w:id="70" w:name="_Toc1993"/>
      <w:bookmarkStart w:id="71" w:name="_Toc48655747"/>
      <w:bookmarkStart w:id="72" w:name="_Toc23770"/>
      <w:bookmarkStart w:id="73" w:name="_Toc21403"/>
      <w:bookmarkStart w:id="74" w:name="_Toc89440025"/>
      <w:bookmarkStart w:id="75" w:name="_Toc2642"/>
      <w:bookmarkStart w:id="76" w:name="_Toc2754"/>
      <w:r>
        <w:rPr>
          <w:rFonts w:hint="eastAsia" w:cs="宋体" w:asciiTheme="minorEastAsia" w:hAnsiTheme="minorEastAsia" w:eastAsiaTheme="minorEastAsia"/>
          <w:iCs/>
          <w:szCs w:val="24"/>
        </w:rPr>
        <w:t>二、磋商文件说明</w:t>
      </w:r>
      <w:bookmarkEnd w:id="61"/>
      <w:bookmarkEnd w:id="69"/>
      <w:bookmarkEnd w:id="70"/>
      <w:bookmarkEnd w:id="71"/>
      <w:bookmarkEnd w:id="72"/>
      <w:bookmarkEnd w:id="73"/>
      <w:bookmarkEnd w:id="74"/>
      <w:bookmarkEnd w:id="75"/>
      <w:bookmarkEnd w:id="76"/>
    </w:p>
    <w:p>
      <w:pPr>
        <w:spacing w:line="360" w:lineRule="auto"/>
        <w:ind w:firstLine="482" w:firstLineChars="200"/>
        <w:rPr>
          <w:rFonts w:asciiTheme="minorEastAsia" w:hAnsiTheme="minorEastAsia" w:eastAsiaTheme="minorEastAsia"/>
          <w:b/>
          <w:bCs/>
          <w:szCs w:val="24"/>
        </w:rPr>
      </w:pPr>
      <w:bookmarkStart w:id="77" w:name="_Toc10743"/>
      <w:bookmarkStart w:id="78" w:name="_Toc8051"/>
      <w:bookmarkStart w:id="79" w:name="_Toc30072"/>
      <w:bookmarkStart w:id="80" w:name="_Toc7384"/>
      <w:bookmarkStart w:id="81" w:name="_Toc6641"/>
      <w:bookmarkStart w:id="82" w:name="_Toc246928901"/>
      <w:bookmarkStart w:id="83" w:name="_Toc11178"/>
      <w:r>
        <w:rPr>
          <w:rFonts w:hint="eastAsia" w:asciiTheme="minorEastAsia" w:hAnsiTheme="minorEastAsia" w:eastAsiaTheme="minorEastAsia"/>
          <w:b/>
          <w:bCs/>
          <w:szCs w:val="24"/>
        </w:rPr>
        <w:t>6．磋商文件的构成</w:t>
      </w:r>
      <w:bookmarkEnd w:id="77"/>
      <w:bookmarkEnd w:id="78"/>
      <w:bookmarkEnd w:id="79"/>
      <w:bookmarkEnd w:id="80"/>
      <w:bookmarkEnd w:id="81"/>
      <w:bookmarkEnd w:id="82"/>
      <w:bookmarkEnd w:id="83"/>
    </w:p>
    <w:p>
      <w:pPr>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 xml:space="preserve">6.1 </w:t>
      </w:r>
      <w:r>
        <w:rPr>
          <w:rFonts w:hint="eastAsia" w:cs="宋体" w:asciiTheme="minorEastAsia" w:hAnsiTheme="minorEastAsia" w:eastAsiaTheme="minorEastAsia"/>
          <w:bCs/>
          <w:iCs/>
          <w:szCs w:val="24"/>
        </w:rPr>
        <w:t>磋商</w:t>
      </w:r>
      <w:r>
        <w:rPr>
          <w:rFonts w:hint="eastAsia" w:cs="宋体" w:asciiTheme="minorEastAsia" w:hAnsiTheme="minorEastAsia" w:eastAsiaTheme="minorEastAsia"/>
          <w:szCs w:val="24"/>
        </w:rPr>
        <w:t>文件用以阐明所需提供的服务、采购、磋商程序和合同条件。</w:t>
      </w:r>
      <w:r>
        <w:rPr>
          <w:rFonts w:hint="eastAsia" w:cs="宋体" w:asciiTheme="minorEastAsia" w:hAnsiTheme="minorEastAsia" w:eastAsiaTheme="minorEastAsia"/>
          <w:bCs/>
          <w:iCs/>
          <w:szCs w:val="24"/>
        </w:rPr>
        <w:t>磋商</w:t>
      </w:r>
      <w:r>
        <w:rPr>
          <w:rFonts w:hint="eastAsia" w:cs="宋体" w:asciiTheme="minorEastAsia" w:hAnsiTheme="minorEastAsia" w:eastAsiaTheme="minorEastAsia"/>
          <w:szCs w:val="24"/>
        </w:rPr>
        <w:t>文件包括：</w:t>
      </w:r>
    </w:p>
    <w:p>
      <w:pPr>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6.1.1 竞争性磋商公告；</w:t>
      </w:r>
    </w:p>
    <w:p>
      <w:pPr>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6.1.2 供应商须知前附表；</w:t>
      </w:r>
    </w:p>
    <w:p>
      <w:pPr>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6.1.3 供应商须知；</w:t>
      </w:r>
    </w:p>
    <w:p>
      <w:pPr>
        <w:tabs>
          <w:tab w:val="left" w:pos="2415"/>
        </w:tabs>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6.1.4 合同条款；</w:t>
      </w:r>
      <w:r>
        <w:rPr>
          <w:rFonts w:hint="eastAsia" w:cs="宋体" w:asciiTheme="minorEastAsia" w:hAnsiTheme="minorEastAsia" w:eastAsiaTheme="minorEastAsia"/>
          <w:szCs w:val="24"/>
        </w:rPr>
        <w:tab/>
      </w:r>
    </w:p>
    <w:p>
      <w:pPr>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6.1.5 采购内容及要求；</w:t>
      </w:r>
    </w:p>
    <w:p>
      <w:pPr>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6.1.6 评标方法；</w:t>
      </w:r>
    </w:p>
    <w:p>
      <w:pPr>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6.1.7 响应文件；</w:t>
      </w:r>
    </w:p>
    <w:p>
      <w:pPr>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6.2 响应供应商应认真阅读竞争性</w:t>
      </w:r>
      <w:r>
        <w:rPr>
          <w:rFonts w:hint="eastAsia" w:cs="宋体" w:asciiTheme="minorEastAsia" w:hAnsiTheme="minorEastAsia" w:eastAsiaTheme="minorEastAsia"/>
          <w:bCs/>
          <w:iCs/>
          <w:szCs w:val="24"/>
        </w:rPr>
        <w:t>磋商</w:t>
      </w:r>
      <w:r>
        <w:rPr>
          <w:rFonts w:hint="eastAsia" w:cs="宋体" w:asciiTheme="minorEastAsia" w:hAnsiTheme="minorEastAsia" w:eastAsiaTheme="minorEastAsia"/>
          <w:szCs w:val="24"/>
        </w:rPr>
        <w:t>文件中所有的事项、格式条款和规范要求等</w:t>
      </w:r>
      <w:bookmarkStart w:id="84" w:name="_Toc246928902"/>
      <w:r>
        <w:rPr>
          <w:rFonts w:hint="eastAsia" w:cs="宋体" w:asciiTheme="minorEastAsia" w:hAnsiTheme="minorEastAsia" w:eastAsiaTheme="minorEastAsia"/>
          <w:szCs w:val="24"/>
        </w:rPr>
        <w:t>，采购人有权拒绝没有对</w:t>
      </w:r>
      <w:r>
        <w:rPr>
          <w:rFonts w:hint="eastAsia" w:cs="宋体" w:asciiTheme="minorEastAsia" w:hAnsiTheme="minorEastAsia" w:eastAsiaTheme="minorEastAsia"/>
          <w:bCs/>
          <w:iCs/>
          <w:szCs w:val="24"/>
        </w:rPr>
        <w:t>磋商</w:t>
      </w:r>
      <w:r>
        <w:rPr>
          <w:rFonts w:hint="eastAsia" w:cs="宋体" w:asciiTheme="minorEastAsia" w:hAnsiTheme="minorEastAsia" w:eastAsiaTheme="minorEastAsia"/>
          <w:szCs w:val="24"/>
        </w:rPr>
        <w:t>文件要求做出实质性响应的投标。</w:t>
      </w:r>
    </w:p>
    <w:p>
      <w:pPr>
        <w:spacing w:line="360" w:lineRule="auto"/>
        <w:ind w:firstLine="482" w:firstLineChars="200"/>
        <w:rPr>
          <w:rFonts w:asciiTheme="minorEastAsia" w:hAnsiTheme="minorEastAsia" w:eastAsiaTheme="minorEastAsia"/>
          <w:b/>
          <w:bCs/>
          <w:szCs w:val="24"/>
        </w:rPr>
      </w:pPr>
      <w:bookmarkStart w:id="85" w:name="_Toc31195"/>
      <w:bookmarkStart w:id="86" w:name="_Toc13473"/>
      <w:bookmarkStart w:id="87" w:name="_Toc8882"/>
      <w:bookmarkStart w:id="88" w:name="_Toc19502"/>
      <w:bookmarkStart w:id="89" w:name="_Toc27285"/>
      <w:r>
        <w:rPr>
          <w:rFonts w:hint="eastAsia" w:asciiTheme="minorEastAsia" w:hAnsiTheme="minorEastAsia" w:eastAsiaTheme="minorEastAsia"/>
          <w:b/>
          <w:bCs/>
          <w:szCs w:val="24"/>
        </w:rPr>
        <w:t>7．磋商文件的澄清</w:t>
      </w:r>
      <w:bookmarkEnd w:id="84"/>
      <w:bookmarkEnd w:id="85"/>
      <w:bookmarkEnd w:id="86"/>
      <w:bookmarkEnd w:id="87"/>
      <w:bookmarkEnd w:id="88"/>
      <w:bookmarkEnd w:id="89"/>
    </w:p>
    <w:p>
      <w:pPr>
        <w:overflowPunct w:val="0"/>
        <w:adjustRightInd w:val="0"/>
        <w:snapToGrid w:val="0"/>
        <w:spacing w:line="360" w:lineRule="auto"/>
        <w:ind w:firstLine="480" w:firstLineChars="200"/>
        <w:rPr>
          <w:rFonts w:cs="宋体" w:asciiTheme="minorEastAsia" w:hAnsiTheme="minorEastAsia" w:eastAsiaTheme="minorEastAsia"/>
          <w:szCs w:val="24"/>
        </w:rPr>
      </w:pPr>
      <w:bookmarkStart w:id="90" w:name="_Toc246928903"/>
      <w:r>
        <w:rPr>
          <w:rFonts w:hint="eastAsia" w:cs="宋体" w:asciiTheme="minorEastAsia" w:hAnsiTheme="minorEastAsia" w:eastAsiaTheme="minorEastAsia"/>
          <w:szCs w:val="24"/>
        </w:rPr>
        <w:t>7.1 任何要求对</w:t>
      </w:r>
      <w:r>
        <w:rPr>
          <w:rFonts w:hint="eastAsia" w:cs="宋体" w:asciiTheme="minorEastAsia" w:hAnsiTheme="minorEastAsia" w:eastAsiaTheme="minorEastAsia"/>
          <w:bCs/>
          <w:iCs/>
          <w:szCs w:val="24"/>
        </w:rPr>
        <w:t>磋商</w:t>
      </w:r>
      <w:r>
        <w:rPr>
          <w:rFonts w:hint="eastAsia" w:cs="宋体" w:asciiTheme="minorEastAsia" w:hAnsiTheme="minorEastAsia" w:eastAsiaTheme="minorEastAsia"/>
          <w:szCs w:val="24"/>
        </w:rPr>
        <w:t>文件澄清的响应供应商，应在获取响应文件后七个工作日内以书面形式通知采购代理机构。采购代理机构将视情况确定采用适当方式予以澄清或以书面形式予以答复，涉及变更或修正内容在政府采购发布媒体上发布更正公告，并以书面形式通知所有获取</w:t>
      </w:r>
      <w:r>
        <w:rPr>
          <w:rFonts w:hint="eastAsia" w:cs="宋体" w:asciiTheme="minorEastAsia" w:hAnsiTheme="minorEastAsia" w:eastAsiaTheme="minorEastAsia"/>
          <w:bCs/>
          <w:iCs/>
          <w:szCs w:val="24"/>
        </w:rPr>
        <w:t>磋商</w:t>
      </w:r>
      <w:r>
        <w:rPr>
          <w:rFonts w:hint="eastAsia" w:cs="宋体" w:asciiTheme="minorEastAsia" w:hAnsiTheme="minorEastAsia" w:eastAsiaTheme="minorEastAsia"/>
          <w:szCs w:val="24"/>
        </w:rPr>
        <w:t>文件的响应供应商，更正公告作为</w:t>
      </w:r>
      <w:r>
        <w:rPr>
          <w:rFonts w:hint="eastAsia" w:cs="宋体" w:asciiTheme="minorEastAsia" w:hAnsiTheme="minorEastAsia" w:eastAsiaTheme="minorEastAsia"/>
          <w:bCs/>
          <w:iCs/>
          <w:szCs w:val="24"/>
        </w:rPr>
        <w:t>磋商</w:t>
      </w:r>
      <w:r>
        <w:rPr>
          <w:rFonts w:hint="eastAsia" w:cs="宋体" w:asciiTheme="minorEastAsia" w:hAnsiTheme="minorEastAsia" w:eastAsiaTheme="minorEastAsia"/>
          <w:szCs w:val="24"/>
        </w:rPr>
        <w:t>文件的组成部分。</w:t>
      </w:r>
    </w:p>
    <w:p>
      <w:pPr>
        <w:spacing w:line="360" w:lineRule="auto"/>
        <w:ind w:firstLine="482" w:firstLineChars="200"/>
        <w:rPr>
          <w:rFonts w:asciiTheme="minorEastAsia" w:hAnsiTheme="minorEastAsia" w:eastAsiaTheme="minorEastAsia"/>
          <w:b/>
          <w:bCs/>
          <w:szCs w:val="24"/>
        </w:rPr>
      </w:pPr>
      <w:bookmarkStart w:id="91" w:name="_Toc24817"/>
      <w:bookmarkStart w:id="92" w:name="_Toc28414"/>
      <w:bookmarkStart w:id="93" w:name="_Toc29954"/>
      <w:bookmarkStart w:id="94" w:name="_Toc4353"/>
      <w:bookmarkStart w:id="95" w:name="_Toc16107"/>
      <w:bookmarkStart w:id="96" w:name="_Toc16769"/>
      <w:r>
        <w:rPr>
          <w:rFonts w:hint="eastAsia" w:asciiTheme="minorEastAsia" w:hAnsiTheme="minorEastAsia" w:eastAsiaTheme="minorEastAsia"/>
          <w:b/>
          <w:bCs/>
          <w:szCs w:val="24"/>
        </w:rPr>
        <w:t>8．磋商文件的修改</w:t>
      </w:r>
      <w:bookmarkEnd w:id="90"/>
      <w:bookmarkEnd w:id="91"/>
      <w:bookmarkEnd w:id="92"/>
      <w:bookmarkEnd w:id="93"/>
      <w:bookmarkEnd w:id="94"/>
      <w:bookmarkEnd w:id="95"/>
      <w:bookmarkEnd w:id="96"/>
    </w:p>
    <w:p>
      <w:pPr>
        <w:overflowPunct w:val="0"/>
        <w:adjustRightInd w:val="0"/>
        <w:snapToGrid w:val="0"/>
        <w:spacing w:line="360" w:lineRule="auto"/>
        <w:ind w:firstLine="480" w:firstLineChars="200"/>
        <w:rPr>
          <w:rFonts w:cs="宋体" w:asciiTheme="minorEastAsia" w:hAnsiTheme="minorEastAsia" w:eastAsiaTheme="minorEastAsia"/>
          <w:szCs w:val="24"/>
        </w:rPr>
      </w:pPr>
      <w:bookmarkStart w:id="97" w:name="_Toc332874421"/>
      <w:bookmarkStart w:id="98" w:name="_Toc283626504"/>
      <w:bookmarkStart w:id="99" w:name="_Toc409684168"/>
      <w:bookmarkStart w:id="100" w:name="_Toc283240488"/>
      <w:bookmarkStart w:id="101" w:name="_Toc311415580"/>
      <w:bookmarkStart w:id="102" w:name="_Toc246928929"/>
      <w:r>
        <w:rPr>
          <w:rFonts w:hint="eastAsia" w:cs="宋体" w:asciiTheme="minorEastAsia" w:hAnsiTheme="minorEastAsia" w:eastAsiaTheme="minorEastAsia"/>
          <w:szCs w:val="24"/>
        </w:rPr>
        <w:t>8.1 在</w:t>
      </w:r>
      <w:r>
        <w:rPr>
          <w:rFonts w:hint="eastAsia" w:cs="宋体" w:asciiTheme="minorEastAsia" w:hAnsiTheme="minorEastAsia" w:eastAsiaTheme="minorEastAsia"/>
          <w:bCs/>
          <w:iCs/>
          <w:szCs w:val="24"/>
        </w:rPr>
        <w:t>磋商</w:t>
      </w:r>
      <w:r>
        <w:rPr>
          <w:rFonts w:hint="eastAsia" w:cs="宋体" w:asciiTheme="minorEastAsia" w:hAnsiTheme="minorEastAsia" w:eastAsiaTheme="minorEastAsia"/>
          <w:szCs w:val="24"/>
        </w:rPr>
        <w:t>文件要求提交响应文件截止时间前，采购人可主动地或在解答响应供应商要求澄清的问题时对</w:t>
      </w:r>
      <w:r>
        <w:rPr>
          <w:rFonts w:hint="eastAsia" w:cs="宋体" w:asciiTheme="minorEastAsia" w:hAnsiTheme="minorEastAsia" w:eastAsiaTheme="minorEastAsia"/>
          <w:bCs/>
          <w:iCs/>
          <w:szCs w:val="24"/>
        </w:rPr>
        <w:t>磋商</w:t>
      </w:r>
      <w:r>
        <w:rPr>
          <w:rFonts w:hint="eastAsia" w:cs="宋体" w:asciiTheme="minorEastAsia" w:hAnsiTheme="minorEastAsia" w:eastAsiaTheme="minorEastAsia"/>
          <w:szCs w:val="24"/>
        </w:rPr>
        <w:t>文件进行修改。</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 xml:space="preserve">8.2 </w:t>
      </w:r>
      <w:r>
        <w:rPr>
          <w:rFonts w:hint="eastAsia" w:cs="宋体" w:asciiTheme="minorEastAsia" w:hAnsiTheme="minorEastAsia" w:eastAsiaTheme="minorEastAsia"/>
          <w:bCs/>
          <w:iCs/>
          <w:szCs w:val="24"/>
        </w:rPr>
        <w:t>磋商</w:t>
      </w:r>
      <w:r>
        <w:rPr>
          <w:rFonts w:hint="eastAsia" w:cs="宋体" w:asciiTheme="minorEastAsia" w:hAnsiTheme="minorEastAsia" w:eastAsiaTheme="minorEastAsia"/>
          <w:szCs w:val="24"/>
        </w:rPr>
        <w:t>文件的修改将以书面形式通知所有获取竞争性</w:t>
      </w:r>
      <w:r>
        <w:rPr>
          <w:rFonts w:hint="eastAsia" w:cs="宋体" w:asciiTheme="minorEastAsia" w:hAnsiTheme="minorEastAsia" w:eastAsiaTheme="minorEastAsia"/>
          <w:bCs/>
          <w:iCs/>
          <w:szCs w:val="24"/>
        </w:rPr>
        <w:t>磋商</w:t>
      </w:r>
      <w:r>
        <w:rPr>
          <w:rFonts w:hint="eastAsia" w:cs="宋体" w:asciiTheme="minorEastAsia" w:hAnsiTheme="minorEastAsia" w:eastAsiaTheme="minorEastAsia"/>
          <w:szCs w:val="24"/>
        </w:rPr>
        <w:t>文件的响应供应商，响应供应商在收到该通知后应立即予以确认。</w:t>
      </w:r>
    </w:p>
    <w:p>
      <w:pPr>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8.3 采购人或者采购代理机构可以对已发出的竞争性</w:t>
      </w:r>
      <w:r>
        <w:rPr>
          <w:rFonts w:hint="eastAsia" w:cs="宋体" w:asciiTheme="minorEastAsia" w:hAnsiTheme="minorEastAsia" w:eastAsiaTheme="minorEastAsia"/>
          <w:bCs/>
          <w:iCs/>
          <w:szCs w:val="24"/>
        </w:rPr>
        <w:t>磋商</w:t>
      </w:r>
      <w:r>
        <w:rPr>
          <w:rFonts w:hint="eastAsia" w:cs="宋体" w:asciiTheme="minorEastAsia" w:hAnsiTheme="minorEastAsia" w:eastAsiaTheme="minorEastAsia"/>
          <w:szCs w:val="24"/>
        </w:rPr>
        <w:t>文件进行必要的澄清或者修改,澄清或者修改的内容可能影响响应文件编制的，采购人或者采购代理机构应当在磋商截止时间至少5日前，以书面形式通知所有获取竞争性</w:t>
      </w:r>
      <w:r>
        <w:rPr>
          <w:rFonts w:hint="eastAsia" w:cs="宋体" w:asciiTheme="minorEastAsia" w:hAnsiTheme="minorEastAsia" w:eastAsiaTheme="minorEastAsia"/>
          <w:bCs/>
          <w:iCs/>
          <w:szCs w:val="24"/>
        </w:rPr>
        <w:t>磋商</w:t>
      </w:r>
      <w:r>
        <w:rPr>
          <w:rFonts w:hint="eastAsia" w:cs="宋体" w:asciiTheme="minorEastAsia" w:hAnsiTheme="minorEastAsia" w:eastAsiaTheme="minorEastAsia"/>
          <w:szCs w:val="24"/>
        </w:rPr>
        <w:t>文件的潜在响应供应商；不足5日的，采购人或者采购代理机构应当顺延提交响应文件的截止时间。</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8.4 竞争性</w:t>
      </w:r>
      <w:r>
        <w:rPr>
          <w:rFonts w:hint="eastAsia" w:cs="宋体" w:asciiTheme="minorEastAsia" w:hAnsiTheme="minorEastAsia" w:eastAsiaTheme="minorEastAsia"/>
          <w:bCs/>
          <w:iCs/>
          <w:szCs w:val="24"/>
        </w:rPr>
        <w:t>磋商</w:t>
      </w:r>
      <w:r>
        <w:rPr>
          <w:rFonts w:hint="eastAsia" w:cs="宋体" w:asciiTheme="minorEastAsia" w:hAnsiTheme="minorEastAsia" w:eastAsiaTheme="minorEastAsia"/>
          <w:szCs w:val="24"/>
        </w:rPr>
        <w:t>文件的修改书将构成响应文件的一部分，对采购人和响应供应商都具有约束力。</w:t>
      </w:r>
    </w:p>
    <w:p>
      <w:pPr>
        <w:pStyle w:val="4"/>
        <w:tabs>
          <w:tab w:val="left" w:pos="576"/>
        </w:tabs>
        <w:spacing w:before="0" w:after="0" w:line="360" w:lineRule="auto"/>
        <w:jc w:val="left"/>
        <w:rPr>
          <w:rFonts w:cs="宋体" w:asciiTheme="minorEastAsia" w:hAnsiTheme="minorEastAsia" w:eastAsiaTheme="minorEastAsia"/>
          <w:iCs/>
          <w:szCs w:val="24"/>
        </w:rPr>
      </w:pPr>
      <w:bookmarkStart w:id="103" w:name="_Toc6578"/>
      <w:bookmarkStart w:id="104" w:name="_Toc89440026"/>
      <w:bookmarkStart w:id="105" w:name="_Toc6421"/>
      <w:bookmarkStart w:id="106" w:name="_Toc28067"/>
      <w:bookmarkStart w:id="107" w:name="_Toc48655748"/>
      <w:bookmarkStart w:id="108" w:name="_Toc23666"/>
      <w:bookmarkStart w:id="109" w:name="_Toc21325"/>
      <w:bookmarkStart w:id="110" w:name="_Toc26286"/>
      <w:r>
        <w:rPr>
          <w:rFonts w:hint="eastAsia" w:cs="宋体" w:asciiTheme="minorEastAsia" w:hAnsiTheme="minorEastAsia" w:eastAsiaTheme="minorEastAsia"/>
          <w:iCs/>
          <w:szCs w:val="24"/>
        </w:rPr>
        <w:t>三、磋商文件的编写</w:t>
      </w:r>
      <w:bookmarkEnd w:id="97"/>
      <w:bookmarkEnd w:id="98"/>
      <w:bookmarkEnd w:id="99"/>
      <w:bookmarkEnd w:id="100"/>
      <w:bookmarkEnd w:id="101"/>
      <w:bookmarkEnd w:id="103"/>
      <w:bookmarkEnd w:id="104"/>
      <w:bookmarkEnd w:id="105"/>
      <w:bookmarkEnd w:id="106"/>
      <w:bookmarkEnd w:id="107"/>
      <w:bookmarkEnd w:id="108"/>
      <w:bookmarkEnd w:id="109"/>
      <w:bookmarkEnd w:id="110"/>
    </w:p>
    <w:p>
      <w:pPr>
        <w:spacing w:line="360" w:lineRule="auto"/>
        <w:ind w:firstLine="482" w:firstLineChars="200"/>
        <w:rPr>
          <w:rFonts w:asciiTheme="minorEastAsia" w:hAnsiTheme="minorEastAsia" w:eastAsiaTheme="minorEastAsia"/>
          <w:b/>
          <w:bCs/>
          <w:szCs w:val="24"/>
        </w:rPr>
      </w:pPr>
      <w:bookmarkStart w:id="111" w:name="_Toc23150"/>
      <w:bookmarkStart w:id="112" w:name="_Toc17514"/>
      <w:bookmarkStart w:id="113" w:name="_Toc311415581"/>
      <w:bookmarkStart w:id="114" w:name="_Toc22662"/>
      <w:bookmarkStart w:id="115" w:name="_Toc19250"/>
      <w:bookmarkStart w:id="116" w:name="_Toc2284"/>
      <w:r>
        <w:rPr>
          <w:rFonts w:hint="eastAsia" w:asciiTheme="minorEastAsia" w:hAnsiTheme="minorEastAsia" w:eastAsiaTheme="minorEastAsia"/>
          <w:b/>
          <w:bCs/>
          <w:szCs w:val="24"/>
        </w:rPr>
        <w:t>9．磋商文件编制的原则</w:t>
      </w:r>
      <w:bookmarkEnd w:id="111"/>
      <w:bookmarkEnd w:id="112"/>
      <w:bookmarkEnd w:id="113"/>
      <w:bookmarkEnd w:id="114"/>
      <w:bookmarkEnd w:id="115"/>
      <w:bookmarkEnd w:id="116"/>
    </w:p>
    <w:p>
      <w:pPr>
        <w:overflowPunct w:val="0"/>
        <w:adjustRightInd w:val="0"/>
        <w:snapToGrid w:val="0"/>
        <w:spacing w:line="360" w:lineRule="auto"/>
        <w:ind w:firstLine="480" w:firstLineChars="200"/>
        <w:rPr>
          <w:rFonts w:cs="宋体" w:asciiTheme="minorEastAsia" w:hAnsiTheme="minorEastAsia" w:eastAsiaTheme="minorEastAsia"/>
          <w:szCs w:val="24"/>
        </w:rPr>
      </w:pPr>
      <w:bookmarkStart w:id="117" w:name="_Toc311415582"/>
      <w:r>
        <w:rPr>
          <w:rFonts w:hint="eastAsia" w:cs="宋体" w:asciiTheme="minorEastAsia" w:hAnsiTheme="minorEastAsia" w:eastAsiaTheme="minorEastAsia"/>
          <w:szCs w:val="24"/>
        </w:rPr>
        <w:t>9.1 响应供应商应在认真阅读</w:t>
      </w:r>
      <w:r>
        <w:rPr>
          <w:rFonts w:hint="eastAsia" w:cs="宋体" w:asciiTheme="minorEastAsia" w:hAnsiTheme="minorEastAsia" w:eastAsiaTheme="minorEastAsia"/>
          <w:bCs/>
          <w:iCs/>
          <w:szCs w:val="24"/>
        </w:rPr>
        <w:t>磋商</w:t>
      </w:r>
      <w:r>
        <w:rPr>
          <w:rFonts w:hint="eastAsia" w:cs="宋体" w:asciiTheme="minorEastAsia" w:hAnsiTheme="minorEastAsia" w:eastAsiaTheme="minorEastAsia"/>
          <w:szCs w:val="24"/>
        </w:rPr>
        <w:t>文件所有内容的基础上，按照</w:t>
      </w:r>
      <w:r>
        <w:rPr>
          <w:rFonts w:hint="eastAsia" w:cs="宋体" w:asciiTheme="minorEastAsia" w:hAnsiTheme="minorEastAsia" w:eastAsiaTheme="minorEastAsia"/>
          <w:bCs/>
          <w:iCs/>
          <w:szCs w:val="24"/>
        </w:rPr>
        <w:t>磋商</w:t>
      </w:r>
      <w:r>
        <w:rPr>
          <w:rFonts w:hint="eastAsia" w:cs="宋体" w:asciiTheme="minorEastAsia" w:hAnsiTheme="minorEastAsia" w:eastAsiaTheme="minorEastAsia"/>
          <w:szCs w:val="24"/>
        </w:rPr>
        <w:t>文件的要求编制完整的响应文件。</w:t>
      </w:r>
      <w:r>
        <w:rPr>
          <w:rFonts w:hint="eastAsia" w:cs="宋体" w:asciiTheme="minorEastAsia" w:hAnsiTheme="minorEastAsia" w:eastAsiaTheme="minorEastAsia"/>
          <w:bCs/>
          <w:iCs/>
          <w:szCs w:val="24"/>
        </w:rPr>
        <w:t>磋商</w:t>
      </w:r>
      <w:r>
        <w:rPr>
          <w:rFonts w:hint="eastAsia" w:cs="宋体" w:asciiTheme="minorEastAsia" w:hAnsiTheme="minorEastAsia" w:eastAsiaTheme="minorEastAsia"/>
          <w:szCs w:val="24"/>
        </w:rPr>
        <w:t>文件中对响应文件格式有要求的，应按格式逐项填写内容；无相应内容可填的项应填写“无”、“没有相应指标”等明确的回答文字。</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9.2 响应供应商必须保证响应文件所提供的全部资料真实可靠，并接受对其中任何资料进一步审查的要求。</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9.3 响应文件须对</w:t>
      </w:r>
      <w:r>
        <w:rPr>
          <w:rFonts w:hint="eastAsia" w:cs="宋体" w:asciiTheme="minorEastAsia" w:hAnsiTheme="minorEastAsia" w:eastAsiaTheme="minorEastAsia"/>
          <w:bCs/>
          <w:iCs/>
          <w:szCs w:val="24"/>
        </w:rPr>
        <w:t>磋商</w:t>
      </w:r>
      <w:r>
        <w:rPr>
          <w:rFonts w:hint="eastAsia" w:cs="宋体" w:asciiTheme="minorEastAsia" w:hAnsiTheme="minorEastAsia" w:eastAsiaTheme="minorEastAsia"/>
          <w:szCs w:val="24"/>
        </w:rPr>
        <w:t>文件中的内容做出实质性和完整的响应，否则其投标将被拒绝。</w:t>
      </w:r>
    </w:p>
    <w:p>
      <w:pPr>
        <w:spacing w:line="360" w:lineRule="auto"/>
        <w:ind w:firstLine="482" w:firstLineChars="200"/>
        <w:rPr>
          <w:rFonts w:asciiTheme="minorEastAsia" w:hAnsiTheme="minorEastAsia" w:eastAsiaTheme="minorEastAsia"/>
          <w:b/>
          <w:bCs/>
          <w:szCs w:val="24"/>
        </w:rPr>
      </w:pPr>
      <w:bookmarkStart w:id="118" w:name="_Toc7474"/>
      <w:bookmarkStart w:id="119" w:name="_Toc1186"/>
      <w:bookmarkStart w:id="120" w:name="_Toc16711"/>
      <w:bookmarkStart w:id="121" w:name="_Toc16551"/>
      <w:bookmarkStart w:id="122" w:name="_Toc10561"/>
      <w:bookmarkStart w:id="123" w:name="_Toc25738"/>
      <w:r>
        <w:rPr>
          <w:rFonts w:hint="eastAsia" w:asciiTheme="minorEastAsia" w:hAnsiTheme="minorEastAsia" w:eastAsiaTheme="minorEastAsia"/>
          <w:b/>
          <w:bCs/>
          <w:szCs w:val="24"/>
        </w:rPr>
        <w:t>10．投标语言</w:t>
      </w:r>
      <w:bookmarkEnd w:id="117"/>
      <w:bookmarkEnd w:id="118"/>
      <w:bookmarkEnd w:id="119"/>
      <w:bookmarkEnd w:id="120"/>
      <w:bookmarkEnd w:id="121"/>
      <w:bookmarkEnd w:id="122"/>
      <w:bookmarkEnd w:id="123"/>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10.1 由响应供应商编写的响应文件和往来信件应以中文书写。</w:t>
      </w:r>
    </w:p>
    <w:p>
      <w:pPr>
        <w:spacing w:line="360" w:lineRule="auto"/>
        <w:ind w:firstLine="482" w:firstLineChars="200"/>
        <w:rPr>
          <w:rFonts w:asciiTheme="minorEastAsia" w:hAnsiTheme="minorEastAsia" w:eastAsiaTheme="minorEastAsia"/>
          <w:b/>
          <w:bCs/>
          <w:szCs w:val="24"/>
        </w:rPr>
      </w:pPr>
      <w:bookmarkStart w:id="124" w:name="_Toc253"/>
      <w:bookmarkStart w:id="125" w:name="_Toc5067"/>
      <w:bookmarkStart w:id="126" w:name="_Toc311415583"/>
      <w:bookmarkStart w:id="127" w:name="_Toc998"/>
      <w:bookmarkStart w:id="128" w:name="_Toc31964"/>
      <w:bookmarkStart w:id="129" w:name="_Toc7787"/>
      <w:bookmarkStart w:id="130" w:name="_Toc15447"/>
      <w:r>
        <w:rPr>
          <w:rFonts w:hint="eastAsia" w:asciiTheme="minorEastAsia" w:hAnsiTheme="minorEastAsia" w:eastAsiaTheme="minorEastAsia"/>
          <w:b/>
          <w:bCs/>
          <w:szCs w:val="24"/>
        </w:rPr>
        <w:t>11．计量单位</w:t>
      </w:r>
      <w:bookmarkEnd w:id="124"/>
      <w:bookmarkEnd w:id="125"/>
      <w:bookmarkEnd w:id="126"/>
      <w:bookmarkEnd w:id="127"/>
      <w:bookmarkEnd w:id="128"/>
      <w:bookmarkEnd w:id="129"/>
      <w:bookmarkEnd w:id="130"/>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11.1 除在</w:t>
      </w:r>
      <w:r>
        <w:rPr>
          <w:rFonts w:hint="eastAsia" w:cs="宋体" w:asciiTheme="minorEastAsia" w:hAnsiTheme="minorEastAsia" w:eastAsiaTheme="minorEastAsia"/>
          <w:bCs/>
          <w:iCs/>
          <w:szCs w:val="24"/>
        </w:rPr>
        <w:t>磋商</w:t>
      </w:r>
      <w:r>
        <w:rPr>
          <w:rFonts w:hint="eastAsia" w:cs="宋体" w:asciiTheme="minorEastAsia" w:hAnsiTheme="minorEastAsia" w:eastAsiaTheme="minorEastAsia"/>
          <w:szCs w:val="24"/>
        </w:rPr>
        <w:t>文件的技术规格中另有规定外，计量单位应使用中华人民共和国法定计量单位。</w:t>
      </w:r>
    </w:p>
    <w:p>
      <w:pPr>
        <w:spacing w:line="360" w:lineRule="auto"/>
        <w:ind w:firstLine="482" w:firstLineChars="200"/>
        <w:rPr>
          <w:rFonts w:asciiTheme="minorEastAsia" w:hAnsiTheme="minorEastAsia" w:eastAsiaTheme="minorEastAsia"/>
          <w:b/>
          <w:bCs/>
          <w:szCs w:val="24"/>
        </w:rPr>
      </w:pPr>
      <w:bookmarkStart w:id="131" w:name="_Toc20301"/>
      <w:bookmarkStart w:id="132" w:name="_Toc19356"/>
      <w:bookmarkStart w:id="133" w:name="_Toc1067"/>
      <w:bookmarkStart w:id="134" w:name="_Toc3460"/>
      <w:bookmarkStart w:id="135" w:name="_Toc1869"/>
      <w:bookmarkStart w:id="136" w:name="_Toc311415584"/>
      <w:bookmarkStart w:id="137" w:name="_Toc5743"/>
      <w:r>
        <w:rPr>
          <w:rFonts w:hint="eastAsia" w:asciiTheme="minorEastAsia" w:hAnsiTheme="minorEastAsia" w:eastAsiaTheme="minorEastAsia"/>
          <w:b/>
          <w:bCs/>
          <w:szCs w:val="24"/>
        </w:rPr>
        <w:t>12．响应文件的组成</w:t>
      </w:r>
      <w:bookmarkEnd w:id="131"/>
      <w:bookmarkEnd w:id="132"/>
      <w:bookmarkEnd w:id="133"/>
      <w:bookmarkEnd w:id="134"/>
      <w:bookmarkEnd w:id="135"/>
      <w:bookmarkEnd w:id="136"/>
      <w:bookmarkEnd w:id="137"/>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12.1 所有服务方案只允许响应供应商有一个投标方案，不接受任何有选择的方案和报价（包括有条件的折扣）。响应供应商未按要求，提供了选择方案或报价的，其投标将被拒绝。</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12.2 响应供应商编写的响应文件应包括下列部分：</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 xml:space="preserve">    (1) 磋商函、磋商一览表以及所有附件内容。</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 xml:space="preserve">    (2) 按照响应供应商须知出具的响应供应商资格证明文件。</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 xml:space="preserve">    (3) 按照响应供应商须知出具的报价符合响应文件规定的证明文件及响应供应商认为需加以说明的其他内容。</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 xml:space="preserve">    (4) </w:t>
      </w:r>
      <w:r>
        <w:rPr>
          <w:rFonts w:hint="eastAsia" w:cs="宋体" w:asciiTheme="minorEastAsia" w:hAnsiTheme="minorEastAsia" w:eastAsiaTheme="minorEastAsia"/>
          <w:bCs/>
          <w:iCs/>
          <w:szCs w:val="24"/>
        </w:rPr>
        <w:t>磋商</w:t>
      </w:r>
      <w:r>
        <w:rPr>
          <w:rFonts w:hint="eastAsia" w:cs="宋体" w:asciiTheme="minorEastAsia" w:hAnsiTheme="minorEastAsia" w:eastAsiaTheme="minorEastAsia"/>
          <w:szCs w:val="24"/>
        </w:rPr>
        <w:t>文件要求响应供应商提供的其他内容。</w:t>
      </w:r>
    </w:p>
    <w:p>
      <w:pPr>
        <w:spacing w:line="360" w:lineRule="auto"/>
        <w:ind w:firstLine="482" w:firstLineChars="200"/>
        <w:rPr>
          <w:rFonts w:asciiTheme="minorEastAsia" w:hAnsiTheme="minorEastAsia" w:eastAsiaTheme="minorEastAsia"/>
          <w:b/>
          <w:bCs/>
          <w:szCs w:val="24"/>
        </w:rPr>
      </w:pPr>
      <w:bookmarkStart w:id="138" w:name="_Toc311415585"/>
      <w:bookmarkStart w:id="139" w:name="_Toc13775"/>
      <w:bookmarkStart w:id="140" w:name="_Toc20146"/>
      <w:bookmarkStart w:id="141" w:name="_Toc4851"/>
      <w:bookmarkStart w:id="142" w:name="_Toc4227"/>
      <w:bookmarkStart w:id="143" w:name="_Toc2185"/>
      <w:bookmarkStart w:id="144" w:name="_Toc18011"/>
      <w:r>
        <w:rPr>
          <w:rFonts w:hint="eastAsia" w:asciiTheme="minorEastAsia" w:hAnsiTheme="minorEastAsia" w:eastAsiaTheme="minorEastAsia"/>
          <w:b/>
          <w:bCs/>
          <w:szCs w:val="24"/>
        </w:rPr>
        <w:t>13．响应文件格式</w:t>
      </w:r>
      <w:bookmarkEnd w:id="138"/>
      <w:bookmarkEnd w:id="139"/>
      <w:bookmarkEnd w:id="140"/>
      <w:bookmarkEnd w:id="141"/>
      <w:bookmarkEnd w:id="142"/>
      <w:bookmarkEnd w:id="143"/>
      <w:bookmarkEnd w:id="144"/>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13.1 响应供应商应按</w:t>
      </w:r>
      <w:r>
        <w:rPr>
          <w:rFonts w:hint="eastAsia" w:cs="宋体" w:asciiTheme="minorEastAsia" w:hAnsiTheme="minorEastAsia" w:eastAsiaTheme="minorEastAsia"/>
          <w:bCs/>
          <w:iCs/>
          <w:szCs w:val="24"/>
        </w:rPr>
        <w:t>磋商</w:t>
      </w:r>
      <w:r>
        <w:rPr>
          <w:rFonts w:hint="eastAsia" w:cs="宋体" w:asciiTheme="minorEastAsia" w:hAnsiTheme="minorEastAsia" w:eastAsiaTheme="minorEastAsia"/>
          <w:szCs w:val="24"/>
        </w:rPr>
        <w:t>文件中提供的响应文件格式填写磋商一览表。</w:t>
      </w:r>
    </w:p>
    <w:p>
      <w:pPr>
        <w:spacing w:line="360" w:lineRule="auto"/>
        <w:ind w:firstLine="482" w:firstLineChars="200"/>
        <w:rPr>
          <w:rFonts w:asciiTheme="minorEastAsia" w:hAnsiTheme="minorEastAsia" w:eastAsiaTheme="minorEastAsia"/>
          <w:b/>
          <w:bCs/>
          <w:szCs w:val="24"/>
        </w:rPr>
      </w:pPr>
      <w:bookmarkStart w:id="145" w:name="_Toc17748"/>
      <w:bookmarkStart w:id="146" w:name="_Toc5875"/>
      <w:bookmarkStart w:id="147" w:name="_Toc311415586"/>
      <w:bookmarkStart w:id="148" w:name="_Toc6440"/>
      <w:bookmarkStart w:id="149" w:name="_Toc10574"/>
      <w:bookmarkStart w:id="150" w:name="_Toc24521"/>
      <w:bookmarkStart w:id="151" w:name="_Toc19134"/>
      <w:r>
        <w:rPr>
          <w:rFonts w:hint="eastAsia" w:asciiTheme="minorEastAsia" w:hAnsiTheme="minorEastAsia" w:eastAsiaTheme="minorEastAsia"/>
          <w:b/>
          <w:bCs/>
          <w:szCs w:val="24"/>
        </w:rPr>
        <w:t>14．</w:t>
      </w:r>
      <w:bookmarkEnd w:id="145"/>
      <w:bookmarkEnd w:id="146"/>
      <w:bookmarkEnd w:id="147"/>
      <w:r>
        <w:rPr>
          <w:rFonts w:hint="eastAsia" w:asciiTheme="minorEastAsia" w:hAnsiTheme="minorEastAsia" w:eastAsiaTheme="minorEastAsia"/>
          <w:b/>
          <w:bCs/>
          <w:szCs w:val="24"/>
        </w:rPr>
        <w:t>磋商报价</w:t>
      </w:r>
      <w:bookmarkEnd w:id="148"/>
      <w:bookmarkEnd w:id="149"/>
      <w:bookmarkEnd w:id="150"/>
      <w:bookmarkEnd w:id="151"/>
    </w:p>
    <w:p>
      <w:pPr>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14.1 响应供应商应对所列的所有要求按项目进行响应，不得将采购内容拆开响应。</w:t>
      </w:r>
    </w:p>
    <w:p>
      <w:pPr>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14.2 磋商报价为响应供应商响应文件中所列的各项支付金额的总和。</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14.3凡本</w:t>
      </w:r>
      <w:r>
        <w:rPr>
          <w:rFonts w:hint="eastAsia" w:cs="宋体" w:asciiTheme="minorEastAsia" w:hAnsiTheme="minorEastAsia" w:eastAsiaTheme="minorEastAsia"/>
          <w:bCs/>
          <w:iCs/>
          <w:szCs w:val="24"/>
        </w:rPr>
        <w:t>磋商</w:t>
      </w:r>
      <w:r>
        <w:rPr>
          <w:rFonts w:hint="eastAsia" w:cs="宋体" w:asciiTheme="minorEastAsia" w:hAnsiTheme="minorEastAsia" w:eastAsiaTheme="minorEastAsia"/>
          <w:szCs w:val="24"/>
        </w:rPr>
        <w:t>文件要求（或允许）及响应供应商认为需要进行磋商报价的各项费用项目，若报价时未报或未在响应文件中予以说明，采购人将认为这些费用响应供应商已计取，并包含在总报价中。</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14.4 采购人只接受响应供应商提供的唯一响应方案，不接受备选方案。</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14.5响应文件中大写金额与小写金额不一致的，以大写金额为准；总价金额与单价金额不一致的，以单价金额为准，但单价金额小数点有明显错误的除外；对不同文字文本响应文件的解释发生异议的，以中文文本为准。</w:t>
      </w:r>
    </w:p>
    <w:p>
      <w:pPr>
        <w:spacing w:line="360" w:lineRule="auto"/>
        <w:ind w:firstLine="482" w:firstLineChars="200"/>
        <w:rPr>
          <w:rFonts w:asciiTheme="minorEastAsia" w:hAnsiTheme="minorEastAsia" w:eastAsiaTheme="minorEastAsia"/>
          <w:b/>
          <w:bCs/>
          <w:szCs w:val="24"/>
        </w:rPr>
      </w:pPr>
      <w:bookmarkStart w:id="152" w:name="_Toc5739"/>
      <w:bookmarkStart w:id="153" w:name="_Toc311415587"/>
      <w:bookmarkStart w:id="154" w:name="_Toc32581"/>
      <w:bookmarkStart w:id="155" w:name="_Toc6519"/>
      <w:bookmarkStart w:id="156" w:name="_Toc22329"/>
      <w:bookmarkStart w:id="157" w:name="_Toc21955"/>
      <w:bookmarkStart w:id="158" w:name="_Toc22089"/>
      <w:r>
        <w:rPr>
          <w:rFonts w:hint="eastAsia" w:asciiTheme="minorEastAsia" w:hAnsiTheme="minorEastAsia" w:eastAsiaTheme="minorEastAsia"/>
          <w:b/>
          <w:bCs/>
          <w:szCs w:val="24"/>
        </w:rPr>
        <w:t>15．</w:t>
      </w:r>
      <w:bookmarkEnd w:id="152"/>
      <w:bookmarkEnd w:id="153"/>
      <w:bookmarkEnd w:id="154"/>
      <w:r>
        <w:rPr>
          <w:rFonts w:hint="eastAsia" w:asciiTheme="minorEastAsia" w:hAnsiTheme="minorEastAsia" w:eastAsiaTheme="minorEastAsia"/>
          <w:b/>
          <w:bCs/>
          <w:szCs w:val="24"/>
        </w:rPr>
        <w:t>投标货币</w:t>
      </w:r>
      <w:bookmarkEnd w:id="155"/>
      <w:bookmarkEnd w:id="156"/>
      <w:bookmarkEnd w:id="157"/>
      <w:bookmarkEnd w:id="158"/>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15.1 采购人只接受人民币作为唯一投标货币。</w:t>
      </w:r>
    </w:p>
    <w:p>
      <w:pPr>
        <w:spacing w:line="360" w:lineRule="auto"/>
        <w:ind w:firstLine="482" w:firstLineChars="200"/>
        <w:rPr>
          <w:rFonts w:asciiTheme="minorEastAsia" w:hAnsiTheme="minorEastAsia" w:eastAsiaTheme="minorEastAsia"/>
          <w:b/>
          <w:bCs/>
          <w:szCs w:val="24"/>
        </w:rPr>
      </w:pPr>
      <w:bookmarkStart w:id="159" w:name="_Toc5548"/>
      <w:bookmarkStart w:id="160" w:name="_Toc13685"/>
      <w:bookmarkStart w:id="161" w:name="_Toc5806"/>
      <w:bookmarkStart w:id="162" w:name="_Toc9775"/>
      <w:bookmarkStart w:id="163" w:name="_Toc1924"/>
      <w:bookmarkStart w:id="164" w:name="_Toc3366"/>
      <w:bookmarkStart w:id="165" w:name="_Toc311415588"/>
      <w:r>
        <w:rPr>
          <w:rFonts w:hint="eastAsia" w:asciiTheme="minorEastAsia" w:hAnsiTheme="minorEastAsia" w:eastAsiaTheme="minorEastAsia"/>
          <w:b/>
          <w:bCs/>
          <w:szCs w:val="24"/>
        </w:rPr>
        <w:t>16．证明响应供应商资格的证明文件</w:t>
      </w:r>
      <w:bookmarkEnd w:id="159"/>
      <w:bookmarkEnd w:id="160"/>
      <w:bookmarkEnd w:id="161"/>
      <w:bookmarkEnd w:id="162"/>
      <w:bookmarkEnd w:id="163"/>
      <w:bookmarkEnd w:id="164"/>
      <w:bookmarkEnd w:id="165"/>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16.1 响应供应商必须按响应供应商须知前附表提交证明文件，以证明其有资格参加投标和中标后有履行合同的能力，并作为其响应文件的一部分。</w:t>
      </w:r>
    </w:p>
    <w:p>
      <w:pPr>
        <w:spacing w:line="360" w:lineRule="auto"/>
        <w:ind w:firstLine="482" w:firstLineChars="200"/>
        <w:rPr>
          <w:rFonts w:asciiTheme="minorEastAsia" w:hAnsiTheme="minorEastAsia" w:eastAsiaTheme="minorEastAsia"/>
          <w:b/>
          <w:bCs/>
          <w:szCs w:val="24"/>
        </w:rPr>
      </w:pPr>
      <w:bookmarkStart w:id="166" w:name="_Toc9793"/>
      <w:bookmarkStart w:id="167" w:name="_Toc311415589"/>
      <w:bookmarkStart w:id="168" w:name="_Toc24951"/>
      <w:bookmarkStart w:id="169" w:name="_Toc22835"/>
      <w:bookmarkStart w:id="170" w:name="_Toc2895"/>
      <w:bookmarkStart w:id="171" w:name="_Toc12328"/>
      <w:bookmarkStart w:id="172" w:name="_Toc31702"/>
      <w:r>
        <w:rPr>
          <w:rFonts w:hint="eastAsia" w:asciiTheme="minorEastAsia" w:hAnsiTheme="minorEastAsia" w:eastAsiaTheme="minorEastAsia"/>
          <w:b/>
          <w:bCs/>
          <w:szCs w:val="24"/>
        </w:rPr>
        <w:t>17．证明服务的合格性和符合响应文件规定的文件</w:t>
      </w:r>
      <w:bookmarkEnd w:id="166"/>
      <w:bookmarkEnd w:id="167"/>
      <w:bookmarkEnd w:id="168"/>
      <w:bookmarkEnd w:id="169"/>
      <w:bookmarkEnd w:id="170"/>
      <w:bookmarkEnd w:id="171"/>
      <w:bookmarkEnd w:id="172"/>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17.1 响应供应商应对响应文件中的各项条款做出清晰准确的答复。</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17.2 证明服务内容与响应文件的要求相一致的文件。</w:t>
      </w:r>
    </w:p>
    <w:p>
      <w:pPr>
        <w:spacing w:line="360" w:lineRule="auto"/>
        <w:ind w:firstLine="482" w:firstLineChars="200"/>
        <w:rPr>
          <w:rFonts w:asciiTheme="minorEastAsia" w:hAnsiTheme="minorEastAsia" w:eastAsiaTheme="minorEastAsia"/>
          <w:b/>
          <w:bCs/>
          <w:szCs w:val="24"/>
        </w:rPr>
      </w:pPr>
      <w:bookmarkStart w:id="173" w:name="_Toc19212"/>
      <w:bookmarkStart w:id="174" w:name="_Toc21715"/>
      <w:bookmarkStart w:id="175" w:name="_Toc311415590"/>
      <w:bookmarkStart w:id="176" w:name="_Toc4082"/>
      <w:bookmarkStart w:id="177" w:name="_Toc13654"/>
      <w:bookmarkStart w:id="178" w:name="_Toc12524"/>
      <w:bookmarkStart w:id="179" w:name="_Toc24201"/>
      <w:r>
        <w:rPr>
          <w:rFonts w:hint="eastAsia" w:asciiTheme="minorEastAsia" w:hAnsiTheme="minorEastAsia" w:eastAsiaTheme="minorEastAsia"/>
          <w:b/>
          <w:bCs/>
          <w:szCs w:val="24"/>
        </w:rPr>
        <w:t>18．</w:t>
      </w:r>
      <w:bookmarkEnd w:id="173"/>
      <w:bookmarkEnd w:id="174"/>
      <w:bookmarkEnd w:id="175"/>
      <w:r>
        <w:rPr>
          <w:rFonts w:hint="eastAsia" w:asciiTheme="minorEastAsia" w:hAnsiTheme="minorEastAsia" w:eastAsiaTheme="minorEastAsia"/>
          <w:b/>
          <w:bCs/>
          <w:szCs w:val="24"/>
        </w:rPr>
        <w:t>磋商保证金</w:t>
      </w:r>
      <w:bookmarkEnd w:id="176"/>
      <w:bookmarkEnd w:id="177"/>
      <w:bookmarkEnd w:id="178"/>
      <w:bookmarkEnd w:id="179"/>
      <w:bookmarkStart w:id="180" w:name="_Toc311415591"/>
      <w:bookmarkStart w:id="181" w:name="_Toc7149"/>
      <w:bookmarkStart w:id="182" w:name="_Toc7257"/>
      <w:bookmarkStart w:id="183" w:name="_Toc8850"/>
      <w:bookmarkStart w:id="184" w:name="_Toc10649"/>
      <w:bookmarkStart w:id="185" w:name="_Toc2136"/>
      <w:bookmarkStart w:id="186" w:name="_Toc27616"/>
    </w:p>
    <w:p>
      <w:pPr>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18.1本项目无磋商保证金</w:t>
      </w:r>
    </w:p>
    <w:p>
      <w:pPr>
        <w:spacing w:line="360" w:lineRule="auto"/>
        <w:ind w:firstLine="482" w:firstLineChars="200"/>
        <w:rPr>
          <w:rFonts w:asciiTheme="minorEastAsia" w:hAnsiTheme="minorEastAsia" w:eastAsiaTheme="minorEastAsia"/>
          <w:b/>
          <w:bCs/>
          <w:szCs w:val="24"/>
        </w:rPr>
      </w:pPr>
      <w:r>
        <w:rPr>
          <w:rFonts w:hint="eastAsia" w:asciiTheme="minorEastAsia" w:hAnsiTheme="minorEastAsia" w:eastAsiaTheme="minorEastAsia"/>
          <w:b/>
          <w:bCs/>
          <w:szCs w:val="24"/>
        </w:rPr>
        <w:t>19．</w:t>
      </w:r>
      <w:bookmarkEnd w:id="180"/>
      <w:bookmarkEnd w:id="181"/>
      <w:bookmarkEnd w:id="182"/>
      <w:bookmarkEnd w:id="183"/>
      <w:bookmarkEnd w:id="184"/>
      <w:bookmarkEnd w:id="185"/>
      <w:bookmarkEnd w:id="186"/>
      <w:r>
        <w:rPr>
          <w:rFonts w:hint="eastAsia" w:asciiTheme="minorEastAsia" w:hAnsiTheme="minorEastAsia" w:eastAsiaTheme="minorEastAsia"/>
          <w:b/>
          <w:bCs/>
          <w:szCs w:val="24"/>
        </w:rPr>
        <w:t>磋商有效期</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19.1 响应文件从投标之日起，磋商有效期为60日历天。响应文件的有效期比本须知规定的有效期短的，将被视为非响应报价，采购人有权拒绝。</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19.2 特殊情况下，采购人可于磋商有效期满之前要求响应供应商同意延长有效期，要求与答复均应为书面形式。响应供应商可以拒绝上述要求，其磋商保证金不被没收。对于同意该要求的响应供应商，既不要求也不允许其修改响应文件，但将要求其相应延长磋商保证金的有效期，有关退还和没收磋商保证金的规定在磋商有效期的延长期内继续有效。</w:t>
      </w:r>
    </w:p>
    <w:p>
      <w:pPr>
        <w:spacing w:line="360" w:lineRule="auto"/>
        <w:ind w:firstLine="482" w:firstLineChars="200"/>
        <w:rPr>
          <w:rFonts w:asciiTheme="minorEastAsia" w:hAnsiTheme="minorEastAsia" w:eastAsiaTheme="minorEastAsia"/>
          <w:b/>
          <w:bCs/>
          <w:szCs w:val="24"/>
        </w:rPr>
      </w:pPr>
      <w:bookmarkStart w:id="187" w:name="_Toc7650"/>
      <w:bookmarkStart w:id="188" w:name="_Toc24154"/>
      <w:bookmarkStart w:id="189" w:name="_Toc28013"/>
      <w:bookmarkStart w:id="190" w:name="_Toc32671"/>
      <w:bookmarkStart w:id="191" w:name="_Toc27601"/>
      <w:bookmarkStart w:id="192" w:name="_Toc14500"/>
      <w:bookmarkStart w:id="193" w:name="_Toc311415592"/>
      <w:r>
        <w:rPr>
          <w:rFonts w:hint="eastAsia" w:asciiTheme="minorEastAsia" w:hAnsiTheme="minorEastAsia" w:eastAsiaTheme="minorEastAsia"/>
          <w:b/>
          <w:bCs/>
          <w:szCs w:val="24"/>
        </w:rPr>
        <w:t>20．响应文件的签署及格式</w:t>
      </w:r>
      <w:bookmarkEnd w:id="187"/>
      <w:bookmarkEnd w:id="188"/>
      <w:bookmarkEnd w:id="189"/>
      <w:bookmarkEnd w:id="190"/>
      <w:bookmarkEnd w:id="191"/>
      <w:bookmarkEnd w:id="192"/>
      <w:bookmarkEnd w:id="193"/>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20.1响应文件正本应打印或用不褪色的墨水书写，并由响应供应商的法定代表人（或负责人）或其委托代理人签字加盖单位公章。委托代理人签字的，响应文件应附法定代表人（或负责人）签署的授权委托书。响应文件应尽量避免涂改、行间插字或删除。如果出现上述情况，改动之处应加盖单位公章或由响应供应商的法定代表人（或负责人）或其授权的代理人签字确认。字迹潦草、表达不清、未按要求填写而导致非唯一理解，造成非实质性响应响应文件的响应文件将会被认定为无效投标。副本可以是正本的复印件，但在要求加盖公章的地方加盖公章，正本与副本不一致时以正本为准。</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20.2 除响应供应商对错处作必要修改外，响应文件中不许有加行、涂抹或改写。若有修改须由签署响应文件的授权代表在旁边签字才有效。</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20.3以电话、传真、电子邮件形式的投标将被拒绝。</w:t>
      </w:r>
    </w:p>
    <w:p>
      <w:pPr>
        <w:pStyle w:val="4"/>
        <w:tabs>
          <w:tab w:val="left" w:pos="576"/>
        </w:tabs>
        <w:spacing w:before="0" w:after="0" w:line="360" w:lineRule="auto"/>
        <w:jc w:val="left"/>
        <w:rPr>
          <w:rFonts w:cs="宋体" w:asciiTheme="minorEastAsia" w:hAnsiTheme="minorEastAsia" w:eastAsiaTheme="minorEastAsia"/>
          <w:iCs/>
          <w:szCs w:val="24"/>
        </w:rPr>
      </w:pPr>
      <w:bookmarkStart w:id="194" w:name="_Toc5872"/>
      <w:bookmarkStart w:id="195" w:name="_Toc332874422"/>
      <w:bookmarkStart w:id="196" w:name="_Toc283626505"/>
      <w:bookmarkStart w:id="197" w:name="_Toc27316"/>
      <w:bookmarkStart w:id="198" w:name="_Toc311415593"/>
      <w:bookmarkStart w:id="199" w:name="_Toc89440027"/>
      <w:bookmarkStart w:id="200" w:name="_Toc7658"/>
      <w:bookmarkStart w:id="201" w:name="_Toc24117"/>
      <w:bookmarkStart w:id="202" w:name="_Toc23365"/>
      <w:bookmarkStart w:id="203" w:name="_Toc19224"/>
      <w:bookmarkStart w:id="204" w:name="_Toc409684169"/>
      <w:bookmarkStart w:id="205" w:name="_Toc283240489"/>
      <w:bookmarkStart w:id="206" w:name="_Toc48655749"/>
      <w:r>
        <w:rPr>
          <w:rFonts w:hint="eastAsia" w:cs="宋体" w:asciiTheme="minorEastAsia" w:hAnsiTheme="minorEastAsia" w:eastAsiaTheme="minorEastAsia"/>
          <w:iCs/>
          <w:szCs w:val="24"/>
        </w:rPr>
        <w:t>四、响应文件的递交</w:t>
      </w:r>
      <w:bookmarkEnd w:id="194"/>
      <w:bookmarkEnd w:id="195"/>
      <w:bookmarkEnd w:id="196"/>
      <w:bookmarkEnd w:id="197"/>
      <w:bookmarkEnd w:id="198"/>
      <w:bookmarkEnd w:id="199"/>
      <w:bookmarkEnd w:id="200"/>
      <w:bookmarkEnd w:id="201"/>
      <w:bookmarkEnd w:id="202"/>
      <w:bookmarkEnd w:id="203"/>
      <w:bookmarkEnd w:id="204"/>
      <w:bookmarkEnd w:id="205"/>
      <w:bookmarkEnd w:id="206"/>
    </w:p>
    <w:p>
      <w:pPr>
        <w:spacing w:line="360" w:lineRule="auto"/>
        <w:ind w:firstLine="482" w:firstLineChars="200"/>
        <w:rPr>
          <w:rFonts w:asciiTheme="minorEastAsia" w:hAnsiTheme="minorEastAsia" w:eastAsiaTheme="minorEastAsia"/>
          <w:b/>
          <w:bCs/>
          <w:szCs w:val="24"/>
        </w:rPr>
      </w:pPr>
      <w:bookmarkStart w:id="207" w:name="_Toc30259"/>
      <w:bookmarkStart w:id="208" w:name="_Toc16498"/>
      <w:bookmarkStart w:id="209" w:name="_Toc4402"/>
      <w:bookmarkStart w:id="210" w:name="_Toc28995"/>
      <w:bookmarkStart w:id="211" w:name="_Toc15221"/>
      <w:bookmarkStart w:id="212" w:name="_Toc311415594"/>
      <w:bookmarkStart w:id="213" w:name="_Toc16222"/>
      <w:r>
        <w:rPr>
          <w:rFonts w:hint="eastAsia" w:asciiTheme="minorEastAsia" w:hAnsiTheme="minorEastAsia" w:eastAsiaTheme="minorEastAsia"/>
          <w:b/>
          <w:bCs/>
          <w:szCs w:val="24"/>
        </w:rPr>
        <w:t>21．响应文件的数量、包装和标记</w:t>
      </w:r>
      <w:bookmarkEnd w:id="207"/>
      <w:bookmarkEnd w:id="208"/>
      <w:bookmarkEnd w:id="209"/>
      <w:bookmarkEnd w:id="210"/>
      <w:bookmarkEnd w:id="211"/>
      <w:bookmarkEnd w:id="212"/>
      <w:bookmarkEnd w:id="213"/>
    </w:p>
    <w:p>
      <w:pPr>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21.1 响应供应商应按响应供应商须知前附表要求制作响应文件。</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每套“响应文件”封面应注明“正本”、“副本”，一旦正本与副本不符，以正本为主。</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21.2响应文件必须进行密封递交。对封装材料及样式不作特别规定，但响应供应商应当保证其封装的可靠性，不致因搬运、堆放等原因散开。所有密封袋/箱正面和响应文件封面须标明采购项目名称、采购项目编号、响应供应商名称及“正本”、“副本”等字样。</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21.3所有响应文件的密封袋/箱应加盖响应供应商公章。</w:t>
      </w:r>
    </w:p>
    <w:p>
      <w:pPr>
        <w:spacing w:line="360" w:lineRule="auto"/>
        <w:ind w:firstLine="482" w:firstLineChars="200"/>
        <w:rPr>
          <w:rFonts w:asciiTheme="minorEastAsia" w:hAnsiTheme="minorEastAsia" w:eastAsiaTheme="minorEastAsia"/>
          <w:b/>
          <w:bCs/>
          <w:szCs w:val="24"/>
        </w:rPr>
      </w:pPr>
      <w:bookmarkStart w:id="214" w:name="_Toc27674"/>
      <w:bookmarkStart w:id="215" w:name="_Toc11176"/>
      <w:bookmarkStart w:id="216" w:name="_Toc11720"/>
      <w:bookmarkStart w:id="217" w:name="_Toc6478"/>
      <w:bookmarkStart w:id="218" w:name="_Toc10905"/>
      <w:bookmarkStart w:id="219" w:name="_Toc311415595"/>
      <w:bookmarkStart w:id="220" w:name="_Toc1687"/>
      <w:r>
        <w:rPr>
          <w:rFonts w:hint="eastAsia" w:asciiTheme="minorEastAsia" w:hAnsiTheme="minorEastAsia" w:eastAsiaTheme="minorEastAsia"/>
          <w:b/>
          <w:bCs/>
          <w:szCs w:val="24"/>
        </w:rPr>
        <w:t>22．</w:t>
      </w:r>
      <w:bookmarkEnd w:id="214"/>
      <w:bookmarkEnd w:id="215"/>
      <w:bookmarkEnd w:id="216"/>
      <w:bookmarkEnd w:id="217"/>
      <w:bookmarkEnd w:id="218"/>
      <w:bookmarkEnd w:id="219"/>
      <w:bookmarkEnd w:id="220"/>
      <w:r>
        <w:rPr>
          <w:rFonts w:hint="eastAsia" w:asciiTheme="minorEastAsia" w:hAnsiTheme="minorEastAsia" w:eastAsiaTheme="minorEastAsia"/>
          <w:b/>
          <w:bCs/>
          <w:szCs w:val="24"/>
        </w:rPr>
        <w:t>磋商截止时间</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22.1 所有响应文件都必须按“磋商公告”中规定的响应文件递交截止时间前送达响应文件规定的递交地址。</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22.2 出现因响应文件的修改推迟投标截止日期时，则按采购人修改通知规定的时间递交。</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22.3在响应文件递交截止时间之后的任何响应文件将被拒绝接收。</w:t>
      </w:r>
    </w:p>
    <w:p>
      <w:pPr>
        <w:spacing w:line="360" w:lineRule="auto"/>
        <w:ind w:firstLine="482" w:firstLineChars="200"/>
        <w:rPr>
          <w:rFonts w:asciiTheme="minorEastAsia" w:hAnsiTheme="minorEastAsia" w:eastAsiaTheme="minorEastAsia"/>
          <w:b/>
          <w:bCs/>
          <w:szCs w:val="24"/>
        </w:rPr>
      </w:pPr>
      <w:bookmarkStart w:id="221" w:name="_Toc19216"/>
      <w:bookmarkStart w:id="222" w:name="_Toc3203"/>
      <w:bookmarkStart w:id="223" w:name="_Toc13931"/>
      <w:bookmarkStart w:id="224" w:name="_Toc15687"/>
      <w:bookmarkStart w:id="225" w:name="_Toc13894"/>
      <w:bookmarkStart w:id="226" w:name="_Toc19083"/>
      <w:bookmarkStart w:id="227" w:name="_Toc311415596"/>
      <w:r>
        <w:rPr>
          <w:rFonts w:hint="eastAsia" w:asciiTheme="minorEastAsia" w:hAnsiTheme="minorEastAsia" w:eastAsiaTheme="minorEastAsia"/>
          <w:b/>
          <w:bCs/>
          <w:szCs w:val="24"/>
        </w:rPr>
        <w:t>23．响应文件的修改与撤回</w:t>
      </w:r>
      <w:bookmarkEnd w:id="221"/>
      <w:bookmarkEnd w:id="222"/>
      <w:bookmarkEnd w:id="223"/>
      <w:bookmarkEnd w:id="224"/>
      <w:bookmarkEnd w:id="225"/>
      <w:bookmarkEnd w:id="226"/>
      <w:bookmarkEnd w:id="227"/>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23.1 响应供应商在递交响应文件后，在规定的截止时间之前，可以以书面形式补充修改或修改已提交的响应文件，并以书面形式通知采购代理机构。补充或修改的内容作为响应文件的组成部分。</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23.2 响应供应商对响应文件的补充修改，应按照响应文件的规定密封、标记和提交。其送达时间不得迟于磋商截止时间。</w:t>
      </w:r>
    </w:p>
    <w:p>
      <w:pPr>
        <w:pStyle w:val="4"/>
        <w:tabs>
          <w:tab w:val="left" w:pos="576"/>
        </w:tabs>
        <w:spacing w:before="0" w:after="0" w:line="360" w:lineRule="auto"/>
        <w:jc w:val="left"/>
        <w:rPr>
          <w:rFonts w:cs="宋体" w:asciiTheme="minorEastAsia" w:hAnsiTheme="minorEastAsia" w:eastAsiaTheme="minorEastAsia"/>
          <w:iCs/>
          <w:szCs w:val="24"/>
        </w:rPr>
      </w:pPr>
      <w:bookmarkStart w:id="228" w:name="_Toc19411"/>
      <w:bookmarkStart w:id="229" w:name="_Toc24244"/>
      <w:bookmarkStart w:id="230" w:name="_Toc31330"/>
      <w:bookmarkStart w:id="231" w:name="_Toc332874423"/>
      <w:bookmarkStart w:id="232" w:name="_Toc311415597"/>
      <w:bookmarkStart w:id="233" w:name="_Toc30206"/>
      <w:bookmarkStart w:id="234" w:name="_Toc48655750"/>
      <w:bookmarkStart w:id="235" w:name="_Toc24150"/>
      <w:bookmarkStart w:id="236" w:name="_Toc89440028"/>
      <w:bookmarkStart w:id="237" w:name="_Toc21738"/>
      <w:bookmarkStart w:id="238" w:name="_Toc283240490"/>
      <w:bookmarkStart w:id="239" w:name="_Toc409684170"/>
      <w:bookmarkStart w:id="240" w:name="_Toc283626506"/>
      <w:r>
        <w:rPr>
          <w:rFonts w:hint="eastAsia" w:cs="宋体" w:asciiTheme="minorEastAsia" w:hAnsiTheme="minorEastAsia" w:eastAsiaTheme="minorEastAsia"/>
          <w:iCs/>
          <w:szCs w:val="24"/>
        </w:rPr>
        <w:t>五、开标/评审</w:t>
      </w:r>
      <w:bookmarkEnd w:id="228"/>
      <w:bookmarkEnd w:id="229"/>
      <w:bookmarkEnd w:id="230"/>
      <w:bookmarkEnd w:id="231"/>
      <w:bookmarkEnd w:id="232"/>
      <w:bookmarkEnd w:id="233"/>
      <w:bookmarkEnd w:id="234"/>
      <w:bookmarkEnd w:id="235"/>
      <w:bookmarkEnd w:id="236"/>
      <w:bookmarkEnd w:id="237"/>
      <w:bookmarkEnd w:id="238"/>
      <w:bookmarkEnd w:id="239"/>
      <w:bookmarkEnd w:id="240"/>
    </w:p>
    <w:p>
      <w:pPr>
        <w:spacing w:line="360" w:lineRule="auto"/>
        <w:ind w:firstLine="482" w:firstLineChars="200"/>
        <w:rPr>
          <w:rFonts w:asciiTheme="minorEastAsia" w:hAnsiTheme="minorEastAsia" w:eastAsiaTheme="minorEastAsia"/>
          <w:b/>
          <w:bCs/>
          <w:szCs w:val="24"/>
        </w:rPr>
      </w:pPr>
      <w:bookmarkStart w:id="241" w:name="_Toc311415598"/>
      <w:bookmarkStart w:id="242" w:name="_Toc26208"/>
      <w:bookmarkStart w:id="243" w:name="_Toc29682"/>
      <w:bookmarkStart w:id="244" w:name="_Toc28972"/>
      <w:bookmarkStart w:id="245" w:name="_Toc24918"/>
      <w:bookmarkStart w:id="246" w:name="_Toc18278"/>
      <w:bookmarkStart w:id="247" w:name="_Toc15088"/>
      <w:r>
        <w:rPr>
          <w:rFonts w:hint="eastAsia" w:asciiTheme="minorEastAsia" w:hAnsiTheme="minorEastAsia" w:eastAsiaTheme="minorEastAsia"/>
          <w:b/>
          <w:bCs/>
          <w:szCs w:val="24"/>
        </w:rPr>
        <w:t>24．开</w:t>
      </w:r>
      <w:bookmarkEnd w:id="241"/>
      <w:bookmarkEnd w:id="242"/>
      <w:bookmarkEnd w:id="243"/>
      <w:r>
        <w:rPr>
          <w:rFonts w:hint="eastAsia" w:asciiTheme="minorEastAsia" w:hAnsiTheme="minorEastAsia" w:eastAsiaTheme="minorEastAsia"/>
          <w:b/>
          <w:bCs/>
          <w:szCs w:val="24"/>
        </w:rPr>
        <w:t>标</w:t>
      </w:r>
      <w:bookmarkEnd w:id="244"/>
      <w:bookmarkEnd w:id="245"/>
      <w:bookmarkEnd w:id="246"/>
      <w:bookmarkEnd w:id="247"/>
      <w:r>
        <w:rPr>
          <w:rFonts w:hint="eastAsia" w:asciiTheme="minorEastAsia" w:hAnsiTheme="minorEastAsia" w:eastAsiaTheme="minorEastAsia"/>
          <w:b/>
          <w:bCs/>
          <w:szCs w:val="24"/>
        </w:rPr>
        <w:t>程序</w:t>
      </w:r>
    </w:p>
    <w:p>
      <w:pPr>
        <w:snapToGrid w:val="0"/>
        <w:spacing w:line="360" w:lineRule="auto"/>
        <w:ind w:firstLine="480" w:firstLineChars="200"/>
        <w:textAlignment w:val="baseline"/>
        <w:rPr>
          <w:rStyle w:val="123"/>
          <w:rFonts w:ascii="宋体" w:hAnsi="宋体"/>
        </w:rPr>
      </w:pPr>
      <w:r>
        <w:rPr>
          <w:rFonts w:hint="eastAsia" w:cs="宋体" w:asciiTheme="minorEastAsia" w:hAnsiTheme="minorEastAsia" w:eastAsiaTheme="minorEastAsia"/>
          <w:szCs w:val="24"/>
        </w:rPr>
        <w:t>24.1</w:t>
      </w:r>
      <w:r>
        <w:rPr>
          <w:rStyle w:val="123"/>
          <w:rFonts w:ascii="宋体" w:hAnsi="宋体"/>
        </w:rPr>
        <w:t>开标程序:</w:t>
      </w:r>
    </w:p>
    <w:p>
      <w:pPr>
        <w:snapToGrid w:val="0"/>
        <w:spacing w:line="360" w:lineRule="auto"/>
        <w:ind w:firstLine="480" w:firstLineChars="200"/>
        <w:textAlignment w:val="baseline"/>
        <w:rPr>
          <w:rStyle w:val="123"/>
          <w:rFonts w:ascii="宋体" w:hAnsi="宋体"/>
        </w:rPr>
      </w:pPr>
      <w:r>
        <w:rPr>
          <w:rStyle w:val="123"/>
          <w:rFonts w:ascii="宋体" w:hAnsi="宋体"/>
        </w:rPr>
        <w:t>a.介绍参会人员；</w:t>
      </w:r>
    </w:p>
    <w:p>
      <w:pPr>
        <w:snapToGrid w:val="0"/>
        <w:spacing w:line="360" w:lineRule="auto"/>
        <w:ind w:firstLine="480" w:firstLineChars="200"/>
        <w:textAlignment w:val="baseline"/>
        <w:rPr>
          <w:rStyle w:val="123"/>
          <w:rFonts w:ascii="宋体" w:hAnsi="宋体"/>
        </w:rPr>
      </w:pPr>
      <w:r>
        <w:rPr>
          <w:rStyle w:val="123"/>
          <w:rFonts w:ascii="宋体" w:hAnsi="宋体"/>
        </w:rPr>
        <w:t>b.介绍供应商；</w:t>
      </w:r>
    </w:p>
    <w:p>
      <w:pPr>
        <w:snapToGrid w:val="0"/>
        <w:spacing w:line="360" w:lineRule="auto"/>
        <w:ind w:firstLine="480" w:firstLineChars="200"/>
        <w:textAlignment w:val="baseline"/>
        <w:rPr>
          <w:rStyle w:val="123"/>
          <w:rFonts w:ascii="宋体" w:hAnsi="宋体"/>
        </w:rPr>
      </w:pPr>
      <w:r>
        <w:rPr>
          <w:rStyle w:val="123"/>
          <w:rFonts w:ascii="宋体" w:hAnsi="宋体"/>
        </w:rPr>
        <w:t>c.宣布开标纪律；</w:t>
      </w:r>
    </w:p>
    <w:p>
      <w:pPr>
        <w:snapToGrid w:val="0"/>
        <w:spacing w:line="360" w:lineRule="auto"/>
        <w:ind w:firstLine="480" w:firstLineChars="200"/>
        <w:textAlignment w:val="baseline"/>
        <w:rPr>
          <w:rStyle w:val="123"/>
          <w:rFonts w:ascii="宋体" w:hAnsi="宋体"/>
        </w:rPr>
      </w:pPr>
      <w:r>
        <w:rPr>
          <w:rStyle w:val="123"/>
          <w:rFonts w:ascii="宋体" w:hAnsi="宋体"/>
        </w:rPr>
        <w:t>d.由供应商法定代表人或其委托代理人、检查响应文件的密封情况，并在密封情况确认表签字确认；</w:t>
      </w:r>
    </w:p>
    <w:p>
      <w:pPr>
        <w:snapToGrid w:val="0"/>
        <w:spacing w:line="360" w:lineRule="auto"/>
        <w:ind w:firstLine="480" w:firstLineChars="200"/>
        <w:textAlignment w:val="baseline"/>
        <w:rPr>
          <w:rStyle w:val="123"/>
          <w:rFonts w:ascii="宋体" w:hAnsi="宋体"/>
        </w:rPr>
      </w:pPr>
      <w:r>
        <w:rPr>
          <w:rStyle w:val="123"/>
          <w:rFonts w:hint="eastAsia" w:ascii="宋体" w:hAnsi="宋体"/>
        </w:rPr>
        <w:t>e</w:t>
      </w:r>
      <w:r>
        <w:rPr>
          <w:rStyle w:val="123"/>
          <w:rFonts w:ascii="宋体" w:hAnsi="宋体"/>
        </w:rPr>
        <w:t>.宣布开标现场结束，进入评审和磋商阶段，响应文件实质性审查通过后，进行二次报价环节；</w:t>
      </w:r>
    </w:p>
    <w:p>
      <w:pPr>
        <w:snapToGrid w:val="0"/>
        <w:spacing w:line="360" w:lineRule="auto"/>
        <w:ind w:firstLine="480" w:firstLineChars="200"/>
        <w:textAlignment w:val="baseline"/>
        <w:rPr>
          <w:rFonts w:cs="宋体" w:asciiTheme="minorEastAsia" w:hAnsiTheme="minorEastAsia" w:eastAsiaTheme="minorEastAsia"/>
          <w:szCs w:val="24"/>
        </w:rPr>
      </w:pPr>
      <w:r>
        <w:rPr>
          <w:rStyle w:val="123"/>
          <w:rFonts w:hint="eastAsia" w:ascii="宋体" w:hAnsi="宋体"/>
        </w:rPr>
        <w:t>F.</w:t>
      </w:r>
      <w:r>
        <w:rPr>
          <w:rStyle w:val="123"/>
          <w:rFonts w:ascii="宋体" w:hAnsi="宋体"/>
        </w:rPr>
        <w:t>会议结束。</w:t>
      </w:r>
    </w:p>
    <w:p>
      <w:pPr>
        <w:spacing w:line="360" w:lineRule="auto"/>
        <w:ind w:firstLine="482" w:firstLineChars="200"/>
        <w:rPr>
          <w:rFonts w:asciiTheme="minorEastAsia" w:hAnsiTheme="minorEastAsia" w:eastAsiaTheme="minorEastAsia"/>
          <w:b/>
          <w:bCs/>
          <w:szCs w:val="24"/>
        </w:rPr>
      </w:pPr>
      <w:bookmarkStart w:id="248" w:name="_Toc18029"/>
      <w:bookmarkStart w:id="249" w:name="_Toc311415599"/>
      <w:bookmarkStart w:id="250" w:name="_Toc6289"/>
      <w:bookmarkStart w:id="251" w:name="_Toc14166"/>
      <w:bookmarkStart w:id="252" w:name="_Toc31576"/>
      <w:bookmarkStart w:id="253" w:name="_Toc12370"/>
      <w:bookmarkStart w:id="254" w:name="_Toc16025"/>
      <w:r>
        <w:rPr>
          <w:rFonts w:hint="eastAsia" w:asciiTheme="minorEastAsia" w:hAnsiTheme="minorEastAsia" w:eastAsiaTheme="minorEastAsia"/>
          <w:b/>
          <w:bCs/>
          <w:szCs w:val="24"/>
        </w:rPr>
        <w:t>25．</w:t>
      </w:r>
      <w:bookmarkEnd w:id="248"/>
      <w:bookmarkEnd w:id="249"/>
      <w:bookmarkEnd w:id="250"/>
      <w:bookmarkEnd w:id="251"/>
      <w:bookmarkEnd w:id="252"/>
      <w:bookmarkEnd w:id="253"/>
      <w:bookmarkEnd w:id="254"/>
      <w:r>
        <w:rPr>
          <w:rFonts w:hint="eastAsia" w:asciiTheme="minorEastAsia" w:hAnsiTheme="minorEastAsia" w:eastAsiaTheme="minorEastAsia"/>
          <w:b/>
          <w:bCs/>
          <w:szCs w:val="24"/>
        </w:rPr>
        <w:t xml:space="preserve">磋商小组 </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25.1 采购人将根据本次采购项目的特点，参照《中华人民共和国政府采购法》等有关规定组建磋商小组。</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25.2 磋商小组成员由采购人及有关技术、经济等方面的专家组成，其中技术、经济类专家人数不少于总人数的2/3。</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25.3 磋商小组成员对各响应供应商响应文件进行审查、质疑、评估和比较，并推荐中标候选响应供应商。</w:t>
      </w:r>
    </w:p>
    <w:p>
      <w:pPr>
        <w:spacing w:line="360" w:lineRule="auto"/>
        <w:ind w:firstLine="482" w:firstLineChars="200"/>
        <w:rPr>
          <w:rFonts w:asciiTheme="minorEastAsia" w:hAnsiTheme="minorEastAsia" w:eastAsiaTheme="minorEastAsia"/>
          <w:b/>
          <w:bCs/>
          <w:szCs w:val="24"/>
        </w:rPr>
      </w:pPr>
      <w:bookmarkStart w:id="255" w:name="_Toc311415601"/>
      <w:bookmarkStart w:id="256" w:name="_Toc23758"/>
      <w:bookmarkStart w:id="257" w:name="_Toc28304"/>
      <w:bookmarkStart w:id="258" w:name="_Toc11641"/>
      <w:bookmarkStart w:id="259" w:name="_Toc19237"/>
      <w:bookmarkStart w:id="260" w:name="_Toc11959"/>
      <w:bookmarkStart w:id="261" w:name="_Toc11172"/>
      <w:r>
        <w:rPr>
          <w:rFonts w:hint="eastAsia" w:asciiTheme="minorEastAsia" w:hAnsiTheme="minorEastAsia" w:eastAsiaTheme="minorEastAsia"/>
          <w:b/>
          <w:bCs/>
          <w:szCs w:val="24"/>
        </w:rPr>
        <w:t>26．响应文件的审</w:t>
      </w:r>
      <w:bookmarkEnd w:id="255"/>
      <w:r>
        <w:rPr>
          <w:rFonts w:hint="eastAsia" w:asciiTheme="minorEastAsia" w:hAnsiTheme="minorEastAsia" w:eastAsiaTheme="minorEastAsia"/>
          <w:b/>
          <w:bCs/>
          <w:szCs w:val="24"/>
        </w:rPr>
        <w:t>核</w:t>
      </w:r>
      <w:bookmarkEnd w:id="256"/>
      <w:bookmarkEnd w:id="257"/>
      <w:bookmarkEnd w:id="258"/>
      <w:bookmarkEnd w:id="259"/>
      <w:bookmarkEnd w:id="260"/>
      <w:bookmarkEnd w:id="261"/>
    </w:p>
    <w:p>
      <w:pPr>
        <w:tabs>
          <w:tab w:val="left" w:pos="0"/>
        </w:tabs>
        <w:adjustRightInd w:val="0"/>
        <w:snapToGrid w:val="0"/>
        <w:spacing w:line="360" w:lineRule="auto"/>
        <w:ind w:firstLine="480" w:firstLineChars="200"/>
        <w:jc w:val="left"/>
        <w:rPr>
          <w:rFonts w:cs="宋体" w:asciiTheme="minorEastAsia" w:hAnsiTheme="minorEastAsia" w:eastAsiaTheme="minorEastAsia"/>
          <w:kern w:val="0"/>
          <w:szCs w:val="24"/>
        </w:rPr>
      </w:pPr>
      <w:r>
        <w:rPr>
          <w:rFonts w:hint="eastAsia" w:cs="宋体" w:asciiTheme="minorEastAsia" w:hAnsiTheme="minorEastAsia" w:eastAsiaTheme="minorEastAsia"/>
          <w:szCs w:val="24"/>
        </w:rPr>
        <w:t>26.1响应文件的资格性审查：磋商小组依据法律法规和响应文件的规定，对响应文件中的资格证明文件进行审查。响应供应商资格证明文件审查时，缺少其中一项或某项达不到响应文件要求，均视为资格性审查不合格，</w:t>
      </w:r>
      <w:r>
        <w:rPr>
          <w:rFonts w:hint="eastAsia" w:cs="宋体" w:asciiTheme="minorEastAsia" w:hAnsiTheme="minorEastAsia" w:eastAsiaTheme="minorEastAsia"/>
          <w:kern w:val="0"/>
          <w:szCs w:val="24"/>
        </w:rPr>
        <w:t>将不具备投标资格，按无效投标处理。</w:t>
      </w:r>
      <w:r>
        <w:rPr>
          <w:rFonts w:hint="eastAsia" w:cs="宋体" w:asciiTheme="minorEastAsia" w:hAnsiTheme="minorEastAsia" w:eastAsiaTheme="minorEastAsia"/>
          <w:szCs w:val="24"/>
        </w:rPr>
        <w:t>如果认为响应供应商的资格证明文件复印件存在疑点，可以要求其现场提供原件进行核查。两者出现不同或在规定的时间内未能及时提供原件，均视为资格性审查不合格。</w:t>
      </w:r>
    </w:p>
    <w:p>
      <w:pPr>
        <w:tabs>
          <w:tab w:val="left" w:pos="1155"/>
        </w:tabs>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26.2响应文件符合性审查：磋商小组依据响应文件的规定，从响应文件的有效性、完整性和对响应文件的响应程度进行审查，以确定是否对响应文件的实质性内容作出响应，详细内容请阅读第六章评标方法及标准相关内容。</w:t>
      </w:r>
    </w:p>
    <w:p>
      <w:pPr>
        <w:tabs>
          <w:tab w:val="left" w:pos="1155"/>
        </w:tabs>
        <w:spacing w:line="360" w:lineRule="auto"/>
        <w:ind w:firstLine="482" w:firstLineChars="200"/>
        <w:rPr>
          <w:rFonts w:cs="宋体" w:asciiTheme="minorEastAsia" w:hAnsiTheme="minorEastAsia" w:eastAsiaTheme="minorEastAsia"/>
          <w:b/>
          <w:bCs/>
          <w:szCs w:val="24"/>
        </w:rPr>
      </w:pPr>
      <w:r>
        <w:rPr>
          <w:rFonts w:hint="eastAsia" w:cs="宋体" w:asciiTheme="minorEastAsia" w:hAnsiTheme="minorEastAsia" w:eastAsiaTheme="minorEastAsia"/>
          <w:b/>
          <w:bCs/>
          <w:szCs w:val="24"/>
        </w:rPr>
        <w:t>26.3响应供应商及响应文件出现下列情况者（但不限于），按无效标处理。</w:t>
      </w:r>
    </w:p>
    <w:p>
      <w:pPr>
        <w:overflowPunct w:val="0"/>
        <w:adjustRightInd w:val="0"/>
        <w:snapToGrid w:val="0"/>
        <w:spacing w:line="360" w:lineRule="auto"/>
        <w:ind w:firstLine="482" w:firstLineChars="200"/>
        <w:rPr>
          <w:rFonts w:cs="宋体" w:asciiTheme="minorEastAsia" w:hAnsiTheme="minorEastAsia" w:eastAsiaTheme="minorEastAsia"/>
          <w:b/>
          <w:bCs/>
          <w:szCs w:val="24"/>
        </w:rPr>
      </w:pPr>
      <w:r>
        <w:rPr>
          <w:rFonts w:hint="eastAsia" w:cs="宋体" w:asciiTheme="minorEastAsia" w:hAnsiTheme="minorEastAsia" w:eastAsiaTheme="minorEastAsia"/>
          <w:b/>
          <w:bCs/>
          <w:szCs w:val="24"/>
        </w:rPr>
        <w:t>26.3.1响应供应商没有经过正常渠道获取标书或响应供应商的名称与登记领取响应文件单位的名称不符；</w:t>
      </w:r>
    </w:p>
    <w:p>
      <w:pPr>
        <w:overflowPunct w:val="0"/>
        <w:adjustRightInd w:val="0"/>
        <w:snapToGrid w:val="0"/>
        <w:spacing w:line="360" w:lineRule="auto"/>
        <w:ind w:firstLine="482" w:firstLineChars="200"/>
        <w:rPr>
          <w:rFonts w:cs="宋体" w:asciiTheme="minorEastAsia" w:hAnsiTheme="minorEastAsia" w:eastAsiaTheme="minorEastAsia"/>
          <w:b/>
          <w:bCs/>
          <w:szCs w:val="24"/>
        </w:rPr>
      </w:pPr>
      <w:r>
        <w:rPr>
          <w:rFonts w:hint="eastAsia" w:cs="宋体" w:asciiTheme="minorEastAsia" w:hAnsiTheme="minorEastAsia" w:eastAsiaTheme="minorEastAsia"/>
          <w:b/>
          <w:bCs/>
          <w:szCs w:val="24"/>
        </w:rPr>
        <w:t>26.3.2响应文件没有法定代表人（或负责人）授权书（法人（或负责人）直接参加除外）或授权书的合法性或有效性不符合响应文件规定；</w:t>
      </w:r>
    </w:p>
    <w:p>
      <w:pPr>
        <w:overflowPunct w:val="0"/>
        <w:adjustRightInd w:val="0"/>
        <w:snapToGrid w:val="0"/>
        <w:spacing w:line="360" w:lineRule="auto"/>
        <w:ind w:firstLine="482" w:firstLineChars="200"/>
        <w:rPr>
          <w:rFonts w:cs="宋体" w:asciiTheme="minorEastAsia" w:hAnsiTheme="minorEastAsia" w:eastAsiaTheme="minorEastAsia"/>
          <w:b/>
          <w:bCs/>
          <w:szCs w:val="24"/>
        </w:rPr>
      </w:pPr>
      <w:r>
        <w:rPr>
          <w:rFonts w:hint="eastAsia" w:cs="宋体" w:asciiTheme="minorEastAsia" w:hAnsiTheme="minorEastAsia" w:eastAsiaTheme="minorEastAsia"/>
          <w:b/>
          <w:bCs/>
          <w:szCs w:val="24"/>
        </w:rPr>
        <w:t>26.3.3响应供应商资质的有效性或符合性不符合要求的；</w:t>
      </w:r>
    </w:p>
    <w:p>
      <w:pPr>
        <w:overflowPunct w:val="0"/>
        <w:adjustRightInd w:val="0"/>
        <w:snapToGrid w:val="0"/>
        <w:spacing w:line="360" w:lineRule="auto"/>
        <w:ind w:firstLine="482" w:firstLineChars="200"/>
        <w:rPr>
          <w:rFonts w:cs="宋体" w:asciiTheme="minorEastAsia" w:hAnsiTheme="minorEastAsia" w:eastAsiaTheme="minorEastAsia"/>
          <w:b/>
          <w:bCs/>
          <w:szCs w:val="24"/>
        </w:rPr>
      </w:pPr>
      <w:r>
        <w:rPr>
          <w:rFonts w:hint="eastAsia" w:cs="宋体" w:asciiTheme="minorEastAsia" w:hAnsiTheme="minorEastAsia" w:eastAsiaTheme="minorEastAsia"/>
          <w:b/>
          <w:bCs/>
          <w:szCs w:val="24"/>
        </w:rPr>
        <w:t>26.3.4响应文件未按响应文件规定有效签字和盖章的；或由响应供应商授权代表签字的,但未随响应文件一起提交有效的“授权委托书”原件的；</w:t>
      </w:r>
    </w:p>
    <w:p>
      <w:pPr>
        <w:overflowPunct w:val="0"/>
        <w:adjustRightInd w:val="0"/>
        <w:snapToGrid w:val="0"/>
        <w:spacing w:line="360" w:lineRule="auto"/>
        <w:ind w:firstLine="482" w:firstLineChars="200"/>
        <w:rPr>
          <w:rFonts w:cs="宋体" w:asciiTheme="minorEastAsia" w:hAnsiTheme="minorEastAsia" w:eastAsiaTheme="minorEastAsia"/>
          <w:b/>
          <w:bCs/>
          <w:szCs w:val="24"/>
        </w:rPr>
      </w:pPr>
      <w:r>
        <w:rPr>
          <w:rFonts w:hint="eastAsia" w:cs="宋体" w:asciiTheme="minorEastAsia" w:hAnsiTheme="minorEastAsia" w:eastAsiaTheme="minorEastAsia"/>
          <w:b/>
          <w:bCs/>
          <w:szCs w:val="24"/>
        </w:rPr>
        <w:t>26.3.5磋商有效期不足的；</w:t>
      </w:r>
    </w:p>
    <w:p>
      <w:pPr>
        <w:overflowPunct w:val="0"/>
        <w:adjustRightInd w:val="0"/>
        <w:snapToGrid w:val="0"/>
        <w:spacing w:line="360" w:lineRule="auto"/>
        <w:ind w:firstLine="482" w:firstLineChars="200"/>
        <w:rPr>
          <w:rFonts w:cs="宋体" w:asciiTheme="minorEastAsia" w:hAnsiTheme="minorEastAsia" w:eastAsiaTheme="minorEastAsia"/>
          <w:b/>
          <w:bCs/>
          <w:szCs w:val="24"/>
        </w:rPr>
      </w:pPr>
      <w:r>
        <w:rPr>
          <w:rFonts w:hint="eastAsia" w:cs="宋体" w:asciiTheme="minorEastAsia" w:hAnsiTheme="minorEastAsia" w:eastAsiaTheme="minorEastAsia"/>
          <w:b/>
          <w:bCs/>
          <w:szCs w:val="24"/>
        </w:rPr>
        <w:t>26.3.6投标内容出现漏项或与要求不符，出现重大负偏差；</w:t>
      </w:r>
    </w:p>
    <w:p>
      <w:pPr>
        <w:overflowPunct w:val="0"/>
        <w:adjustRightInd w:val="0"/>
        <w:snapToGrid w:val="0"/>
        <w:spacing w:line="360" w:lineRule="auto"/>
        <w:ind w:firstLine="482" w:firstLineChars="200"/>
        <w:rPr>
          <w:rFonts w:cs="宋体" w:asciiTheme="minorEastAsia" w:hAnsiTheme="minorEastAsia" w:eastAsiaTheme="minorEastAsia"/>
          <w:b/>
          <w:bCs/>
          <w:szCs w:val="24"/>
        </w:rPr>
      </w:pPr>
      <w:r>
        <w:rPr>
          <w:rFonts w:hint="eastAsia" w:cs="宋体" w:asciiTheme="minorEastAsia" w:hAnsiTheme="minorEastAsia" w:eastAsiaTheme="minorEastAsia"/>
          <w:b/>
          <w:bCs/>
          <w:szCs w:val="24"/>
        </w:rPr>
        <w:t>26.3.7响应文件的条款响应与响应文件要求不一致，附加了采购人难以接受的条件；</w:t>
      </w:r>
    </w:p>
    <w:p>
      <w:pPr>
        <w:overflowPunct w:val="0"/>
        <w:adjustRightInd w:val="0"/>
        <w:snapToGrid w:val="0"/>
        <w:spacing w:line="360" w:lineRule="auto"/>
        <w:ind w:firstLine="482" w:firstLineChars="200"/>
        <w:rPr>
          <w:rFonts w:cs="宋体" w:asciiTheme="minorEastAsia" w:hAnsiTheme="minorEastAsia" w:eastAsiaTheme="minorEastAsia"/>
          <w:b/>
          <w:bCs/>
          <w:szCs w:val="24"/>
        </w:rPr>
      </w:pPr>
      <w:r>
        <w:rPr>
          <w:rFonts w:hint="eastAsia" w:cs="宋体" w:asciiTheme="minorEastAsia" w:hAnsiTheme="minorEastAsia" w:eastAsiaTheme="minorEastAsia"/>
          <w:b/>
          <w:bCs/>
          <w:szCs w:val="24"/>
        </w:rPr>
        <w:t>26.3.8规定不接受选择方案和选择报价（包括交叉折扣）的，响应供应商提供了选择方案和/或选择报价（包括交叉折扣）；</w:t>
      </w:r>
    </w:p>
    <w:p>
      <w:pPr>
        <w:overflowPunct w:val="0"/>
        <w:adjustRightInd w:val="0"/>
        <w:snapToGrid w:val="0"/>
        <w:spacing w:line="360" w:lineRule="auto"/>
        <w:ind w:firstLine="482" w:firstLineChars="200"/>
        <w:rPr>
          <w:rFonts w:cs="宋体" w:asciiTheme="minorEastAsia" w:hAnsiTheme="minorEastAsia" w:eastAsiaTheme="minorEastAsia"/>
          <w:b/>
          <w:bCs/>
          <w:szCs w:val="24"/>
        </w:rPr>
      </w:pPr>
      <w:r>
        <w:rPr>
          <w:rFonts w:hint="eastAsia" w:cs="宋体" w:asciiTheme="minorEastAsia" w:hAnsiTheme="minorEastAsia" w:eastAsiaTheme="minorEastAsia"/>
          <w:b/>
          <w:bCs/>
          <w:szCs w:val="24"/>
        </w:rPr>
        <w:t>26.3.9经磋商小组认定磋商报价与市场价偏离较大，且不能在规定时间证明其报价合理性的；</w:t>
      </w:r>
    </w:p>
    <w:p>
      <w:pPr>
        <w:overflowPunct w:val="0"/>
        <w:adjustRightInd w:val="0"/>
        <w:snapToGrid w:val="0"/>
        <w:spacing w:line="360" w:lineRule="auto"/>
        <w:ind w:firstLine="482" w:firstLineChars="200"/>
        <w:rPr>
          <w:rFonts w:cs="宋体" w:asciiTheme="minorEastAsia" w:hAnsiTheme="minorEastAsia" w:eastAsiaTheme="minorEastAsia"/>
          <w:b/>
          <w:bCs/>
          <w:szCs w:val="24"/>
        </w:rPr>
      </w:pPr>
      <w:r>
        <w:rPr>
          <w:rFonts w:hint="eastAsia" w:cs="宋体" w:asciiTheme="minorEastAsia" w:hAnsiTheme="minorEastAsia" w:eastAsiaTheme="minorEastAsia"/>
          <w:b/>
          <w:bCs/>
          <w:szCs w:val="24"/>
        </w:rPr>
        <w:t>26.3.10磋商报价超出采购预算的；</w:t>
      </w:r>
    </w:p>
    <w:p>
      <w:pPr>
        <w:overflowPunct w:val="0"/>
        <w:adjustRightInd w:val="0"/>
        <w:snapToGrid w:val="0"/>
        <w:spacing w:line="360" w:lineRule="auto"/>
        <w:ind w:firstLine="482" w:firstLineChars="200"/>
        <w:rPr>
          <w:rFonts w:cs="宋体" w:asciiTheme="minorEastAsia" w:hAnsiTheme="minorEastAsia" w:eastAsiaTheme="minorEastAsia"/>
          <w:b/>
          <w:bCs/>
          <w:szCs w:val="24"/>
        </w:rPr>
      </w:pPr>
      <w:r>
        <w:rPr>
          <w:rFonts w:hint="eastAsia" w:cs="宋体" w:asciiTheme="minorEastAsia" w:hAnsiTheme="minorEastAsia" w:eastAsiaTheme="minorEastAsia"/>
          <w:b/>
          <w:bCs/>
          <w:szCs w:val="24"/>
        </w:rPr>
        <w:t>26.3.11提供虚假证明，开具虚假资质，出现虚假应答，除按无效标处理外，还进行相应的处罚；</w:t>
      </w:r>
    </w:p>
    <w:p>
      <w:pPr>
        <w:overflowPunct w:val="0"/>
        <w:adjustRightInd w:val="0"/>
        <w:snapToGrid w:val="0"/>
        <w:spacing w:line="360" w:lineRule="auto"/>
        <w:ind w:firstLine="482" w:firstLineChars="200"/>
        <w:rPr>
          <w:rFonts w:cs="宋体" w:asciiTheme="minorEastAsia" w:hAnsiTheme="minorEastAsia" w:eastAsiaTheme="minorEastAsia"/>
          <w:b/>
          <w:szCs w:val="24"/>
        </w:rPr>
      </w:pPr>
      <w:r>
        <w:rPr>
          <w:rFonts w:hint="eastAsia" w:cs="宋体" w:asciiTheme="minorEastAsia" w:hAnsiTheme="minorEastAsia" w:eastAsiaTheme="minorEastAsia"/>
          <w:b/>
          <w:szCs w:val="24"/>
        </w:rPr>
        <w:t>26.3.12响应文件雷同性、围标串标判定。</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通过“文件制作机器码”和“文件创建标识码”判定。如MAC地址、硬盘序列号、CPU号、主板号等，判断是否由同一台电脑制作。若一致，则表明不同供应商的投标文件出自同一台电脑，根据《陕西省财政厅关于政府采购有关政策的复函》（陕财办采函【2019】18号）文件精神，视为供应商串通投标，其投标无效。“文件创建标识码”一致表示不同供应商使用投标文件制作软件时，使用同一源工程文件。</w:t>
      </w:r>
    </w:p>
    <w:p>
      <w:pPr>
        <w:overflowPunct w:val="0"/>
        <w:adjustRightInd w:val="0"/>
        <w:snapToGrid w:val="0"/>
        <w:spacing w:line="360" w:lineRule="auto"/>
        <w:ind w:firstLine="480" w:firstLineChars="200"/>
        <w:rPr>
          <w:rFonts w:cs="宋体" w:asciiTheme="minorEastAsia" w:hAnsiTheme="minorEastAsia" w:eastAsiaTheme="minorEastAsia"/>
          <w:szCs w:val="24"/>
        </w:rPr>
      </w:pPr>
      <w:bookmarkStart w:id="262" w:name="_Toc24961"/>
      <w:bookmarkStart w:id="263" w:name="_Toc6937"/>
      <w:bookmarkStart w:id="264" w:name="_Toc8005"/>
      <w:bookmarkStart w:id="265" w:name="_Toc311415600"/>
      <w:bookmarkStart w:id="266" w:name="_Toc29866"/>
      <w:bookmarkStart w:id="267" w:name="_Toc25560"/>
      <w:bookmarkStart w:id="268" w:name="_Toc1978"/>
      <w:r>
        <w:rPr>
          <w:rFonts w:hint="eastAsia" w:cs="宋体" w:asciiTheme="minorEastAsia" w:hAnsiTheme="minorEastAsia" w:eastAsiaTheme="minorEastAsia"/>
          <w:szCs w:val="24"/>
        </w:rPr>
        <w:t>27．响应文件的澄清</w:t>
      </w:r>
      <w:bookmarkEnd w:id="262"/>
      <w:bookmarkEnd w:id="263"/>
      <w:bookmarkEnd w:id="264"/>
      <w:bookmarkEnd w:id="265"/>
      <w:bookmarkEnd w:id="266"/>
      <w:bookmarkEnd w:id="267"/>
      <w:bookmarkEnd w:id="268"/>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27.1 在评审期间,磋商小组在对响应文件的有效性、完整性和响应程度进行审查时，可以要求响应供应商对响应文件中含义不明确、同类问题表述不一致或者有明显文字和计算错误的内容等作出必要的澄清、说明或者更正。</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27.2响应供应商应采用书面形式进行澄清或说明，但不得超出响应文件的范围或改变响应文件的实质性内容。响应供应商的澄清、说明或者更正应当由法定代表人（负责人）或其授权代表签字。</w:t>
      </w:r>
    </w:p>
    <w:p>
      <w:pPr>
        <w:spacing w:line="360" w:lineRule="auto"/>
        <w:ind w:firstLine="482" w:firstLineChars="200"/>
        <w:rPr>
          <w:rFonts w:asciiTheme="minorEastAsia" w:hAnsiTheme="minorEastAsia" w:eastAsiaTheme="minorEastAsia"/>
          <w:b/>
          <w:bCs/>
          <w:szCs w:val="24"/>
        </w:rPr>
      </w:pPr>
      <w:bookmarkStart w:id="269" w:name="_Toc2440"/>
      <w:bookmarkStart w:id="270" w:name="_Toc29414"/>
      <w:bookmarkStart w:id="271" w:name="_Toc9316"/>
      <w:bookmarkStart w:id="272" w:name="_Toc2420"/>
      <w:bookmarkStart w:id="273" w:name="_Toc23522"/>
      <w:bookmarkStart w:id="274" w:name="_Toc16314"/>
      <w:r>
        <w:rPr>
          <w:rFonts w:hint="eastAsia" w:asciiTheme="minorEastAsia" w:hAnsiTheme="minorEastAsia" w:eastAsiaTheme="minorEastAsia"/>
          <w:b/>
          <w:bCs/>
          <w:szCs w:val="24"/>
        </w:rPr>
        <w:t>28．响应文件的比较和评价</w:t>
      </w:r>
      <w:bookmarkEnd w:id="269"/>
      <w:bookmarkEnd w:id="270"/>
      <w:bookmarkEnd w:id="271"/>
      <w:bookmarkEnd w:id="272"/>
      <w:bookmarkEnd w:id="273"/>
      <w:bookmarkEnd w:id="274"/>
    </w:p>
    <w:p>
      <w:pPr>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28.1磋商小组在评审过程中，发现响应文件出现下列情况之一者，按以下原则修正：</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28.1.1磋商一览表内容与响应文件中报价内容不一致的，以磋商一览表为准；</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28.1.2大写金额和小写金额不一致的，以大写金额为准；</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28.1.3如果以单价计算的结果与总价不一致，则以单价为准修改总价；单价金额小数点有明显错位的，应以总价为准，并修改单价；</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28.1.4如果用文字表示的数值与用数字表示的数值不一致，以文字表示的值为准。</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28.1.5对不同文字文本响应文件的解释发生异议的，以中文文本为准；</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28.1.6正本与副本不一致的，以正本为准；</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28.2如果响应文件实质上没有响应响应文件的要求，其投标将被拒绝，响应供应商不得通过修正或撤消不合要求的偏离或保留从而使其投标成为实质上响应的投标。</w:t>
      </w:r>
    </w:p>
    <w:p>
      <w:pPr>
        <w:overflowPunct w:val="0"/>
        <w:adjustRightInd w:val="0"/>
        <w:snapToGrid w:val="0"/>
        <w:spacing w:line="360" w:lineRule="auto"/>
        <w:ind w:firstLine="482" w:firstLineChars="200"/>
        <w:rPr>
          <w:rFonts w:cs="宋体" w:asciiTheme="minorEastAsia" w:hAnsiTheme="minorEastAsia" w:eastAsiaTheme="minorEastAsia"/>
          <w:b/>
          <w:szCs w:val="24"/>
        </w:rPr>
      </w:pPr>
      <w:r>
        <w:rPr>
          <w:rFonts w:hint="eastAsia" w:cs="宋体" w:asciiTheme="minorEastAsia" w:hAnsiTheme="minorEastAsia" w:eastAsiaTheme="minorEastAsia"/>
          <w:b/>
          <w:szCs w:val="24"/>
        </w:rPr>
        <w:t>28.3评审程序：上一步评审不符合者，不进入下一步评审，先进行资格性审查，再进行符合性审查，然后进行综合评审。</w:t>
      </w:r>
    </w:p>
    <w:p>
      <w:pPr>
        <w:overflowPunct w:val="0"/>
        <w:adjustRightInd w:val="0"/>
        <w:snapToGrid w:val="0"/>
        <w:spacing w:line="360" w:lineRule="auto"/>
        <w:ind w:firstLine="482" w:firstLineChars="200"/>
        <w:rPr>
          <w:rFonts w:cs="宋体" w:asciiTheme="minorEastAsia" w:hAnsiTheme="minorEastAsia" w:eastAsiaTheme="minorEastAsia"/>
          <w:b/>
          <w:bCs/>
          <w:szCs w:val="24"/>
        </w:rPr>
      </w:pPr>
      <w:r>
        <w:rPr>
          <w:rFonts w:hint="eastAsia" w:cs="宋体" w:asciiTheme="minorEastAsia" w:hAnsiTheme="minorEastAsia" w:eastAsiaTheme="minorEastAsia"/>
          <w:b/>
          <w:bCs/>
          <w:szCs w:val="24"/>
        </w:rPr>
        <w:t>28.4在评标过程中，磋商小组认为响应供应商的报价或者某些分项报价明显不合理或者低于成本，有可能影响质量和不能诚信履约的，要求其在30分钟内提供以往类似项目书面证明材料（结算票据）予以解释说明；如果其不能够在磋商小组规定时间内提供相关材料证明其报价的合理性，其报价为无效报价。</w:t>
      </w:r>
    </w:p>
    <w:p>
      <w:pPr>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28.5提供相同品牌产品且通过资格审查、符合性审查的不同响应供应商按一家响应供应商计算，评审后得分最高的同品牌响应供应商获得成交人推荐资格；评审得分相同的，推荐磋商报价最低的响应供应商获得成交人资格。</w:t>
      </w:r>
    </w:p>
    <w:p>
      <w:pPr>
        <w:spacing w:line="360" w:lineRule="auto"/>
        <w:ind w:firstLine="480" w:firstLineChars="200"/>
        <w:rPr>
          <w:rFonts w:asciiTheme="minorEastAsia" w:hAnsiTheme="minorEastAsia" w:eastAsiaTheme="minorEastAsia"/>
          <w:szCs w:val="24"/>
        </w:rPr>
      </w:pPr>
      <w:bookmarkStart w:id="275" w:name="_Toc18751"/>
      <w:bookmarkStart w:id="276" w:name="_Toc14195"/>
      <w:bookmarkStart w:id="277" w:name="_Toc311415604"/>
      <w:bookmarkStart w:id="278" w:name="_Toc26200"/>
      <w:bookmarkStart w:id="279" w:name="_Toc5754"/>
      <w:bookmarkStart w:id="280" w:name="_Toc20065"/>
      <w:r>
        <w:rPr>
          <w:rFonts w:hint="eastAsia" w:asciiTheme="minorEastAsia" w:hAnsiTheme="minorEastAsia" w:eastAsiaTheme="minorEastAsia"/>
          <w:szCs w:val="24"/>
        </w:rPr>
        <w:t>29．评审原则及主要方法</w:t>
      </w:r>
      <w:bookmarkEnd w:id="275"/>
      <w:bookmarkEnd w:id="276"/>
      <w:bookmarkEnd w:id="277"/>
      <w:bookmarkEnd w:id="278"/>
      <w:bookmarkEnd w:id="279"/>
      <w:bookmarkEnd w:id="280"/>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29.1 磋商小组将遵循公平、公正和择优的原则，对所有进入综合评审的响应供应商的响应文件评审，采用相同的程序和标准。</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29.2 评审过程的保密：在响应文件的评审、比较、中标候选响应供应商推荐以及授予合同的过程中，响应供应商向采购人和磋商小组施加影响的任何行为，都将会导致其报价被拒绝。</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29.3评审办法：综合评分法，是指响应文件满足响应文件全部实质性要求且按评审因素的量化指标评审得分由高到低顺序确定中标候选响应供应商的评审方法。</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29.4磋商小组应当根据综合评分情况，按照评审得分由高到低顺序推荐3名中标候选响应供应商，并编写评审报告，评审得分相同的，按照报价由低到高的顺序推荐。评审得分且报价相同的，按照服务方案优劣顺序推荐。</w:t>
      </w:r>
    </w:p>
    <w:p>
      <w:pPr>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29.5评审过程中，若出现本办法以外的特殊情况时，将暂停评审，有关情况待磋商小组确定后，再行评定。</w:t>
      </w:r>
    </w:p>
    <w:p>
      <w:pPr>
        <w:adjustRightInd w:val="0"/>
        <w:snapToGrid w:val="0"/>
        <w:spacing w:line="360" w:lineRule="auto"/>
        <w:ind w:firstLine="480" w:firstLineChars="200"/>
        <w:rPr>
          <w:rFonts w:cs="宋体" w:asciiTheme="minorEastAsia" w:hAnsiTheme="minorEastAsia" w:eastAsiaTheme="minorEastAsia"/>
          <w:szCs w:val="24"/>
        </w:rPr>
      </w:pPr>
      <w:bookmarkStart w:id="281" w:name="_Toc410389005"/>
      <w:bookmarkStart w:id="282" w:name="_Toc20203"/>
      <w:bookmarkStart w:id="283" w:name="_Toc16675"/>
      <w:bookmarkStart w:id="284" w:name="_Toc25955"/>
      <w:bookmarkStart w:id="285" w:name="_Toc7083"/>
      <w:bookmarkStart w:id="286" w:name="_Toc26187"/>
      <w:bookmarkStart w:id="287" w:name="_Toc6760"/>
      <w:r>
        <w:rPr>
          <w:rFonts w:hint="eastAsia" w:cs="宋体" w:asciiTheme="minorEastAsia" w:hAnsiTheme="minorEastAsia" w:eastAsiaTheme="minorEastAsia"/>
          <w:szCs w:val="24"/>
        </w:rPr>
        <w:t>29.6需要落实的政府采购政策（如果投标企业符合相关需落实政府采购政策的，将按以下各标准执行）</w:t>
      </w:r>
    </w:p>
    <w:p>
      <w:pPr>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29.6.1中小企业落实政府采购政策：落实促进支持中小企业、监狱企业、残疾人福利性单位发展、脱贫攻坚工作的政策(如为专门面向中小企业的采购项目（或采购包），不执行29.6.1.1、29.6.1.2、29.6.1.3条款。)</w:t>
      </w:r>
    </w:p>
    <w:p>
      <w:pPr>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29.6.1.1《政府采购促进中小企业发展管理办法》（财库〔2020〕46号）</w:t>
      </w:r>
    </w:p>
    <w:p>
      <w:pPr>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在政府采购活动中，供应商提供的货物、工程或者服务符合下列情形的，享受《办法》规定的中小企业扶持政策:</w:t>
      </w:r>
    </w:p>
    <w:p>
      <w:pPr>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(一)在货物采购项目中，货物由中小企业制造，即货物由中小企业生产且使用该中小企业商号或者注册商标；</w:t>
      </w:r>
    </w:p>
    <w:p>
      <w:pPr>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(二)在工程采购项目中，工程由中小企业承建，即工程施工单位为中小企业；</w:t>
      </w:r>
    </w:p>
    <w:p>
      <w:pPr>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(三)在服务采购项目中，服务由中小企业承接，即提供服务的人员为中小企业依照《中华人民共和国劳动合同法》订立劳动合同的从业人员。</w:t>
      </w:r>
    </w:p>
    <w:p>
      <w:pPr>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在货物采购项目中，供应商提供的货物既有中小企业制造货物，也有大型企业制造货物的，不享受《办法》规定的中小企业扶持政策。</w:t>
      </w:r>
    </w:p>
    <w:p>
      <w:pPr>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以联合体形式参加政府采购活动，联合体各方均为中小企业的，联合体视同中小企业。其中，联合体各方均为小微企业的，联合体视同小微企业。</w:t>
      </w:r>
    </w:p>
    <w:p>
      <w:pPr>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依据《办法》规定享受扶持政策获得政府采购合同的，小微企业不得将合同分包给大中型企业，中型企业不得将合同分包给大型企业。</w:t>
      </w:r>
    </w:p>
    <w:p>
      <w:pPr>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根据《政府采购促进中小企业发展管理办法》的通知（财库〔2020〕46号）规定，参加政府采购活动的中小企业应当提供《中小企业声明函》。供应商提供的《中小企业声明函》原件必须真实，否则，按照有关规定予以处理。</w:t>
      </w:r>
    </w:p>
    <w:p>
      <w:pPr>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根据《政府采购促进中小企业发展管理办法》的相关规定，小微企业报价给予10%(工程项目为3%)的扣除，用扣除后的价格参加评审。适用招标投标法的政府采购工程建设项目，采用综合评估法但未采用低价优先法计算价格分的，评标时应当在采用原报价进行评分的基础上增加其价格得分的3%作为其价格分。</w:t>
      </w:r>
    </w:p>
    <w:p>
      <w:pPr>
        <w:adjustRightInd w:val="0"/>
        <w:snapToGrid w:val="0"/>
        <w:spacing w:line="360" w:lineRule="auto"/>
        <w:ind w:firstLine="480" w:firstLineChars="200"/>
        <w:rPr>
          <w:rFonts w:cs="宋体" w:asciiTheme="minorEastAsia" w:hAnsiTheme="minorEastAsia" w:eastAsiaTheme="minorEastAsia"/>
          <w:color w:val="0000FF"/>
          <w:szCs w:val="24"/>
        </w:rPr>
      </w:pPr>
      <w:r>
        <w:rPr>
          <w:rFonts w:hint="eastAsia" w:cs="宋体" w:asciiTheme="minorEastAsia" w:hAnsiTheme="minorEastAsia" w:eastAsiaTheme="minorEastAsia"/>
          <w:szCs w:val="24"/>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2%(工程项目为1%)的扣除，用扣除后的价格参加评审。适用招标投标法的政府采购工程建设项目，采用综合评估法但未采用低价优先法计算价格分的，评标时应当在采用原报价进行评分的基础上增加其价格得分的1%作为其价格分。组成联合体或者接受分包的小微企业与联合体内其他企业、分包企业之间存在直接控股、管理关系的，不享受价格扣除优惠政策。</w:t>
      </w:r>
    </w:p>
    <w:p>
      <w:pPr>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29.6.1.2 《财政部 司法部关于政府采购支持监狱企业发展有关问题的通知》（财库〔2014〕68号）</w:t>
      </w:r>
    </w:p>
    <w:p>
      <w:pPr>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监狱企业参加政府采购活动时，应当提供由省级以上监狱管理局、戒毒管理局（含新疆生产建设兵团）出具的属于监狱企业的证明文件。在政府采购活动中，监狱企业视同小型、微型企业。</w:t>
      </w:r>
    </w:p>
    <w:p>
      <w:pPr>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29.6.1.3《三部门联合发布关于促进残疾人就业政府采购政策的通知》（财库〔2017〕141号）；</w:t>
      </w:r>
    </w:p>
    <w:p>
      <w:pPr>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 xml:space="preserve">符合条件的残疾人福利性单位在参加政府采购活动时，应当提供本通知规定的《残疾人福利性单位声明函》，并对声明的真实性负责。在政府采购活动中，残疾人福利性单位视同小型、微型企业，享受预留份额。  </w:t>
      </w:r>
    </w:p>
    <w:p>
      <w:pPr>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29.6.2落实优先采购节能、环保产品的政策（所投产品满足以下文件要求中任意一条（及以上），其价格给予3%的扣除，用扣除后价格参与评审。</w:t>
      </w:r>
    </w:p>
    <w:p>
      <w:pPr>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29.6.2.1 根据《财政部 国家发展改革委关于印发〈节能产品政府采购实施意见〉的通知》（财库〔2004〕185号）规定“政府采购属于节能产品品目清单的，在技术、服务等指标同等条件下，应当优先采购节能品目清单的节能产品。”</w:t>
      </w:r>
    </w:p>
    <w:p>
      <w:pPr>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29.6.2.2 根据《财政部环保总局关于环境标志产品政府采购实施的意见》（财库〔2006〕90号）规定“采购人采购的产品属于环境标志产品政府采购清单中品目的，在性能、技术、服务等指标同等条件下，应当优先采购清单中的产品”。</w:t>
      </w:r>
    </w:p>
    <w:p>
      <w:pPr>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29.6.2.3 根据《国务院办公厅关于建立政府强制采购节能产品制度的通知》（国办发〔2007〕51号）有关要求，“使用财政性资金进行政府采购活动时，在技术、服务等指标满足采购需求的前提下，要优先采购节能产品，对部分节能效果、性能等达到要求的产品，实行强制采购，以促进节约能源，保护环境，降低政府机构能源费用开支。”</w:t>
      </w:r>
    </w:p>
    <w:p>
      <w:pPr>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29.6.2.4 根据《财政部 发展改革委 生态环境部 市场监管总局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29.6.2.5 所有投标产品进入 “节能产品政府采购品目清单”的，应提供相关证书复印件，相关证书的颁发机构应来自《参与实施政府采购节能产品认证机构名录》。</w:t>
      </w:r>
    </w:p>
    <w:p>
      <w:pPr>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29.6.2.6 所有投标产品进入“环境标志产品政府采购品目清单”的，应提供相关证书复印件，相关证书的颁发机构应来自《参与实施政府采购环境标志产品认证机构名录》。</w:t>
      </w:r>
    </w:p>
    <w:p>
      <w:pPr>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29.6.2.7对于已列入品目清单的产品类别，采购人可在采购需求中提出更高的节约资源和保护环境要求，对符合条件的获证产品给予优先待遇。</w:t>
      </w:r>
    </w:p>
    <w:p>
      <w:pPr>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29.6.2.8响应供应商在响应文件中对所投标产品为节能、环保、环境标志产品清单中的产品，在磋商报价时必须对此类产品单独分项报价，计算出小计金额。未提供节能、环保、环境标志产品计分明细表的不给予计分。</w:t>
      </w:r>
    </w:p>
    <w:p>
      <w:pPr>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29.6.2.9若节能、环保、环境标志清单内的产品仅是构成投标产品的部件、组件或零件的，则该投标产品不享受鼓励优惠政策。</w:t>
      </w:r>
    </w:p>
    <w:p>
      <w:pPr>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29.6.2.10同一标段的节能、环保、环境标志产品部分计分只对属于清单内的非强制类产品进行计分，强制类产品不给予计分。</w:t>
      </w:r>
    </w:p>
    <w:p>
      <w:pPr>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29.6.2.11节能、环保、环境标志产品不重复计分；同时列入国家级清单和省级清单的产品不重复计分。</w:t>
      </w:r>
    </w:p>
    <w:p>
      <w:pPr>
        <w:spacing w:line="360" w:lineRule="auto"/>
        <w:ind w:firstLine="482" w:firstLineChars="200"/>
        <w:rPr>
          <w:rFonts w:asciiTheme="minorEastAsia" w:hAnsiTheme="minorEastAsia" w:eastAsiaTheme="minorEastAsia"/>
          <w:b/>
          <w:bCs/>
          <w:szCs w:val="24"/>
        </w:rPr>
      </w:pPr>
      <w:r>
        <w:rPr>
          <w:rFonts w:hint="eastAsia" w:asciiTheme="minorEastAsia" w:hAnsiTheme="minorEastAsia" w:eastAsiaTheme="minorEastAsia"/>
          <w:b/>
          <w:bCs/>
          <w:szCs w:val="24"/>
        </w:rPr>
        <w:t>30．与采购人、采购代理机构和磋商小组接触</w:t>
      </w:r>
      <w:bookmarkEnd w:id="281"/>
      <w:bookmarkEnd w:id="282"/>
      <w:bookmarkEnd w:id="283"/>
      <w:bookmarkEnd w:id="284"/>
      <w:bookmarkEnd w:id="285"/>
      <w:bookmarkEnd w:id="286"/>
      <w:bookmarkEnd w:id="287"/>
    </w:p>
    <w:p>
      <w:pPr>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30.1 响应供应商试图对采购人和磋商小组的评审、比较或授予合同的决定进行影响，都可能导致其投标被拒绝。</w:t>
      </w:r>
    </w:p>
    <w:p>
      <w:pPr>
        <w:pStyle w:val="4"/>
        <w:tabs>
          <w:tab w:val="left" w:pos="576"/>
        </w:tabs>
        <w:spacing w:before="0" w:after="0" w:line="360" w:lineRule="auto"/>
        <w:jc w:val="left"/>
        <w:rPr>
          <w:rFonts w:cs="宋体" w:asciiTheme="minorEastAsia" w:hAnsiTheme="minorEastAsia" w:eastAsiaTheme="minorEastAsia"/>
          <w:iCs/>
          <w:szCs w:val="24"/>
        </w:rPr>
      </w:pPr>
      <w:bookmarkStart w:id="288" w:name="_Toc48655751"/>
      <w:bookmarkStart w:id="289" w:name="_Toc409684171"/>
      <w:bookmarkStart w:id="290" w:name="_Toc311415606"/>
      <w:bookmarkStart w:id="291" w:name="_Toc12415"/>
      <w:bookmarkStart w:id="292" w:name="_Toc513"/>
      <w:bookmarkStart w:id="293" w:name="_Toc283626507"/>
      <w:bookmarkStart w:id="294" w:name="_Toc283240491"/>
      <w:bookmarkStart w:id="295" w:name="_Toc89440029"/>
      <w:bookmarkStart w:id="296" w:name="_Toc11365"/>
      <w:bookmarkStart w:id="297" w:name="_Toc9226"/>
      <w:bookmarkStart w:id="298" w:name="_Toc31416"/>
      <w:bookmarkStart w:id="299" w:name="_Toc332874424"/>
      <w:bookmarkStart w:id="300" w:name="_Toc19997"/>
      <w:r>
        <w:rPr>
          <w:rFonts w:hint="eastAsia" w:cs="宋体" w:asciiTheme="minorEastAsia" w:hAnsiTheme="minorEastAsia" w:eastAsiaTheme="minorEastAsia"/>
          <w:iCs/>
          <w:szCs w:val="24"/>
        </w:rPr>
        <w:t>六、授予合同</w:t>
      </w:r>
      <w:bookmarkEnd w:id="288"/>
      <w:bookmarkEnd w:id="289"/>
      <w:bookmarkEnd w:id="290"/>
      <w:bookmarkEnd w:id="291"/>
      <w:bookmarkEnd w:id="292"/>
      <w:bookmarkEnd w:id="293"/>
      <w:bookmarkEnd w:id="294"/>
      <w:bookmarkEnd w:id="295"/>
      <w:bookmarkEnd w:id="296"/>
      <w:bookmarkEnd w:id="297"/>
      <w:bookmarkEnd w:id="298"/>
      <w:bookmarkEnd w:id="299"/>
      <w:bookmarkEnd w:id="300"/>
    </w:p>
    <w:p>
      <w:pPr>
        <w:spacing w:line="360" w:lineRule="auto"/>
        <w:ind w:firstLine="482" w:firstLineChars="200"/>
        <w:rPr>
          <w:rFonts w:asciiTheme="minorEastAsia" w:hAnsiTheme="minorEastAsia" w:eastAsiaTheme="minorEastAsia"/>
          <w:b/>
          <w:bCs/>
          <w:szCs w:val="24"/>
        </w:rPr>
      </w:pPr>
      <w:bookmarkStart w:id="301" w:name="_Toc311415607"/>
      <w:bookmarkStart w:id="302" w:name="_Toc668"/>
      <w:bookmarkStart w:id="303" w:name="_Toc9375"/>
      <w:bookmarkStart w:id="304" w:name="_Toc8879"/>
      <w:bookmarkStart w:id="305" w:name="_Toc3257"/>
      <w:bookmarkStart w:id="306" w:name="_Toc7899"/>
      <w:bookmarkStart w:id="307" w:name="_Toc19116"/>
      <w:r>
        <w:rPr>
          <w:rFonts w:hint="eastAsia" w:asciiTheme="minorEastAsia" w:hAnsiTheme="minorEastAsia" w:eastAsiaTheme="minorEastAsia"/>
          <w:b/>
          <w:bCs/>
          <w:szCs w:val="24"/>
        </w:rPr>
        <w:t>31．</w:t>
      </w:r>
      <w:bookmarkEnd w:id="301"/>
      <w:r>
        <w:rPr>
          <w:rFonts w:hint="eastAsia" w:asciiTheme="minorEastAsia" w:hAnsiTheme="minorEastAsia" w:eastAsiaTheme="minorEastAsia"/>
          <w:b/>
          <w:bCs/>
          <w:szCs w:val="24"/>
        </w:rPr>
        <w:t>中标及合同授予</w:t>
      </w:r>
      <w:bookmarkEnd w:id="302"/>
      <w:bookmarkEnd w:id="303"/>
      <w:bookmarkEnd w:id="304"/>
      <w:bookmarkEnd w:id="305"/>
      <w:bookmarkEnd w:id="306"/>
      <w:bookmarkEnd w:id="307"/>
    </w:p>
    <w:p>
      <w:pPr>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31.1采购代理机构应在评审结束后1个工作日内，将评审报告送采购人确认。</w:t>
      </w:r>
    </w:p>
    <w:p>
      <w:pPr>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31.2采购人在收到评审报告后4个工作日内，根据评审报告对评审过程及结果进行严格审核后确定成交人，复函采购代理机构。</w:t>
      </w:r>
    </w:p>
    <w:p>
      <w:pPr>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31.3采购代理机构在接到采购人的成交人复函后1个工作日内，在财政部门指定的政府采购信息发布媒体上公告，并向中标供应商发《成交通知书》。</w:t>
      </w:r>
    </w:p>
    <w:p>
      <w:pPr>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31.4采购代理机构向成交人发出《成交通知书》，对于其他未成交人，将在保证金有效期内退还其磋商保证金。</w:t>
      </w:r>
    </w:p>
    <w:p>
      <w:pPr>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31.5《成交通知书》将作为签订合同的依据，响应文件、成交人的响应文件和补充文件（如澄清、承诺等）等，均为有法律约束力的经济合同组成的一部分。</w:t>
      </w:r>
    </w:p>
    <w:p>
      <w:pPr>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31.6《成交通知书》发出30天内，如果已中标的响应供应商不能按响应文件，包括补充文件（如澄清、承诺等）中承诺的条件履行签约行为，采购人有权取消其中标资格，并扣除其磋商保证金。</w:t>
      </w:r>
    </w:p>
    <w:p>
      <w:pPr>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31.7成交人如果因不可抗力或自身原因不能履行采购合同，采购人可与排位在成交人之后第一位的中标候选响应供应商签订采购合同。</w:t>
      </w:r>
    </w:p>
    <w:p>
      <w:pPr>
        <w:spacing w:line="360" w:lineRule="auto"/>
        <w:ind w:firstLine="482" w:firstLineChars="200"/>
        <w:rPr>
          <w:rFonts w:asciiTheme="minorEastAsia" w:hAnsiTheme="minorEastAsia" w:eastAsiaTheme="minorEastAsia"/>
          <w:b/>
          <w:bCs/>
          <w:szCs w:val="24"/>
        </w:rPr>
      </w:pPr>
      <w:bookmarkStart w:id="308" w:name="_Toc311415609"/>
      <w:bookmarkStart w:id="309" w:name="_Toc22187"/>
      <w:bookmarkStart w:id="310" w:name="_Toc7386"/>
      <w:bookmarkStart w:id="311" w:name="_Toc25920"/>
      <w:bookmarkStart w:id="312" w:name="_Toc25447"/>
      <w:bookmarkStart w:id="313" w:name="_Toc1639"/>
      <w:r>
        <w:rPr>
          <w:rFonts w:hint="eastAsia" w:asciiTheme="minorEastAsia" w:hAnsiTheme="minorEastAsia" w:eastAsiaTheme="minorEastAsia"/>
          <w:b/>
          <w:bCs/>
          <w:szCs w:val="24"/>
        </w:rPr>
        <w:t>32．接受和拒绝任何或所有投标的权力</w:t>
      </w:r>
      <w:bookmarkEnd w:id="308"/>
      <w:bookmarkEnd w:id="309"/>
      <w:bookmarkEnd w:id="310"/>
      <w:bookmarkEnd w:id="311"/>
      <w:bookmarkEnd w:id="312"/>
      <w:bookmarkEnd w:id="313"/>
    </w:p>
    <w:p>
      <w:pPr>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32.1 采购代理机构和采购人保留在授标之前任何时候接受或拒绝任何投标，以及宣布磋商程序无效或拒绝所有投标的权力，对受影响的响应供应商不承担任何责任，也无义务向受影响的响应供应商解释采取这一行动的理由。</w:t>
      </w:r>
    </w:p>
    <w:p>
      <w:pPr>
        <w:spacing w:line="360" w:lineRule="auto"/>
        <w:ind w:firstLine="482" w:firstLineChars="200"/>
        <w:rPr>
          <w:rFonts w:asciiTheme="minorEastAsia" w:hAnsiTheme="minorEastAsia" w:eastAsiaTheme="minorEastAsia"/>
          <w:b/>
          <w:bCs/>
          <w:szCs w:val="24"/>
        </w:rPr>
      </w:pPr>
      <w:bookmarkStart w:id="314" w:name="_Toc22938"/>
      <w:bookmarkStart w:id="315" w:name="_Toc311415612"/>
      <w:bookmarkStart w:id="316" w:name="_Toc16517"/>
      <w:bookmarkStart w:id="317" w:name="_Toc5667"/>
      <w:bookmarkStart w:id="318" w:name="_Toc30829"/>
      <w:bookmarkStart w:id="319" w:name="_Toc15901"/>
      <w:bookmarkStart w:id="320" w:name="_Toc18641"/>
      <w:r>
        <w:rPr>
          <w:rFonts w:hint="eastAsia" w:asciiTheme="minorEastAsia" w:hAnsiTheme="minorEastAsia" w:eastAsiaTheme="minorEastAsia"/>
          <w:b/>
          <w:bCs/>
          <w:szCs w:val="24"/>
        </w:rPr>
        <w:t>33．履约保证金</w:t>
      </w:r>
      <w:bookmarkEnd w:id="314"/>
      <w:bookmarkEnd w:id="315"/>
      <w:bookmarkEnd w:id="316"/>
      <w:bookmarkEnd w:id="317"/>
      <w:bookmarkEnd w:id="318"/>
      <w:bookmarkEnd w:id="319"/>
      <w:bookmarkEnd w:id="320"/>
    </w:p>
    <w:p>
      <w:pPr>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33.1本项目无履约保证金。</w:t>
      </w:r>
    </w:p>
    <w:p>
      <w:pPr>
        <w:spacing w:line="360" w:lineRule="auto"/>
        <w:ind w:firstLine="482" w:firstLineChars="200"/>
        <w:rPr>
          <w:rFonts w:asciiTheme="minorEastAsia" w:hAnsiTheme="minorEastAsia" w:eastAsiaTheme="minorEastAsia"/>
          <w:b/>
          <w:bCs/>
          <w:szCs w:val="24"/>
        </w:rPr>
      </w:pPr>
      <w:bookmarkStart w:id="321" w:name="_Toc26621"/>
      <w:bookmarkStart w:id="322" w:name="_Toc5173"/>
      <w:bookmarkStart w:id="323" w:name="_Toc24810"/>
      <w:bookmarkStart w:id="324" w:name="_Toc5331"/>
      <w:bookmarkStart w:id="325" w:name="_Toc789"/>
      <w:bookmarkStart w:id="326" w:name="_Toc9119"/>
      <w:r>
        <w:rPr>
          <w:rFonts w:hint="eastAsia" w:asciiTheme="minorEastAsia" w:hAnsiTheme="minorEastAsia" w:eastAsiaTheme="minorEastAsia"/>
          <w:b/>
          <w:bCs/>
          <w:szCs w:val="24"/>
        </w:rPr>
        <w:t>34．腐败和欺诈行为</w:t>
      </w:r>
      <w:bookmarkEnd w:id="321"/>
      <w:bookmarkEnd w:id="322"/>
      <w:bookmarkEnd w:id="323"/>
      <w:bookmarkEnd w:id="324"/>
      <w:bookmarkEnd w:id="325"/>
      <w:bookmarkEnd w:id="326"/>
    </w:p>
    <w:p>
      <w:pPr>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34.1 定义</w:t>
      </w:r>
    </w:p>
    <w:p>
      <w:pPr>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a. “腐败行为”是指提供给予接受或索取任何有价值的东西来影响采购代理机构和/或采购人在采购过程或合同实施过程中的行为。</w:t>
      </w:r>
    </w:p>
    <w:p>
      <w:pPr>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b. “欺诈行为”是指为了影响采购过程或合同实施过程而谎报事实，损害采购代理机构和/或采购人的利益，包括响应供应商之间相互串通（递交响应文件之前和之后），人为地使投标丧失竞争性，剥夺采购人从自由公开竞争所能获得的权益。</w:t>
      </w:r>
    </w:p>
    <w:p>
      <w:pPr>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34.2如果采购代理机构和采购人认为响应供应商在本项目的竞争中有腐败或欺诈行为，其投标将被拒绝。</w:t>
      </w:r>
    </w:p>
    <w:p>
      <w:pPr>
        <w:spacing w:line="360" w:lineRule="auto"/>
        <w:ind w:firstLine="482" w:firstLineChars="200"/>
        <w:rPr>
          <w:rFonts w:asciiTheme="minorEastAsia" w:hAnsiTheme="minorEastAsia" w:eastAsiaTheme="minorEastAsia"/>
          <w:b/>
          <w:bCs/>
          <w:szCs w:val="24"/>
        </w:rPr>
      </w:pPr>
      <w:bookmarkStart w:id="327" w:name="_Toc3089"/>
      <w:bookmarkStart w:id="328" w:name="_Toc4830"/>
      <w:bookmarkStart w:id="329" w:name="_Toc29789"/>
      <w:bookmarkStart w:id="330" w:name="_Toc30974"/>
      <w:bookmarkStart w:id="331" w:name="_Toc19138"/>
      <w:bookmarkStart w:id="332" w:name="_Toc20259"/>
      <w:r>
        <w:rPr>
          <w:rFonts w:hint="eastAsia" w:asciiTheme="minorEastAsia" w:hAnsiTheme="minorEastAsia" w:eastAsiaTheme="minorEastAsia"/>
          <w:b/>
          <w:bCs/>
          <w:szCs w:val="24"/>
        </w:rPr>
        <w:t>35. 磋商代理服务费</w:t>
      </w:r>
      <w:bookmarkEnd w:id="102"/>
      <w:bookmarkEnd w:id="327"/>
      <w:bookmarkEnd w:id="328"/>
      <w:bookmarkEnd w:id="329"/>
      <w:bookmarkEnd w:id="330"/>
      <w:bookmarkEnd w:id="331"/>
      <w:bookmarkEnd w:id="332"/>
      <w:r>
        <w:rPr>
          <w:rFonts w:hint="eastAsia" w:asciiTheme="minorEastAsia" w:hAnsiTheme="minorEastAsia" w:eastAsiaTheme="minorEastAsia"/>
          <w:b/>
          <w:bCs/>
          <w:szCs w:val="24"/>
        </w:rPr>
        <w:t xml:space="preserve"> </w:t>
      </w:r>
    </w:p>
    <w:p>
      <w:pPr>
        <w:tabs>
          <w:tab w:val="left" w:pos="0"/>
        </w:tabs>
        <w:adjustRightInd w:val="0"/>
        <w:spacing w:line="360" w:lineRule="auto"/>
        <w:ind w:firstLine="480" w:firstLineChars="200"/>
        <w:jc w:val="left"/>
        <w:textAlignment w:val="baseline"/>
        <w:rPr>
          <w:rFonts w:ascii="宋体" w:hAnsi="宋体" w:cs="宋体"/>
          <w:szCs w:val="24"/>
        </w:rPr>
      </w:pPr>
      <w:r>
        <w:rPr>
          <w:rFonts w:hint="eastAsia" w:ascii="宋体" w:hAnsi="宋体" w:cs="宋体"/>
          <w:szCs w:val="24"/>
        </w:rPr>
        <w:t>35.1每个项目分开收费，收取标准：参照国家计委颁发的《招标代理服务收费管理暂行办法》（计价格[2002]1980号）、国家发展改革委员会办公厅颁发的《关于招标代理服务收费有关问题的通知》（发改办价格[2003]857号）文件规定及国家发展改革委《关于降低部分建设项目收费标准规范收费行为等有关问题的通知》[2011]534号</w:t>
      </w:r>
      <w:r>
        <w:rPr>
          <w:rFonts w:hint="eastAsia" w:ascii="宋体" w:hAnsi="宋体" w:cs="宋体"/>
          <w:b/>
          <w:bCs/>
          <w:szCs w:val="24"/>
          <w:u w:val="single"/>
        </w:rPr>
        <w:t>服务类</w:t>
      </w:r>
      <w:r>
        <w:rPr>
          <w:rFonts w:hint="eastAsia" w:ascii="宋体" w:hAnsi="宋体" w:cs="宋体"/>
          <w:szCs w:val="24"/>
        </w:rPr>
        <w:t>下浮20%收取。为保证受托人合理成本，若代理服务费按照该计价方式不足5000元的，按照5000元计取。</w:t>
      </w:r>
    </w:p>
    <w:p>
      <w:pPr>
        <w:tabs>
          <w:tab w:val="left" w:pos="0"/>
        </w:tabs>
        <w:adjustRightInd w:val="0"/>
        <w:spacing w:line="360" w:lineRule="auto"/>
        <w:jc w:val="left"/>
        <w:textAlignment w:val="baseline"/>
        <w:rPr>
          <w:rFonts w:ascii="宋体" w:hAnsi="宋体" w:cs="宋体"/>
          <w:szCs w:val="24"/>
        </w:rPr>
      </w:pPr>
      <w:r>
        <w:rPr>
          <w:rFonts w:hint="eastAsia" w:ascii="宋体" w:hAnsi="宋体" w:cs="宋体"/>
          <w:szCs w:val="24"/>
        </w:rPr>
        <w:t>代理报酬的币种：人民币 汇率：无</w:t>
      </w:r>
    </w:p>
    <w:p>
      <w:pPr>
        <w:tabs>
          <w:tab w:val="left" w:pos="0"/>
        </w:tabs>
        <w:adjustRightInd w:val="0"/>
        <w:spacing w:line="360" w:lineRule="auto"/>
        <w:jc w:val="left"/>
        <w:textAlignment w:val="baseline"/>
        <w:rPr>
          <w:rFonts w:ascii="宋体" w:hAnsi="宋体" w:cs="宋体"/>
          <w:szCs w:val="24"/>
        </w:rPr>
      </w:pPr>
      <w:r>
        <w:rPr>
          <w:rFonts w:hint="eastAsia" w:ascii="宋体" w:hAnsi="宋体" w:cs="宋体"/>
          <w:szCs w:val="24"/>
        </w:rPr>
        <w:t>代理报酬的支付方式：成交人直接支付给受托人。</w:t>
      </w:r>
    </w:p>
    <w:p>
      <w:pPr>
        <w:spacing w:line="360" w:lineRule="auto"/>
        <w:rPr>
          <w:rFonts w:ascii="宋体" w:hAnsi="宋体" w:cs="宋体"/>
          <w:szCs w:val="24"/>
        </w:rPr>
      </w:pPr>
      <w:r>
        <w:rPr>
          <w:rFonts w:hint="eastAsia" w:ascii="宋体" w:hAnsi="宋体" w:cs="宋体"/>
          <w:szCs w:val="24"/>
        </w:rPr>
        <w:t>代理报酬的支付时间：《成交通知书》发出前。</w:t>
      </w:r>
    </w:p>
    <w:p>
      <w:pPr>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35.2 磋商代理服务费的交纳方式：在领取成交通知书时按35.1的规定，向采购代理机构直接交纳服务费，采用转账等非现金方式一次性交纳。</w:t>
      </w:r>
    </w:p>
    <w:p>
      <w:pPr>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35.3接收磋商代理服务费账户名称：陕西源丰成工程项目管理有限公司</w:t>
      </w:r>
    </w:p>
    <w:p>
      <w:pPr>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开户银行：交通银行唐延路支行</w:t>
      </w:r>
    </w:p>
    <w:p>
      <w:pPr>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账 号：6113 0107 2013 0000 59267</w:t>
      </w:r>
    </w:p>
    <w:p>
      <w:pPr>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转账事由：（项目全称或简称）代理服务费</w:t>
      </w:r>
    </w:p>
    <w:p>
      <w:pPr>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咨询电话：029-88229046</w:t>
      </w:r>
    </w:p>
    <w:bookmarkEnd w:id="43"/>
    <w:bookmarkEnd w:id="44"/>
    <w:bookmarkEnd w:id="45"/>
    <w:bookmarkEnd w:id="46"/>
    <w:bookmarkEnd w:id="47"/>
    <w:bookmarkEnd w:id="48"/>
    <w:bookmarkEnd w:id="49"/>
    <w:p>
      <w:pPr>
        <w:spacing w:line="360" w:lineRule="auto"/>
        <w:ind w:firstLine="482" w:firstLineChars="200"/>
        <w:rPr>
          <w:rFonts w:asciiTheme="minorEastAsia" w:hAnsiTheme="minorEastAsia" w:eastAsiaTheme="minorEastAsia"/>
          <w:b/>
          <w:bCs/>
          <w:szCs w:val="24"/>
        </w:rPr>
      </w:pPr>
      <w:r>
        <w:rPr>
          <w:rFonts w:hint="eastAsia" w:asciiTheme="minorEastAsia" w:hAnsiTheme="minorEastAsia" w:eastAsiaTheme="minorEastAsia"/>
          <w:b/>
          <w:bCs/>
          <w:szCs w:val="24"/>
        </w:rPr>
        <w:t>36.政府采购信用融资政策</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政府采购信用融资是指银行业金融机构以政府采购诚信考核和信用审查为基础，凭借政府采购合同，按优于一般中小企业的贷款利率直接向申请贷款的供应商发放贷款的一种融资方式。融资金额未超过政府采购合同金额的，银行原则上不得要求供应商提供财产抵押或第三方担保或其他任何形式的担保条件。</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依据《陕西省财政厅关于印发〈陕西省中小企业政府采购信用融资办法〉的通知》（陕财办采〔2018〕23号）、《陕西省财政厅关于加快推进我省中小企业政府采购信用融资工作的通知》（陕财办采[2020]15号），有融资需求的供应商可根据自身情况，在“陕西政府采购信用融资平台（含各市分平台）”查询并办理相关业务。</w:t>
      </w:r>
    </w:p>
    <w:p>
      <w:pPr>
        <w:ind w:firstLine="482" w:firstLineChars="200"/>
        <w:rPr>
          <w:rFonts w:ascii="宋体" w:hAnsi="宋体" w:cs="宋体"/>
        </w:rPr>
      </w:pPr>
      <w:r>
        <w:rPr>
          <w:rFonts w:hint="eastAsia" w:ascii="宋体" w:hAnsi="宋体" w:cs="宋体"/>
          <w:b/>
          <w:bCs/>
        </w:rPr>
        <w:t>陕西省政府采购支持中小企业信用融资合作部分银行名单如下（投标供应商可登陆“陕西省政府采购网”查询不同批次中小企业信用融资合作银行名单）：</w:t>
      </w:r>
    </w:p>
    <w:tbl>
      <w:tblPr>
        <w:tblStyle w:val="35"/>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427"/>
        <w:gridCol w:w="1647"/>
        <w:gridCol w:w="3682"/>
        <w:gridCol w:w="1530"/>
        <w:gridCol w:w="197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序号</w:t>
            </w:r>
          </w:p>
        </w:tc>
        <w:tc>
          <w:tcPr>
            <w:tcW w:w="164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银行名称</w:t>
            </w:r>
          </w:p>
        </w:tc>
        <w:tc>
          <w:tcPr>
            <w:tcW w:w="3682"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授信额度</w:t>
            </w:r>
          </w:p>
        </w:tc>
        <w:tc>
          <w:tcPr>
            <w:tcW w:w="1530"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贷款期限</w:t>
            </w:r>
          </w:p>
        </w:tc>
        <w:tc>
          <w:tcPr>
            <w:tcW w:w="1978"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贷款利率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1</w:t>
            </w:r>
          </w:p>
        </w:tc>
        <w:tc>
          <w:tcPr>
            <w:tcW w:w="164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上海浦东发展银行股份有限公司西安分行</w:t>
            </w:r>
          </w:p>
        </w:tc>
        <w:tc>
          <w:tcPr>
            <w:tcW w:w="3682" w:type="dxa"/>
            <w:tcMar>
              <w:top w:w="0" w:type="dxa"/>
              <w:left w:w="0" w:type="dxa"/>
              <w:bottom w:w="0" w:type="dxa"/>
              <w:right w:w="0" w:type="dxa"/>
            </w:tcMar>
            <w:vAlign w:val="center"/>
          </w:tcPr>
          <w:p>
            <w:pPr>
              <w:jc w:val="left"/>
              <w:rPr>
                <w:rFonts w:ascii="宋体" w:hAnsi="宋体" w:cs="宋体"/>
                <w:sz w:val="22"/>
              </w:rPr>
            </w:pPr>
            <w:r>
              <w:rPr>
                <w:rFonts w:hint="eastAsia" w:ascii="宋体" w:hAnsi="宋体" w:cs="宋体"/>
                <w:sz w:val="22"/>
              </w:rPr>
              <w:t>融资申请人为公司的额度不低于300万元；</w:t>
            </w:r>
          </w:p>
          <w:p>
            <w:pPr>
              <w:jc w:val="left"/>
              <w:rPr>
                <w:rFonts w:ascii="宋体" w:hAnsi="宋体" w:cs="宋体"/>
                <w:sz w:val="22"/>
              </w:rPr>
            </w:pPr>
            <w:r>
              <w:rPr>
                <w:rFonts w:hint="eastAsia" w:ascii="宋体" w:hAnsi="宋体" w:cs="宋体"/>
                <w:sz w:val="22"/>
              </w:rPr>
              <w:t>融资申请人为个人的，额度不高于（含）300万元；</w:t>
            </w:r>
          </w:p>
          <w:p>
            <w:pPr>
              <w:jc w:val="left"/>
              <w:rPr>
                <w:rFonts w:ascii="宋体" w:hAnsi="宋体" w:cs="宋体"/>
                <w:sz w:val="22"/>
              </w:rPr>
            </w:pPr>
            <w:r>
              <w:rPr>
                <w:rFonts w:hint="eastAsia" w:ascii="宋体" w:hAnsi="宋体" w:cs="宋体"/>
                <w:sz w:val="22"/>
              </w:rPr>
              <w:t>单笔额度不高于订单金额的70%</w:t>
            </w:r>
          </w:p>
        </w:tc>
        <w:tc>
          <w:tcPr>
            <w:tcW w:w="1530"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最长不超过（12）个月或（360）天</w:t>
            </w:r>
          </w:p>
        </w:tc>
        <w:tc>
          <w:tcPr>
            <w:tcW w:w="1978"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1、不超过中小企业同期市场利率水平2、利率浮动区间（1年期LPR-1年期LPR+194bps）</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2</w:t>
            </w:r>
          </w:p>
        </w:tc>
        <w:tc>
          <w:tcPr>
            <w:tcW w:w="164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中国建设银行陕西省分行</w:t>
            </w:r>
          </w:p>
        </w:tc>
        <w:tc>
          <w:tcPr>
            <w:tcW w:w="3682" w:type="dxa"/>
            <w:tcMar>
              <w:top w:w="0" w:type="dxa"/>
              <w:left w:w="0" w:type="dxa"/>
              <w:bottom w:w="0" w:type="dxa"/>
              <w:right w:w="0" w:type="dxa"/>
            </w:tcMar>
            <w:vAlign w:val="center"/>
          </w:tcPr>
          <w:p>
            <w:pPr>
              <w:jc w:val="left"/>
              <w:rPr>
                <w:rFonts w:ascii="宋体" w:hAnsi="宋体" w:cs="宋体"/>
                <w:sz w:val="22"/>
              </w:rPr>
            </w:pPr>
            <w:r>
              <w:rPr>
                <w:rFonts w:hint="eastAsia" w:ascii="宋体" w:hAnsi="宋体" w:cs="宋体"/>
                <w:sz w:val="22"/>
              </w:rPr>
              <w:t>根据单笔政府采购合同金额核定，最高融资金额为合同金额的90%</w:t>
            </w:r>
          </w:p>
        </w:tc>
        <w:tc>
          <w:tcPr>
            <w:tcW w:w="1530"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最长不超月或（360）天过（12）个月</w:t>
            </w:r>
          </w:p>
        </w:tc>
        <w:tc>
          <w:tcPr>
            <w:tcW w:w="1978"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不超过中小企业同期市场利率水平</w:t>
            </w:r>
          </w:p>
          <w:p>
            <w:pPr>
              <w:jc w:val="center"/>
              <w:rPr>
                <w:rFonts w:ascii="宋体" w:hAnsi="宋体" w:cs="宋体"/>
                <w:sz w:val="22"/>
              </w:rPr>
            </w:pPr>
            <w:r>
              <w:rPr>
                <w:rFonts w:hint="eastAsia" w:ascii="宋体" w:hAnsi="宋体" w:cs="宋体"/>
                <w:sz w:val="22"/>
              </w:rPr>
              <w:t>2、利率浮动区间（4.5%-5%）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3</w:t>
            </w:r>
          </w:p>
        </w:tc>
        <w:tc>
          <w:tcPr>
            <w:tcW w:w="164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中国光大银行股份有限公司西安分行</w:t>
            </w:r>
          </w:p>
        </w:tc>
        <w:tc>
          <w:tcPr>
            <w:tcW w:w="3682" w:type="dxa"/>
            <w:tcMar>
              <w:top w:w="0" w:type="dxa"/>
              <w:left w:w="0" w:type="dxa"/>
              <w:bottom w:w="0" w:type="dxa"/>
              <w:right w:w="0" w:type="dxa"/>
            </w:tcMar>
            <w:vAlign w:val="center"/>
          </w:tcPr>
          <w:p>
            <w:pPr>
              <w:jc w:val="left"/>
              <w:rPr>
                <w:rFonts w:ascii="宋体" w:hAnsi="宋体" w:cs="宋体"/>
                <w:sz w:val="22"/>
              </w:rPr>
            </w:pPr>
            <w:r>
              <w:rPr>
                <w:rFonts w:hint="eastAsia" w:ascii="宋体" w:hAnsi="宋体" w:cs="宋体"/>
                <w:sz w:val="22"/>
              </w:rPr>
              <w:t>原则上单户贷款金额最高不超过1000万元</w:t>
            </w:r>
          </w:p>
        </w:tc>
        <w:tc>
          <w:tcPr>
            <w:tcW w:w="1530"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最长不超过12个月</w:t>
            </w:r>
          </w:p>
        </w:tc>
        <w:tc>
          <w:tcPr>
            <w:tcW w:w="1978"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不超过中小企业同期市场利率水平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4</w:t>
            </w:r>
          </w:p>
        </w:tc>
        <w:tc>
          <w:tcPr>
            <w:tcW w:w="164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中信银行股份有限公司西安分行</w:t>
            </w:r>
          </w:p>
        </w:tc>
        <w:tc>
          <w:tcPr>
            <w:tcW w:w="3682" w:type="dxa"/>
            <w:tcMar>
              <w:top w:w="0" w:type="dxa"/>
              <w:left w:w="0" w:type="dxa"/>
              <w:bottom w:w="0" w:type="dxa"/>
              <w:right w:w="0" w:type="dxa"/>
            </w:tcMar>
            <w:vAlign w:val="center"/>
          </w:tcPr>
          <w:p>
            <w:pPr>
              <w:jc w:val="left"/>
              <w:rPr>
                <w:rFonts w:ascii="宋体" w:hAnsi="宋体" w:cs="宋体"/>
                <w:sz w:val="22"/>
              </w:rPr>
            </w:pPr>
            <w:r>
              <w:rPr>
                <w:rFonts w:hint="eastAsia" w:ascii="宋体" w:hAnsi="宋体" w:cs="宋体"/>
                <w:sz w:val="22"/>
              </w:rPr>
              <w:t>最高1000万元</w:t>
            </w:r>
          </w:p>
        </w:tc>
        <w:tc>
          <w:tcPr>
            <w:tcW w:w="1530"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最长不超过12个月</w:t>
            </w:r>
          </w:p>
        </w:tc>
        <w:tc>
          <w:tcPr>
            <w:tcW w:w="1978"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不超过中小企业同期市场利率水平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5</w:t>
            </w:r>
          </w:p>
        </w:tc>
        <w:tc>
          <w:tcPr>
            <w:tcW w:w="164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北京银行股份有限公司西安分行</w:t>
            </w:r>
          </w:p>
          <w:p>
            <w:pPr>
              <w:jc w:val="center"/>
              <w:rPr>
                <w:rFonts w:ascii="宋体" w:hAnsi="宋体" w:cs="宋体"/>
                <w:sz w:val="22"/>
              </w:rPr>
            </w:pPr>
          </w:p>
        </w:tc>
        <w:tc>
          <w:tcPr>
            <w:tcW w:w="3682" w:type="dxa"/>
            <w:tcMar>
              <w:top w:w="0" w:type="dxa"/>
              <w:left w:w="0" w:type="dxa"/>
              <w:bottom w:w="0" w:type="dxa"/>
              <w:right w:w="0" w:type="dxa"/>
            </w:tcMar>
            <w:vAlign w:val="center"/>
          </w:tcPr>
          <w:p>
            <w:pPr>
              <w:jc w:val="left"/>
              <w:rPr>
                <w:rFonts w:ascii="宋体" w:hAnsi="宋体" w:cs="宋体"/>
                <w:sz w:val="22"/>
              </w:rPr>
            </w:pPr>
            <w:r>
              <w:rPr>
                <w:rFonts w:hint="eastAsia" w:ascii="宋体" w:hAnsi="宋体" w:cs="宋体"/>
                <w:sz w:val="22"/>
              </w:rPr>
              <w:t>不超过1000万元，我行依据中标供应商通过政府公开招投标程序中中标并执行的采购合同，通常提供不超过采购资金缺口70%的额度，对于优质客户可放宽至80%（采购资金缺口=合同金额-已付/预付货款-质保金）</w:t>
            </w:r>
          </w:p>
        </w:tc>
        <w:tc>
          <w:tcPr>
            <w:tcW w:w="1530"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2年期综合授信（提前期1年，每笔业务期限不超过1年）</w:t>
            </w:r>
          </w:p>
          <w:p>
            <w:pPr>
              <w:jc w:val="center"/>
              <w:rPr>
                <w:rFonts w:ascii="宋体" w:hAnsi="宋体" w:cs="宋体"/>
                <w:sz w:val="22"/>
              </w:rPr>
            </w:pPr>
          </w:p>
        </w:tc>
        <w:tc>
          <w:tcPr>
            <w:tcW w:w="1978"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不超过中小企业同期市场利率水平</w:t>
            </w:r>
          </w:p>
          <w:p>
            <w:pPr>
              <w:jc w:val="center"/>
              <w:rPr>
                <w:rFonts w:ascii="宋体" w:hAnsi="宋体" w:cs="宋体"/>
                <w:sz w:val="2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6</w:t>
            </w:r>
          </w:p>
        </w:tc>
        <w:tc>
          <w:tcPr>
            <w:tcW w:w="164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平安银行股份有限公司西安分行</w:t>
            </w:r>
          </w:p>
        </w:tc>
        <w:tc>
          <w:tcPr>
            <w:tcW w:w="3682" w:type="dxa"/>
            <w:tcMar>
              <w:top w:w="0" w:type="dxa"/>
              <w:left w:w="0" w:type="dxa"/>
              <w:bottom w:w="0" w:type="dxa"/>
              <w:right w:w="0" w:type="dxa"/>
            </w:tcMar>
            <w:vAlign w:val="center"/>
          </w:tcPr>
          <w:p>
            <w:pPr>
              <w:jc w:val="left"/>
              <w:rPr>
                <w:rFonts w:ascii="宋体" w:hAnsi="宋体" w:cs="宋体"/>
                <w:sz w:val="22"/>
              </w:rPr>
            </w:pPr>
            <w:r>
              <w:rPr>
                <w:rFonts w:hint="eastAsia" w:ascii="宋体" w:hAnsi="宋体" w:cs="宋体"/>
                <w:sz w:val="22"/>
              </w:rPr>
              <w:t>最高500万元</w:t>
            </w:r>
          </w:p>
        </w:tc>
        <w:tc>
          <w:tcPr>
            <w:tcW w:w="1530"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最长不超月或（360）天过（12）个月</w:t>
            </w:r>
          </w:p>
        </w:tc>
        <w:tc>
          <w:tcPr>
            <w:tcW w:w="1978"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利率浮动区间（6%-8%）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7</w:t>
            </w:r>
          </w:p>
        </w:tc>
        <w:tc>
          <w:tcPr>
            <w:tcW w:w="164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兴业银行股份有限公司西安分行</w:t>
            </w:r>
          </w:p>
        </w:tc>
        <w:tc>
          <w:tcPr>
            <w:tcW w:w="3682" w:type="dxa"/>
            <w:tcMar>
              <w:top w:w="0" w:type="dxa"/>
              <w:left w:w="0" w:type="dxa"/>
              <w:bottom w:w="0" w:type="dxa"/>
              <w:right w:w="0" w:type="dxa"/>
            </w:tcMar>
            <w:vAlign w:val="center"/>
          </w:tcPr>
          <w:p>
            <w:pPr>
              <w:jc w:val="left"/>
              <w:rPr>
                <w:rFonts w:ascii="宋体" w:hAnsi="宋体" w:cs="宋体"/>
                <w:sz w:val="22"/>
              </w:rPr>
            </w:pPr>
            <w:r>
              <w:rPr>
                <w:rFonts w:hint="eastAsia" w:ascii="宋体" w:hAnsi="宋体" w:cs="宋体"/>
                <w:sz w:val="22"/>
              </w:rPr>
              <w:t>不超过1000万元（首次申贷客户不超过500万元）</w:t>
            </w:r>
          </w:p>
        </w:tc>
        <w:tc>
          <w:tcPr>
            <w:tcW w:w="1530"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最长不超过（12）个月或（/）天</w:t>
            </w:r>
          </w:p>
        </w:tc>
        <w:tc>
          <w:tcPr>
            <w:tcW w:w="1978"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不超过中小企业同期市场利率水平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8</w:t>
            </w:r>
          </w:p>
        </w:tc>
        <w:tc>
          <w:tcPr>
            <w:tcW w:w="164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陕西秦农农村商业银行股份有限公司</w:t>
            </w:r>
          </w:p>
        </w:tc>
        <w:tc>
          <w:tcPr>
            <w:tcW w:w="3682" w:type="dxa"/>
            <w:tcMar>
              <w:top w:w="0" w:type="dxa"/>
              <w:left w:w="0" w:type="dxa"/>
              <w:bottom w:w="0" w:type="dxa"/>
              <w:right w:w="0" w:type="dxa"/>
            </w:tcMar>
            <w:vAlign w:val="center"/>
          </w:tcPr>
          <w:p>
            <w:pPr>
              <w:jc w:val="left"/>
              <w:rPr>
                <w:rFonts w:ascii="宋体" w:hAnsi="宋体" w:cs="宋体"/>
                <w:sz w:val="22"/>
              </w:rPr>
            </w:pPr>
            <w:r>
              <w:rPr>
                <w:rFonts w:hint="eastAsia" w:ascii="宋体" w:hAnsi="宋体" w:cs="宋体"/>
                <w:sz w:val="22"/>
              </w:rPr>
              <w:t>最高授信额度1000万元</w:t>
            </w:r>
          </w:p>
        </w:tc>
        <w:tc>
          <w:tcPr>
            <w:tcW w:w="1530"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原则上不超过1年，最长不超过2年</w:t>
            </w:r>
          </w:p>
        </w:tc>
        <w:tc>
          <w:tcPr>
            <w:tcW w:w="1978"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不超过中小企业同期市场利率水平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9</w:t>
            </w:r>
          </w:p>
        </w:tc>
        <w:tc>
          <w:tcPr>
            <w:tcW w:w="164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中国工商银行股份有限公司陕西省分行</w:t>
            </w:r>
          </w:p>
        </w:tc>
        <w:tc>
          <w:tcPr>
            <w:tcW w:w="3682" w:type="dxa"/>
            <w:tcMar>
              <w:top w:w="0" w:type="dxa"/>
              <w:left w:w="0" w:type="dxa"/>
              <w:bottom w:w="0" w:type="dxa"/>
              <w:right w:w="0" w:type="dxa"/>
            </w:tcMar>
            <w:vAlign w:val="center"/>
          </w:tcPr>
          <w:p>
            <w:pPr>
              <w:jc w:val="left"/>
              <w:rPr>
                <w:rFonts w:ascii="宋体" w:hAnsi="宋体" w:cs="宋体"/>
                <w:sz w:val="22"/>
              </w:rPr>
            </w:pPr>
            <w:r>
              <w:rPr>
                <w:rFonts w:hint="eastAsia" w:ascii="宋体" w:hAnsi="宋体" w:cs="宋体"/>
                <w:sz w:val="22"/>
              </w:rPr>
              <w:t>经营快贷-政采贷单户不超过500万元且不超过订单金额的90%，线上供应链根据订单和应收贷款合理确定贷款额度。</w:t>
            </w:r>
          </w:p>
        </w:tc>
        <w:tc>
          <w:tcPr>
            <w:tcW w:w="1530"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最长不超过（36）个月或3年</w:t>
            </w:r>
          </w:p>
        </w:tc>
        <w:tc>
          <w:tcPr>
            <w:tcW w:w="1978"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1、按照全国银行间同业拆借中心发布的贷款市场报价利率（LPR）确定；2、利率浮动去电（最高不超过LPR+50bp）</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10</w:t>
            </w:r>
          </w:p>
        </w:tc>
        <w:tc>
          <w:tcPr>
            <w:tcW w:w="164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西安银行股份有限公司</w:t>
            </w:r>
          </w:p>
        </w:tc>
        <w:tc>
          <w:tcPr>
            <w:tcW w:w="3682"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300万元</w:t>
            </w:r>
          </w:p>
        </w:tc>
        <w:tc>
          <w:tcPr>
            <w:tcW w:w="1530"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最长不超过（36）个月</w:t>
            </w:r>
          </w:p>
        </w:tc>
        <w:tc>
          <w:tcPr>
            <w:tcW w:w="1978"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不超过中小企业同期市场利率水平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11</w:t>
            </w:r>
          </w:p>
        </w:tc>
        <w:tc>
          <w:tcPr>
            <w:tcW w:w="164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中国民生银行股份有限公司西安分行</w:t>
            </w:r>
          </w:p>
        </w:tc>
        <w:tc>
          <w:tcPr>
            <w:tcW w:w="3682"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最高500万元</w:t>
            </w:r>
          </w:p>
        </w:tc>
        <w:tc>
          <w:tcPr>
            <w:tcW w:w="1530"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最长不超过（12）个月</w:t>
            </w:r>
          </w:p>
        </w:tc>
        <w:tc>
          <w:tcPr>
            <w:tcW w:w="1978"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不超过中小企业同期市场利率水平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12</w:t>
            </w:r>
          </w:p>
        </w:tc>
        <w:tc>
          <w:tcPr>
            <w:tcW w:w="164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中国农业银行股份有限公司陕西省分行</w:t>
            </w:r>
          </w:p>
        </w:tc>
        <w:tc>
          <w:tcPr>
            <w:tcW w:w="3682"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3000万元以下</w:t>
            </w:r>
          </w:p>
        </w:tc>
        <w:tc>
          <w:tcPr>
            <w:tcW w:w="1530"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最长不超过（12）个月</w:t>
            </w:r>
          </w:p>
        </w:tc>
        <w:tc>
          <w:tcPr>
            <w:tcW w:w="1978"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不超过中小企业同期市场利率水平，利率浮动期间（3.85%-4.35%）</w:t>
            </w:r>
          </w:p>
        </w:tc>
      </w:tr>
    </w:tbl>
    <w:p>
      <w:pPr>
        <w:spacing w:before="120" w:line="360" w:lineRule="auto"/>
        <w:ind w:firstLine="480" w:firstLineChars="200"/>
      </w:pPr>
    </w:p>
    <w:p/>
    <w:p>
      <w:pPr>
        <w:pStyle w:val="3"/>
        <w:sectPr>
          <w:pgSz w:w="11907" w:h="16840"/>
          <w:pgMar w:top="1440" w:right="1701" w:bottom="1440" w:left="1701" w:header="850" w:footer="964" w:gutter="0"/>
          <w:cols w:space="720" w:num="1"/>
          <w:docGrid w:linePitch="326" w:charSpace="0"/>
        </w:sectPr>
      </w:pPr>
    </w:p>
    <w:p>
      <w:pPr>
        <w:pStyle w:val="3"/>
      </w:pPr>
      <w:bookmarkStart w:id="333" w:name="_Toc89440030"/>
      <w:bookmarkStart w:id="334" w:name="_Toc48655752"/>
      <w:r>
        <w:rPr>
          <w:rFonts w:hint="eastAsia"/>
        </w:rPr>
        <w:t>第四章</w:t>
      </w:r>
      <w:r>
        <w:t xml:space="preserve"> </w:t>
      </w:r>
      <w:r>
        <w:rPr>
          <w:rFonts w:hint="eastAsia"/>
        </w:rPr>
        <w:t>合同</w:t>
      </w:r>
      <w:bookmarkEnd w:id="19"/>
      <w:bookmarkEnd w:id="20"/>
      <w:bookmarkEnd w:id="21"/>
      <w:bookmarkEnd w:id="22"/>
      <w:bookmarkEnd w:id="23"/>
      <w:r>
        <w:rPr>
          <w:rFonts w:hint="eastAsia"/>
        </w:rPr>
        <w:t>条款</w:t>
      </w:r>
      <w:bookmarkEnd w:id="333"/>
      <w:bookmarkEnd w:id="334"/>
    </w:p>
    <w:p>
      <w:pPr>
        <w:spacing w:line="360" w:lineRule="auto"/>
        <w:ind w:firstLine="481"/>
        <w:jc w:val="center"/>
        <w:outlineLvl w:val="1"/>
        <w:rPr>
          <w:rFonts w:cs="??" w:asciiTheme="minorEastAsia" w:hAnsiTheme="minorEastAsia" w:eastAsiaTheme="minorEastAsia"/>
          <w:b/>
          <w:szCs w:val="28"/>
        </w:rPr>
      </w:pPr>
      <w:bookmarkStart w:id="335" w:name="_Toc5163"/>
      <w:bookmarkStart w:id="336" w:name="_Toc24356"/>
      <w:bookmarkStart w:id="337" w:name="_Toc32018"/>
      <w:bookmarkStart w:id="338" w:name="_Toc19026"/>
      <w:bookmarkStart w:id="339" w:name="_Toc5692"/>
      <w:r>
        <w:rPr>
          <w:rFonts w:hint="eastAsia" w:cs="宋体" w:asciiTheme="minorEastAsia" w:hAnsiTheme="minorEastAsia" w:eastAsiaTheme="minorEastAsia"/>
          <w:b/>
          <w:szCs w:val="28"/>
        </w:rPr>
        <w:t>参考</w:t>
      </w:r>
      <w:bookmarkEnd w:id="335"/>
      <w:bookmarkEnd w:id="336"/>
      <w:bookmarkEnd w:id="337"/>
      <w:bookmarkEnd w:id="338"/>
      <w:bookmarkEnd w:id="339"/>
      <w:r>
        <w:rPr>
          <w:rFonts w:hint="eastAsia" w:cs="宋体" w:asciiTheme="minorEastAsia" w:hAnsiTheme="minorEastAsia" w:eastAsiaTheme="minorEastAsia"/>
          <w:b/>
          <w:szCs w:val="28"/>
        </w:rPr>
        <w:t>格式</w:t>
      </w:r>
    </w:p>
    <w:p>
      <w:pPr>
        <w:spacing w:line="360" w:lineRule="auto"/>
        <w:ind w:firstLine="720" w:firstLineChars="300"/>
      </w:pPr>
    </w:p>
    <w:p>
      <w:pPr>
        <w:spacing w:line="400" w:lineRule="exact"/>
        <w:ind w:right="360" w:firstLine="6160" w:firstLineChars="2200"/>
        <w:outlineLvl w:val="1"/>
        <w:rPr>
          <w:rFonts w:ascii="宋体" w:hAnsi="宋体"/>
          <w:sz w:val="28"/>
          <w:szCs w:val="28"/>
        </w:rPr>
      </w:pPr>
      <w:r>
        <w:rPr>
          <w:rFonts w:hint="eastAsia" w:ascii="宋体" w:hAnsi="宋体"/>
          <w:sz w:val="28"/>
          <w:szCs w:val="28"/>
        </w:rPr>
        <w:t>合同编号：</w:t>
      </w:r>
    </w:p>
    <w:p>
      <w:pPr>
        <w:spacing w:line="400" w:lineRule="exact"/>
        <w:ind w:right="360"/>
        <w:jc w:val="center"/>
        <w:rPr>
          <w:rFonts w:ascii="宋体" w:hAnsi="宋体"/>
          <w:sz w:val="18"/>
          <w:szCs w:val="18"/>
        </w:rPr>
      </w:pPr>
    </w:p>
    <w:p>
      <w:pPr>
        <w:spacing w:line="400" w:lineRule="exact"/>
        <w:ind w:right="360"/>
        <w:jc w:val="center"/>
        <w:rPr>
          <w:rFonts w:ascii="宋体" w:hAnsi="宋体"/>
          <w:sz w:val="32"/>
          <w:szCs w:val="32"/>
        </w:rPr>
      </w:pPr>
    </w:p>
    <w:p>
      <w:pPr>
        <w:spacing w:line="400" w:lineRule="exact"/>
        <w:ind w:right="360"/>
        <w:jc w:val="center"/>
        <w:rPr>
          <w:rFonts w:ascii="宋体" w:hAnsi="宋体"/>
          <w:sz w:val="32"/>
          <w:szCs w:val="32"/>
        </w:rPr>
      </w:pPr>
    </w:p>
    <w:p>
      <w:pPr>
        <w:spacing w:line="400" w:lineRule="exact"/>
        <w:ind w:right="360"/>
        <w:jc w:val="center"/>
        <w:rPr>
          <w:rFonts w:ascii="宋体" w:hAnsi="宋体"/>
          <w:sz w:val="32"/>
          <w:szCs w:val="32"/>
        </w:rPr>
      </w:pPr>
    </w:p>
    <w:p>
      <w:pPr>
        <w:spacing w:line="400" w:lineRule="exact"/>
        <w:ind w:right="360"/>
        <w:jc w:val="center"/>
        <w:rPr>
          <w:rFonts w:ascii="宋体" w:hAnsi="宋体"/>
          <w:sz w:val="30"/>
          <w:szCs w:val="30"/>
        </w:rPr>
      </w:pPr>
    </w:p>
    <w:p>
      <w:pPr>
        <w:spacing w:line="360" w:lineRule="auto"/>
        <w:ind w:right="360"/>
        <w:jc w:val="center"/>
        <w:outlineLvl w:val="1"/>
        <w:rPr>
          <w:rFonts w:ascii="宋体" w:hAnsi="宋体"/>
          <w:b/>
          <w:bCs/>
          <w:sz w:val="40"/>
          <w:szCs w:val="32"/>
        </w:rPr>
      </w:pPr>
      <w:r>
        <w:rPr>
          <w:rFonts w:hint="eastAsia" w:ascii="宋体" w:hAnsi="宋体"/>
          <w:b/>
          <w:bCs/>
          <w:sz w:val="40"/>
          <w:szCs w:val="32"/>
        </w:rPr>
        <w:t>市政设施调查</w:t>
      </w:r>
    </w:p>
    <w:p>
      <w:pPr>
        <w:spacing w:line="360" w:lineRule="auto"/>
        <w:ind w:right="360"/>
        <w:jc w:val="center"/>
        <w:rPr>
          <w:rFonts w:ascii="宋体" w:hAnsi="宋体"/>
          <w:b/>
          <w:bCs/>
          <w:sz w:val="44"/>
          <w:szCs w:val="44"/>
        </w:rPr>
      </w:pPr>
    </w:p>
    <w:p>
      <w:pPr>
        <w:spacing w:line="360" w:lineRule="auto"/>
        <w:ind w:right="360"/>
        <w:jc w:val="center"/>
        <w:rPr>
          <w:rFonts w:ascii="宋体" w:hAnsi="宋体"/>
          <w:b/>
          <w:bCs/>
          <w:sz w:val="44"/>
          <w:szCs w:val="44"/>
        </w:rPr>
      </w:pPr>
    </w:p>
    <w:p>
      <w:pPr>
        <w:spacing w:line="360" w:lineRule="auto"/>
        <w:ind w:right="360"/>
        <w:jc w:val="center"/>
        <w:rPr>
          <w:rFonts w:ascii="宋体" w:hAnsi="宋体"/>
          <w:b/>
          <w:bCs/>
          <w:sz w:val="44"/>
          <w:szCs w:val="44"/>
        </w:rPr>
      </w:pPr>
    </w:p>
    <w:p>
      <w:pPr>
        <w:spacing w:line="400" w:lineRule="exact"/>
        <w:ind w:right="360"/>
        <w:jc w:val="center"/>
        <w:rPr>
          <w:rFonts w:ascii="宋体" w:hAnsi="宋体"/>
          <w:sz w:val="32"/>
          <w:szCs w:val="32"/>
        </w:rPr>
      </w:pPr>
    </w:p>
    <w:p>
      <w:pPr>
        <w:ind w:firstLine="708" w:firstLineChars="196"/>
        <w:jc w:val="center"/>
        <w:rPr>
          <w:rFonts w:ascii="宋体" w:hAnsi="宋体" w:cs="仿宋_GB2312"/>
          <w:b/>
          <w:sz w:val="36"/>
          <w:szCs w:val="36"/>
        </w:rPr>
      </w:pPr>
    </w:p>
    <w:p>
      <w:pPr>
        <w:ind w:firstLine="708" w:firstLineChars="196"/>
        <w:jc w:val="center"/>
        <w:rPr>
          <w:rFonts w:ascii="宋体" w:hAnsi="宋体" w:cs="仿宋_GB2312"/>
          <w:b/>
          <w:sz w:val="36"/>
          <w:szCs w:val="36"/>
        </w:rPr>
      </w:pPr>
    </w:p>
    <w:p>
      <w:pPr>
        <w:ind w:firstLine="708" w:firstLineChars="196"/>
        <w:jc w:val="center"/>
        <w:rPr>
          <w:rFonts w:ascii="宋体" w:hAnsi="宋体" w:cs="仿宋_GB2312"/>
          <w:b/>
          <w:sz w:val="36"/>
          <w:szCs w:val="36"/>
        </w:rPr>
      </w:pPr>
    </w:p>
    <w:p>
      <w:pPr>
        <w:ind w:firstLine="708" w:firstLineChars="196"/>
        <w:jc w:val="center"/>
        <w:rPr>
          <w:rFonts w:ascii="宋体" w:hAnsi="宋体" w:cs="仿宋_GB2312"/>
          <w:b/>
          <w:sz w:val="36"/>
          <w:szCs w:val="36"/>
        </w:rPr>
      </w:pPr>
    </w:p>
    <w:p>
      <w:pPr>
        <w:ind w:firstLine="708" w:firstLineChars="196"/>
        <w:jc w:val="center"/>
        <w:rPr>
          <w:rFonts w:ascii="宋体" w:hAnsi="宋体" w:cs="仿宋_GB2312"/>
          <w:b/>
          <w:sz w:val="36"/>
          <w:szCs w:val="36"/>
        </w:rPr>
      </w:pPr>
    </w:p>
    <w:p>
      <w:pPr>
        <w:ind w:firstLine="708" w:firstLineChars="196"/>
        <w:jc w:val="center"/>
        <w:rPr>
          <w:rFonts w:ascii="宋体" w:hAnsi="宋体" w:cs="仿宋_GB2312"/>
          <w:b/>
          <w:sz w:val="36"/>
          <w:szCs w:val="36"/>
        </w:rPr>
      </w:pPr>
    </w:p>
    <w:p>
      <w:pPr>
        <w:spacing w:line="500" w:lineRule="exact"/>
        <w:ind w:firstLine="1124" w:firstLineChars="400"/>
        <w:jc w:val="left"/>
        <w:rPr>
          <w:rFonts w:ascii="宋体" w:hAnsi="宋体"/>
          <w:b/>
          <w:bCs/>
          <w:sz w:val="28"/>
          <w:u w:val="single"/>
        </w:rPr>
      </w:pPr>
      <w:r>
        <w:rPr>
          <w:rFonts w:hint="eastAsia" w:ascii="宋体" w:hAnsi="宋体"/>
          <w:b/>
          <w:bCs/>
          <w:sz w:val="28"/>
        </w:rPr>
        <w:t>甲</w:t>
      </w:r>
      <w:r>
        <w:rPr>
          <w:rFonts w:ascii="宋体" w:hAnsi="宋体"/>
          <w:b/>
          <w:bCs/>
          <w:sz w:val="28"/>
        </w:rPr>
        <w:t xml:space="preserve">    </w:t>
      </w:r>
      <w:r>
        <w:rPr>
          <w:rFonts w:hint="eastAsia" w:ascii="宋体" w:hAnsi="宋体"/>
          <w:b/>
          <w:bCs/>
          <w:sz w:val="28"/>
        </w:rPr>
        <w:t>方：</w:t>
      </w:r>
      <w:r>
        <w:rPr>
          <w:rFonts w:hint="eastAsia" w:ascii="宋体" w:hAnsi="宋体"/>
          <w:b/>
          <w:bCs/>
          <w:sz w:val="28"/>
          <w:u w:val="single"/>
        </w:rPr>
        <w:t xml:space="preserve">         </w:t>
      </w:r>
    </w:p>
    <w:p>
      <w:pPr>
        <w:spacing w:line="500" w:lineRule="exact"/>
        <w:ind w:firstLine="1124" w:firstLineChars="400"/>
        <w:jc w:val="left"/>
        <w:rPr>
          <w:rFonts w:ascii="宋体" w:hAnsi="宋体"/>
          <w:b/>
          <w:bCs/>
          <w:sz w:val="28"/>
        </w:rPr>
      </w:pPr>
      <w:r>
        <w:rPr>
          <w:rFonts w:hint="eastAsia" w:ascii="宋体" w:hAnsi="宋体"/>
          <w:b/>
          <w:bCs/>
          <w:sz w:val="28"/>
        </w:rPr>
        <w:t>乙</w:t>
      </w:r>
      <w:r>
        <w:rPr>
          <w:rFonts w:ascii="宋体" w:hAnsi="宋体"/>
          <w:b/>
          <w:bCs/>
          <w:sz w:val="28"/>
        </w:rPr>
        <w:t xml:space="preserve">    </w:t>
      </w:r>
      <w:r>
        <w:rPr>
          <w:rFonts w:hint="eastAsia" w:ascii="宋体" w:hAnsi="宋体"/>
          <w:b/>
          <w:bCs/>
          <w:sz w:val="28"/>
        </w:rPr>
        <w:t>方：</w:t>
      </w:r>
      <w:r>
        <w:rPr>
          <w:rFonts w:hint="eastAsia" w:ascii="宋体" w:hAnsi="宋体"/>
          <w:b/>
          <w:bCs/>
          <w:sz w:val="28"/>
          <w:u w:val="single"/>
        </w:rPr>
        <w:t xml:space="preserve"> </w:t>
      </w:r>
      <w:r>
        <w:rPr>
          <w:rFonts w:ascii="宋体" w:hAnsi="宋体"/>
          <w:b/>
          <w:bCs/>
          <w:sz w:val="28"/>
          <w:u w:val="single"/>
        </w:rPr>
        <w:t xml:space="preserve">                      </w:t>
      </w:r>
    </w:p>
    <w:p>
      <w:pPr>
        <w:spacing w:line="500" w:lineRule="exact"/>
        <w:ind w:firstLine="1124" w:firstLineChars="400"/>
        <w:jc w:val="left"/>
        <w:outlineLvl w:val="1"/>
        <w:rPr>
          <w:rFonts w:ascii="宋体" w:hAnsi="宋体"/>
          <w:b/>
          <w:bCs/>
          <w:sz w:val="28"/>
        </w:rPr>
      </w:pPr>
      <w:r>
        <w:rPr>
          <w:rFonts w:hint="eastAsia" w:ascii="宋体" w:hAnsi="宋体"/>
          <w:b/>
          <w:bCs/>
          <w:sz w:val="28"/>
        </w:rPr>
        <w:t>签订地点：</w:t>
      </w:r>
      <w:r>
        <w:rPr>
          <w:rFonts w:hint="eastAsia" w:ascii="宋体" w:hAnsi="宋体"/>
          <w:b/>
          <w:bCs/>
          <w:sz w:val="28"/>
          <w:szCs w:val="28"/>
          <w:u w:val="single"/>
        </w:rPr>
        <w:t xml:space="preserve">              </w:t>
      </w:r>
      <w:r>
        <w:rPr>
          <w:rFonts w:ascii="宋体" w:hAnsi="宋体"/>
          <w:b/>
          <w:bCs/>
          <w:sz w:val="28"/>
          <w:szCs w:val="28"/>
          <w:u w:val="single"/>
        </w:rPr>
        <w:t xml:space="preserve">        </w:t>
      </w:r>
      <w:r>
        <w:rPr>
          <w:rFonts w:hint="eastAsia" w:ascii="宋体" w:hAnsi="宋体"/>
          <w:b/>
          <w:bCs/>
          <w:sz w:val="28"/>
          <w:szCs w:val="28"/>
          <w:u w:val="single"/>
        </w:rPr>
        <w:t xml:space="preserve"> </w:t>
      </w:r>
    </w:p>
    <w:p>
      <w:pPr>
        <w:spacing w:line="500" w:lineRule="exact"/>
        <w:ind w:firstLine="1124" w:firstLineChars="400"/>
        <w:jc w:val="left"/>
        <w:outlineLvl w:val="1"/>
        <w:rPr>
          <w:rFonts w:ascii="宋体" w:hAnsi="宋体"/>
          <w:b/>
          <w:bCs/>
          <w:sz w:val="28"/>
          <w:u w:val="single"/>
        </w:rPr>
      </w:pPr>
      <w:r>
        <w:rPr>
          <w:rFonts w:hint="eastAsia" w:ascii="宋体" w:hAnsi="宋体"/>
          <w:b/>
          <w:bCs/>
          <w:sz w:val="28"/>
        </w:rPr>
        <w:t>签订日期：</w:t>
      </w:r>
      <w:r>
        <w:rPr>
          <w:rFonts w:hint="eastAsia" w:ascii="宋体" w:hAnsi="宋体"/>
          <w:b/>
          <w:bCs/>
          <w:sz w:val="28"/>
          <w:u w:val="single"/>
        </w:rPr>
        <w:t xml:space="preserve">二〇 </w:t>
      </w:r>
      <w:r>
        <w:rPr>
          <w:rFonts w:ascii="宋体" w:hAnsi="宋体"/>
          <w:b/>
          <w:bCs/>
          <w:sz w:val="28"/>
          <w:u w:val="single"/>
        </w:rPr>
        <w:t xml:space="preserve">   </w:t>
      </w:r>
      <w:r>
        <w:rPr>
          <w:rFonts w:hint="eastAsia" w:ascii="宋体" w:hAnsi="宋体"/>
          <w:b/>
          <w:bCs/>
          <w:sz w:val="28"/>
        </w:rPr>
        <w:t>年</w:t>
      </w:r>
      <w:r>
        <w:rPr>
          <w:rFonts w:hint="eastAsia" w:ascii="宋体" w:hAnsi="宋体"/>
          <w:b/>
          <w:bCs/>
          <w:sz w:val="28"/>
          <w:u w:val="single"/>
        </w:rPr>
        <w:t xml:space="preserve"> </w:t>
      </w:r>
      <w:r>
        <w:rPr>
          <w:rFonts w:ascii="宋体" w:hAnsi="宋体"/>
          <w:b/>
          <w:bCs/>
          <w:sz w:val="28"/>
          <w:u w:val="single"/>
        </w:rPr>
        <w:t xml:space="preserve">   </w:t>
      </w:r>
      <w:r>
        <w:rPr>
          <w:rFonts w:hint="eastAsia" w:ascii="宋体" w:hAnsi="宋体"/>
          <w:b/>
          <w:bCs/>
          <w:sz w:val="28"/>
        </w:rPr>
        <w:t>月</w:t>
      </w:r>
      <w:r>
        <w:rPr>
          <w:rFonts w:hint="eastAsia" w:ascii="宋体" w:hAnsi="宋体"/>
          <w:b/>
          <w:bCs/>
          <w:sz w:val="28"/>
          <w:u w:val="single"/>
        </w:rPr>
        <w:t xml:space="preserve"> </w:t>
      </w:r>
      <w:r>
        <w:rPr>
          <w:rFonts w:ascii="宋体" w:hAnsi="宋体"/>
          <w:b/>
          <w:bCs/>
          <w:sz w:val="28"/>
          <w:u w:val="single"/>
        </w:rPr>
        <w:t xml:space="preserve">    </w:t>
      </w:r>
      <w:r>
        <w:rPr>
          <w:rFonts w:hint="eastAsia" w:ascii="宋体" w:hAnsi="宋体"/>
          <w:b/>
          <w:bCs/>
          <w:sz w:val="28"/>
        </w:rPr>
        <w:t>日</w:t>
      </w:r>
    </w:p>
    <w:p>
      <w:pPr>
        <w:rPr>
          <w:rFonts w:ascii="宋体" w:hAnsi="宋体"/>
          <w:sz w:val="28"/>
        </w:rPr>
      </w:pPr>
      <w:r>
        <w:rPr>
          <w:rFonts w:ascii="宋体" w:hAnsi="宋体"/>
          <w:sz w:val="28"/>
        </w:rPr>
        <w:br w:type="page"/>
      </w:r>
    </w:p>
    <w:p>
      <w:pPr>
        <w:spacing w:line="360" w:lineRule="auto"/>
        <w:ind w:firstLine="240" w:firstLineChars="100"/>
        <w:rPr>
          <w:rFonts w:ascii="宋体" w:hAnsi="宋体"/>
          <w:u w:val="single"/>
        </w:rPr>
      </w:pPr>
      <w:r>
        <w:rPr>
          <w:rFonts w:hint="eastAsia" w:ascii="宋体" w:hAnsi="宋体"/>
        </w:rPr>
        <w:t>甲方：</w:t>
      </w:r>
    </w:p>
    <w:p>
      <w:pPr>
        <w:spacing w:line="360" w:lineRule="auto"/>
        <w:ind w:firstLine="240" w:firstLineChars="100"/>
        <w:rPr>
          <w:rFonts w:ascii="宋体" w:hAnsi="宋体"/>
          <w:sz w:val="28"/>
        </w:rPr>
      </w:pPr>
      <w:r>
        <w:rPr>
          <w:rFonts w:hint="eastAsia" w:ascii="宋体" w:hAnsi="宋体"/>
        </w:rPr>
        <w:t>乙方：</w:t>
      </w:r>
      <w:r>
        <w:rPr>
          <w:rFonts w:hint="eastAsia" w:ascii="宋体" w:hAnsi="宋体"/>
          <w:u w:val="single"/>
        </w:rPr>
        <w:t xml:space="preserve">         </w:t>
      </w:r>
    </w:p>
    <w:p>
      <w:pPr>
        <w:pStyle w:val="15"/>
        <w:spacing w:line="360" w:lineRule="auto"/>
        <w:ind w:left="0" w:leftChars="0" w:firstLine="480" w:firstLineChars="200"/>
      </w:pPr>
      <w:r>
        <w:rPr>
          <w:rFonts w:hint="eastAsia"/>
        </w:rPr>
        <w:t>根据《中华人民共和国民典法》和有关法律法规，经甲、乙双方协商一致签订本合同。</w:t>
      </w:r>
    </w:p>
    <w:p>
      <w:pPr>
        <w:pStyle w:val="16"/>
        <w:spacing w:line="360" w:lineRule="auto"/>
        <w:ind w:left="240" w:leftChars="100" w:right="29" w:firstLine="211" w:firstLineChars="100"/>
        <w:rPr>
          <w:rFonts w:ascii="宋体" w:hAnsi="宋体"/>
          <w:sz w:val="21"/>
          <w:szCs w:val="21"/>
        </w:rPr>
      </w:pPr>
      <w:r>
        <w:rPr>
          <w:rFonts w:hint="eastAsia" w:ascii="宋体" w:hAnsi="宋体"/>
          <w:sz w:val="21"/>
          <w:szCs w:val="21"/>
        </w:rPr>
        <w:t>一、服务内容</w:t>
      </w:r>
    </w:p>
    <w:p>
      <w:pPr>
        <w:pStyle w:val="16"/>
        <w:spacing w:line="360" w:lineRule="auto"/>
        <w:ind w:left="240" w:leftChars="100" w:right="29" w:firstLine="210" w:firstLineChars="100"/>
        <w:rPr>
          <w:rFonts w:ascii="宋体" w:hAnsi="宋体"/>
          <w:b w:val="0"/>
          <w:bCs w:val="0"/>
          <w:sz w:val="21"/>
          <w:szCs w:val="21"/>
        </w:rPr>
      </w:pPr>
      <w:r>
        <w:rPr>
          <w:rFonts w:hint="eastAsia" w:ascii="宋体" w:hAnsi="宋体"/>
          <w:b w:val="0"/>
          <w:bCs w:val="0"/>
          <w:sz w:val="21"/>
          <w:szCs w:val="21"/>
        </w:rPr>
        <w:t>莲湖区市政设施调查项目</w:t>
      </w:r>
    </w:p>
    <w:p>
      <w:pPr>
        <w:pStyle w:val="16"/>
        <w:spacing w:line="360" w:lineRule="auto"/>
        <w:ind w:left="240" w:leftChars="100" w:right="29" w:firstLine="211" w:firstLineChars="100"/>
        <w:rPr>
          <w:rFonts w:ascii="宋体" w:hAnsi="宋体"/>
          <w:sz w:val="21"/>
          <w:szCs w:val="21"/>
        </w:rPr>
      </w:pPr>
      <w:r>
        <w:rPr>
          <w:rFonts w:hint="eastAsia" w:ascii="宋体" w:hAnsi="宋体"/>
          <w:sz w:val="21"/>
          <w:szCs w:val="21"/>
        </w:rPr>
        <w:t>二、服务周期</w:t>
      </w:r>
    </w:p>
    <w:p>
      <w:pPr>
        <w:pStyle w:val="16"/>
        <w:spacing w:line="360" w:lineRule="auto"/>
        <w:ind w:left="240" w:leftChars="100" w:right="29" w:firstLine="210" w:firstLineChars="100"/>
        <w:rPr>
          <w:rFonts w:ascii="宋体" w:hAnsi="宋体"/>
          <w:b w:val="0"/>
          <w:bCs w:val="0"/>
          <w:sz w:val="21"/>
          <w:szCs w:val="21"/>
        </w:rPr>
      </w:pPr>
      <w:r>
        <w:rPr>
          <w:rFonts w:hint="eastAsia" w:ascii="宋体" w:hAnsi="宋体"/>
          <w:b w:val="0"/>
          <w:bCs w:val="0"/>
          <w:sz w:val="21"/>
          <w:szCs w:val="21"/>
        </w:rPr>
        <w:t>自合同签订之日起1个月内完成。</w:t>
      </w:r>
    </w:p>
    <w:p>
      <w:pPr>
        <w:pStyle w:val="16"/>
        <w:spacing w:line="360" w:lineRule="auto"/>
        <w:ind w:left="240" w:leftChars="100" w:right="29" w:firstLine="211" w:firstLineChars="100"/>
        <w:rPr>
          <w:rFonts w:ascii="宋体" w:hAnsi="宋体"/>
          <w:sz w:val="21"/>
          <w:szCs w:val="21"/>
        </w:rPr>
      </w:pPr>
      <w:r>
        <w:rPr>
          <w:rFonts w:hint="eastAsia" w:ascii="宋体" w:hAnsi="宋体"/>
          <w:sz w:val="21"/>
          <w:szCs w:val="21"/>
        </w:rPr>
        <w:t>三、服务费用</w:t>
      </w:r>
    </w:p>
    <w:p>
      <w:pPr>
        <w:pStyle w:val="16"/>
        <w:spacing w:line="360" w:lineRule="auto"/>
        <w:ind w:left="240" w:leftChars="100" w:right="29" w:firstLine="210" w:firstLineChars="100"/>
        <w:rPr>
          <w:rFonts w:ascii="宋体" w:hAnsi="宋体"/>
          <w:b w:val="0"/>
          <w:bCs w:val="0"/>
          <w:sz w:val="21"/>
          <w:szCs w:val="21"/>
        </w:rPr>
      </w:pPr>
      <w:r>
        <w:rPr>
          <w:rFonts w:hint="eastAsia" w:ascii="宋体" w:hAnsi="宋体"/>
          <w:b w:val="0"/>
          <w:bCs w:val="0"/>
          <w:sz w:val="21"/>
          <w:szCs w:val="21"/>
        </w:rPr>
        <w:t>（一）费用总额</w:t>
      </w:r>
    </w:p>
    <w:p>
      <w:pPr>
        <w:pStyle w:val="16"/>
        <w:spacing w:line="360" w:lineRule="auto"/>
        <w:ind w:left="240" w:leftChars="100" w:right="29" w:firstLine="210" w:firstLineChars="100"/>
        <w:rPr>
          <w:rFonts w:ascii="宋体" w:hAnsi="宋体"/>
          <w:b w:val="0"/>
          <w:bCs w:val="0"/>
          <w:sz w:val="21"/>
          <w:szCs w:val="21"/>
        </w:rPr>
      </w:pPr>
      <w:r>
        <w:rPr>
          <w:rFonts w:hint="eastAsia" w:ascii="宋体" w:hAnsi="宋体"/>
          <w:b w:val="0"/>
          <w:bCs w:val="0"/>
          <w:sz w:val="21"/>
          <w:szCs w:val="21"/>
        </w:rPr>
        <w:t>经甲、乙双方协商，服务费用总额为人民币      万元（ ￥       ）。</w:t>
      </w:r>
    </w:p>
    <w:p>
      <w:pPr>
        <w:pStyle w:val="16"/>
        <w:spacing w:line="360" w:lineRule="auto"/>
        <w:ind w:left="240" w:leftChars="100" w:right="29" w:firstLine="210" w:firstLineChars="100"/>
        <w:rPr>
          <w:rFonts w:ascii="宋体" w:hAnsi="宋体"/>
          <w:b w:val="0"/>
          <w:bCs w:val="0"/>
          <w:sz w:val="21"/>
          <w:szCs w:val="21"/>
        </w:rPr>
      </w:pPr>
      <w:r>
        <w:rPr>
          <w:rFonts w:hint="eastAsia" w:ascii="宋体" w:hAnsi="宋体"/>
          <w:b w:val="0"/>
          <w:bCs w:val="0"/>
          <w:sz w:val="21"/>
          <w:szCs w:val="21"/>
        </w:rPr>
        <w:t>总价一次包死，供应商应在投标报价表中包含但不限于为完成莲湖区市政设施调查项目的工作以及相关的义务，直到项目全部服务完毕的全阶段的所有费用。一旦成交，投标报价将不会因国家政策调整及市场变化因素而得到调整。</w:t>
      </w:r>
    </w:p>
    <w:p>
      <w:pPr>
        <w:pStyle w:val="16"/>
        <w:spacing w:line="360" w:lineRule="auto"/>
        <w:ind w:left="0" w:right="29" w:firstLine="420" w:firstLineChars="200"/>
        <w:rPr>
          <w:rFonts w:ascii="宋体" w:hAnsi="宋体"/>
          <w:b w:val="0"/>
          <w:bCs w:val="0"/>
          <w:sz w:val="21"/>
          <w:szCs w:val="21"/>
        </w:rPr>
      </w:pPr>
      <w:r>
        <w:rPr>
          <w:rFonts w:hint="eastAsia" w:ascii="宋体" w:hAnsi="宋体"/>
          <w:b w:val="0"/>
          <w:bCs w:val="0"/>
          <w:sz w:val="21"/>
          <w:szCs w:val="21"/>
        </w:rPr>
        <w:t>（二）付款方式</w:t>
      </w:r>
    </w:p>
    <w:p>
      <w:pPr>
        <w:pStyle w:val="16"/>
        <w:spacing w:line="360" w:lineRule="auto"/>
        <w:ind w:left="0" w:right="29" w:firstLine="420" w:firstLineChars="200"/>
        <w:rPr>
          <w:rFonts w:ascii="宋体" w:hAnsi="宋体"/>
          <w:b w:val="0"/>
          <w:bCs w:val="0"/>
          <w:sz w:val="21"/>
          <w:szCs w:val="21"/>
        </w:rPr>
      </w:pPr>
      <w:r>
        <w:rPr>
          <w:rFonts w:hint="eastAsia" w:ascii="宋体" w:hAnsi="宋体"/>
          <w:b w:val="0"/>
          <w:bCs w:val="0"/>
          <w:sz w:val="21"/>
          <w:szCs w:val="21"/>
        </w:rPr>
        <w:t>1、本合同无预付款；</w:t>
      </w:r>
    </w:p>
    <w:p>
      <w:pPr>
        <w:pStyle w:val="16"/>
        <w:spacing w:line="360" w:lineRule="auto"/>
        <w:ind w:left="0" w:right="29" w:firstLine="420" w:firstLineChars="200"/>
        <w:rPr>
          <w:rFonts w:ascii="宋体" w:hAnsi="宋体"/>
          <w:b w:val="0"/>
          <w:bCs w:val="0"/>
          <w:color w:val="auto"/>
          <w:sz w:val="21"/>
          <w:szCs w:val="21"/>
        </w:rPr>
      </w:pPr>
      <w:r>
        <w:rPr>
          <w:rFonts w:hint="eastAsia" w:ascii="宋体" w:hAnsi="宋体"/>
          <w:b w:val="0"/>
          <w:bCs w:val="0"/>
          <w:color w:val="auto"/>
          <w:sz w:val="21"/>
          <w:szCs w:val="21"/>
        </w:rPr>
        <w:t>2、调查成果汇交无问题后15个工作日内支付至合同总价款的85%；</w:t>
      </w:r>
    </w:p>
    <w:p>
      <w:pPr>
        <w:pStyle w:val="16"/>
        <w:spacing w:line="360" w:lineRule="auto"/>
        <w:ind w:left="240" w:leftChars="100" w:right="29" w:firstLine="210" w:firstLineChars="100"/>
        <w:rPr>
          <w:rFonts w:ascii="宋体" w:hAnsi="宋体"/>
          <w:b w:val="0"/>
          <w:bCs w:val="0"/>
          <w:color w:val="auto"/>
          <w:sz w:val="21"/>
          <w:szCs w:val="21"/>
        </w:rPr>
      </w:pPr>
      <w:r>
        <w:rPr>
          <w:rFonts w:hint="eastAsia" w:ascii="宋体" w:hAnsi="宋体"/>
          <w:b w:val="0"/>
          <w:bCs w:val="0"/>
          <w:color w:val="auto"/>
          <w:sz w:val="21"/>
          <w:szCs w:val="21"/>
        </w:rPr>
        <w:t>3、通过评审合格、资料移交后15个工作日内支付至合同总价款的97%价款，留合同总价款3%的质保金，在项目验收合格一年后7个工作日内支付。</w:t>
      </w:r>
    </w:p>
    <w:p>
      <w:pPr>
        <w:pStyle w:val="16"/>
        <w:spacing w:line="360" w:lineRule="auto"/>
        <w:ind w:left="240" w:leftChars="100" w:right="29" w:firstLine="210" w:firstLineChars="100"/>
        <w:rPr>
          <w:rFonts w:ascii="宋体" w:hAnsi="宋体"/>
          <w:b w:val="0"/>
          <w:bCs w:val="0"/>
          <w:sz w:val="21"/>
          <w:szCs w:val="21"/>
        </w:rPr>
      </w:pPr>
      <w:r>
        <w:rPr>
          <w:rFonts w:hint="eastAsia" w:ascii="宋体" w:hAnsi="宋体"/>
          <w:b w:val="0"/>
          <w:bCs w:val="0"/>
          <w:sz w:val="21"/>
          <w:szCs w:val="21"/>
        </w:rPr>
        <w:t>4、结算方式：银行转账。</w:t>
      </w:r>
    </w:p>
    <w:p>
      <w:pPr>
        <w:pStyle w:val="16"/>
        <w:spacing w:line="360" w:lineRule="auto"/>
        <w:ind w:left="240" w:leftChars="100" w:right="29" w:firstLine="210" w:firstLineChars="100"/>
        <w:rPr>
          <w:rFonts w:ascii="宋体" w:hAnsi="宋体"/>
          <w:b w:val="0"/>
          <w:bCs w:val="0"/>
          <w:sz w:val="21"/>
          <w:szCs w:val="21"/>
        </w:rPr>
      </w:pPr>
      <w:r>
        <w:rPr>
          <w:rFonts w:hint="eastAsia" w:ascii="宋体" w:hAnsi="宋体"/>
          <w:b w:val="0"/>
          <w:bCs w:val="0"/>
          <w:sz w:val="21"/>
          <w:szCs w:val="21"/>
        </w:rPr>
        <w:t>5、结算单位：由招标人负责结算，乙方开具合同总价数的全额发票交招标人。</w:t>
      </w:r>
    </w:p>
    <w:p>
      <w:pPr>
        <w:pStyle w:val="16"/>
        <w:spacing w:line="360" w:lineRule="auto"/>
        <w:ind w:left="240" w:leftChars="100" w:right="29" w:firstLine="210" w:firstLineChars="100"/>
        <w:rPr>
          <w:rFonts w:ascii="宋体" w:hAnsi="宋体"/>
          <w:b w:val="0"/>
          <w:bCs w:val="0"/>
          <w:sz w:val="21"/>
          <w:szCs w:val="21"/>
        </w:rPr>
      </w:pPr>
      <w:r>
        <w:rPr>
          <w:rFonts w:hint="eastAsia" w:ascii="宋体" w:hAnsi="宋体"/>
          <w:b w:val="0"/>
          <w:bCs w:val="0"/>
          <w:sz w:val="21"/>
          <w:szCs w:val="21"/>
        </w:rPr>
        <w:t>6、验收标准：(1)莲湖区市政设施调查项目要求；（2）需符合国家相关规范标准。</w:t>
      </w:r>
    </w:p>
    <w:p>
      <w:pPr>
        <w:pStyle w:val="16"/>
        <w:spacing w:line="360" w:lineRule="auto"/>
        <w:ind w:left="240" w:leftChars="100" w:right="29" w:firstLine="211" w:firstLineChars="100"/>
        <w:rPr>
          <w:rFonts w:ascii="宋体" w:hAnsi="宋体"/>
          <w:sz w:val="21"/>
          <w:szCs w:val="21"/>
        </w:rPr>
      </w:pPr>
      <w:r>
        <w:rPr>
          <w:rFonts w:hint="eastAsia" w:ascii="宋体" w:hAnsi="宋体"/>
          <w:sz w:val="21"/>
          <w:szCs w:val="21"/>
        </w:rPr>
        <w:t>四、质量保证及标准</w:t>
      </w:r>
    </w:p>
    <w:p>
      <w:pPr>
        <w:pStyle w:val="16"/>
        <w:spacing w:line="360" w:lineRule="auto"/>
        <w:ind w:left="240" w:leftChars="100" w:right="29" w:firstLine="210" w:firstLineChars="100"/>
        <w:rPr>
          <w:rFonts w:ascii="宋体" w:hAnsi="宋体"/>
          <w:b w:val="0"/>
          <w:bCs w:val="0"/>
          <w:sz w:val="21"/>
          <w:szCs w:val="21"/>
        </w:rPr>
      </w:pPr>
      <w:r>
        <w:rPr>
          <w:rFonts w:hint="eastAsia" w:ascii="宋体" w:hAnsi="宋体"/>
          <w:b w:val="0"/>
          <w:bCs w:val="0"/>
          <w:sz w:val="21"/>
          <w:szCs w:val="21"/>
        </w:rPr>
        <w:t>1、成交单位应当明确服务公约，承诺服务条件；</w:t>
      </w:r>
    </w:p>
    <w:p>
      <w:pPr>
        <w:pStyle w:val="16"/>
        <w:spacing w:line="360" w:lineRule="auto"/>
        <w:ind w:left="240" w:leftChars="100" w:right="29" w:firstLine="210" w:firstLineChars="100"/>
        <w:rPr>
          <w:rFonts w:ascii="宋体" w:hAnsi="宋体"/>
          <w:b w:val="0"/>
          <w:bCs w:val="0"/>
          <w:sz w:val="21"/>
          <w:szCs w:val="21"/>
        </w:rPr>
      </w:pPr>
      <w:r>
        <w:rPr>
          <w:rFonts w:hint="eastAsia" w:ascii="宋体" w:hAnsi="宋体"/>
          <w:b w:val="0"/>
          <w:bCs w:val="0"/>
          <w:sz w:val="21"/>
          <w:szCs w:val="21"/>
        </w:rPr>
        <w:t>2、质量标准满足国家相关规范文件规定；</w:t>
      </w:r>
    </w:p>
    <w:p>
      <w:pPr>
        <w:pStyle w:val="16"/>
        <w:spacing w:line="360" w:lineRule="auto"/>
        <w:ind w:left="240" w:leftChars="100" w:right="29" w:firstLine="211" w:firstLineChars="100"/>
        <w:rPr>
          <w:rFonts w:ascii="宋体" w:hAnsi="宋体"/>
          <w:sz w:val="21"/>
          <w:szCs w:val="21"/>
        </w:rPr>
      </w:pPr>
      <w:r>
        <w:rPr>
          <w:rFonts w:hint="eastAsia" w:ascii="宋体" w:hAnsi="宋体"/>
          <w:sz w:val="21"/>
          <w:szCs w:val="21"/>
        </w:rPr>
        <w:t>五、采购项目执行内容需要调整时，经采购人同意后，可以对相应的进行调整。</w:t>
      </w:r>
    </w:p>
    <w:p>
      <w:pPr>
        <w:pStyle w:val="16"/>
        <w:spacing w:line="360" w:lineRule="auto"/>
        <w:ind w:left="240" w:leftChars="100" w:right="29" w:firstLine="211" w:firstLineChars="100"/>
        <w:rPr>
          <w:rFonts w:ascii="宋体" w:hAnsi="宋体"/>
          <w:b w:val="0"/>
          <w:bCs w:val="0"/>
          <w:sz w:val="21"/>
          <w:szCs w:val="21"/>
        </w:rPr>
      </w:pPr>
      <w:r>
        <w:rPr>
          <w:rFonts w:hint="eastAsia" w:ascii="宋体" w:hAnsi="宋体"/>
          <w:sz w:val="21"/>
          <w:szCs w:val="21"/>
        </w:rPr>
        <w:t>六、争议解决</w:t>
      </w:r>
      <w:r>
        <w:rPr>
          <w:rFonts w:hint="eastAsia" w:ascii="宋体" w:hAnsi="宋体"/>
          <w:b w:val="0"/>
          <w:bCs w:val="0"/>
          <w:sz w:val="21"/>
          <w:szCs w:val="21"/>
        </w:rPr>
        <w:t xml:space="preserve">  </w:t>
      </w:r>
    </w:p>
    <w:p>
      <w:pPr>
        <w:pStyle w:val="16"/>
        <w:spacing w:line="360" w:lineRule="auto"/>
        <w:ind w:left="240" w:leftChars="100" w:right="29" w:firstLine="210" w:firstLineChars="100"/>
        <w:rPr>
          <w:rFonts w:ascii="宋体" w:hAnsi="宋体"/>
          <w:b w:val="0"/>
          <w:bCs w:val="0"/>
          <w:sz w:val="21"/>
          <w:szCs w:val="21"/>
        </w:rPr>
      </w:pPr>
      <w:r>
        <w:rPr>
          <w:rFonts w:hint="eastAsia" w:ascii="宋体" w:hAnsi="宋体"/>
          <w:b w:val="0"/>
          <w:bCs w:val="0"/>
          <w:sz w:val="21"/>
          <w:szCs w:val="21"/>
        </w:rPr>
        <w:t>因执行本协议所发生的或与本协议有关的一切争议，甲、乙双方应通过友好协商解决，如双方通过协商不能达成一致时，双方均可向项目所在地仲裁委员会提请仲裁。</w:t>
      </w:r>
    </w:p>
    <w:p>
      <w:pPr>
        <w:pStyle w:val="16"/>
        <w:spacing w:line="360" w:lineRule="auto"/>
        <w:ind w:left="240" w:leftChars="100" w:right="29" w:firstLine="211" w:firstLineChars="100"/>
        <w:rPr>
          <w:rFonts w:ascii="宋体" w:hAnsi="宋体"/>
          <w:b w:val="0"/>
          <w:bCs w:val="0"/>
          <w:sz w:val="21"/>
          <w:szCs w:val="21"/>
        </w:rPr>
      </w:pPr>
      <w:r>
        <w:rPr>
          <w:rFonts w:hint="eastAsia" w:ascii="宋体" w:hAnsi="宋体"/>
          <w:sz w:val="21"/>
          <w:szCs w:val="21"/>
        </w:rPr>
        <w:t>七、其他</w:t>
      </w:r>
      <w:r>
        <w:rPr>
          <w:rFonts w:hint="eastAsia" w:ascii="宋体" w:hAnsi="宋体"/>
          <w:b w:val="0"/>
          <w:bCs w:val="0"/>
          <w:sz w:val="21"/>
          <w:szCs w:val="21"/>
        </w:rPr>
        <w:t xml:space="preserve"> </w:t>
      </w:r>
    </w:p>
    <w:p>
      <w:pPr>
        <w:pStyle w:val="16"/>
        <w:spacing w:line="360" w:lineRule="auto"/>
        <w:ind w:left="240" w:leftChars="100" w:right="29" w:firstLine="210" w:firstLineChars="100"/>
        <w:rPr>
          <w:rFonts w:ascii="宋体" w:hAnsi="宋体"/>
          <w:b w:val="0"/>
          <w:bCs w:val="0"/>
          <w:sz w:val="21"/>
          <w:szCs w:val="21"/>
        </w:rPr>
      </w:pPr>
      <w:r>
        <w:rPr>
          <w:rFonts w:hint="eastAsia" w:ascii="宋体" w:hAnsi="宋体"/>
          <w:b w:val="0"/>
          <w:bCs w:val="0"/>
          <w:sz w:val="21"/>
          <w:szCs w:val="21"/>
        </w:rPr>
        <w:t>1、本协议自甲乙双方法定代表人(或其授权代表) 签字、加盖单位公章之日起生效。本协议一式陆份，甲乙双方各持叁份，各份具有同等法律效力。</w:t>
      </w:r>
    </w:p>
    <w:p>
      <w:pPr>
        <w:pStyle w:val="16"/>
        <w:spacing w:line="360" w:lineRule="auto"/>
        <w:ind w:left="240" w:leftChars="100" w:right="29" w:firstLine="210" w:firstLineChars="100"/>
        <w:rPr>
          <w:rFonts w:ascii="宋体" w:hAnsi="宋体"/>
          <w:b w:val="0"/>
          <w:bCs w:val="0"/>
          <w:sz w:val="21"/>
          <w:szCs w:val="21"/>
        </w:rPr>
      </w:pPr>
      <w:r>
        <w:rPr>
          <w:rFonts w:hint="eastAsia" w:ascii="宋体" w:hAnsi="宋体"/>
          <w:b w:val="0"/>
          <w:bCs w:val="0"/>
          <w:sz w:val="21"/>
          <w:szCs w:val="21"/>
        </w:rPr>
        <w:t>2、本协议未尽事宜，甲乙双方可另行协商后签订补充协议。该补充协议作为本协议的组成部分，与本协议具有同等法律效力。</w:t>
      </w:r>
    </w:p>
    <w:p>
      <w:pPr>
        <w:tabs>
          <w:tab w:val="left" w:pos="540"/>
          <w:tab w:val="left" w:pos="720"/>
        </w:tabs>
        <w:spacing w:line="360" w:lineRule="auto"/>
        <w:ind w:right="25" w:firstLine="420" w:firstLineChars="200"/>
        <w:outlineLvl w:val="2"/>
        <w:rPr>
          <w:rFonts w:ascii="宋体" w:hAnsi="宋体"/>
          <w:sz w:val="21"/>
        </w:rPr>
      </w:pPr>
      <w:r>
        <w:rPr>
          <w:rFonts w:hint="eastAsia" w:ascii="宋体" w:hAnsi="宋体"/>
          <w:sz w:val="21"/>
        </w:rPr>
        <w:t>3、本合同各方送达信息及指定付款/收款账户信息如下：</w:t>
      </w:r>
    </w:p>
    <w:tbl>
      <w:tblPr>
        <w:tblStyle w:val="3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3969"/>
        <w:gridCol w:w="504"/>
        <w:gridCol w:w="4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567" w:type="dxa"/>
            <w:vMerge w:val="restart"/>
            <w:vAlign w:val="center"/>
          </w:tcPr>
          <w:p>
            <w:pPr>
              <w:tabs>
                <w:tab w:val="left" w:pos="540"/>
                <w:tab w:val="left" w:pos="720"/>
              </w:tabs>
              <w:spacing w:line="360" w:lineRule="auto"/>
              <w:ind w:right="25"/>
              <w:jc w:val="center"/>
              <w:rPr>
                <w:rFonts w:ascii="宋体" w:hAnsi="宋体"/>
                <w:sz w:val="21"/>
              </w:rPr>
            </w:pPr>
            <w:r>
              <w:rPr>
                <w:rFonts w:hint="eastAsia" w:ascii="宋体" w:hAnsi="宋体"/>
                <w:sz w:val="21"/>
              </w:rPr>
              <w:t>委托方</w:t>
            </w:r>
          </w:p>
        </w:tc>
        <w:tc>
          <w:tcPr>
            <w:tcW w:w="3969" w:type="dxa"/>
            <w:vAlign w:val="center"/>
          </w:tcPr>
          <w:p>
            <w:pPr>
              <w:tabs>
                <w:tab w:val="left" w:pos="540"/>
                <w:tab w:val="left" w:pos="720"/>
              </w:tabs>
              <w:spacing w:line="360" w:lineRule="auto"/>
              <w:ind w:right="25"/>
              <w:rPr>
                <w:rFonts w:ascii="宋体" w:hAnsi="宋体"/>
                <w:sz w:val="21"/>
              </w:rPr>
            </w:pPr>
            <w:r>
              <w:rPr>
                <w:rFonts w:hint="eastAsia" w:ascii="宋体" w:hAnsi="宋体"/>
                <w:sz w:val="21"/>
              </w:rPr>
              <w:t>联系地址：</w:t>
            </w:r>
          </w:p>
        </w:tc>
        <w:tc>
          <w:tcPr>
            <w:tcW w:w="504" w:type="dxa"/>
            <w:vMerge w:val="restart"/>
            <w:vAlign w:val="center"/>
          </w:tcPr>
          <w:p>
            <w:pPr>
              <w:tabs>
                <w:tab w:val="left" w:pos="540"/>
                <w:tab w:val="left" w:pos="720"/>
              </w:tabs>
              <w:spacing w:line="360" w:lineRule="auto"/>
              <w:ind w:right="25"/>
              <w:rPr>
                <w:rFonts w:ascii="宋体" w:hAnsi="宋体"/>
                <w:sz w:val="21"/>
              </w:rPr>
            </w:pPr>
            <w:r>
              <w:rPr>
                <w:rFonts w:hint="eastAsia" w:ascii="宋体" w:hAnsi="宋体"/>
                <w:sz w:val="21"/>
              </w:rPr>
              <w:t>受托方</w:t>
            </w:r>
          </w:p>
        </w:tc>
        <w:tc>
          <w:tcPr>
            <w:tcW w:w="4032" w:type="dxa"/>
            <w:vAlign w:val="center"/>
          </w:tcPr>
          <w:p>
            <w:pPr>
              <w:tabs>
                <w:tab w:val="left" w:pos="540"/>
                <w:tab w:val="left" w:pos="720"/>
              </w:tabs>
              <w:spacing w:line="360" w:lineRule="auto"/>
              <w:ind w:right="25"/>
              <w:jc w:val="left"/>
              <w:rPr>
                <w:rFonts w:ascii="宋体" w:hAnsi="宋体"/>
                <w:sz w:val="21"/>
              </w:rPr>
            </w:pPr>
            <w:r>
              <w:rPr>
                <w:rFonts w:hint="eastAsia" w:ascii="宋体" w:hAnsi="宋体"/>
                <w:sz w:val="21"/>
              </w:rPr>
              <w:t>联系地址：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567" w:type="dxa"/>
            <w:vMerge w:val="continue"/>
          </w:tcPr>
          <w:p>
            <w:pPr>
              <w:tabs>
                <w:tab w:val="left" w:pos="540"/>
                <w:tab w:val="left" w:pos="720"/>
              </w:tabs>
              <w:spacing w:line="360" w:lineRule="auto"/>
              <w:ind w:right="25"/>
              <w:rPr>
                <w:rFonts w:ascii="宋体" w:hAnsi="宋体"/>
                <w:sz w:val="21"/>
              </w:rPr>
            </w:pPr>
          </w:p>
        </w:tc>
        <w:tc>
          <w:tcPr>
            <w:tcW w:w="3969" w:type="dxa"/>
            <w:vAlign w:val="center"/>
          </w:tcPr>
          <w:p>
            <w:pPr>
              <w:tabs>
                <w:tab w:val="left" w:pos="540"/>
                <w:tab w:val="left" w:pos="720"/>
              </w:tabs>
              <w:spacing w:line="360" w:lineRule="auto"/>
              <w:ind w:right="25"/>
              <w:rPr>
                <w:rFonts w:ascii="宋体" w:hAnsi="宋体"/>
                <w:sz w:val="21"/>
              </w:rPr>
            </w:pPr>
            <w:r>
              <w:rPr>
                <w:rFonts w:hint="eastAsia" w:ascii="宋体" w:hAnsi="宋体"/>
                <w:sz w:val="21"/>
              </w:rPr>
              <w:t>邮政编码：</w:t>
            </w:r>
          </w:p>
        </w:tc>
        <w:tc>
          <w:tcPr>
            <w:tcW w:w="504" w:type="dxa"/>
            <w:vMerge w:val="continue"/>
            <w:vAlign w:val="center"/>
          </w:tcPr>
          <w:p>
            <w:pPr>
              <w:tabs>
                <w:tab w:val="left" w:pos="540"/>
                <w:tab w:val="left" w:pos="720"/>
              </w:tabs>
              <w:spacing w:line="360" w:lineRule="auto"/>
              <w:ind w:right="25"/>
              <w:rPr>
                <w:rFonts w:ascii="宋体" w:hAnsi="宋体"/>
                <w:sz w:val="21"/>
              </w:rPr>
            </w:pPr>
          </w:p>
        </w:tc>
        <w:tc>
          <w:tcPr>
            <w:tcW w:w="4032" w:type="dxa"/>
            <w:vAlign w:val="center"/>
          </w:tcPr>
          <w:p>
            <w:pPr>
              <w:tabs>
                <w:tab w:val="left" w:pos="540"/>
                <w:tab w:val="left" w:pos="720"/>
              </w:tabs>
              <w:spacing w:line="360" w:lineRule="auto"/>
              <w:ind w:right="25"/>
              <w:jc w:val="left"/>
              <w:rPr>
                <w:rFonts w:ascii="宋体" w:hAnsi="宋体"/>
                <w:sz w:val="21"/>
              </w:rPr>
            </w:pPr>
            <w:r>
              <w:rPr>
                <w:rFonts w:hint="eastAsia" w:ascii="宋体" w:hAnsi="宋体"/>
                <w:sz w:val="21"/>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trPr>
        <w:tc>
          <w:tcPr>
            <w:tcW w:w="567" w:type="dxa"/>
            <w:vMerge w:val="continue"/>
          </w:tcPr>
          <w:p>
            <w:pPr>
              <w:tabs>
                <w:tab w:val="left" w:pos="540"/>
                <w:tab w:val="left" w:pos="720"/>
              </w:tabs>
              <w:spacing w:line="360" w:lineRule="auto"/>
              <w:ind w:right="25"/>
              <w:rPr>
                <w:rFonts w:ascii="宋体" w:hAnsi="宋体"/>
                <w:sz w:val="21"/>
              </w:rPr>
            </w:pPr>
          </w:p>
        </w:tc>
        <w:tc>
          <w:tcPr>
            <w:tcW w:w="3969" w:type="dxa"/>
            <w:vAlign w:val="center"/>
          </w:tcPr>
          <w:p>
            <w:pPr>
              <w:tabs>
                <w:tab w:val="left" w:pos="540"/>
                <w:tab w:val="left" w:pos="720"/>
              </w:tabs>
              <w:spacing w:line="360" w:lineRule="auto"/>
              <w:ind w:right="25"/>
              <w:rPr>
                <w:rFonts w:ascii="宋体" w:hAnsi="宋体"/>
                <w:sz w:val="21"/>
              </w:rPr>
            </w:pPr>
            <w:r>
              <w:rPr>
                <w:rFonts w:hint="eastAsia" w:ascii="宋体" w:hAnsi="宋体"/>
                <w:sz w:val="21"/>
              </w:rPr>
              <w:t>联 系 人：</w:t>
            </w:r>
          </w:p>
        </w:tc>
        <w:tc>
          <w:tcPr>
            <w:tcW w:w="504" w:type="dxa"/>
            <w:vMerge w:val="continue"/>
            <w:vAlign w:val="center"/>
          </w:tcPr>
          <w:p>
            <w:pPr>
              <w:tabs>
                <w:tab w:val="left" w:pos="540"/>
                <w:tab w:val="left" w:pos="720"/>
              </w:tabs>
              <w:spacing w:line="360" w:lineRule="auto"/>
              <w:ind w:right="25"/>
              <w:rPr>
                <w:rFonts w:ascii="宋体" w:hAnsi="宋体"/>
                <w:sz w:val="21"/>
              </w:rPr>
            </w:pPr>
          </w:p>
        </w:tc>
        <w:tc>
          <w:tcPr>
            <w:tcW w:w="4032" w:type="dxa"/>
            <w:vAlign w:val="center"/>
          </w:tcPr>
          <w:p>
            <w:pPr>
              <w:tabs>
                <w:tab w:val="left" w:pos="540"/>
                <w:tab w:val="left" w:pos="720"/>
              </w:tabs>
              <w:spacing w:line="360" w:lineRule="auto"/>
              <w:ind w:right="25"/>
              <w:jc w:val="left"/>
              <w:rPr>
                <w:rFonts w:ascii="宋体" w:hAnsi="宋体"/>
                <w:sz w:val="21"/>
              </w:rPr>
            </w:pPr>
            <w:r>
              <w:rPr>
                <w:rFonts w:hint="eastAsia" w:ascii="宋体" w:hAnsi="宋体"/>
                <w:sz w:val="21"/>
              </w:rPr>
              <w:t>联 系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567" w:type="dxa"/>
            <w:vMerge w:val="continue"/>
          </w:tcPr>
          <w:p>
            <w:pPr>
              <w:tabs>
                <w:tab w:val="left" w:pos="540"/>
                <w:tab w:val="left" w:pos="720"/>
              </w:tabs>
              <w:spacing w:line="360" w:lineRule="auto"/>
              <w:ind w:right="25"/>
              <w:rPr>
                <w:rFonts w:ascii="宋体" w:hAnsi="宋体"/>
                <w:sz w:val="21"/>
              </w:rPr>
            </w:pPr>
          </w:p>
        </w:tc>
        <w:tc>
          <w:tcPr>
            <w:tcW w:w="3969" w:type="dxa"/>
            <w:vAlign w:val="center"/>
          </w:tcPr>
          <w:p>
            <w:pPr>
              <w:tabs>
                <w:tab w:val="left" w:pos="540"/>
                <w:tab w:val="left" w:pos="720"/>
              </w:tabs>
              <w:spacing w:line="360" w:lineRule="auto"/>
              <w:ind w:right="25"/>
              <w:rPr>
                <w:rFonts w:ascii="宋体" w:hAnsi="宋体"/>
                <w:sz w:val="21"/>
              </w:rPr>
            </w:pPr>
            <w:r>
              <w:rPr>
                <w:rFonts w:hint="eastAsia" w:ascii="宋体" w:hAnsi="宋体"/>
                <w:sz w:val="21"/>
              </w:rPr>
              <w:t>电    话：</w:t>
            </w:r>
          </w:p>
        </w:tc>
        <w:tc>
          <w:tcPr>
            <w:tcW w:w="504" w:type="dxa"/>
            <w:vMerge w:val="continue"/>
            <w:vAlign w:val="center"/>
          </w:tcPr>
          <w:p>
            <w:pPr>
              <w:tabs>
                <w:tab w:val="left" w:pos="540"/>
                <w:tab w:val="left" w:pos="720"/>
              </w:tabs>
              <w:spacing w:line="360" w:lineRule="auto"/>
              <w:ind w:right="25"/>
              <w:rPr>
                <w:rFonts w:ascii="宋体" w:hAnsi="宋体"/>
                <w:sz w:val="21"/>
              </w:rPr>
            </w:pPr>
          </w:p>
        </w:tc>
        <w:tc>
          <w:tcPr>
            <w:tcW w:w="4032" w:type="dxa"/>
            <w:vAlign w:val="center"/>
          </w:tcPr>
          <w:p>
            <w:pPr>
              <w:tabs>
                <w:tab w:val="left" w:pos="540"/>
                <w:tab w:val="left" w:pos="720"/>
              </w:tabs>
              <w:spacing w:line="360" w:lineRule="auto"/>
              <w:ind w:right="25"/>
              <w:jc w:val="left"/>
              <w:rPr>
                <w:rFonts w:ascii="宋体" w:hAnsi="宋体"/>
                <w:sz w:val="21"/>
              </w:rPr>
            </w:pPr>
            <w:r>
              <w:rPr>
                <w:rFonts w:hint="eastAsia" w:ascii="宋体" w:hAnsi="宋体"/>
                <w:sz w:val="21"/>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567" w:type="dxa"/>
            <w:vMerge w:val="continue"/>
          </w:tcPr>
          <w:p>
            <w:pPr>
              <w:tabs>
                <w:tab w:val="left" w:pos="540"/>
                <w:tab w:val="left" w:pos="720"/>
              </w:tabs>
              <w:spacing w:line="360" w:lineRule="auto"/>
              <w:ind w:right="25"/>
              <w:rPr>
                <w:rFonts w:ascii="宋体" w:hAnsi="宋体"/>
                <w:sz w:val="21"/>
              </w:rPr>
            </w:pPr>
          </w:p>
        </w:tc>
        <w:tc>
          <w:tcPr>
            <w:tcW w:w="3969" w:type="dxa"/>
            <w:vAlign w:val="center"/>
          </w:tcPr>
          <w:p>
            <w:pPr>
              <w:tabs>
                <w:tab w:val="left" w:pos="540"/>
                <w:tab w:val="left" w:pos="720"/>
              </w:tabs>
              <w:spacing w:line="360" w:lineRule="auto"/>
              <w:ind w:right="25"/>
              <w:rPr>
                <w:rFonts w:ascii="宋体" w:hAnsi="宋体"/>
                <w:sz w:val="21"/>
              </w:rPr>
            </w:pPr>
            <w:r>
              <w:rPr>
                <w:rFonts w:hint="eastAsia" w:ascii="宋体" w:hAnsi="宋体"/>
                <w:sz w:val="21"/>
              </w:rPr>
              <w:t>开户银行：</w:t>
            </w:r>
          </w:p>
        </w:tc>
        <w:tc>
          <w:tcPr>
            <w:tcW w:w="504" w:type="dxa"/>
            <w:vMerge w:val="continue"/>
            <w:vAlign w:val="center"/>
          </w:tcPr>
          <w:p>
            <w:pPr>
              <w:tabs>
                <w:tab w:val="left" w:pos="540"/>
                <w:tab w:val="left" w:pos="720"/>
              </w:tabs>
              <w:spacing w:line="360" w:lineRule="auto"/>
              <w:ind w:right="25"/>
              <w:rPr>
                <w:rFonts w:ascii="宋体" w:hAnsi="宋体"/>
                <w:sz w:val="21"/>
              </w:rPr>
            </w:pPr>
          </w:p>
        </w:tc>
        <w:tc>
          <w:tcPr>
            <w:tcW w:w="4032" w:type="dxa"/>
            <w:vAlign w:val="center"/>
          </w:tcPr>
          <w:p>
            <w:pPr>
              <w:tabs>
                <w:tab w:val="left" w:pos="540"/>
                <w:tab w:val="left" w:pos="720"/>
              </w:tabs>
              <w:spacing w:line="360" w:lineRule="auto"/>
              <w:ind w:right="25"/>
              <w:jc w:val="left"/>
              <w:rPr>
                <w:rFonts w:ascii="宋体" w:hAnsi="宋体"/>
                <w:sz w:val="21"/>
              </w:rPr>
            </w:pPr>
            <w:r>
              <w:rPr>
                <w:rFonts w:hint="eastAsia" w:ascii="宋体" w:hAnsi="宋体"/>
                <w:sz w:val="21"/>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567" w:type="dxa"/>
            <w:vMerge w:val="continue"/>
          </w:tcPr>
          <w:p>
            <w:pPr>
              <w:tabs>
                <w:tab w:val="left" w:pos="540"/>
                <w:tab w:val="left" w:pos="720"/>
              </w:tabs>
              <w:spacing w:line="360" w:lineRule="auto"/>
              <w:ind w:right="25"/>
              <w:rPr>
                <w:rFonts w:ascii="宋体" w:hAnsi="宋体"/>
                <w:sz w:val="21"/>
              </w:rPr>
            </w:pPr>
          </w:p>
        </w:tc>
        <w:tc>
          <w:tcPr>
            <w:tcW w:w="3969" w:type="dxa"/>
            <w:vAlign w:val="center"/>
          </w:tcPr>
          <w:p>
            <w:pPr>
              <w:tabs>
                <w:tab w:val="left" w:pos="540"/>
                <w:tab w:val="left" w:pos="720"/>
              </w:tabs>
              <w:spacing w:line="360" w:lineRule="auto"/>
              <w:ind w:right="25"/>
              <w:jc w:val="left"/>
              <w:rPr>
                <w:rFonts w:ascii="宋体" w:hAnsi="宋体"/>
                <w:sz w:val="21"/>
              </w:rPr>
            </w:pPr>
            <w:r>
              <w:rPr>
                <w:rFonts w:hint="eastAsia" w:ascii="宋体" w:hAnsi="宋体"/>
                <w:sz w:val="21"/>
              </w:rPr>
              <w:t>银行账号：</w:t>
            </w:r>
          </w:p>
        </w:tc>
        <w:tc>
          <w:tcPr>
            <w:tcW w:w="504" w:type="dxa"/>
            <w:vMerge w:val="continue"/>
            <w:vAlign w:val="center"/>
          </w:tcPr>
          <w:p>
            <w:pPr>
              <w:tabs>
                <w:tab w:val="left" w:pos="540"/>
                <w:tab w:val="left" w:pos="720"/>
              </w:tabs>
              <w:spacing w:line="360" w:lineRule="auto"/>
              <w:ind w:right="25"/>
              <w:rPr>
                <w:rFonts w:ascii="宋体" w:hAnsi="宋体"/>
                <w:sz w:val="21"/>
              </w:rPr>
            </w:pPr>
          </w:p>
        </w:tc>
        <w:tc>
          <w:tcPr>
            <w:tcW w:w="4032" w:type="dxa"/>
            <w:vAlign w:val="center"/>
          </w:tcPr>
          <w:p>
            <w:pPr>
              <w:tabs>
                <w:tab w:val="left" w:pos="540"/>
                <w:tab w:val="left" w:pos="720"/>
              </w:tabs>
              <w:spacing w:line="360" w:lineRule="auto"/>
              <w:ind w:right="25"/>
              <w:jc w:val="left"/>
              <w:rPr>
                <w:rFonts w:ascii="宋体" w:hAnsi="宋体"/>
                <w:sz w:val="21"/>
              </w:rPr>
            </w:pPr>
            <w:r>
              <w:rPr>
                <w:rFonts w:hint="eastAsia" w:ascii="宋体" w:hAnsi="宋体"/>
                <w:sz w:val="21"/>
              </w:rPr>
              <w:t>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trPr>
        <w:tc>
          <w:tcPr>
            <w:tcW w:w="567" w:type="dxa"/>
            <w:vMerge w:val="continue"/>
          </w:tcPr>
          <w:p>
            <w:pPr>
              <w:tabs>
                <w:tab w:val="left" w:pos="540"/>
                <w:tab w:val="left" w:pos="720"/>
              </w:tabs>
              <w:spacing w:line="360" w:lineRule="auto"/>
              <w:ind w:right="25"/>
              <w:rPr>
                <w:rFonts w:ascii="宋体" w:hAnsi="宋体"/>
                <w:sz w:val="21"/>
              </w:rPr>
            </w:pPr>
          </w:p>
        </w:tc>
        <w:tc>
          <w:tcPr>
            <w:tcW w:w="3969" w:type="dxa"/>
            <w:vAlign w:val="center"/>
          </w:tcPr>
          <w:p>
            <w:pPr>
              <w:tabs>
                <w:tab w:val="left" w:pos="540"/>
                <w:tab w:val="left" w:pos="720"/>
              </w:tabs>
              <w:spacing w:line="360" w:lineRule="auto"/>
              <w:ind w:right="25"/>
              <w:rPr>
                <w:rFonts w:ascii="宋体" w:hAnsi="宋体"/>
                <w:sz w:val="21"/>
              </w:rPr>
            </w:pPr>
            <w:r>
              <w:rPr>
                <w:rFonts w:hint="eastAsia" w:ascii="宋体" w:hAnsi="宋体"/>
                <w:sz w:val="21"/>
              </w:rPr>
              <w:t>开户名称：</w:t>
            </w:r>
          </w:p>
        </w:tc>
        <w:tc>
          <w:tcPr>
            <w:tcW w:w="504" w:type="dxa"/>
            <w:vMerge w:val="continue"/>
            <w:vAlign w:val="center"/>
          </w:tcPr>
          <w:p>
            <w:pPr>
              <w:tabs>
                <w:tab w:val="left" w:pos="540"/>
                <w:tab w:val="left" w:pos="720"/>
              </w:tabs>
              <w:spacing w:line="360" w:lineRule="auto"/>
              <w:ind w:right="25"/>
              <w:rPr>
                <w:rFonts w:ascii="宋体" w:hAnsi="宋体"/>
                <w:sz w:val="21"/>
              </w:rPr>
            </w:pPr>
          </w:p>
        </w:tc>
        <w:tc>
          <w:tcPr>
            <w:tcW w:w="4032" w:type="dxa"/>
            <w:vAlign w:val="center"/>
          </w:tcPr>
          <w:p>
            <w:pPr>
              <w:tabs>
                <w:tab w:val="left" w:pos="540"/>
                <w:tab w:val="left" w:pos="720"/>
              </w:tabs>
              <w:spacing w:line="360" w:lineRule="auto"/>
              <w:ind w:right="25"/>
              <w:jc w:val="left"/>
              <w:rPr>
                <w:rFonts w:ascii="宋体" w:hAnsi="宋体"/>
                <w:sz w:val="21"/>
              </w:rPr>
            </w:pPr>
            <w:r>
              <w:rPr>
                <w:rFonts w:hint="eastAsia" w:ascii="宋体" w:hAnsi="宋体"/>
                <w:sz w:val="21"/>
              </w:rPr>
              <w:t>开户名称：</w:t>
            </w:r>
          </w:p>
        </w:tc>
      </w:tr>
    </w:tbl>
    <w:p>
      <w:pPr>
        <w:tabs>
          <w:tab w:val="left" w:pos="540"/>
          <w:tab w:val="left" w:pos="720"/>
        </w:tabs>
        <w:spacing w:line="360" w:lineRule="auto"/>
        <w:ind w:left="-2" w:right="25" w:firstLine="538"/>
        <w:rPr>
          <w:rFonts w:ascii="宋体" w:hAnsi="宋体"/>
        </w:rPr>
      </w:pPr>
    </w:p>
    <w:p>
      <w:pPr>
        <w:tabs>
          <w:tab w:val="left" w:pos="540"/>
          <w:tab w:val="left" w:pos="720"/>
        </w:tabs>
        <w:spacing w:line="360" w:lineRule="auto"/>
        <w:ind w:left="-2" w:right="25" w:firstLine="538"/>
        <w:rPr>
          <w:rFonts w:ascii="宋体" w:hAnsi="宋体"/>
          <w:sz w:val="21"/>
        </w:rPr>
      </w:pPr>
      <w:r>
        <w:rPr>
          <w:rFonts w:hint="eastAsia" w:ascii="宋体" w:hAnsi="宋体"/>
          <w:sz w:val="21"/>
        </w:rPr>
        <w:t>本合同一方将与本合同有关的通知、文件、信息等按照上述送达信息送达即视为有效送达。一方前述送达信息发生任何变化，变更方应自发生变更之日起五个工作日内以书面形式通知对方，否则视为已经有效送达；本合同任何一方上述指定付款/收款账户信息发生任何变化，变更方应自发生变更之日起五个工作日内以书面形式通知对方，否则，由此引起的付款迟延等后果由变更方自行承担。</w:t>
      </w:r>
    </w:p>
    <w:p>
      <w:pPr>
        <w:tabs>
          <w:tab w:val="left" w:pos="540"/>
          <w:tab w:val="left" w:pos="720"/>
        </w:tabs>
        <w:spacing w:line="360" w:lineRule="auto"/>
        <w:ind w:left="-2" w:right="25" w:firstLine="538"/>
        <w:rPr>
          <w:rFonts w:ascii="宋体" w:hAnsi="宋体"/>
          <w:sz w:val="21"/>
        </w:rPr>
      </w:pPr>
      <w:r>
        <w:rPr>
          <w:rFonts w:hint="eastAsia" w:ascii="宋体" w:hAnsi="宋体"/>
          <w:sz w:val="21"/>
        </w:rPr>
        <w:t>（本页以下无正文）</w:t>
      </w:r>
    </w:p>
    <w:p>
      <w:pPr>
        <w:pStyle w:val="4"/>
        <w:rPr>
          <w:rFonts w:ascii="宋体" w:hAnsi="宋体" w:cs="Calibri"/>
          <w:b w:val="0"/>
          <w:bCs w:val="0"/>
          <w:kern w:val="2"/>
          <w:sz w:val="21"/>
          <w:szCs w:val="21"/>
        </w:rPr>
      </w:pPr>
    </w:p>
    <w:p>
      <w:pPr>
        <w:spacing w:line="360" w:lineRule="auto"/>
        <w:ind w:firstLine="210" w:firstLineChars="100"/>
        <w:rPr>
          <w:rFonts w:ascii="宋体" w:hAnsi="宋体"/>
          <w:sz w:val="21"/>
        </w:rPr>
      </w:pPr>
      <w:r>
        <w:rPr>
          <w:rFonts w:hint="eastAsia" w:ascii="宋体" w:hAnsi="宋体"/>
          <w:sz w:val="21"/>
        </w:rPr>
        <w:t>甲方：（盖章）                         乙方：（盖章）</w:t>
      </w:r>
    </w:p>
    <w:p>
      <w:pPr>
        <w:tabs>
          <w:tab w:val="left" w:pos="8391"/>
        </w:tabs>
        <w:autoSpaceDE w:val="0"/>
        <w:autoSpaceDN w:val="0"/>
        <w:snapToGrid w:val="0"/>
        <w:spacing w:line="360" w:lineRule="auto"/>
        <w:ind w:right="-69"/>
        <w:textAlignment w:val="bottom"/>
        <w:rPr>
          <w:rFonts w:ascii="宋体" w:hAnsi="宋体"/>
          <w:sz w:val="21"/>
        </w:rPr>
      </w:pPr>
    </w:p>
    <w:p>
      <w:pPr>
        <w:tabs>
          <w:tab w:val="left" w:pos="8391"/>
        </w:tabs>
        <w:autoSpaceDE w:val="0"/>
        <w:autoSpaceDN w:val="0"/>
        <w:snapToGrid w:val="0"/>
        <w:spacing w:line="360" w:lineRule="auto"/>
        <w:ind w:right="-69" w:firstLine="210" w:firstLineChars="100"/>
        <w:textAlignment w:val="bottom"/>
        <w:rPr>
          <w:rFonts w:ascii="宋体" w:hAnsi="宋体"/>
          <w:sz w:val="21"/>
        </w:rPr>
      </w:pPr>
      <w:r>
        <w:rPr>
          <w:rFonts w:hint="eastAsia" w:ascii="宋体" w:hAnsi="宋体"/>
          <w:sz w:val="21"/>
        </w:rPr>
        <w:t>地址：                                 地址：</w:t>
      </w:r>
    </w:p>
    <w:p>
      <w:pPr>
        <w:spacing w:line="360" w:lineRule="auto"/>
        <w:ind w:firstLine="210" w:firstLineChars="100"/>
        <w:rPr>
          <w:rFonts w:ascii="宋体" w:hAnsi="宋体"/>
          <w:sz w:val="21"/>
        </w:rPr>
      </w:pPr>
      <w:r>
        <w:rPr>
          <w:rFonts w:hint="eastAsia" w:ascii="宋体" w:hAnsi="宋体"/>
          <w:sz w:val="21"/>
        </w:rPr>
        <w:t>法定代表人                             法定代表人</w:t>
      </w:r>
    </w:p>
    <w:p>
      <w:pPr>
        <w:spacing w:line="360" w:lineRule="auto"/>
        <w:ind w:firstLine="210" w:firstLineChars="100"/>
        <w:rPr>
          <w:rFonts w:ascii="宋体" w:hAnsi="宋体"/>
          <w:sz w:val="21"/>
        </w:rPr>
      </w:pPr>
      <w:r>
        <w:rPr>
          <w:rFonts w:hint="eastAsia" w:ascii="宋体" w:hAnsi="宋体"/>
          <w:sz w:val="21"/>
        </w:rPr>
        <w:t>或委托代理人：（签字或盖章）           或委托代理人：（签字或盖章）</w:t>
      </w:r>
    </w:p>
    <w:p>
      <w:pPr>
        <w:pStyle w:val="31"/>
        <w:widowControl w:val="0"/>
        <w:snapToGrid w:val="0"/>
        <w:spacing w:before="0" w:beforeAutospacing="0" w:after="0" w:afterAutospacing="0" w:line="360" w:lineRule="auto"/>
        <w:ind w:firstLine="210" w:firstLineChars="100"/>
        <w:outlineLvl w:val="1"/>
        <w:rPr>
          <w:rFonts w:cs="Calibri"/>
          <w:kern w:val="2"/>
          <w:sz w:val="21"/>
          <w:szCs w:val="21"/>
        </w:rPr>
      </w:pPr>
      <w:r>
        <w:rPr>
          <w:rFonts w:hint="eastAsia" w:cs="Calibri"/>
          <w:kern w:val="2"/>
          <w:sz w:val="21"/>
          <w:szCs w:val="21"/>
        </w:rPr>
        <w:t>签订日期：      年    月     日             签订日期：        年    月    日</w:t>
      </w:r>
    </w:p>
    <w:p>
      <w:pPr>
        <w:spacing w:line="360" w:lineRule="auto"/>
        <w:ind w:firstLine="420" w:firstLineChars="200"/>
        <w:jc w:val="right"/>
        <w:rPr>
          <w:rFonts w:ascii="宋体" w:hAnsi="宋体"/>
          <w:sz w:val="21"/>
        </w:rPr>
        <w:sectPr>
          <w:pgSz w:w="11907" w:h="16840"/>
          <w:pgMar w:top="1440" w:right="1701" w:bottom="1440" w:left="1701" w:header="850" w:footer="964" w:gutter="0"/>
          <w:cols w:space="720" w:num="1"/>
          <w:docGrid w:linePitch="326" w:charSpace="0"/>
        </w:sectPr>
      </w:pPr>
    </w:p>
    <w:bookmarkEnd w:id="1"/>
    <w:bookmarkEnd w:id="2"/>
    <w:p>
      <w:pPr>
        <w:spacing w:line="560" w:lineRule="exact"/>
        <w:jc w:val="center"/>
        <w:outlineLvl w:val="0"/>
        <w:rPr>
          <w:strike/>
        </w:rPr>
      </w:pPr>
      <w:bookmarkStart w:id="340" w:name="_Toc328739378"/>
      <w:bookmarkStart w:id="341" w:name="_Toc89440031"/>
      <w:bookmarkStart w:id="342" w:name="_Toc24076"/>
      <w:bookmarkStart w:id="343" w:name="_Toc22949"/>
      <w:bookmarkStart w:id="344" w:name="_Toc31986"/>
      <w:bookmarkStart w:id="345" w:name="_Toc483349417"/>
      <w:bookmarkStart w:id="346" w:name="_Toc25988"/>
      <w:bookmarkStart w:id="347" w:name="_Toc484353356"/>
      <w:bookmarkStart w:id="348" w:name="_Toc17336"/>
      <w:r>
        <w:rPr>
          <w:rFonts w:hint="eastAsia" w:cs="Times New Roman"/>
          <w:b/>
          <w:bCs/>
          <w:kern w:val="44"/>
          <w:sz w:val="32"/>
          <w:szCs w:val="44"/>
        </w:rPr>
        <w:t>第五章 采购内容及</w:t>
      </w:r>
      <w:bookmarkEnd w:id="340"/>
      <w:r>
        <w:rPr>
          <w:rFonts w:hint="eastAsia" w:cs="Times New Roman"/>
          <w:b/>
          <w:bCs/>
          <w:kern w:val="44"/>
          <w:sz w:val="32"/>
          <w:szCs w:val="44"/>
        </w:rPr>
        <w:t>技术要求</w:t>
      </w:r>
      <w:bookmarkEnd w:id="341"/>
    </w:p>
    <w:p>
      <w:pPr>
        <w:spacing w:line="360" w:lineRule="auto"/>
      </w:pPr>
      <w:r>
        <w:rPr>
          <w:rFonts w:hint="eastAsia"/>
        </w:rPr>
        <w:t>一、工作目的</w:t>
      </w:r>
    </w:p>
    <w:p>
      <w:pPr>
        <w:spacing w:line="360" w:lineRule="auto"/>
        <w:ind w:firstLine="480" w:firstLineChars="200"/>
      </w:pPr>
      <w:r>
        <w:rPr>
          <w:rFonts w:hint="eastAsia"/>
        </w:rPr>
        <w:t>按照第一次全国自然灾害综合风险普查有关部署，完成莲湖区城管局管辖区域的市政道路和市政桥梁承灾体调查，满足第一次全国自然灾害综合风险普查对市政道路和市政桥梁承灾体信息的调查需求，支撑全国自然灾害综合风险与减灾能力评估。</w:t>
      </w:r>
    </w:p>
    <w:p>
      <w:pPr>
        <w:spacing w:line="360" w:lineRule="auto"/>
        <w:outlineLvl w:val="1"/>
      </w:pPr>
      <w:r>
        <w:rPr>
          <w:rFonts w:hint="eastAsia"/>
        </w:rPr>
        <w:t>二、项目概况</w:t>
      </w:r>
    </w:p>
    <w:p>
      <w:pPr>
        <w:spacing w:line="360" w:lineRule="auto"/>
        <w:ind w:firstLine="480" w:firstLineChars="200"/>
      </w:pPr>
      <w:r>
        <w:rPr>
          <w:rFonts w:hint="eastAsia"/>
        </w:rPr>
        <w:t>本次调查对象为2020年12月31日前莲湖区辖区内建成的市政设施；</w:t>
      </w:r>
    </w:p>
    <w:p>
      <w:pPr>
        <w:spacing w:line="360" w:lineRule="auto"/>
        <w:ind w:firstLine="480" w:firstLineChars="200"/>
      </w:pPr>
      <w:r>
        <w:rPr>
          <w:rFonts w:hint="eastAsia"/>
        </w:rPr>
        <w:t>1.市政道路：城市次干路（含四条车道及以上）及以上的道路；连接重要设施（如学校、医院、交通枢纽等）的道路；与公路普查道路衔接的城市道路、应急管理相关的重要道路；</w:t>
      </w:r>
    </w:p>
    <w:p>
      <w:pPr>
        <w:spacing w:line="360" w:lineRule="auto"/>
        <w:ind w:firstLine="480" w:firstLineChars="200"/>
      </w:pPr>
      <w:r>
        <w:rPr>
          <w:rFonts w:hint="eastAsia"/>
        </w:rPr>
        <w:t>2.市政桥梁：城市范围内修建在河道上的桥梁、道路与道路立交、道路跨越铁路的立交桥。</w:t>
      </w:r>
    </w:p>
    <w:p>
      <w:pPr>
        <w:spacing w:line="360" w:lineRule="auto"/>
        <w:ind w:firstLine="480" w:firstLineChars="200"/>
      </w:pPr>
      <w:r>
        <w:rPr>
          <w:rFonts w:hint="eastAsia"/>
        </w:rPr>
        <w:t>不包括：人行天桥、人行地下通道、轨道交通和城市隧道；未建成使用的市政设施工程；</w:t>
      </w:r>
    </w:p>
    <w:p>
      <w:pPr>
        <w:spacing w:line="360" w:lineRule="auto"/>
        <w:ind w:firstLine="480" w:firstLineChars="200"/>
      </w:pPr>
      <w:r>
        <w:rPr>
          <w:rFonts w:hint="eastAsia"/>
        </w:rPr>
        <w:t>依照《中华人民共和国军事设施保护法》、《中华人民共和国保守国家秘密法》等法律法规确定的军事禁区、军事管理区和属于国家秘密不对外的其他场所、部位的道路和桥梁。</w:t>
      </w:r>
    </w:p>
    <w:p>
      <w:pPr>
        <w:pStyle w:val="2"/>
      </w:pPr>
    </w:p>
    <w:p>
      <w:pPr>
        <w:spacing w:line="360" w:lineRule="auto"/>
      </w:pPr>
      <w:r>
        <w:rPr>
          <w:rFonts w:hint="eastAsia"/>
        </w:rPr>
        <w:t>三、服务内容</w:t>
      </w:r>
    </w:p>
    <w:p>
      <w:pPr>
        <w:spacing w:line="360" w:lineRule="auto"/>
        <w:ind w:firstLine="480" w:firstLineChars="200"/>
      </w:pPr>
      <w:r>
        <w:rPr>
          <w:rFonts w:hint="eastAsia"/>
        </w:rPr>
        <w:t>1、前期组织工作</w:t>
      </w:r>
    </w:p>
    <w:p>
      <w:pPr>
        <w:spacing w:line="360" w:lineRule="auto"/>
        <w:ind w:firstLine="480" w:firstLineChars="200"/>
      </w:pPr>
      <w:r>
        <w:rPr>
          <w:rFonts w:hint="eastAsia"/>
        </w:rPr>
        <w:t>前期准备中需承担的主要任务为：一是编制调查方案；二是组织相关会议和培训。</w:t>
      </w:r>
    </w:p>
    <w:p>
      <w:pPr>
        <w:spacing w:line="360" w:lineRule="auto"/>
        <w:ind w:firstLine="480" w:firstLineChars="200"/>
      </w:pPr>
      <w:r>
        <w:rPr>
          <w:rFonts w:hint="eastAsia"/>
        </w:rPr>
        <w:t>2、调查实施工作</w:t>
      </w:r>
    </w:p>
    <w:p>
      <w:pPr>
        <w:spacing w:line="360" w:lineRule="auto"/>
        <w:ind w:firstLine="480" w:firstLineChars="200"/>
      </w:pPr>
      <w:r>
        <w:rPr>
          <w:rFonts w:hint="eastAsia"/>
        </w:rPr>
        <w:t>调查组织实施中需承担的主要任务为：一是辖区内市政设施调查组织实施；二是调查成果形成；三是调查成果汇交。</w:t>
      </w:r>
    </w:p>
    <w:p>
      <w:pPr>
        <w:spacing w:line="360" w:lineRule="auto"/>
        <w:outlineLvl w:val="1"/>
      </w:pPr>
      <w:r>
        <w:rPr>
          <w:rFonts w:hint="eastAsia"/>
        </w:rPr>
        <w:t>四、技术要求</w:t>
      </w:r>
    </w:p>
    <w:tbl>
      <w:tblPr>
        <w:tblStyle w:val="35"/>
        <w:tblpPr w:leftFromText="180" w:rightFromText="180" w:vertAnchor="text" w:horzAnchor="page" w:tblpXSpec="center" w:tblpY="947"/>
        <w:tblOverlap w:val="never"/>
        <w:tblW w:w="9280" w:type="dxa"/>
        <w:jc w:val="center"/>
        <w:tblLayout w:type="autofit"/>
        <w:tblCellMar>
          <w:top w:w="0" w:type="dxa"/>
          <w:left w:w="108" w:type="dxa"/>
          <w:bottom w:w="0" w:type="dxa"/>
          <w:right w:w="108" w:type="dxa"/>
        </w:tblCellMar>
      </w:tblPr>
      <w:tblGrid>
        <w:gridCol w:w="703"/>
        <w:gridCol w:w="1412"/>
        <w:gridCol w:w="1882"/>
        <w:gridCol w:w="3126"/>
        <w:gridCol w:w="1223"/>
        <w:gridCol w:w="934"/>
      </w:tblGrid>
      <w:tr>
        <w:tblPrEx>
          <w:tblCellMar>
            <w:top w:w="0" w:type="dxa"/>
            <w:left w:w="108" w:type="dxa"/>
            <w:bottom w:w="0" w:type="dxa"/>
            <w:right w:w="108" w:type="dxa"/>
          </w:tblCellMar>
        </w:tblPrEx>
        <w:trPr>
          <w:trHeight w:val="300" w:hRule="atLeast"/>
          <w:jc w:val="center"/>
        </w:trPr>
        <w:tc>
          <w:tcPr>
            <w:tcW w:w="9280"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工作流程</w:t>
            </w:r>
          </w:p>
        </w:tc>
      </w:tr>
      <w:tr>
        <w:tblPrEx>
          <w:tblCellMar>
            <w:top w:w="0" w:type="dxa"/>
            <w:left w:w="108" w:type="dxa"/>
            <w:bottom w:w="0" w:type="dxa"/>
            <w:right w:w="108" w:type="dxa"/>
          </w:tblCellMar>
        </w:tblPrEx>
        <w:trPr>
          <w:trHeight w:val="300" w:hRule="atLeast"/>
          <w:jc w:val="center"/>
        </w:trPr>
        <w:tc>
          <w:tcPr>
            <w:tcW w:w="703"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序号</w:t>
            </w:r>
          </w:p>
        </w:tc>
        <w:tc>
          <w:tcPr>
            <w:tcW w:w="1412"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任务</w:t>
            </w:r>
          </w:p>
        </w:tc>
        <w:tc>
          <w:tcPr>
            <w:tcW w:w="1882"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子任务</w:t>
            </w:r>
          </w:p>
        </w:tc>
        <w:tc>
          <w:tcPr>
            <w:tcW w:w="3126"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具体工作内容</w:t>
            </w:r>
          </w:p>
        </w:tc>
        <w:tc>
          <w:tcPr>
            <w:tcW w:w="1223"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单位</w:t>
            </w:r>
          </w:p>
        </w:tc>
        <w:tc>
          <w:tcPr>
            <w:tcW w:w="934"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工作量</w:t>
            </w:r>
          </w:p>
        </w:tc>
      </w:tr>
      <w:tr>
        <w:tblPrEx>
          <w:tblCellMar>
            <w:top w:w="0" w:type="dxa"/>
            <w:left w:w="108" w:type="dxa"/>
            <w:bottom w:w="0" w:type="dxa"/>
            <w:right w:w="108" w:type="dxa"/>
          </w:tblCellMar>
        </w:tblPrEx>
        <w:trPr>
          <w:trHeight w:val="1077" w:hRule="atLeast"/>
          <w:jc w:val="center"/>
        </w:trPr>
        <w:tc>
          <w:tcPr>
            <w:tcW w:w="703"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1</w:t>
            </w:r>
          </w:p>
        </w:tc>
        <w:tc>
          <w:tcPr>
            <w:tcW w:w="1412" w:type="dxa"/>
            <w:vMerge w:val="restart"/>
            <w:tcBorders>
              <w:top w:val="nil"/>
              <w:left w:val="single" w:color="000000" w:sz="8" w:space="0"/>
              <w:bottom w:val="single" w:color="000000" w:sz="8" w:space="0"/>
              <w:right w:val="single" w:color="000000" w:sz="8" w:space="0"/>
            </w:tcBorders>
            <w:shd w:val="clear" w:color="auto" w:fill="auto"/>
            <w:textDirection w:val="tbRlV"/>
            <w:vAlign w:val="center"/>
          </w:tcPr>
          <w:p>
            <w:pPr>
              <w:widowControl/>
              <w:jc w:val="center"/>
              <w:rPr>
                <w:rFonts w:ascii="宋体" w:hAnsi="宋体" w:cs="宋体"/>
                <w:color w:val="000000"/>
                <w:kern w:val="0"/>
              </w:rPr>
            </w:pPr>
            <w:r>
              <w:rPr>
                <w:rFonts w:hint="eastAsia" w:ascii="宋体" w:hAnsi="宋体" w:cs="宋体"/>
                <w:color w:val="000000"/>
                <w:kern w:val="0"/>
              </w:rPr>
              <w:t>组织工作</w:t>
            </w:r>
          </w:p>
        </w:tc>
        <w:tc>
          <w:tcPr>
            <w:tcW w:w="1882"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实施方案编制</w:t>
            </w:r>
          </w:p>
        </w:tc>
        <w:tc>
          <w:tcPr>
            <w:tcW w:w="3126" w:type="dxa"/>
            <w:tcBorders>
              <w:top w:val="nil"/>
              <w:left w:val="nil"/>
              <w:bottom w:val="single" w:color="auto" w:sz="4" w:space="0"/>
              <w:right w:val="single" w:color="000000" w:sz="8"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组织编制市政设施调查实施方案。</w:t>
            </w:r>
          </w:p>
        </w:tc>
        <w:tc>
          <w:tcPr>
            <w:tcW w:w="1223"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项</w:t>
            </w:r>
          </w:p>
        </w:tc>
        <w:tc>
          <w:tcPr>
            <w:tcW w:w="934"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1</w:t>
            </w:r>
          </w:p>
        </w:tc>
      </w:tr>
      <w:tr>
        <w:tblPrEx>
          <w:tblCellMar>
            <w:top w:w="0" w:type="dxa"/>
            <w:left w:w="108" w:type="dxa"/>
            <w:bottom w:w="0" w:type="dxa"/>
            <w:right w:w="108" w:type="dxa"/>
          </w:tblCellMar>
        </w:tblPrEx>
        <w:trPr>
          <w:trHeight w:val="831" w:hRule="atLeast"/>
          <w:jc w:val="center"/>
        </w:trPr>
        <w:tc>
          <w:tcPr>
            <w:tcW w:w="703" w:type="dxa"/>
            <w:vMerge w:val="restart"/>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2</w:t>
            </w:r>
          </w:p>
        </w:tc>
        <w:tc>
          <w:tcPr>
            <w:tcW w:w="1412"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rPr>
            </w:pPr>
          </w:p>
        </w:tc>
        <w:tc>
          <w:tcPr>
            <w:tcW w:w="1882" w:type="dxa"/>
            <w:vMerge w:val="restart"/>
            <w:tcBorders>
              <w:top w:val="nil"/>
              <w:left w:val="single" w:color="000000" w:sz="8" w:space="0"/>
              <w:bottom w:val="single" w:color="000000" w:sz="8" w:space="0"/>
              <w:right w:val="single" w:color="auto" w:sz="4"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组织相关会议和调查培训工作</w:t>
            </w:r>
          </w:p>
        </w:tc>
        <w:tc>
          <w:tcPr>
            <w:tcW w:w="312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1、组织召开调查工作会议及工作督导检查会议；</w:t>
            </w:r>
          </w:p>
        </w:tc>
        <w:tc>
          <w:tcPr>
            <w:tcW w:w="1223" w:type="dxa"/>
            <w:vMerge w:val="restart"/>
            <w:tcBorders>
              <w:top w:val="nil"/>
              <w:left w:val="single" w:color="auto" w:sz="4" w:space="0"/>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项</w:t>
            </w:r>
          </w:p>
        </w:tc>
        <w:tc>
          <w:tcPr>
            <w:tcW w:w="934" w:type="dxa"/>
            <w:vMerge w:val="restart"/>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2</w:t>
            </w:r>
          </w:p>
        </w:tc>
      </w:tr>
      <w:tr>
        <w:tblPrEx>
          <w:tblCellMar>
            <w:top w:w="0" w:type="dxa"/>
            <w:left w:w="108" w:type="dxa"/>
            <w:bottom w:w="0" w:type="dxa"/>
            <w:right w:w="108" w:type="dxa"/>
          </w:tblCellMar>
        </w:tblPrEx>
        <w:trPr>
          <w:trHeight w:val="998" w:hRule="atLeast"/>
          <w:jc w:val="center"/>
        </w:trPr>
        <w:tc>
          <w:tcPr>
            <w:tcW w:w="703" w:type="dxa"/>
            <w:vMerge w:val="continue"/>
            <w:tcBorders>
              <w:top w:val="nil"/>
              <w:left w:val="single" w:color="000000" w:sz="8" w:space="0"/>
              <w:bottom w:val="single" w:color="auto" w:sz="4" w:space="0"/>
              <w:right w:val="single" w:color="000000" w:sz="8" w:space="0"/>
            </w:tcBorders>
            <w:vAlign w:val="center"/>
          </w:tcPr>
          <w:p>
            <w:pPr>
              <w:widowControl/>
              <w:jc w:val="left"/>
              <w:rPr>
                <w:rFonts w:ascii="宋体" w:hAnsi="宋体" w:cs="宋体"/>
                <w:color w:val="000000"/>
                <w:kern w:val="0"/>
              </w:rPr>
            </w:pPr>
          </w:p>
        </w:tc>
        <w:tc>
          <w:tcPr>
            <w:tcW w:w="1412" w:type="dxa"/>
            <w:vMerge w:val="continue"/>
            <w:tcBorders>
              <w:top w:val="nil"/>
              <w:left w:val="single" w:color="000000" w:sz="8" w:space="0"/>
              <w:bottom w:val="single" w:color="auto" w:sz="4" w:space="0"/>
              <w:right w:val="single" w:color="000000" w:sz="8" w:space="0"/>
            </w:tcBorders>
            <w:vAlign w:val="center"/>
          </w:tcPr>
          <w:p>
            <w:pPr>
              <w:widowControl/>
              <w:jc w:val="left"/>
              <w:rPr>
                <w:rFonts w:ascii="宋体" w:hAnsi="宋体" w:cs="宋体"/>
                <w:color w:val="000000"/>
                <w:kern w:val="0"/>
              </w:rPr>
            </w:pPr>
          </w:p>
        </w:tc>
        <w:tc>
          <w:tcPr>
            <w:tcW w:w="1882" w:type="dxa"/>
            <w:vMerge w:val="continue"/>
            <w:tcBorders>
              <w:top w:val="nil"/>
              <w:left w:val="single" w:color="000000" w:sz="8" w:space="0"/>
              <w:bottom w:val="single" w:color="auto" w:sz="4" w:space="0"/>
              <w:right w:val="single" w:color="000000" w:sz="8" w:space="0"/>
            </w:tcBorders>
            <w:vAlign w:val="center"/>
          </w:tcPr>
          <w:p>
            <w:pPr>
              <w:widowControl/>
              <w:jc w:val="left"/>
              <w:rPr>
                <w:rFonts w:ascii="宋体" w:hAnsi="宋体" w:cs="宋体"/>
                <w:color w:val="000000"/>
                <w:kern w:val="0"/>
              </w:rPr>
            </w:pPr>
          </w:p>
        </w:tc>
        <w:tc>
          <w:tcPr>
            <w:tcW w:w="3126" w:type="dxa"/>
            <w:tcBorders>
              <w:top w:val="single" w:color="auto" w:sz="4" w:space="0"/>
              <w:left w:val="nil"/>
              <w:bottom w:val="single" w:color="auto" w:sz="4" w:space="0"/>
              <w:right w:val="single" w:color="000000" w:sz="8"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2、业务培训和软件使用培训；</w:t>
            </w:r>
          </w:p>
        </w:tc>
        <w:tc>
          <w:tcPr>
            <w:tcW w:w="1223" w:type="dxa"/>
            <w:vMerge w:val="continue"/>
            <w:tcBorders>
              <w:top w:val="nil"/>
              <w:left w:val="single" w:color="000000" w:sz="8" w:space="0"/>
              <w:bottom w:val="single" w:color="auto" w:sz="4" w:space="0"/>
              <w:right w:val="single" w:color="000000" w:sz="8" w:space="0"/>
            </w:tcBorders>
            <w:vAlign w:val="center"/>
          </w:tcPr>
          <w:p>
            <w:pPr>
              <w:widowControl/>
              <w:jc w:val="left"/>
              <w:rPr>
                <w:rFonts w:ascii="宋体" w:hAnsi="宋体" w:cs="宋体"/>
                <w:color w:val="000000"/>
                <w:kern w:val="0"/>
              </w:rPr>
            </w:pPr>
          </w:p>
        </w:tc>
        <w:tc>
          <w:tcPr>
            <w:tcW w:w="934" w:type="dxa"/>
            <w:vMerge w:val="continue"/>
            <w:tcBorders>
              <w:top w:val="nil"/>
              <w:left w:val="single" w:color="000000" w:sz="8" w:space="0"/>
              <w:bottom w:val="single" w:color="auto" w:sz="4" w:space="0"/>
              <w:right w:val="single" w:color="000000" w:sz="8" w:space="0"/>
            </w:tcBorders>
            <w:vAlign w:val="center"/>
          </w:tcPr>
          <w:p>
            <w:pPr>
              <w:widowControl/>
              <w:jc w:val="left"/>
              <w:rPr>
                <w:rFonts w:ascii="宋体" w:hAnsi="宋体" w:cs="宋体"/>
                <w:color w:val="000000"/>
                <w:kern w:val="0"/>
              </w:rPr>
            </w:pPr>
          </w:p>
        </w:tc>
      </w:tr>
      <w:tr>
        <w:tblPrEx>
          <w:tblCellMar>
            <w:top w:w="0" w:type="dxa"/>
            <w:left w:w="108" w:type="dxa"/>
            <w:bottom w:w="0" w:type="dxa"/>
            <w:right w:w="108" w:type="dxa"/>
          </w:tblCellMar>
        </w:tblPrEx>
        <w:trPr>
          <w:trHeight w:val="2515" w:hRule="atLeast"/>
          <w:jc w:val="center"/>
        </w:trPr>
        <w:tc>
          <w:tcPr>
            <w:tcW w:w="703" w:type="dxa"/>
            <w:tcBorders>
              <w:top w:val="single" w:color="auto" w:sz="4" w:space="0"/>
              <w:left w:val="single" w:color="auto" w:sz="4" w:space="0"/>
              <w:bottom w:val="single" w:color="auto" w:sz="4" w:space="0"/>
              <w:right w:val="single" w:color="000000" w:sz="8"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3</w:t>
            </w:r>
          </w:p>
        </w:tc>
        <w:tc>
          <w:tcPr>
            <w:tcW w:w="1412" w:type="dxa"/>
            <w:vMerge w:val="restart"/>
            <w:tcBorders>
              <w:top w:val="single" w:color="auto" w:sz="4" w:space="0"/>
              <w:left w:val="single" w:color="000000" w:sz="8" w:space="0"/>
              <w:bottom w:val="single" w:color="auto" w:sz="4" w:space="0"/>
              <w:right w:val="single" w:color="000000" w:sz="8" w:space="0"/>
            </w:tcBorders>
            <w:shd w:val="clear" w:color="auto" w:fill="auto"/>
            <w:textDirection w:val="tbRlV"/>
            <w:vAlign w:val="center"/>
          </w:tcPr>
          <w:p>
            <w:pPr>
              <w:widowControl/>
              <w:jc w:val="center"/>
              <w:rPr>
                <w:rFonts w:ascii="宋体" w:hAnsi="宋体" w:cs="宋体"/>
                <w:color w:val="000000"/>
                <w:kern w:val="0"/>
              </w:rPr>
            </w:pPr>
            <w:r>
              <w:rPr>
                <w:rFonts w:hint="eastAsia" w:ascii="宋体" w:hAnsi="宋体" w:cs="宋体"/>
                <w:color w:val="000000"/>
                <w:kern w:val="0"/>
              </w:rPr>
              <w:t>市政设施调查实施</w:t>
            </w:r>
          </w:p>
        </w:tc>
        <w:tc>
          <w:tcPr>
            <w:tcW w:w="1882" w:type="dxa"/>
            <w:tcBorders>
              <w:top w:val="single" w:color="auto" w:sz="4" w:space="0"/>
              <w:left w:val="nil"/>
              <w:bottom w:val="single" w:color="auto" w:sz="4" w:space="0"/>
              <w:right w:val="single" w:color="000000" w:sz="8"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资料整理</w:t>
            </w:r>
          </w:p>
        </w:tc>
        <w:tc>
          <w:tcPr>
            <w:tcW w:w="312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收集地方已有的市政设施基础数据成果，对所收集到的数据成果进行数据整理、数据分析以及数据处理，并把处理后的数据录入全国房屋建筑和市政设施普查系统。</w:t>
            </w:r>
          </w:p>
        </w:tc>
        <w:tc>
          <w:tcPr>
            <w:tcW w:w="1223" w:type="dxa"/>
            <w:tcBorders>
              <w:top w:val="single" w:color="auto" w:sz="4" w:space="0"/>
              <w:left w:val="single" w:color="auto" w:sz="4" w:space="0"/>
              <w:bottom w:val="single" w:color="auto" w:sz="4" w:space="0"/>
              <w:right w:val="single" w:color="000000" w:sz="8"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项</w:t>
            </w:r>
          </w:p>
        </w:tc>
        <w:tc>
          <w:tcPr>
            <w:tcW w:w="9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1</w:t>
            </w:r>
          </w:p>
        </w:tc>
      </w:tr>
      <w:tr>
        <w:tblPrEx>
          <w:tblCellMar>
            <w:top w:w="0" w:type="dxa"/>
            <w:left w:w="108" w:type="dxa"/>
            <w:bottom w:w="0" w:type="dxa"/>
            <w:right w:w="108" w:type="dxa"/>
          </w:tblCellMar>
        </w:tblPrEx>
        <w:trPr>
          <w:trHeight w:val="1575" w:hRule="atLeast"/>
          <w:jc w:val="center"/>
        </w:trPr>
        <w:tc>
          <w:tcPr>
            <w:tcW w:w="703" w:type="dxa"/>
            <w:tcBorders>
              <w:top w:val="single" w:color="auto" w:sz="4"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4</w:t>
            </w:r>
          </w:p>
        </w:tc>
        <w:tc>
          <w:tcPr>
            <w:tcW w:w="1412" w:type="dxa"/>
            <w:vMerge w:val="continue"/>
            <w:tcBorders>
              <w:top w:val="single" w:color="auto" w:sz="4" w:space="0"/>
              <w:left w:val="single" w:color="000000" w:sz="8" w:space="0"/>
              <w:right w:val="single" w:color="000000" w:sz="8" w:space="0"/>
            </w:tcBorders>
            <w:vAlign w:val="center"/>
          </w:tcPr>
          <w:p>
            <w:pPr>
              <w:jc w:val="center"/>
              <w:rPr>
                <w:rFonts w:ascii="宋体" w:hAnsi="宋体" w:cs="宋体"/>
                <w:color w:val="000000"/>
                <w:kern w:val="0"/>
              </w:rPr>
            </w:pPr>
          </w:p>
        </w:tc>
        <w:tc>
          <w:tcPr>
            <w:tcW w:w="1882" w:type="dxa"/>
            <w:tcBorders>
              <w:top w:val="single" w:color="auto" w:sz="4" w:space="0"/>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市政道路调查</w:t>
            </w:r>
          </w:p>
        </w:tc>
        <w:tc>
          <w:tcPr>
            <w:tcW w:w="3126" w:type="dxa"/>
            <w:tcBorders>
              <w:top w:val="single" w:color="auto" w:sz="4" w:space="0"/>
              <w:left w:val="nil"/>
              <w:bottom w:val="single" w:color="000000" w:sz="8"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利用住建部提供的市政道路底图数据并借助全国房屋建筑和市政设施普查PC和APP按照调查要求开展市政道路调查工作。</w:t>
            </w:r>
          </w:p>
        </w:tc>
        <w:tc>
          <w:tcPr>
            <w:tcW w:w="1223" w:type="dxa"/>
            <w:tcBorders>
              <w:top w:val="single" w:color="auto" w:sz="4" w:space="0"/>
              <w:left w:val="single" w:color="auto" w:sz="4" w:space="0"/>
              <w:bottom w:val="single" w:color="auto" w:sz="4" w:space="0"/>
              <w:right w:val="single" w:color="000000" w:sz="8"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公里</w:t>
            </w:r>
          </w:p>
        </w:tc>
        <w:tc>
          <w:tcPr>
            <w:tcW w:w="9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约220公里</w:t>
            </w:r>
          </w:p>
        </w:tc>
      </w:tr>
      <w:tr>
        <w:tblPrEx>
          <w:tblCellMar>
            <w:top w:w="0" w:type="dxa"/>
            <w:left w:w="108" w:type="dxa"/>
            <w:bottom w:w="0" w:type="dxa"/>
            <w:right w:w="108" w:type="dxa"/>
          </w:tblCellMar>
        </w:tblPrEx>
        <w:trPr>
          <w:trHeight w:val="1545" w:hRule="atLeast"/>
          <w:jc w:val="center"/>
        </w:trPr>
        <w:tc>
          <w:tcPr>
            <w:tcW w:w="703"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5</w:t>
            </w:r>
          </w:p>
        </w:tc>
        <w:tc>
          <w:tcPr>
            <w:tcW w:w="1412" w:type="dxa"/>
            <w:vMerge w:val="continue"/>
            <w:tcBorders>
              <w:left w:val="single" w:color="000000" w:sz="8" w:space="0"/>
              <w:right w:val="single" w:color="000000" w:sz="8" w:space="0"/>
            </w:tcBorders>
            <w:vAlign w:val="center"/>
          </w:tcPr>
          <w:p>
            <w:pPr>
              <w:jc w:val="center"/>
              <w:rPr>
                <w:rFonts w:ascii="宋体" w:hAnsi="宋体" w:cs="宋体"/>
                <w:color w:val="000000"/>
                <w:kern w:val="0"/>
              </w:rPr>
            </w:pPr>
          </w:p>
        </w:tc>
        <w:tc>
          <w:tcPr>
            <w:tcW w:w="1882"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市政桥梁调查</w:t>
            </w:r>
          </w:p>
        </w:tc>
        <w:tc>
          <w:tcPr>
            <w:tcW w:w="3126"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利用住建部提供的市政桥梁底图数据并借助全国房屋建筑和市政设施普查PC和APP按照调查要求开展市政桥梁调查工作，市政桥梁调查主要是对市政桥梁空间和属性信息采集。</w:t>
            </w:r>
          </w:p>
        </w:tc>
        <w:tc>
          <w:tcPr>
            <w:tcW w:w="1223" w:type="dxa"/>
            <w:tcBorders>
              <w:top w:val="single" w:color="auto" w:sz="4" w:space="0"/>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座</w:t>
            </w:r>
          </w:p>
        </w:tc>
        <w:tc>
          <w:tcPr>
            <w:tcW w:w="934" w:type="dxa"/>
            <w:tcBorders>
              <w:top w:val="single" w:color="auto" w:sz="4" w:space="0"/>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约34座</w:t>
            </w:r>
          </w:p>
        </w:tc>
      </w:tr>
      <w:tr>
        <w:tblPrEx>
          <w:tblCellMar>
            <w:top w:w="0" w:type="dxa"/>
            <w:left w:w="108" w:type="dxa"/>
            <w:bottom w:w="0" w:type="dxa"/>
            <w:right w:w="108" w:type="dxa"/>
          </w:tblCellMar>
        </w:tblPrEx>
        <w:trPr>
          <w:trHeight w:val="312" w:hRule="atLeast"/>
          <w:jc w:val="center"/>
        </w:trPr>
        <w:tc>
          <w:tcPr>
            <w:tcW w:w="703" w:type="dxa"/>
            <w:vMerge w:val="restart"/>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6</w:t>
            </w:r>
          </w:p>
        </w:tc>
        <w:tc>
          <w:tcPr>
            <w:tcW w:w="1412" w:type="dxa"/>
            <w:vMerge w:val="continue"/>
            <w:tcBorders>
              <w:left w:val="single" w:color="000000" w:sz="8" w:space="0"/>
              <w:right w:val="single" w:color="000000" w:sz="8" w:space="0"/>
            </w:tcBorders>
            <w:shd w:val="clear" w:color="000000" w:fill="FFFFFF"/>
            <w:textDirection w:val="tbRlV"/>
            <w:vAlign w:val="center"/>
          </w:tcPr>
          <w:p>
            <w:pPr>
              <w:jc w:val="center"/>
              <w:rPr>
                <w:rFonts w:ascii="宋体" w:hAnsi="宋体" w:cs="宋体"/>
                <w:color w:val="000000"/>
                <w:kern w:val="0"/>
              </w:rPr>
            </w:pPr>
          </w:p>
        </w:tc>
        <w:tc>
          <w:tcPr>
            <w:tcW w:w="1882" w:type="dxa"/>
            <w:vMerge w:val="restart"/>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数据审核</w:t>
            </w:r>
          </w:p>
        </w:tc>
        <w:tc>
          <w:tcPr>
            <w:tcW w:w="3126" w:type="dxa"/>
            <w:vMerge w:val="restart"/>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对市政设施调查数据质量进行人工交叉检查，主要是对调查数据进行检查。</w:t>
            </w:r>
          </w:p>
        </w:tc>
        <w:tc>
          <w:tcPr>
            <w:tcW w:w="1223" w:type="dxa"/>
            <w:vMerge w:val="restart"/>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项</w:t>
            </w:r>
          </w:p>
        </w:tc>
        <w:tc>
          <w:tcPr>
            <w:tcW w:w="934" w:type="dxa"/>
            <w:vMerge w:val="restart"/>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w:t>
            </w:r>
          </w:p>
        </w:tc>
      </w:tr>
      <w:tr>
        <w:tblPrEx>
          <w:tblCellMar>
            <w:top w:w="0" w:type="dxa"/>
            <w:left w:w="108" w:type="dxa"/>
            <w:bottom w:w="0" w:type="dxa"/>
            <w:right w:w="108" w:type="dxa"/>
          </w:tblCellMar>
        </w:tblPrEx>
        <w:trPr>
          <w:trHeight w:val="1335" w:hRule="atLeast"/>
          <w:jc w:val="center"/>
        </w:trPr>
        <w:tc>
          <w:tcPr>
            <w:tcW w:w="703"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rPr>
            </w:pPr>
          </w:p>
        </w:tc>
        <w:tc>
          <w:tcPr>
            <w:tcW w:w="1412" w:type="dxa"/>
            <w:vMerge w:val="continue"/>
            <w:tcBorders>
              <w:left w:val="single" w:color="000000" w:sz="8" w:space="0"/>
              <w:right w:val="single" w:color="000000" w:sz="8" w:space="0"/>
            </w:tcBorders>
            <w:vAlign w:val="center"/>
          </w:tcPr>
          <w:p>
            <w:pPr>
              <w:jc w:val="center"/>
              <w:rPr>
                <w:rFonts w:ascii="宋体" w:hAnsi="宋体" w:cs="宋体"/>
                <w:color w:val="000000"/>
                <w:kern w:val="0"/>
              </w:rPr>
            </w:pPr>
          </w:p>
        </w:tc>
        <w:tc>
          <w:tcPr>
            <w:tcW w:w="1882"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rPr>
            </w:pPr>
          </w:p>
        </w:tc>
        <w:tc>
          <w:tcPr>
            <w:tcW w:w="3126"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rPr>
            </w:pPr>
          </w:p>
        </w:tc>
        <w:tc>
          <w:tcPr>
            <w:tcW w:w="1223"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rPr>
            </w:pPr>
          </w:p>
        </w:tc>
        <w:tc>
          <w:tcPr>
            <w:tcW w:w="934"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rPr>
            </w:pPr>
          </w:p>
        </w:tc>
      </w:tr>
      <w:tr>
        <w:tblPrEx>
          <w:tblCellMar>
            <w:top w:w="0" w:type="dxa"/>
            <w:left w:w="108" w:type="dxa"/>
            <w:bottom w:w="0" w:type="dxa"/>
            <w:right w:w="108" w:type="dxa"/>
          </w:tblCellMar>
        </w:tblPrEx>
        <w:trPr>
          <w:trHeight w:val="1920" w:hRule="atLeast"/>
          <w:jc w:val="center"/>
        </w:trPr>
        <w:tc>
          <w:tcPr>
            <w:tcW w:w="703"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rPr>
            </w:pPr>
          </w:p>
        </w:tc>
        <w:tc>
          <w:tcPr>
            <w:tcW w:w="1412" w:type="dxa"/>
            <w:vMerge w:val="continue"/>
            <w:tcBorders>
              <w:left w:val="single" w:color="000000" w:sz="8" w:space="0"/>
              <w:right w:val="single" w:color="000000" w:sz="8" w:space="0"/>
            </w:tcBorders>
            <w:vAlign w:val="center"/>
          </w:tcPr>
          <w:p>
            <w:pPr>
              <w:jc w:val="center"/>
              <w:rPr>
                <w:rFonts w:ascii="宋体" w:hAnsi="宋体" w:cs="宋体"/>
                <w:color w:val="000000"/>
                <w:kern w:val="0"/>
              </w:rPr>
            </w:pPr>
          </w:p>
        </w:tc>
        <w:tc>
          <w:tcPr>
            <w:tcW w:w="1882"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数据质检</w:t>
            </w:r>
          </w:p>
        </w:tc>
        <w:tc>
          <w:tcPr>
            <w:tcW w:w="3126"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对市政设施调查数据质量进行质检（借助质检软件进行人机交互检查），主要是对调查成果空间和属性信息等进行质检。</w:t>
            </w:r>
          </w:p>
        </w:tc>
        <w:tc>
          <w:tcPr>
            <w:tcW w:w="1223"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项</w:t>
            </w:r>
          </w:p>
        </w:tc>
        <w:tc>
          <w:tcPr>
            <w:tcW w:w="934"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w:t>
            </w:r>
          </w:p>
        </w:tc>
      </w:tr>
      <w:tr>
        <w:tblPrEx>
          <w:tblCellMar>
            <w:top w:w="0" w:type="dxa"/>
            <w:left w:w="108" w:type="dxa"/>
            <w:bottom w:w="0" w:type="dxa"/>
            <w:right w:w="108" w:type="dxa"/>
          </w:tblCellMar>
        </w:tblPrEx>
        <w:trPr>
          <w:trHeight w:val="1620" w:hRule="atLeast"/>
          <w:jc w:val="center"/>
        </w:trPr>
        <w:tc>
          <w:tcPr>
            <w:tcW w:w="703"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7</w:t>
            </w:r>
          </w:p>
        </w:tc>
        <w:tc>
          <w:tcPr>
            <w:tcW w:w="1412" w:type="dxa"/>
            <w:vMerge w:val="continue"/>
            <w:tcBorders>
              <w:left w:val="single" w:color="000000" w:sz="8" w:space="0"/>
              <w:bottom w:val="single" w:color="000000" w:sz="8" w:space="0"/>
              <w:right w:val="single" w:color="000000" w:sz="8" w:space="0"/>
            </w:tcBorders>
            <w:shd w:val="clear" w:color="000000" w:fill="FFFFFF"/>
            <w:textDirection w:val="tbRlV"/>
            <w:vAlign w:val="center"/>
          </w:tcPr>
          <w:p>
            <w:pPr>
              <w:widowControl/>
              <w:jc w:val="center"/>
              <w:rPr>
                <w:rFonts w:ascii="宋体" w:hAnsi="宋体" w:cs="宋体"/>
                <w:color w:val="000000"/>
                <w:kern w:val="0"/>
              </w:rPr>
            </w:pPr>
          </w:p>
        </w:tc>
        <w:tc>
          <w:tcPr>
            <w:tcW w:w="1882"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市政设施调查成果横向和纵向汇交</w:t>
            </w:r>
          </w:p>
        </w:tc>
        <w:tc>
          <w:tcPr>
            <w:tcW w:w="3126"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向莲湖区普查办横向汇交市政设施调查成果/向市城管局纵向汇交市政设施调查成果。</w:t>
            </w:r>
          </w:p>
        </w:tc>
        <w:tc>
          <w:tcPr>
            <w:tcW w:w="1223"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项</w:t>
            </w:r>
          </w:p>
        </w:tc>
        <w:tc>
          <w:tcPr>
            <w:tcW w:w="934"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w:t>
            </w:r>
          </w:p>
        </w:tc>
      </w:tr>
    </w:tbl>
    <w:p>
      <w:pPr>
        <w:spacing w:line="360" w:lineRule="auto"/>
        <w:ind w:firstLine="480" w:firstLineChars="200"/>
      </w:pPr>
      <w:bookmarkStart w:id="349" w:name="_Toc76412997"/>
      <w:bookmarkStart w:id="350" w:name="_Toc75269085"/>
      <w:bookmarkStart w:id="351" w:name="_Toc190557581"/>
      <w:r>
        <w:rPr>
          <w:rFonts w:hint="eastAsia"/>
        </w:rPr>
        <w:t>1、市政设施调查</w:t>
      </w:r>
      <w:bookmarkEnd w:id="349"/>
      <w:bookmarkEnd w:id="350"/>
      <w:bookmarkEnd w:id="351"/>
    </w:p>
    <w:p>
      <w:pPr>
        <w:spacing w:line="360" w:lineRule="auto"/>
        <w:ind w:firstLine="480" w:firstLineChars="200"/>
      </w:pPr>
      <w:r>
        <w:rPr>
          <w:rFonts w:hint="eastAsia"/>
        </w:rPr>
        <w:t>市政设施调查依据国务院普查办统一印发的《市政设施承灾体普查技术导则》开展工作，充分利用相关部门掌握的信息及现场调查，获取市政道路、桥梁的地理位置、物理属性以及设防情况等信息。</w:t>
      </w:r>
    </w:p>
    <w:p>
      <w:pPr>
        <w:spacing w:line="360" w:lineRule="auto"/>
        <w:ind w:firstLine="480" w:firstLineChars="200"/>
      </w:pPr>
      <w:bookmarkStart w:id="352" w:name="_Toc75269089"/>
      <w:bookmarkStart w:id="353" w:name="_Toc76413001"/>
      <w:bookmarkStart w:id="354" w:name="_Toc1427353725"/>
      <w:r>
        <w:rPr>
          <w:rFonts w:hint="eastAsia"/>
        </w:rPr>
        <w:t>2、市政道路调查</w:t>
      </w:r>
      <w:bookmarkEnd w:id="352"/>
      <w:bookmarkEnd w:id="353"/>
      <w:bookmarkEnd w:id="354"/>
    </w:p>
    <w:p>
      <w:pPr>
        <w:spacing w:line="360" w:lineRule="auto"/>
        <w:ind w:firstLine="480" w:firstLineChars="200"/>
      </w:pPr>
      <w:r>
        <w:rPr>
          <w:rFonts w:hint="eastAsia"/>
        </w:rPr>
        <w:t>对于绝大多数的中小跨径桥梁，充分利用管养维护部门的桥梁资料卡，其工作基础中描述的相关数据属性，已十分详实，完全可以共享。</w:t>
      </w:r>
    </w:p>
    <w:p>
      <w:pPr>
        <w:spacing w:line="360" w:lineRule="auto"/>
        <w:ind w:firstLine="480" w:firstLineChars="200"/>
      </w:pPr>
      <w:r>
        <w:rPr>
          <w:rFonts w:hint="eastAsia"/>
        </w:rPr>
        <w:t>2.1市政道路设施信息</w:t>
      </w:r>
    </w:p>
    <w:p>
      <w:pPr>
        <w:spacing w:line="360" w:lineRule="auto"/>
        <w:ind w:firstLine="480" w:firstLineChars="200"/>
      </w:pPr>
      <w:r>
        <w:rPr>
          <w:rFonts w:hint="eastAsia"/>
        </w:rPr>
        <w:t>内容包括位置行政区划、沿线高架、立交、交叉口等设施，该部分内容通过填写附表后由软件自动生成。</w:t>
      </w:r>
    </w:p>
    <w:p>
      <w:pPr>
        <w:spacing w:line="360" w:lineRule="auto"/>
        <w:ind w:firstLine="480" w:firstLineChars="200"/>
      </w:pPr>
      <w:r>
        <w:rPr>
          <w:rFonts w:hint="eastAsia"/>
        </w:rPr>
        <w:t>2.2市政道路基本信息及安全信息</w:t>
      </w:r>
    </w:p>
    <w:p>
      <w:pPr>
        <w:spacing w:line="360" w:lineRule="auto"/>
        <w:ind w:firstLine="480" w:firstLineChars="200"/>
      </w:pPr>
      <w:r>
        <w:rPr>
          <w:rFonts w:hint="eastAsia"/>
        </w:rPr>
        <w:t>内容包括道路名称、道路起点/终点（第 N 段道路起点/终点）、道路等级、通车日期、工程投资、路幅形式、路面宽度、机动车道数、最窄机动车道宽度、最窄非机动车道宽度、最窄人行横道宽度、红线宽度、是否为城市救灾生命线、设计速度、建设单位、设计单位、管理单位、养护单位、设计阶段项目场地抗震设防烈度、区域地质构造及不良地质简述、最近一次大中修或改扩建时间。</w:t>
      </w:r>
    </w:p>
    <w:p>
      <w:pPr>
        <w:spacing w:line="360" w:lineRule="auto"/>
        <w:ind w:firstLine="480" w:firstLineChars="200"/>
      </w:pPr>
      <w:bookmarkStart w:id="355" w:name="_Toc2141719085"/>
      <w:bookmarkStart w:id="356" w:name="_Toc76413002"/>
      <w:bookmarkStart w:id="357" w:name="_Toc75269090"/>
      <w:r>
        <w:rPr>
          <w:rFonts w:hint="eastAsia"/>
        </w:rPr>
        <w:t>3、市政桥梁调查</w:t>
      </w:r>
      <w:bookmarkEnd w:id="355"/>
      <w:bookmarkEnd w:id="356"/>
      <w:bookmarkEnd w:id="357"/>
    </w:p>
    <w:p>
      <w:pPr>
        <w:spacing w:line="360" w:lineRule="auto"/>
        <w:ind w:firstLine="480" w:firstLineChars="200"/>
      </w:pPr>
      <w:r>
        <w:rPr>
          <w:rFonts w:hint="eastAsia"/>
        </w:rPr>
        <w:t>3.1桥梁基本信息</w:t>
      </w:r>
    </w:p>
    <w:p>
      <w:pPr>
        <w:spacing w:line="360" w:lineRule="auto"/>
        <w:ind w:firstLine="480" w:firstLineChars="200"/>
      </w:pPr>
      <w:r>
        <w:rPr>
          <w:rFonts w:hint="eastAsia"/>
        </w:rPr>
        <w:t>内容包括行政区域、管理单位、设计单位、桥梁名称、设计名称（曾用名）、起点所在道路（线路）名称、终点所在道路（线路）名称、所在道路（线路）等级、斜度、桥梁类别、建成日期、改建日期、养护类别、跨越类别、设计使用年限、抗震设防烈度、功能类型、设计洪水频率、工程投资、桥梁总长、桥梁总宽、桥面净宽、桥梁面积。</w:t>
      </w:r>
    </w:p>
    <w:p>
      <w:pPr>
        <w:spacing w:line="360" w:lineRule="auto"/>
        <w:ind w:firstLine="480" w:firstLineChars="200"/>
      </w:pPr>
      <w:r>
        <w:rPr>
          <w:rFonts w:hint="eastAsia"/>
        </w:rPr>
        <w:t>3.2桥梁附属及资料信息</w:t>
      </w:r>
    </w:p>
    <w:p>
      <w:pPr>
        <w:spacing w:line="360" w:lineRule="auto"/>
        <w:ind w:firstLine="480" w:firstLineChars="200"/>
      </w:pPr>
      <w:r>
        <w:rPr>
          <w:rFonts w:hint="eastAsia"/>
        </w:rPr>
        <w:t>内容包括附属设施、穿越情况及附挂管线、档案资料、桥梁检测类别、加固维修部位、技术状况等级。</w:t>
      </w:r>
    </w:p>
    <w:p>
      <w:pPr>
        <w:spacing w:line="360" w:lineRule="auto"/>
        <w:ind w:firstLine="480" w:firstLineChars="200"/>
      </w:pPr>
      <w:r>
        <w:rPr>
          <w:rFonts w:hint="eastAsia"/>
        </w:rPr>
        <w:t>3.3承灾体隐患情况</w:t>
      </w:r>
    </w:p>
    <w:p>
      <w:pPr>
        <w:spacing w:line="360" w:lineRule="auto"/>
        <w:ind w:firstLine="480" w:firstLineChars="200"/>
      </w:pPr>
      <w:r>
        <w:rPr>
          <w:rFonts w:hint="eastAsia"/>
        </w:rPr>
        <w:t>内容包括桥区不良地质、是否存在滑坡泥石流灾害、是否有过强风后损伤、是否存在冲刷或冰凌、是否有超限车辆通行情况、是否经过抗倾覆评价、是否存在车船物撞击风险、最严重的耐久性环境作用、桥梁单项控制指标、典型照片、典型照片。</w:t>
      </w:r>
    </w:p>
    <w:p>
      <w:pPr>
        <w:spacing w:line="360" w:lineRule="auto"/>
        <w:ind w:firstLine="480" w:firstLineChars="200"/>
      </w:pPr>
      <w:r>
        <w:rPr>
          <w:rFonts w:hint="eastAsia"/>
        </w:rPr>
        <w:t>五、服务要求</w:t>
      </w:r>
    </w:p>
    <w:p>
      <w:pPr>
        <w:spacing w:line="360" w:lineRule="auto"/>
        <w:ind w:firstLine="480" w:firstLineChars="200"/>
      </w:pPr>
      <w:r>
        <w:rPr>
          <w:rFonts w:hint="eastAsia"/>
        </w:rPr>
        <w:t>1、前期工作</w:t>
      </w:r>
    </w:p>
    <w:p>
      <w:pPr>
        <w:spacing w:line="360" w:lineRule="auto"/>
        <w:ind w:firstLine="480" w:firstLineChars="200"/>
      </w:pPr>
      <w:r>
        <w:rPr>
          <w:rFonts w:hint="eastAsia"/>
        </w:rPr>
        <w:t>（1）实施方案的编制：编写《莲湖区第一次自然灾害综合风险普查市政道路和市政桥梁调查实施方案》。</w:t>
      </w:r>
    </w:p>
    <w:p>
      <w:pPr>
        <w:spacing w:line="360" w:lineRule="auto"/>
        <w:ind w:firstLine="480" w:firstLineChars="200"/>
      </w:pPr>
      <w:r>
        <w:rPr>
          <w:rFonts w:hint="eastAsia"/>
        </w:rPr>
        <w:t>（2）组织会议和培训：组织召开调查工作会议及人员培训。</w:t>
      </w:r>
    </w:p>
    <w:p>
      <w:pPr>
        <w:spacing w:line="360" w:lineRule="auto"/>
        <w:ind w:firstLine="480" w:firstLineChars="200"/>
      </w:pPr>
      <w:r>
        <w:rPr>
          <w:rFonts w:hint="eastAsia"/>
        </w:rPr>
        <w:t>2、调查工作</w:t>
      </w:r>
    </w:p>
    <w:p>
      <w:pPr>
        <w:spacing w:line="360" w:lineRule="auto"/>
        <w:ind w:firstLine="480" w:firstLineChars="200"/>
      </w:pPr>
      <w:r>
        <w:rPr>
          <w:rFonts w:hint="eastAsia"/>
        </w:rPr>
        <w:t>（1）市政设施调查：对我区符合调查要求的市政道路和市政桥梁组织调查工作。</w:t>
      </w:r>
    </w:p>
    <w:p>
      <w:pPr>
        <w:spacing w:line="360" w:lineRule="auto"/>
        <w:ind w:firstLine="480" w:firstLineChars="200"/>
      </w:pPr>
      <w:r>
        <w:rPr>
          <w:rFonts w:hint="eastAsia"/>
        </w:rPr>
        <w:t>（2）调查成果形成：编制区级工作报告：主要内容包括工作开展情况审查；调查数据质检报告撰写；工作报告撰写。</w:t>
      </w:r>
    </w:p>
    <w:p>
      <w:pPr>
        <w:spacing w:line="360" w:lineRule="auto"/>
        <w:ind w:firstLine="480" w:firstLineChars="200"/>
      </w:pPr>
      <w:r>
        <w:rPr>
          <w:rFonts w:hint="eastAsia"/>
        </w:rPr>
        <w:t>（3）调查成果汇交：按照汇交要求将调查成果数据和工作报告横向和纵向汇交。</w:t>
      </w:r>
    </w:p>
    <w:p>
      <w:pPr>
        <w:spacing w:line="360" w:lineRule="auto"/>
        <w:ind w:firstLine="480" w:firstLineChars="200"/>
      </w:pPr>
      <w:r>
        <w:rPr>
          <w:rFonts w:hint="eastAsia"/>
        </w:rPr>
        <w:t>六、商务要求</w:t>
      </w:r>
    </w:p>
    <w:p>
      <w:pPr>
        <w:spacing w:line="360" w:lineRule="auto"/>
        <w:ind w:firstLine="480" w:firstLineChars="200"/>
      </w:pPr>
      <w:r>
        <w:rPr>
          <w:rFonts w:hint="eastAsia"/>
        </w:rPr>
        <w:t xml:space="preserve">1、服务期限：自合同签订之日起1个月内完成。     </w:t>
      </w:r>
    </w:p>
    <w:p>
      <w:pPr>
        <w:spacing w:line="360" w:lineRule="auto"/>
        <w:ind w:firstLine="480" w:firstLineChars="200"/>
        <w:rPr>
          <w:lang w:val="zh-CN"/>
        </w:rPr>
      </w:pPr>
      <w:r>
        <w:rPr>
          <w:rFonts w:hint="eastAsia"/>
        </w:rPr>
        <w:t>2、款项结算</w:t>
      </w:r>
    </w:p>
    <w:p>
      <w:pPr>
        <w:spacing w:line="360" w:lineRule="auto"/>
        <w:ind w:firstLine="480" w:firstLineChars="200"/>
        <w:rPr>
          <w:lang w:val="zh-CN"/>
        </w:rPr>
      </w:pPr>
      <w:r>
        <w:rPr>
          <w:rFonts w:hint="eastAsia"/>
          <w:lang w:val="zh-CN"/>
        </w:rPr>
        <w:t>（1）本合同无预付款；</w:t>
      </w:r>
    </w:p>
    <w:p>
      <w:pPr>
        <w:spacing w:line="360" w:lineRule="auto"/>
        <w:ind w:firstLine="480" w:firstLineChars="200"/>
        <w:rPr>
          <w:lang w:val="zh-CN"/>
        </w:rPr>
      </w:pPr>
      <w:r>
        <w:rPr>
          <w:rFonts w:hint="eastAsia"/>
          <w:lang w:val="zh-CN"/>
        </w:rPr>
        <w:t>（2）</w:t>
      </w:r>
      <w:r>
        <w:rPr>
          <w:rFonts w:hint="eastAsia"/>
        </w:rPr>
        <w:t>调查成果汇交无问题</w:t>
      </w:r>
      <w:r>
        <w:rPr>
          <w:rFonts w:hint="eastAsia"/>
          <w:lang w:val="zh-CN"/>
        </w:rPr>
        <w:t>后15个工作日内支付至合同总价款的</w:t>
      </w:r>
      <w:r>
        <w:rPr>
          <w:rFonts w:hint="eastAsia"/>
        </w:rPr>
        <w:t>85</w:t>
      </w:r>
      <w:r>
        <w:rPr>
          <w:rFonts w:hint="eastAsia"/>
          <w:lang w:val="zh-CN"/>
        </w:rPr>
        <w:t>%；</w:t>
      </w:r>
    </w:p>
    <w:p>
      <w:pPr>
        <w:spacing w:line="360" w:lineRule="auto"/>
        <w:ind w:firstLine="480" w:firstLineChars="200"/>
        <w:rPr>
          <w:lang w:val="zh-CN"/>
        </w:rPr>
      </w:pPr>
      <w:r>
        <w:rPr>
          <w:rFonts w:hint="eastAsia"/>
          <w:lang w:val="zh-CN"/>
        </w:rPr>
        <w:t>（3）通过评审合格、资料移交后15个工作日内支付至合同总价款的97%价款，留合同总价款3%的质保金，在项目验收合格一年后7个工作日内支付。</w:t>
      </w:r>
    </w:p>
    <w:p>
      <w:pPr>
        <w:spacing w:line="360" w:lineRule="auto"/>
        <w:rPr>
          <w:lang w:val="zh-CN"/>
        </w:rPr>
      </w:pPr>
    </w:p>
    <w:p>
      <w:pPr>
        <w:spacing w:line="360" w:lineRule="auto"/>
      </w:pPr>
      <w:bookmarkStart w:id="358" w:name="_Toc48655756"/>
    </w:p>
    <w:p>
      <w:pPr>
        <w:pStyle w:val="9"/>
        <w:spacing w:line="360" w:lineRule="auto"/>
        <w:ind w:firstLine="2570" w:firstLineChars="800"/>
        <w:rPr>
          <w:rStyle w:val="98"/>
        </w:rPr>
      </w:pPr>
    </w:p>
    <w:p>
      <w:pPr>
        <w:pStyle w:val="9"/>
        <w:spacing w:line="360" w:lineRule="auto"/>
        <w:ind w:firstLine="2570" w:firstLineChars="800"/>
        <w:rPr>
          <w:rStyle w:val="98"/>
        </w:rPr>
      </w:pPr>
    </w:p>
    <w:p>
      <w:pPr>
        <w:pStyle w:val="9"/>
        <w:spacing w:line="360" w:lineRule="auto"/>
        <w:ind w:firstLine="2570" w:firstLineChars="800"/>
        <w:rPr>
          <w:rStyle w:val="98"/>
        </w:rPr>
      </w:pPr>
    </w:p>
    <w:p>
      <w:pPr>
        <w:pStyle w:val="9"/>
        <w:spacing w:line="360" w:lineRule="auto"/>
        <w:ind w:firstLine="0" w:firstLineChars="0"/>
        <w:rPr>
          <w:rStyle w:val="98"/>
        </w:rPr>
      </w:pPr>
    </w:p>
    <w:p>
      <w:pPr>
        <w:pStyle w:val="9"/>
        <w:spacing w:line="360" w:lineRule="auto"/>
        <w:ind w:firstLine="2891" w:firstLineChars="900"/>
        <w:outlineLvl w:val="0"/>
        <w:rPr>
          <w:rStyle w:val="98"/>
        </w:rPr>
      </w:pPr>
      <w:bookmarkStart w:id="359" w:name="_Toc89440032"/>
    </w:p>
    <w:p>
      <w:pPr>
        <w:pStyle w:val="9"/>
        <w:spacing w:line="360" w:lineRule="auto"/>
        <w:ind w:firstLine="2891" w:firstLineChars="900"/>
        <w:outlineLvl w:val="0"/>
        <w:rPr>
          <w:rStyle w:val="98"/>
        </w:rPr>
      </w:pPr>
    </w:p>
    <w:p>
      <w:pPr>
        <w:pStyle w:val="9"/>
        <w:spacing w:line="360" w:lineRule="auto"/>
        <w:ind w:firstLine="2891" w:firstLineChars="900"/>
        <w:outlineLvl w:val="0"/>
        <w:rPr>
          <w:rStyle w:val="98"/>
        </w:rPr>
      </w:pPr>
    </w:p>
    <w:p>
      <w:pPr>
        <w:pStyle w:val="9"/>
        <w:spacing w:line="360" w:lineRule="auto"/>
        <w:ind w:firstLine="2891" w:firstLineChars="900"/>
        <w:outlineLvl w:val="0"/>
        <w:rPr>
          <w:rStyle w:val="98"/>
        </w:rPr>
      </w:pPr>
    </w:p>
    <w:p>
      <w:pPr>
        <w:pStyle w:val="9"/>
        <w:spacing w:line="360" w:lineRule="auto"/>
        <w:ind w:firstLine="2891" w:firstLineChars="900"/>
        <w:outlineLvl w:val="0"/>
        <w:rPr>
          <w:rStyle w:val="98"/>
        </w:rPr>
      </w:pPr>
    </w:p>
    <w:p>
      <w:pPr>
        <w:pStyle w:val="9"/>
        <w:spacing w:line="360" w:lineRule="auto"/>
        <w:ind w:firstLine="2891" w:firstLineChars="900"/>
        <w:outlineLvl w:val="0"/>
        <w:rPr>
          <w:rStyle w:val="98"/>
        </w:rPr>
      </w:pPr>
    </w:p>
    <w:p>
      <w:pPr>
        <w:pStyle w:val="9"/>
        <w:spacing w:line="360" w:lineRule="auto"/>
        <w:ind w:firstLine="2891" w:firstLineChars="900"/>
        <w:outlineLvl w:val="0"/>
        <w:rPr>
          <w:rStyle w:val="98"/>
        </w:rPr>
      </w:pPr>
      <w:r>
        <w:rPr>
          <w:rStyle w:val="98"/>
          <w:rFonts w:hint="eastAsia"/>
        </w:rPr>
        <w:t>第</w:t>
      </w:r>
      <w:bookmarkEnd w:id="342"/>
      <w:bookmarkEnd w:id="343"/>
      <w:bookmarkEnd w:id="344"/>
      <w:bookmarkEnd w:id="345"/>
      <w:bookmarkEnd w:id="346"/>
      <w:bookmarkEnd w:id="347"/>
      <w:bookmarkEnd w:id="348"/>
      <w:r>
        <w:rPr>
          <w:rStyle w:val="98"/>
          <w:rFonts w:hint="eastAsia"/>
        </w:rPr>
        <w:t>六章 评审方法及标准</w:t>
      </w:r>
      <w:bookmarkEnd w:id="358"/>
      <w:bookmarkEnd w:id="359"/>
    </w:p>
    <w:p/>
    <w:p>
      <w:pPr>
        <w:pStyle w:val="4"/>
        <w:tabs>
          <w:tab w:val="left" w:pos="576"/>
        </w:tabs>
        <w:spacing w:before="0" w:after="0" w:line="360" w:lineRule="auto"/>
        <w:jc w:val="left"/>
        <w:rPr>
          <w:rFonts w:ascii="宋体" w:hAnsi="宋体" w:cs="宋体"/>
          <w:iCs/>
          <w:szCs w:val="24"/>
        </w:rPr>
      </w:pPr>
      <w:bookmarkStart w:id="360" w:name="_Toc89440033"/>
      <w:bookmarkStart w:id="361" w:name="_Toc48655757"/>
      <w:bookmarkStart w:id="362" w:name="_Toc21170"/>
      <w:bookmarkStart w:id="363" w:name="_Toc28369"/>
      <w:bookmarkStart w:id="364" w:name="_Toc484353364"/>
      <w:bookmarkStart w:id="365" w:name="_Toc16523"/>
      <w:bookmarkStart w:id="366" w:name="_Toc17325"/>
      <w:bookmarkStart w:id="367" w:name="_Toc483349429"/>
      <w:bookmarkStart w:id="368" w:name="_Toc13769"/>
      <w:r>
        <w:rPr>
          <w:rFonts w:hint="eastAsia" w:ascii="宋体" w:hAnsi="宋体" w:cs="宋体"/>
          <w:iCs/>
          <w:szCs w:val="24"/>
        </w:rPr>
        <w:t>一、评审程序</w:t>
      </w:r>
      <w:bookmarkEnd w:id="360"/>
      <w:bookmarkEnd w:id="361"/>
    </w:p>
    <w:p>
      <w:pPr>
        <w:rPr>
          <w:rFonts w:ascii="宋体" w:hAnsi="宋体" w:cs="宋体"/>
          <w:b/>
          <w:szCs w:val="24"/>
        </w:rPr>
      </w:pPr>
      <w:r>
        <w:rPr>
          <w:rFonts w:hint="eastAsia" w:ascii="宋体" w:hAnsi="宋体" w:cs="宋体"/>
          <w:b/>
          <w:szCs w:val="24"/>
        </w:rPr>
        <w:t>1.1评标按照下列程序进行：</w:t>
      </w:r>
    </w:p>
    <w:p>
      <w:pPr>
        <w:spacing w:line="360" w:lineRule="auto"/>
        <w:ind w:firstLine="495"/>
        <w:rPr>
          <w:rFonts w:ascii="宋体" w:hAnsi="宋体" w:cs="宋体"/>
          <w:szCs w:val="24"/>
        </w:rPr>
      </w:pPr>
      <w:r>
        <w:rPr>
          <w:rFonts w:hint="eastAsia" w:ascii="宋体" w:hAnsi="宋体" w:cs="宋体"/>
          <w:szCs w:val="24"/>
        </w:rPr>
        <w:t>1.1.1响应文件资格性审查；</w:t>
      </w:r>
    </w:p>
    <w:p>
      <w:pPr>
        <w:spacing w:line="360" w:lineRule="auto"/>
        <w:ind w:firstLine="495"/>
        <w:rPr>
          <w:rFonts w:ascii="宋体" w:hAnsi="宋体" w:cs="宋体"/>
          <w:szCs w:val="24"/>
        </w:rPr>
      </w:pPr>
      <w:r>
        <w:rPr>
          <w:rFonts w:hint="eastAsia" w:ascii="宋体" w:hAnsi="宋体" w:cs="宋体"/>
          <w:szCs w:val="24"/>
        </w:rPr>
        <w:t>1.1.2响应文件符合性审查；</w:t>
      </w:r>
    </w:p>
    <w:p>
      <w:pPr>
        <w:spacing w:line="360" w:lineRule="auto"/>
        <w:ind w:firstLine="495"/>
        <w:rPr>
          <w:rFonts w:ascii="宋体" w:hAnsi="宋体" w:cs="宋体"/>
          <w:szCs w:val="24"/>
        </w:rPr>
      </w:pPr>
      <w:r>
        <w:rPr>
          <w:rFonts w:hint="eastAsia" w:ascii="宋体" w:hAnsi="宋体" w:cs="宋体"/>
          <w:szCs w:val="24"/>
        </w:rPr>
        <w:t>1.1.3响应文件澄清或说明；</w:t>
      </w:r>
    </w:p>
    <w:p>
      <w:pPr>
        <w:spacing w:line="360" w:lineRule="auto"/>
        <w:ind w:firstLine="495"/>
        <w:rPr>
          <w:rFonts w:ascii="宋体" w:hAnsi="宋体" w:cs="宋体"/>
          <w:szCs w:val="24"/>
        </w:rPr>
      </w:pPr>
      <w:r>
        <w:rPr>
          <w:rFonts w:hint="eastAsia" w:ascii="宋体" w:hAnsi="宋体" w:cs="宋体"/>
          <w:szCs w:val="24"/>
        </w:rPr>
        <w:t>1.1.4响应文件比较与评价；</w:t>
      </w:r>
    </w:p>
    <w:p>
      <w:pPr>
        <w:spacing w:line="360" w:lineRule="auto"/>
        <w:ind w:firstLine="495"/>
        <w:rPr>
          <w:rFonts w:ascii="宋体" w:hAnsi="宋体" w:cs="宋体"/>
          <w:szCs w:val="24"/>
        </w:rPr>
      </w:pPr>
      <w:r>
        <w:rPr>
          <w:rFonts w:hint="eastAsia" w:ascii="宋体" w:hAnsi="宋体" w:cs="宋体"/>
          <w:szCs w:val="24"/>
        </w:rPr>
        <w:t>1.1.5按要求提交二次报价；</w:t>
      </w:r>
    </w:p>
    <w:p>
      <w:pPr>
        <w:spacing w:line="360" w:lineRule="auto"/>
        <w:ind w:firstLine="495"/>
        <w:rPr>
          <w:rFonts w:ascii="宋体" w:hAnsi="宋体" w:cs="宋体"/>
          <w:szCs w:val="24"/>
        </w:rPr>
      </w:pPr>
      <w:r>
        <w:rPr>
          <w:rFonts w:hint="eastAsia" w:ascii="宋体" w:hAnsi="宋体" w:cs="宋体"/>
          <w:szCs w:val="24"/>
        </w:rPr>
        <w:t>1.1.6复核与核对评标结果；</w:t>
      </w:r>
    </w:p>
    <w:p>
      <w:pPr>
        <w:spacing w:line="360" w:lineRule="auto"/>
        <w:ind w:firstLine="495"/>
        <w:rPr>
          <w:rFonts w:ascii="宋体" w:hAnsi="宋体" w:cs="宋体"/>
          <w:szCs w:val="24"/>
        </w:rPr>
      </w:pPr>
      <w:r>
        <w:rPr>
          <w:rFonts w:hint="eastAsia" w:ascii="宋体" w:hAnsi="宋体" w:cs="宋体"/>
          <w:szCs w:val="24"/>
        </w:rPr>
        <w:t>1.1.7确定成交候选人名单；</w:t>
      </w:r>
    </w:p>
    <w:p>
      <w:pPr>
        <w:spacing w:line="360" w:lineRule="auto"/>
        <w:ind w:firstLine="495"/>
        <w:rPr>
          <w:rFonts w:ascii="宋体" w:hAnsi="宋体" w:cs="宋体"/>
          <w:szCs w:val="24"/>
        </w:rPr>
      </w:pPr>
      <w:r>
        <w:rPr>
          <w:rFonts w:hint="eastAsia" w:ascii="宋体" w:hAnsi="宋体" w:cs="宋体"/>
          <w:szCs w:val="24"/>
        </w:rPr>
        <w:t>1.1.8编写评标报告。</w:t>
      </w:r>
    </w:p>
    <w:p>
      <w:pPr>
        <w:tabs>
          <w:tab w:val="left" w:pos="0"/>
        </w:tabs>
        <w:adjustRightInd w:val="0"/>
        <w:snapToGrid w:val="0"/>
        <w:spacing w:line="360" w:lineRule="auto"/>
        <w:jc w:val="left"/>
        <w:rPr>
          <w:rFonts w:ascii="宋体" w:hAnsi="宋体" w:cs="宋体"/>
          <w:kern w:val="0"/>
          <w:szCs w:val="24"/>
        </w:rPr>
      </w:pPr>
      <w:r>
        <w:rPr>
          <w:rFonts w:hint="eastAsia" w:ascii="宋体" w:hAnsi="宋体" w:cs="宋体"/>
          <w:b/>
          <w:szCs w:val="24"/>
        </w:rPr>
        <w:t>1.2响应文件的资格性审查</w:t>
      </w:r>
      <w:r>
        <w:rPr>
          <w:rFonts w:hint="eastAsia" w:ascii="宋体" w:hAnsi="宋体" w:cs="宋体"/>
          <w:szCs w:val="24"/>
        </w:rPr>
        <w:t>：磋商小组对响应供应商资格证明文件审查时，缺少其中一项或某项达不到磋商文件要求，均视为资格性审查不合格。如果认为响应供应商的资格证明文件复印件存在疑点，可以要求其现场提供原件进行核查。两者出现不同或在规定的时间内未能及时提供原件，均视为资格性审查不合格。</w:t>
      </w:r>
    </w:p>
    <w:p>
      <w:pPr>
        <w:tabs>
          <w:tab w:val="left" w:pos="0"/>
        </w:tabs>
        <w:adjustRightInd w:val="0"/>
        <w:snapToGrid w:val="0"/>
        <w:spacing w:line="360" w:lineRule="auto"/>
        <w:ind w:firstLine="480" w:firstLineChars="200"/>
        <w:jc w:val="left"/>
        <w:rPr>
          <w:rFonts w:ascii="宋体" w:hAnsi="宋体" w:cs="宋体"/>
          <w:kern w:val="0"/>
          <w:szCs w:val="24"/>
        </w:rPr>
      </w:pPr>
      <w:r>
        <w:rPr>
          <w:rFonts w:hint="eastAsia" w:ascii="宋体" w:hAnsi="宋体" w:cs="宋体"/>
          <w:kern w:val="0"/>
          <w:szCs w:val="24"/>
        </w:rPr>
        <w:t>根据</w:t>
      </w:r>
      <w:r>
        <w:rPr>
          <w:rFonts w:hint="eastAsia" w:ascii="宋体" w:hAnsi="宋体" w:cs="宋体"/>
          <w:szCs w:val="24"/>
        </w:rPr>
        <w:t>《中华人民共和国政府采购法》第二十二条规定，</w:t>
      </w:r>
      <w:r>
        <w:rPr>
          <w:rFonts w:hint="eastAsia" w:ascii="宋体" w:hAnsi="宋体" w:cs="宋体"/>
          <w:kern w:val="0"/>
          <w:szCs w:val="24"/>
        </w:rPr>
        <w:t>结合下表所列举的审查标准对响应人资格条件进行</w:t>
      </w:r>
      <w:r>
        <w:rPr>
          <w:rFonts w:hint="eastAsia" w:ascii="宋体" w:hAnsi="宋体" w:cs="宋体"/>
          <w:bCs/>
          <w:szCs w:val="24"/>
        </w:rPr>
        <w:t>审查，响应人若</w:t>
      </w:r>
      <w:r>
        <w:rPr>
          <w:rFonts w:hint="eastAsia" w:ascii="宋体" w:hAnsi="宋体" w:cs="宋体"/>
          <w:kern w:val="0"/>
          <w:szCs w:val="24"/>
        </w:rPr>
        <w:t>有一项不合格，即判定其资格条件审查为不合格，将不具备响应资格，按无效响应处理。</w:t>
      </w:r>
    </w:p>
    <w:p>
      <w:pPr>
        <w:overflowPunct w:val="0"/>
        <w:adjustRightInd w:val="0"/>
        <w:snapToGrid w:val="0"/>
        <w:spacing w:line="360" w:lineRule="auto"/>
        <w:ind w:firstLine="480" w:firstLineChars="200"/>
        <w:rPr>
          <w:rFonts w:ascii="宋体" w:hAnsi="宋体" w:cs="宋体"/>
          <w:szCs w:val="24"/>
        </w:rPr>
      </w:pPr>
    </w:p>
    <w:tbl>
      <w:tblPr>
        <w:tblStyle w:val="35"/>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9"/>
        <w:gridCol w:w="5017"/>
        <w:gridCol w:w="1560"/>
        <w:gridCol w:w="1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89" w:type="dxa"/>
            <w:vAlign w:val="center"/>
          </w:tcPr>
          <w:p>
            <w:pPr>
              <w:spacing w:line="360" w:lineRule="auto"/>
              <w:rPr>
                <w:rFonts w:ascii="宋体" w:hAnsi="宋体" w:cs="宋体"/>
                <w:sz w:val="21"/>
              </w:rPr>
            </w:pPr>
            <w:r>
              <w:rPr>
                <w:rFonts w:hint="eastAsia" w:ascii="宋体" w:hAnsi="宋体" w:cs="宋体"/>
                <w:sz w:val="21"/>
              </w:rPr>
              <w:t>序号</w:t>
            </w:r>
          </w:p>
        </w:tc>
        <w:tc>
          <w:tcPr>
            <w:tcW w:w="5017" w:type="dxa"/>
            <w:vAlign w:val="center"/>
          </w:tcPr>
          <w:p>
            <w:pPr>
              <w:spacing w:line="360" w:lineRule="auto"/>
              <w:ind w:firstLine="420" w:firstLineChars="200"/>
              <w:jc w:val="center"/>
              <w:rPr>
                <w:rFonts w:ascii="宋体" w:hAnsi="宋体" w:cs="宋体"/>
                <w:sz w:val="21"/>
              </w:rPr>
            </w:pPr>
            <w:r>
              <w:rPr>
                <w:rFonts w:hint="eastAsia" w:ascii="宋体" w:hAnsi="宋体" w:cs="宋体"/>
                <w:sz w:val="21"/>
              </w:rPr>
              <w:t>审查因素</w:t>
            </w:r>
          </w:p>
        </w:tc>
        <w:tc>
          <w:tcPr>
            <w:tcW w:w="1560" w:type="dxa"/>
            <w:vAlign w:val="center"/>
          </w:tcPr>
          <w:p>
            <w:pPr>
              <w:spacing w:line="360" w:lineRule="auto"/>
              <w:ind w:firstLine="210" w:firstLineChars="100"/>
              <w:rPr>
                <w:rFonts w:ascii="宋体" w:hAnsi="宋体" w:cs="宋体"/>
                <w:sz w:val="21"/>
              </w:rPr>
            </w:pPr>
            <w:r>
              <w:rPr>
                <w:rFonts w:hint="eastAsia" w:ascii="宋体" w:hAnsi="宋体" w:cs="宋体"/>
                <w:sz w:val="21"/>
              </w:rPr>
              <w:t>审查标准</w:t>
            </w:r>
          </w:p>
        </w:tc>
        <w:tc>
          <w:tcPr>
            <w:tcW w:w="1696" w:type="dxa"/>
            <w:vAlign w:val="center"/>
          </w:tcPr>
          <w:p>
            <w:pPr>
              <w:spacing w:line="360" w:lineRule="auto"/>
              <w:ind w:firstLine="420" w:firstLineChars="200"/>
              <w:rPr>
                <w:rFonts w:ascii="宋体" w:hAnsi="宋体" w:cs="宋体"/>
                <w:sz w:val="21"/>
              </w:rPr>
            </w:pPr>
            <w:r>
              <w:rPr>
                <w:rFonts w:hint="eastAsia" w:ascii="宋体" w:hAnsi="宋体" w:cs="宋体"/>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9" w:type="dxa"/>
            <w:vAlign w:val="center"/>
          </w:tcPr>
          <w:p>
            <w:pPr>
              <w:spacing w:line="360" w:lineRule="auto"/>
              <w:jc w:val="center"/>
              <w:rPr>
                <w:rFonts w:ascii="宋体" w:hAnsi="宋体" w:cs="宋体"/>
                <w:sz w:val="21"/>
              </w:rPr>
            </w:pPr>
            <w:r>
              <w:rPr>
                <w:rFonts w:hint="eastAsia" w:ascii="宋体" w:hAnsi="宋体" w:cs="宋体"/>
                <w:sz w:val="21"/>
              </w:rPr>
              <w:t>1</w:t>
            </w:r>
          </w:p>
        </w:tc>
        <w:tc>
          <w:tcPr>
            <w:tcW w:w="5017" w:type="dxa"/>
            <w:vAlign w:val="center"/>
          </w:tcPr>
          <w:p>
            <w:pPr>
              <w:pStyle w:val="31"/>
              <w:spacing w:before="0" w:beforeAutospacing="0" w:after="0" w:afterAutospacing="0" w:line="360" w:lineRule="auto"/>
              <w:rPr>
                <w:sz w:val="21"/>
                <w:szCs w:val="21"/>
                <w:lang w:val="zh-CN"/>
              </w:rPr>
            </w:pPr>
            <w:r>
              <w:rPr>
                <w:rFonts w:hint="eastAsia"/>
                <w:sz w:val="21"/>
                <w:szCs w:val="21"/>
                <w:lang w:val="zh-CN"/>
              </w:rPr>
              <w:t>响应供应商需提供合法有效的统一社会信用代码营业执照（事业单位提供事业单位法人证书，自然人应提供身份证）。</w:t>
            </w:r>
          </w:p>
        </w:tc>
        <w:tc>
          <w:tcPr>
            <w:tcW w:w="1560" w:type="dxa"/>
            <w:vAlign w:val="center"/>
          </w:tcPr>
          <w:p>
            <w:pPr>
              <w:spacing w:line="360" w:lineRule="auto"/>
              <w:jc w:val="center"/>
              <w:rPr>
                <w:rFonts w:ascii="宋体" w:hAnsi="宋体" w:cs="宋体"/>
                <w:sz w:val="21"/>
              </w:rPr>
            </w:pPr>
            <w:r>
              <w:rPr>
                <w:rFonts w:hint="eastAsia" w:ascii="宋体" w:hAnsi="宋体" w:cs="宋体"/>
                <w:sz w:val="21"/>
              </w:rPr>
              <w:t>合法有效</w:t>
            </w:r>
          </w:p>
        </w:tc>
        <w:tc>
          <w:tcPr>
            <w:tcW w:w="1696" w:type="dxa"/>
            <w:vAlign w:val="center"/>
          </w:tcPr>
          <w:p>
            <w:pPr>
              <w:spacing w:line="360" w:lineRule="auto"/>
              <w:jc w:val="center"/>
              <w:rPr>
                <w:rFonts w:ascii="宋体" w:hAnsi="宋体" w:cs="宋体"/>
                <w:sz w:val="21"/>
              </w:rPr>
            </w:pPr>
            <w:r>
              <w:rPr>
                <w:rFonts w:hint="eastAsia" w:ascii="宋体" w:hAnsi="宋体" w:cs="宋体"/>
                <w:sz w:val="21"/>
              </w:rPr>
              <w:t>加盖单位红色公章的复印件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89" w:type="dxa"/>
            <w:vAlign w:val="center"/>
          </w:tcPr>
          <w:p>
            <w:pPr>
              <w:spacing w:line="360" w:lineRule="auto"/>
              <w:jc w:val="center"/>
              <w:rPr>
                <w:rFonts w:ascii="宋体" w:hAnsi="宋体" w:cs="宋体"/>
                <w:sz w:val="21"/>
              </w:rPr>
            </w:pPr>
            <w:r>
              <w:rPr>
                <w:rFonts w:hint="eastAsia" w:ascii="宋体" w:hAnsi="宋体" w:cs="宋体"/>
                <w:sz w:val="21"/>
              </w:rPr>
              <w:t>2</w:t>
            </w:r>
          </w:p>
        </w:tc>
        <w:tc>
          <w:tcPr>
            <w:tcW w:w="5017" w:type="dxa"/>
            <w:vAlign w:val="center"/>
          </w:tcPr>
          <w:p>
            <w:pPr>
              <w:pStyle w:val="31"/>
              <w:numPr>
                <w:ilvl w:val="0"/>
                <w:numId w:val="0"/>
              </w:numPr>
              <w:spacing w:before="0" w:beforeAutospacing="0" w:after="0" w:afterAutospacing="0" w:line="360" w:lineRule="auto"/>
              <w:rPr>
                <w:sz w:val="21"/>
                <w:szCs w:val="21"/>
                <w:lang w:val="zh-CN"/>
              </w:rPr>
            </w:pPr>
            <w:r>
              <w:rPr>
                <w:rFonts w:hint="eastAsia"/>
                <w:sz w:val="21"/>
                <w:szCs w:val="21"/>
                <w:lang w:val="zh-CN"/>
              </w:rPr>
              <w:t>（</w:t>
            </w:r>
            <w:r>
              <w:rPr>
                <w:rFonts w:hint="eastAsia"/>
                <w:sz w:val="21"/>
                <w:szCs w:val="21"/>
                <w:lang w:val="en-US" w:eastAsia="zh-CN"/>
              </w:rPr>
              <w:t>1</w:t>
            </w:r>
            <w:r>
              <w:rPr>
                <w:rFonts w:hint="eastAsia"/>
                <w:sz w:val="21"/>
                <w:szCs w:val="21"/>
                <w:lang w:val="zh-CN"/>
              </w:rPr>
              <w:t>）法定代表人参加投标的，须提供本人身份证加盖公章的复印件。</w:t>
            </w:r>
          </w:p>
          <w:p>
            <w:pPr>
              <w:pStyle w:val="31"/>
              <w:spacing w:before="0" w:beforeAutospacing="0" w:after="0" w:afterAutospacing="0" w:line="360" w:lineRule="auto"/>
              <w:rPr>
                <w:sz w:val="21"/>
                <w:szCs w:val="21"/>
                <w:lang w:val="zh-CN"/>
              </w:rPr>
            </w:pPr>
            <w:r>
              <w:rPr>
                <w:rFonts w:hint="eastAsia"/>
                <w:sz w:val="21"/>
                <w:szCs w:val="21"/>
                <w:lang w:val="zh-CN"/>
              </w:rPr>
              <w:t>（</w:t>
            </w:r>
            <w:r>
              <w:rPr>
                <w:rFonts w:hint="eastAsia"/>
                <w:sz w:val="21"/>
                <w:szCs w:val="21"/>
              </w:rPr>
              <w:t>2</w:t>
            </w:r>
            <w:r>
              <w:rPr>
                <w:rFonts w:hint="eastAsia"/>
                <w:sz w:val="21"/>
                <w:szCs w:val="21"/>
                <w:lang w:val="zh-CN"/>
              </w:rPr>
              <w:t>）法定代表人授权他人参加投标的</w:t>
            </w:r>
            <w:bookmarkStart w:id="397" w:name="_GoBack"/>
            <w:bookmarkEnd w:id="397"/>
            <w:r>
              <w:rPr>
                <w:rFonts w:hint="eastAsia"/>
                <w:sz w:val="21"/>
                <w:szCs w:val="21"/>
                <w:lang w:val="zh-CN"/>
              </w:rPr>
              <w:t>，须提供法定代表人授权委托书及被授权代表的身份证复印件。（非法人单位的负责人参照法定代表人提供相关资料）。</w:t>
            </w:r>
          </w:p>
        </w:tc>
        <w:tc>
          <w:tcPr>
            <w:tcW w:w="1560" w:type="dxa"/>
            <w:vAlign w:val="center"/>
          </w:tcPr>
          <w:p>
            <w:pPr>
              <w:spacing w:line="360" w:lineRule="auto"/>
              <w:jc w:val="center"/>
              <w:rPr>
                <w:rFonts w:ascii="宋体" w:hAnsi="宋体" w:cs="宋体"/>
                <w:sz w:val="21"/>
              </w:rPr>
            </w:pPr>
            <w:r>
              <w:rPr>
                <w:rFonts w:hint="eastAsia" w:ascii="宋体" w:hAnsi="宋体" w:cs="宋体"/>
                <w:sz w:val="21"/>
              </w:rPr>
              <w:t>合法有效，</w:t>
            </w:r>
          </w:p>
          <w:p>
            <w:pPr>
              <w:spacing w:line="360" w:lineRule="auto"/>
              <w:jc w:val="center"/>
              <w:rPr>
                <w:rFonts w:ascii="宋体" w:hAnsi="宋体" w:cs="宋体"/>
                <w:sz w:val="21"/>
              </w:rPr>
            </w:pPr>
            <w:r>
              <w:rPr>
                <w:rFonts w:hint="eastAsia" w:ascii="宋体" w:hAnsi="宋体" w:cs="宋体"/>
                <w:sz w:val="21"/>
              </w:rPr>
              <w:t>按招标文</w:t>
            </w:r>
          </w:p>
          <w:p>
            <w:pPr>
              <w:spacing w:line="360" w:lineRule="auto"/>
              <w:jc w:val="center"/>
              <w:rPr>
                <w:rFonts w:ascii="宋体" w:hAnsi="宋体" w:cs="宋体"/>
                <w:sz w:val="21"/>
              </w:rPr>
            </w:pPr>
            <w:r>
              <w:rPr>
                <w:rFonts w:hint="eastAsia" w:ascii="宋体" w:hAnsi="宋体" w:cs="宋体"/>
                <w:sz w:val="21"/>
              </w:rPr>
              <w:t>件格式提供</w:t>
            </w:r>
          </w:p>
        </w:tc>
        <w:tc>
          <w:tcPr>
            <w:tcW w:w="1696" w:type="dxa"/>
            <w:vAlign w:val="center"/>
          </w:tcPr>
          <w:p>
            <w:pPr>
              <w:spacing w:line="360" w:lineRule="auto"/>
              <w:jc w:val="center"/>
              <w:rPr>
                <w:rFonts w:ascii="宋体" w:hAnsi="宋体" w:cs="宋体"/>
                <w:sz w:val="21"/>
              </w:rPr>
            </w:pPr>
            <w:r>
              <w:rPr>
                <w:rFonts w:hint="eastAsia" w:ascii="宋体" w:hAnsi="宋体" w:cs="宋体"/>
                <w:sz w:val="21"/>
              </w:rPr>
              <w:t>加盖单位红色公章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jc w:val="center"/>
        </w:trPr>
        <w:tc>
          <w:tcPr>
            <w:tcW w:w="589" w:type="dxa"/>
            <w:vAlign w:val="center"/>
          </w:tcPr>
          <w:p>
            <w:pPr>
              <w:spacing w:line="360" w:lineRule="auto"/>
              <w:jc w:val="center"/>
              <w:rPr>
                <w:rFonts w:ascii="宋体" w:hAnsi="宋体" w:cs="宋体"/>
                <w:sz w:val="21"/>
              </w:rPr>
            </w:pPr>
            <w:r>
              <w:rPr>
                <w:rFonts w:hint="eastAsia" w:ascii="宋体" w:hAnsi="宋体" w:cs="宋体"/>
                <w:sz w:val="21"/>
              </w:rPr>
              <w:t>3</w:t>
            </w:r>
          </w:p>
        </w:tc>
        <w:tc>
          <w:tcPr>
            <w:tcW w:w="5017" w:type="dxa"/>
            <w:vAlign w:val="center"/>
          </w:tcPr>
          <w:p>
            <w:pPr>
              <w:pStyle w:val="31"/>
              <w:spacing w:before="0" w:beforeAutospacing="0" w:after="0" w:afterAutospacing="0" w:line="360" w:lineRule="auto"/>
              <w:rPr>
                <w:sz w:val="21"/>
                <w:szCs w:val="21"/>
              </w:rPr>
            </w:pPr>
            <w:r>
              <w:rPr>
                <w:rFonts w:hint="eastAsia"/>
                <w:sz w:val="21"/>
                <w:szCs w:val="21"/>
              </w:rPr>
              <w:t>财务状况报告：提供2021年度经审计的财务会计报告；成立时间至提交响应文件截止时间不足一年的可提供成立后任意时段的资产负债表或响应截止时间前三个月内银行出具的资信证明文件或信用担保机构出具的投标担保函。</w:t>
            </w:r>
          </w:p>
        </w:tc>
        <w:tc>
          <w:tcPr>
            <w:tcW w:w="1560" w:type="dxa"/>
            <w:vAlign w:val="center"/>
          </w:tcPr>
          <w:p>
            <w:pPr>
              <w:spacing w:line="360" w:lineRule="auto"/>
              <w:jc w:val="center"/>
              <w:rPr>
                <w:rFonts w:ascii="宋体" w:hAnsi="宋体" w:cs="宋体"/>
                <w:sz w:val="21"/>
              </w:rPr>
            </w:pPr>
            <w:r>
              <w:rPr>
                <w:rFonts w:hint="eastAsia" w:ascii="宋体" w:hAnsi="宋体" w:cs="宋体"/>
                <w:sz w:val="21"/>
              </w:rPr>
              <w:t>资不抵债或未按竞争性磋商文件要求提供资信证明的，为不合格</w:t>
            </w:r>
          </w:p>
        </w:tc>
        <w:tc>
          <w:tcPr>
            <w:tcW w:w="1696" w:type="dxa"/>
            <w:vAlign w:val="center"/>
          </w:tcPr>
          <w:p>
            <w:pPr>
              <w:spacing w:line="360" w:lineRule="auto"/>
              <w:jc w:val="center"/>
              <w:rPr>
                <w:rFonts w:ascii="宋体" w:hAnsi="宋体" w:cs="宋体"/>
                <w:sz w:val="21"/>
              </w:rPr>
            </w:pPr>
            <w:r>
              <w:rPr>
                <w:rFonts w:hint="eastAsia" w:ascii="宋体" w:hAnsi="宋体" w:cs="宋体"/>
                <w:sz w:val="21"/>
              </w:rPr>
              <w:t>加盖单位红色公章的复印件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589" w:type="dxa"/>
            <w:vAlign w:val="center"/>
          </w:tcPr>
          <w:p>
            <w:pPr>
              <w:spacing w:line="360" w:lineRule="auto"/>
              <w:jc w:val="center"/>
              <w:rPr>
                <w:rFonts w:ascii="宋体" w:hAnsi="宋体" w:cs="宋体"/>
                <w:sz w:val="21"/>
              </w:rPr>
            </w:pPr>
            <w:r>
              <w:rPr>
                <w:rFonts w:hint="eastAsia" w:ascii="宋体" w:hAnsi="宋体" w:cs="宋体"/>
                <w:sz w:val="21"/>
              </w:rPr>
              <w:t>4</w:t>
            </w:r>
          </w:p>
        </w:tc>
        <w:tc>
          <w:tcPr>
            <w:tcW w:w="5017" w:type="dxa"/>
            <w:vAlign w:val="center"/>
          </w:tcPr>
          <w:p>
            <w:pPr>
              <w:pStyle w:val="31"/>
              <w:spacing w:before="0" w:beforeAutospacing="0" w:after="0" w:afterAutospacing="0" w:line="276" w:lineRule="auto"/>
              <w:rPr>
                <w:sz w:val="21"/>
                <w:szCs w:val="21"/>
              </w:rPr>
            </w:pPr>
            <w:r>
              <w:rPr>
                <w:rFonts w:hint="eastAsia"/>
                <w:sz w:val="21"/>
                <w:szCs w:val="21"/>
              </w:rPr>
              <w:t>（1）提供供应商2021年1月1日以来已缴纳的至少一个月的纳税证明或完税证明；</w:t>
            </w:r>
          </w:p>
          <w:p>
            <w:pPr>
              <w:spacing w:line="276" w:lineRule="auto"/>
              <w:rPr>
                <w:rFonts w:ascii="宋体" w:hAnsi="宋体" w:cs="宋体"/>
                <w:sz w:val="21"/>
              </w:rPr>
            </w:pPr>
            <w:r>
              <w:rPr>
                <w:rFonts w:hint="eastAsia" w:ascii="宋体" w:hAnsi="宋体" w:cs="宋体"/>
                <w:sz w:val="21"/>
              </w:rPr>
              <w:t>（2）依法免税的应提供加盖公章相关文件证明；</w:t>
            </w:r>
          </w:p>
          <w:p>
            <w:pPr>
              <w:pStyle w:val="19"/>
              <w:tabs>
                <w:tab w:val="left" w:pos="851"/>
              </w:tabs>
              <w:adjustRightInd w:val="0"/>
              <w:snapToGrid w:val="0"/>
              <w:spacing w:line="276" w:lineRule="auto"/>
              <w:rPr>
                <w:rFonts w:hAnsi="宋体" w:cs="宋体"/>
                <w:sz w:val="21"/>
              </w:rPr>
            </w:pPr>
            <w:r>
              <w:rPr>
                <w:rFonts w:hint="eastAsia" w:hAnsi="宋体" w:cs="宋体"/>
                <w:sz w:val="21"/>
              </w:rPr>
              <w:t>（3）公益类事业单位无需提供；</w:t>
            </w:r>
          </w:p>
          <w:p>
            <w:pPr>
              <w:spacing w:line="360" w:lineRule="auto"/>
              <w:rPr>
                <w:rFonts w:ascii="宋体" w:hAnsi="宋体" w:cs="宋体"/>
                <w:sz w:val="21"/>
                <w:lang w:val="zh-CN"/>
              </w:rPr>
            </w:pPr>
            <w:r>
              <w:rPr>
                <w:rFonts w:hint="eastAsia" w:ascii="宋体" w:hAnsi="宋体" w:cs="宋体"/>
                <w:sz w:val="21"/>
              </w:rPr>
              <w:t>（4）新成立未发生缴纳税收事项的供应商，应提供纳税书面承诺。</w:t>
            </w:r>
          </w:p>
        </w:tc>
        <w:tc>
          <w:tcPr>
            <w:tcW w:w="1560" w:type="dxa"/>
            <w:vAlign w:val="center"/>
          </w:tcPr>
          <w:p>
            <w:pPr>
              <w:spacing w:line="360" w:lineRule="auto"/>
              <w:jc w:val="center"/>
              <w:rPr>
                <w:rFonts w:ascii="宋体" w:hAnsi="宋体" w:cs="宋体"/>
                <w:sz w:val="21"/>
              </w:rPr>
            </w:pPr>
            <w:r>
              <w:rPr>
                <w:rFonts w:hint="eastAsia" w:ascii="宋体" w:hAnsi="宋体" w:cs="宋体"/>
                <w:sz w:val="21"/>
              </w:rPr>
              <w:t>合法有效</w:t>
            </w:r>
          </w:p>
        </w:tc>
        <w:tc>
          <w:tcPr>
            <w:tcW w:w="1696" w:type="dxa"/>
            <w:vAlign w:val="center"/>
          </w:tcPr>
          <w:p>
            <w:pPr>
              <w:spacing w:line="360" w:lineRule="auto"/>
              <w:jc w:val="center"/>
              <w:rPr>
                <w:rFonts w:ascii="宋体" w:hAnsi="宋体" w:cs="宋体"/>
                <w:sz w:val="21"/>
              </w:rPr>
            </w:pPr>
            <w:r>
              <w:rPr>
                <w:rFonts w:hint="eastAsia" w:ascii="宋体" w:hAnsi="宋体" w:cs="宋体"/>
                <w:sz w:val="21"/>
              </w:rPr>
              <w:t>加盖单位红色公章的复印件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589" w:type="dxa"/>
            <w:vAlign w:val="center"/>
          </w:tcPr>
          <w:p>
            <w:pPr>
              <w:spacing w:line="360" w:lineRule="auto"/>
              <w:jc w:val="center"/>
              <w:rPr>
                <w:rFonts w:ascii="宋体" w:hAnsi="宋体" w:cs="宋体"/>
                <w:sz w:val="21"/>
              </w:rPr>
            </w:pPr>
            <w:r>
              <w:rPr>
                <w:rFonts w:hint="eastAsia" w:ascii="宋体" w:hAnsi="宋体" w:cs="宋体"/>
                <w:sz w:val="21"/>
              </w:rPr>
              <w:t>5</w:t>
            </w:r>
          </w:p>
        </w:tc>
        <w:tc>
          <w:tcPr>
            <w:tcW w:w="5017" w:type="dxa"/>
            <w:vAlign w:val="center"/>
          </w:tcPr>
          <w:p>
            <w:pPr>
              <w:numPr>
                <w:ilvl w:val="0"/>
                <w:numId w:val="0"/>
              </w:numPr>
              <w:spacing w:line="276" w:lineRule="auto"/>
              <w:rPr>
                <w:rFonts w:ascii="宋体" w:hAnsi="宋体" w:cs="宋体"/>
                <w:sz w:val="21"/>
              </w:rPr>
            </w:pPr>
            <w:r>
              <w:rPr>
                <w:rFonts w:hint="eastAsia" w:ascii="宋体" w:hAnsi="宋体" w:cs="宋体"/>
                <w:sz w:val="21"/>
                <w:lang w:eastAsia="zh-CN"/>
              </w:rPr>
              <w:t>（</w:t>
            </w:r>
            <w:r>
              <w:rPr>
                <w:rFonts w:hint="eastAsia" w:ascii="宋体" w:hAnsi="宋体" w:cs="宋体"/>
                <w:sz w:val="21"/>
                <w:lang w:val="en-US" w:eastAsia="zh-CN"/>
              </w:rPr>
              <w:t>1</w:t>
            </w:r>
            <w:r>
              <w:rPr>
                <w:rFonts w:hint="eastAsia" w:ascii="宋体" w:hAnsi="宋体" w:cs="宋体"/>
                <w:sz w:val="21"/>
                <w:lang w:eastAsia="zh-CN"/>
              </w:rPr>
              <w:t>）</w:t>
            </w:r>
            <w:r>
              <w:rPr>
                <w:rFonts w:hint="eastAsia" w:ascii="宋体" w:hAnsi="宋体" w:cs="宋体"/>
                <w:sz w:val="21"/>
              </w:rPr>
              <w:t>提供供应商2021年1月1日以来至少一个月已缴纳的社会保障资金缴存单据或社保机构开具的社会保险参保缴费情况证明；</w:t>
            </w:r>
          </w:p>
          <w:p>
            <w:pPr>
              <w:spacing w:line="276" w:lineRule="auto"/>
              <w:rPr>
                <w:rFonts w:ascii="宋体" w:hAnsi="宋体" w:cs="宋体"/>
                <w:sz w:val="21"/>
              </w:rPr>
            </w:pPr>
            <w:r>
              <w:rPr>
                <w:rFonts w:hint="eastAsia" w:ascii="宋体" w:hAnsi="宋体" w:cs="宋体"/>
                <w:sz w:val="21"/>
              </w:rPr>
              <w:t>（2）依法不需要缴纳社会保障资金的供应商应提供相关文件证明；</w:t>
            </w:r>
          </w:p>
          <w:p>
            <w:pPr>
              <w:spacing w:line="276" w:lineRule="auto"/>
              <w:rPr>
                <w:rFonts w:ascii="宋体" w:hAnsi="宋体" w:cs="宋体"/>
                <w:sz w:val="21"/>
              </w:rPr>
            </w:pPr>
            <w:r>
              <w:rPr>
                <w:rFonts w:hint="eastAsia" w:ascii="宋体" w:hAnsi="宋体" w:cs="宋体"/>
                <w:sz w:val="21"/>
              </w:rPr>
              <w:t>（3）公益类事业单位无需提供；</w:t>
            </w:r>
          </w:p>
          <w:p>
            <w:pPr>
              <w:spacing w:line="276" w:lineRule="auto"/>
              <w:rPr>
                <w:rFonts w:ascii="宋体" w:hAnsi="宋体" w:cs="宋体"/>
                <w:sz w:val="21"/>
              </w:rPr>
            </w:pPr>
            <w:r>
              <w:rPr>
                <w:rFonts w:hint="eastAsia" w:ascii="宋体" w:hAnsi="宋体" w:cs="宋体"/>
                <w:sz w:val="21"/>
              </w:rPr>
              <w:t>（4）新成立未发生缴纳社保资金事项的供应商，应提供缴纳社保资金的书面承诺；</w:t>
            </w:r>
          </w:p>
          <w:p>
            <w:pPr>
              <w:pStyle w:val="31"/>
              <w:spacing w:before="0" w:beforeAutospacing="0" w:after="0" w:afterAutospacing="0" w:line="360" w:lineRule="auto"/>
              <w:rPr>
                <w:sz w:val="21"/>
                <w:szCs w:val="21"/>
                <w:lang w:val="zh-CN"/>
              </w:rPr>
            </w:pPr>
            <w:r>
              <w:rPr>
                <w:rFonts w:hint="eastAsia"/>
                <w:sz w:val="21"/>
                <w:szCs w:val="21"/>
              </w:rPr>
              <w:t>（5）原件或复印件可直接装订，复印件加盖供应商单位章。</w:t>
            </w:r>
          </w:p>
        </w:tc>
        <w:tc>
          <w:tcPr>
            <w:tcW w:w="1560" w:type="dxa"/>
            <w:vAlign w:val="center"/>
          </w:tcPr>
          <w:p>
            <w:pPr>
              <w:spacing w:line="360" w:lineRule="auto"/>
              <w:jc w:val="center"/>
              <w:rPr>
                <w:rFonts w:ascii="宋体" w:hAnsi="宋体" w:cs="宋体"/>
                <w:sz w:val="21"/>
              </w:rPr>
            </w:pPr>
            <w:r>
              <w:rPr>
                <w:rFonts w:hint="eastAsia" w:ascii="宋体" w:hAnsi="宋体" w:cs="宋体"/>
                <w:sz w:val="21"/>
              </w:rPr>
              <w:t>合法有效</w:t>
            </w:r>
          </w:p>
        </w:tc>
        <w:tc>
          <w:tcPr>
            <w:tcW w:w="1696" w:type="dxa"/>
            <w:vAlign w:val="center"/>
          </w:tcPr>
          <w:p>
            <w:pPr>
              <w:spacing w:line="360" w:lineRule="auto"/>
              <w:jc w:val="center"/>
              <w:rPr>
                <w:rFonts w:ascii="宋体" w:hAnsi="宋体" w:cs="宋体"/>
                <w:sz w:val="21"/>
              </w:rPr>
            </w:pPr>
            <w:r>
              <w:rPr>
                <w:rFonts w:hint="eastAsia" w:ascii="宋体" w:hAnsi="宋体" w:cs="宋体"/>
                <w:sz w:val="21"/>
              </w:rPr>
              <w:t>加盖单位红色公章的复印件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589" w:type="dxa"/>
            <w:vAlign w:val="center"/>
          </w:tcPr>
          <w:p>
            <w:pPr>
              <w:spacing w:line="360" w:lineRule="auto"/>
              <w:jc w:val="center"/>
              <w:rPr>
                <w:rFonts w:ascii="宋体" w:hAnsi="宋体" w:cs="宋体"/>
                <w:sz w:val="21"/>
              </w:rPr>
            </w:pPr>
            <w:r>
              <w:rPr>
                <w:rFonts w:hint="eastAsia" w:ascii="宋体" w:hAnsi="宋体" w:cs="宋体"/>
                <w:sz w:val="21"/>
              </w:rPr>
              <w:t>6</w:t>
            </w:r>
          </w:p>
        </w:tc>
        <w:tc>
          <w:tcPr>
            <w:tcW w:w="5017" w:type="dxa"/>
            <w:vAlign w:val="center"/>
          </w:tcPr>
          <w:p>
            <w:pPr>
              <w:pStyle w:val="31"/>
              <w:spacing w:before="0" w:beforeAutospacing="0" w:after="0" w:afterAutospacing="0" w:line="360" w:lineRule="auto"/>
              <w:rPr>
                <w:sz w:val="21"/>
                <w:szCs w:val="21"/>
              </w:rPr>
            </w:pPr>
            <w:r>
              <w:rPr>
                <w:rFonts w:hint="eastAsia"/>
                <w:sz w:val="21"/>
                <w:szCs w:val="21"/>
              </w:rPr>
              <w:t>供应商需具备乙级测绘及以上资质，拟派往项目负责人须为注册测绘师；</w:t>
            </w:r>
          </w:p>
        </w:tc>
        <w:tc>
          <w:tcPr>
            <w:tcW w:w="1560" w:type="dxa"/>
            <w:vAlign w:val="center"/>
          </w:tcPr>
          <w:p>
            <w:pPr>
              <w:spacing w:line="360" w:lineRule="auto"/>
              <w:jc w:val="center"/>
              <w:rPr>
                <w:rFonts w:ascii="宋体" w:hAnsi="宋体" w:cs="宋体"/>
                <w:sz w:val="21"/>
              </w:rPr>
            </w:pPr>
            <w:r>
              <w:rPr>
                <w:rFonts w:hint="eastAsia" w:ascii="宋体" w:hAnsi="宋体" w:cs="宋体"/>
                <w:sz w:val="21"/>
              </w:rPr>
              <w:t>合法有效</w:t>
            </w:r>
          </w:p>
        </w:tc>
        <w:tc>
          <w:tcPr>
            <w:tcW w:w="1696" w:type="dxa"/>
            <w:vAlign w:val="center"/>
          </w:tcPr>
          <w:p>
            <w:pPr>
              <w:spacing w:line="360" w:lineRule="auto"/>
              <w:jc w:val="center"/>
              <w:rPr>
                <w:rFonts w:ascii="宋体" w:hAnsi="宋体" w:cs="宋体"/>
                <w:sz w:val="21"/>
              </w:rPr>
            </w:pPr>
            <w:r>
              <w:rPr>
                <w:rFonts w:hint="eastAsia" w:ascii="宋体" w:hAnsi="宋体" w:cs="宋体"/>
                <w:sz w:val="21"/>
              </w:rPr>
              <w:t>加盖单位红色公章的复印件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589" w:type="dxa"/>
            <w:vAlign w:val="center"/>
          </w:tcPr>
          <w:p>
            <w:pPr>
              <w:spacing w:line="360" w:lineRule="auto"/>
              <w:jc w:val="center"/>
              <w:rPr>
                <w:rFonts w:ascii="宋体" w:hAnsi="宋体" w:cs="宋体"/>
                <w:sz w:val="21"/>
              </w:rPr>
            </w:pPr>
            <w:r>
              <w:rPr>
                <w:rFonts w:hint="eastAsia" w:ascii="宋体" w:hAnsi="宋体" w:cs="宋体"/>
                <w:sz w:val="21"/>
              </w:rPr>
              <w:t>7</w:t>
            </w:r>
          </w:p>
        </w:tc>
        <w:tc>
          <w:tcPr>
            <w:tcW w:w="5017" w:type="dxa"/>
            <w:vAlign w:val="center"/>
          </w:tcPr>
          <w:p>
            <w:pPr>
              <w:spacing w:line="360" w:lineRule="auto"/>
              <w:jc w:val="left"/>
              <w:rPr>
                <w:rFonts w:ascii="宋体" w:hAnsi="宋体" w:cs="宋体"/>
                <w:sz w:val="21"/>
              </w:rPr>
            </w:pPr>
            <w:r>
              <w:rPr>
                <w:rFonts w:hint="eastAsia" w:ascii="宋体" w:hAnsi="宋体" w:cs="宋体"/>
                <w:sz w:val="21"/>
                <w:lang w:val="zh-CN"/>
              </w:rPr>
              <w:t>具备履行合同所必需的设备和专业技术能力的证明材料(由供应商根据项目需求提供说明材料或者承诺)</w:t>
            </w:r>
          </w:p>
        </w:tc>
        <w:tc>
          <w:tcPr>
            <w:tcW w:w="1560" w:type="dxa"/>
            <w:vAlign w:val="center"/>
          </w:tcPr>
          <w:p>
            <w:pPr>
              <w:spacing w:line="360" w:lineRule="auto"/>
              <w:jc w:val="center"/>
              <w:rPr>
                <w:rFonts w:ascii="宋体" w:hAnsi="宋体" w:cs="宋体"/>
                <w:sz w:val="21"/>
              </w:rPr>
            </w:pPr>
            <w:r>
              <w:rPr>
                <w:rFonts w:hint="eastAsia" w:ascii="宋体" w:hAnsi="宋体" w:cs="宋体"/>
                <w:sz w:val="21"/>
              </w:rPr>
              <w:t>合法有效，按磋商文件格式提供</w:t>
            </w:r>
          </w:p>
        </w:tc>
        <w:tc>
          <w:tcPr>
            <w:tcW w:w="1696" w:type="dxa"/>
            <w:vAlign w:val="center"/>
          </w:tcPr>
          <w:p>
            <w:pPr>
              <w:spacing w:line="360" w:lineRule="auto"/>
              <w:jc w:val="center"/>
              <w:rPr>
                <w:rFonts w:ascii="宋体" w:hAnsi="宋体" w:cs="宋体"/>
                <w:sz w:val="21"/>
              </w:rPr>
            </w:pPr>
            <w:r>
              <w:rPr>
                <w:rFonts w:hint="eastAsia" w:ascii="宋体" w:hAnsi="宋体" w:cs="宋体"/>
                <w:sz w:val="21"/>
              </w:rPr>
              <w:t>加盖单位红色公章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89" w:type="dxa"/>
            <w:vAlign w:val="center"/>
          </w:tcPr>
          <w:p>
            <w:pPr>
              <w:spacing w:line="360" w:lineRule="auto"/>
              <w:jc w:val="center"/>
              <w:rPr>
                <w:rFonts w:ascii="宋体" w:hAnsi="宋体" w:cs="宋体"/>
                <w:sz w:val="21"/>
              </w:rPr>
            </w:pPr>
            <w:r>
              <w:rPr>
                <w:rFonts w:hint="eastAsia" w:ascii="宋体" w:hAnsi="宋体" w:cs="宋体"/>
                <w:sz w:val="21"/>
              </w:rPr>
              <w:t>8</w:t>
            </w:r>
          </w:p>
        </w:tc>
        <w:tc>
          <w:tcPr>
            <w:tcW w:w="5017" w:type="dxa"/>
            <w:vAlign w:val="center"/>
          </w:tcPr>
          <w:p>
            <w:pPr>
              <w:spacing w:line="360" w:lineRule="auto"/>
              <w:jc w:val="left"/>
              <w:rPr>
                <w:sz w:val="21"/>
                <w:lang w:val="zh-CN"/>
              </w:rPr>
            </w:pPr>
            <w:r>
              <w:rPr>
                <w:rFonts w:hint="eastAsia" w:ascii="宋体" w:hAnsi="宋体" w:cs="宋体"/>
                <w:b/>
                <w:bCs/>
                <w:sz w:val="21"/>
                <w:lang w:val="zh-CN"/>
              </w:rPr>
              <w:t>响应供应商声明书：</w:t>
            </w:r>
            <w:r>
              <w:rPr>
                <w:rFonts w:hint="eastAsia" w:ascii="宋体" w:hAnsi="宋体" w:cs="宋体"/>
                <w:sz w:val="21"/>
                <w:lang w:val="zh-CN"/>
              </w:rPr>
              <w:t>响应供应商参加本次招标前3年内，在经营活动中没有重大违法记录的书面声明。</w:t>
            </w:r>
          </w:p>
        </w:tc>
        <w:tc>
          <w:tcPr>
            <w:tcW w:w="1560" w:type="dxa"/>
            <w:vAlign w:val="center"/>
          </w:tcPr>
          <w:p>
            <w:pPr>
              <w:spacing w:line="360" w:lineRule="auto"/>
              <w:jc w:val="center"/>
              <w:rPr>
                <w:rFonts w:ascii="宋体" w:hAnsi="宋体" w:cs="宋体"/>
                <w:sz w:val="21"/>
              </w:rPr>
            </w:pPr>
            <w:r>
              <w:rPr>
                <w:rFonts w:hint="eastAsia" w:ascii="宋体" w:hAnsi="宋体" w:cs="宋体"/>
                <w:sz w:val="21"/>
              </w:rPr>
              <w:t>按磋商文件格式提供</w:t>
            </w:r>
          </w:p>
        </w:tc>
        <w:tc>
          <w:tcPr>
            <w:tcW w:w="1696" w:type="dxa"/>
            <w:vAlign w:val="center"/>
          </w:tcPr>
          <w:p>
            <w:pPr>
              <w:spacing w:line="360" w:lineRule="auto"/>
              <w:jc w:val="center"/>
              <w:rPr>
                <w:rFonts w:ascii="宋体" w:hAnsi="宋体" w:cs="宋体"/>
                <w:sz w:val="21"/>
              </w:rPr>
            </w:pPr>
            <w:r>
              <w:rPr>
                <w:rFonts w:hint="eastAsia" w:ascii="宋体" w:hAnsi="宋体" w:cs="宋体"/>
                <w:sz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89" w:type="dxa"/>
            <w:vAlign w:val="center"/>
          </w:tcPr>
          <w:p>
            <w:pPr>
              <w:spacing w:line="360" w:lineRule="auto"/>
              <w:jc w:val="center"/>
              <w:rPr>
                <w:rFonts w:ascii="宋体" w:hAnsi="宋体" w:cs="宋体"/>
                <w:sz w:val="21"/>
              </w:rPr>
            </w:pPr>
            <w:r>
              <w:rPr>
                <w:rFonts w:hint="eastAsia" w:ascii="宋体" w:hAnsi="宋体" w:cs="宋体"/>
                <w:sz w:val="21"/>
              </w:rPr>
              <w:t>9</w:t>
            </w:r>
          </w:p>
        </w:tc>
        <w:tc>
          <w:tcPr>
            <w:tcW w:w="5017" w:type="dxa"/>
            <w:vAlign w:val="center"/>
          </w:tcPr>
          <w:p>
            <w:pPr>
              <w:pStyle w:val="31"/>
              <w:spacing w:before="0" w:beforeAutospacing="0" w:after="0" w:afterAutospacing="0" w:line="360" w:lineRule="auto"/>
              <w:rPr>
                <w:sz w:val="21"/>
                <w:szCs w:val="21"/>
              </w:rPr>
            </w:pPr>
            <w:r>
              <w:rPr>
                <w:rFonts w:hint="eastAsia"/>
                <w:b/>
                <w:bCs/>
                <w:sz w:val="21"/>
                <w:szCs w:val="21"/>
                <w:lang w:val="zh-CN"/>
              </w:rPr>
              <w:t>响应供应商企业信用信息查询记录</w:t>
            </w:r>
            <w:r>
              <w:rPr>
                <w:rFonts w:hint="eastAsia"/>
                <w:b/>
                <w:bCs/>
                <w:sz w:val="21"/>
                <w:szCs w:val="21"/>
              </w:rPr>
              <w:t>：</w:t>
            </w:r>
            <w:r>
              <w:rPr>
                <w:rFonts w:hint="eastAsia"/>
                <w:sz w:val="21"/>
                <w:szCs w:val="21"/>
                <w:lang w:val="zh-CN"/>
              </w:rPr>
              <w:t>投响应供应商不得为</w:t>
            </w:r>
            <w:r>
              <w:rPr>
                <w:rFonts w:hint="eastAsia"/>
                <w:sz w:val="21"/>
                <w:szCs w:val="21"/>
              </w:rPr>
              <w:t>“</w:t>
            </w:r>
            <w:r>
              <w:rPr>
                <w:rFonts w:hint="eastAsia"/>
                <w:sz w:val="21"/>
                <w:szCs w:val="21"/>
                <w:lang w:val="zh-CN"/>
              </w:rPr>
              <w:t>信用中国</w:t>
            </w:r>
            <w:r>
              <w:rPr>
                <w:rFonts w:hint="eastAsia"/>
                <w:sz w:val="21"/>
                <w:szCs w:val="21"/>
              </w:rPr>
              <w:t>”</w:t>
            </w:r>
            <w:r>
              <w:rPr>
                <w:rFonts w:hint="eastAsia"/>
                <w:sz w:val="21"/>
                <w:szCs w:val="21"/>
                <w:lang w:val="zh-CN"/>
              </w:rPr>
              <w:t>网站</w:t>
            </w:r>
            <w:r>
              <w:rPr>
                <w:rFonts w:hint="eastAsia"/>
                <w:sz w:val="21"/>
                <w:szCs w:val="21"/>
              </w:rPr>
              <w:t>（www.creditchina.gov.cn）</w:t>
            </w:r>
            <w:r>
              <w:rPr>
                <w:rFonts w:hint="eastAsia"/>
                <w:sz w:val="21"/>
                <w:szCs w:val="21"/>
                <w:lang w:val="zh-CN"/>
              </w:rPr>
              <w:t>和中国政府采购网</w:t>
            </w:r>
            <w:r>
              <w:rPr>
                <w:rFonts w:hint="eastAsia"/>
                <w:sz w:val="21"/>
                <w:szCs w:val="21"/>
              </w:rPr>
              <w:t>（www.ccgp.gov.cn）</w:t>
            </w:r>
            <w:r>
              <w:rPr>
                <w:rFonts w:hint="eastAsia"/>
                <w:sz w:val="21"/>
                <w:szCs w:val="21"/>
                <w:lang w:val="zh-CN"/>
              </w:rPr>
              <w:t>被列入失信被执行人、重大税收违法案件当事人名单、政府采购严重违法失信行为记录名单。</w:t>
            </w:r>
          </w:p>
          <w:p>
            <w:pPr>
              <w:pStyle w:val="31"/>
              <w:spacing w:before="0" w:beforeAutospacing="0" w:after="0" w:afterAutospacing="0" w:line="360" w:lineRule="auto"/>
              <w:rPr>
                <w:color w:val="auto"/>
                <w:kern w:val="2"/>
                <w:sz w:val="21"/>
                <w:szCs w:val="21"/>
                <w:lang w:val="zh-CN"/>
              </w:rPr>
            </w:pPr>
            <w:r>
              <w:rPr>
                <w:rFonts w:hint="eastAsia"/>
                <w:sz w:val="21"/>
                <w:szCs w:val="21"/>
              </w:rPr>
              <w:t>查询截止时间：投标截止时间一周内</w:t>
            </w:r>
          </w:p>
        </w:tc>
        <w:tc>
          <w:tcPr>
            <w:tcW w:w="1560" w:type="dxa"/>
            <w:vAlign w:val="center"/>
          </w:tcPr>
          <w:p>
            <w:pPr>
              <w:spacing w:line="360" w:lineRule="auto"/>
              <w:jc w:val="center"/>
              <w:rPr>
                <w:rFonts w:ascii="宋体" w:hAnsi="宋体" w:cs="宋体"/>
                <w:sz w:val="21"/>
              </w:rPr>
            </w:pPr>
            <w:r>
              <w:rPr>
                <w:rFonts w:hint="eastAsia" w:ascii="宋体" w:hAnsi="宋体" w:cs="宋体"/>
                <w:sz w:val="21"/>
              </w:rPr>
              <w:t>/</w:t>
            </w:r>
          </w:p>
        </w:tc>
        <w:tc>
          <w:tcPr>
            <w:tcW w:w="1696" w:type="dxa"/>
            <w:vAlign w:val="center"/>
          </w:tcPr>
          <w:p>
            <w:pPr>
              <w:spacing w:line="360" w:lineRule="auto"/>
              <w:jc w:val="center"/>
              <w:rPr>
                <w:rFonts w:ascii="宋体" w:hAnsi="宋体" w:cs="宋体"/>
                <w:sz w:val="21"/>
              </w:rPr>
            </w:pPr>
          </w:p>
          <w:p>
            <w:pPr>
              <w:spacing w:line="360" w:lineRule="auto"/>
              <w:jc w:val="center"/>
              <w:rPr>
                <w:rFonts w:ascii="宋体" w:hAnsi="宋体" w:cs="宋体"/>
                <w:sz w:val="21"/>
              </w:rPr>
            </w:pPr>
            <w:r>
              <w:rPr>
                <w:rFonts w:hint="eastAsia" w:ascii="宋体" w:hAnsi="宋体" w:cs="宋体"/>
                <w:sz w:val="21"/>
              </w:rPr>
              <w:t>登录网络审查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89" w:type="dxa"/>
            <w:vAlign w:val="center"/>
          </w:tcPr>
          <w:p>
            <w:pPr>
              <w:spacing w:line="360" w:lineRule="auto"/>
              <w:jc w:val="center"/>
              <w:rPr>
                <w:rFonts w:ascii="宋体" w:hAnsi="宋体" w:cs="宋体"/>
                <w:sz w:val="21"/>
              </w:rPr>
            </w:pPr>
            <w:r>
              <w:rPr>
                <w:rFonts w:hint="eastAsia" w:ascii="宋体" w:hAnsi="宋体" w:cs="宋体"/>
                <w:sz w:val="21"/>
              </w:rPr>
              <w:t>10</w:t>
            </w:r>
          </w:p>
        </w:tc>
        <w:tc>
          <w:tcPr>
            <w:tcW w:w="5017" w:type="dxa"/>
            <w:vAlign w:val="center"/>
          </w:tcPr>
          <w:p>
            <w:pPr>
              <w:pStyle w:val="31"/>
              <w:spacing w:before="0" w:beforeAutospacing="0" w:after="0" w:afterAutospacing="0" w:line="360" w:lineRule="auto"/>
              <w:rPr>
                <w:color w:val="auto"/>
                <w:kern w:val="2"/>
                <w:sz w:val="21"/>
                <w:szCs w:val="21"/>
              </w:rPr>
            </w:pPr>
            <w:r>
              <w:rPr>
                <w:rFonts w:hint="eastAsia"/>
                <w:color w:val="auto"/>
                <w:kern w:val="2"/>
                <w:sz w:val="21"/>
                <w:szCs w:val="21"/>
                <w:lang w:val="zh-CN"/>
              </w:rPr>
              <w:t>单位负责人为同一人或者存在控股、管理关系的不同单位不得同时参加同一项目投标。</w:t>
            </w:r>
          </w:p>
        </w:tc>
        <w:tc>
          <w:tcPr>
            <w:tcW w:w="1560" w:type="dxa"/>
            <w:vAlign w:val="center"/>
          </w:tcPr>
          <w:p>
            <w:pPr>
              <w:spacing w:line="360" w:lineRule="auto"/>
              <w:jc w:val="center"/>
              <w:rPr>
                <w:rFonts w:ascii="宋体" w:hAnsi="宋体" w:cs="宋体"/>
                <w:sz w:val="21"/>
              </w:rPr>
            </w:pPr>
            <w:r>
              <w:rPr>
                <w:rFonts w:hint="eastAsia" w:ascii="宋体" w:hAnsi="宋体" w:cs="宋体"/>
                <w:sz w:val="21"/>
              </w:rPr>
              <w:t>按磋商文件格式提供</w:t>
            </w:r>
          </w:p>
        </w:tc>
        <w:tc>
          <w:tcPr>
            <w:tcW w:w="1696" w:type="dxa"/>
            <w:vAlign w:val="center"/>
          </w:tcPr>
          <w:p>
            <w:pPr>
              <w:spacing w:line="360" w:lineRule="auto"/>
              <w:jc w:val="center"/>
              <w:rPr>
                <w:rFonts w:ascii="宋体" w:hAnsi="宋体" w:cs="宋体"/>
              </w:rPr>
            </w:pPr>
            <w:r>
              <w:rPr>
                <w:rFonts w:hint="eastAsia" w:ascii="宋体" w:hAnsi="宋体" w:cs="宋体"/>
                <w:sz w:val="21"/>
              </w:rPr>
              <w:t>加盖单位红色公章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89" w:type="dxa"/>
            <w:vAlign w:val="center"/>
          </w:tcPr>
          <w:p>
            <w:pPr>
              <w:spacing w:line="360" w:lineRule="auto"/>
              <w:jc w:val="center"/>
              <w:rPr>
                <w:rFonts w:ascii="宋体" w:hAnsi="宋体" w:cs="宋体"/>
                <w:sz w:val="21"/>
              </w:rPr>
            </w:pPr>
            <w:r>
              <w:rPr>
                <w:rFonts w:hint="eastAsia" w:ascii="宋体" w:hAnsi="宋体" w:cs="宋体"/>
                <w:sz w:val="21"/>
              </w:rPr>
              <w:t>11</w:t>
            </w:r>
          </w:p>
        </w:tc>
        <w:tc>
          <w:tcPr>
            <w:tcW w:w="5017" w:type="dxa"/>
            <w:vAlign w:val="center"/>
          </w:tcPr>
          <w:p>
            <w:pPr>
              <w:pStyle w:val="31"/>
              <w:spacing w:before="0" w:beforeAutospacing="0" w:after="0" w:afterAutospacing="0" w:line="360" w:lineRule="auto"/>
              <w:rPr>
                <w:color w:val="auto"/>
                <w:kern w:val="2"/>
                <w:sz w:val="21"/>
                <w:szCs w:val="21"/>
              </w:rPr>
            </w:pPr>
            <w:r>
              <w:rPr>
                <w:rFonts w:hint="eastAsia"/>
                <w:color w:val="auto"/>
                <w:kern w:val="2"/>
                <w:sz w:val="21"/>
                <w:szCs w:val="21"/>
              </w:rPr>
              <w:t>中小企业声明函</w:t>
            </w:r>
          </w:p>
        </w:tc>
        <w:tc>
          <w:tcPr>
            <w:tcW w:w="1560" w:type="dxa"/>
            <w:vAlign w:val="center"/>
          </w:tcPr>
          <w:p>
            <w:pPr>
              <w:spacing w:line="360" w:lineRule="auto"/>
              <w:jc w:val="center"/>
              <w:rPr>
                <w:rFonts w:ascii="宋体" w:hAnsi="宋体" w:cs="宋体"/>
                <w:sz w:val="21"/>
              </w:rPr>
            </w:pPr>
            <w:r>
              <w:rPr>
                <w:rFonts w:hint="eastAsia" w:ascii="宋体" w:hAnsi="宋体" w:cs="宋体"/>
                <w:sz w:val="21"/>
              </w:rPr>
              <w:t>按磋商文件格式提供</w:t>
            </w:r>
          </w:p>
        </w:tc>
        <w:tc>
          <w:tcPr>
            <w:tcW w:w="1696" w:type="dxa"/>
            <w:vAlign w:val="center"/>
          </w:tcPr>
          <w:p>
            <w:pPr>
              <w:spacing w:line="360" w:lineRule="auto"/>
              <w:jc w:val="center"/>
              <w:rPr>
                <w:rFonts w:ascii="宋体" w:hAnsi="宋体" w:cs="宋体"/>
                <w:sz w:val="21"/>
              </w:rPr>
            </w:pPr>
            <w:r>
              <w:rPr>
                <w:rFonts w:hint="eastAsia" w:ascii="宋体" w:hAnsi="宋体" w:cs="宋体"/>
                <w:sz w:val="21"/>
              </w:rPr>
              <w:t>加盖单位红色公章</w:t>
            </w:r>
          </w:p>
        </w:tc>
      </w:tr>
    </w:tbl>
    <w:p>
      <w:pPr>
        <w:pStyle w:val="14"/>
        <w:rPr>
          <w:rFonts w:ascii="宋体" w:hAnsi="宋体" w:cs="宋体"/>
          <w:szCs w:val="24"/>
        </w:rPr>
      </w:pPr>
    </w:p>
    <w:p>
      <w:pPr>
        <w:rPr>
          <w:b/>
          <w:bCs/>
        </w:rPr>
      </w:pPr>
      <w:bookmarkStart w:id="369" w:name="_Toc19833"/>
      <w:bookmarkStart w:id="370" w:name="_Toc29268"/>
      <w:r>
        <w:rPr>
          <w:rFonts w:hint="eastAsia"/>
          <w:b/>
          <w:bCs/>
        </w:rPr>
        <w:t>1.3 响应文件符合性审查</w:t>
      </w:r>
      <w:bookmarkEnd w:id="369"/>
      <w:bookmarkEnd w:id="370"/>
    </w:p>
    <w:p>
      <w:pPr>
        <w:spacing w:line="360" w:lineRule="auto"/>
        <w:ind w:firstLine="470" w:firstLineChars="196"/>
        <w:rPr>
          <w:rFonts w:ascii="宋体" w:hAnsi="宋体" w:cs="宋体"/>
          <w:szCs w:val="24"/>
        </w:rPr>
      </w:pPr>
      <w:r>
        <w:rPr>
          <w:rFonts w:hint="eastAsia" w:ascii="宋体" w:hAnsi="宋体" w:cs="宋体"/>
          <w:szCs w:val="24"/>
        </w:rPr>
        <w:t>1.3.1 磋商小组依法对符合资格条件的响应人的响应文件进行符合性审查。磋商小组从响应文件的有效性、完整性和对磋商文件的响应程度进行审查，以确定其是否对磋商文件实质性内容作出响应</w:t>
      </w:r>
      <w:r>
        <w:rPr>
          <w:rFonts w:hint="eastAsia" w:ascii="宋体" w:hAnsi="宋体" w:cs="宋体"/>
          <w:kern w:val="0"/>
          <w:szCs w:val="24"/>
        </w:rPr>
        <w:t>（采购人可根据具体项目的情况对实质性要求作特别的具体规定）</w:t>
      </w:r>
      <w:r>
        <w:rPr>
          <w:rFonts w:hint="eastAsia" w:ascii="宋体" w:hAnsi="宋体" w:cs="宋体"/>
          <w:szCs w:val="24"/>
        </w:rPr>
        <w:t>。</w:t>
      </w:r>
    </w:p>
    <w:p>
      <w:pPr>
        <w:spacing w:after="156" w:afterLines="50" w:line="360" w:lineRule="auto"/>
        <w:ind w:firstLine="470" w:firstLineChars="196"/>
        <w:rPr>
          <w:rFonts w:ascii="宋体" w:hAnsi="宋体" w:cs="宋体"/>
          <w:szCs w:val="24"/>
        </w:rPr>
      </w:pPr>
      <w:r>
        <w:rPr>
          <w:rFonts w:hint="eastAsia" w:ascii="宋体" w:hAnsi="宋体" w:cs="宋体"/>
          <w:szCs w:val="24"/>
        </w:rPr>
        <w:t>1.3.2磋商小组按下列评审标准进行</w:t>
      </w:r>
      <w:r>
        <w:rPr>
          <w:rFonts w:hint="eastAsia" w:ascii="宋体" w:hAnsi="宋体" w:cs="宋体"/>
          <w:b/>
          <w:szCs w:val="24"/>
        </w:rPr>
        <w:t>符合性审查</w:t>
      </w:r>
      <w:r>
        <w:rPr>
          <w:rFonts w:hint="eastAsia" w:ascii="宋体" w:hAnsi="宋体" w:cs="宋体"/>
          <w:szCs w:val="24"/>
        </w:rPr>
        <w:t>：</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
        <w:gridCol w:w="627"/>
        <w:gridCol w:w="3453"/>
        <w:gridCol w:w="4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515" w:type="dxa"/>
            <w:vAlign w:val="center"/>
          </w:tcPr>
          <w:p>
            <w:pPr>
              <w:tabs>
                <w:tab w:val="left" w:pos="0"/>
              </w:tabs>
              <w:adjustRightInd w:val="0"/>
              <w:snapToGrid w:val="0"/>
              <w:jc w:val="center"/>
              <w:rPr>
                <w:rFonts w:ascii="宋体" w:hAnsi="宋体" w:cs="宋体"/>
                <w:b/>
                <w:sz w:val="21"/>
              </w:rPr>
            </w:pPr>
            <w:r>
              <w:rPr>
                <w:rFonts w:hint="eastAsia" w:ascii="宋体" w:hAnsi="宋体" w:cs="宋体"/>
                <w:b/>
                <w:sz w:val="21"/>
              </w:rPr>
              <w:t>序号</w:t>
            </w:r>
          </w:p>
        </w:tc>
        <w:tc>
          <w:tcPr>
            <w:tcW w:w="4080" w:type="dxa"/>
            <w:gridSpan w:val="2"/>
            <w:vAlign w:val="center"/>
          </w:tcPr>
          <w:p>
            <w:pPr>
              <w:tabs>
                <w:tab w:val="left" w:pos="0"/>
              </w:tabs>
              <w:adjustRightInd w:val="0"/>
              <w:snapToGrid w:val="0"/>
              <w:jc w:val="center"/>
              <w:rPr>
                <w:rFonts w:ascii="宋体" w:hAnsi="宋体" w:cs="宋体"/>
                <w:b/>
                <w:sz w:val="21"/>
              </w:rPr>
            </w:pPr>
            <w:r>
              <w:rPr>
                <w:rFonts w:hint="eastAsia" w:ascii="宋体" w:hAnsi="宋体" w:cs="宋体"/>
                <w:b/>
                <w:sz w:val="21"/>
              </w:rPr>
              <w:t>评审因素</w:t>
            </w:r>
          </w:p>
        </w:tc>
        <w:tc>
          <w:tcPr>
            <w:tcW w:w="4580" w:type="dxa"/>
            <w:vAlign w:val="center"/>
          </w:tcPr>
          <w:p>
            <w:pPr>
              <w:tabs>
                <w:tab w:val="left" w:pos="0"/>
              </w:tabs>
              <w:adjustRightInd w:val="0"/>
              <w:snapToGrid w:val="0"/>
              <w:jc w:val="center"/>
              <w:rPr>
                <w:rFonts w:ascii="宋体" w:hAnsi="宋体" w:cs="宋体"/>
                <w:b/>
                <w:sz w:val="21"/>
              </w:rPr>
            </w:pPr>
            <w:r>
              <w:rPr>
                <w:rFonts w:hint="eastAsia" w:ascii="宋体" w:hAnsi="宋体" w:cs="宋体"/>
                <w:b/>
                <w:sz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515" w:type="dxa"/>
            <w:vMerge w:val="restart"/>
            <w:vAlign w:val="center"/>
          </w:tcPr>
          <w:p>
            <w:pPr>
              <w:tabs>
                <w:tab w:val="left" w:pos="0"/>
              </w:tabs>
              <w:adjustRightInd w:val="0"/>
              <w:snapToGrid w:val="0"/>
              <w:spacing w:line="360" w:lineRule="auto"/>
              <w:jc w:val="center"/>
              <w:rPr>
                <w:rFonts w:ascii="宋体" w:hAnsi="宋体" w:cs="宋体"/>
                <w:sz w:val="21"/>
              </w:rPr>
            </w:pPr>
            <w:r>
              <w:rPr>
                <w:rFonts w:hint="eastAsia" w:ascii="宋体" w:hAnsi="宋体" w:cs="宋体"/>
                <w:sz w:val="21"/>
              </w:rPr>
              <w:t>1</w:t>
            </w:r>
          </w:p>
        </w:tc>
        <w:tc>
          <w:tcPr>
            <w:tcW w:w="627" w:type="dxa"/>
            <w:vMerge w:val="restart"/>
            <w:vAlign w:val="center"/>
          </w:tcPr>
          <w:p>
            <w:pPr>
              <w:tabs>
                <w:tab w:val="left" w:pos="0"/>
              </w:tabs>
              <w:adjustRightInd w:val="0"/>
              <w:snapToGrid w:val="0"/>
              <w:jc w:val="center"/>
              <w:rPr>
                <w:rFonts w:ascii="宋体" w:hAnsi="宋体" w:cs="宋体"/>
                <w:sz w:val="21"/>
              </w:rPr>
            </w:pPr>
            <w:r>
              <w:rPr>
                <w:rFonts w:hint="eastAsia" w:ascii="宋体" w:hAnsi="宋体" w:cs="宋体"/>
                <w:sz w:val="21"/>
              </w:rPr>
              <w:t>有效性审查</w:t>
            </w:r>
          </w:p>
        </w:tc>
        <w:tc>
          <w:tcPr>
            <w:tcW w:w="3453" w:type="dxa"/>
            <w:vAlign w:val="center"/>
          </w:tcPr>
          <w:p>
            <w:pPr>
              <w:tabs>
                <w:tab w:val="left" w:pos="0"/>
              </w:tabs>
              <w:adjustRightInd w:val="0"/>
              <w:snapToGrid w:val="0"/>
              <w:rPr>
                <w:rFonts w:ascii="宋体" w:hAnsi="宋体" w:cs="宋体"/>
                <w:sz w:val="21"/>
              </w:rPr>
            </w:pPr>
            <w:r>
              <w:rPr>
                <w:rFonts w:hint="eastAsia" w:ascii="宋体" w:hAnsi="宋体" w:cs="宋体"/>
                <w:sz w:val="21"/>
              </w:rPr>
              <w:t>（1）响应文件的签署盖章</w:t>
            </w:r>
          </w:p>
        </w:tc>
        <w:tc>
          <w:tcPr>
            <w:tcW w:w="4580" w:type="dxa"/>
            <w:vAlign w:val="center"/>
          </w:tcPr>
          <w:p>
            <w:pPr>
              <w:tabs>
                <w:tab w:val="left" w:pos="0"/>
              </w:tabs>
              <w:adjustRightInd w:val="0"/>
              <w:snapToGrid w:val="0"/>
              <w:rPr>
                <w:rFonts w:ascii="宋体" w:hAnsi="宋体" w:cs="宋体"/>
                <w:sz w:val="21"/>
              </w:rPr>
            </w:pPr>
            <w:r>
              <w:rPr>
                <w:rFonts w:hint="eastAsia" w:ascii="宋体" w:hAnsi="宋体" w:cs="宋体"/>
                <w:sz w:val="21"/>
              </w:rPr>
              <w:t>响应文件上法定代表人（负责人）或其授权代表人的签字齐全并加盖公章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515" w:type="dxa"/>
            <w:vMerge w:val="continue"/>
          </w:tcPr>
          <w:p>
            <w:pPr>
              <w:tabs>
                <w:tab w:val="left" w:pos="0"/>
              </w:tabs>
              <w:adjustRightInd w:val="0"/>
              <w:snapToGrid w:val="0"/>
              <w:spacing w:line="360" w:lineRule="auto"/>
              <w:rPr>
                <w:rFonts w:ascii="宋体" w:hAnsi="宋体" w:cs="宋体"/>
                <w:sz w:val="21"/>
              </w:rPr>
            </w:pPr>
          </w:p>
        </w:tc>
        <w:tc>
          <w:tcPr>
            <w:tcW w:w="627" w:type="dxa"/>
            <w:vMerge w:val="continue"/>
          </w:tcPr>
          <w:p>
            <w:pPr>
              <w:tabs>
                <w:tab w:val="left" w:pos="0"/>
              </w:tabs>
              <w:adjustRightInd w:val="0"/>
              <w:snapToGrid w:val="0"/>
              <w:spacing w:line="360" w:lineRule="auto"/>
              <w:rPr>
                <w:rFonts w:ascii="宋体" w:hAnsi="宋体" w:cs="宋体"/>
                <w:sz w:val="21"/>
              </w:rPr>
            </w:pPr>
          </w:p>
        </w:tc>
        <w:tc>
          <w:tcPr>
            <w:tcW w:w="3453" w:type="dxa"/>
            <w:vAlign w:val="center"/>
          </w:tcPr>
          <w:p>
            <w:pPr>
              <w:tabs>
                <w:tab w:val="left" w:pos="0"/>
              </w:tabs>
              <w:adjustRightInd w:val="0"/>
              <w:snapToGrid w:val="0"/>
              <w:rPr>
                <w:rFonts w:ascii="宋体" w:hAnsi="宋体" w:cs="宋体"/>
                <w:sz w:val="21"/>
              </w:rPr>
            </w:pPr>
            <w:r>
              <w:rPr>
                <w:rFonts w:hint="eastAsia" w:ascii="宋体" w:hAnsi="宋体" w:cs="宋体"/>
                <w:sz w:val="21"/>
              </w:rPr>
              <w:t>（2）响应文件格式、语言、计量单位、报价货币</w:t>
            </w:r>
          </w:p>
        </w:tc>
        <w:tc>
          <w:tcPr>
            <w:tcW w:w="4580" w:type="dxa"/>
            <w:vAlign w:val="center"/>
          </w:tcPr>
          <w:p>
            <w:pPr>
              <w:tabs>
                <w:tab w:val="left" w:pos="0"/>
              </w:tabs>
              <w:adjustRightInd w:val="0"/>
              <w:snapToGrid w:val="0"/>
              <w:rPr>
                <w:rFonts w:ascii="宋体" w:hAnsi="宋体" w:cs="宋体"/>
                <w:sz w:val="21"/>
              </w:rPr>
            </w:pPr>
            <w:r>
              <w:rPr>
                <w:rFonts w:hint="eastAsia" w:ascii="宋体" w:hAnsi="宋体" w:cs="宋体"/>
                <w:sz w:val="21"/>
              </w:rPr>
              <w:t>应符合“响应文件格式”和磋商文件要求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515" w:type="dxa"/>
            <w:vMerge w:val="continue"/>
          </w:tcPr>
          <w:p>
            <w:pPr>
              <w:tabs>
                <w:tab w:val="left" w:pos="0"/>
              </w:tabs>
              <w:adjustRightInd w:val="0"/>
              <w:snapToGrid w:val="0"/>
              <w:spacing w:line="360" w:lineRule="auto"/>
              <w:rPr>
                <w:rFonts w:ascii="宋体" w:hAnsi="宋体" w:cs="宋体"/>
                <w:sz w:val="21"/>
              </w:rPr>
            </w:pPr>
          </w:p>
        </w:tc>
        <w:tc>
          <w:tcPr>
            <w:tcW w:w="627" w:type="dxa"/>
            <w:vMerge w:val="continue"/>
          </w:tcPr>
          <w:p>
            <w:pPr>
              <w:tabs>
                <w:tab w:val="left" w:pos="0"/>
              </w:tabs>
              <w:adjustRightInd w:val="0"/>
              <w:snapToGrid w:val="0"/>
              <w:spacing w:line="360" w:lineRule="auto"/>
              <w:rPr>
                <w:rFonts w:ascii="宋体" w:hAnsi="宋体" w:cs="宋体"/>
                <w:sz w:val="21"/>
              </w:rPr>
            </w:pPr>
          </w:p>
        </w:tc>
        <w:tc>
          <w:tcPr>
            <w:tcW w:w="3453" w:type="dxa"/>
            <w:vAlign w:val="center"/>
          </w:tcPr>
          <w:p>
            <w:pPr>
              <w:tabs>
                <w:tab w:val="left" w:pos="0"/>
              </w:tabs>
              <w:adjustRightInd w:val="0"/>
              <w:snapToGrid w:val="0"/>
              <w:rPr>
                <w:rFonts w:ascii="宋体" w:hAnsi="宋体" w:cs="宋体"/>
                <w:sz w:val="21"/>
              </w:rPr>
            </w:pPr>
            <w:r>
              <w:rPr>
                <w:rFonts w:hint="eastAsia" w:ascii="宋体" w:hAnsi="宋体" w:cs="宋体"/>
                <w:sz w:val="21"/>
              </w:rPr>
              <w:t>（3）报价唯一</w:t>
            </w:r>
          </w:p>
        </w:tc>
        <w:tc>
          <w:tcPr>
            <w:tcW w:w="4580" w:type="dxa"/>
            <w:vAlign w:val="center"/>
          </w:tcPr>
          <w:p>
            <w:pPr>
              <w:tabs>
                <w:tab w:val="left" w:pos="0"/>
              </w:tabs>
              <w:adjustRightInd w:val="0"/>
              <w:snapToGrid w:val="0"/>
              <w:rPr>
                <w:rFonts w:ascii="宋体" w:hAnsi="宋体" w:cs="宋体"/>
                <w:sz w:val="21"/>
              </w:rPr>
            </w:pPr>
            <w:r>
              <w:rPr>
                <w:rFonts w:hint="eastAsia" w:ascii="宋体" w:hAnsi="宋体" w:cs="宋体"/>
                <w:sz w:val="21"/>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15" w:type="dxa"/>
            <w:vMerge w:val="continue"/>
            <w:vAlign w:val="center"/>
          </w:tcPr>
          <w:p>
            <w:pPr>
              <w:tabs>
                <w:tab w:val="left" w:pos="0"/>
              </w:tabs>
              <w:adjustRightInd w:val="0"/>
              <w:snapToGrid w:val="0"/>
              <w:spacing w:line="360" w:lineRule="auto"/>
              <w:jc w:val="center"/>
              <w:rPr>
                <w:rFonts w:ascii="宋体" w:hAnsi="宋体" w:cs="宋体"/>
                <w:sz w:val="21"/>
              </w:rPr>
            </w:pPr>
          </w:p>
        </w:tc>
        <w:tc>
          <w:tcPr>
            <w:tcW w:w="627" w:type="dxa"/>
            <w:vMerge w:val="continue"/>
            <w:vAlign w:val="center"/>
          </w:tcPr>
          <w:p>
            <w:pPr>
              <w:tabs>
                <w:tab w:val="left" w:pos="0"/>
              </w:tabs>
              <w:adjustRightInd w:val="0"/>
              <w:snapToGrid w:val="0"/>
              <w:jc w:val="center"/>
              <w:rPr>
                <w:rFonts w:ascii="宋体" w:hAnsi="宋体" w:cs="宋体"/>
                <w:sz w:val="21"/>
              </w:rPr>
            </w:pPr>
          </w:p>
        </w:tc>
        <w:tc>
          <w:tcPr>
            <w:tcW w:w="3453" w:type="dxa"/>
            <w:vAlign w:val="center"/>
          </w:tcPr>
          <w:p>
            <w:pPr>
              <w:tabs>
                <w:tab w:val="left" w:pos="0"/>
              </w:tabs>
              <w:adjustRightInd w:val="0"/>
              <w:snapToGrid w:val="0"/>
              <w:rPr>
                <w:rFonts w:ascii="宋体" w:hAnsi="宋体" w:cs="宋体"/>
                <w:sz w:val="21"/>
              </w:rPr>
            </w:pPr>
            <w:r>
              <w:rPr>
                <w:rFonts w:hint="eastAsia" w:ascii="宋体" w:hAnsi="宋体" w:cs="宋体"/>
                <w:sz w:val="21"/>
              </w:rPr>
              <w:t>（4）电子文件（U盘）</w:t>
            </w:r>
          </w:p>
        </w:tc>
        <w:tc>
          <w:tcPr>
            <w:tcW w:w="4580" w:type="dxa"/>
            <w:vAlign w:val="center"/>
          </w:tcPr>
          <w:p>
            <w:pPr>
              <w:tabs>
                <w:tab w:val="left" w:pos="0"/>
              </w:tabs>
              <w:adjustRightInd w:val="0"/>
              <w:snapToGrid w:val="0"/>
              <w:rPr>
                <w:rFonts w:ascii="宋体" w:hAnsi="宋体" w:cs="宋体"/>
                <w:sz w:val="21"/>
              </w:rPr>
            </w:pPr>
            <w:r>
              <w:rPr>
                <w:rFonts w:hint="eastAsia" w:ascii="宋体" w:hAnsi="宋体" w:cs="宋体"/>
                <w:sz w:val="21"/>
              </w:rPr>
              <w:t>应符合磋商文件中的规定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515" w:type="dxa"/>
            <w:vMerge w:val="restart"/>
            <w:vAlign w:val="center"/>
          </w:tcPr>
          <w:p>
            <w:pPr>
              <w:tabs>
                <w:tab w:val="left" w:pos="0"/>
              </w:tabs>
              <w:adjustRightInd w:val="0"/>
              <w:snapToGrid w:val="0"/>
              <w:spacing w:line="360" w:lineRule="auto"/>
              <w:jc w:val="center"/>
              <w:rPr>
                <w:rFonts w:ascii="宋体" w:hAnsi="宋体" w:cs="宋体"/>
                <w:sz w:val="21"/>
              </w:rPr>
            </w:pPr>
            <w:r>
              <w:rPr>
                <w:rFonts w:hint="eastAsia" w:ascii="宋体" w:hAnsi="宋体" w:cs="宋体"/>
                <w:sz w:val="21"/>
              </w:rPr>
              <w:t>2</w:t>
            </w:r>
          </w:p>
        </w:tc>
        <w:tc>
          <w:tcPr>
            <w:tcW w:w="627" w:type="dxa"/>
            <w:vMerge w:val="restart"/>
            <w:vAlign w:val="center"/>
          </w:tcPr>
          <w:p>
            <w:pPr>
              <w:tabs>
                <w:tab w:val="left" w:pos="0"/>
              </w:tabs>
              <w:adjustRightInd w:val="0"/>
              <w:snapToGrid w:val="0"/>
              <w:jc w:val="center"/>
              <w:rPr>
                <w:rFonts w:ascii="宋体" w:hAnsi="宋体" w:cs="宋体"/>
                <w:sz w:val="21"/>
              </w:rPr>
            </w:pPr>
            <w:r>
              <w:rPr>
                <w:rFonts w:hint="eastAsia" w:ascii="宋体" w:hAnsi="宋体" w:cs="宋体"/>
                <w:sz w:val="21"/>
              </w:rPr>
              <w:t>完整性审查</w:t>
            </w:r>
          </w:p>
        </w:tc>
        <w:tc>
          <w:tcPr>
            <w:tcW w:w="3453" w:type="dxa"/>
            <w:vAlign w:val="center"/>
          </w:tcPr>
          <w:p>
            <w:pPr>
              <w:tabs>
                <w:tab w:val="left" w:pos="0"/>
              </w:tabs>
              <w:adjustRightInd w:val="0"/>
              <w:snapToGrid w:val="0"/>
              <w:rPr>
                <w:rFonts w:ascii="宋体" w:hAnsi="宋体" w:cs="宋体"/>
                <w:sz w:val="21"/>
              </w:rPr>
            </w:pPr>
            <w:r>
              <w:rPr>
                <w:rFonts w:hint="eastAsia" w:ascii="宋体" w:hAnsi="宋体" w:cs="宋体"/>
                <w:sz w:val="21"/>
              </w:rPr>
              <w:t>（5）响应文件份数</w:t>
            </w:r>
          </w:p>
        </w:tc>
        <w:tc>
          <w:tcPr>
            <w:tcW w:w="4580" w:type="dxa"/>
            <w:vAlign w:val="center"/>
          </w:tcPr>
          <w:p>
            <w:pPr>
              <w:tabs>
                <w:tab w:val="left" w:pos="0"/>
              </w:tabs>
              <w:adjustRightInd w:val="0"/>
              <w:snapToGrid w:val="0"/>
              <w:rPr>
                <w:rFonts w:ascii="宋体" w:hAnsi="宋体" w:cs="宋体"/>
                <w:sz w:val="21"/>
              </w:rPr>
            </w:pPr>
            <w:r>
              <w:rPr>
                <w:rFonts w:hint="eastAsia" w:ascii="宋体" w:hAnsi="宋体" w:cs="宋体"/>
                <w:sz w:val="21"/>
              </w:rPr>
              <w:t>应符合“响应人须知前附表”规定的正本、副本、电子文件数量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515" w:type="dxa"/>
            <w:vMerge w:val="continue"/>
          </w:tcPr>
          <w:p>
            <w:pPr>
              <w:tabs>
                <w:tab w:val="left" w:pos="0"/>
              </w:tabs>
              <w:adjustRightInd w:val="0"/>
              <w:snapToGrid w:val="0"/>
              <w:spacing w:line="360" w:lineRule="auto"/>
              <w:rPr>
                <w:rFonts w:ascii="宋体" w:hAnsi="宋体" w:cs="宋体"/>
                <w:sz w:val="21"/>
              </w:rPr>
            </w:pPr>
          </w:p>
        </w:tc>
        <w:tc>
          <w:tcPr>
            <w:tcW w:w="627" w:type="dxa"/>
            <w:vMerge w:val="continue"/>
          </w:tcPr>
          <w:p>
            <w:pPr>
              <w:tabs>
                <w:tab w:val="left" w:pos="0"/>
              </w:tabs>
              <w:adjustRightInd w:val="0"/>
              <w:snapToGrid w:val="0"/>
              <w:spacing w:line="360" w:lineRule="auto"/>
              <w:rPr>
                <w:rFonts w:ascii="宋体" w:hAnsi="宋体" w:cs="宋体"/>
                <w:sz w:val="21"/>
              </w:rPr>
            </w:pPr>
          </w:p>
        </w:tc>
        <w:tc>
          <w:tcPr>
            <w:tcW w:w="3453" w:type="dxa"/>
            <w:vAlign w:val="center"/>
          </w:tcPr>
          <w:p>
            <w:pPr>
              <w:tabs>
                <w:tab w:val="left" w:pos="0"/>
              </w:tabs>
              <w:adjustRightInd w:val="0"/>
              <w:snapToGrid w:val="0"/>
              <w:rPr>
                <w:rFonts w:ascii="宋体" w:hAnsi="宋体" w:cs="宋体"/>
                <w:sz w:val="21"/>
              </w:rPr>
            </w:pPr>
            <w:r>
              <w:rPr>
                <w:rFonts w:hint="eastAsia" w:ascii="宋体" w:hAnsi="宋体" w:cs="宋体"/>
                <w:sz w:val="21"/>
              </w:rPr>
              <w:t>（6）响应文件内容</w:t>
            </w:r>
          </w:p>
        </w:tc>
        <w:tc>
          <w:tcPr>
            <w:tcW w:w="4580" w:type="dxa"/>
            <w:vAlign w:val="center"/>
          </w:tcPr>
          <w:p>
            <w:pPr>
              <w:tabs>
                <w:tab w:val="left" w:pos="0"/>
              </w:tabs>
              <w:adjustRightInd w:val="0"/>
              <w:snapToGrid w:val="0"/>
              <w:rPr>
                <w:rFonts w:ascii="宋体" w:hAnsi="宋体" w:cs="宋体"/>
                <w:sz w:val="21"/>
              </w:rPr>
            </w:pPr>
            <w:r>
              <w:rPr>
                <w:rFonts w:hint="eastAsia" w:ascii="宋体" w:hAnsi="宋体" w:cs="宋体"/>
                <w:sz w:val="21"/>
              </w:rPr>
              <w:t>对采购技术要求章节中规划要求响应全面。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15" w:type="dxa"/>
            <w:vMerge w:val="restart"/>
            <w:vAlign w:val="center"/>
          </w:tcPr>
          <w:p>
            <w:pPr>
              <w:tabs>
                <w:tab w:val="left" w:pos="0"/>
              </w:tabs>
              <w:adjustRightInd w:val="0"/>
              <w:snapToGrid w:val="0"/>
              <w:spacing w:line="360" w:lineRule="auto"/>
              <w:jc w:val="center"/>
              <w:rPr>
                <w:rFonts w:ascii="宋体" w:hAnsi="宋体" w:cs="宋体"/>
                <w:sz w:val="21"/>
              </w:rPr>
            </w:pPr>
            <w:r>
              <w:rPr>
                <w:rFonts w:hint="eastAsia" w:ascii="宋体" w:hAnsi="宋体" w:cs="宋体"/>
                <w:sz w:val="21"/>
              </w:rPr>
              <w:t>3</w:t>
            </w:r>
          </w:p>
        </w:tc>
        <w:tc>
          <w:tcPr>
            <w:tcW w:w="627" w:type="dxa"/>
            <w:vMerge w:val="restart"/>
            <w:vAlign w:val="center"/>
          </w:tcPr>
          <w:p>
            <w:pPr>
              <w:tabs>
                <w:tab w:val="left" w:pos="0"/>
              </w:tabs>
              <w:adjustRightInd w:val="0"/>
              <w:snapToGrid w:val="0"/>
              <w:rPr>
                <w:rFonts w:ascii="宋体" w:hAnsi="宋体" w:cs="宋体"/>
                <w:sz w:val="21"/>
              </w:rPr>
            </w:pPr>
          </w:p>
          <w:p>
            <w:pPr>
              <w:tabs>
                <w:tab w:val="left" w:pos="0"/>
              </w:tabs>
              <w:adjustRightInd w:val="0"/>
              <w:snapToGrid w:val="0"/>
              <w:jc w:val="center"/>
              <w:rPr>
                <w:rFonts w:ascii="宋体" w:hAnsi="宋体" w:cs="宋体"/>
                <w:sz w:val="21"/>
              </w:rPr>
            </w:pPr>
            <w:r>
              <w:rPr>
                <w:rFonts w:hint="eastAsia" w:ascii="宋体" w:hAnsi="宋体" w:cs="宋体"/>
                <w:sz w:val="21"/>
              </w:rPr>
              <w:t>响应性审查</w:t>
            </w:r>
          </w:p>
        </w:tc>
        <w:tc>
          <w:tcPr>
            <w:tcW w:w="3453" w:type="dxa"/>
            <w:vAlign w:val="center"/>
          </w:tcPr>
          <w:p>
            <w:pPr>
              <w:tabs>
                <w:tab w:val="left" w:pos="0"/>
              </w:tabs>
              <w:adjustRightInd w:val="0"/>
              <w:snapToGrid w:val="0"/>
              <w:rPr>
                <w:rFonts w:ascii="宋体" w:hAnsi="宋体" w:cs="宋体"/>
                <w:sz w:val="21"/>
              </w:rPr>
            </w:pPr>
            <w:r>
              <w:rPr>
                <w:rFonts w:hint="eastAsia" w:ascii="宋体" w:hAnsi="宋体" w:cs="宋体"/>
                <w:sz w:val="21"/>
              </w:rPr>
              <w:t>（7）对磋商文件响应程度</w:t>
            </w:r>
          </w:p>
        </w:tc>
        <w:tc>
          <w:tcPr>
            <w:tcW w:w="4580" w:type="dxa"/>
            <w:vAlign w:val="center"/>
          </w:tcPr>
          <w:p>
            <w:pPr>
              <w:tabs>
                <w:tab w:val="left" w:pos="0"/>
              </w:tabs>
              <w:adjustRightInd w:val="0"/>
              <w:snapToGrid w:val="0"/>
              <w:rPr>
                <w:rFonts w:ascii="宋体" w:hAnsi="宋体" w:cs="宋体"/>
                <w:sz w:val="21"/>
              </w:rPr>
            </w:pPr>
            <w:r>
              <w:rPr>
                <w:rFonts w:hint="eastAsia" w:ascii="宋体" w:hAnsi="宋体" w:cs="宋体"/>
                <w:sz w:val="21"/>
              </w:rPr>
              <w:t>要求全面响应，不能有任何采购人不能接受的附加条件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515" w:type="dxa"/>
            <w:vMerge w:val="continue"/>
          </w:tcPr>
          <w:p>
            <w:pPr>
              <w:tabs>
                <w:tab w:val="left" w:pos="0"/>
              </w:tabs>
              <w:adjustRightInd w:val="0"/>
              <w:snapToGrid w:val="0"/>
              <w:spacing w:line="360" w:lineRule="auto"/>
              <w:rPr>
                <w:rFonts w:ascii="宋体" w:hAnsi="宋体" w:cs="宋体"/>
                <w:sz w:val="21"/>
              </w:rPr>
            </w:pPr>
          </w:p>
        </w:tc>
        <w:tc>
          <w:tcPr>
            <w:tcW w:w="627" w:type="dxa"/>
            <w:vMerge w:val="continue"/>
          </w:tcPr>
          <w:p>
            <w:pPr>
              <w:tabs>
                <w:tab w:val="left" w:pos="0"/>
              </w:tabs>
              <w:adjustRightInd w:val="0"/>
              <w:snapToGrid w:val="0"/>
              <w:spacing w:line="360" w:lineRule="auto"/>
              <w:rPr>
                <w:rFonts w:ascii="宋体" w:hAnsi="宋体" w:cs="宋体"/>
                <w:sz w:val="21"/>
              </w:rPr>
            </w:pPr>
          </w:p>
        </w:tc>
        <w:tc>
          <w:tcPr>
            <w:tcW w:w="3453" w:type="dxa"/>
            <w:vAlign w:val="center"/>
          </w:tcPr>
          <w:p>
            <w:pPr>
              <w:tabs>
                <w:tab w:val="left" w:pos="0"/>
              </w:tabs>
              <w:adjustRightInd w:val="0"/>
              <w:snapToGrid w:val="0"/>
              <w:rPr>
                <w:rFonts w:ascii="宋体" w:hAnsi="宋体" w:cs="宋体"/>
                <w:sz w:val="21"/>
              </w:rPr>
            </w:pPr>
            <w:r>
              <w:rPr>
                <w:rFonts w:hint="eastAsia" w:ascii="宋体" w:hAnsi="宋体" w:cs="宋体"/>
                <w:sz w:val="21"/>
              </w:rPr>
              <w:t>（8）服务期限</w:t>
            </w:r>
          </w:p>
        </w:tc>
        <w:tc>
          <w:tcPr>
            <w:tcW w:w="4580" w:type="dxa"/>
            <w:vAlign w:val="center"/>
          </w:tcPr>
          <w:p>
            <w:pPr>
              <w:tabs>
                <w:tab w:val="left" w:pos="0"/>
              </w:tabs>
              <w:adjustRightInd w:val="0"/>
              <w:snapToGrid w:val="0"/>
              <w:rPr>
                <w:rFonts w:ascii="宋体" w:hAnsi="宋体" w:cs="宋体"/>
                <w:sz w:val="21"/>
              </w:rPr>
            </w:pPr>
            <w:r>
              <w:rPr>
                <w:rFonts w:hint="eastAsia" w:ascii="宋体" w:hAnsi="宋体" w:cs="宋体"/>
                <w:sz w:val="21"/>
              </w:rPr>
              <w:t>应满足磋商文件中要求的服务期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515" w:type="dxa"/>
            <w:vMerge w:val="continue"/>
          </w:tcPr>
          <w:p>
            <w:pPr>
              <w:tabs>
                <w:tab w:val="left" w:pos="0"/>
              </w:tabs>
              <w:adjustRightInd w:val="0"/>
              <w:snapToGrid w:val="0"/>
              <w:spacing w:line="360" w:lineRule="auto"/>
              <w:rPr>
                <w:rFonts w:ascii="宋体" w:hAnsi="宋体" w:cs="宋体"/>
                <w:sz w:val="21"/>
              </w:rPr>
            </w:pPr>
          </w:p>
        </w:tc>
        <w:tc>
          <w:tcPr>
            <w:tcW w:w="627" w:type="dxa"/>
            <w:vMerge w:val="continue"/>
          </w:tcPr>
          <w:p>
            <w:pPr>
              <w:tabs>
                <w:tab w:val="left" w:pos="0"/>
              </w:tabs>
              <w:adjustRightInd w:val="0"/>
              <w:snapToGrid w:val="0"/>
              <w:spacing w:line="360" w:lineRule="auto"/>
              <w:rPr>
                <w:rFonts w:ascii="宋体" w:hAnsi="宋体" w:cs="宋体"/>
                <w:sz w:val="21"/>
              </w:rPr>
            </w:pPr>
          </w:p>
        </w:tc>
        <w:tc>
          <w:tcPr>
            <w:tcW w:w="3453" w:type="dxa"/>
            <w:vAlign w:val="center"/>
          </w:tcPr>
          <w:p>
            <w:pPr>
              <w:tabs>
                <w:tab w:val="left" w:pos="0"/>
              </w:tabs>
              <w:adjustRightInd w:val="0"/>
              <w:snapToGrid w:val="0"/>
              <w:rPr>
                <w:rFonts w:ascii="宋体" w:hAnsi="宋体" w:cs="宋体"/>
                <w:sz w:val="21"/>
              </w:rPr>
            </w:pPr>
            <w:r>
              <w:rPr>
                <w:rFonts w:hint="eastAsia" w:ascii="宋体" w:hAnsi="宋体" w:cs="宋体"/>
                <w:sz w:val="21"/>
              </w:rPr>
              <w:t>（9）响应有效期</w:t>
            </w:r>
          </w:p>
        </w:tc>
        <w:tc>
          <w:tcPr>
            <w:tcW w:w="4580" w:type="dxa"/>
            <w:vAlign w:val="center"/>
          </w:tcPr>
          <w:p>
            <w:pPr>
              <w:tabs>
                <w:tab w:val="left" w:pos="0"/>
              </w:tabs>
              <w:adjustRightInd w:val="0"/>
              <w:snapToGrid w:val="0"/>
              <w:rPr>
                <w:rFonts w:ascii="宋体" w:hAnsi="宋体" w:cs="宋体"/>
                <w:sz w:val="21"/>
              </w:rPr>
            </w:pPr>
            <w:r>
              <w:rPr>
                <w:rFonts w:hint="eastAsia" w:ascii="宋体" w:hAnsi="宋体" w:cs="宋体"/>
                <w:sz w:val="21"/>
              </w:rPr>
              <w:t>应满足磋商文件中的规定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515" w:type="dxa"/>
            <w:vMerge w:val="continue"/>
          </w:tcPr>
          <w:p>
            <w:pPr>
              <w:tabs>
                <w:tab w:val="left" w:pos="0"/>
              </w:tabs>
              <w:adjustRightInd w:val="0"/>
              <w:snapToGrid w:val="0"/>
              <w:spacing w:line="360" w:lineRule="auto"/>
              <w:rPr>
                <w:rFonts w:ascii="宋体" w:hAnsi="宋体" w:cs="宋体"/>
                <w:sz w:val="21"/>
              </w:rPr>
            </w:pPr>
          </w:p>
        </w:tc>
        <w:tc>
          <w:tcPr>
            <w:tcW w:w="627" w:type="dxa"/>
            <w:vMerge w:val="continue"/>
          </w:tcPr>
          <w:p>
            <w:pPr>
              <w:tabs>
                <w:tab w:val="left" w:pos="0"/>
              </w:tabs>
              <w:adjustRightInd w:val="0"/>
              <w:snapToGrid w:val="0"/>
              <w:spacing w:line="360" w:lineRule="auto"/>
              <w:rPr>
                <w:rFonts w:ascii="宋体" w:hAnsi="宋体" w:cs="宋体"/>
                <w:sz w:val="21"/>
              </w:rPr>
            </w:pPr>
          </w:p>
        </w:tc>
        <w:tc>
          <w:tcPr>
            <w:tcW w:w="3453" w:type="dxa"/>
            <w:vAlign w:val="center"/>
          </w:tcPr>
          <w:p>
            <w:pPr>
              <w:tabs>
                <w:tab w:val="left" w:pos="0"/>
              </w:tabs>
              <w:adjustRightInd w:val="0"/>
              <w:snapToGrid w:val="0"/>
              <w:rPr>
                <w:rFonts w:ascii="宋体" w:hAnsi="宋体" w:cs="宋体"/>
                <w:sz w:val="21"/>
              </w:rPr>
            </w:pPr>
            <w:r>
              <w:rPr>
                <w:rFonts w:hint="eastAsia" w:ascii="宋体" w:hAnsi="宋体" w:cs="宋体"/>
                <w:sz w:val="21"/>
              </w:rPr>
              <w:t>（10）付款方式</w:t>
            </w:r>
          </w:p>
        </w:tc>
        <w:tc>
          <w:tcPr>
            <w:tcW w:w="4580" w:type="dxa"/>
            <w:vAlign w:val="center"/>
          </w:tcPr>
          <w:p>
            <w:pPr>
              <w:tabs>
                <w:tab w:val="left" w:pos="0"/>
              </w:tabs>
              <w:adjustRightInd w:val="0"/>
              <w:snapToGrid w:val="0"/>
              <w:rPr>
                <w:rFonts w:ascii="宋体" w:hAnsi="宋体" w:cs="宋体"/>
                <w:sz w:val="21"/>
              </w:rPr>
            </w:pPr>
            <w:r>
              <w:rPr>
                <w:rFonts w:hint="eastAsia" w:ascii="宋体" w:hAnsi="宋体" w:cs="宋体"/>
                <w:sz w:val="21"/>
              </w:rPr>
              <w:t>应满足磋商文件中的规定</w:t>
            </w:r>
          </w:p>
        </w:tc>
      </w:tr>
    </w:tbl>
    <w:p>
      <w:pPr>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说明：以上各项有1项不合格，评审不予通过，作为未实质性响应磋商文件。</w:t>
      </w:r>
    </w:p>
    <w:p>
      <w:pPr>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1.3.3 未通过符合性检查的响应文件，不得进入后续评标环节。</w:t>
      </w:r>
    </w:p>
    <w:p>
      <w:pPr>
        <w:spacing w:line="360" w:lineRule="auto"/>
        <w:rPr>
          <w:rFonts w:asciiTheme="minorEastAsia" w:hAnsiTheme="minorEastAsia" w:eastAsiaTheme="minorEastAsia"/>
          <w:b/>
          <w:bCs/>
          <w:szCs w:val="24"/>
        </w:rPr>
      </w:pPr>
      <w:bookmarkStart w:id="371" w:name="_Toc13372"/>
      <w:bookmarkStart w:id="372" w:name="_Toc19948"/>
      <w:r>
        <w:rPr>
          <w:rFonts w:hint="eastAsia" w:asciiTheme="minorEastAsia" w:hAnsiTheme="minorEastAsia" w:eastAsiaTheme="minorEastAsia"/>
          <w:b/>
          <w:bCs/>
          <w:szCs w:val="24"/>
        </w:rPr>
        <w:t>1.4 响应文件的澄清或说明</w:t>
      </w:r>
      <w:bookmarkEnd w:id="371"/>
      <w:bookmarkEnd w:id="372"/>
    </w:p>
    <w:p>
      <w:pPr>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1.4.1为有助于响应文件的审查、比较和评价，磋商小组可以书面形式要求响应人对其响应文件中含义不明确、同类问题表述不一致或者有明显文字和计算错误的内容作必要的澄清、说明或者补正。有关澄清、说明或者补正应以书面形式提交，并由其法定代表人（负责人）或委托代理人签字。磋商小组不接受响应人主动提出的澄清、说明或者补正。</w:t>
      </w:r>
    </w:p>
    <w:p>
      <w:pPr>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1.4.2 响应人的澄清、说明或者补正不得超出响应文件的范围或者改变响应文件的实质性内容，并构成为响应文件的组成部分。</w:t>
      </w:r>
    </w:p>
    <w:p>
      <w:pPr>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1.4.3 磋商小组对响应人提交的澄清、说明或者补正有疑问的，可以要求响应人进一步澄清、说明或者补正，直至满足磋商小组的要求。</w:t>
      </w:r>
    </w:p>
    <w:p>
      <w:pPr>
        <w:spacing w:line="360" w:lineRule="auto"/>
        <w:rPr>
          <w:rFonts w:asciiTheme="minorEastAsia" w:hAnsiTheme="minorEastAsia" w:eastAsiaTheme="minorEastAsia"/>
          <w:b/>
          <w:bCs/>
          <w:szCs w:val="24"/>
        </w:rPr>
      </w:pPr>
      <w:bookmarkStart w:id="373" w:name="_Toc30489"/>
      <w:bookmarkStart w:id="374" w:name="_Toc28479"/>
      <w:r>
        <w:rPr>
          <w:rFonts w:hint="eastAsia" w:asciiTheme="minorEastAsia" w:hAnsiTheme="minorEastAsia" w:eastAsiaTheme="minorEastAsia"/>
          <w:b/>
          <w:bCs/>
          <w:szCs w:val="24"/>
        </w:rPr>
        <w:t>1.5 响应文件比较与评价</w:t>
      </w:r>
      <w:bookmarkEnd w:id="373"/>
      <w:bookmarkEnd w:id="374"/>
    </w:p>
    <w:p>
      <w:pPr>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 xml:space="preserve">1.5.1 </w:t>
      </w:r>
      <w:r>
        <w:rPr>
          <w:rFonts w:hint="eastAsia" w:cs="宋体" w:asciiTheme="minorEastAsia" w:hAnsiTheme="minorEastAsia" w:eastAsiaTheme="minorEastAsia"/>
          <w:bCs/>
          <w:szCs w:val="24"/>
        </w:rPr>
        <w:t>磋商小组应按照磋商文件中规定的评标方法</w:t>
      </w:r>
      <w:r>
        <w:rPr>
          <w:rFonts w:hint="eastAsia" w:cs="宋体" w:asciiTheme="minorEastAsia" w:hAnsiTheme="minorEastAsia" w:eastAsiaTheme="minorEastAsia"/>
          <w:szCs w:val="24"/>
        </w:rPr>
        <w:t>和标准，</w:t>
      </w:r>
      <w:r>
        <w:rPr>
          <w:rFonts w:hint="eastAsia" w:cs="宋体" w:asciiTheme="minorEastAsia" w:hAnsiTheme="minorEastAsia" w:eastAsiaTheme="minorEastAsia"/>
          <w:bCs/>
          <w:szCs w:val="24"/>
        </w:rPr>
        <w:t>对</w:t>
      </w:r>
      <w:r>
        <w:rPr>
          <w:rFonts w:hint="eastAsia" w:cs="宋体" w:asciiTheme="minorEastAsia" w:hAnsiTheme="minorEastAsia" w:eastAsiaTheme="minorEastAsia"/>
          <w:szCs w:val="24"/>
        </w:rPr>
        <w:t>符合性检查</w:t>
      </w:r>
      <w:r>
        <w:rPr>
          <w:rFonts w:hint="eastAsia" w:cs="宋体" w:asciiTheme="minorEastAsia" w:hAnsiTheme="minorEastAsia" w:eastAsiaTheme="minorEastAsia"/>
          <w:bCs/>
          <w:szCs w:val="24"/>
        </w:rPr>
        <w:t>通过的响应文件进行商务和技术评估，综合比较与评价。</w:t>
      </w:r>
    </w:p>
    <w:p>
      <w:pPr>
        <w:spacing w:line="360" w:lineRule="auto"/>
        <w:ind w:firstLine="470" w:firstLineChars="196"/>
        <w:rPr>
          <w:rFonts w:cs="宋体" w:asciiTheme="minorEastAsia" w:hAnsiTheme="minorEastAsia" w:eastAsiaTheme="minorEastAsia"/>
          <w:szCs w:val="24"/>
        </w:rPr>
      </w:pPr>
      <w:r>
        <w:rPr>
          <w:rFonts w:hint="eastAsia" w:cs="宋体" w:asciiTheme="minorEastAsia" w:hAnsiTheme="minorEastAsia" w:eastAsiaTheme="minorEastAsia"/>
          <w:szCs w:val="24"/>
        </w:rPr>
        <w:t>1.5.2 如果响应文件没有实质性响应磋商文件的要求，磋商小组将予以拒绝。响应人不得通过修正或撤销不合要求的偏离或保留，从而使其响应成为实质性响应的响应。</w:t>
      </w:r>
    </w:p>
    <w:p>
      <w:pPr>
        <w:spacing w:line="360" w:lineRule="auto"/>
        <w:ind w:left="1"/>
        <w:jc w:val="left"/>
        <w:outlineLvl w:val="1"/>
        <w:rPr>
          <w:rStyle w:val="114"/>
          <w:rFonts w:asciiTheme="minorEastAsia" w:hAnsiTheme="minorEastAsia" w:eastAsiaTheme="minorEastAsia"/>
          <w:szCs w:val="24"/>
        </w:rPr>
      </w:pPr>
      <w:bookmarkStart w:id="375" w:name="_Toc89440034"/>
      <w:bookmarkStart w:id="376" w:name="_Toc48655758"/>
      <w:r>
        <w:rPr>
          <w:rStyle w:val="114"/>
          <w:rFonts w:hint="eastAsia" w:asciiTheme="minorEastAsia" w:hAnsiTheme="minorEastAsia" w:eastAsiaTheme="minorEastAsia"/>
          <w:szCs w:val="24"/>
        </w:rPr>
        <w:t>二、评分细则</w:t>
      </w:r>
      <w:bookmarkEnd w:id="375"/>
      <w:bookmarkEnd w:id="376"/>
    </w:p>
    <w:p>
      <w:bookmarkStart w:id="377" w:name="_Toc48655759"/>
      <w:r>
        <w:rPr>
          <w:rFonts w:hint="eastAsia"/>
        </w:rPr>
        <w:t>本项目采用综合评分法</w:t>
      </w:r>
      <w:bookmarkEnd w:id="377"/>
      <w:r>
        <w:rPr>
          <w:rFonts w:hint="eastAsia"/>
        </w:rPr>
        <w:t>，总分为100分，具体评分方法如下：</w:t>
      </w:r>
    </w:p>
    <w:p>
      <w:pPr>
        <w:spacing w:line="360" w:lineRule="auto"/>
        <w:ind w:left="1"/>
        <w:jc w:val="left"/>
        <w:rPr>
          <w:rFonts w:cs="宋体" w:asciiTheme="minorEastAsia" w:hAnsiTheme="minorEastAsia" w:eastAsiaTheme="minorEastAsia"/>
          <w:bCs/>
          <w:szCs w:val="24"/>
        </w:rPr>
      </w:pPr>
      <w:r>
        <w:rPr>
          <w:rFonts w:hint="eastAsia" w:cs="宋体" w:asciiTheme="minorEastAsia" w:hAnsiTheme="minorEastAsia" w:eastAsiaTheme="minorEastAsia"/>
          <w:b/>
          <w:szCs w:val="24"/>
        </w:rPr>
        <w:t>2.1综合评分法：</w:t>
      </w:r>
      <w:r>
        <w:rPr>
          <w:rFonts w:hint="eastAsia" w:cs="宋体" w:asciiTheme="minorEastAsia" w:hAnsiTheme="minorEastAsia" w:eastAsiaTheme="minorEastAsia"/>
          <w:bCs/>
          <w:szCs w:val="24"/>
        </w:rPr>
        <w:t>即在满足磋商文件全部实质性要求前提下，按照评审因素的量化指标，以评审总得分由高到低顺序推荐成交候选人，具体评审因素和分值如下：</w:t>
      </w:r>
    </w:p>
    <w:p>
      <w:pPr>
        <w:spacing w:line="360" w:lineRule="auto"/>
        <w:ind w:left="1"/>
        <w:jc w:val="left"/>
        <w:rPr>
          <w:rFonts w:cs="宋体" w:asciiTheme="minorEastAsia" w:hAnsiTheme="minorEastAsia" w:eastAsiaTheme="minorEastAsia"/>
          <w:szCs w:val="24"/>
        </w:rPr>
      </w:pPr>
      <w:r>
        <w:rPr>
          <w:rFonts w:hint="eastAsia" w:cs="宋体" w:asciiTheme="minorEastAsia" w:hAnsiTheme="minorEastAsia" w:eastAsiaTheme="minorEastAsia"/>
          <w:b/>
          <w:szCs w:val="24"/>
        </w:rPr>
        <w:t>2.2评审分值</w:t>
      </w:r>
    </w:p>
    <w:tbl>
      <w:tblPr>
        <w:tblStyle w:val="35"/>
        <w:tblW w:w="9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5"/>
        <w:gridCol w:w="7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895" w:type="dxa"/>
            <w:vAlign w:val="center"/>
          </w:tcPr>
          <w:p>
            <w:pPr>
              <w:spacing w:line="276" w:lineRule="auto"/>
              <w:jc w:val="center"/>
              <w:rPr>
                <w:rFonts w:cs="宋体" w:asciiTheme="minorEastAsia" w:hAnsiTheme="minorEastAsia" w:eastAsiaTheme="minorEastAsia"/>
                <w:color w:val="000000"/>
                <w:sz w:val="21"/>
              </w:rPr>
            </w:pPr>
            <w:bookmarkStart w:id="378" w:name="_Toc11252"/>
            <w:r>
              <w:rPr>
                <w:rFonts w:hint="eastAsia" w:cs="宋体" w:asciiTheme="minorEastAsia" w:hAnsiTheme="minorEastAsia" w:eastAsiaTheme="minorEastAsia"/>
                <w:b/>
                <w:bCs/>
                <w:color w:val="000000"/>
                <w:sz w:val="21"/>
              </w:rPr>
              <w:t>评审因素</w:t>
            </w:r>
          </w:p>
        </w:tc>
        <w:tc>
          <w:tcPr>
            <w:tcW w:w="7220" w:type="dxa"/>
            <w:vAlign w:val="center"/>
          </w:tcPr>
          <w:p>
            <w:pPr>
              <w:spacing w:line="276" w:lineRule="auto"/>
              <w:jc w:val="center"/>
              <w:rPr>
                <w:rFonts w:cs="宋体" w:asciiTheme="minorEastAsia" w:hAnsiTheme="minorEastAsia" w:eastAsiaTheme="minorEastAsia"/>
                <w:color w:val="000000"/>
                <w:kern w:val="0"/>
                <w:sz w:val="21"/>
              </w:rPr>
            </w:pPr>
            <w:r>
              <w:rPr>
                <w:rFonts w:hint="eastAsia" w:cs="宋体" w:asciiTheme="minorEastAsia" w:hAnsiTheme="minorEastAsia" w:eastAsiaTheme="minorEastAsia"/>
                <w:b/>
                <w:bCs/>
                <w:color w:val="000000"/>
                <w:sz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jc w:val="center"/>
        </w:trPr>
        <w:tc>
          <w:tcPr>
            <w:tcW w:w="1895" w:type="dxa"/>
            <w:vAlign w:val="center"/>
          </w:tcPr>
          <w:p>
            <w:pPr>
              <w:spacing w:line="276" w:lineRule="auto"/>
              <w:jc w:val="center"/>
              <w:rPr>
                <w:rFonts w:cs="宋体" w:asciiTheme="minorEastAsia" w:hAnsiTheme="minorEastAsia" w:eastAsiaTheme="minorEastAsia"/>
                <w:sz w:val="21"/>
              </w:rPr>
            </w:pPr>
            <w:r>
              <w:rPr>
                <w:rFonts w:hint="eastAsia" w:cs="宋体" w:asciiTheme="minorEastAsia" w:hAnsiTheme="minorEastAsia" w:eastAsiaTheme="minorEastAsia"/>
                <w:sz w:val="21"/>
              </w:rPr>
              <w:t>响应报价</w:t>
            </w:r>
          </w:p>
          <w:p>
            <w:pPr>
              <w:spacing w:line="276" w:lineRule="auto"/>
              <w:jc w:val="center"/>
              <w:rPr>
                <w:rFonts w:cs="宋体" w:asciiTheme="minorEastAsia" w:hAnsiTheme="minorEastAsia" w:eastAsiaTheme="minorEastAsia"/>
                <w:sz w:val="21"/>
              </w:rPr>
            </w:pPr>
            <w:r>
              <w:rPr>
                <w:rFonts w:hint="eastAsia" w:cs="宋体" w:asciiTheme="minorEastAsia" w:hAnsiTheme="minorEastAsia" w:eastAsiaTheme="minorEastAsia"/>
                <w:sz w:val="21"/>
              </w:rPr>
              <w:t>10分</w:t>
            </w:r>
          </w:p>
        </w:tc>
        <w:tc>
          <w:tcPr>
            <w:tcW w:w="7220" w:type="dxa"/>
            <w:vAlign w:val="center"/>
          </w:tcPr>
          <w:p>
            <w:pPr>
              <w:spacing w:line="276" w:lineRule="auto"/>
              <w:rPr>
                <w:rFonts w:cs="宋体" w:asciiTheme="minorEastAsia" w:hAnsiTheme="minorEastAsia" w:eastAsiaTheme="minorEastAsia"/>
                <w:sz w:val="21"/>
              </w:rPr>
            </w:pPr>
            <w:r>
              <w:rPr>
                <w:rFonts w:hint="eastAsia" w:cs="宋体" w:asciiTheme="minorEastAsia" w:hAnsiTheme="minorEastAsia" w:eastAsiaTheme="minorEastAsia"/>
                <w:sz w:val="21"/>
              </w:rPr>
              <w:t xml:space="preserve">价格分统一采用低价优先法计算，即满足磋商文件要求且磋商价格最低的磋商报价为磋商基准价，其价格分为满分。其他供应商的价格分统一按照下列公式计算： </w:t>
            </w:r>
          </w:p>
          <w:p>
            <w:pPr>
              <w:spacing w:line="276" w:lineRule="auto"/>
              <w:rPr>
                <w:rFonts w:cs="宋体" w:asciiTheme="minorEastAsia" w:hAnsiTheme="minorEastAsia" w:eastAsiaTheme="minorEastAsia"/>
                <w:sz w:val="21"/>
              </w:rPr>
            </w:pPr>
            <w:r>
              <w:rPr>
                <w:rFonts w:hint="eastAsia" w:cs="宋体" w:asciiTheme="minorEastAsia" w:hAnsiTheme="minorEastAsia" w:eastAsiaTheme="minorEastAsia"/>
                <w:sz w:val="21"/>
              </w:rPr>
              <w:t xml:space="preserve">磋商报价得分=(磋商基准价／最终报价)×10          </w:t>
            </w:r>
          </w:p>
          <w:p>
            <w:pPr>
              <w:snapToGrid w:val="0"/>
              <w:spacing w:line="276" w:lineRule="auto"/>
              <w:jc w:val="left"/>
              <w:rPr>
                <w:rFonts w:asciiTheme="minorEastAsia" w:hAnsiTheme="minorEastAsia" w:eastAsiaTheme="minorEastAsia"/>
                <w:sz w:val="21"/>
              </w:rPr>
            </w:pPr>
            <w:r>
              <w:rPr>
                <w:rFonts w:hint="eastAsia" w:cs="宋体" w:asciiTheme="minorEastAsia" w:hAnsiTheme="minorEastAsia" w:eastAsiaTheme="minorEastAsia"/>
                <w:sz w:val="21"/>
              </w:rPr>
              <w:t>计算分数时四舍五入取小数点后两位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95" w:type="dxa"/>
            <w:vMerge w:val="restart"/>
            <w:vAlign w:val="center"/>
          </w:tcPr>
          <w:p>
            <w:pPr>
              <w:spacing w:line="276" w:lineRule="auto"/>
              <w:ind w:firstLine="420" w:firstLineChars="200"/>
              <w:jc w:val="center"/>
              <w:rPr>
                <w:rFonts w:cs="宋体" w:asciiTheme="minorEastAsia" w:hAnsiTheme="minorEastAsia" w:eastAsiaTheme="minorEastAsia"/>
                <w:sz w:val="21"/>
              </w:rPr>
            </w:pPr>
          </w:p>
          <w:p>
            <w:pPr>
              <w:spacing w:line="276" w:lineRule="auto"/>
              <w:ind w:firstLine="420" w:firstLineChars="200"/>
              <w:jc w:val="center"/>
              <w:rPr>
                <w:rFonts w:cs="宋体" w:asciiTheme="minorEastAsia" w:hAnsiTheme="minorEastAsia" w:eastAsiaTheme="minorEastAsia"/>
                <w:sz w:val="21"/>
              </w:rPr>
            </w:pPr>
          </w:p>
          <w:p>
            <w:pPr>
              <w:spacing w:line="276" w:lineRule="auto"/>
              <w:ind w:firstLine="420" w:firstLineChars="200"/>
              <w:jc w:val="center"/>
              <w:rPr>
                <w:rFonts w:cs="宋体" w:asciiTheme="minorEastAsia" w:hAnsiTheme="minorEastAsia" w:eastAsiaTheme="minorEastAsia"/>
                <w:sz w:val="21"/>
              </w:rPr>
            </w:pPr>
          </w:p>
          <w:p>
            <w:pPr>
              <w:spacing w:line="276" w:lineRule="auto"/>
              <w:ind w:firstLine="420" w:firstLineChars="200"/>
              <w:jc w:val="center"/>
              <w:rPr>
                <w:rFonts w:cs="宋体" w:asciiTheme="minorEastAsia" w:hAnsiTheme="minorEastAsia" w:eastAsiaTheme="minorEastAsia"/>
                <w:sz w:val="21"/>
              </w:rPr>
            </w:pPr>
          </w:p>
          <w:p>
            <w:pPr>
              <w:spacing w:line="276" w:lineRule="auto"/>
              <w:ind w:firstLine="420" w:firstLineChars="200"/>
              <w:jc w:val="center"/>
              <w:rPr>
                <w:rFonts w:cs="宋体" w:asciiTheme="minorEastAsia" w:hAnsiTheme="minorEastAsia" w:eastAsiaTheme="minorEastAsia"/>
                <w:sz w:val="21"/>
              </w:rPr>
            </w:pPr>
          </w:p>
          <w:p>
            <w:pPr>
              <w:spacing w:line="276" w:lineRule="auto"/>
              <w:ind w:firstLine="420" w:firstLineChars="200"/>
              <w:jc w:val="center"/>
              <w:rPr>
                <w:rFonts w:cs="宋体" w:asciiTheme="minorEastAsia" w:hAnsiTheme="minorEastAsia" w:eastAsiaTheme="minorEastAsia"/>
                <w:sz w:val="21"/>
              </w:rPr>
            </w:pPr>
          </w:p>
          <w:p>
            <w:pPr>
              <w:spacing w:line="276" w:lineRule="auto"/>
              <w:ind w:firstLine="420" w:firstLineChars="200"/>
              <w:jc w:val="center"/>
              <w:rPr>
                <w:rFonts w:cs="宋体" w:asciiTheme="minorEastAsia" w:hAnsiTheme="minorEastAsia" w:eastAsiaTheme="minorEastAsia"/>
                <w:sz w:val="21"/>
              </w:rPr>
            </w:pPr>
          </w:p>
          <w:p>
            <w:pPr>
              <w:spacing w:line="276" w:lineRule="auto"/>
              <w:ind w:firstLine="420" w:firstLineChars="200"/>
              <w:jc w:val="center"/>
              <w:rPr>
                <w:rFonts w:cs="宋体" w:asciiTheme="minorEastAsia" w:hAnsiTheme="minorEastAsia" w:eastAsiaTheme="minorEastAsia"/>
                <w:sz w:val="21"/>
              </w:rPr>
            </w:pPr>
          </w:p>
          <w:p>
            <w:pPr>
              <w:spacing w:line="276" w:lineRule="auto"/>
              <w:ind w:firstLine="420" w:firstLineChars="200"/>
              <w:jc w:val="center"/>
              <w:rPr>
                <w:rFonts w:cs="宋体" w:asciiTheme="minorEastAsia" w:hAnsiTheme="minorEastAsia" w:eastAsiaTheme="minorEastAsia"/>
                <w:sz w:val="21"/>
              </w:rPr>
            </w:pPr>
          </w:p>
          <w:p>
            <w:pPr>
              <w:spacing w:line="276" w:lineRule="auto"/>
              <w:ind w:firstLine="420" w:firstLineChars="200"/>
              <w:jc w:val="center"/>
              <w:rPr>
                <w:rFonts w:cs="宋体" w:asciiTheme="minorEastAsia" w:hAnsiTheme="minorEastAsia" w:eastAsiaTheme="minorEastAsia"/>
                <w:sz w:val="21"/>
              </w:rPr>
            </w:pPr>
            <w:r>
              <w:rPr>
                <w:rFonts w:hint="eastAsia" w:cs="宋体" w:asciiTheme="minorEastAsia" w:hAnsiTheme="minorEastAsia" w:eastAsiaTheme="minorEastAsia"/>
                <w:sz w:val="21"/>
              </w:rPr>
              <w:t>服务方案</w:t>
            </w:r>
          </w:p>
          <w:p>
            <w:pPr>
              <w:spacing w:line="276" w:lineRule="auto"/>
              <w:ind w:firstLine="420" w:firstLineChars="200"/>
              <w:jc w:val="center"/>
              <w:rPr>
                <w:rFonts w:cs="宋体" w:asciiTheme="minorEastAsia" w:hAnsiTheme="minorEastAsia" w:eastAsiaTheme="minorEastAsia"/>
                <w:sz w:val="21"/>
              </w:rPr>
            </w:pPr>
            <w:r>
              <w:rPr>
                <w:rFonts w:hint="eastAsia" w:cs="宋体" w:asciiTheme="minorEastAsia" w:hAnsiTheme="minorEastAsia" w:eastAsiaTheme="minorEastAsia"/>
                <w:sz w:val="21"/>
              </w:rPr>
              <w:t>（60分）</w:t>
            </w:r>
          </w:p>
        </w:tc>
        <w:tc>
          <w:tcPr>
            <w:tcW w:w="7220" w:type="dxa"/>
            <w:vAlign w:val="center"/>
          </w:tcPr>
          <w:p>
            <w:pPr>
              <w:spacing w:line="276" w:lineRule="auto"/>
              <w:jc w:val="left"/>
              <w:rPr>
                <w:rFonts w:cs="宋体" w:asciiTheme="minorEastAsia" w:hAnsiTheme="minorEastAsia" w:eastAsiaTheme="minorEastAsia"/>
                <w:color w:val="000000"/>
                <w:kern w:val="0"/>
                <w:sz w:val="21"/>
                <w:lang w:val="zh-CN"/>
              </w:rPr>
            </w:pPr>
            <w:r>
              <w:rPr>
                <w:rFonts w:hint="eastAsia" w:cs="宋体" w:asciiTheme="minorEastAsia" w:hAnsiTheme="minorEastAsia" w:eastAsiaTheme="minorEastAsia"/>
                <w:color w:val="000000"/>
                <w:kern w:val="0"/>
                <w:sz w:val="21"/>
              </w:rPr>
              <w:t>项目总体实施方案：针对本项目服务要求编制，结合项目实际情况，对本项目实施方案的完善程度及合理性进行得分。方案内容详尽、具体、有效得【10</w:t>
            </w:r>
            <w:r>
              <w:rPr>
                <w:rFonts w:hint="eastAsia" w:cs="宋体" w:asciiTheme="minorEastAsia" w:hAnsiTheme="minorEastAsia" w:eastAsiaTheme="minorEastAsia"/>
                <w:color w:val="000000"/>
                <w:kern w:val="0"/>
                <w:sz w:val="21"/>
                <w:lang w:val="zh-CN"/>
              </w:rPr>
              <w:t>-</w:t>
            </w:r>
            <w:r>
              <w:rPr>
                <w:rFonts w:hint="eastAsia" w:cs="宋体" w:asciiTheme="minorEastAsia" w:hAnsiTheme="minorEastAsia" w:eastAsiaTheme="minorEastAsia"/>
                <w:color w:val="000000"/>
                <w:kern w:val="0"/>
                <w:sz w:val="21"/>
              </w:rPr>
              <w:t>15</w:t>
            </w:r>
            <w:r>
              <w:rPr>
                <w:rFonts w:hint="eastAsia" w:cs="宋体" w:asciiTheme="minorEastAsia" w:hAnsiTheme="minorEastAsia" w:eastAsiaTheme="minorEastAsia"/>
                <w:color w:val="000000"/>
                <w:kern w:val="0"/>
                <w:sz w:val="21"/>
                <w:lang w:val="zh-CN"/>
              </w:rPr>
              <w:t>】</w:t>
            </w:r>
            <w:r>
              <w:rPr>
                <w:rFonts w:hint="eastAsia" w:cs="宋体" w:asciiTheme="minorEastAsia" w:hAnsiTheme="minorEastAsia" w:eastAsiaTheme="minorEastAsia"/>
                <w:color w:val="000000"/>
                <w:kern w:val="0"/>
                <w:sz w:val="21"/>
              </w:rPr>
              <w:t>分，方案内容相对清晰合理得</w:t>
            </w:r>
            <w:r>
              <w:rPr>
                <w:rFonts w:hint="eastAsia" w:cs="宋体" w:asciiTheme="minorEastAsia" w:hAnsiTheme="minorEastAsia" w:eastAsiaTheme="minorEastAsia"/>
                <w:color w:val="000000"/>
                <w:kern w:val="0"/>
                <w:sz w:val="21"/>
                <w:lang w:val="zh-CN"/>
              </w:rPr>
              <w:t>【</w:t>
            </w:r>
            <w:r>
              <w:rPr>
                <w:rFonts w:hint="eastAsia" w:cs="宋体" w:asciiTheme="minorEastAsia" w:hAnsiTheme="minorEastAsia" w:eastAsiaTheme="minorEastAsia"/>
                <w:color w:val="000000"/>
                <w:kern w:val="0"/>
                <w:sz w:val="21"/>
              </w:rPr>
              <w:t>5</w:t>
            </w:r>
            <w:r>
              <w:rPr>
                <w:rFonts w:hint="eastAsia" w:cs="宋体" w:asciiTheme="minorEastAsia" w:hAnsiTheme="minorEastAsia" w:eastAsiaTheme="minorEastAsia"/>
                <w:color w:val="000000"/>
                <w:kern w:val="0"/>
                <w:sz w:val="21"/>
                <w:lang w:val="zh-CN"/>
              </w:rPr>
              <w:t>-</w:t>
            </w:r>
            <w:r>
              <w:rPr>
                <w:rFonts w:hint="eastAsia" w:cs="宋体" w:asciiTheme="minorEastAsia" w:hAnsiTheme="minorEastAsia" w:eastAsiaTheme="minorEastAsia"/>
                <w:color w:val="000000"/>
                <w:kern w:val="0"/>
                <w:sz w:val="21"/>
              </w:rPr>
              <w:t>10）分，方案内容一般得【0-5）分，未提供相关内容的不计分。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895" w:type="dxa"/>
            <w:vMerge w:val="continue"/>
            <w:vAlign w:val="center"/>
          </w:tcPr>
          <w:p>
            <w:pPr>
              <w:spacing w:line="276" w:lineRule="auto"/>
              <w:ind w:firstLine="420" w:firstLineChars="200"/>
              <w:jc w:val="center"/>
              <w:rPr>
                <w:rFonts w:cs="宋体" w:asciiTheme="minorEastAsia" w:hAnsiTheme="minorEastAsia" w:eastAsiaTheme="minorEastAsia"/>
                <w:sz w:val="21"/>
              </w:rPr>
            </w:pPr>
          </w:p>
        </w:tc>
        <w:tc>
          <w:tcPr>
            <w:tcW w:w="7220" w:type="dxa"/>
            <w:vAlign w:val="center"/>
          </w:tcPr>
          <w:p>
            <w:pPr>
              <w:spacing w:line="276" w:lineRule="auto"/>
              <w:jc w:val="left"/>
              <w:rPr>
                <w:rFonts w:cs="宋体" w:asciiTheme="minorEastAsia" w:hAnsiTheme="minorEastAsia" w:eastAsiaTheme="minorEastAsia"/>
                <w:color w:val="000000"/>
                <w:kern w:val="0"/>
                <w:sz w:val="21"/>
                <w:lang w:val="zh-CN"/>
              </w:rPr>
            </w:pPr>
            <w:r>
              <w:rPr>
                <w:rFonts w:hint="eastAsia" w:cs="宋体" w:asciiTheme="minorEastAsia" w:hAnsiTheme="minorEastAsia" w:eastAsiaTheme="minorEastAsia"/>
                <w:color w:val="000000"/>
                <w:kern w:val="0"/>
                <w:sz w:val="21"/>
              </w:rPr>
              <w:t>重难点分析：供应商能够充分理解本项目采购需求，对项目重点难点进行分析并提供技术建议。对项目特点、难点及重点的分析透彻合理科学，能提供有效的技术建议的得</w:t>
            </w:r>
            <w:r>
              <w:rPr>
                <w:rFonts w:hint="eastAsia" w:cs="宋体" w:asciiTheme="minorEastAsia" w:hAnsiTheme="minorEastAsia" w:eastAsiaTheme="minorEastAsia"/>
                <w:color w:val="000000"/>
                <w:kern w:val="0"/>
                <w:sz w:val="21"/>
                <w:lang w:val="zh-CN"/>
              </w:rPr>
              <w:t>【</w:t>
            </w:r>
            <w:r>
              <w:rPr>
                <w:rFonts w:hint="eastAsia" w:cs="宋体" w:asciiTheme="minorEastAsia" w:hAnsiTheme="minorEastAsia" w:eastAsiaTheme="minorEastAsia"/>
                <w:color w:val="000000"/>
                <w:kern w:val="0"/>
                <w:sz w:val="21"/>
              </w:rPr>
              <w:t>7</w:t>
            </w:r>
            <w:r>
              <w:rPr>
                <w:rFonts w:hint="eastAsia" w:cs="宋体" w:asciiTheme="minorEastAsia" w:hAnsiTheme="minorEastAsia" w:eastAsiaTheme="minorEastAsia"/>
                <w:color w:val="000000"/>
                <w:kern w:val="0"/>
                <w:sz w:val="21"/>
                <w:lang w:val="zh-CN"/>
              </w:rPr>
              <w:t>-</w:t>
            </w:r>
            <w:r>
              <w:rPr>
                <w:rFonts w:hint="eastAsia" w:cs="宋体" w:asciiTheme="minorEastAsia" w:hAnsiTheme="minorEastAsia" w:eastAsiaTheme="minorEastAsia"/>
                <w:color w:val="000000"/>
                <w:kern w:val="0"/>
                <w:sz w:val="21"/>
              </w:rPr>
              <w:t>10</w:t>
            </w:r>
            <w:r>
              <w:rPr>
                <w:rFonts w:hint="eastAsia" w:cs="宋体" w:asciiTheme="minorEastAsia" w:hAnsiTheme="minorEastAsia" w:eastAsiaTheme="minorEastAsia"/>
                <w:color w:val="000000"/>
                <w:kern w:val="0"/>
                <w:sz w:val="21"/>
                <w:lang w:val="zh-CN"/>
              </w:rPr>
              <w:t>】分</w:t>
            </w:r>
            <w:r>
              <w:rPr>
                <w:rFonts w:hint="eastAsia" w:cs="宋体" w:asciiTheme="minorEastAsia" w:hAnsiTheme="minorEastAsia" w:eastAsiaTheme="minorEastAsia"/>
                <w:color w:val="000000"/>
                <w:kern w:val="0"/>
                <w:sz w:val="21"/>
              </w:rPr>
              <w:t>；对项目特点、难点及重点的分析相对透彻合理科学，提供相对有效的技术建议的得</w:t>
            </w:r>
            <w:r>
              <w:rPr>
                <w:rFonts w:hint="eastAsia" w:cs="宋体" w:asciiTheme="minorEastAsia" w:hAnsiTheme="minorEastAsia" w:eastAsiaTheme="minorEastAsia"/>
                <w:color w:val="000000"/>
                <w:kern w:val="0"/>
                <w:sz w:val="21"/>
                <w:lang w:val="zh-CN"/>
              </w:rPr>
              <w:t>【</w:t>
            </w:r>
            <w:r>
              <w:rPr>
                <w:rFonts w:hint="eastAsia" w:cs="宋体" w:asciiTheme="minorEastAsia" w:hAnsiTheme="minorEastAsia" w:eastAsiaTheme="minorEastAsia"/>
                <w:color w:val="000000"/>
                <w:kern w:val="0"/>
                <w:sz w:val="21"/>
              </w:rPr>
              <w:t>3</w:t>
            </w:r>
            <w:r>
              <w:rPr>
                <w:rFonts w:hint="eastAsia" w:cs="宋体" w:asciiTheme="minorEastAsia" w:hAnsiTheme="minorEastAsia" w:eastAsiaTheme="minorEastAsia"/>
                <w:color w:val="000000"/>
                <w:kern w:val="0"/>
                <w:sz w:val="21"/>
                <w:lang w:val="zh-CN"/>
              </w:rPr>
              <w:t>-</w:t>
            </w:r>
            <w:r>
              <w:rPr>
                <w:rFonts w:hint="eastAsia" w:cs="宋体" w:asciiTheme="minorEastAsia" w:hAnsiTheme="minorEastAsia" w:eastAsiaTheme="minorEastAsia"/>
                <w:color w:val="000000"/>
                <w:kern w:val="0"/>
                <w:sz w:val="21"/>
              </w:rPr>
              <w:t>7）</w:t>
            </w:r>
            <w:r>
              <w:rPr>
                <w:rFonts w:hint="eastAsia" w:cs="宋体" w:asciiTheme="minorEastAsia" w:hAnsiTheme="minorEastAsia" w:eastAsiaTheme="minorEastAsia"/>
                <w:color w:val="000000"/>
                <w:kern w:val="0"/>
                <w:sz w:val="21"/>
                <w:lang w:val="zh-CN"/>
              </w:rPr>
              <w:t>分</w:t>
            </w:r>
            <w:r>
              <w:rPr>
                <w:rFonts w:hint="eastAsia" w:cs="宋体" w:asciiTheme="minorEastAsia" w:hAnsiTheme="minorEastAsia" w:eastAsiaTheme="minorEastAsia"/>
                <w:color w:val="000000"/>
                <w:kern w:val="0"/>
                <w:sz w:val="21"/>
              </w:rPr>
              <w:t>；对项目特点、难点及重点的分析透彻合理科学性一般，提供技术建议有效性一般的得</w:t>
            </w:r>
            <w:r>
              <w:rPr>
                <w:rFonts w:hint="eastAsia" w:cs="宋体" w:asciiTheme="minorEastAsia" w:hAnsiTheme="minorEastAsia" w:eastAsiaTheme="minorEastAsia"/>
                <w:color w:val="000000"/>
                <w:kern w:val="0"/>
                <w:sz w:val="21"/>
                <w:lang w:val="zh-CN"/>
              </w:rPr>
              <w:t>【</w:t>
            </w:r>
            <w:r>
              <w:rPr>
                <w:rFonts w:hint="eastAsia" w:cs="宋体" w:asciiTheme="minorEastAsia" w:hAnsiTheme="minorEastAsia" w:eastAsiaTheme="minorEastAsia"/>
                <w:color w:val="000000"/>
                <w:kern w:val="0"/>
                <w:sz w:val="21"/>
              </w:rPr>
              <w:t>0</w:t>
            </w:r>
            <w:r>
              <w:rPr>
                <w:rFonts w:hint="eastAsia" w:cs="宋体" w:asciiTheme="minorEastAsia" w:hAnsiTheme="minorEastAsia" w:eastAsiaTheme="minorEastAsia"/>
                <w:color w:val="000000"/>
                <w:kern w:val="0"/>
                <w:sz w:val="21"/>
                <w:lang w:val="zh-CN"/>
              </w:rPr>
              <w:t>-</w:t>
            </w:r>
            <w:r>
              <w:rPr>
                <w:rFonts w:hint="eastAsia" w:cs="宋体" w:asciiTheme="minorEastAsia" w:hAnsiTheme="minorEastAsia" w:eastAsiaTheme="minorEastAsia"/>
                <w:color w:val="000000"/>
                <w:kern w:val="0"/>
                <w:sz w:val="21"/>
              </w:rPr>
              <w:t>3</w:t>
            </w:r>
            <w:r>
              <w:rPr>
                <w:rFonts w:hint="eastAsia" w:cs="宋体" w:asciiTheme="minorEastAsia" w:hAnsiTheme="minorEastAsia" w:eastAsiaTheme="minorEastAsia"/>
                <w:color w:val="000000"/>
                <w:kern w:val="0"/>
                <w:sz w:val="21"/>
                <w:lang w:val="zh-CN"/>
              </w:rPr>
              <w:t>）分</w:t>
            </w:r>
            <w:r>
              <w:rPr>
                <w:rFonts w:hint="eastAsia" w:cs="宋体" w:asciiTheme="minorEastAsia" w:hAnsiTheme="minorEastAsia" w:eastAsiaTheme="minorEastAsia"/>
                <w:color w:val="000000"/>
                <w:kern w:val="0"/>
                <w:sz w:val="21"/>
              </w:rPr>
              <w:t>；没有分析，无法提供技术建议的不得分。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895" w:type="dxa"/>
            <w:vMerge w:val="continue"/>
            <w:vAlign w:val="center"/>
          </w:tcPr>
          <w:p>
            <w:pPr>
              <w:spacing w:line="276" w:lineRule="auto"/>
              <w:ind w:firstLine="420" w:firstLineChars="200"/>
              <w:jc w:val="center"/>
              <w:rPr>
                <w:rFonts w:cs="宋体" w:asciiTheme="minorEastAsia" w:hAnsiTheme="minorEastAsia" w:eastAsiaTheme="minorEastAsia"/>
                <w:sz w:val="21"/>
              </w:rPr>
            </w:pPr>
          </w:p>
        </w:tc>
        <w:tc>
          <w:tcPr>
            <w:tcW w:w="7220" w:type="dxa"/>
            <w:vAlign w:val="center"/>
          </w:tcPr>
          <w:p>
            <w:pPr>
              <w:spacing w:line="276" w:lineRule="auto"/>
              <w:rPr>
                <w:rFonts w:cs="宋体" w:asciiTheme="minorEastAsia" w:hAnsiTheme="minorEastAsia" w:eastAsiaTheme="minorEastAsia"/>
                <w:color w:val="000000"/>
                <w:kern w:val="0"/>
                <w:sz w:val="21"/>
              </w:rPr>
            </w:pPr>
            <w:r>
              <w:rPr>
                <w:rFonts w:hint="eastAsia" w:cs="宋体" w:asciiTheme="minorEastAsia" w:hAnsiTheme="minorEastAsia" w:eastAsiaTheme="minorEastAsia"/>
                <w:color w:val="000000"/>
                <w:kern w:val="0"/>
                <w:sz w:val="21"/>
              </w:rPr>
              <w:t>质量保障措施：质量保障</w:t>
            </w:r>
            <w:r>
              <w:rPr>
                <w:rFonts w:hint="eastAsia" w:cs="宋体" w:asciiTheme="minorEastAsia" w:hAnsiTheme="minorEastAsia" w:eastAsiaTheme="minorEastAsia"/>
                <w:sz w:val="21"/>
              </w:rPr>
              <w:t>计划完善，标准严格，程序规范，质检措施详尽有效，具有针对性。质量保障计划可行、合理、可操作性强的得【7</w:t>
            </w:r>
            <w:r>
              <w:rPr>
                <w:rFonts w:hint="eastAsia" w:cs="宋体" w:asciiTheme="minorEastAsia" w:hAnsiTheme="minorEastAsia" w:eastAsiaTheme="minorEastAsia"/>
                <w:sz w:val="21"/>
                <w:lang w:val="zh-CN"/>
              </w:rPr>
              <w:t>-</w:t>
            </w:r>
            <w:r>
              <w:rPr>
                <w:rFonts w:hint="eastAsia" w:cs="宋体" w:asciiTheme="minorEastAsia" w:hAnsiTheme="minorEastAsia" w:eastAsiaTheme="minorEastAsia"/>
                <w:sz w:val="21"/>
              </w:rPr>
              <w:t>10</w:t>
            </w:r>
            <w:r>
              <w:rPr>
                <w:rFonts w:hint="eastAsia" w:cs="宋体" w:asciiTheme="minorEastAsia" w:hAnsiTheme="minorEastAsia" w:eastAsiaTheme="minorEastAsia"/>
                <w:sz w:val="21"/>
                <w:lang w:val="zh-CN"/>
              </w:rPr>
              <w:t>】</w:t>
            </w:r>
            <w:r>
              <w:rPr>
                <w:rFonts w:hint="eastAsia" w:cs="宋体" w:asciiTheme="minorEastAsia" w:hAnsiTheme="minorEastAsia" w:eastAsiaTheme="minorEastAsia"/>
                <w:sz w:val="21"/>
              </w:rPr>
              <w:t>；质量保障计划相对科学可行、相对合理、相对可操作的得</w:t>
            </w:r>
            <w:r>
              <w:rPr>
                <w:rFonts w:hint="eastAsia" w:cs="宋体" w:asciiTheme="minorEastAsia" w:hAnsiTheme="minorEastAsia" w:eastAsiaTheme="minorEastAsia"/>
                <w:sz w:val="21"/>
                <w:lang w:val="zh-CN"/>
              </w:rPr>
              <w:t>【</w:t>
            </w:r>
            <w:r>
              <w:rPr>
                <w:rFonts w:hint="eastAsia" w:cs="宋体" w:asciiTheme="minorEastAsia" w:hAnsiTheme="minorEastAsia" w:eastAsiaTheme="minorEastAsia"/>
                <w:sz w:val="21"/>
              </w:rPr>
              <w:t>3</w:t>
            </w:r>
            <w:r>
              <w:rPr>
                <w:rFonts w:hint="eastAsia" w:cs="宋体" w:asciiTheme="minorEastAsia" w:hAnsiTheme="minorEastAsia" w:eastAsiaTheme="minorEastAsia"/>
                <w:sz w:val="21"/>
                <w:lang w:val="zh-CN"/>
              </w:rPr>
              <w:t>-</w:t>
            </w:r>
            <w:r>
              <w:rPr>
                <w:rFonts w:hint="eastAsia" w:cs="宋体" w:asciiTheme="minorEastAsia" w:hAnsiTheme="minorEastAsia" w:eastAsiaTheme="minorEastAsia"/>
                <w:sz w:val="21"/>
              </w:rPr>
              <w:t>7）分；质量保障计划简单、可操作性弱的得【0-3）分。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1895" w:type="dxa"/>
            <w:vMerge w:val="continue"/>
            <w:vAlign w:val="center"/>
          </w:tcPr>
          <w:p>
            <w:pPr>
              <w:spacing w:line="276" w:lineRule="auto"/>
              <w:rPr>
                <w:rFonts w:cs="宋体" w:asciiTheme="minorEastAsia" w:hAnsiTheme="minorEastAsia" w:eastAsiaTheme="minorEastAsia"/>
                <w:sz w:val="21"/>
              </w:rPr>
            </w:pPr>
          </w:p>
        </w:tc>
        <w:tc>
          <w:tcPr>
            <w:tcW w:w="7220" w:type="dxa"/>
            <w:vAlign w:val="center"/>
          </w:tcPr>
          <w:p>
            <w:pPr>
              <w:spacing w:line="276" w:lineRule="auto"/>
              <w:rPr>
                <w:rFonts w:cs="宋体" w:asciiTheme="minorEastAsia" w:hAnsiTheme="minorEastAsia" w:eastAsiaTheme="minorEastAsia"/>
                <w:color w:val="0000FF"/>
                <w:kern w:val="0"/>
                <w:sz w:val="21"/>
              </w:rPr>
            </w:pPr>
            <w:r>
              <w:rPr>
                <w:rFonts w:hint="eastAsia" w:cs="宋体" w:asciiTheme="minorEastAsia" w:hAnsiTheme="minorEastAsia" w:eastAsiaTheme="minorEastAsia"/>
                <w:color w:val="000000"/>
                <w:kern w:val="0"/>
                <w:sz w:val="21"/>
              </w:rPr>
              <w:t>进度控制：调查检测进度、控制方法、流程按照科学合理、措施得当、对调查检测进度进行有效控制的不同程度，检测进度、控制方法完善得【7</w:t>
            </w:r>
            <w:r>
              <w:rPr>
                <w:rFonts w:hint="eastAsia" w:cs="宋体" w:asciiTheme="minorEastAsia" w:hAnsiTheme="minorEastAsia" w:eastAsiaTheme="minorEastAsia"/>
                <w:color w:val="000000"/>
                <w:kern w:val="0"/>
                <w:sz w:val="21"/>
                <w:lang w:val="zh-CN"/>
              </w:rPr>
              <w:t>-</w:t>
            </w:r>
            <w:r>
              <w:rPr>
                <w:rFonts w:hint="eastAsia" w:cs="宋体" w:asciiTheme="minorEastAsia" w:hAnsiTheme="minorEastAsia" w:eastAsiaTheme="minorEastAsia"/>
                <w:color w:val="000000"/>
                <w:kern w:val="0"/>
                <w:sz w:val="21"/>
              </w:rPr>
              <w:t>10</w:t>
            </w:r>
            <w:r>
              <w:rPr>
                <w:rFonts w:hint="eastAsia" w:cs="宋体" w:asciiTheme="minorEastAsia" w:hAnsiTheme="minorEastAsia" w:eastAsiaTheme="minorEastAsia"/>
                <w:color w:val="000000"/>
                <w:kern w:val="0"/>
                <w:sz w:val="21"/>
                <w:lang w:val="zh-CN"/>
              </w:rPr>
              <w:t>】</w:t>
            </w:r>
            <w:r>
              <w:rPr>
                <w:rFonts w:hint="eastAsia" w:cs="宋体" w:asciiTheme="minorEastAsia" w:hAnsiTheme="minorEastAsia" w:eastAsiaTheme="minorEastAsia"/>
                <w:color w:val="000000"/>
                <w:kern w:val="0"/>
                <w:sz w:val="21"/>
              </w:rPr>
              <w:t>分；检测进度、控制方相对合理得</w:t>
            </w:r>
            <w:r>
              <w:rPr>
                <w:rFonts w:hint="eastAsia" w:cs="宋体" w:asciiTheme="minorEastAsia" w:hAnsiTheme="minorEastAsia" w:eastAsiaTheme="minorEastAsia"/>
                <w:color w:val="000000"/>
                <w:kern w:val="0"/>
                <w:sz w:val="21"/>
                <w:lang w:val="zh-CN"/>
              </w:rPr>
              <w:t>【</w:t>
            </w:r>
            <w:r>
              <w:rPr>
                <w:rFonts w:hint="eastAsia" w:cs="宋体" w:asciiTheme="minorEastAsia" w:hAnsiTheme="minorEastAsia" w:eastAsiaTheme="minorEastAsia"/>
                <w:color w:val="000000"/>
                <w:kern w:val="0"/>
                <w:sz w:val="21"/>
              </w:rPr>
              <w:t>3</w:t>
            </w:r>
            <w:r>
              <w:rPr>
                <w:rFonts w:hint="eastAsia" w:cs="宋体" w:asciiTheme="minorEastAsia" w:hAnsiTheme="minorEastAsia" w:eastAsiaTheme="minorEastAsia"/>
                <w:color w:val="000000"/>
                <w:kern w:val="0"/>
                <w:sz w:val="21"/>
                <w:lang w:val="zh-CN"/>
              </w:rPr>
              <w:t>-</w:t>
            </w:r>
            <w:r>
              <w:rPr>
                <w:rFonts w:hint="eastAsia" w:cs="宋体" w:asciiTheme="minorEastAsia" w:hAnsiTheme="minorEastAsia" w:eastAsiaTheme="minorEastAsia"/>
                <w:color w:val="000000"/>
                <w:kern w:val="0"/>
                <w:sz w:val="21"/>
              </w:rPr>
              <w:t>7）分；检测进度、控制方法一般得【0-3）分。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1895" w:type="dxa"/>
            <w:vMerge w:val="continue"/>
            <w:vAlign w:val="center"/>
          </w:tcPr>
          <w:p>
            <w:pPr>
              <w:spacing w:line="276" w:lineRule="auto"/>
              <w:jc w:val="center"/>
              <w:rPr>
                <w:rFonts w:cs="宋体" w:asciiTheme="minorEastAsia" w:hAnsiTheme="minorEastAsia" w:eastAsiaTheme="minorEastAsia"/>
                <w:sz w:val="21"/>
              </w:rPr>
            </w:pPr>
          </w:p>
        </w:tc>
        <w:tc>
          <w:tcPr>
            <w:tcW w:w="7220" w:type="dxa"/>
            <w:vAlign w:val="center"/>
          </w:tcPr>
          <w:p>
            <w:pPr>
              <w:spacing w:line="276" w:lineRule="auto"/>
              <w:rPr>
                <w:rFonts w:cs="宋体" w:asciiTheme="minorEastAsia" w:hAnsiTheme="minorEastAsia" w:eastAsiaTheme="minorEastAsia"/>
                <w:color w:val="000000"/>
                <w:kern w:val="0"/>
                <w:sz w:val="21"/>
              </w:rPr>
            </w:pPr>
            <w:r>
              <w:rPr>
                <w:rFonts w:hint="eastAsia" w:cs="宋体" w:asciiTheme="minorEastAsia" w:hAnsiTheme="minorEastAsia" w:eastAsiaTheme="minorEastAsia"/>
                <w:color w:val="000000"/>
                <w:kern w:val="0"/>
                <w:sz w:val="21"/>
              </w:rPr>
              <w:t>安保措施：供应商提供项目保密措施与安全保障措施，措施描述清晰、措施完善的得【7</w:t>
            </w:r>
            <w:r>
              <w:rPr>
                <w:rFonts w:hint="eastAsia" w:cs="宋体" w:asciiTheme="minorEastAsia" w:hAnsiTheme="minorEastAsia" w:eastAsiaTheme="minorEastAsia"/>
                <w:color w:val="000000"/>
                <w:kern w:val="0"/>
                <w:sz w:val="21"/>
                <w:lang w:val="zh-CN"/>
              </w:rPr>
              <w:t>-</w:t>
            </w:r>
            <w:r>
              <w:rPr>
                <w:rFonts w:hint="eastAsia" w:cs="宋体" w:asciiTheme="minorEastAsia" w:hAnsiTheme="minorEastAsia" w:eastAsiaTheme="minorEastAsia"/>
                <w:color w:val="000000"/>
                <w:kern w:val="0"/>
                <w:sz w:val="21"/>
              </w:rPr>
              <w:t>10</w:t>
            </w:r>
            <w:r>
              <w:rPr>
                <w:rFonts w:hint="eastAsia" w:cs="宋体" w:asciiTheme="minorEastAsia" w:hAnsiTheme="minorEastAsia" w:eastAsiaTheme="minorEastAsia"/>
                <w:color w:val="000000"/>
                <w:kern w:val="0"/>
                <w:sz w:val="21"/>
                <w:lang w:val="zh-CN"/>
              </w:rPr>
              <w:t>】</w:t>
            </w:r>
            <w:r>
              <w:rPr>
                <w:rFonts w:hint="eastAsia" w:cs="宋体" w:asciiTheme="minorEastAsia" w:hAnsiTheme="minorEastAsia" w:eastAsiaTheme="minorEastAsia"/>
                <w:color w:val="000000"/>
                <w:kern w:val="0"/>
                <w:sz w:val="21"/>
              </w:rPr>
              <w:t>分；措施描述相对清晰、措施相对完善的得</w:t>
            </w:r>
            <w:r>
              <w:rPr>
                <w:rFonts w:hint="eastAsia" w:cs="宋体" w:asciiTheme="minorEastAsia" w:hAnsiTheme="minorEastAsia" w:eastAsiaTheme="minorEastAsia"/>
                <w:color w:val="000000"/>
                <w:kern w:val="0"/>
                <w:sz w:val="21"/>
                <w:lang w:val="zh-CN"/>
              </w:rPr>
              <w:t>【</w:t>
            </w:r>
            <w:r>
              <w:rPr>
                <w:rFonts w:hint="eastAsia" w:cs="宋体" w:asciiTheme="minorEastAsia" w:hAnsiTheme="minorEastAsia" w:eastAsiaTheme="minorEastAsia"/>
                <w:color w:val="000000"/>
                <w:kern w:val="0"/>
                <w:sz w:val="21"/>
              </w:rPr>
              <w:t>3</w:t>
            </w:r>
            <w:r>
              <w:rPr>
                <w:rFonts w:hint="eastAsia" w:cs="宋体" w:asciiTheme="minorEastAsia" w:hAnsiTheme="minorEastAsia" w:eastAsiaTheme="minorEastAsia"/>
                <w:color w:val="000000"/>
                <w:kern w:val="0"/>
                <w:sz w:val="21"/>
                <w:lang w:val="zh-CN"/>
              </w:rPr>
              <w:t>-</w:t>
            </w:r>
            <w:r>
              <w:rPr>
                <w:rFonts w:hint="eastAsia" w:cs="宋体" w:asciiTheme="minorEastAsia" w:hAnsiTheme="minorEastAsia" w:eastAsiaTheme="minorEastAsia"/>
                <w:color w:val="000000"/>
                <w:kern w:val="0"/>
                <w:sz w:val="21"/>
              </w:rPr>
              <w:t>7）分；措施描述内容不够完整、措施简单的得【0-3）分。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895" w:type="dxa"/>
            <w:vMerge w:val="continue"/>
            <w:vAlign w:val="center"/>
          </w:tcPr>
          <w:p>
            <w:pPr>
              <w:spacing w:line="276" w:lineRule="auto"/>
              <w:jc w:val="center"/>
              <w:rPr>
                <w:rFonts w:cs="宋体" w:asciiTheme="minorEastAsia" w:hAnsiTheme="minorEastAsia" w:eastAsiaTheme="minorEastAsia"/>
                <w:sz w:val="21"/>
              </w:rPr>
            </w:pPr>
          </w:p>
        </w:tc>
        <w:tc>
          <w:tcPr>
            <w:tcW w:w="7220" w:type="dxa"/>
            <w:vAlign w:val="center"/>
          </w:tcPr>
          <w:p>
            <w:pPr>
              <w:spacing w:line="276" w:lineRule="auto"/>
              <w:rPr>
                <w:rFonts w:cs="宋体" w:asciiTheme="minorEastAsia" w:hAnsiTheme="minorEastAsia" w:eastAsiaTheme="minorEastAsia"/>
                <w:color w:val="000000"/>
                <w:kern w:val="0"/>
                <w:sz w:val="21"/>
              </w:rPr>
            </w:pPr>
            <w:r>
              <w:rPr>
                <w:rFonts w:hint="eastAsia" w:cs="宋体" w:asciiTheme="minorEastAsia" w:hAnsiTheme="minorEastAsia" w:eastAsiaTheme="minorEastAsia"/>
                <w:color w:val="000000"/>
                <w:kern w:val="0"/>
                <w:sz w:val="21"/>
              </w:rPr>
              <w:t>合理化建议：有利于本项目工作顺利进行的合理化建议。</w:t>
            </w:r>
            <w:r>
              <w:rPr>
                <w:rFonts w:hint="eastAsia" w:cs="宋体" w:asciiTheme="minorEastAsia" w:hAnsiTheme="minorEastAsia" w:eastAsiaTheme="minorEastAsia"/>
                <w:sz w:val="21"/>
              </w:rPr>
              <w:t>按其响应程度计【0-5】分。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1895" w:type="dxa"/>
            <w:vMerge w:val="restart"/>
            <w:vAlign w:val="center"/>
          </w:tcPr>
          <w:p>
            <w:pPr>
              <w:spacing w:line="276" w:lineRule="auto"/>
              <w:ind w:firstLine="420" w:firstLineChars="200"/>
              <w:rPr>
                <w:rFonts w:cs="宋体" w:asciiTheme="minorEastAsia" w:hAnsiTheme="minorEastAsia" w:eastAsiaTheme="minorEastAsia"/>
                <w:sz w:val="21"/>
              </w:rPr>
            </w:pPr>
            <w:r>
              <w:rPr>
                <w:rFonts w:hint="eastAsia" w:cs="宋体" w:asciiTheme="minorEastAsia" w:hAnsiTheme="minorEastAsia" w:eastAsiaTheme="minorEastAsia"/>
                <w:sz w:val="21"/>
              </w:rPr>
              <w:t>人员配备</w:t>
            </w:r>
          </w:p>
          <w:p>
            <w:pPr>
              <w:spacing w:line="276" w:lineRule="auto"/>
              <w:ind w:firstLine="420" w:firstLineChars="200"/>
              <w:rPr>
                <w:rFonts w:asciiTheme="minorEastAsia" w:hAnsiTheme="minorEastAsia" w:eastAsiaTheme="minorEastAsia"/>
                <w:sz w:val="21"/>
              </w:rPr>
            </w:pPr>
            <w:r>
              <w:rPr>
                <w:rFonts w:hint="eastAsia" w:cs="宋体" w:asciiTheme="minorEastAsia" w:hAnsiTheme="minorEastAsia" w:eastAsiaTheme="minorEastAsia"/>
                <w:sz w:val="21"/>
              </w:rPr>
              <w:t>（15分）</w:t>
            </w:r>
          </w:p>
        </w:tc>
        <w:tc>
          <w:tcPr>
            <w:tcW w:w="7220" w:type="dxa"/>
            <w:vAlign w:val="center"/>
          </w:tcPr>
          <w:p>
            <w:pPr>
              <w:spacing w:line="276" w:lineRule="auto"/>
              <w:jc w:val="left"/>
              <w:rPr>
                <w:rFonts w:cs="宋体" w:asciiTheme="minorEastAsia" w:hAnsiTheme="minorEastAsia" w:eastAsiaTheme="minorEastAsia"/>
                <w:sz w:val="21"/>
              </w:rPr>
            </w:pPr>
            <w:r>
              <w:rPr>
                <w:rFonts w:hint="eastAsia" w:cs="宋体" w:asciiTheme="minorEastAsia" w:hAnsiTheme="minorEastAsia" w:eastAsiaTheme="minorEastAsia"/>
                <w:sz w:val="21"/>
              </w:rPr>
              <w:t>有健全的组织机构，人员分配合理，责任分工明确，项目组成员具有工作经验，在采样、对第三方的检测结果的分析等方面具有科学的方法和体系，计【0-5】分，未提供不计分。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895" w:type="dxa"/>
            <w:vMerge w:val="continue"/>
            <w:vAlign w:val="center"/>
          </w:tcPr>
          <w:p>
            <w:pPr>
              <w:spacing w:line="276" w:lineRule="auto"/>
              <w:jc w:val="center"/>
              <w:rPr>
                <w:rFonts w:asciiTheme="minorEastAsia" w:hAnsiTheme="minorEastAsia" w:eastAsiaTheme="minorEastAsia"/>
                <w:b/>
                <w:bCs/>
                <w:sz w:val="21"/>
              </w:rPr>
            </w:pPr>
          </w:p>
        </w:tc>
        <w:tc>
          <w:tcPr>
            <w:tcW w:w="7220" w:type="dxa"/>
            <w:vAlign w:val="center"/>
          </w:tcPr>
          <w:p>
            <w:pPr>
              <w:spacing w:line="276" w:lineRule="auto"/>
              <w:rPr>
                <w:rFonts w:cs="宋体" w:asciiTheme="minorEastAsia" w:hAnsiTheme="minorEastAsia" w:eastAsiaTheme="minorEastAsia"/>
                <w:sz w:val="21"/>
              </w:rPr>
            </w:pPr>
            <w:r>
              <w:rPr>
                <w:rFonts w:hint="eastAsia" w:cs="宋体" w:asciiTheme="minorEastAsia" w:hAnsiTheme="minorEastAsia" w:eastAsiaTheme="minorEastAsia"/>
                <w:sz w:val="21"/>
              </w:rPr>
              <w:t>项目组成员</w:t>
            </w:r>
            <w:r>
              <w:rPr>
                <w:rFonts w:hint="eastAsia" w:cs="宋体" w:asciiTheme="minorEastAsia" w:hAnsiTheme="minorEastAsia" w:eastAsiaTheme="minorEastAsia"/>
                <w:sz w:val="21"/>
                <w:lang w:eastAsia="zh-CN"/>
              </w:rPr>
              <w:t>有</w:t>
            </w:r>
            <w:r>
              <w:rPr>
                <w:rFonts w:hint="eastAsia" w:cs="宋体" w:asciiTheme="minorEastAsia" w:hAnsiTheme="minorEastAsia" w:eastAsiaTheme="minorEastAsia"/>
                <w:sz w:val="21"/>
              </w:rPr>
              <w:t>高级职称每人得2分，中级职称每人得1分，其他职称不得分。本项最高得10分。（须提供以上人员</w:t>
            </w:r>
            <w:r>
              <w:rPr>
                <w:rFonts w:hint="eastAsia" w:cs="宋体" w:asciiTheme="minorEastAsia" w:hAnsiTheme="minorEastAsia" w:eastAsiaTheme="minorEastAsia"/>
                <w:sz w:val="21"/>
                <w:lang w:val="en-US" w:eastAsia="zh-CN"/>
              </w:rPr>
              <w:t>劳动合同</w:t>
            </w:r>
            <w:r>
              <w:rPr>
                <w:rFonts w:hint="eastAsia" w:cs="宋体" w:asciiTheme="minorEastAsia" w:hAnsiTheme="minorEastAsia" w:eastAsiaTheme="minorEastAsia"/>
                <w:sz w:val="21"/>
              </w:rPr>
              <w:t>及证书复印件）。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1895" w:type="dxa"/>
            <w:vAlign w:val="center"/>
          </w:tcPr>
          <w:p>
            <w:pPr>
              <w:spacing w:line="276" w:lineRule="auto"/>
              <w:jc w:val="center"/>
              <w:rPr>
                <w:rFonts w:cs="宋体" w:asciiTheme="minorEastAsia" w:hAnsiTheme="minorEastAsia" w:eastAsiaTheme="minorEastAsia"/>
                <w:sz w:val="21"/>
              </w:rPr>
            </w:pPr>
            <w:r>
              <w:rPr>
                <w:rFonts w:hint="eastAsia" w:cs="宋体" w:asciiTheme="minorEastAsia" w:hAnsiTheme="minorEastAsia" w:eastAsiaTheme="minorEastAsia"/>
                <w:sz w:val="21"/>
              </w:rPr>
              <w:t>业绩</w:t>
            </w:r>
          </w:p>
          <w:p>
            <w:pPr>
              <w:spacing w:line="276" w:lineRule="auto"/>
              <w:jc w:val="center"/>
              <w:rPr>
                <w:rFonts w:cs="宋体" w:asciiTheme="minorEastAsia" w:hAnsiTheme="minorEastAsia" w:eastAsiaTheme="minorEastAsia"/>
                <w:sz w:val="21"/>
              </w:rPr>
            </w:pPr>
            <w:r>
              <w:rPr>
                <w:rFonts w:hint="eastAsia" w:cs="宋体" w:asciiTheme="minorEastAsia" w:hAnsiTheme="minorEastAsia" w:eastAsiaTheme="minorEastAsia"/>
                <w:sz w:val="21"/>
              </w:rPr>
              <w:t>（10分）</w:t>
            </w:r>
          </w:p>
        </w:tc>
        <w:tc>
          <w:tcPr>
            <w:tcW w:w="7220" w:type="dxa"/>
            <w:vAlign w:val="center"/>
          </w:tcPr>
          <w:p>
            <w:pPr>
              <w:spacing w:line="276" w:lineRule="auto"/>
              <w:jc w:val="left"/>
              <w:rPr>
                <w:rFonts w:cs="宋体" w:asciiTheme="minorEastAsia" w:hAnsiTheme="minorEastAsia" w:eastAsiaTheme="minorEastAsia"/>
                <w:sz w:val="21"/>
              </w:rPr>
            </w:pPr>
            <w:r>
              <w:rPr>
                <w:rFonts w:hint="eastAsia" w:cs="宋体" w:asciiTheme="minorEastAsia" w:hAnsiTheme="minorEastAsia" w:eastAsiaTheme="minorEastAsia"/>
                <w:sz w:val="21"/>
              </w:rPr>
              <w:t>供应商提供近2019年1月1日至今类似项目业绩，每提供1个有效业绩得2分，满分10分。（</w:t>
            </w:r>
            <w:r>
              <w:rPr>
                <w:rFonts w:hint="eastAsia" w:cs="宋体" w:asciiTheme="minorEastAsia" w:hAnsiTheme="minorEastAsia" w:eastAsiaTheme="minorEastAsia"/>
                <w:sz w:val="21"/>
                <w:lang w:val="zh-CN"/>
              </w:rPr>
              <w:t>提供合同复印件加盖公章</w:t>
            </w:r>
            <w:r>
              <w:rPr>
                <w:rFonts w:hint="eastAsia" w:cs="宋体" w:asciiTheme="minorEastAsia" w:hAnsiTheme="minorEastAsia" w:eastAsiaTheme="minorEastAsia"/>
                <w:sz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895" w:type="dxa"/>
            <w:vMerge w:val="restart"/>
            <w:vAlign w:val="center"/>
          </w:tcPr>
          <w:p>
            <w:pPr>
              <w:spacing w:line="276" w:lineRule="auto"/>
              <w:jc w:val="center"/>
              <w:rPr>
                <w:rFonts w:cs="宋体" w:asciiTheme="minorEastAsia" w:hAnsiTheme="minorEastAsia" w:eastAsiaTheme="minorEastAsia"/>
                <w:sz w:val="21"/>
              </w:rPr>
            </w:pPr>
            <w:r>
              <w:rPr>
                <w:rFonts w:hint="eastAsia" w:cs="宋体" w:asciiTheme="minorEastAsia" w:hAnsiTheme="minorEastAsia" w:eastAsiaTheme="minorEastAsia"/>
                <w:sz w:val="21"/>
              </w:rPr>
              <w:t>服务承诺</w:t>
            </w:r>
          </w:p>
          <w:p>
            <w:pPr>
              <w:spacing w:line="276" w:lineRule="auto"/>
              <w:jc w:val="center"/>
              <w:rPr>
                <w:rFonts w:asciiTheme="minorEastAsia" w:hAnsiTheme="minorEastAsia" w:eastAsiaTheme="minorEastAsia"/>
                <w:sz w:val="21"/>
              </w:rPr>
            </w:pPr>
            <w:r>
              <w:rPr>
                <w:rFonts w:hint="eastAsia" w:cs="宋体" w:asciiTheme="minorEastAsia" w:hAnsiTheme="minorEastAsia" w:eastAsiaTheme="minorEastAsia"/>
                <w:sz w:val="21"/>
              </w:rPr>
              <w:t>（5分）</w:t>
            </w:r>
          </w:p>
        </w:tc>
        <w:tc>
          <w:tcPr>
            <w:tcW w:w="7220" w:type="dxa"/>
            <w:vAlign w:val="center"/>
          </w:tcPr>
          <w:p>
            <w:pPr>
              <w:spacing w:line="276" w:lineRule="auto"/>
              <w:jc w:val="left"/>
              <w:rPr>
                <w:rFonts w:cs="宋体" w:asciiTheme="minorEastAsia" w:hAnsiTheme="minorEastAsia" w:eastAsiaTheme="minorEastAsia"/>
                <w:sz w:val="21"/>
              </w:rPr>
            </w:pPr>
            <w:r>
              <w:rPr>
                <w:rFonts w:hint="eastAsia" w:cs="宋体" w:asciiTheme="minorEastAsia" w:hAnsiTheme="minorEastAsia" w:eastAsiaTheme="minorEastAsia"/>
                <w:sz w:val="21"/>
              </w:rPr>
              <w:t>根据磋商文件采购需求，对本项目做出的详尽、可行的实质性履约承诺，按其响应程度计【0-3】分。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1895" w:type="dxa"/>
            <w:vMerge w:val="continue"/>
            <w:vAlign w:val="center"/>
          </w:tcPr>
          <w:p>
            <w:pPr>
              <w:pStyle w:val="56"/>
              <w:spacing w:line="276" w:lineRule="auto"/>
              <w:rPr>
                <w:rFonts w:asciiTheme="minorEastAsia" w:hAnsiTheme="minorEastAsia" w:eastAsiaTheme="minorEastAsia"/>
                <w:sz w:val="21"/>
                <w:szCs w:val="21"/>
              </w:rPr>
            </w:pPr>
          </w:p>
        </w:tc>
        <w:tc>
          <w:tcPr>
            <w:tcW w:w="7220" w:type="dxa"/>
            <w:vAlign w:val="center"/>
          </w:tcPr>
          <w:p>
            <w:pPr>
              <w:spacing w:line="276" w:lineRule="auto"/>
              <w:jc w:val="left"/>
              <w:rPr>
                <w:rFonts w:cs="宋体" w:asciiTheme="minorEastAsia" w:hAnsiTheme="minorEastAsia" w:eastAsiaTheme="minorEastAsia"/>
                <w:sz w:val="21"/>
              </w:rPr>
            </w:pPr>
            <w:r>
              <w:rPr>
                <w:rFonts w:hint="eastAsia" w:cs="宋体" w:asciiTheme="minorEastAsia" w:hAnsiTheme="minorEastAsia" w:eastAsiaTheme="minorEastAsia"/>
                <w:sz w:val="21"/>
              </w:rPr>
              <w:t>对本项目实施及协调过程中的响应时效有明确承诺，并承诺积极按照采购人提出的要求或意见改进工作，确保项目顺利实施，按其响应程度计【0-2】分。</w:t>
            </w:r>
          </w:p>
        </w:tc>
      </w:tr>
    </w:tbl>
    <w:p>
      <w:pPr>
        <w:rPr>
          <w:rFonts w:asciiTheme="minorEastAsia" w:hAnsiTheme="minorEastAsia" w:eastAsiaTheme="minorEastAsia"/>
          <w:b/>
          <w:bCs/>
          <w:szCs w:val="24"/>
        </w:rPr>
      </w:pPr>
    </w:p>
    <w:p>
      <w:pPr>
        <w:rPr>
          <w:rFonts w:asciiTheme="minorEastAsia" w:hAnsiTheme="minorEastAsia" w:eastAsiaTheme="minorEastAsia"/>
          <w:b/>
          <w:bCs/>
          <w:szCs w:val="24"/>
        </w:rPr>
      </w:pPr>
      <w:r>
        <w:rPr>
          <w:rFonts w:hint="eastAsia" w:asciiTheme="minorEastAsia" w:hAnsiTheme="minorEastAsia" w:eastAsiaTheme="minorEastAsia"/>
          <w:b/>
          <w:bCs/>
          <w:szCs w:val="24"/>
        </w:rPr>
        <w:t>2.3 复核与核对评标结果</w:t>
      </w:r>
      <w:bookmarkEnd w:id="378"/>
    </w:p>
    <w:p>
      <w:pPr>
        <w:spacing w:before="156" w:beforeLines="50"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2.3.1 评分汇总结束后，磋商小组应当进行复核，特别要对拟推荐成交候选人的、报价最低的、响应文件被认定无效的进行重点复核。</w:t>
      </w:r>
    </w:p>
    <w:p>
      <w:pPr>
        <w:pStyle w:val="125"/>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2.3.2 评标结果汇总完成后，评标报告签署前，采购代理机构应当</w:t>
      </w:r>
      <w:r>
        <w:rPr>
          <w:rFonts w:hint="eastAsia" w:cs="宋体" w:asciiTheme="minorEastAsia" w:hAnsiTheme="minorEastAsia" w:eastAsiaTheme="minorEastAsia"/>
          <w:bCs/>
          <w:szCs w:val="24"/>
        </w:rPr>
        <w:t>核对评标结果，</w:t>
      </w:r>
      <w:r>
        <w:rPr>
          <w:rFonts w:hint="eastAsia" w:cs="宋体" w:asciiTheme="minorEastAsia" w:hAnsiTheme="minorEastAsia" w:eastAsiaTheme="minorEastAsia"/>
          <w:szCs w:val="24"/>
        </w:rPr>
        <w:t>除下列情形外，任何人不得修改评标结果：</w:t>
      </w:r>
    </w:p>
    <w:p>
      <w:pPr>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（1）分值汇总计算错误的；</w:t>
      </w:r>
    </w:p>
    <w:p>
      <w:pPr>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（2）分项评分超出评分标准范围的；</w:t>
      </w:r>
    </w:p>
    <w:p>
      <w:pPr>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（3）磋商小组对客观评审因素评分不一致的；</w:t>
      </w:r>
    </w:p>
    <w:p>
      <w:pPr>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（4）经磋商小组认定评分畸高、畸低的。</w:t>
      </w:r>
    </w:p>
    <w:p>
      <w:pPr>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经复核发现存在以上情形之一的，磋商小组应当当场修改评标结果，并在评标报告中记载。</w:t>
      </w:r>
    </w:p>
    <w:p>
      <w:pPr>
        <w:spacing w:line="360" w:lineRule="auto"/>
        <w:rPr>
          <w:rFonts w:asciiTheme="minorEastAsia" w:hAnsiTheme="minorEastAsia" w:eastAsiaTheme="minorEastAsia"/>
          <w:b/>
          <w:bCs/>
          <w:szCs w:val="24"/>
        </w:rPr>
      </w:pPr>
      <w:bookmarkStart w:id="379" w:name="_Toc30332"/>
      <w:bookmarkStart w:id="380" w:name="_Toc7369"/>
      <w:r>
        <w:rPr>
          <w:rFonts w:hint="eastAsia" w:asciiTheme="minorEastAsia" w:hAnsiTheme="minorEastAsia" w:eastAsiaTheme="minorEastAsia"/>
          <w:b/>
          <w:bCs/>
          <w:szCs w:val="24"/>
        </w:rPr>
        <w:t>2.4确定成交候选人名单</w:t>
      </w:r>
      <w:bookmarkEnd w:id="379"/>
      <w:bookmarkEnd w:id="380"/>
    </w:p>
    <w:p>
      <w:pPr>
        <w:overflowPunct w:val="0"/>
        <w:adjustRightInd w:val="0"/>
        <w:snapToGrid w:val="0"/>
        <w:spacing w:line="360" w:lineRule="auto"/>
        <w:ind w:firstLine="480" w:firstLineChars="200"/>
        <w:rPr>
          <w:rFonts w:cs="宋体" w:asciiTheme="minorEastAsia" w:hAnsiTheme="minorEastAsia" w:eastAsiaTheme="minorEastAsia"/>
          <w:color w:val="FF0000"/>
          <w:szCs w:val="24"/>
        </w:rPr>
      </w:pPr>
      <w:r>
        <w:rPr>
          <w:rFonts w:hint="eastAsia" w:cs="宋体" w:asciiTheme="minorEastAsia" w:hAnsiTheme="minorEastAsia" w:eastAsiaTheme="minorEastAsia"/>
          <w:szCs w:val="24"/>
        </w:rPr>
        <w:t>磋商小组应当根据综合评分情况，按照评审得分由高到低顺序推荐3名中标候选响应供应商，并编写评审报告，</w:t>
      </w:r>
      <w:r>
        <w:rPr>
          <w:rFonts w:hint="eastAsia" w:cs="宋体" w:asciiTheme="minorEastAsia" w:hAnsiTheme="minorEastAsia" w:eastAsiaTheme="minorEastAsia"/>
          <w:b/>
          <w:bCs/>
          <w:szCs w:val="24"/>
        </w:rPr>
        <w:t>评审得分相同的，按照报价由低到高的顺序推荐。评审得分且报价相同的，按照技术方案优劣顺序推荐。</w:t>
      </w:r>
    </w:p>
    <w:p>
      <w:pPr>
        <w:spacing w:line="360" w:lineRule="auto"/>
        <w:rPr>
          <w:rFonts w:asciiTheme="minorEastAsia" w:hAnsiTheme="minorEastAsia" w:eastAsiaTheme="minorEastAsia"/>
          <w:b/>
          <w:bCs/>
          <w:szCs w:val="24"/>
        </w:rPr>
      </w:pPr>
      <w:bookmarkStart w:id="381" w:name="_Toc17629"/>
      <w:bookmarkStart w:id="382" w:name="_Toc29583"/>
      <w:r>
        <w:rPr>
          <w:rFonts w:hint="eastAsia" w:asciiTheme="minorEastAsia" w:hAnsiTheme="minorEastAsia" w:eastAsiaTheme="minorEastAsia"/>
          <w:b/>
          <w:bCs/>
          <w:szCs w:val="24"/>
        </w:rPr>
        <w:t>2.5 编写评标报告</w:t>
      </w:r>
      <w:bookmarkEnd w:id="381"/>
      <w:bookmarkEnd w:id="382"/>
    </w:p>
    <w:p>
      <w:pPr>
        <w:spacing w:before="156" w:beforeLines="50" w:line="360" w:lineRule="auto"/>
        <w:ind w:firstLine="482"/>
        <w:rPr>
          <w:rFonts w:cs="宋体" w:asciiTheme="minorEastAsia" w:hAnsiTheme="minorEastAsia" w:eastAsiaTheme="minorEastAsia"/>
          <w:szCs w:val="24"/>
        </w:rPr>
      </w:pPr>
      <w:r>
        <w:rPr>
          <w:rFonts w:hint="eastAsia" w:cs="宋体" w:asciiTheme="minorEastAsia" w:hAnsiTheme="minorEastAsia" w:eastAsiaTheme="minorEastAsia"/>
          <w:szCs w:val="24"/>
        </w:rPr>
        <w:t>2.5.1 磋商小组在确定成交候选人名单后，应当编写评标报告并向采购人出具。评标报告应当包括以下内容：</w:t>
      </w:r>
    </w:p>
    <w:p>
      <w:pPr>
        <w:widowControl/>
        <w:spacing w:line="360" w:lineRule="auto"/>
        <w:ind w:firstLine="480" w:firstLineChars="200"/>
        <w:jc w:val="left"/>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（1）招标公告刊登的媒体名称、开标日期和地点；</w:t>
      </w:r>
    </w:p>
    <w:p>
      <w:pPr>
        <w:widowControl/>
        <w:spacing w:line="360" w:lineRule="auto"/>
        <w:jc w:val="left"/>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　　（2）响应人名单和磋商小组成员名单；</w:t>
      </w:r>
    </w:p>
    <w:p>
      <w:pPr>
        <w:widowControl/>
        <w:spacing w:line="360" w:lineRule="auto"/>
        <w:jc w:val="left"/>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　　（3）评标方法和标准；</w:t>
      </w:r>
    </w:p>
    <w:p>
      <w:pPr>
        <w:widowControl/>
        <w:spacing w:line="360" w:lineRule="auto"/>
        <w:jc w:val="left"/>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　　（4）开标记录和评标情况及说明，包括无效响应人名单及原因；</w:t>
      </w:r>
    </w:p>
    <w:p>
      <w:pPr>
        <w:widowControl/>
        <w:spacing w:line="360" w:lineRule="auto"/>
        <w:jc w:val="left"/>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　　（5）评标结果，确定的成交候选人名单；</w:t>
      </w:r>
    </w:p>
    <w:p>
      <w:pPr>
        <w:widowControl/>
        <w:spacing w:line="360" w:lineRule="auto"/>
        <w:jc w:val="left"/>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 xml:space="preserve">    （6）其他需要说明的情况，包括评标过程中响应人根据磋商小组要求进行的澄清、说明或者补正，磋商小组成员的更换等。</w:t>
      </w:r>
    </w:p>
    <w:p>
      <w:pPr>
        <w:widowControl/>
        <w:spacing w:line="360" w:lineRule="auto"/>
        <w:ind w:firstLine="480"/>
        <w:jc w:val="left"/>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2.5.2 磋商小组成员应当对评标报告予以签字确认，对评标过程有不同意见的，应当在评标报告中写明并说明理由。签字但未写明不同意见或者未说明理由的，视同无意见。拒不签字又未另行书面说明其不同意见和理由的，视同同意评标报告。</w:t>
      </w:r>
    </w:p>
    <w:p>
      <w:pPr>
        <w:pStyle w:val="4"/>
        <w:tabs>
          <w:tab w:val="left" w:pos="576"/>
        </w:tabs>
        <w:spacing w:before="0" w:after="0" w:line="360" w:lineRule="auto"/>
        <w:jc w:val="left"/>
        <w:rPr>
          <w:rFonts w:cs="宋体" w:asciiTheme="minorEastAsia" w:hAnsiTheme="minorEastAsia" w:eastAsiaTheme="minorEastAsia"/>
          <w:iCs/>
          <w:szCs w:val="24"/>
        </w:rPr>
      </w:pPr>
      <w:bookmarkStart w:id="383" w:name="_Toc48655760"/>
      <w:bookmarkStart w:id="384" w:name="_Toc89440035"/>
      <w:r>
        <w:rPr>
          <w:rFonts w:hint="eastAsia" w:cs="宋体" w:asciiTheme="minorEastAsia" w:hAnsiTheme="minorEastAsia" w:eastAsiaTheme="minorEastAsia"/>
          <w:iCs/>
          <w:szCs w:val="24"/>
        </w:rPr>
        <w:t>三、汇总得分</w:t>
      </w:r>
      <w:bookmarkEnd w:id="383"/>
      <w:bookmarkEnd w:id="384"/>
    </w:p>
    <w:p>
      <w:pPr>
        <w:spacing w:line="360" w:lineRule="auto"/>
        <w:ind w:firstLine="480" w:firstLineChars="200"/>
        <w:rPr>
          <w:rFonts w:cs="宋体" w:asciiTheme="minorEastAsia" w:hAnsiTheme="minorEastAsia" w:eastAsiaTheme="minorEastAsia"/>
          <w:szCs w:val="24"/>
        </w:rPr>
        <w:sectPr>
          <w:footerReference r:id="rId6" w:type="default"/>
          <w:pgSz w:w="11906" w:h="16838"/>
          <w:pgMar w:top="1440" w:right="1080" w:bottom="1440" w:left="1080" w:header="851" w:footer="964" w:gutter="0"/>
          <w:cols w:space="720" w:num="1"/>
          <w:docGrid w:type="lines" w:linePitch="312" w:charSpace="0"/>
        </w:sectPr>
      </w:pPr>
      <w:r>
        <w:rPr>
          <w:rFonts w:hint="eastAsia" w:cs="宋体" w:asciiTheme="minorEastAsia" w:hAnsiTheme="minorEastAsia" w:eastAsiaTheme="minorEastAsia"/>
          <w:szCs w:val="24"/>
        </w:rPr>
        <w:t>磋商小组成员独立评分，按评审后综合得分由高到低顺序排列。得分相同的，按响应报价由低到高顺序排列。得分且响应报价相同的，比较技术得分，此技术得分高者排在前；评委评分超过得分界限或未按照本办法规定时，该评委的该项评分作废，不计入汇总；数字均保留二位小数，第三位“四舍五入”。 评审过程中，若出现本办法以外的特殊情况时，将暂停评标，有关情况待磋商小组确定后，再行评定。</w:t>
      </w:r>
    </w:p>
    <w:p>
      <w:pPr>
        <w:pStyle w:val="3"/>
      </w:pPr>
      <w:bookmarkStart w:id="385" w:name="_Toc48655761"/>
      <w:bookmarkStart w:id="386" w:name="_Toc89440036"/>
      <w:r>
        <w:rPr>
          <w:rFonts w:hint="eastAsia"/>
        </w:rPr>
        <w:t xml:space="preserve">第七章 </w:t>
      </w:r>
      <w:r>
        <w:rPr>
          <w:rFonts w:hint="eastAsia"/>
          <w:lang w:val="zh-CN"/>
        </w:rPr>
        <w:t>响应文件</w:t>
      </w:r>
      <w:bookmarkEnd w:id="362"/>
      <w:bookmarkEnd w:id="363"/>
      <w:bookmarkEnd w:id="364"/>
      <w:bookmarkEnd w:id="365"/>
      <w:bookmarkEnd w:id="366"/>
      <w:bookmarkEnd w:id="367"/>
      <w:bookmarkEnd w:id="368"/>
      <w:bookmarkEnd w:id="385"/>
      <w:r>
        <w:rPr>
          <w:rFonts w:hint="eastAsia"/>
        </w:rPr>
        <w:t>格式</w:t>
      </w:r>
      <w:bookmarkEnd w:id="386"/>
    </w:p>
    <w:p/>
    <w:p>
      <w:pPr>
        <w:tabs>
          <w:tab w:val="left" w:pos="7035"/>
        </w:tabs>
        <w:spacing w:line="360" w:lineRule="auto"/>
        <w:jc w:val="left"/>
        <w:rPr>
          <w:rFonts w:ascii="宋体" w:hAnsi="宋体" w:cs="宋体"/>
          <w:b/>
          <w:kern w:val="0"/>
        </w:rPr>
      </w:pPr>
      <w:r>
        <w:rPr>
          <w:rFonts w:hint="eastAsia" w:ascii="宋体" w:hAnsi="宋体" w:cs="宋体"/>
          <w:b/>
          <w:kern w:val="0"/>
        </w:rPr>
        <w:tab/>
      </w:r>
      <w:r>
        <w:rPr>
          <w:rFonts w:hint="eastAsia" w:ascii="宋体" w:hAnsi="宋体" w:cs="宋体"/>
          <w:b/>
          <w:kern w:val="0"/>
          <w:bdr w:val="single" w:color="auto" w:sz="4" w:space="0"/>
        </w:rPr>
        <w:t>正/副本</w:t>
      </w:r>
    </w:p>
    <w:p>
      <w:pPr>
        <w:spacing w:line="360" w:lineRule="auto"/>
        <w:jc w:val="center"/>
        <w:rPr>
          <w:rFonts w:ascii="宋体" w:hAnsi="宋体" w:cs="宋体"/>
          <w:b/>
        </w:rPr>
      </w:pPr>
    </w:p>
    <w:p>
      <w:pPr>
        <w:spacing w:line="360" w:lineRule="auto"/>
        <w:jc w:val="center"/>
        <w:rPr>
          <w:rFonts w:ascii="宋体" w:hAnsi="宋体" w:cs="宋体"/>
          <w:b/>
          <w:bCs/>
        </w:rPr>
      </w:pPr>
    </w:p>
    <w:p>
      <w:pPr>
        <w:spacing w:line="360" w:lineRule="auto"/>
        <w:jc w:val="center"/>
        <w:rPr>
          <w:rFonts w:ascii="宋体" w:hAnsi="宋体" w:cs="宋体"/>
          <w:b/>
          <w:bCs/>
        </w:rPr>
      </w:pPr>
    </w:p>
    <w:p>
      <w:pPr>
        <w:pStyle w:val="126"/>
        <w:jc w:val="center"/>
        <w:outlineLvl w:val="0"/>
        <w:rPr>
          <w:rFonts w:hAnsi="宋体"/>
          <w:b/>
          <w:bCs/>
          <w:color w:val="auto"/>
          <w:kern w:val="2"/>
          <w:sz w:val="48"/>
          <w:szCs w:val="48"/>
        </w:rPr>
      </w:pPr>
      <w:r>
        <w:rPr>
          <w:rFonts w:hint="eastAsia" w:hAnsi="宋体"/>
          <w:b/>
          <w:bCs/>
          <w:color w:val="auto"/>
          <w:kern w:val="2"/>
          <w:sz w:val="48"/>
          <w:szCs w:val="48"/>
        </w:rPr>
        <w:t>莲湖区市政设施调查项目</w:t>
      </w:r>
    </w:p>
    <w:p>
      <w:pPr>
        <w:tabs>
          <w:tab w:val="left" w:pos="5670"/>
        </w:tabs>
        <w:autoSpaceDE w:val="0"/>
        <w:autoSpaceDN w:val="0"/>
        <w:adjustRightInd w:val="0"/>
        <w:snapToGrid w:val="0"/>
        <w:spacing w:line="360" w:lineRule="auto"/>
        <w:jc w:val="center"/>
        <w:rPr>
          <w:rFonts w:ascii="宋体" w:hAnsi="宋体" w:cs="宋体"/>
          <w:b/>
          <w:bCs/>
          <w:sz w:val="48"/>
          <w:szCs w:val="48"/>
        </w:rPr>
      </w:pPr>
    </w:p>
    <w:p>
      <w:pPr>
        <w:tabs>
          <w:tab w:val="left" w:pos="5670"/>
        </w:tabs>
        <w:autoSpaceDE w:val="0"/>
        <w:autoSpaceDN w:val="0"/>
        <w:adjustRightInd w:val="0"/>
        <w:snapToGrid w:val="0"/>
        <w:spacing w:line="360" w:lineRule="auto"/>
        <w:jc w:val="center"/>
        <w:outlineLvl w:val="0"/>
        <w:rPr>
          <w:rFonts w:ascii="宋体" w:hAnsi="宋体" w:cs="宋体"/>
          <w:b/>
          <w:bCs/>
          <w:sz w:val="48"/>
          <w:szCs w:val="48"/>
        </w:rPr>
      </w:pPr>
      <w:r>
        <w:rPr>
          <w:rFonts w:hint="eastAsia" w:ascii="宋体" w:hAnsi="宋体" w:cs="宋体"/>
          <w:b/>
          <w:bCs/>
          <w:sz w:val="48"/>
          <w:szCs w:val="48"/>
        </w:rPr>
        <w:t>响 应 文 件</w:t>
      </w:r>
    </w:p>
    <w:p>
      <w:pPr>
        <w:spacing w:line="360" w:lineRule="auto"/>
        <w:rPr>
          <w:rFonts w:ascii="宋体" w:hAnsi="宋体" w:cs="宋体"/>
          <w:b/>
          <w:sz w:val="48"/>
          <w:szCs w:val="48"/>
        </w:rPr>
      </w:pPr>
    </w:p>
    <w:p>
      <w:pPr>
        <w:pStyle w:val="33"/>
        <w:ind w:firstLine="0"/>
        <w:jc w:val="center"/>
        <w:outlineLvl w:val="0"/>
        <w:rPr>
          <w:rFonts w:ascii="宋体" w:hAnsi="宋体" w:cs="宋体"/>
          <w:b/>
          <w:sz w:val="28"/>
          <w:szCs w:val="28"/>
        </w:rPr>
      </w:pPr>
      <w:r>
        <w:rPr>
          <w:rFonts w:hint="eastAsia" w:ascii="宋体" w:hAnsi="宋体" w:cs="宋体"/>
          <w:b/>
          <w:sz w:val="28"/>
          <w:szCs w:val="28"/>
        </w:rPr>
        <w:t>采购项目编号：YFC2022-GP-005F</w:t>
      </w:r>
    </w:p>
    <w:p>
      <w:pPr>
        <w:pStyle w:val="33"/>
        <w:rPr>
          <w:rFonts w:ascii="宋体" w:hAnsi="宋体" w:cs="宋体"/>
          <w:b/>
          <w:sz w:val="28"/>
          <w:szCs w:val="28"/>
        </w:rPr>
      </w:pPr>
    </w:p>
    <w:p>
      <w:pPr>
        <w:pStyle w:val="33"/>
        <w:rPr>
          <w:rFonts w:ascii="宋体" w:hAnsi="宋体" w:cs="宋体"/>
          <w:b/>
        </w:rPr>
      </w:pPr>
    </w:p>
    <w:p>
      <w:pPr>
        <w:pStyle w:val="33"/>
        <w:rPr>
          <w:rFonts w:ascii="宋体" w:hAnsi="宋体" w:cs="宋体"/>
          <w:b/>
        </w:rPr>
      </w:pPr>
    </w:p>
    <w:p>
      <w:pPr>
        <w:pStyle w:val="2"/>
        <w:rPr>
          <w:rFonts w:ascii="宋体" w:hAnsi="宋体" w:cs="宋体"/>
          <w:b/>
          <w:sz w:val="21"/>
          <w:szCs w:val="21"/>
        </w:rPr>
      </w:pPr>
    </w:p>
    <w:p>
      <w:pPr>
        <w:pStyle w:val="2"/>
        <w:rPr>
          <w:rFonts w:ascii="宋体" w:hAnsi="宋体" w:cs="宋体"/>
          <w:b/>
          <w:sz w:val="21"/>
          <w:szCs w:val="21"/>
        </w:rPr>
      </w:pPr>
    </w:p>
    <w:p>
      <w:pPr>
        <w:pStyle w:val="2"/>
        <w:rPr>
          <w:rFonts w:ascii="宋体" w:hAnsi="宋体" w:cs="宋体"/>
          <w:b/>
          <w:sz w:val="21"/>
          <w:szCs w:val="21"/>
        </w:rPr>
      </w:pPr>
    </w:p>
    <w:p>
      <w:pPr>
        <w:pStyle w:val="2"/>
        <w:rPr>
          <w:rFonts w:ascii="宋体" w:hAnsi="宋体" w:cs="宋体"/>
          <w:b/>
          <w:sz w:val="21"/>
          <w:szCs w:val="21"/>
        </w:rPr>
      </w:pPr>
    </w:p>
    <w:p>
      <w:pPr>
        <w:pStyle w:val="2"/>
        <w:rPr>
          <w:rFonts w:ascii="宋体" w:hAnsi="宋体" w:cs="宋体"/>
          <w:b/>
          <w:sz w:val="21"/>
          <w:szCs w:val="21"/>
        </w:rPr>
      </w:pPr>
    </w:p>
    <w:p>
      <w:pPr>
        <w:pStyle w:val="2"/>
        <w:rPr>
          <w:rFonts w:ascii="宋体" w:hAnsi="宋体" w:cs="宋体"/>
          <w:b/>
          <w:sz w:val="21"/>
          <w:szCs w:val="21"/>
        </w:rPr>
      </w:pPr>
    </w:p>
    <w:p>
      <w:pPr>
        <w:pStyle w:val="2"/>
        <w:rPr>
          <w:rFonts w:ascii="宋体" w:hAnsi="宋体" w:cs="宋体"/>
          <w:b/>
          <w:sz w:val="21"/>
          <w:szCs w:val="21"/>
        </w:rPr>
      </w:pPr>
    </w:p>
    <w:p>
      <w:pPr>
        <w:pStyle w:val="2"/>
        <w:rPr>
          <w:rFonts w:ascii="宋体" w:hAnsi="宋体" w:cs="宋体"/>
          <w:b/>
          <w:sz w:val="21"/>
          <w:szCs w:val="21"/>
        </w:rPr>
      </w:pPr>
    </w:p>
    <w:p>
      <w:pPr>
        <w:pStyle w:val="2"/>
        <w:rPr>
          <w:rFonts w:ascii="宋体" w:hAnsi="宋体" w:cs="宋体"/>
          <w:b/>
          <w:sz w:val="21"/>
          <w:szCs w:val="21"/>
        </w:rPr>
      </w:pPr>
    </w:p>
    <w:p>
      <w:pPr>
        <w:pStyle w:val="2"/>
        <w:rPr>
          <w:rFonts w:ascii="宋体" w:hAnsi="宋体" w:cs="宋体"/>
          <w:b/>
          <w:sz w:val="21"/>
          <w:szCs w:val="21"/>
        </w:rPr>
      </w:pPr>
    </w:p>
    <w:p>
      <w:pPr>
        <w:pStyle w:val="2"/>
        <w:rPr>
          <w:rFonts w:ascii="宋体" w:hAnsi="宋体" w:cs="宋体"/>
          <w:b/>
          <w:sz w:val="21"/>
          <w:szCs w:val="21"/>
        </w:rPr>
      </w:pPr>
    </w:p>
    <w:p>
      <w:pPr>
        <w:pStyle w:val="2"/>
        <w:rPr>
          <w:rFonts w:ascii="宋体" w:hAnsi="宋体" w:cs="宋体"/>
          <w:b/>
          <w:sz w:val="21"/>
          <w:szCs w:val="21"/>
        </w:rPr>
      </w:pPr>
    </w:p>
    <w:p>
      <w:pPr>
        <w:pStyle w:val="2"/>
        <w:rPr>
          <w:rFonts w:ascii="宋体" w:hAnsi="宋体" w:cs="宋体"/>
          <w:b/>
          <w:sz w:val="21"/>
          <w:szCs w:val="21"/>
        </w:rPr>
      </w:pPr>
    </w:p>
    <w:p>
      <w:pPr>
        <w:spacing w:line="360" w:lineRule="auto"/>
        <w:ind w:firstLine="562"/>
        <w:jc w:val="center"/>
        <w:outlineLvl w:val="0"/>
        <w:rPr>
          <w:rFonts w:ascii="宋体" w:hAnsi="宋体" w:cs="宋体"/>
          <w:b/>
          <w:sz w:val="28"/>
          <w:szCs w:val="28"/>
        </w:rPr>
      </w:pPr>
      <w:r>
        <w:rPr>
          <w:rFonts w:hint="eastAsia" w:ascii="宋体" w:hAnsi="宋体" w:cs="宋体"/>
          <w:b/>
          <w:sz w:val="28"/>
          <w:szCs w:val="28"/>
        </w:rPr>
        <w:t>响应供应商名称：</w:t>
      </w:r>
      <w:r>
        <w:rPr>
          <w:rFonts w:hint="eastAsia" w:ascii="宋体" w:hAnsi="宋体" w:cs="宋体"/>
          <w:b/>
          <w:sz w:val="28"/>
          <w:szCs w:val="28"/>
          <w:u w:val="single"/>
        </w:rPr>
        <w:t xml:space="preserve">                   </w:t>
      </w:r>
      <w:r>
        <w:rPr>
          <w:rFonts w:hint="eastAsia" w:ascii="宋体" w:hAnsi="宋体" w:cs="宋体"/>
          <w:b/>
          <w:sz w:val="28"/>
          <w:szCs w:val="28"/>
        </w:rPr>
        <w:t>（盖章）</w:t>
      </w:r>
    </w:p>
    <w:p>
      <w:pPr>
        <w:spacing w:line="360" w:lineRule="auto"/>
        <w:ind w:firstLine="562"/>
        <w:jc w:val="center"/>
        <w:outlineLvl w:val="0"/>
        <w:rPr>
          <w:rFonts w:ascii="宋体" w:hAnsi="宋体" w:cs="宋体"/>
          <w:b/>
          <w:sz w:val="28"/>
          <w:szCs w:val="28"/>
        </w:rPr>
      </w:pPr>
      <w:r>
        <w:rPr>
          <w:rFonts w:hint="eastAsia" w:ascii="宋体" w:hAnsi="宋体" w:cs="宋体"/>
          <w:b/>
          <w:sz w:val="28"/>
          <w:szCs w:val="28"/>
        </w:rPr>
        <w:t xml:space="preserve">法定代表人或其授权代理人： </w:t>
      </w:r>
      <w:r>
        <w:rPr>
          <w:rFonts w:hint="eastAsia" w:ascii="宋体" w:hAnsi="宋体" w:cs="宋体"/>
          <w:b/>
          <w:sz w:val="28"/>
          <w:szCs w:val="28"/>
          <w:u w:val="single"/>
        </w:rPr>
        <w:t xml:space="preserve">            </w:t>
      </w:r>
      <w:r>
        <w:rPr>
          <w:rFonts w:hint="eastAsia" w:ascii="宋体" w:hAnsi="宋体" w:cs="宋体"/>
          <w:b/>
          <w:sz w:val="28"/>
          <w:szCs w:val="28"/>
        </w:rPr>
        <w:t xml:space="preserve">（签字或签章） </w:t>
      </w:r>
    </w:p>
    <w:p>
      <w:pPr>
        <w:spacing w:line="360" w:lineRule="auto"/>
        <w:ind w:firstLine="2156" w:firstLineChars="767"/>
        <w:rPr>
          <w:rFonts w:ascii="宋体" w:hAnsi="宋体" w:cs="宋体"/>
          <w:b/>
          <w:sz w:val="28"/>
          <w:szCs w:val="28"/>
          <w:u w:val="single"/>
        </w:rPr>
      </w:pPr>
      <w:r>
        <w:rPr>
          <w:rFonts w:hint="eastAsia" w:ascii="宋体" w:hAnsi="宋体" w:cs="宋体"/>
          <w:b/>
          <w:sz w:val="28"/>
          <w:szCs w:val="28"/>
        </w:rPr>
        <w:t>日      期：</w:t>
      </w:r>
      <w:r>
        <w:rPr>
          <w:rFonts w:hint="eastAsia" w:ascii="宋体" w:hAnsi="宋体" w:cs="宋体"/>
          <w:b/>
          <w:sz w:val="28"/>
          <w:szCs w:val="28"/>
          <w:u w:val="single"/>
        </w:rPr>
        <w:t xml:space="preserve">      年      月      日  </w:t>
      </w:r>
    </w:p>
    <w:p>
      <w:pPr>
        <w:pStyle w:val="14"/>
        <w:rPr>
          <w:rFonts w:ascii="宋体" w:hAnsi="宋体" w:cs="宋体"/>
          <w:szCs w:val="28"/>
        </w:rPr>
      </w:pPr>
    </w:p>
    <w:p>
      <w:pPr>
        <w:spacing w:line="360" w:lineRule="auto"/>
        <w:rPr>
          <w:rFonts w:ascii="宋体" w:hAnsi="宋体" w:cs="宋体"/>
        </w:rPr>
      </w:pPr>
    </w:p>
    <w:p>
      <w:pPr>
        <w:jc w:val="center"/>
        <w:outlineLvl w:val="0"/>
        <w:rPr>
          <w:b/>
          <w:bCs/>
          <w:sz w:val="32"/>
          <w:szCs w:val="32"/>
        </w:rPr>
      </w:pPr>
      <w:r>
        <w:rPr>
          <w:rFonts w:hint="eastAsia"/>
          <w:b/>
          <w:bCs/>
          <w:sz w:val="32"/>
          <w:szCs w:val="32"/>
        </w:rPr>
        <w:t>磋商响应函</w:t>
      </w:r>
    </w:p>
    <w:p>
      <w:pPr>
        <w:pStyle w:val="2"/>
      </w:pPr>
    </w:p>
    <w:p>
      <w:pPr>
        <w:spacing w:line="360" w:lineRule="auto"/>
        <w:rPr>
          <w:rFonts w:ascii="宋体" w:hAnsi="宋体" w:cs="宋体"/>
          <w:szCs w:val="24"/>
        </w:rPr>
      </w:pPr>
      <w:r>
        <w:rPr>
          <w:rFonts w:hint="eastAsia" w:ascii="宋体" w:hAnsi="宋体" w:cs="宋体"/>
          <w:szCs w:val="24"/>
        </w:rPr>
        <w:t>致：陕西源丰成工程项目管理有限公司</w:t>
      </w:r>
    </w:p>
    <w:p>
      <w:pPr>
        <w:spacing w:line="360" w:lineRule="auto"/>
        <w:ind w:firstLine="480" w:firstLineChars="200"/>
        <w:rPr>
          <w:rFonts w:ascii="宋体" w:hAnsi="宋体" w:cs="宋体"/>
          <w:szCs w:val="24"/>
        </w:rPr>
      </w:pPr>
      <w:r>
        <w:rPr>
          <w:rFonts w:hint="eastAsia" w:ascii="宋体" w:hAnsi="宋体" w:cs="宋体"/>
          <w:szCs w:val="24"/>
        </w:rPr>
        <w:t>根据</w:t>
      </w:r>
      <w:r>
        <w:rPr>
          <w:rFonts w:hint="eastAsia" w:ascii="宋体" w:hAnsi="宋体" w:cs="宋体"/>
          <w:szCs w:val="24"/>
          <w:u w:val="single"/>
        </w:rPr>
        <w:t>（采购项目名称）</w:t>
      </w:r>
      <w:r>
        <w:rPr>
          <w:rFonts w:hint="eastAsia" w:ascii="宋体" w:hAnsi="宋体" w:cs="宋体"/>
          <w:szCs w:val="24"/>
        </w:rPr>
        <w:t>磋商文件要求，签字代表</w:t>
      </w:r>
      <w:r>
        <w:rPr>
          <w:rFonts w:hint="eastAsia" w:ascii="宋体" w:hAnsi="宋体" w:cs="宋体"/>
          <w:szCs w:val="24"/>
          <w:u w:val="single"/>
        </w:rPr>
        <w:t xml:space="preserve">      (全名、职务)</w:t>
      </w:r>
      <w:r>
        <w:rPr>
          <w:rFonts w:hint="eastAsia" w:ascii="宋体" w:hAnsi="宋体" w:cs="宋体"/>
          <w:szCs w:val="24"/>
        </w:rPr>
        <w:t>经正式授权并代表</w:t>
      </w:r>
      <w:r>
        <w:rPr>
          <w:rFonts w:hint="eastAsia" w:ascii="宋体" w:hAnsi="宋体" w:cs="宋体"/>
          <w:szCs w:val="24"/>
          <w:u w:val="single"/>
        </w:rPr>
        <w:t xml:space="preserve"> (响应供应商名称、地址)</w:t>
      </w:r>
      <w:r>
        <w:rPr>
          <w:rFonts w:hint="eastAsia" w:ascii="宋体" w:hAnsi="宋体" w:cs="宋体"/>
          <w:szCs w:val="24"/>
        </w:rPr>
        <w:t>提交包含下述内容的响应文件正本一份、副本两份、电子版二份。</w:t>
      </w:r>
    </w:p>
    <w:p>
      <w:pPr>
        <w:spacing w:line="360" w:lineRule="auto"/>
        <w:ind w:firstLine="480" w:firstLineChars="200"/>
        <w:outlineLvl w:val="0"/>
        <w:rPr>
          <w:rFonts w:ascii="宋体" w:hAnsi="宋体" w:cs="宋体"/>
          <w:szCs w:val="24"/>
        </w:rPr>
      </w:pPr>
      <w:r>
        <w:rPr>
          <w:rFonts w:hint="eastAsia" w:ascii="宋体" w:hAnsi="宋体" w:cs="宋体"/>
          <w:szCs w:val="24"/>
        </w:rPr>
        <w:t>(1) 磋商响应函；</w:t>
      </w:r>
    </w:p>
    <w:p>
      <w:pPr>
        <w:spacing w:line="360" w:lineRule="auto"/>
        <w:ind w:firstLine="480" w:firstLineChars="200"/>
        <w:outlineLvl w:val="0"/>
        <w:rPr>
          <w:rFonts w:ascii="宋体" w:hAnsi="宋体" w:cs="宋体"/>
          <w:szCs w:val="24"/>
        </w:rPr>
      </w:pPr>
      <w:r>
        <w:rPr>
          <w:rFonts w:hint="eastAsia" w:ascii="宋体" w:hAnsi="宋体" w:cs="宋体"/>
          <w:szCs w:val="24"/>
        </w:rPr>
        <w:t>(2) 磋商一览表；</w:t>
      </w:r>
    </w:p>
    <w:p>
      <w:pPr>
        <w:spacing w:line="360" w:lineRule="auto"/>
        <w:ind w:firstLine="480" w:firstLineChars="200"/>
        <w:outlineLvl w:val="0"/>
        <w:rPr>
          <w:rFonts w:ascii="宋体" w:hAnsi="宋体" w:cs="宋体"/>
          <w:szCs w:val="24"/>
        </w:rPr>
      </w:pPr>
      <w:r>
        <w:rPr>
          <w:rFonts w:hint="eastAsia" w:ascii="宋体" w:hAnsi="宋体" w:cs="宋体"/>
          <w:szCs w:val="24"/>
        </w:rPr>
        <w:t>(3) 按磋商文件要求的提供的响应文件；</w:t>
      </w:r>
    </w:p>
    <w:p>
      <w:pPr>
        <w:spacing w:line="360" w:lineRule="auto"/>
        <w:ind w:firstLine="480" w:firstLineChars="200"/>
        <w:outlineLvl w:val="0"/>
        <w:rPr>
          <w:rFonts w:ascii="宋体" w:hAnsi="宋体" w:cs="宋体"/>
          <w:szCs w:val="24"/>
        </w:rPr>
      </w:pPr>
      <w:r>
        <w:rPr>
          <w:rFonts w:hint="eastAsia" w:ascii="宋体" w:hAnsi="宋体" w:cs="宋体"/>
          <w:szCs w:val="24"/>
        </w:rPr>
        <w:t>(4) 响应供应商资格证明文件；</w:t>
      </w:r>
    </w:p>
    <w:p>
      <w:pPr>
        <w:spacing w:line="360" w:lineRule="auto"/>
        <w:ind w:firstLine="480" w:firstLineChars="200"/>
        <w:rPr>
          <w:rFonts w:ascii="宋体" w:hAnsi="宋体" w:cs="宋体"/>
          <w:szCs w:val="24"/>
        </w:rPr>
      </w:pPr>
      <w:r>
        <w:rPr>
          <w:rFonts w:hint="eastAsia" w:ascii="宋体" w:hAnsi="宋体" w:cs="宋体"/>
          <w:szCs w:val="24"/>
        </w:rPr>
        <w:tab/>
      </w:r>
      <w:r>
        <w:rPr>
          <w:rFonts w:hint="eastAsia" w:ascii="宋体" w:hAnsi="宋体" w:cs="宋体"/>
          <w:szCs w:val="24"/>
        </w:rPr>
        <w:t>据此函，签字代表宣布同意如下：</w:t>
      </w:r>
    </w:p>
    <w:p>
      <w:pPr>
        <w:spacing w:line="360" w:lineRule="auto"/>
        <w:ind w:firstLine="480" w:firstLineChars="200"/>
        <w:rPr>
          <w:rFonts w:ascii="宋体" w:hAnsi="宋体" w:cs="宋体"/>
          <w:szCs w:val="24"/>
        </w:rPr>
      </w:pPr>
      <w:r>
        <w:rPr>
          <w:rFonts w:hint="eastAsia" w:ascii="宋体" w:hAnsi="宋体" w:cs="宋体"/>
          <w:szCs w:val="24"/>
        </w:rPr>
        <w:t>1、响应供应商将按磋商文件的规定履行合同责任和义务;</w:t>
      </w:r>
    </w:p>
    <w:p>
      <w:pPr>
        <w:spacing w:line="360" w:lineRule="auto"/>
        <w:ind w:firstLine="480" w:firstLineChars="200"/>
        <w:rPr>
          <w:rFonts w:ascii="宋体" w:hAnsi="宋体" w:cs="宋体"/>
          <w:szCs w:val="24"/>
        </w:rPr>
      </w:pPr>
      <w:r>
        <w:rPr>
          <w:rFonts w:hint="eastAsia" w:ascii="宋体" w:hAnsi="宋体" w:cs="宋体"/>
          <w:szCs w:val="24"/>
        </w:rPr>
        <w:t>2. 响应供应商已详细审查全部磋商文件，包括修改文件（如有的话）以及全部参考资料和有关附件。我们完全理解并同意放弃对这方面有不明及误解的权利；</w:t>
      </w:r>
    </w:p>
    <w:p>
      <w:pPr>
        <w:spacing w:line="360" w:lineRule="auto"/>
        <w:ind w:firstLine="480" w:firstLineChars="200"/>
        <w:rPr>
          <w:rFonts w:ascii="宋体" w:hAnsi="宋体" w:cs="宋体"/>
          <w:szCs w:val="24"/>
        </w:rPr>
      </w:pPr>
      <w:r>
        <w:rPr>
          <w:rFonts w:hint="eastAsia" w:ascii="宋体" w:hAnsi="宋体" w:cs="宋体"/>
          <w:szCs w:val="24"/>
        </w:rPr>
        <w:t>3. 响应自递交响应文件截止之日起有效期为</w:t>
      </w:r>
      <w:r>
        <w:rPr>
          <w:rFonts w:hint="eastAsia" w:ascii="宋体" w:hAnsi="宋体" w:cs="宋体"/>
          <w:szCs w:val="24"/>
          <w:u w:val="single"/>
        </w:rPr>
        <w:t>60</w:t>
      </w:r>
      <w:r>
        <w:rPr>
          <w:rFonts w:hint="eastAsia" w:ascii="宋体" w:hAnsi="宋体" w:cs="宋体"/>
          <w:szCs w:val="24"/>
        </w:rPr>
        <w:t>个日历天；</w:t>
      </w:r>
    </w:p>
    <w:p>
      <w:pPr>
        <w:spacing w:line="360" w:lineRule="auto"/>
        <w:ind w:firstLine="480" w:firstLineChars="200"/>
        <w:rPr>
          <w:rFonts w:ascii="宋体" w:hAnsi="宋体" w:cs="宋体"/>
          <w:szCs w:val="24"/>
        </w:rPr>
      </w:pPr>
      <w:r>
        <w:rPr>
          <w:rFonts w:hint="eastAsia" w:ascii="宋体" w:hAnsi="宋体" w:cs="宋体"/>
          <w:szCs w:val="24"/>
        </w:rPr>
        <w:t>4. 如果在规定的响应截止时间后，响应供应商在响应有效期内撤回响应；或中标后未按磋商文件规定的向采购代理机构交纳足额的招标代理服务费，其响应保证金将被贵方没收；</w:t>
      </w:r>
    </w:p>
    <w:p>
      <w:pPr>
        <w:spacing w:line="360" w:lineRule="auto"/>
        <w:ind w:firstLine="480" w:firstLineChars="200"/>
        <w:rPr>
          <w:rFonts w:ascii="宋体" w:hAnsi="宋体" w:cs="宋体"/>
          <w:szCs w:val="24"/>
        </w:rPr>
      </w:pPr>
      <w:r>
        <w:rPr>
          <w:rFonts w:hint="eastAsia" w:ascii="宋体" w:hAnsi="宋体" w:cs="宋体"/>
          <w:szCs w:val="24"/>
        </w:rPr>
        <w:t>5. 响应供应商同意提供按照贵方可能要求的与其报价有关的一切数据或资料，完全理解贵方不一定要接受最低价的响应报价或收到的任何响应报价。</w:t>
      </w:r>
    </w:p>
    <w:p>
      <w:pPr>
        <w:spacing w:line="360" w:lineRule="auto"/>
        <w:ind w:firstLine="480" w:firstLineChars="200"/>
        <w:rPr>
          <w:rFonts w:ascii="宋体" w:hAnsi="宋体" w:cs="宋体"/>
          <w:szCs w:val="24"/>
        </w:rPr>
      </w:pPr>
      <w:r>
        <w:rPr>
          <w:rFonts w:hint="eastAsia" w:ascii="宋体" w:hAnsi="宋体" w:cs="宋体"/>
          <w:szCs w:val="24"/>
        </w:rPr>
        <w:t>6. 与本响应有关的一切正式往来通讯请寄：</w:t>
      </w:r>
    </w:p>
    <w:p>
      <w:pPr>
        <w:spacing w:line="360" w:lineRule="auto"/>
        <w:ind w:firstLine="480" w:firstLineChars="200"/>
        <w:rPr>
          <w:rFonts w:ascii="宋体" w:hAnsi="宋体" w:cs="宋体"/>
          <w:szCs w:val="24"/>
        </w:rPr>
      </w:pPr>
      <w:r>
        <w:rPr>
          <w:rFonts w:hint="eastAsia" w:ascii="宋体" w:hAnsi="宋体" w:cs="宋体"/>
          <w:szCs w:val="24"/>
        </w:rPr>
        <w:tab/>
      </w:r>
    </w:p>
    <w:p>
      <w:pPr>
        <w:spacing w:line="360" w:lineRule="auto"/>
        <w:ind w:firstLine="720" w:firstLineChars="300"/>
        <w:rPr>
          <w:rFonts w:ascii="宋体" w:hAnsi="宋体" w:cs="宋体"/>
          <w:szCs w:val="24"/>
        </w:rPr>
      </w:pPr>
      <w:r>
        <w:rPr>
          <w:rFonts w:hint="eastAsia" w:ascii="宋体" w:hAnsi="宋体" w:cs="宋体"/>
          <w:szCs w:val="24"/>
        </w:rPr>
        <w:t>地址：</w:t>
      </w:r>
      <w:r>
        <w:rPr>
          <w:rFonts w:hint="eastAsia" w:ascii="宋体" w:hAnsi="宋体" w:cs="宋体"/>
          <w:szCs w:val="24"/>
          <w:u w:val="single"/>
        </w:rPr>
        <w:t xml:space="preserve">                              </w:t>
      </w:r>
      <w:r>
        <w:rPr>
          <w:rFonts w:hint="eastAsia" w:ascii="宋体" w:hAnsi="宋体" w:cs="宋体"/>
          <w:szCs w:val="24"/>
        </w:rPr>
        <w:t xml:space="preserve">    邮编：</w:t>
      </w:r>
      <w:r>
        <w:rPr>
          <w:rFonts w:hint="eastAsia" w:ascii="宋体" w:hAnsi="宋体" w:cs="宋体"/>
          <w:szCs w:val="24"/>
          <w:u w:val="single"/>
        </w:rPr>
        <w:t xml:space="preserve">                      </w:t>
      </w:r>
    </w:p>
    <w:p>
      <w:pPr>
        <w:spacing w:line="360" w:lineRule="auto"/>
        <w:ind w:firstLine="720" w:firstLineChars="300"/>
        <w:rPr>
          <w:rFonts w:ascii="宋体" w:hAnsi="宋体" w:cs="宋体"/>
          <w:szCs w:val="24"/>
        </w:rPr>
      </w:pPr>
      <w:r>
        <w:rPr>
          <w:rFonts w:hint="eastAsia" w:ascii="宋体" w:hAnsi="宋体" w:cs="宋体"/>
          <w:szCs w:val="24"/>
        </w:rPr>
        <w:t>电话：</w:t>
      </w:r>
      <w:r>
        <w:rPr>
          <w:rFonts w:hint="eastAsia" w:ascii="宋体" w:hAnsi="宋体" w:cs="宋体"/>
          <w:szCs w:val="24"/>
          <w:u w:val="single"/>
        </w:rPr>
        <w:t xml:space="preserve">                              </w:t>
      </w:r>
      <w:r>
        <w:rPr>
          <w:rFonts w:hint="eastAsia" w:ascii="宋体" w:hAnsi="宋体" w:cs="宋体"/>
          <w:szCs w:val="24"/>
        </w:rPr>
        <w:t xml:space="preserve">    传真：</w:t>
      </w:r>
      <w:r>
        <w:rPr>
          <w:rFonts w:hint="eastAsia" w:ascii="宋体" w:hAnsi="宋体" w:cs="宋体"/>
          <w:szCs w:val="24"/>
          <w:u w:val="single"/>
        </w:rPr>
        <w:t xml:space="preserve">                     </w:t>
      </w:r>
    </w:p>
    <w:p>
      <w:pPr>
        <w:spacing w:line="360" w:lineRule="auto"/>
        <w:ind w:firstLine="720" w:firstLineChars="300"/>
        <w:rPr>
          <w:rFonts w:ascii="宋体" w:hAnsi="宋体" w:cs="宋体"/>
          <w:szCs w:val="24"/>
          <w:u w:val="single"/>
        </w:rPr>
      </w:pPr>
      <w:r>
        <w:rPr>
          <w:rFonts w:hint="eastAsia" w:ascii="宋体" w:hAnsi="宋体" w:cs="宋体"/>
          <w:szCs w:val="24"/>
        </w:rPr>
        <w:t xml:space="preserve">响应供应商： </w:t>
      </w:r>
      <w:r>
        <w:rPr>
          <w:rFonts w:hint="eastAsia" w:ascii="宋体" w:hAnsi="宋体" w:cs="宋体"/>
          <w:szCs w:val="24"/>
          <w:u w:val="single"/>
        </w:rPr>
        <w:t xml:space="preserve">          （盖章）      </w:t>
      </w:r>
    </w:p>
    <w:p>
      <w:pPr>
        <w:spacing w:line="360" w:lineRule="auto"/>
        <w:rPr>
          <w:rFonts w:ascii="宋体" w:hAnsi="宋体" w:cs="宋体"/>
          <w:szCs w:val="24"/>
          <w:u w:val="single"/>
        </w:rPr>
      </w:pPr>
      <w:r>
        <w:rPr>
          <w:rFonts w:hint="eastAsia" w:ascii="宋体" w:hAnsi="宋体" w:cs="宋体"/>
          <w:szCs w:val="24"/>
        </w:rPr>
        <w:t xml:space="preserve">      法定代表人或其授权代理人： </w:t>
      </w:r>
      <w:r>
        <w:rPr>
          <w:rFonts w:hint="eastAsia" w:ascii="宋体" w:hAnsi="宋体" w:cs="宋体"/>
          <w:szCs w:val="24"/>
          <w:u w:val="single"/>
        </w:rPr>
        <w:t>（签字或签章）</w:t>
      </w:r>
    </w:p>
    <w:p>
      <w:pPr>
        <w:wordWrap w:val="0"/>
        <w:spacing w:line="360" w:lineRule="auto"/>
        <w:ind w:right="360" w:firstLine="720" w:firstLineChars="300"/>
        <w:rPr>
          <w:rFonts w:ascii="宋体" w:hAnsi="宋体" w:cs="宋体"/>
          <w:u w:val="single"/>
        </w:rPr>
      </w:pPr>
      <w:r>
        <w:rPr>
          <w:rFonts w:hint="eastAsia" w:ascii="宋体" w:hAnsi="宋体" w:cs="宋体"/>
          <w:szCs w:val="24"/>
        </w:rPr>
        <w:t>日   期：</w:t>
      </w:r>
      <w:r>
        <w:rPr>
          <w:rFonts w:hint="eastAsia" w:ascii="宋体" w:hAnsi="宋体" w:cs="宋体"/>
          <w:szCs w:val="24"/>
          <w:u w:val="single"/>
        </w:rPr>
        <w:t xml:space="preserve">            </w:t>
      </w:r>
      <w:r>
        <w:rPr>
          <w:rFonts w:hint="eastAsia" w:ascii="宋体" w:hAnsi="宋体" w:cs="宋体"/>
          <w:u w:val="single"/>
        </w:rPr>
        <w:t xml:space="preserve">                  </w:t>
      </w:r>
    </w:p>
    <w:p>
      <w:pPr>
        <w:pStyle w:val="14"/>
        <w:rPr>
          <w:rFonts w:ascii="宋体" w:hAnsi="宋体" w:cs="宋体"/>
        </w:rPr>
      </w:pPr>
    </w:p>
    <w:p>
      <w:pPr>
        <w:spacing w:line="360" w:lineRule="auto"/>
        <w:ind w:firstLine="480" w:firstLineChars="200"/>
        <w:rPr>
          <w:rFonts w:ascii="宋体" w:hAnsi="宋体" w:cs="宋体"/>
        </w:rPr>
      </w:pPr>
    </w:p>
    <w:p>
      <w:pPr>
        <w:pStyle w:val="4"/>
        <w:tabs>
          <w:tab w:val="left" w:pos="576"/>
        </w:tabs>
        <w:adjustRightInd w:val="0"/>
        <w:spacing w:before="0" w:after="0" w:line="360" w:lineRule="auto"/>
        <w:textAlignment w:val="baseline"/>
        <w:rPr>
          <w:rFonts w:ascii="宋体" w:hAnsi="宋体" w:cs="宋体"/>
          <w:iCs/>
          <w:sz w:val="21"/>
          <w:szCs w:val="21"/>
        </w:rPr>
      </w:pPr>
      <w:r>
        <w:rPr>
          <w:rFonts w:hint="eastAsia" w:ascii="宋体" w:hAnsi="宋体" w:cs="宋体"/>
          <w:iCs/>
          <w:sz w:val="21"/>
          <w:szCs w:val="21"/>
        </w:rPr>
        <w:br w:type="page"/>
      </w:r>
    </w:p>
    <w:p>
      <w:pPr>
        <w:jc w:val="center"/>
        <w:outlineLvl w:val="0"/>
        <w:rPr>
          <w:b/>
          <w:bCs/>
          <w:sz w:val="32"/>
          <w:szCs w:val="32"/>
        </w:rPr>
      </w:pPr>
      <w:r>
        <w:rPr>
          <w:rFonts w:hint="eastAsia"/>
          <w:b/>
          <w:bCs/>
          <w:sz w:val="32"/>
          <w:szCs w:val="32"/>
        </w:rPr>
        <w:t xml:space="preserve"> 磋商一览表</w:t>
      </w:r>
    </w:p>
    <w:tbl>
      <w:tblPr>
        <w:tblStyle w:val="35"/>
        <w:tblW w:w="0" w:type="auto"/>
        <w:jc w:val="center"/>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fixed"/>
        <w:tblCellMar>
          <w:top w:w="0" w:type="dxa"/>
          <w:left w:w="108" w:type="dxa"/>
          <w:bottom w:w="0" w:type="dxa"/>
          <w:right w:w="108" w:type="dxa"/>
        </w:tblCellMar>
      </w:tblPr>
      <w:tblGrid>
        <w:gridCol w:w="2699"/>
        <w:gridCol w:w="6232"/>
      </w:tblGrid>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684" w:hRule="atLeast"/>
          <w:jc w:val="center"/>
        </w:trPr>
        <w:tc>
          <w:tcPr>
            <w:tcW w:w="2699" w:type="dxa"/>
            <w:tcBorders>
              <w:bottom w:val="single" w:color="auto" w:sz="4" w:space="0"/>
            </w:tcBorders>
            <w:vAlign w:val="center"/>
          </w:tcPr>
          <w:p>
            <w:pPr>
              <w:spacing w:line="360" w:lineRule="auto"/>
              <w:jc w:val="center"/>
              <w:rPr>
                <w:rFonts w:ascii="宋体" w:hAnsi="宋体" w:cs="宋体"/>
                <w:caps/>
                <w:szCs w:val="24"/>
              </w:rPr>
            </w:pPr>
            <w:r>
              <w:rPr>
                <w:rFonts w:hint="eastAsia" w:ascii="宋体" w:hAnsi="宋体" w:cs="宋体"/>
                <w:szCs w:val="24"/>
              </w:rPr>
              <w:t>采购项目名称</w:t>
            </w:r>
          </w:p>
        </w:tc>
        <w:tc>
          <w:tcPr>
            <w:tcW w:w="6232" w:type="dxa"/>
            <w:vAlign w:val="center"/>
          </w:tcPr>
          <w:p>
            <w:pPr>
              <w:spacing w:line="360" w:lineRule="auto"/>
              <w:rPr>
                <w:rFonts w:ascii="宋体" w:hAnsi="宋体" w:cs="宋体"/>
                <w:caps/>
                <w:szCs w:val="24"/>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683" w:hRule="atLeast"/>
          <w:jc w:val="center"/>
        </w:trPr>
        <w:tc>
          <w:tcPr>
            <w:tcW w:w="2699" w:type="dxa"/>
            <w:tcBorders>
              <w:bottom w:val="single" w:color="auto" w:sz="4" w:space="0"/>
            </w:tcBorders>
            <w:vAlign w:val="center"/>
          </w:tcPr>
          <w:p>
            <w:pPr>
              <w:spacing w:line="360" w:lineRule="auto"/>
              <w:jc w:val="center"/>
              <w:rPr>
                <w:rFonts w:ascii="宋体" w:hAnsi="宋体" w:cs="宋体"/>
                <w:szCs w:val="24"/>
              </w:rPr>
            </w:pPr>
            <w:r>
              <w:rPr>
                <w:rFonts w:hint="eastAsia" w:ascii="宋体" w:hAnsi="宋体" w:cs="宋体"/>
                <w:szCs w:val="24"/>
              </w:rPr>
              <w:t>采购项目编号</w:t>
            </w:r>
          </w:p>
        </w:tc>
        <w:tc>
          <w:tcPr>
            <w:tcW w:w="6232" w:type="dxa"/>
            <w:tcBorders>
              <w:bottom w:val="single" w:color="auto" w:sz="4" w:space="0"/>
            </w:tcBorders>
            <w:vAlign w:val="center"/>
          </w:tcPr>
          <w:p>
            <w:pPr>
              <w:pStyle w:val="5"/>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861" w:hRule="atLeast"/>
          <w:jc w:val="center"/>
        </w:trPr>
        <w:tc>
          <w:tcPr>
            <w:tcW w:w="2699" w:type="dxa"/>
            <w:vAlign w:val="center"/>
          </w:tcPr>
          <w:p>
            <w:pPr>
              <w:spacing w:line="360" w:lineRule="auto"/>
              <w:jc w:val="center"/>
              <w:rPr>
                <w:rFonts w:ascii="宋体" w:hAnsi="宋体" w:cs="宋体"/>
                <w:szCs w:val="24"/>
              </w:rPr>
            </w:pPr>
            <w:r>
              <w:rPr>
                <w:rFonts w:hint="eastAsia" w:ascii="宋体" w:hAnsi="宋体" w:cs="宋体"/>
                <w:szCs w:val="24"/>
              </w:rPr>
              <w:t>响应供应商名称</w:t>
            </w:r>
          </w:p>
        </w:tc>
        <w:tc>
          <w:tcPr>
            <w:tcW w:w="6232" w:type="dxa"/>
            <w:vAlign w:val="center"/>
          </w:tcPr>
          <w:p>
            <w:pPr>
              <w:spacing w:line="360" w:lineRule="auto"/>
              <w:ind w:firstLine="480" w:firstLineChars="200"/>
              <w:jc w:val="center"/>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1346" w:hRule="atLeast"/>
          <w:jc w:val="center"/>
        </w:trPr>
        <w:tc>
          <w:tcPr>
            <w:tcW w:w="2699" w:type="dxa"/>
            <w:vAlign w:val="center"/>
          </w:tcPr>
          <w:p>
            <w:pPr>
              <w:spacing w:line="360" w:lineRule="auto"/>
              <w:jc w:val="center"/>
              <w:rPr>
                <w:rFonts w:ascii="宋体" w:hAnsi="宋体" w:cs="宋体"/>
                <w:szCs w:val="24"/>
              </w:rPr>
            </w:pPr>
            <w:r>
              <w:rPr>
                <w:rFonts w:hint="eastAsia" w:ascii="宋体" w:hAnsi="宋体" w:cs="宋体"/>
                <w:szCs w:val="24"/>
              </w:rPr>
              <w:t>第一次投标总报价</w:t>
            </w:r>
          </w:p>
          <w:p>
            <w:pPr>
              <w:spacing w:line="360" w:lineRule="auto"/>
              <w:jc w:val="center"/>
              <w:rPr>
                <w:rFonts w:ascii="宋体" w:hAnsi="宋体" w:cs="宋体"/>
                <w:szCs w:val="24"/>
              </w:rPr>
            </w:pPr>
            <w:r>
              <w:rPr>
                <w:rFonts w:hint="eastAsia" w:ascii="宋体" w:hAnsi="宋体" w:cs="宋体"/>
                <w:szCs w:val="24"/>
              </w:rPr>
              <w:t>（人民币/元）</w:t>
            </w:r>
          </w:p>
        </w:tc>
        <w:tc>
          <w:tcPr>
            <w:tcW w:w="6232" w:type="dxa"/>
            <w:vAlign w:val="center"/>
          </w:tcPr>
          <w:p>
            <w:pPr>
              <w:spacing w:line="360" w:lineRule="auto"/>
              <w:rPr>
                <w:rFonts w:ascii="宋体" w:hAnsi="宋体" w:cs="宋体"/>
                <w:szCs w:val="24"/>
              </w:rPr>
            </w:pPr>
            <w:r>
              <w:rPr>
                <w:rFonts w:hint="eastAsia" w:ascii="宋体" w:hAnsi="宋体" w:cs="宋体"/>
                <w:szCs w:val="24"/>
              </w:rPr>
              <w:t>大写：</w:t>
            </w:r>
            <w:r>
              <w:rPr>
                <w:rFonts w:hint="eastAsia" w:ascii="宋体" w:hAnsi="宋体" w:cs="宋体"/>
                <w:szCs w:val="24"/>
                <w:u w:val="single"/>
              </w:rPr>
              <w:t xml:space="preserve">               </w:t>
            </w:r>
            <w:r>
              <w:rPr>
                <w:rFonts w:hint="eastAsia" w:ascii="宋体" w:hAnsi="宋体" w:cs="宋体"/>
                <w:szCs w:val="24"/>
              </w:rPr>
              <w:t>元</w:t>
            </w:r>
          </w:p>
          <w:p>
            <w:pPr>
              <w:spacing w:line="360" w:lineRule="auto"/>
              <w:rPr>
                <w:rFonts w:ascii="宋体" w:hAnsi="宋体" w:cs="宋体"/>
                <w:szCs w:val="24"/>
              </w:rPr>
            </w:pPr>
            <w:r>
              <w:rPr>
                <w:rFonts w:hint="eastAsia" w:ascii="宋体" w:hAnsi="宋体" w:cs="宋体"/>
                <w:szCs w:val="24"/>
              </w:rPr>
              <w:t>小写：</w:t>
            </w:r>
            <w:r>
              <w:rPr>
                <w:rFonts w:hint="eastAsia" w:ascii="宋体" w:hAnsi="宋体" w:cs="宋体"/>
                <w:szCs w:val="24"/>
                <w:u w:val="single"/>
              </w:rPr>
              <w:t xml:space="preserve">               </w:t>
            </w:r>
            <w:r>
              <w:rPr>
                <w:rFonts w:hint="eastAsia" w:ascii="宋体" w:hAnsi="宋体" w:cs="宋体"/>
                <w:szCs w:val="24"/>
              </w:rPr>
              <w:t>元</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861" w:hRule="atLeast"/>
          <w:jc w:val="center"/>
        </w:trPr>
        <w:tc>
          <w:tcPr>
            <w:tcW w:w="2699" w:type="dxa"/>
            <w:vAlign w:val="center"/>
          </w:tcPr>
          <w:p>
            <w:pPr>
              <w:spacing w:line="360" w:lineRule="auto"/>
              <w:jc w:val="center"/>
              <w:rPr>
                <w:rFonts w:ascii="宋体" w:hAnsi="宋体" w:cs="宋体"/>
                <w:szCs w:val="24"/>
              </w:rPr>
            </w:pPr>
            <w:r>
              <w:rPr>
                <w:rFonts w:hint="eastAsia" w:ascii="宋体" w:hAnsi="宋体" w:cs="宋体"/>
                <w:szCs w:val="24"/>
              </w:rPr>
              <w:t>服务期限</w:t>
            </w:r>
          </w:p>
        </w:tc>
        <w:tc>
          <w:tcPr>
            <w:tcW w:w="6232" w:type="dxa"/>
          </w:tcPr>
          <w:p>
            <w:pPr>
              <w:spacing w:line="360" w:lineRule="auto"/>
              <w:ind w:firstLine="480" w:firstLineChars="200"/>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861" w:hRule="atLeast"/>
          <w:jc w:val="center"/>
        </w:trPr>
        <w:tc>
          <w:tcPr>
            <w:tcW w:w="2699" w:type="dxa"/>
            <w:vAlign w:val="center"/>
          </w:tcPr>
          <w:p>
            <w:pPr>
              <w:spacing w:line="360" w:lineRule="auto"/>
              <w:jc w:val="center"/>
              <w:rPr>
                <w:rFonts w:hint="eastAsia" w:ascii="宋体" w:hAnsi="宋体" w:cs="宋体"/>
                <w:szCs w:val="24"/>
              </w:rPr>
            </w:pPr>
            <w:r>
              <w:rPr>
                <w:rFonts w:hint="eastAsia" w:ascii="宋体" w:hAnsi="宋体" w:cs="宋体"/>
                <w:szCs w:val="24"/>
              </w:rPr>
              <w:t>项目负责人</w:t>
            </w:r>
          </w:p>
        </w:tc>
        <w:tc>
          <w:tcPr>
            <w:tcW w:w="6232" w:type="dxa"/>
            <w:vAlign w:val="center"/>
          </w:tcPr>
          <w:p>
            <w:pPr>
              <w:spacing w:line="360" w:lineRule="auto"/>
              <w:jc w:val="both"/>
              <w:rPr>
                <w:rFonts w:hint="eastAsia" w:ascii="宋体" w:hAnsi="宋体" w:cs="宋体"/>
                <w:szCs w:val="24"/>
                <w:lang w:val="en-US" w:eastAsia="zh-CN"/>
              </w:rPr>
            </w:pPr>
            <w:r>
              <w:rPr>
                <w:rFonts w:hint="eastAsia" w:ascii="宋体" w:hAnsi="宋体" w:cs="宋体"/>
                <w:szCs w:val="24"/>
                <w:lang w:eastAsia="zh-CN"/>
              </w:rPr>
              <w:t>姓名：</w:t>
            </w:r>
            <w:r>
              <w:rPr>
                <w:rFonts w:hint="eastAsia" w:ascii="宋体" w:hAnsi="宋体" w:cs="宋体"/>
                <w:szCs w:val="24"/>
                <w:lang w:val="en-US" w:eastAsia="zh-CN"/>
              </w:rPr>
              <w:t xml:space="preserve">          </w:t>
            </w:r>
          </w:p>
          <w:p>
            <w:pPr>
              <w:spacing w:line="360" w:lineRule="auto"/>
              <w:jc w:val="both"/>
              <w:rPr>
                <w:rFonts w:hint="default" w:ascii="宋体" w:hAnsi="宋体" w:eastAsia="宋体" w:cs="宋体"/>
                <w:szCs w:val="24"/>
                <w:lang w:val="en-US" w:eastAsia="zh-CN"/>
              </w:rPr>
            </w:pPr>
            <w:r>
              <w:rPr>
                <w:rFonts w:hint="eastAsia" w:ascii="宋体" w:hAnsi="宋体" w:cs="宋体"/>
                <w:szCs w:val="24"/>
                <w:lang w:val="en-US" w:eastAsia="zh-CN"/>
              </w:rPr>
              <w:t>注册测绘师证书管理号：</w:t>
            </w:r>
          </w:p>
        </w:tc>
      </w:tr>
    </w:tbl>
    <w:p>
      <w:pPr>
        <w:spacing w:line="360" w:lineRule="auto"/>
        <w:ind w:firstLine="3120" w:firstLineChars="1300"/>
        <w:rPr>
          <w:rFonts w:ascii="宋体" w:hAnsi="宋体" w:cs="宋体"/>
          <w:szCs w:val="24"/>
        </w:rPr>
      </w:pPr>
    </w:p>
    <w:p>
      <w:pPr>
        <w:spacing w:line="360" w:lineRule="auto"/>
        <w:ind w:firstLine="480" w:firstLineChars="200"/>
        <w:rPr>
          <w:rFonts w:ascii="宋体" w:hAnsi="宋体" w:cs="宋体"/>
          <w:szCs w:val="24"/>
        </w:rPr>
      </w:pPr>
    </w:p>
    <w:p>
      <w:pPr>
        <w:spacing w:line="360" w:lineRule="auto"/>
        <w:ind w:firstLine="480" w:firstLineChars="200"/>
        <w:rPr>
          <w:rFonts w:ascii="宋体" w:hAnsi="宋体" w:cs="宋体"/>
          <w:szCs w:val="24"/>
        </w:rPr>
      </w:pPr>
    </w:p>
    <w:p>
      <w:pPr>
        <w:ind w:firstLine="3360" w:firstLineChars="1400"/>
        <w:rPr>
          <w:rFonts w:ascii="宋体" w:hAnsi="宋体" w:cs="宋体"/>
          <w:szCs w:val="24"/>
          <w:u w:val="single"/>
        </w:rPr>
      </w:pPr>
      <w:r>
        <w:rPr>
          <w:rFonts w:hint="eastAsia" w:ascii="宋体" w:hAnsi="宋体" w:cs="宋体"/>
          <w:szCs w:val="24"/>
        </w:rPr>
        <w:t xml:space="preserve">响应供应商： </w:t>
      </w:r>
      <w:r>
        <w:rPr>
          <w:rFonts w:hint="eastAsia" w:ascii="宋体" w:hAnsi="宋体" w:cs="宋体"/>
          <w:szCs w:val="24"/>
          <w:u w:val="single"/>
        </w:rPr>
        <w:t xml:space="preserve">            （盖章）             </w:t>
      </w:r>
    </w:p>
    <w:p>
      <w:pPr>
        <w:ind w:right="360"/>
        <w:jc w:val="right"/>
        <w:rPr>
          <w:rFonts w:ascii="宋体" w:hAnsi="宋体" w:cs="宋体"/>
          <w:szCs w:val="24"/>
        </w:rPr>
      </w:pPr>
    </w:p>
    <w:p>
      <w:pPr>
        <w:ind w:right="240"/>
        <w:jc w:val="center"/>
        <w:outlineLvl w:val="1"/>
        <w:rPr>
          <w:rFonts w:ascii="宋体" w:hAnsi="宋体" w:cs="宋体"/>
          <w:szCs w:val="24"/>
          <w:u w:val="single"/>
        </w:rPr>
      </w:pPr>
      <w:r>
        <w:rPr>
          <w:rFonts w:hint="eastAsia" w:ascii="宋体" w:hAnsi="宋体" w:cs="宋体"/>
          <w:szCs w:val="24"/>
        </w:rPr>
        <w:t xml:space="preserve">                   法定代表人或其授权代理人：   </w:t>
      </w:r>
      <w:r>
        <w:rPr>
          <w:rFonts w:hint="eastAsia" w:ascii="宋体" w:hAnsi="宋体" w:cs="宋体"/>
          <w:szCs w:val="24"/>
          <w:u w:val="single"/>
        </w:rPr>
        <w:t>（签字或签章）</w:t>
      </w:r>
    </w:p>
    <w:p>
      <w:pPr>
        <w:jc w:val="right"/>
        <w:rPr>
          <w:rFonts w:ascii="宋体" w:hAnsi="宋体" w:cs="宋体"/>
          <w:szCs w:val="24"/>
          <w:u w:val="single"/>
        </w:rPr>
      </w:pPr>
    </w:p>
    <w:p>
      <w:pPr>
        <w:wordWrap w:val="0"/>
        <w:ind w:right="360"/>
        <w:jc w:val="center"/>
        <w:outlineLvl w:val="1"/>
        <w:rPr>
          <w:rFonts w:ascii="宋体" w:hAnsi="宋体" w:cs="宋体"/>
          <w:u w:val="single"/>
        </w:rPr>
      </w:pPr>
      <w:r>
        <w:rPr>
          <w:rFonts w:hint="eastAsia" w:ascii="宋体" w:hAnsi="宋体" w:cs="宋体"/>
          <w:szCs w:val="24"/>
        </w:rPr>
        <w:t xml:space="preserve">                日   期：</w:t>
      </w:r>
      <w:r>
        <w:rPr>
          <w:rFonts w:hint="eastAsia" w:ascii="宋体" w:hAnsi="宋体" w:cs="宋体"/>
          <w:szCs w:val="24"/>
          <w:u w:val="single"/>
        </w:rPr>
        <w:t xml:space="preserve">            </w:t>
      </w:r>
      <w:r>
        <w:rPr>
          <w:rFonts w:hint="eastAsia" w:ascii="宋体" w:hAnsi="宋体" w:cs="宋体"/>
          <w:u w:val="single"/>
        </w:rPr>
        <w:t xml:space="preserve">                  </w:t>
      </w:r>
    </w:p>
    <w:p>
      <w:pPr>
        <w:pStyle w:val="14"/>
        <w:rPr>
          <w:rFonts w:ascii="宋体" w:hAnsi="宋体" w:cs="宋体"/>
        </w:rPr>
      </w:pPr>
    </w:p>
    <w:p>
      <w:pPr>
        <w:ind w:right="238" w:firstLine="4200" w:firstLineChars="1750"/>
        <w:rPr>
          <w:rFonts w:ascii="宋体" w:hAnsi="宋体" w:cs="宋体"/>
          <w:u w:val="single"/>
        </w:rPr>
      </w:pPr>
      <w:r>
        <w:rPr>
          <w:rFonts w:hint="eastAsia" w:ascii="宋体" w:hAnsi="宋体" w:cs="宋体"/>
          <w:szCs w:val="24"/>
          <w:u w:val="single"/>
        </w:rPr>
        <w:t xml:space="preserve">             </w:t>
      </w:r>
      <w:r>
        <w:rPr>
          <w:rFonts w:hint="eastAsia" w:ascii="宋体" w:hAnsi="宋体" w:cs="宋体"/>
          <w:u w:val="single"/>
        </w:rPr>
        <w:t xml:space="preserve">                 </w:t>
      </w:r>
    </w:p>
    <w:p>
      <w:pPr>
        <w:spacing w:line="360" w:lineRule="auto"/>
        <w:ind w:firstLine="480" w:firstLineChars="200"/>
        <w:rPr>
          <w:rFonts w:ascii="宋体" w:hAnsi="宋体" w:cs="宋体"/>
          <w:u w:val="single"/>
        </w:rPr>
      </w:pPr>
    </w:p>
    <w:p>
      <w:pPr>
        <w:spacing w:line="360" w:lineRule="auto"/>
        <w:ind w:firstLine="480" w:firstLineChars="200"/>
        <w:rPr>
          <w:rFonts w:ascii="宋体" w:hAnsi="宋体" w:cs="宋体"/>
          <w:u w:val="single"/>
        </w:rPr>
      </w:pPr>
    </w:p>
    <w:p>
      <w:pPr>
        <w:pStyle w:val="14"/>
        <w:rPr>
          <w:rFonts w:ascii="宋体" w:hAnsi="宋体" w:cs="宋体"/>
          <w:u w:val="single"/>
        </w:rPr>
      </w:pPr>
    </w:p>
    <w:p>
      <w:pPr>
        <w:rPr>
          <w:rFonts w:ascii="宋体" w:hAnsi="宋体" w:cs="宋体"/>
        </w:rPr>
      </w:pPr>
    </w:p>
    <w:p>
      <w:pPr>
        <w:spacing w:line="360" w:lineRule="auto"/>
        <w:ind w:firstLine="480" w:firstLineChars="200"/>
        <w:rPr>
          <w:rFonts w:ascii="宋体" w:hAnsi="宋体" w:cs="宋体"/>
          <w:u w:val="single"/>
        </w:rPr>
      </w:pPr>
    </w:p>
    <w:p>
      <w:pPr>
        <w:pStyle w:val="4"/>
        <w:tabs>
          <w:tab w:val="left" w:pos="576"/>
        </w:tabs>
        <w:adjustRightInd w:val="0"/>
        <w:spacing w:line="360" w:lineRule="auto"/>
        <w:textAlignment w:val="baseline"/>
        <w:rPr>
          <w:rFonts w:ascii="宋体" w:hAnsi="宋体" w:cs="宋体"/>
          <w:iCs/>
          <w:sz w:val="21"/>
          <w:szCs w:val="21"/>
        </w:rPr>
        <w:sectPr>
          <w:pgSz w:w="11906" w:h="16838"/>
          <w:pgMar w:top="1440" w:right="1080" w:bottom="1440" w:left="1080" w:header="851" w:footer="992" w:gutter="0"/>
          <w:cols w:space="720" w:num="1"/>
          <w:docGrid w:type="lines" w:linePitch="312" w:charSpace="0"/>
        </w:sectPr>
      </w:pPr>
    </w:p>
    <w:p>
      <w:pPr>
        <w:jc w:val="center"/>
        <w:rPr>
          <w:b/>
          <w:bCs/>
          <w:sz w:val="32"/>
          <w:szCs w:val="32"/>
        </w:rPr>
      </w:pPr>
      <w:bookmarkStart w:id="387" w:name="_Toc29927"/>
      <w:r>
        <w:rPr>
          <w:rFonts w:hint="eastAsia"/>
          <w:b/>
          <w:bCs/>
          <w:sz w:val="32"/>
          <w:szCs w:val="32"/>
        </w:rPr>
        <w:t>分项报价表</w:t>
      </w:r>
    </w:p>
    <w:tbl>
      <w:tblPr>
        <w:tblStyle w:val="35"/>
        <w:tblpPr w:leftFromText="180" w:rightFromText="180" w:vertAnchor="text" w:horzAnchor="page" w:tblpX="1242" w:tblpY="390"/>
        <w:tblOverlap w:val="never"/>
        <w:tblW w:w="9638" w:type="dxa"/>
        <w:tblInd w:w="0" w:type="dxa"/>
        <w:tblLayout w:type="fixed"/>
        <w:tblCellMar>
          <w:top w:w="0" w:type="dxa"/>
          <w:left w:w="108" w:type="dxa"/>
          <w:bottom w:w="0" w:type="dxa"/>
          <w:right w:w="108" w:type="dxa"/>
        </w:tblCellMar>
      </w:tblPr>
      <w:tblGrid>
        <w:gridCol w:w="1435"/>
        <w:gridCol w:w="2874"/>
        <w:gridCol w:w="2332"/>
        <w:gridCol w:w="2997"/>
      </w:tblGrid>
      <w:tr>
        <w:tblPrEx>
          <w:tblCellMar>
            <w:top w:w="0" w:type="dxa"/>
            <w:left w:w="108" w:type="dxa"/>
            <w:bottom w:w="0" w:type="dxa"/>
            <w:right w:w="108" w:type="dxa"/>
          </w:tblCellMar>
        </w:tblPrEx>
        <w:trPr>
          <w:trHeight w:val="658" w:hRule="atLeast"/>
        </w:trPr>
        <w:tc>
          <w:tcPr>
            <w:tcW w:w="143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cs="宋体"/>
                <w:szCs w:val="24"/>
              </w:rPr>
            </w:pPr>
            <w:r>
              <w:rPr>
                <w:rFonts w:hint="eastAsia" w:ascii="宋体" w:hAnsi="宋体" w:cs="宋体"/>
                <w:szCs w:val="24"/>
              </w:rPr>
              <w:t>序号</w:t>
            </w:r>
          </w:p>
        </w:tc>
        <w:tc>
          <w:tcPr>
            <w:tcW w:w="2874" w:type="dxa"/>
            <w:tcBorders>
              <w:top w:val="single" w:color="000000" w:sz="4" w:space="0"/>
              <w:left w:val="single" w:color="000000" w:sz="4" w:space="0"/>
              <w:bottom w:val="single" w:color="000000" w:sz="4" w:space="0"/>
              <w:right w:val="single" w:color="auto" w:sz="4" w:space="0"/>
            </w:tcBorders>
            <w:noWrap/>
            <w:vAlign w:val="center"/>
          </w:tcPr>
          <w:p>
            <w:pPr>
              <w:spacing w:line="360" w:lineRule="auto"/>
              <w:jc w:val="center"/>
              <w:rPr>
                <w:rFonts w:ascii="宋体" w:hAnsi="宋体" w:cs="宋体"/>
                <w:szCs w:val="24"/>
              </w:rPr>
            </w:pPr>
            <w:r>
              <w:rPr>
                <w:rFonts w:hint="eastAsia" w:ascii="宋体" w:hAnsi="宋体" w:cs="宋体"/>
                <w:szCs w:val="24"/>
              </w:rPr>
              <w:t>任务分项</w:t>
            </w:r>
          </w:p>
        </w:tc>
        <w:tc>
          <w:tcPr>
            <w:tcW w:w="2332" w:type="dxa"/>
            <w:tcBorders>
              <w:top w:val="single" w:color="000000" w:sz="4" w:space="0"/>
              <w:left w:val="single" w:color="auto" w:sz="4" w:space="0"/>
              <w:bottom w:val="single" w:color="000000" w:sz="4" w:space="0"/>
              <w:right w:val="single" w:color="000000" w:sz="4" w:space="0"/>
            </w:tcBorders>
            <w:noWrap/>
            <w:vAlign w:val="center"/>
          </w:tcPr>
          <w:p>
            <w:pPr>
              <w:spacing w:line="360" w:lineRule="auto"/>
              <w:jc w:val="center"/>
              <w:rPr>
                <w:rFonts w:ascii="宋体" w:hAnsi="宋体" w:cs="宋体"/>
                <w:szCs w:val="24"/>
              </w:rPr>
            </w:pPr>
            <w:r>
              <w:rPr>
                <w:rFonts w:hint="eastAsia" w:ascii="宋体" w:hAnsi="宋体" w:cs="宋体"/>
                <w:szCs w:val="24"/>
              </w:rPr>
              <w:t>任务量</w:t>
            </w:r>
          </w:p>
          <w:p>
            <w:pPr>
              <w:spacing w:line="360" w:lineRule="auto"/>
              <w:jc w:val="center"/>
              <w:rPr>
                <w:rFonts w:ascii="宋体" w:hAnsi="宋体" w:cs="宋体"/>
                <w:szCs w:val="24"/>
              </w:rPr>
            </w:pPr>
            <w:r>
              <w:rPr>
                <w:rFonts w:hint="eastAsia" w:ascii="宋体" w:hAnsi="宋体" w:cs="宋体"/>
                <w:szCs w:val="24"/>
              </w:rPr>
              <w:t>（暂定）</w:t>
            </w:r>
          </w:p>
        </w:tc>
        <w:tc>
          <w:tcPr>
            <w:tcW w:w="299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szCs w:val="24"/>
              </w:rPr>
            </w:pPr>
            <w:r>
              <w:rPr>
                <w:rFonts w:hint="eastAsia" w:ascii="宋体" w:hAnsi="宋体" w:cs="宋体"/>
                <w:szCs w:val="24"/>
              </w:rPr>
              <w:t>单价报价</w:t>
            </w:r>
          </w:p>
        </w:tc>
      </w:tr>
      <w:tr>
        <w:tblPrEx>
          <w:tblCellMar>
            <w:top w:w="0" w:type="dxa"/>
            <w:left w:w="108" w:type="dxa"/>
            <w:bottom w:w="0" w:type="dxa"/>
            <w:right w:w="108" w:type="dxa"/>
          </w:tblCellMar>
        </w:tblPrEx>
        <w:trPr>
          <w:trHeight w:val="861" w:hRule="atLeast"/>
        </w:trPr>
        <w:tc>
          <w:tcPr>
            <w:tcW w:w="143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cs="宋体"/>
                <w:szCs w:val="24"/>
              </w:rPr>
            </w:pPr>
            <w:r>
              <w:rPr>
                <w:rFonts w:hint="eastAsia" w:ascii="宋体" w:hAnsi="宋体" w:cs="宋体"/>
                <w:szCs w:val="24"/>
              </w:rPr>
              <w:t>1</w:t>
            </w:r>
          </w:p>
        </w:tc>
        <w:tc>
          <w:tcPr>
            <w:tcW w:w="2874" w:type="dxa"/>
            <w:tcBorders>
              <w:top w:val="single" w:color="000000" w:sz="4" w:space="0"/>
              <w:left w:val="single" w:color="000000" w:sz="4" w:space="0"/>
              <w:bottom w:val="single" w:color="000000" w:sz="4" w:space="0"/>
              <w:right w:val="single" w:color="auto" w:sz="4" w:space="0"/>
            </w:tcBorders>
            <w:noWrap/>
            <w:vAlign w:val="center"/>
          </w:tcPr>
          <w:p>
            <w:pPr>
              <w:spacing w:line="360" w:lineRule="auto"/>
              <w:jc w:val="center"/>
              <w:rPr>
                <w:rFonts w:ascii="宋体" w:hAnsi="宋体" w:cs="宋体"/>
                <w:szCs w:val="24"/>
              </w:rPr>
            </w:pPr>
            <w:r>
              <w:rPr>
                <w:rFonts w:hint="eastAsia" w:ascii="宋体" w:hAnsi="宋体" w:cs="宋体"/>
                <w:szCs w:val="24"/>
              </w:rPr>
              <w:t>市政道路调查</w:t>
            </w:r>
          </w:p>
        </w:tc>
        <w:tc>
          <w:tcPr>
            <w:tcW w:w="2332" w:type="dxa"/>
            <w:tcBorders>
              <w:top w:val="single" w:color="000000" w:sz="4" w:space="0"/>
              <w:left w:val="single" w:color="auto" w:sz="4" w:space="0"/>
              <w:bottom w:val="single" w:color="000000" w:sz="4" w:space="0"/>
              <w:right w:val="single" w:color="000000" w:sz="4" w:space="0"/>
            </w:tcBorders>
            <w:noWrap/>
            <w:vAlign w:val="center"/>
          </w:tcPr>
          <w:p>
            <w:pPr>
              <w:spacing w:line="360" w:lineRule="auto"/>
              <w:jc w:val="center"/>
              <w:rPr>
                <w:rFonts w:ascii="宋体" w:hAnsi="宋体" w:cs="宋体"/>
                <w:szCs w:val="24"/>
              </w:rPr>
            </w:pPr>
            <w:r>
              <w:rPr>
                <w:rFonts w:hint="eastAsia" w:ascii="宋体" w:hAnsi="宋体" w:cs="宋体"/>
                <w:color w:val="000000"/>
                <w:kern w:val="0"/>
              </w:rPr>
              <w:t>约220公里</w:t>
            </w:r>
          </w:p>
        </w:tc>
        <w:tc>
          <w:tcPr>
            <w:tcW w:w="2997"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cs="宋体"/>
                <w:szCs w:val="24"/>
              </w:rPr>
            </w:pPr>
            <w:r>
              <w:rPr>
                <w:rFonts w:hint="eastAsia" w:ascii="宋体" w:hAnsi="宋体" w:cs="宋体"/>
                <w:szCs w:val="24"/>
              </w:rPr>
              <w:t xml:space="preserve">     元/公里</w:t>
            </w:r>
          </w:p>
        </w:tc>
      </w:tr>
      <w:tr>
        <w:tblPrEx>
          <w:tblCellMar>
            <w:top w:w="0" w:type="dxa"/>
            <w:left w:w="108" w:type="dxa"/>
            <w:bottom w:w="0" w:type="dxa"/>
            <w:right w:w="108" w:type="dxa"/>
          </w:tblCellMar>
        </w:tblPrEx>
        <w:trPr>
          <w:trHeight w:val="861" w:hRule="atLeast"/>
        </w:trPr>
        <w:tc>
          <w:tcPr>
            <w:tcW w:w="143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cs="宋体"/>
                <w:szCs w:val="24"/>
              </w:rPr>
            </w:pPr>
            <w:r>
              <w:rPr>
                <w:rFonts w:hint="eastAsia" w:ascii="宋体" w:hAnsi="宋体" w:cs="宋体"/>
                <w:szCs w:val="24"/>
              </w:rPr>
              <w:t>2</w:t>
            </w:r>
          </w:p>
        </w:tc>
        <w:tc>
          <w:tcPr>
            <w:tcW w:w="2874" w:type="dxa"/>
            <w:tcBorders>
              <w:top w:val="single" w:color="000000" w:sz="4" w:space="0"/>
              <w:left w:val="single" w:color="000000" w:sz="4" w:space="0"/>
              <w:bottom w:val="single" w:color="000000" w:sz="4" w:space="0"/>
              <w:right w:val="single" w:color="auto" w:sz="4" w:space="0"/>
            </w:tcBorders>
            <w:noWrap/>
            <w:vAlign w:val="center"/>
          </w:tcPr>
          <w:p>
            <w:pPr>
              <w:spacing w:line="360" w:lineRule="auto"/>
              <w:jc w:val="center"/>
              <w:rPr>
                <w:rFonts w:ascii="宋体" w:hAnsi="宋体" w:cs="宋体"/>
                <w:szCs w:val="24"/>
              </w:rPr>
            </w:pPr>
            <w:r>
              <w:rPr>
                <w:rFonts w:hint="eastAsia" w:ascii="宋体" w:hAnsi="宋体" w:cs="宋体"/>
                <w:szCs w:val="24"/>
              </w:rPr>
              <w:t>市政桥梁调查</w:t>
            </w:r>
          </w:p>
        </w:tc>
        <w:tc>
          <w:tcPr>
            <w:tcW w:w="2332" w:type="dxa"/>
            <w:tcBorders>
              <w:top w:val="single" w:color="000000" w:sz="4" w:space="0"/>
              <w:left w:val="single" w:color="auto" w:sz="4" w:space="0"/>
              <w:bottom w:val="single" w:color="000000" w:sz="4" w:space="0"/>
              <w:right w:val="single" w:color="000000" w:sz="4" w:space="0"/>
            </w:tcBorders>
            <w:noWrap/>
            <w:vAlign w:val="center"/>
          </w:tcPr>
          <w:p>
            <w:pPr>
              <w:spacing w:line="360" w:lineRule="auto"/>
              <w:jc w:val="center"/>
              <w:rPr>
                <w:rFonts w:ascii="宋体" w:hAnsi="宋体" w:cs="宋体"/>
                <w:szCs w:val="24"/>
              </w:rPr>
            </w:pPr>
            <w:r>
              <w:rPr>
                <w:rFonts w:hint="eastAsia" w:ascii="宋体" w:hAnsi="宋体" w:cs="宋体"/>
                <w:color w:val="000000"/>
                <w:kern w:val="0"/>
              </w:rPr>
              <w:t>约34座</w:t>
            </w:r>
          </w:p>
        </w:tc>
        <w:tc>
          <w:tcPr>
            <w:tcW w:w="2997"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cs="宋体"/>
                <w:szCs w:val="24"/>
              </w:rPr>
            </w:pPr>
            <w:r>
              <w:rPr>
                <w:rFonts w:hint="eastAsia" w:ascii="宋体" w:hAnsi="宋体" w:cs="宋体"/>
                <w:szCs w:val="24"/>
              </w:rPr>
              <w:t xml:space="preserve">    元/座</w:t>
            </w:r>
          </w:p>
        </w:tc>
      </w:tr>
      <w:tr>
        <w:tblPrEx>
          <w:tblCellMar>
            <w:top w:w="0" w:type="dxa"/>
            <w:left w:w="108" w:type="dxa"/>
            <w:bottom w:w="0" w:type="dxa"/>
            <w:right w:w="108" w:type="dxa"/>
          </w:tblCellMar>
        </w:tblPrEx>
        <w:trPr>
          <w:trHeight w:val="861" w:hRule="atLeast"/>
        </w:trPr>
        <w:tc>
          <w:tcPr>
            <w:tcW w:w="143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cs="宋体"/>
                <w:szCs w:val="24"/>
              </w:rPr>
            </w:pPr>
            <w:r>
              <w:rPr>
                <w:rFonts w:hint="eastAsia" w:ascii="宋体" w:hAnsi="宋体" w:cs="宋体"/>
                <w:szCs w:val="24"/>
              </w:rPr>
              <w:t>3</w:t>
            </w:r>
          </w:p>
        </w:tc>
        <w:tc>
          <w:tcPr>
            <w:tcW w:w="2874" w:type="dxa"/>
            <w:tcBorders>
              <w:top w:val="single" w:color="000000" w:sz="4" w:space="0"/>
              <w:left w:val="single" w:color="000000" w:sz="4" w:space="0"/>
              <w:bottom w:val="single" w:color="000000" w:sz="4" w:space="0"/>
              <w:right w:val="single" w:color="auto" w:sz="4" w:space="0"/>
            </w:tcBorders>
            <w:noWrap/>
            <w:vAlign w:val="center"/>
          </w:tcPr>
          <w:p>
            <w:pPr>
              <w:spacing w:line="360" w:lineRule="auto"/>
              <w:jc w:val="center"/>
              <w:rPr>
                <w:rFonts w:ascii="宋体" w:hAnsi="宋体" w:cs="宋体"/>
                <w:szCs w:val="24"/>
              </w:rPr>
            </w:pPr>
            <w:r>
              <w:rPr>
                <w:rFonts w:hint="eastAsia" w:ascii="宋体" w:hAnsi="宋体" w:cs="宋体"/>
                <w:szCs w:val="24"/>
              </w:rPr>
              <w:t>......</w:t>
            </w:r>
          </w:p>
        </w:tc>
        <w:tc>
          <w:tcPr>
            <w:tcW w:w="2332" w:type="dxa"/>
            <w:tcBorders>
              <w:top w:val="single" w:color="000000" w:sz="4" w:space="0"/>
              <w:left w:val="single" w:color="auto" w:sz="4" w:space="0"/>
              <w:bottom w:val="single" w:color="000000" w:sz="4" w:space="0"/>
              <w:right w:val="single" w:color="000000" w:sz="4" w:space="0"/>
            </w:tcBorders>
            <w:noWrap/>
            <w:vAlign w:val="center"/>
          </w:tcPr>
          <w:p>
            <w:pPr>
              <w:spacing w:line="360" w:lineRule="auto"/>
              <w:jc w:val="center"/>
              <w:rPr>
                <w:rFonts w:ascii="宋体" w:hAnsi="宋体" w:cs="宋体"/>
                <w:color w:val="000000"/>
                <w:kern w:val="0"/>
              </w:rPr>
            </w:pPr>
          </w:p>
        </w:tc>
        <w:tc>
          <w:tcPr>
            <w:tcW w:w="2997"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cs="宋体"/>
                <w:szCs w:val="24"/>
              </w:rPr>
            </w:pPr>
          </w:p>
        </w:tc>
      </w:tr>
      <w:tr>
        <w:tblPrEx>
          <w:tblCellMar>
            <w:top w:w="0" w:type="dxa"/>
            <w:left w:w="108" w:type="dxa"/>
            <w:bottom w:w="0" w:type="dxa"/>
            <w:right w:w="108" w:type="dxa"/>
          </w:tblCellMar>
        </w:tblPrEx>
        <w:trPr>
          <w:trHeight w:val="861" w:hRule="atLeast"/>
        </w:trPr>
        <w:tc>
          <w:tcPr>
            <w:tcW w:w="143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cs="宋体"/>
                <w:szCs w:val="24"/>
              </w:rPr>
            </w:pPr>
            <w:r>
              <w:rPr>
                <w:rFonts w:hint="eastAsia" w:ascii="宋体" w:hAnsi="宋体" w:cs="宋体"/>
                <w:szCs w:val="24"/>
              </w:rPr>
              <w:t>合计</w:t>
            </w:r>
          </w:p>
        </w:tc>
        <w:tc>
          <w:tcPr>
            <w:tcW w:w="8203" w:type="dxa"/>
            <w:gridSpan w:val="3"/>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cs="宋体"/>
                <w:szCs w:val="24"/>
              </w:rPr>
            </w:pPr>
          </w:p>
        </w:tc>
      </w:tr>
    </w:tbl>
    <w:p>
      <w:pPr>
        <w:pStyle w:val="2"/>
        <w:rPr>
          <w:rFonts w:ascii="仿宋_GB2312" w:eastAsia="仿宋_GB2312"/>
          <w:bCs/>
          <w:sz w:val="32"/>
          <w:szCs w:val="32"/>
        </w:rPr>
      </w:pPr>
    </w:p>
    <w:p>
      <w:pPr>
        <w:rPr>
          <w:rFonts w:ascii="宋体" w:hAnsi="宋体" w:cs="宋体"/>
          <w:szCs w:val="24"/>
        </w:rPr>
      </w:pPr>
      <w:r>
        <w:rPr>
          <w:rFonts w:hint="eastAsia" w:ascii="宋体" w:hAnsi="宋体" w:cs="宋体"/>
          <w:szCs w:val="24"/>
        </w:rPr>
        <w:t>注：</w:t>
      </w:r>
    </w:p>
    <w:p>
      <w:pPr>
        <w:rPr>
          <w:rFonts w:ascii="宋体" w:hAnsi="宋体" w:cs="宋体"/>
          <w:szCs w:val="24"/>
        </w:rPr>
      </w:pPr>
      <w:r>
        <w:rPr>
          <w:rFonts w:hint="eastAsia" w:ascii="宋体" w:hAnsi="宋体" w:cs="宋体"/>
          <w:szCs w:val="24"/>
        </w:rPr>
        <w:t>1.费用组成明细至少包括以上内容，其他费用可根据情况增加。</w:t>
      </w:r>
    </w:p>
    <w:p>
      <w:pPr>
        <w:rPr>
          <w:rFonts w:ascii="宋体" w:hAnsi="宋体" w:cs="宋体"/>
          <w:szCs w:val="24"/>
        </w:rPr>
      </w:pPr>
      <w:r>
        <w:rPr>
          <w:rFonts w:hint="eastAsia" w:ascii="宋体" w:hAnsi="宋体" w:cs="宋体"/>
          <w:szCs w:val="24"/>
        </w:rPr>
        <w:t>2.合计与开标一览表中投标报价一致。</w:t>
      </w:r>
    </w:p>
    <w:p>
      <w:pPr>
        <w:ind w:firstLine="3360" w:firstLineChars="1400"/>
        <w:rPr>
          <w:rFonts w:ascii="宋体" w:hAnsi="宋体" w:cs="宋体"/>
          <w:szCs w:val="24"/>
        </w:rPr>
      </w:pPr>
    </w:p>
    <w:p>
      <w:pPr>
        <w:ind w:firstLine="3360" w:firstLineChars="1400"/>
        <w:rPr>
          <w:rFonts w:ascii="宋体" w:hAnsi="宋体" w:cs="宋体"/>
          <w:szCs w:val="24"/>
        </w:rPr>
      </w:pPr>
    </w:p>
    <w:p>
      <w:pPr>
        <w:ind w:firstLine="3360" w:firstLineChars="1400"/>
        <w:rPr>
          <w:rFonts w:ascii="宋体" w:hAnsi="宋体" w:cs="宋体"/>
          <w:szCs w:val="24"/>
          <w:u w:val="single"/>
        </w:rPr>
      </w:pPr>
      <w:r>
        <w:rPr>
          <w:rFonts w:hint="eastAsia" w:ascii="宋体" w:hAnsi="宋体" w:cs="宋体"/>
          <w:szCs w:val="24"/>
        </w:rPr>
        <w:t xml:space="preserve">响应供应商： </w:t>
      </w:r>
      <w:r>
        <w:rPr>
          <w:rFonts w:hint="eastAsia" w:ascii="宋体" w:hAnsi="宋体" w:cs="宋体"/>
          <w:szCs w:val="24"/>
          <w:u w:val="single"/>
        </w:rPr>
        <w:t xml:space="preserve">            （盖章）             </w:t>
      </w:r>
    </w:p>
    <w:p>
      <w:pPr>
        <w:ind w:right="360"/>
        <w:jc w:val="right"/>
        <w:rPr>
          <w:rFonts w:ascii="宋体" w:hAnsi="宋体" w:cs="宋体"/>
          <w:szCs w:val="24"/>
        </w:rPr>
      </w:pPr>
    </w:p>
    <w:p>
      <w:pPr>
        <w:ind w:right="240"/>
        <w:jc w:val="center"/>
        <w:outlineLvl w:val="1"/>
        <w:rPr>
          <w:rFonts w:ascii="宋体" w:hAnsi="宋体" w:cs="宋体"/>
          <w:szCs w:val="24"/>
          <w:u w:val="single"/>
        </w:rPr>
      </w:pPr>
      <w:r>
        <w:rPr>
          <w:rFonts w:hint="eastAsia" w:ascii="宋体" w:hAnsi="宋体" w:cs="宋体"/>
          <w:szCs w:val="24"/>
        </w:rPr>
        <w:t xml:space="preserve">                   法定代表人或其授权代理人：   </w:t>
      </w:r>
      <w:r>
        <w:rPr>
          <w:rFonts w:hint="eastAsia" w:ascii="宋体" w:hAnsi="宋体" w:cs="宋体"/>
          <w:szCs w:val="24"/>
          <w:u w:val="single"/>
        </w:rPr>
        <w:t>（签字或签章）</w:t>
      </w:r>
    </w:p>
    <w:p>
      <w:pPr>
        <w:jc w:val="right"/>
        <w:rPr>
          <w:rFonts w:ascii="宋体" w:hAnsi="宋体" w:cs="宋体"/>
          <w:szCs w:val="24"/>
          <w:u w:val="single"/>
        </w:rPr>
      </w:pPr>
    </w:p>
    <w:p>
      <w:pPr>
        <w:wordWrap w:val="0"/>
        <w:ind w:right="360"/>
        <w:jc w:val="center"/>
        <w:outlineLvl w:val="1"/>
        <w:rPr>
          <w:rFonts w:ascii="宋体" w:hAnsi="宋体" w:cs="宋体"/>
          <w:u w:val="single"/>
        </w:rPr>
      </w:pPr>
      <w:r>
        <w:rPr>
          <w:rFonts w:hint="eastAsia" w:ascii="宋体" w:hAnsi="宋体" w:cs="宋体"/>
          <w:szCs w:val="24"/>
        </w:rPr>
        <w:t xml:space="preserve">                日   期：</w:t>
      </w:r>
      <w:r>
        <w:rPr>
          <w:rFonts w:hint="eastAsia" w:ascii="宋体" w:hAnsi="宋体" w:cs="宋体"/>
          <w:szCs w:val="24"/>
          <w:u w:val="single"/>
        </w:rPr>
        <w:t xml:space="preserve">            </w:t>
      </w:r>
      <w:r>
        <w:rPr>
          <w:rFonts w:hint="eastAsia" w:ascii="宋体" w:hAnsi="宋体" w:cs="宋体"/>
          <w:u w:val="single"/>
        </w:rPr>
        <w:t xml:space="preserve">                  </w:t>
      </w:r>
    </w:p>
    <w:p>
      <w:pPr>
        <w:rPr>
          <w:b/>
          <w:bCs/>
          <w:sz w:val="32"/>
          <w:szCs w:val="32"/>
        </w:rPr>
      </w:pPr>
    </w:p>
    <w:p>
      <w:pPr>
        <w:rPr>
          <w:b/>
          <w:bCs/>
          <w:sz w:val="32"/>
          <w:szCs w:val="32"/>
        </w:rPr>
      </w:pPr>
      <w:r>
        <w:rPr>
          <w:rFonts w:hint="eastAsia"/>
          <w:b/>
          <w:bCs/>
          <w:sz w:val="32"/>
          <w:szCs w:val="32"/>
        </w:rPr>
        <w:br w:type="page"/>
      </w:r>
    </w:p>
    <w:p>
      <w:pPr>
        <w:jc w:val="center"/>
        <w:outlineLvl w:val="0"/>
        <w:rPr>
          <w:b/>
          <w:bCs/>
          <w:sz w:val="32"/>
          <w:szCs w:val="32"/>
        </w:rPr>
      </w:pPr>
      <w:r>
        <w:rPr>
          <w:rFonts w:hint="eastAsia"/>
          <w:b/>
          <w:bCs/>
          <w:sz w:val="32"/>
          <w:szCs w:val="32"/>
        </w:rPr>
        <w:t>响应供应商基本情况表</w:t>
      </w:r>
      <w:bookmarkEnd w:id="387"/>
    </w:p>
    <w:tbl>
      <w:tblPr>
        <w:tblStyle w:val="3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59"/>
        <w:gridCol w:w="1045"/>
        <w:gridCol w:w="837"/>
        <w:gridCol w:w="1282"/>
        <w:gridCol w:w="317"/>
        <w:gridCol w:w="1097"/>
        <w:gridCol w:w="499"/>
        <w:gridCol w:w="875"/>
        <w:gridCol w:w="10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9" w:hRule="atLeast"/>
          <w:jc w:val="center"/>
        </w:trPr>
        <w:tc>
          <w:tcPr>
            <w:tcW w:w="1759"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szCs w:val="24"/>
              </w:rPr>
            </w:pPr>
            <w:r>
              <w:rPr>
                <w:rFonts w:hint="eastAsia" w:ascii="宋体" w:hAnsi="宋体" w:cs="宋体"/>
                <w:szCs w:val="24"/>
              </w:rPr>
              <w:t>响应供应商</w:t>
            </w:r>
          </w:p>
          <w:p>
            <w:pPr>
              <w:topLinePunct/>
              <w:spacing w:line="360" w:lineRule="auto"/>
              <w:jc w:val="center"/>
              <w:rPr>
                <w:rFonts w:ascii="宋体" w:hAnsi="宋体" w:cs="宋体"/>
                <w:szCs w:val="24"/>
              </w:rPr>
            </w:pPr>
            <w:r>
              <w:rPr>
                <w:rFonts w:hint="eastAsia" w:ascii="宋体" w:hAnsi="宋体" w:cs="宋体"/>
                <w:szCs w:val="24"/>
              </w:rPr>
              <w:t>名称</w:t>
            </w:r>
          </w:p>
        </w:tc>
        <w:tc>
          <w:tcPr>
            <w:tcW w:w="6961" w:type="dxa"/>
            <w:gridSpan w:val="8"/>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0" w:hRule="atLeast"/>
          <w:jc w:val="center"/>
        </w:trPr>
        <w:tc>
          <w:tcPr>
            <w:tcW w:w="1759"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szCs w:val="24"/>
              </w:rPr>
            </w:pPr>
            <w:r>
              <w:rPr>
                <w:rFonts w:hint="eastAsia" w:ascii="宋体" w:hAnsi="宋体" w:cs="宋体"/>
                <w:szCs w:val="24"/>
              </w:rPr>
              <w:t>注册地址</w:t>
            </w:r>
          </w:p>
        </w:tc>
        <w:tc>
          <w:tcPr>
            <w:tcW w:w="3481" w:type="dxa"/>
            <w:gridSpan w:val="4"/>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szCs w:val="24"/>
              </w:rPr>
            </w:pPr>
          </w:p>
        </w:tc>
        <w:tc>
          <w:tcPr>
            <w:tcW w:w="1097"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szCs w:val="24"/>
              </w:rPr>
            </w:pPr>
            <w:r>
              <w:rPr>
                <w:rFonts w:hint="eastAsia" w:ascii="宋体" w:hAnsi="宋体" w:cs="宋体"/>
                <w:szCs w:val="24"/>
              </w:rPr>
              <w:t>邮政</w:t>
            </w:r>
          </w:p>
          <w:p>
            <w:pPr>
              <w:topLinePunct/>
              <w:spacing w:line="360" w:lineRule="auto"/>
              <w:jc w:val="center"/>
              <w:rPr>
                <w:rFonts w:ascii="宋体" w:hAnsi="宋体" w:cs="宋体"/>
                <w:szCs w:val="24"/>
              </w:rPr>
            </w:pPr>
            <w:r>
              <w:rPr>
                <w:rFonts w:hint="eastAsia" w:ascii="宋体" w:hAnsi="宋体" w:cs="宋体"/>
                <w:szCs w:val="24"/>
              </w:rPr>
              <w:t>编码</w:t>
            </w:r>
          </w:p>
        </w:tc>
        <w:tc>
          <w:tcPr>
            <w:tcW w:w="2383" w:type="dxa"/>
            <w:gridSpan w:val="3"/>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50" w:hRule="atLeast"/>
          <w:jc w:val="center"/>
        </w:trPr>
        <w:tc>
          <w:tcPr>
            <w:tcW w:w="1759" w:type="dxa"/>
            <w:vMerge w:val="restart"/>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szCs w:val="24"/>
              </w:rPr>
            </w:pPr>
            <w:r>
              <w:rPr>
                <w:rFonts w:hint="eastAsia" w:ascii="宋体" w:hAnsi="宋体" w:cs="宋体"/>
                <w:szCs w:val="24"/>
              </w:rPr>
              <w:t>联系方式</w:t>
            </w:r>
          </w:p>
        </w:tc>
        <w:tc>
          <w:tcPr>
            <w:tcW w:w="1045" w:type="dxa"/>
            <w:tcBorders>
              <w:top w:val="single" w:color="auto" w:sz="4" w:space="0"/>
              <w:left w:val="single" w:color="auto" w:sz="4" w:space="0"/>
              <w:bottom w:val="single" w:color="auto" w:sz="4" w:space="0"/>
              <w:right w:val="single" w:color="auto" w:sz="4" w:space="0"/>
            </w:tcBorders>
            <w:vAlign w:val="center"/>
          </w:tcPr>
          <w:p>
            <w:pPr>
              <w:topLinePunct/>
              <w:spacing w:line="360" w:lineRule="auto"/>
              <w:rPr>
                <w:rFonts w:ascii="宋体" w:hAnsi="宋体" w:cs="宋体"/>
                <w:szCs w:val="24"/>
              </w:rPr>
            </w:pPr>
            <w:r>
              <w:rPr>
                <w:rFonts w:hint="eastAsia" w:ascii="宋体" w:hAnsi="宋体" w:cs="宋体"/>
                <w:szCs w:val="24"/>
              </w:rPr>
              <w:t>联系人</w:t>
            </w:r>
          </w:p>
        </w:tc>
        <w:tc>
          <w:tcPr>
            <w:tcW w:w="2436" w:type="dxa"/>
            <w:gridSpan w:val="3"/>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szCs w:val="24"/>
              </w:rPr>
            </w:pPr>
          </w:p>
        </w:tc>
        <w:tc>
          <w:tcPr>
            <w:tcW w:w="1097"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szCs w:val="24"/>
              </w:rPr>
            </w:pPr>
            <w:r>
              <w:rPr>
                <w:rFonts w:hint="eastAsia" w:ascii="宋体" w:hAnsi="宋体" w:cs="宋体"/>
                <w:szCs w:val="24"/>
              </w:rPr>
              <w:t>电话</w:t>
            </w:r>
          </w:p>
        </w:tc>
        <w:tc>
          <w:tcPr>
            <w:tcW w:w="2383" w:type="dxa"/>
            <w:gridSpan w:val="3"/>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5" w:hRule="atLeast"/>
          <w:jc w:val="center"/>
        </w:trPr>
        <w:tc>
          <w:tcPr>
            <w:tcW w:w="1759"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szCs w:val="24"/>
              </w:rPr>
            </w:pPr>
          </w:p>
        </w:tc>
        <w:tc>
          <w:tcPr>
            <w:tcW w:w="1045"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szCs w:val="24"/>
              </w:rPr>
            </w:pPr>
            <w:r>
              <w:rPr>
                <w:rFonts w:hint="eastAsia" w:ascii="宋体" w:hAnsi="宋体" w:cs="宋体"/>
                <w:szCs w:val="24"/>
              </w:rPr>
              <w:t>传真</w:t>
            </w:r>
          </w:p>
        </w:tc>
        <w:tc>
          <w:tcPr>
            <w:tcW w:w="2436" w:type="dxa"/>
            <w:gridSpan w:val="3"/>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szCs w:val="24"/>
              </w:rPr>
            </w:pPr>
          </w:p>
        </w:tc>
        <w:tc>
          <w:tcPr>
            <w:tcW w:w="1097"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szCs w:val="24"/>
              </w:rPr>
            </w:pPr>
            <w:r>
              <w:rPr>
                <w:rFonts w:hint="eastAsia" w:ascii="宋体" w:hAnsi="宋体" w:cs="宋体"/>
                <w:szCs w:val="24"/>
              </w:rPr>
              <w:t>网址</w:t>
            </w:r>
          </w:p>
        </w:tc>
        <w:tc>
          <w:tcPr>
            <w:tcW w:w="2383" w:type="dxa"/>
            <w:gridSpan w:val="3"/>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1759"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szCs w:val="24"/>
              </w:rPr>
            </w:pPr>
            <w:r>
              <w:rPr>
                <w:rFonts w:hint="eastAsia" w:ascii="宋体" w:hAnsi="宋体" w:cs="宋体"/>
                <w:szCs w:val="24"/>
              </w:rPr>
              <w:t>法定代表人</w:t>
            </w:r>
          </w:p>
          <w:p>
            <w:pPr>
              <w:topLinePunct/>
              <w:spacing w:line="360" w:lineRule="auto"/>
              <w:jc w:val="center"/>
              <w:rPr>
                <w:rFonts w:ascii="宋体" w:hAnsi="宋体" w:cs="宋体"/>
                <w:szCs w:val="24"/>
              </w:rPr>
            </w:pPr>
            <w:r>
              <w:rPr>
                <w:rFonts w:hint="eastAsia" w:ascii="宋体" w:hAnsi="宋体" w:cs="宋体"/>
                <w:szCs w:val="24"/>
              </w:rPr>
              <w:t>（或负责人）</w:t>
            </w:r>
          </w:p>
        </w:tc>
        <w:tc>
          <w:tcPr>
            <w:tcW w:w="1045"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szCs w:val="24"/>
              </w:rPr>
            </w:pPr>
            <w:r>
              <w:rPr>
                <w:rFonts w:hint="eastAsia" w:ascii="宋体" w:hAnsi="宋体" w:cs="宋体"/>
                <w:szCs w:val="24"/>
              </w:rPr>
              <w:t>姓名</w:t>
            </w:r>
          </w:p>
        </w:tc>
        <w:tc>
          <w:tcPr>
            <w:tcW w:w="837"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szCs w:val="24"/>
              </w:rPr>
            </w:pPr>
          </w:p>
        </w:tc>
        <w:tc>
          <w:tcPr>
            <w:tcW w:w="1282"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szCs w:val="24"/>
              </w:rPr>
            </w:pPr>
            <w:r>
              <w:rPr>
                <w:rFonts w:hint="eastAsia" w:ascii="宋体" w:hAnsi="宋体" w:cs="宋体"/>
                <w:szCs w:val="24"/>
              </w:rPr>
              <w:t>职称</w:t>
            </w:r>
          </w:p>
        </w:tc>
        <w:tc>
          <w:tcPr>
            <w:tcW w:w="1913" w:type="dxa"/>
            <w:gridSpan w:val="3"/>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szCs w:val="24"/>
              </w:rPr>
            </w:pPr>
          </w:p>
        </w:tc>
        <w:tc>
          <w:tcPr>
            <w:tcW w:w="875"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szCs w:val="24"/>
              </w:rPr>
            </w:pPr>
            <w:r>
              <w:rPr>
                <w:rFonts w:hint="eastAsia" w:ascii="宋体" w:hAnsi="宋体" w:cs="宋体"/>
                <w:szCs w:val="24"/>
              </w:rPr>
              <w:t>电话</w:t>
            </w:r>
          </w:p>
        </w:tc>
        <w:tc>
          <w:tcPr>
            <w:tcW w:w="1009"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1759"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szCs w:val="24"/>
              </w:rPr>
            </w:pPr>
            <w:r>
              <w:rPr>
                <w:rFonts w:hint="eastAsia" w:ascii="宋体" w:hAnsi="宋体" w:cs="宋体"/>
                <w:szCs w:val="24"/>
              </w:rPr>
              <w:t>授权代表</w:t>
            </w:r>
          </w:p>
        </w:tc>
        <w:tc>
          <w:tcPr>
            <w:tcW w:w="1045"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szCs w:val="24"/>
              </w:rPr>
            </w:pPr>
            <w:r>
              <w:rPr>
                <w:rFonts w:hint="eastAsia" w:ascii="宋体" w:hAnsi="宋体" w:cs="宋体"/>
                <w:szCs w:val="24"/>
              </w:rPr>
              <w:t>姓名</w:t>
            </w:r>
          </w:p>
        </w:tc>
        <w:tc>
          <w:tcPr>
            <w:tcW w:w="837"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szCs w:val="24"/>
              </w:rPr>
            </w:pPr>
          </w:p>
        </w:tc>
        <w:tc>
          <w:tcPr>
            <w:tcW w:w="1282"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szCs w:val="24"/>
              </w:rPr>
            </w:pPr>
            <w:r>
              <w:rPr>
                <w:rFonts w:hint="eastAsia" w:ascii="宋体" w:hAnsi="宋体" w:cs="宋体"/>
                <w:szCs w:val="24"/>
              </w:rPr>
              <w:t>职称</w:t>
            </w:r>
          </w:p>
        </w:tc>
        <w:tc>
          <w:tcPr>
            <w:tcW w:w="1913" w:type="dxa"/>
            <w:gridSpan w:val="3"/>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szCs w:val="24"/>
              </w:rPr>
            </w:pPr>
          </w:p>
        </w:tc>
        <w:tc>
          <w:tcPr>
            <w:tcW w:w="875"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szCs w:val="24"/>
              </w:rPr>
            </w:pPr>
            <w:r>
              <w:rPr>
                <w:rFonts w:hint="eastAsia" w:ascii="宋体" w:hAnsi="宋体" w:cs="宋体"/>
                <w:szCs w:val="24"/>
              </w:rPr>
              <w:t>电话</w:t>
            </w:r>
          </w:p>
        </w:tc>
        <w:tc>
          <w:tcPr>
            <w:tcW w:w="1009"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7" w:hRule="atLeast"/>
          <w:jc w:val="center"/>
        </w:trPr>
        <w:tc>
          <w:tcPr>
            <w:tcW w:w="1759"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szCs w:val="24"/>
              </w:rPr>
            </w:pPr>
            <w:r>
              <w:rPr>
                <w:rFonts w:hint="eastAsia" w:ascii="宋体" w:hAnsi="宋体" w:cs="宋体"/>
                <w:szCs w:val="24"/>
              </w:rPr>
              <w:t>成立时间</w:t>
            </w:r>
          </w:p>
        </w:tc>
        <w:tc>
          <w:tcPr>
            <w:tcW w:w="1882" w:type="dxa"/>
            <w:gridSpan w:val="2"/>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szCs w:val="24"/>
              </w:rPr>
            </w:pPr>
          </w:p>
        </w:tc>
        <w:tc>
          <w:tcPr>
            <w:tcW w:w="5079" w:type="dxa"/>
            <w:gridSpan w:val="6"/>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szCs w:val="24"/>
              </w:rPr>
            </w:pPr>
            <w:r>
              <w:rPr>
                <w:rFonts w:hint="eastAsia" w:ascii="宋体" w:hAnsi="宋体" w:cs="宋体"/>
                <w:szCs w:val="24"/>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13" w:hRule="atLeast"/>
          <w:jc w:val="center"/>
        </w:trPr>
        <w:tc>
          <w:tcPr>
            <w:tcW w:w="1759"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szCs w:val="24"/>
              </w:rPr>
            </w:pPr>
            <w:r>
              <w:rPr>
                <w:rFonts w:hint="eastAsia" w:ascii="宋体" w:hAnsi="宋体" w:cs="宋体"/>
                <w:szCs w:val="24"/>
              </w:rPr>
              <w:t>营业执照号</w:t>
            </w:r>
          </w:p>
        </w:tc>
        <w:tc>
          <w:tcPr>
            <w:tcW w:w="6961" w:type="dxa"/>
            <w:gridSpan w:val="8"/>
            <w:tcBorders>
              <w:top w:val="single" w:color="auto" w:sz="4" w:space="0"/>
              <w:left w:val="single" w:color="auto" w:sz="4" w:space="0"/>
              <w:bottom w:val="single" w:color="auto" w:sz="4" w:space="0"/>
            </w:tcBorders>
            <w:vAlign w:val="center"/>
          </w:tcPr>
          <w:p>
            <w:pPr>
              <w:topLinePunct/>
              <w:spacing w:line="360" w:lineRule="auto"/>
              <w:jc w:val="center"/>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2" w:hRule="atLeast"/>
          <w:jc w:val="center"/>
        </w:trPr>
        <w:tc>
          <w:tcPr>
            <w:tcW w:w="1759"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szCs w:val="24"/>
              </w:rPr>
            </w:pPr>
            <w:r>
              <w:rPr>
                <w:rFonts w:hint="eastAsia" w:ascii="宋体" w:hAnsi="宋体" w:cs="宋体"/>
                <w:szCs w:val="24"/>
              </w:rPr>
              <w:t>注册资金</w:t>
            </w:r>
          </w:p>
        </w:tc>
        <w:tc>
          <w:tcPr>
            <w:tcW w:w="6961" w:type="dxa"/>
            <w:gridSpan w:val="8"/>
            <w:tcBorders>
              <w:top w:val="single" w:color="auto" w:sz="4" w:space="0"/>
              <w:left w:val="single" w:color="auto" w:sz="4" w:space="0"/>
              <w:bottom w:val="single" w:color="auto" w:sz="4" w:space="0"/>
            </w:tcBorders>
            <w:vAlign w:val="center"/>
          </w:tcPr>
          <w:p>
            <w:pPr>
              <w:topLinePunct/>
              <w:spacing w:line="360" w:lineRule="auto"/>
              <w:jc w:val="center"/>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9" w:hRule="atLeast"/>
          <w:jc w:val="center"/>
        </w:trPr>
        <w:tc>
          <w:tcPr>
            <w:tcW w:w="1759" w:type="dxa"/>
            <w:tcBorders>
              <w:top w:val="single" w:color="auto" w:sz="4" w:space="0"/>
              <w:left w:val="single" w:color="auto" w:sz="4" w:space="0"/>
              <w:right w:val="single" w:color="auto" w:sz="4" w:space="0"/>
            </w:tcBorders>
            <w:vAlign w:val="center"/>
          </w:tcPr>
          <w:p>
            <w:pPr>
              <w:topLinePunct/>
              <w:spacing w:line="360" w:lineRule="auto"/>
              <w:jc w:val="center"/>
              <w:rPr>
                <w:rFonts w:ascii="宋体" w:hAnsi="宋体" w:cs="宋体"/>
                <w:szCs w:val="24"/>
              </w:rPr>
            </w:pPr>
            <w:r>
              <w:rPr>
                <w:rFonts w:hint="eastAsia" w:ascii="宋体" w:hAnsi="宋体" w:cs="宋体"/>
                <w:szCs w:val="24"/>
              </w:rPr>
              <w:t>经营范围</w:t>
            </w:r>
          </w:p>
        </w:tc>
        <w:tc>
          <w:tcPr>
            <w:tcW w:w="6961" w:type="dxa"/>
            <w:gridSpan w:val="8"/>
            <w:tcBorders>
              <w:top w:val="single" w:color="auto" w:sz="4" w:space="0"/>
              <w:left w:val="single" w:color="auto" w:sz="4" w:space="0"/>
              <w:right w:val="single" w:color="auto" w:sz="4" w:space="0"/>
            </w:tcBorders>
            <w:vAlign w:val="center"/>
          </w:tcPr>
          <w:p>
            <w:pPr>
              <w:topLinePunct/>
              <w:spacing w:line="360" w:lineRule="auto"/>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1759"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szCs w:val="24"/>
              </w:rPr>
            </w:pPr>
            <w:r>
              <w:rPr>
                <w:rFonts w:hint="eastAsia" w:ascii="宋体" w:hAnsi="宋体" w:cs="宋体"/>
                <w:szCs w:val="24"/>
              </w:rPr>
              <w:t>企业简介</w:t>
            </w:r>
          </w:p>
        </w:tc>
        <w:tc>
          <w:tcPr>
            <w:tcW w:w="6961" w:type="dxa"/>
            <w:gridSpan w:val="8"/>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szCs w:val="24"/>
              </w:rPr>
            </w:pPr>
          </w:p>
          <w:p>
            <w:pPr>
              <w:topLinePunct/>
              <w:spacing w:line="360" w:lineRule="auto"/>
              <w:jc w:val="center"/>
              <w:rPr>
                <w:rFonts w:ascii="宋体" w:hAnsi="宋体" w:cs="宋体"/>
                <w:szCs w:val="24"/>
              </w:rPr>
            </w:pPr>
          </w:p>
          <w:p>
            <w:pPr>
              <w:topLinePunct/>
              <w:spacing w:line="360" w:lineRule="auto"/>
              <w:jc w:val="center"/>
              <w:rPr>
                <w:rFonts w:ascii="宋体" w:hAnsi="宋体" w:cs="宋体"/>
                <w:szCs w:val="24"/>
              </w:rPr>
            </w:pPr>
          </w:p>
          <w:p>
            <w:pPr>
              <w:topLinePunct/>
              <w:spacing w:line="360" w:lineRule="auto"/>
              <w:jc w:val="center"/>
              <w:rPr>
                <w:rFonts w:ascii="宋体" w:hAnsi="宋体" w:cs="宋体"/>
                <w:szCs w:val="24"/>
              </w:rPr>
            </w:pPr>
          </w:p>
        </w:tc>
      </w:tr>
    </w:tbl>
    <w:p>
      <w:pPr>
        <w:ind w:firstLine="3600" w:firstLineChars="1500"/>
        <w:rPr>
          <w:rFonts w:ascii="宋体" w:hAnsi="宋体" w:cs="宋体"/>
          <w:szCs w:val="24"/>
        </w:rPr>
      </w:pPr>
    </w:p>
    <w:p>
      <w:pPr>
        <w:ind w:firstLine="3600" w:firstLineChars="1500"/>
        <w:rPr>
          <w:rFonts w:ascii="宋体" w:hAnsi="宋体" w:cs="宋体"/>
          <w:szCs w:val="24"/>
        </w:rPr>
      </w:pPr>
    </w:p>
    <w:p>
      <w:pPr>
        <w:ind w:firstLine="3600" w:firstLineChars="1500"/>
        <w:rPr>
          <w:rFonts w:ascii="宋体" w:hAnsi="宋体" w:cs="宋体"/>
          <w:szCs w:val="24"/>
        </w:rPr>
      </w:pPr>
    </w:p>
    <w:p>
      <w:pPr>
        <w:ind w:firstLine="3360" w:firstLineChars="1400"/>
        <w:rPr>
          <w:rFonts w:ascii="宋体" w:hAnsi="宋体" w:cs="宋体"/>
          <w:szCs w:val="24"/>
          <w:u w:val="single"/>
        </w:rPr>
      </w:pPr>
      <w:bookmarkStart w:id="388" w:name="_Toc10206"/>
      <w:r>
        <w:rPr>
          <w:rFonts w:hint="eastAsia" w:ascii="宋体" w:hAnsi="宋体" w:cs="宋体"/>
          <w:szCs w:val="24"/>
        </w:rPr>
        <w:t xml:space="preserve">响应供应商： </w:t>
      </w:r>
      <w:r>
        <w:rPr>
          <w:rFonts w:hint="eastAsia" w:ascii="宋体" w:hAnsi="宋体" w:cs="宋体"/>
          <w:szCs w:val="24"/>
          <w:u w:val="single"/>
        </w:rPr>
        <w:t xml:space="preserve">          （盖章）             </w:t>
      </w:r>
    </w:p>
    <w:p>
      <w:pPr>
        <w:ind w:right="360"/>
        <w:jc w:val="right"/>
        <w:rPr>
          <w:rFonts w:ascii="宋体" w:hAnsi="宋体" w:cs="宋体"/>
          <w:szCs w:val="24"/>
        </w:rPr>
      </w:pPr>
    </w:p>
    <w:p>
      <w:pPr>
        <w:ind w:right="240"/>
        <w:jc w:val="center"/>
        <w:outlineLvl w:val="1"/>
        <w:rPr>
          <w:rFonts w:ascii="宋体" w:hAnsi="宋体" w:cs="宋体"/>
          <w:szCs w:val="24"/>
          <w:u w:val="single"/>
        </w:rPr>
      </w:pPr>
      <w:r>
        <w:rPr>
          <w:rFonts w:hint="eastAsia" w:ascii="宋体" w:hAnsi="宋体" w:cs="宋体"/>
          <w:szCs w:val="24"/>
        </w:rPr>
        <w:t xml:space="preserve">                法定代表人或其授权代理人： </w:t>
      </w:r>
      <w:r>
        <w:rPr>
          <w:rFonts w:hint="eastAsia" w:ascii="宋体" w:hAnsi="宋体" w:cs="宋体"/>
          <w:szCs w:val="24"/>
          <w:u w:val="single"/>
        </w:rPr>
        <w:t>（签字或签章）</w:t>
      </w:r>
    </w:p>
    <w:p>
      <w:pPr>
        <w:jc w:val="right"/>
        <w:rPr>
          <w:rFonts w:ascii="宋体" w:hAnsi="宋体" w:cs="宋体"/>
          <w:szCs w:val="24"/>
          <w:u w:val="single"/>
        </w:rPr>
      </w:pPr>
    </w:p>
    <w:p>
      <w:pPr>
        <w:wordWrap w:val="0"/>
        <w:ind w:right="360"/>
        <w:jc w:val="center"/>
        <w:outlineLvl w:val="1"/>
        <w:rPr>
          <w:rFonts w:ascii="宋体" w:hAnsi="宋体" w:cs="宋体"/>
          <w:u w:val="single"/>
        </w:rPr>
      </w:pPr>
      <w:r>
        <w:rPr>
          <w:rFonts w:hint="eastAsia" w:ascii="宋体" w:hAnsi="宋体" w:cs="宋体"/>
          <w:szCs w:val="24"/>
        </w:rPr>
        <w:t xml:space="preserve">                日   期：</w:t>
      </w:r>
      <w:r>
        <w:rPr>
          <w:rFonts w:hint="eastAsia" w:ascii="宋体" w:hAnsi="宋体" w:cs="宋体"/>
          <w:szCs w:val="24"/>
          <w:u w:val="single"/>
        </w:rPr>
        <w:t xml:space="preserve">            </w:t>
      </w:r>
      <w:r>
        <w:rPr>
          <w:rFonts w:hint="eastAsia" w:ascii="宋体" w:hAnsi="宋体" w:cs="宋体"/>
          <w:u w:val="single"/>
        </w:rPr>
        <w:t xml:space="preserve">                  </w:t>
      </w:r>
    </w:p>
    <w:bookmarkEnd w:id="388"/>
    <w:p>
      <w:pPr>
        <w:rPr>
          <w:rFonts w:hAnsi="宋体" w:cs="宋体"/>
        </w:rPr>
      </w:pPr>
    </w:p>
    <w:p>
      <w:pPr>
        <w:pStyle w:val="19"/>
        <w:tabs>
          <w:tab w:val="left" w:pos="360"/>
          <w:tab w:val="left" w:pos="5580"/>
        </w:tabs>
        <w:spacing w:before="120" w:line="360" w:lineRule="auto"/>
        <w:ind w:firstLine="352" w:firstLineChars="147"/>
        <w:rPr>
          <w:rFonts w:hAnsi="宋体" w:cs="宋体"/>
        </w:rPr>
      </w:pPr>
    </w:p>
    <w:p>
      <w:pPr>
        <w:jc w:val="center"/>
        <w:rPr>
          <w:b/>
          <w:bCs/>
          <w:sz w:val="32"/>
          <w:szCs w:val="32"/>
        </w:rPr>
      </w:pPr>
      <w:bookmarkStart w:id="389" w:name="_Toc30309"/>
    </w:p>
    <w:p>
      <w:pPr>
        <w:jc w:val="center"/>
        <w:outlineLvl w:val="0"/>
        <w:rPr>
          <w:b/>
          <w:bCs/>
          <w:sz w:val="32"/>
          <w:szCs w:val="32"/>
        </w:rPr>
      </w:pPr>
      <w:r>
        <w:rPr>
          <w:rFonts w:hint="eastAsia"/>
          <w:b/>
          <w:bCs/>
          <w:sz w:val="32"/>
          <w:szCs w:val="32"/>
        </w:rPr>
        <w:t>法定代表人身份证明</w:t>
      </w:r>
      <w:bookmarkEnd w:id="389"/>
    </w:p>
    <w:p>
      <w:pPr>
        <w:spacing w:line="360" w:lineRule="auto"/>
        <w:ind w:firstLine="480" w:firstLineChars="200"/>
        <w:rPr>
          <w:rFonts w:ascii="宋体" w:hAnsi="宋体" w:cs="宋体"/>
        </w:rPr>
      </w:pPr>
    </w:p>
    <w:p>
      <w:pPr>
        <w:spacing w:line="360" w:lineRule="auto"/>
        <w:ind w:firstLine="480" w:firstLineChars="200"/>
        <w:rPr>
          <w:rFonts w:ascii="宋体" w:hAnsi="宋体" w:cs="宋体"/>
          <w:szCs w:val="24"/>
          <w:u w:val="single"/>
        </w:rPr>
      </w:pPr>
      <w:r>
        <w:rPr>
          <w:rFonts w:hint="eastAsia" w:ascii="宋体" w:hAnsi="宋体" w:cs="宋体"/>
          <w:szCs w:val="24"/>
        </w:rPr>
        <w:t>响应供应商名称：</w:t>
      </w:r>
      <w:r>
        <w:rPr>
          <w:rFonts w:hint="eastAsia" w:ascii="宋体" w:hAnsi="宋体" w:cs="宋体"/>
          <w:szCs w:val="24"/>
          <w:u w:val="single"/>
        </w:rPr>
        <w:t xml:space="preserve">              </w:t>
      </w:r>
    </w:p>
    <w:p>
      <w:pPr>
        <w:spacing w:line="360" w:lineRule="auto"/>
        <w:ind w:firstLine="480" w:firstLineChars="200"/>
        <w:rPr>
          <w:rFonts w:ascii="宋体" w:hAnsi="宋体" w:cs="宋体"/>
          <w:szCs w:val="24"/>
          <w:u w:val="single"/>
        </w:rPr>
      </w:pPr>
      <w:r>
        <w:rPr>
          <w:rFonts w:hint="eastAsia" w:ascii="宋体" w:hAnsi="宋体" w:cs="宋体"/>
          <w:szCs w:val="24"/>
        </w:rPr>
        <w:t>单位性质：</w:t>
      </w:r>
      <w:r>
        <w:rPr>
          <w:rFonts w:hint="eastAsia" w:ascii="宋体" w:hAnsi="宋体" w:cs="宋体"/>
          <w:szCs w:val="24"/>
          <w:u w:val="single"/>
        </w:rPr>
        <w:t xml:space="preserve">                </w:t>
      </w:r>
    </w:p>
    <w:p>
      <w:pPr>
        <w:spacing w:line="360" w:lineRule="auto"/>
        <w:ind w:firstLine="480" w:firstLineChars="200"/>
        <w:rPr>
          <w:rFonts w:ascii="宋体" w:hAnsi="宋体" w:cs="宋体"/>
          <w:szCs w:val="24"/>
        </w:rPr>
      </w:pPr>
      <w:r>
        <w:rPr>
          <w:rFonts w:hint="eastAsia" w:ascii="宋体" w:hAnsi="宋体" w:cs="宋体"/>
          <w:szCs w:val="24"/>
        </w:rPr>
        <w:t>地址：</w:t>
      </w:r>
      <w:r>
        <w:rPr>
          <w:rFonts w:hint="eastAsia" w:ascii="宋体" w:hAnsi="宋体" w:cs="宋体"/>
          <w:szCs w:val="24"/>
          <w:u w:val="single"/>
        </w:rPr>
        <w:t xml:space="preserve">                    </w:t>
      </w:r>
    </w:p>
    <w:p>
      <w:pPr>
        <w:spacing w:line="360" w:lineRule="auto"/>
        <w:ind w:firstLine="480" w:firstLineChars="200"/>
        <w:rPr>
          <w:rFonts w:ascii="宋体" w:hAnsi="宋体" w:cs="宋体"/>
          <w:szCs w:val="24"/>
        </w:rPr>
      </w:pPr>
      <w:r>
        <w:rPr>
          <w:rFonts w:hint="eastAsia" w:ascii="宋体" w:hAnsi="宋体" w:cs="宋体"/>
          <w:szCs w:val="24"/>
        </w:rPr>
        <w:t>成立时间：</w:t>
      </w:r>
      <w:r>
        <w:rPr>
          <w:rFonts w:hint="eastAsia" w:ascii="宋体" w:hAnsi="宋体" w:cs="宋体"/>
          <w:szCs w:val="24"/>
          <w:u w:val="single"/>
        </w:rPr>
        <w:t xml:space="preserve">     </w:t>
      </w:r>
      <w:r>
        <w:rPr>
          <w:rFonts w:hint="eastAsia" w:ascii="宋体" w:hAnsi="宋体" w:cs="宋体"/>
          <w:szCs w:val="24"/>
        </w:rPr>
        <w:t>年</w:t>
      </w:r>
      <w:r>
        <w:rPr>
          <w:rFonts w:hint="eastAsia" w:ascii="宋体" w:hAnsi="宋体" w:cs="宋体"/>
          <w:szCs w:val="24"/>
          <w:u w:val="single"/>
        </w:rPr>
        <w:t xml:space="preserve">     </w:t>
      </w:r>
      <w:r>
        <w:rPr>
          <w:rFonts w:hint="eastAsia" w:ascii="宋体" w:hAnsi="宋体" w:cs="宋体"/>
          <w:szCs w:val="24"/>
        </w:rPr>
        <w:t>月</w:t>
      </w:r>
      <w:r>
        <w:rPr>
          <w:rFonts w:hint="eastAsia" w:ascii="宋体" w:hAnsi="宋体" w:cs="宋体"/>
          <w:szCs w:val="24"/>
          <w:u w:val="single"/>
        </w:rPr>
        <w:t xml:space="preserve">     </w:t>
      </w:r>
      <w:r>
        <w:rPr>
          <w:rFonts w:hint="eastAsia" w:ascii="宋体" w:hAnsi="宋体" w:cs="宋体"/>
          <w:szCs w:val="24"/>
        </w:rPr>
        <w:t>日</w:t>
      </w:r>
    </w:p>
    <w:p>
      <w:pPr>
        <w:spacing w:line="360" w:lineRule="auto"/>
        <w:ind w:firstLine="480" w:firstLineChars="200"/>
        <w:rPr>
          <w:rFonts w:ascii="宋体" w:hAnsi="宋体" w:cs="宋体"/>
          <w:szCs w:val="24"/>
          <w:u w:val="single"/>
        </w:rPr>
      </w:pPr>
      <w:r>
        <w:rPr>
          <w:rFonts w:hint="eastAsia" w:ascii="宋体" w:hAnsi="宋体" w:cs="宋体"/>
          <w:szCs w:val="24"/>
        </w:rPr>
        <w:t>经营期限：</w:t>
      </w:r>
      <w:r>
        <w:rPr>
          <w:rFonts w:hint="eastAsia" w:ascii="宋体" w:hAnsi="宋体" w:cs="宋体"/>
          <w:szCs w:val="24"/>
          <w:u w:val="single"/>
        </w:rPr>
        <w:t xml:space="preserve">               </w:t>
      </w:r>
    </w:p>
    <w:p>
      <w:pPr>
        <w:spacing w:line="360" w:lineRule="auto"/>
        <w:ind w:firstLine="480" w:firstLineChars="200"/>
        <w:rPr>
          <w:rFonts w:ascii="宋体" w:hAnsi="宋体" w:cs="宋体"/>
          <w:szCs w:val="24"/>
        </w:rPr>
      </w:pPr>
      <w:r>
        <w:rPr>
          <w:rFonts w:hint="eastAsia" w:ascii="宋体" w:hAnsi="宋体" w:cs="宋体"/>
          <w:szCs w:val="24"/>
        </w:rPr>
        <w:t>姓名：</w:t>
      </w:r>
      <w:r>
        <w:rPr>
          <w:rFonts w:hint="eastAsia" w:ascii="宋体" w:hAnsi="宋体" w:cs="宋体"/>
          <w:szCs w:val="24"/>
          <w:u w:val="single"/>
        </w:rPr>
        <w:t xml:space="preserve">     </w:t>
      </w:r>
      <w:r>
        <w:rPr>
          <w:rFonts w:hint="eastAsia" w:ascii="宋体" w:hAnsi="宋体" w:cs="宋体"/>
          <w:szCs w:val="24"/>
        </w:rPr>
        <w:t>性别：</w:t>
      </w:r>
      <w:r>
        <w:rPr>
          <w:rFonts w:hint="eastAsia" w:ascii="宋体" w:hAnsi="宋体" w:cs="宋体"/>
          <w:szCs w:val="24"/>
          <w:u w:val="single"/>
        </w:rPr>
        <w:t xml:space="preserve">     </w:t>
      </w:r>
      <w:r>
        <w:rPr>
          <w:rFonts w:hint="eastAsia" w:ascii="宋体" w:hAnsi="宋体" w:cs="宋体"/>
          <w:szCs w:val="24"/>
        </w:rPr>
        <w:t xml:space="preserve"> 年龄：</w:t>
      </w:r>
      <w:r>
        <w:rPr>
          <w:rFonts w:hint="eastAsia" w:ascii="宋体" w:hAnsi="宋体" w:cs="宋体"/>
          <w:szCs w:val="24"/>
          <w:u w:val="single"/>
        </w:rPr>
        <w:t xml:space="preserve">     </w:t>
      </w:r>
      <w:r>
        <w:rPr>
          <w:rFonts w:hint="eastAsia" w:ascii="宋体" w:hAnsi="宋体" w:cs="宋体"/>
          <w:szCs w:val="24"/>
        </w:rPr>
        <w:t>职务：</w:t>
      </w:r>
      <w:r>
        <w:rPr>
          <w:rFonts w:hint="eastAsia" w:ascii="宋体" w:hAnsi="宋体" w:cs="宋体"/>
          <w:szCs w:val="24"/>
          <w:u w:val="single"/>
        </w:rPr>
        <w:t xml:space="preserve">     </w:t>
      </w:r>
    </w:p>
    <w:p>
      <w:pPr>
        <w:spacing w:line="360" w:lineRule="auto"/>
        <w:ind w:firstLine="480" w:firstLineChars="200"/>
        <w:rPr>
          <w:rFonts w:ascii="宋体" w:hAnsi="宋体" w:cs="宋体"/>
          <w:szCs w:val="24"/>
        </w:rPr>
      </w:pPr>
      <w:r>
        <w:rPr>
          <w:rFonts w:hint="eastAsia" w:ascii="宋体" w:hAnsi="宋体" w:cs="宋体"/>
          <w:szCs w:val="24"/>
        </w:rPr>
        <w:t xml:space="preserve">系 </w:t>
      </w:r>
      <w:r>
        <w:rPr>
          <w:rFonts w:hint="eastAsia" w:ascii="宋体" w:hAnsi="宋体" w:cs="宋体"/>
          <w:szCs w:val="24"/>
          <w:u w:val="single"/>
        </w:rPr>
        <w:t xml:space="preserve">                    </w:t>
      </w:r>
      <w:r>
        <w:rPr>
          <w:rFonts w:hint="eastAsia" w:ascii="宋体" w:hAnsi="宋体" w:cs="宋体"/>
          <w:szCs w:val="24"/>
        </w:rPr>
        <w:t>（响应供应商名称）的法定代表人（或负责人）。</w:t>
      </w:r>
    </w:p>
    <w:p>
      <w:pPr>
        <w:spacing w:line="360" w:lineRule="auto"/>
        <w:ind w:firstLine="480" w:firstLineChars="200"/>
        <w:rPr>
          <w:rFonts w:ascii="宋体" w:hAnsi="宋体" w:cs="宋体"/>
          <w:szCs w:val="24"/>
        </w:rPr>
      </w:pPr>
      <w:r>
        <w:rPr>
          <w:rFonts w:hint="eastAsia" w:ascii="宋体" w:hAnsi="宋体" w:cs="宋体"/>
          <w:szCs w:val="24"/>
        </w:rPr>
        <w:t>特此证明。</w:t>
      </w:r>
    </w:p>
    <w:p>
      <w:pPr>
        <w:spacing w:line="360" w:lineRule="auto"/>
        <w:ind w:firstLine="480" w:firstLineChars="200"/>
        <w:rPr>
          <w:rFonts w:ascii="宋体" w:hAnsi="宋体" w:cs="宋体"/>
          <w:szCs w:val="24"/>
        </w:rPr>
      </w:pPr>
    </w:p>
    <w:p>
      <w:pPr>
        <w:spacing w:line="360" w:lineRule="auto"/>
        <w:ind w:firstLine="480" w:firstLineChars="200"/>
        <w:rPr>
          <w:rFonts w:ascii="宋体" w:hAnsi="宋体" w:cs="宋体"/>
          <w:szCs w:val="24"/>
        </w:rPr>
      </w:pPr>
      <w:r>
        <w:rPr>
          <w:rFonts w:hint="eastAsia" w:ascii="宋体" w:hAnsi="宋体" w:cs="宋体"/>
          <w:szCs w:val="24"/>
        </w:rPr>
        <w:t>附：法定代表人身份证复印件。</w:t>
      </w:r>
    </w:p>
    <w:p>
      <w:pPr>
        <w:spacing w:line="360" w:lineRule="auto"/>
        <w:ind w:firstLine="480" w:firstLineChars="200"/>
        <w:rPr>
          <w:rFonts w:ascii="宋体" w:hAnsi="宋体" w:cs="宋体"/>
          <w:szCs w:val="24"/>
        </w:rPr>
      </w:pPr>
    </w:p>
    <w:p>
      <w:pPr>
        <w:spacing w:line="360" w:lineRule="auto"/>
        <w:ind w:firstLine="480" w:firstLineChars="200"/>
        <w:jc w:val="center"/>
        <w:outlineLvl w:val="1"/>
        <w:rPr>
          <w:rFonts w:ascii="宋体" w:hAnsi="宋体" w:cs="宋体"/>
          <w:szCs w:val="24"/>
          <w:u w:val="single"/>
        </w:rPr>
      </w:pPr>
      <w:r>
        <w:rPr>
          <w:rFonts w:hint="eastAsia" w:ascii="宋体" w:hAnsi="宋体" w:cs="宋体"/>
          <w:szCs w:val="24"/>
        </w:rPr>
        <w:t>响应供应商：</w:t>
      </w:r>
      <w:r>
        <w:rPr>
          <w:rFonts w:hint="eastAsia" w:ascii="宋体" w:hAnsi="宋体" w:cs="宋体"/>
          <w:szCs w:val="24"/>
          <w:u w:val="single"/>
        </w:rPr>
        <w:t xml:space="preserve">                 （盖单位章）</w:t>
      </w:r>
    </w:p>
    <w:p>
      <w:pPr>
        <w:spacing w:line="360" w:lineRule="auto"/>
        <w:ind w:firstLine="480" w:firstLineChars="200"/>
        <w:jc w:val="center"/>
        <w:rPr>
          <w:rFonts w:ascii="宋体" w:hAnsi="宋体" w:cs="宋体"/>
          <w:szCs w:val="24"/>
        </w:rPr>
      </w:pPr>
    </w:p>
    <w:p>
      <w:pPr>
        <w:spacing w:line="360" w:lineRule="auto"/>
        <w:ind w:firstLine="480" w:firstLineChars="200"/>
        <w:jc w:val="center"/>
        <w:outlineLvl w:val="1"/>
        <w:rPr>
          <w:rFonts w:ascii="宋体" w:hAnsi="宋体" w:cs="宋体"/>
          <w:szCs w:val="24"/>
        </w:rPr>
      </w:pPr>
      <w:r>
        <w:rPr>
          <w:rFonts w:hint="eastAsia" w:ascii="宋体" w:hAnsi="宋体" w:cs="宋体"/>
          <w:szCs w:val="24"/>
        </w:rPr>
        <w:t xml:space="preserve">                       年   月   日</w:t>
      </w: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pStyle w:val="14"/>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tabs>
          <w:tab w:val="left" w:pos="5580"/>
        </w:tabs>
        <w:spacing w:before="120" w:line="360" w:lineRule="auto"/>
        <w:jc w:val="center"/>
        <w:rPr>
          <w:rFonts w:ascii="宋体" w:hAnsi="宋体" w:cs="宋体"/>
          <w:b/>
        </w:rPr>
      </w:pPr>
    </w:p>
    <w:p>
      <w:pPr>
        <w:tabs>
          <w:tab w:val="left" w:pos="5580"/>
        </w:tabs>
        <w:spacing w:before="120" w:line="360" w:lineRule="auto"/>
        <w:jc w:val="center"/>
        <w:outlineLvl w:val="3"/>
        <w:rPr>
          <w:rFonts w:ascii="宋体" w:hAnsi="宋体" w:cs="宋体"/>
          <w:b/>
          <w:sz w:val="32"/>
          <w:szCs w:val="32"/>
        </w:rPr>
      </w:pPr>
      <w:r>
        <w:rPr>
          <w:rFonts w:hint="eastAsia"/>
          <w:b/>
          <w:bCs/>
          <w:sz w:val="32"/>
          <w:szCs w:val="32"/>
        </w:rPr>
        <w:t>法定代表人授权委托书</w:t>
      </w:r>
    </w:p>
    <w:p>
      <w:pPr>
        <w:spacing w:line="360" w:lineRule="auto"/>
        <w:ind w:firstLine="480" w:firstLineChars="200"/>
        <w:rPr>
          <w:rFonts w:ascii="宋体" w:hAnsi="宋体" w:cs="宋体"/>
        </w:rPr>
      </w:pPr>
    </w:p>
    <w:p>
      <w:pPr>
        <w:tabs>
          <w:tab w:val="left" w:pos="8820"/>
        </w:tabs>
        <w:spacing w:line="360" w:lineRule="auto"/>
        <w:ind w:firstLine="480" w:firstLineChars="200"/>
        <w:rPr>
          <w:rFonts w:ascii="宋体" w:hAnsi="宋体" w:cs="宋体"/>
          <w:szCs w:val="24"/>
          <w:u w:val="single"/>
        </w:rPr>
      </w:pPr>
      <w:r>
        <w:rPr>
          <w:rFonts w:hint="eastAsia" w:ascii="宋体" w:hAnsi="宋体" w:cs="宋体"/>
          <w:szCs w:val="24"/>
        </w:rPr>
        <w:t>本授权委托书声明：我</w:t>
      </w:r>
      <w:r>
        <w:rPr>
          <w:rFonts w:hint="eastAsia" w:ascii="宋体" w:hAnsi="宋体" w:cs="宋体"/>
          <w:szCs w:val="24"/>
          <w:u w:val="single"/>
        </w:rPr>
        <w:t>（法定代表人姓名）</w:t>
      </w:r>
      <w:r>
        <w:rPr>
          <w:rFonts w:hint="eastAsia" w:ascii="宋体" w:hAnsi="宋体" w:cs="宋体"/>
          <w:szCs w:val="24"/>
        </w:rPr>
        <w:t>系注册于</w:t>
      </w:r>
      <w:r>
        <w:rPr>
          <w:rFonts w:hint="eastAsia" w:ascii="宋体" w:hAnsi="宋体" w:cs="宋体"/>
          <w:szCs w:val="24"/>
          <w:u w:val="single"/>
        </w:rPr>
        <w:t xml:space="preserve">  （响应供应商地址）   </w:t>
      </w:r>
      <w:r>
        <w:rPr>
          <w:rFonts w:hint="eastAsia" w:ascii="宋体" w:hAnsi="宋体" w:cs="宋体"/>
          <w:szCs w:val="24"/>
        </w:rPr>
        <w:t>的</w:t>
      </w:r>
      <w:r>
        <w:rPr>
          <w:rFonts w:hint="eastAsia" w:ascii="宋体" w:hAnsi="宋体" w:cs="宋体"/>
          <w:szCs w:val="24"/>
          <w:u w:val="single"/>
        </w:rPr>
        <w:t xml:space="preserve">（响应供应商名称）  </w:t>
      </w:r>
      <w:r>
        <w:rPr>
          <w:rFonts w:hint="eastAsia" w:ascii="宋体" w:hAnsi="宋体" w:cs="宋体"/>
          <w:szCs w:val="24"/>
        </w:rPr>
        <w:t>的法定代表人（或分支机构负责人），现代表我单位授权下面签字的</w:t>
      </w:r>
      <w:r>
        <w:rPr>
          <w:rFonts w:hint="eastAsia" w:ascii="宋体" w:hAnsi="宋体" w:cs="宋体"/>
          <w:szCs w:val="24"/>
          <w:u w:val="single"/>
        </w:rPr>
        <w:t>（被授权人的姓名、职务）</w:t>
      </w:r>
      <w:r>
        <w:rPr>
          <w:rFonts w:hint="eastAsia" w:ascii="宋体" w:hAnsi="宋体" w:cs="宋体"/>
          <w:szCs w:val="24"/>
        </w:rPr>
        <w:t>为我单位合法代理人，代表本单位参加</w:t>
      </w:r>
      <w:r>
        <w:rPr>
          <w:rFonts w:hint="eastAsia" w:ascii="宋体" w:hAnsi="宋体" w:cs="宋体"/>
          <w:szCs w:val="24"/>
          <w:u w:val="single"/>
        </w:rPr>
        <w:t xml:space="preserve">  （采购项目名称） (采购项目编号)</w:t>
      </w:r>
      <w:r>
        <w:rPr>
          <w:rFonts w:hint="eastAsia" w:ascii="宋体" w:hAnsi="宋体" w:cs="宋体"/>
          <w:szCs w:val="24"/>
        </w:rPr>
        <w:t>的响应活动。代理人在本次响应中所签署的一切文件和处理的一切有关事物，我公司均予承认。</w:t>
      </w:r>
    </w:p>
    <w:p>
      <w:pPr>
        <w:spacing w:line="360" w:lineRule="auto"/>
        <w:ind w:firstLine="480" w:firstLineChars="200"/>
        <w:rPr>
          <w:rFonts w:ascii="宋体" w:hAnsi="宋体" w:cs="宋体"/>
          <w:szCs w:val="24"/>
        </w:rPr>
      </w:pPr>
      <w:r>
        <w:rPr>
          <w:rFonts w:hint="eastAsia" w:ascii="宋体" w:hAnsi="宋体" w:cs="宋体"/>
          <w:szCs w:val="24"/>
        </w:rPr>
        <w:t xml:space="preserve"> </w:t>
      </w:r>
    </w:p>
    <w:p>
      <w:pPr>
        <w:spacing w:line="360" w:lineRule="auto"/>
        <w:ind w:firstLine="480" w:firstLineChars="200"/>
        <w:rPr>
          <w:rFonts w:ascii="宋体" w:hAnsi="宋体" w:cs="宋体"/>
          <w:szCs w:val="24"/>
        </w:rPr>
      </w:pPr>
      <w:r>
        <w:rPr>
          <w:rFonts w:hint="eastAsia" w:ascii="宋体" w:hAnsi="宋体" w:cs="宋体"/>
          <w:szCs w:val="24"/>
        </w:rPr>
        <w:t>本授权书有效期自开标之日起</w:t>
      </w:r>
      <w:r>
        <w:rPr>
          <w:rFonts w:hint="eastAsia" w:ascii="宋体" w:hAnsi="宋体" w:cs="宋体"/>
          <w:szCs w:val="24"/>
          <w:u w:val="single"/>
        </w:rPr>
        <w:t xml:space="preserve"> 60</w:t>
      </w:r>
      <w:r>
        <w:rPr>
          <w:rFonts w:hint="eastAsia" w:ascii="宋体" w:hAnsi="宋体" w:cs="宋体"/>
          <w:szCs w:val="24"/>
        </w:rPr>
        <w:t>天，特此声明。</w:t>
      </w:r>
    </w:p>
    <w:p>
      <w:pPr>
        <w:spacing w:line="360" w:lineRule="auto"/>
        <w:ind w:firstLine="480" w:firstLineChars="200"/>
        <w:rPr>
          <w:rFonts w:ascii="宋体" w:hAnsi="宋体" w:cs="宋体"/>
          <w:szCs w:val="24"/>
        </w:rPr>
      </w:pPr>
      <w:r>
        <w:rPr>
          <w:rFonts w:hint="eastAsia" w:ascii="宋体" w:hAnsi="宋体" w:cs="宋体"/>
          <w:szCs w:val="24"/>
        </w:rPr>
        <w:t xml:space="preserve">                              </w:t>
      </w:r>
    </w:p>
    <w:tbl>
      <w:tblPr>
        <w:tblStyle w:val="35"/>
        <w:tblpPr w:leftFromText="180" w:rightFromText="180" w:vertAnchor="text" w:horzAnchor="margin" w:tblpXSpec="center" w:tblpY="7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0"/>
        <w:gridCol w:w="4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3" w:hRule="atLeast"/>
          <w:jc w:val="center"/>
        </w:trPr>
        <w:tc>
          <w:tcPr>
            <w:tcW w:w="4320" w:type="dxa"/>
            <w:vAlign w:val="center"/>
          </w:tcPr>
          <w:p>
            <w:pPr>
              <w:spacing w:line="360" w:lineRule="auto"/>
              <w:ind w:firstLine="480" w:firstLineChars="200"/>
              <w:jc w:val="center"/>
              <w:rPr>
                <w:rFonts w:ascii="宋体" w:hAnsi="宋体" w:cs="宋体"/>
                <w:szCs w:val="24"/>
              </w:rPr>
            </w:pPr>
            <w:r>
              <w:rPr>
                <w:rFonts w:hint="eastAsia" w:ascii="宋体" w:hAnsi="宋体" w:cs="宋体"/>
                <w:szCs w:val="24"/>
              </w:rPr>
              <w:t>法定代表人身份证复印件</w:t>
            </w:r>
          </w:p>
          <w:p>
            <w:pPr>
              <w:spacing w:line="360" w:lineRule="auto"/>
              <w:ind w:firstLine="480" w:firstLineChars="200"/>
              <w:jc w:val="center"/>
              <w:rPr>
                <w:rFonts w:ascii="宋体" w:hAnsi="宋体" w:cs="宋体"/>
                <w:szCs w:val="24"/>
              </w:rPr>
            </w:pPr>
          </w:p>
          <w:p>
            <w:pPr>
              <w:spacing w:line="360" w:lineRule="auto"/>
              <w:ind w:firstLine="480" w:firstLineChars="200"/>
              <w:jc w:val="center"/>
              <w:rPr>
                <w:rFonts w:ascii="宋体" w:hAnsi="宋体" w:cs="宋体"/>
                <w:szCs w:val="24"/>
              </w:rPr>
            </w:pPr>
            <w:r>
              <w:rPr>
                <w:rFonts w:hint="eastAsia" w:ascii="宋体" w:hAnsi="宋体" w:cs="宋体"/>
                <w:szCs w:val="24"/>
              </w:rPr>
              <w:t>正面</w:t>
            </w:r>
          </w:p>
        </w:tc>
        <w:tc>
          <w:tcPr>
            <w:tcW w:w="4390" w:type="dxa"/>
            <w:vAlign w:val="center"/>
          </w:tcPr>
          <w:p>
            <w:pPr>
              <w:widowControl/>
              <w:spacing w:line="360" w:lineRule="auto"/>
              <w:ind w:firstLine="480" w:firstLineChars="200"/>
              <w:jc w:val="center"/>
              <w:rPr>
                <w:rFonts w:ascii="宋体" w:hAnsi="宋体" w:cs="宋体"/>
                <w:szCs w:val="24"/>
              </w:rPr>
            </w:pPr>
            <w:r>
              <w:rPr>
                <w:rFonts w:hint="eastAsia" w:ascii="宋体" w:hAnsi="宋体" w:cs="宋体"/>
                <w:szCs w:val="24"/>
              </w:rPr>
              <w:t>被授权人身份证复印件</w:t>
            </w:r>
          </w:p>
          <w:p>
            <w:pPr>
              <w:pStyle w:val="126"/>
              <w:rPr>
                <w:rFonts w:hAnsi="宋体"/>
              </w:rPr>
            </w:pPr>
          </w:p>
          <w:p>
            <w:pPr>
              <w:spacing w:line="360" w:lineRule="auto"/>
              <w:ind w:firstLine="480" w:firstLineChars="200"/>
              <w:jc w:val="center"/>
              <w:rPr>
                <w:rFonts w:ascii="宋体" w:hAnsi="宋体" w:cs="宋体"/>
                <w:szCs w:val="24"/>
              </w:rPr>
            </w:pPr>
            <w:r>
              <w:rPr>
                <w:rFonts w:hint="eastAsia" w:ascii="宋体" w:hAnsi="宋体" w:cs="宋体"/>
                <w:szCs w:val="24"/>
              </w:rPr>
              <w:t>正面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4" w:hRule="atLeast"/>
          <w:jc w:val="center"/>
        </w:trPr>
        <w:tc>
          <w:tcPr>
            <w:tcW w:w="4320" w:type="dxa"/>
            <w:vAlign w:val="center"/>
          </w:tcPr>
          <w:p>
            <w:pPr>
              <w:spacing w:line="360" w:lineRule="auto"/>
              <w:ind w:firstLine="480" w:firstLineChars="200"/>
              <w:jc w:val="center"/>
              <w:rPr>
                <w:rFonts w:ascii="宋体" w:hAnsi="宋体" w:cs="宋体"/>
                <w:szCs w:val="24"/>
              </w:rPr>
            </w:pPr>
          </w:p>
          <w:p>
            <w:pPr>
              <w:spacing w:line="360" w:lineRule="auto"/>
              <w:ind w:firstLine="480" w:firstLineChars="200"/>
              <w:jc w:val="center"/>
              <w:rPr>
                <w:rFonts w:ascii="宋体" w:hAnsi="宋体" w:cs="宋体"/>
                <w:szCs w:val="24"/>
              </w:rPr>
            </w:pPr>
            <w:r>
              <w:rPr>
                <w:rFonts w:hint="eastAsia" w:ascii="宋体" w:hAnsi="宋体" w:cs="宋体"/>
                <w:szCs w:val="24"/>
              </w:rPr>
              <w:t>反面</w:t>
            </w:r>
          </w:p>
        </w:tc>
        <w:tc>
          <w:tcPr>
            <w:tcW w:w="4390" w:type="dxa"/>
            <w:vAlign w:val="center"/>
          </w:tcPr>
          <w:p>
            <w:pPr>
              <w:spacing w:line="360" w:lineRule="auto"/>
              <w:ind w:firstLine="480" w:firstLineChars="200"/>
              <w:jc w:val="center"/>
              <w:rPr>
                <w:rFonts w:ascii="宋体" w:hAnsi="宋体" w:cs="宋体"/>
                <w:szCs w:val="24"/>
              </w:rPr>
            </w:pPr>
          </w:p>
          <w:p>
            <w:pPr>
              <w:spacing w:line="360" w:lineRule="auto"/>
              <w:ind w:firstLine="480" w:firstLineChars="200"/>
              <w:jc w:val="center"/>
              <w:rPr>
                <w:rFonts w:ascii="宋体" w:hAnsi="宋体" w:cs="宋体"/>
                <w:szCs w:val="24"/>
              </w:rPr>
            </w:pPr>
            <w:r>
              <w:rPr>
                <w:rFonts w:hint="eastAsia" w:ascii="宋体" w:hAnsi="宋体" w:cs="宋体"/>
                <w:szCs w:val="24"/>
              </w:rPr>
              <w:t>反面</w:t>
            </w:r>
          </w:p>
        </w:tc>
      </w:tr>
    </w:tbl>
    <w:p>
      <w:pPr>
        <w:spacing w:line="360" w:lineRule="auto"/>
        <w:ind w:firstLine="480" w:firstLineChars="200"/>
        <w:rPr>
          <w:rFonts w:ascii="宋体" w:hAnsi="宋体" w:cs="宋体"/>
          <w:szCs w:val="24"/>
        </w:rPr>
      </w:pPr>
      <w:r>
        <w:rPr>
          <w:rFonts w:hint="eastAsia" w:ascii="宋体" w:hAnsi="宋体" w:cs="宋体"/>
          <w:szCs w:val="24"/>
        </w:rPr>
        <w:t>注：此授权书的有效期应与响应文件有效期一致</w:t>
      </w:r>
    </w:p>
    <w:p>
      <w:pPr>
        <w:spacing w:line="360" w:lineRule="auto"/>
        <w:ind w:firstLine="480" w:firstLineChars="200"/>
        <w:rPr>
          <w:rFonts w:ascii="宋体" w:hAnsi="宋体" w:cs="宋体"/>
          <w:szCs w:val="24"/>
        </w:rPr>
      </w:pPr>
    </w:p>
    <w:p>
      <w:pPr>
        <w:spacing w:line="360" w:lineRule="auto"/>
        <w:ind w:firstLine="3840" w:firstLineChars="1600"/>
        <w:rPr>
          <w:rFonts w:ascii="宋体" w:hAnsi="宋体" w:cs="宋体"/>
          <w:szCs w:val="24"/>
        </w:rPr>
      </w:pPr>
      <w:r>
        <w:rPr>
          <w:rFonts w:hint="eastAsia" w:ascii="宋体" w:hAnsi="宋体" w:cs="宋体"/>
          <w:szCs w:val="24"/>
        </w:rPr>
        <w:t>响应供应商：</w:t>
      </w:r>
      <w:r>
        <w:rPr>
          <w:rFonts w:hint="eastAsia" w:ascii="宋体" w:hAnsi="宋体" w:cs="宋体"/>
          <w:szCs w:val="24"/>
          <w:u w:val="single"/>
        </w:rPr>
        <w:t xml:space="preserve">                        </w:t>
      </w:r>
      <w:r>
        <w:rPr>
          <w:rFonts w:hint="eastAsia" w:ascii="宋体" w:hAnsi="宋体" w:cs="宋体"/>
          <w:szCs w:val="24"/>
        </w:rPr>
        <w:t>（公章）</w:t>
      </w:r>
    </w:p>
    <w:p>
      <w:pPr>
        <w:spacing w:line="360" w:lineRule="auto"/>
        <w:ind w:firstLine="480" w:firstLineChars="200"/>
        <w:rPr>
          <w:rFonts w:ascii="宋体" w:hAnsi="宋体" w:cs="宋体"/>
          <w:szCs w:val="24"/>
        </w:rPr>
      </w:pPr>
      <w:r>
        <w:rPr>
          <w:rFonts w:hint="eastAsia" w:ascii="宋体" w:hAnsi="宋体" w:cs="宋体"/>
          <w:szCs w:val="24"/>
        </w:rPr>
        <w:t xml:space="preserve">                            法定代表人：</w:t>
      </w:r>
      <w:r>
        <w:rPr>
          <w:rFonts w:hint="eastAsia" w:ascii="宋体" w:hAnsi="宋体" w:cs="宋体"/>
          <w:szCs w:val="24"/>
          <w:u w:val="single"/>
        </w:rPr>
        <w:t xml:space="preserve">              </w:t>
      </w:r>
      <w:r>
        <w:rPr>
          <w:rFonts w:hint="eastAsia" w:ascii="宋体" w:hAnsi="宋体" w:cs="宋体"/>
          <w:szCs w:val="24"/>
        </w:rPr>
        <w:t>（签字/或盖章）</w:t>
      </w:r>
    </w:p>
    <w:p>
      <w:pPr>
        <w:spacing w:line="360" w:lineRule="auto"/>
        <w:ind w:firstLine="480" w:firstLineChars="200"/>
        <w:rPr>
          <w:rFonts w:ascii="宋体" w:hAnsi="宋体" w:cs="宋体"/>
          <w:szCs w:val="24"/>
        </w:rPr>
      </w:pPr>
      <w:r>
        <w:rPr>
          <w:rFonts w:hint="eastAsia" w:ascii="宋体" w:hAnsi="宋体" w:cs="宋体"/>
          <w:szCs w:val="24"/>
        </w:rPr>
        <w:t xml:space="preserve">                            被授权人：</w:t>
      </w:r>
      <w:r>
        <w:rPr>
          <w:rFonts w:hint="eastAsia" w:ascii="宋体" w:hAnsi="宋体" w:cs="宋体"/>
          <w:szCs w:val="24"/>
          <w:u w:val="single"/>
        </w:rPr>
        <w:t xml:space="preserve">                </w:t>
      </w:r>
      <w:r>
        <w:rPr>
          <w:rFonts w:hint="eastAsia" w:ascii="宋体" w:hAnsi="宋体" w:cs="宋体"/>
          <w:szCs w:val="24"/>
        </w:rPr>
        <w:t>（签字/或盖章）</w:t>
      </w:r>
    </w:p>
    <w:p>
      <w:pPr>
        <w:spacing w:line="480" w:lineRule="auto"/>
        <w:rPr>
          <w:rFonts w:ascii="宋体" w:hAnsi="宋体" w:cs="宋体"/>
          <w:b/>
          <w:szCs w:val="24"/>
          <w:u w:val="single"/>
        </w:rPr>
      </w:pPr>
      <w:r>
        <w:rPr>
          <w:rFonts w:hint="eastAsia" w:ascii="宋体" w:hAnsi="宋体" w:cs="宋体"/>
          <w:b/>
          <w:szCs w:val="24"/>
        </w:rPr>
        <w:t xml:space="preserve">                       </w:t>
      </w:r>
      <w:r>
        <w:rPr>
          <w:rFonts w:hint="eastAsia" w:ascii="宋体" w:hAnsi="宋体" w:cs="宋体"/>
          <w:bCs/>
          <w:szCs w:val="24"/>
        </w:rPr>
        <w:t xml:space="preserve">         日    期：</w:t>
      </w:r>
      <w:r>
        <w:rPr>
          <w:rFonts w:hint="eastAsia" w:ascii="宋体" w:hAnsi="宋体" w:cs="宋体"/>
          <w:bCs/>
          <w:szCs w:val="24"/>
          <w:u w:val="single"/>
        </w:rPr>
        <w:t xml:space="preserve">      </w:t>
      </w:r>
      <w:r>
        <w:rPr>
          <w:rFonts w:hint="eastAsia" w:ascii="宋体" w:hAnsi="宋体" w:cs="宋体"/>
          <w:b/>
          <w:szCs w:val="24"/>
          <w:u w:val="single"/>
        </w:rPr>
        <w:t xml:space="preserve">            </w:t>
      </w:r>
    </w:p>
    <w:p>
      <w:pPr>
        <w:pStyle w:val="126"/>
        <w:rPr>
          <w:rFonts w:hAnsi="宋体"/>
          <w:sz w:val="21"/>
          <w:szCs w:val="21"/>
        </w:rPr>
      </w:pPr>
    </w:p>
    <w:p>
      <w:pPr>
        <w:pStyle w:val="126"/>
        <w:rPr>
          <w:rFonts w:hAnsi="宋体"/>
          <w:sz w:val="21"/>
          <w:szCs w:val="21"/>
        </w:rPr>
      </w:pPr>
    </w:p>
    <w:p>
      <w:pPr>
        <w:tabs>
          <w:tab w:val="left" w:pos="5580"/>
        </w:tabs>
        <w:spacing w:before="120" w:line="360" w:lineRule="auto"/>
        <w:rPr>
          <w:rFonts w:ascii="宋体" w:hAnsi="宋体" w:cs="宋体"/>
          <w:b/>
        </w:rPr>
        <w:sectPr>
          <w:pgSz w:w="11906" w:h="16838"/>
          <w:pgMar w:top="1440" w:right="1080" w:bottom="1440" w:left="1080" w:header="851" w:footer="992" w:gutter="0"/>
          <w:cols w:space="720" w:num="1"/>
          <w:docGrid w:type="lines" w:linePitch="312" w:charSpace="0"/>
        </w:sectPr>
      </w:pPr>
    </w:p>
    <w:p>
      <w:pPr>
        <w:tabs>
          <w:tab w:val="left" w:pos="5580"/>
        </w:tabs>
        <w:spacing w:before="120" w:line="360" w:lineRule="auto"/>
        <w:jc w:val="center"/>
        <w:outlineLvl w:val="3"/>
        <w:rPr>
          <w:b/>
          <w:bCs/>
          <w:sz w:val="32"/>
          <w:szCs w:val="32"/>
          <w:lang w:val="zh-CN"/>
        </w:rPr>
      </w:pPr>
      <w:bookmarkStart w:id="390" w:name="_Toc2406"/>
      <w:r>
        <w:rPr>
          <w:rFonts w:hint="eastAsia"/>
          <w:b/>
          <w:bCs/>
          <w:sz w:val="32"/>
          <w:szCs w:val="32"/>
        </w:rPr>
        <w:t>资格</w:t>
      </w:r>
      <w:r>
        <w:rPr>
          <w:rFonts w:hint="eastAsia"/>
          <w:b/>
          <w:bCs/>
          <w:sz w:val="32"/>
          <w:szCs w:val="32"/>
          <w:lang w:val="zh-CN"/>
        </w:rPr>
        <w:t>证明文件</w:t>
      </w:r>
    </w:p>
    <w:p>
      <w:pPr>
        <w:autoSpaceDE w:val="0"/>
        <w:autoSpaceDN w:val="0"/>
        <w:spacing w:line="460" w:lineRule="exact"/>
        <w:jc w:val="left"/>
        <w:rPr>
          <w:rFonts w:ascii="宋体" w:hAnsi="宋体" w:cs="宋体"/>
          <w:szCs w:val="22"/>
          <w:lang w:val="zh-CN"/>
        </w:rPr>
      </w:pPr>
      <w:r>
        <w:rPr>
          <w:rFonts w:hint="eastAsia" w:ascii="宋体" w:hAnsi="宋体" w:cs="宋体"/>
          <w:szCs w:val="22"/>
          <w:lang w:val="zh-CN"/>
        </w:rPr>
        <w:t>（1）响应供应商需提供合法有效的统一社会信用代码营业执照（事业单位提供事业单位法人证书，自然人应提供身份证）。</w:t>
      </w:r>
    </w:p>
    <w:p>
      <w:pPr>
        <w:autoSpaceDE w:val="0"/>
        <w:autoSpaceDN w:val="0"/>
        <w:spacing w:line="460" w:lineRule="exact"/>
        <w:jc w:val="left"/>
        <w:rPr>
          <w:rFonts w:ascii="宋体" w:hAnsi="宋体" w:cs="宋体"/>
          <w:szCs w:val="22"/>
          <w:lang w:val="zh-CN"/>
        </w:rPr>
      </w:pPr>
      <w:r>
        <w:rPr>
          <w:rFonts w:hint="eastAsia" w:ascii="宋体" w:hAnsi="宋体" w:cs="宋体"/>
          <w:szCs w:val="22"/>
          <w:lang w:val="zh-CN"/>
        </w:rPr>
        <w:t>（2）法定代表人参加投标的，须提供本人身份证加盖公章的复印件；法定代表人授权他人参加投标的，须提供法定代表人授权委托书及被授权代表的身份证复印件。（非法人单位的负责人参照法定代表人提供相关资料）。</w:t>
      </w:r>
    </w:p>
    <w:p>
      <w:pPr>
        <w:autoSpaceDE w:val="0"/>
        <w:autoSpaceDN w:val="0"/>
        <w:spacing w:line="460" w:lineRule="exact"/>
        <w:jc w:val="left"/>
        <w:rPr>
          <w:rFonts w:ascii="宋体" w:hAnsi="宋体" w:cs="宋体"/>
          <w:szCs w:val="22"/>
          <w:lang w:val="zh-CN"/>
        </w:rPr>
      </w:pPr>
      <w:r>
        <w:rPr>
          <w:rFonts w:hint="eastAsia" w:ascii="宋体" w:hAnsi="宋体" w:cs="宋体"/>
          <w:szCs w:val="22"/>
          <w:lang w:val="zh-CN"/>
        </w:rPr>
        <w:t>（3）财务状况报告：提供2021年度经审计的财务会计报告；成立时间至提交响应文件截止时间不足一年的可提供成立后任意时段的资产负债表或响应截止时间前三个月内银行出具的资信证明文件或信用担保机构出具的投标担保函。</w:t>
      </w:r>
    </w:p>
    <w:p>
      <w:pPr>
        <w:autoSpaceDE w:val="0"/>
        <w:autoSpaceDN w:val="0"/>
        <w:spacing w:line="460" w:lineRule="exact"/>
        <w:jc w:val="left"/>
        <w:rPr>
          <w:rFonts w:ascii="宋体" w:hAnsi="宋体" w:cs="宋体"/>
          <w:szCs w:val="22"/>
          <w:lang w:val="zh-CN"/>
        </w:rPr>
      </w:pPr>
      <w:r>
        <w:rPr>
          <w:rFonts w:hint="eastAsia" w:ascii="宋体" w:hAnsi="宋体" w:cs="宋体"/>
          <w:szCs w:val="22"/>
          <w:lang w:val="zh-CN"/>
        </w:rPr>
        <w:t>（4）社会保障资金缴纳证明：提供供应商2021年1月1日以来至少一个月已缴纳的社会保障资金缴存单据或社保机构开具的社会保险参保缴费情况证明；依法不需要缴纳社会保障资金的供应商应提供加盖公章的相关证明文件。</w:t>
      </w:r>
    </w:p>
    <w:p>
      <w:pPr>
        <w:autoSpaceDE w:val="0"/>
        <w:autoSpaceDN w:val="0"/>
        <w:spacing w:line="460" w:lineRule="exact"/>
        <w:jc w:val="left"/>
        <w:rPr>
          <w:rFonts w:ascii="宋体" w:hAnsi="宋体" w:cs="宋体"/>
          <w:szCs w:val="22"/>
          <w:lang w:val="zh-CN"/>
        </w:rPr>
      </w:pPr>
      <w:r>
        <w:rPr>
          <w:rFonts w:hint="eastAsia" w:ascii="宋体" w:hAnsi="宋体" w:cs="宋体"/>
          <w:szCs w:val="22"/>
          <w:lang w:val="zh-CN"/>
        </w:rPr>
        <w:t>（5）税收缴纳证明：提供供应商2021年1月1日以来已缴纳的至少一个月的纳税证明或完税证明，依法免税的供应商应提供加盖公章的相关证明文件。</w:t>
      </w:r>
    </w:p>
    <w:p>
      <w:pPr>
        <w:autoSpaceDE w:val="0"/>
        <w:autoSpaceDN w:val="0"/>
        <w:spacing w:line="460" w:lineRule="exact"/>
        <w:jc w:val="left"/>
        <w:rPr>
          <w:rFonts w:ascii="宋体" w:hAnsi="宋体" w:cs="宋体"/>
          <w:szCs w:val="22"/>
          <w:lang w:val="zh-CN"/>
        </w:rPr>
      </w:pPr>
      <w:r>
        <w:rPr>
          <w:rFonts w:hint="eastAsia" w:ascii="宋体" w:hAnsi="宋体" w:cs="宋体"/>
          <w:szCs w:val="22"/>
          <w:lang w:val="zh-CN"/>
        </w:rPr>
        <w:t>（6）响应单位须具备乙级测绘及以上资质，拟派往项目负责人</w:t>
      </w:r>
      <w:r>
        <w:rPr>
          <w:rFonts w:hint="eastAsia" w:ascii="宋体" w:hAnsi="宋体" w:cs="宋体"/>
          <w:szCs w:val="22"/>
        </w:rPr>
        <w:t>须</w:t>
      </w:r>
      <w:r>
        <w:rPr>
          <w:rFonts w:hint="eastAsia" w:ascii="宋体" w:hAnsi="宋体" w:cs="宋体"/>
          <w:szCs w:val="22"/>
          <w:lang w:val="zh-CN"/>
        </w:rPr>
        <w:t>为注册测绘师；</w:t>
      </w:r>
    </w:p>
    <w:p>
      <w:pPr>
        <w:autoSpaceDE w:val="0"/>
        <w:autoSpaceDN w:val="0"/>
        <w:spacing w:line="460" w:lineRule="exact"/>
        <w:jc w:val="left"/>
        <w:rPr>
          <w:rFonts w:ascii="宋体" w:hAnsi="宋体" w:cs="宋体"/>
          <w:szCs w:val="22"/>
          <w:lang w:val="zh-CN"/>
        </w:rPr>
      </w:pPr>
      <w:r>
        <w:rPr>
          <w:rFonts w:hint="eastAsia" w:ascii="宋体" w:hAnsi="宋体" w:cs="宋体"/>
          <w:szCs w:val="22"/>
          <w:lang w:val="zh-CN"/>
        </w:rPr>
        <w:t>（7）具备履行合同所必需的设备和专业技术能力的证明材料(由供应商根据项目需求提供说明材料或者承诺)</w:t>
      </w:r>
    </w:p>
    <w:p>
      <w:pPr>
        <w:autoSpaceDE w:val="0"/>
        <w:autoSpaceDN w:val="0"/>
        <w:spacing w:line="460" w:lineRule="exact"/>
        <w:jc w:val="left"/>
        <w:rPr>
          <w:rFonts w:ascii="宋体" w:hAnsi="宋体" w:cs="宋体"/>
          <w:szCs w:val="22"/>
          <w:lang w:val="zh-CN"/>
        </w:rPr>
      </w:pPr>
      <w:r>
        <w:rPr>
          <w:rFonts w:hint="eastAsia" w:ascii="宋体" w:hAnsi="宋体" w:cs="宋体"/>
          <w:szCs w:val="22"/>
          <w:lang w:val="zh-CN"/>
        </w:rPr>
        <w:t>（8）书面信用声明：参加本次政府采购活动前3年内在经营活动中没有重大违纪、未被列入失信被执行人、重大税收违法案件当事人名单、政府采购严重违法失信行为记录名单的书面声明。开标评审将登陆“信用中国”网站（</w:t>
      </w:r>
      <w:r>
        <w:rPr>
          <w:rFonts w:hint="eastAsia" w:ascii="宋体" w:hAnsi="宋体" w:cs="宋体"/>
          <w:szCs w:val="22"/>
        </w:rPr>
        <w:drawing>
          <wp:inline distT="0" distB="0" distL="114300" distR="114300">
            <wp:extent cx="190500" cy="139700"/>
            <wp:effectExtent l="0" t="0" r="0" b="12700"/>
            <wp:docPr id="15" name="图片 15"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IMG_257"/>
                    <pic:cNvPicPr>
                      <a:picLocks noChangeAspect="1"/>
                    </pic:cNvPicPr>
                  </pic:nvPicPr>
                  <pic:blipFill>
                    <a:blip r:embed="rId10" cstate="print"/>
                    <a:stretch>
                      <a:fillRect/>
                    </a:stretch>
                  </pic:blipFill>
                  <pic:spPr>
                    <a:xfrm>
                      <a:off x="0" y="0"/>
                      <a:ext cx="190500" cy="139700"/>
                    </a:xfrm>
                    <a:prstGeom prst="rect">
                      <a:avLst/>
                    </a:prstGeom>
                    <a:noFill/>
                    <a:ln>
                      <a:noFill/>
                    </a:ln>
                  </pic:spPr>
                </pic:pic>
              </a:graphicData>
            </a:graphic>
          </wp:inline>
        </w:drawing>
      </w:r>
      <w:r>
        <w:rPr>
          <w:rFonts w:hint="eastAsia" w:ascii="宋体" w:hAnsi="宋体" w:cs="宋体"/>
          <w:szCs w:val="22"/>
          <w:lang w:val="zh-CN"/>
        </w:rPr>
        <w:t>www.creditchina.gov.cn）和“中国政府采购网”（</w:t>
      </w:r>
      <w:r>
        <w:rPr>
          <w:rFonts w:hint="eastAsia" w:ascii="宋体" w:hAnsi="宋体" w:cs="宋体"/>
          <w:szCs w:val="22"/>
        </w:rPr>
        <w:drawing>
          <wp:inline distT="0" distB="0" distL="114300" distR="114300">
            <wp:extent cx="190500" cy="139700"/>
            <wp:effectExtent l="0" t="0" r="0" b="12700"/>
            <wp:docPr id="16" name="图片 16"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IMG_257"/>
                    <pic:cNvPicPr>
                      <a:picLocks noChangeAspect="1"/>
                    </pic:cNvPicPr>
                  </pic:nvPicPr>
                  <pic:blipFill>
                    <a:blip r:embed="rId10" cstate="print"/>
                    <a:stretch>
                      <a:fillRect/>
                    </a:stretch>
                  </pic:blipFill>
                  <pic:spPr>
                    <a:xfrm>
                      <a:off x="0" y="0"/>
                      <a:ext cx="190500" cy="139700"/>
                    </a:xfrm>
                    <a:prstGeom prst="rect">
                      <a:avLst/>
                    </a:prstGeom>
                    <a:noFill/>
                    <a:ln>
                      <a:noFill/>
                    </a:ln>
                  </pic:spPr>
                </pic:pic>
              </a:graphicData>
            </a:graphic>
          </wp:inline>
        </w:drawing>
      </w:r>
      <w:r>
        <w:rPr>
          <w:rFonts w:hint="eastAsia" w:ascii="宋体" w:hAnsi="宋体" w:cs="宋体"/>
          <w:szCs w:val="22"/>
          <w:lang w:val="zh-CN"/>
        </w:rPr>
        <w:t>www.ccgp.gov.cn）进行审查。</w:t>
      </w:r>
    </w:p>
    <w:p>
      <w:pPr>
        <w:autoSpaceDE w:val="0"/>
        <w:autoSpaceDN w:val="0"/>
        <w:spacing w:line="460" w:lineRule="exact"/>
        <w:jc w:val="left"/>
        <w:rPr>
          <w:rFonts w:ascii="宋体" w:hAnsi="宋体" w:cs="宋体"/>
          <w:szCs w:val="22"/>
          <w:lang w:val="zh-CN"/>
        </w:rPr>
      </w:pPr>
      <w:r>
        <w:rPr>
          <w:rFonts w:hint="eastAsia" w:ascii="宋体" w:hAnsi="宋体" w:cs="宋体"/>
          <w:szCs w:val="22"/>
          <w:lang w:val="zh-CN"/>
        </w:rPr>
        <w:t>注：事业单位法人参与投标可不提供财务状况报告、社会保障资金缴纳证明及税收缴纳证明。</w:t>
      </w:r>
    </w:p>
    <w:p>
      <w:pPr>
        <w:autoSpaceDE w:val="0"/>
        <w:autoSpaceDN w:val="0"/>
        <w:spacing w:line="460" w:lineRule="exact"/>
        <w:jc w:val="left"/>
        <w:rPr>
          <w:rFonts w:ascii="宋体" w:hAnsi="宋体" w:cs="宋体"/>
          <w:szCs w:val="22"/>
          <w:lang w:val="zh-CN"/>
        </w:rPr>
      </w:pPr>
      <w:r>
        <w:rPr>
          <w:rFonts w:hint="eastAsia" w:ascii="宋体" w:hAnsi="宋体" w:cs="宋体"/>
          <w:szCs w:val="22"/>
          <w:lang w:val="zh-CN"/>
        </w:rPr>
        <w:t>（9）单位负责人为同一人或者存在控股、管理关系的不同单位不得同时参加同一项目投标；</w:t>
      </w:r>
    </w:p>
    <w:p>
      <w:pPr>
        <w:autoSpaceDE w:val="0"/>
        <w:autoSpaceDN w:val="0"/>
        <w:spacing w:line="460" w:lineRule="exact"/>
        <w:jc w:val="left"/>
        <w:rPr>
          <w:rFonts w:ascii="宋体" w:hAnsi="宋体" w:cs="宋体"/>
          <w:b/>
          <w:bCs/>
          <w:szCs w:val="22"/>
          <w:lang w:val="zh-CN"/>
        </w:rPr>
      </w:pPr>
      <w:r>
        <w:rPr>
          <w:rFonts w:hint="eastAsia" w:ascii="宋体" w:hAnsi="宋体" w:cs="宋体"/>
          <w:b/>
          <w:bCs/>
          <w:szCs w:val="22"/>
          <w:lang w:val="zh-CN"/>
        </w:rPr>
        <w:t>备注：</w:t>
      </w:r>
    </w:p>
    <w:p>
      <w:pPr>
        <w:autoSpaceDE w:val="0"/>
        <w:autoSpaceDN w:val="0"/>
        <w:spacing w:line="460" w:lineRule="exact"/>
        <w:ind w:firstLine="482"/>
        <w:jc w:val="left"/>
        <w:rPr>
          <w:rFonts w:ascii="宋体" w:hAnsi="宋体" w:cs="宋体"/>
          <w:b/>
          <w:bCs/>
          <w:szCs w:val="22"/>
        </w:rPr>
      </w:pPr>
      <w:r>
        <w:rPr>
          <w:rFonts w:hint="eastAsia" w:ascii="宋体" w:hAnsi="宋体" w:cs="宋体"/>
          <w:b/>
          <w:bCs/>
          <w:szCs w:val="22"/>
          <w:lang w:val="zh-CN"/>
        </w:rPr>
        <w:t>1、以上资格证明文件为必备资格，缺项或者符合性、有效性、合法性审核不合格的，自动丧失供应商资格。</w:t>
      </w:r>
    </w:p>
    <w:p>
      <w:pPr>
        <w:rPr>
          <w:b/>
          <w:bCs/>
          <w:sz w:val="32"/>
          <w:szCs w:val="32"/>
        </w:rPr>
      </w:pPr>
      <w:r>
        <w:rPr>
          <w:rFonts w:hint="eastAsia"/>
          <w:b/>
          <w:bCs/>
          <w:sz w:val="32"/>
          <w:szCs w:val="32"/>
        </w:rPr>
        <w:br w:type="page"/>
      </w:r>
    </w:p>
    <w:p>
      <w:pPr>
        <w:jc w:val="center"/>
        <w:outlineLvl w:val="0"/>
        <w:rPr>
          <w:b/>
          <w:bCs/>
          <w:sz w:val="32"/>
          <w:szCs w:val="32"/>
        </w:rPr>
      </w:pPr>
      <w:r>
        <w:rPr>
          <w:rFonts w:hint="eastAsia"/>
          <w:b/>
          <w:bCs/>
          <w:sz w:val="32"/>
          <w:szCs w:val="32"/>
        </w:rPr>
        <w:t>参加本次政府采购活动前三年内，在经营活动中</w:t>
      </w:r>
    </w:p>
    <w:p>
      <w:pPr>
        <w:jc w:val="center"/>
        <w:outlineLvl w:val="0"/>
        <w:rPr>
          <w:b/>
          <w:bCs/>
          <w:sz w:val="32"/>
          <w:szCs w:val="32"/>
        </w:rPr>
      </w:pPr>
      <w:r>
        <w:rPr>
          <w:rFonts w:hint="eastAsia"/>
          <w:b/>
          <w:bCs/>
          <w:sz w:val="32"/>
          <w:szCs w:val="32"/>
        </w:rPr>
        <w:t>没有重大违法记录的书面声明</w:t>
      </w:r>
      <w:bookmarkEnd w:id="390"/>
    </w:p>
    <w:p>
      <w:pPr>
        <w:spacing w:before="120" w:line="360" w:lineRule="auto"/>
        <w:jc w:val="center"/>
        <w:rPr>
          <w:rFonts w:ascii="宋体" w:hAnsi="宋体" w:cs="宋体"/>
          <w:b/>
        </w:rPr>
      </w:pPr>
    </w:p>
    <w:p>
      <w:pPr>
        <w:widowControl/>
        <w:spacing w:line="500" w:lineRule="exact"/>
        <w:rPr>
          <w:rFonts w:ascii="宋体" w:hAnsi="宋体" w:cs="宋体"/>
          <w:kern w:val="0"/>
          <w:szCs w:val="24"/>
        </w:rPr>
      </w:pPr>
      <w:r>
        <w:rPr>
          <w:rFonts w:hint="eastAsia" w:ascii="宋体" w:hAnsi="宋体" w:cs="宋体"/>
          <w:kern w:val="0"/>
          <w:szCs w:val="24"/>
          <w:u w:val="single"/>
        </w:rPr>
        <w:t>（采购代理机构）</w:t>
      </w:r>
      <w:r>
        <w:rPr>
          <w:rFonts w:hint="eastAsia" w:ascii="宋体" w:hAnsi="宋体" w:cs="宋体"/>
          <w:kern w:val="0"/>
          <w:szCs w:val="24"/>
        </w:rPr>
        <w:t>：</w:t>
      </w:r>
    </w:p>
    <w:p>
      <w:pPr>
        <w:widowControl/>
        <w:spacing w:line="500" w:lineRule="exact"/>
        <w:ind w:firstLine="480" w:firstLineChars="200"/>
        <w:rPr>
          <w:rFonts w:ascii="宋体" w:hAnsi="宋体" w:cs="宋体"/>
          <w:kern w:val="0"/>
          <w:szCs w:val="24"/>
        </w:rPr>
      </w:pPr>
      <w:r>
        <w:rPr>
          <w:rFonts w:hint="eastAsia" w:ascii="宋体" w:hAnsi="宋体" w:cs="宋体"/>
          <w:kern w:val="0"/>
          <w:szCs w:val="24"/>
        </w:rPr>
        <w:t>我方作为</w:t>
      </w:r>
      <w:r>
        <w:rPr>
          <w:rFonts w:hint="eastAsia" w:ascii="宋体" w:hAnsi="宋体" w:cs="宋体"/>
          <w:kern w:val="0"/>
          <w:szCs w:val="24"/>
          <w:u w:val="single"/>
        </w:rPr>
        <w:t>项目名称</w:t>
      </w:r>
      <w:r>
        <w:rPr>
          <w:rFonts w:hint="eastAsia" w:ascii="宋体" w:hAnsi="宋体" w:cs="宋体"/>
          <w:kern w:val="0"/>
          <w:szCs w:val="24"/>
        </w:rPr>
        <w:t>（项目编号：____）的响应供应商，在此郑重声明：</w:t>
      </w:r>
    </w:p>
    <w:p>
      <w:pPr>
        <w:widowControl/>
        <w:spacing w:line="500" w:lineRule="exact"/>
        <w:ind w:firstLine="480" w:firstLineChars="200"/>
        <w:rPr>
          <w:rFonts w:ascii="宋体" w:hAnsi="宋体" w:cs="宋体"/>
          <w:kern w:val="0"/>
          <w:szCs w:val="24"/>
        </w:rPr>
      </w:pPr>
      <w:r>
        <w:rPr>
          <w:rFonts w:hint="eastAsia" w:ascii="宋体" w:hAnsi="宋体" w:cs="宋体"/>
          <w:kern w:val="0"/>
          <w:szCs w:val="24"/>
        </w:rPr>
        <w:t>1、在参加本次政府采购活动前3年内的经营活动中____（填“没有”或“有”）重大违法记录。响应供应商</w:t>
      </w:r>
      <w:r>
        <w:rPr>
          <w:rFonts w:hint="eastAsia" w:ascii="宋体" w:hAnsi="宋体" w:cs="宋体"/>
          <w:b/>
          <w:bCs/>
          <w:kern w:val="0"/>
          <w:szCs w:val="24"/>
        </w:rPr>
        <w:t>在参加政府采购活动前3年内因违法经营被禁止在一定期限内参加政府采购活动，期限届满的，可以参加政府采购活动，但应提供期限届满的证明材料。</w:t>
      </w:r>
    </w:p>
    <w:p>
      <w:pPr>
        <w:widowControl/>
        <w:spacing w:line="500" w:lineRule="exact"/>
        <w:ind w:firstLine="480" w:firstLineChars="200"/>
        <w:rPr>
          <w:rFonts w:ascii="宋体" w:hAnsi="宋体" w:cs="宋体"/>
          <w:kern w:val="0"/>
          <w:szCs w:val="24"/>
        </w:rPr>
      </w:pPr>
      <w:r>
        <w:rPr>
          <w:rFonts w:hint="eastAsia" w:ascii="宋体" w:hAnsi="宋体" w:cs="宋体"/>
          <w:kern w:val="0"/>
          <w:szCs w:val="24"/>
        </w:rPr>
        <w:t>2、我方______（填“未被列入”或“被列入”）失信被执行人名单。</w:t>
      </w:r>
    </w:p>
    <w:p>
      <w:pPr>
        <w:widowControl/>
        <w:spacing w:line="500" w:lineRule="exact"/>
        <w:ind w:firstLine="480" w:firstLineChars="200"/>
        <w:rPr>
          <w:rFonts w:ascii="宋体" w:hAnsi="宋体" w:cs="宋体"/>
          <w:kern w:val="0"/>
          <w:szCs w:val="24"/>
        </w:rPr>
      </w:pPr>
      <w:r>
        <w:rPr>
          <w:rFonts w:hint="eastAsia" w:ascii="宋体" w:hAnsi="宋体" w:cs="宋体"/>
          <w:kern w:val="0"/>
          <w:szCs w:val="24"/>
        </w:rPr>
        <w:t>3、我方______（填“未被列入”或“被列入”）重大税收违法案件当事人名单。</w:t>
      </w:r>
    </w:p>
    <w:p>
      <w:pPr>
        <w:widowControl/>
        <w:spacing w:line="500" w:lineRule="exact"/>
        <w:ind w:firstLine="480" w:firstLineChars="200"/>
        <w:rPr>
          <w:rFonts w:ascii="宋体" w:hAnsi="宋体" w:cs="宋体"/>
          <w:kern w:val="0"/>
          <w:szCs w:val="24"/>
        </w:rPr>
      </w:pPr>
      <w:r>
        <w:rPr>
          <w:rFonts w:hint="eastAsia" w:ascii="宋体" w:hAnsi="宋体" w:cs="宋体"/>
          <w:kern w:val="0"/>
          <w:szCs w:val="24"/>
        </w:rPr>
        <w:t>4、我方______（填“未被列入”或“被列入”）政府采购严重违法失信行为记录名单。</w:t>
      </w:r>
    </w:p>
    <w:p>
      <w:pPr>
        <w:widowControl/>
        <w:spacing w:line="500" w:lineRule="exact"/>
        <w:ind w:firstLine="480" w:firstLineChars="200"/>
        <w:rPr>
          <w:rFonts w:ascii="宋体" w:hAnsi="宋体" w:cs="宋体"/>
          <w:kern w:val="0"/>
          <w:szCs w:val="24"/>
        </w:rPr>
      </w:pPr>
      <w:r>
        <w:rPr>
          <w:rFonts w:hint="eastAsia" w:ascii="宋体" w:hAnsi="宋体" w:cs="宋体"/>
          <w:kern w:val="0"/>
          <w:szCs w:val="24"/>
        </w:rPr>
        <w:t>如有不实，我方将无条件地退出本项目的采购活动，并遵照《政府采购法》有关“提供虚假材料的规定”接受处罚。</w:t>
      </w:r>
    </w:p>
    <w:p>
      <w:pPr>
        <w:widowControl/>
        <w:spacing w:line="500" w:lineRule="exact"/>
        <w:ind w:firstLine="480" w:firstLineChars="200"/>
        <w:rPr>
          <w:rFonts w:ascii="宋体" w:hAnsi="宋体" w:cs="宋体"/>
          <w:kern w:val="0"/>
          <w:szCs w:val="24"/>
        </w:rPr>
      </w:pPr>
      <w:r>
        <w:rPr>
          <w:rFonts w:hint="eastAsia" w:ascii="宋体" w:hAnsi="宋体" w:cs="宋体"/>
          <w:kern w:val="0"/>
          <w:szCs w:val="24"/>
        </w:rPr>
        <w:t>特此声明。</w:t>
      </w:r>
    </w:p>
    <w:p>
      <w:pPr>
        <w:widowControl/>
        <w:spacing w:line="500" w:lineRule="exact"/>
        <w:ind w:firstLine="480" w:firstLineChars="200"/>
        <w:rPr>
          <w:rFonts w:ascii="宋体" w:hAnsi="宋体" w:cs="宋体"/>
          <w:kern w:val="0"/>
          <w:szCs w:val="24"/>
        </w:rPr>
      </w:pPr>
    </w:p>
    <w:p>
      <w:pPr>
        <w:widowControl/>
        <w:spacing w:line="500" w:lineRule="exact"/>
        <w:ind w:firstLine="480" w:firstLineChars="200"/>
        <w:rPr>
          <w:rFonts w:ascii="宋体" w:hAnsi="宋体" w:cs="宋体"/>
          <w:kern w:val="0"/>
          <w:szCs w:val="24"/>
        </w:rPr>
      </w:pPr>
    </w:p>
    <w:p>
      <w:pPr>
        <w:widowControl/>
        <w:spacing w:line="500" w:lineRule="exact"/>
        <w:ind w:firstLine="480" w:firstLineChars="200"/>
        <w:rPr>
          <w:rFonts w:ascii="宋体" w:hAnsi="宋体" w:cs="宋体"/>
          <w:kern w:val="0"/>
          <w:szCs w:val="24"/>
        </w:rPr>
      </w:pPr>
    </w:p>
    <w:p>
      <w:pPr>
        <w:spacing w:line="480" w:lineRule="auto"/>
        <w:ind w:right="-161" w:firstLine="2520" w:firstLineChars="1050"/>
        <w:rPr>
          <w:rFonts w:ascii="宋体" w:hAnsi="宋体" w:cs="宋体"/>
          <w:szCs w:val="24"/>
        </w:rPr>
      </w:pPr>
    </w:p>
    <w:p>
      <w:pPr>
        <w:ind w:firstLine="3360" w:firstLineChars="1400"/>
        <w:rPr>
          <w:rFonts w:ascii="宋体" w:hAnsi="宋体" w:cs="宋体"/>
          <w:szCs w:val="24"/>
          <w:u w:val="single"/>
        </w:rPr>
      </w:pPr>
      <w:r>
        <w:rPr>
          <w:rFonts w:hint="eastAsia" w:ascii="宋体" w:hAnsi="宋体" w:cs="宋体"/>
          <w:szCs w:val="24"/>
        </w:rPr>
        <w:t xml:space="preserve">响应供应商： </w:t>
      </w:r>
      <w:r>
        <w:rPr>
          <w:rFonts w:hint="eastAsia" w:ascii="宋体" w:hAnsi="宋体" w:cs="宋体"/>
          <w:szCs w:val="24"/>
          <w:u w:val="single"/>
        </w:rPr>
        <w:t xml:space="preserve">          （盖章）             </w:t>
      </w:r>
    </w:p>
    <w:p>
      <w:pPr>
        <w:ind w:right="360"/>
        <w:jc w:val="right"/>
        <w:rPr>
          <w:rFonts w:ascii="宋体" w:hAnsi="宋体" w:cs="宋体"/>
          <w:szCs w:val="24"/>
        </w:rPr>
      </w:pPr>
    </w:p>
    <w:p>
      <w:pPr>
        <w:ind w:right="240"/>
        <w:jc w:val="center"/>
        <w:rPr>
          <w:rFonts w:ascii="宋体" w:hAnsi="宋体" w:cs="宋体"/>
          <w:szCs w:val="24"/>
          <w:u w:val="single"/>
        </w:rPr>
      </w:pPr>
      <w:r>
        <w:rPr>
          <w:rFonts w:hint="eastAsia" w:ascii="宋体" w:hAnsi="宋体" w:cs="宋体"/>
          <w:szCs w:val="24"/>
        </w:rPr>
        <w:t xml:space="preserve">                法定代表人或其授权代理人： </w:t>
      </w:r>
      <w:r>
        <w:rPr>
          <w:rFonts w:hint="eastAsia" w:ascii="宋体" w:hAnsi="宋体" w:cs="宋体"/>
          <w:szCs w:val="24"/>
          <w:u w:val="single"/>
        </w:rPr>
        <w:t>（签字或签章）</w:t>
      </w:r>
    </w:p>
    <w:p>
      <w:pPr>
        <w:wordWrap w:val="0"/>
        <w:ind w:right="360" w:firstLine="2640" w:firstLineChars="1100"/>
        <w:rPr>
          <w:rFonts w:ascii="宋体" w:hAnsi="宋体" w:cs="宋体"/>
          <w:szCs w:val="24"/>
        </w:rPr>
      </w:pPr>
    </w:p>
    <w:p>
      <w:pPr>
        <w:wordWrap w:val="0"/>
        <w:ind w:right="360" w:firstLine="2640" w:firstLineChars="1100"/>
        <w:rPr>
          <w:rFonts w:ascii="宋体" w:hAnsi="宋体" w:cs="宋体"/>
          <w:szCs w:val="24"/>
          <w:u w:val="single"/>
        </w:rPr>
      </w:pPr>
      <w:r>
        <w:rPr>
          <w:rFonts w:hint="eastAsia" w:ascii="宋体" w:hAnsi="宋体" w:cs="宋体"/>
          <w:szCs w:val="24"/>
        </w:rPr>
        <w:t xml:space="preserve">      日   期：</w:t>
      </w:r>
      <w:r>
        <w:rPr>
          <w:rFonts w:hint="eastAsia" w:ascii="宋体" w:hAnsi="宋体" w:cs="宋体"/>
          <w:szCs w:val="24"/>
          <w:u w:val="single"/>
        </w:rPr>
        <w:t xml:space="preserve">                                </w:t>
      </w:r>
    </w:p>
    <w:p>
      <w:pPr>
        <w:pStyle w:val="14"/>
        <w:rPr>
          <w:rFonts w:ascii="宋体" w:hAnsi="宋体" w:cs="宋体"/>
          <w:szCs w:val="24"/>
        </w:rPr>
      </w:pPr>
    </w:p>
    <w:p>
      <w:pPr>
        <w:spacing w:before="312" w:beforeLines="100" w:after="156" w:afterLines="50" w:line="360" w:lineRule="auto"/>
        <w:ind w:firstLine="170"/>
        <w:rPr>
          <w:rFonts w:ascii="宋体" w:hAnsi="宋体" w:cs="宋体"/>
          <w:b/>
        </w:rPr>
        <w:sectPr>
          <w:footerReference r:id="rId7" w:type="default"/>
          <w:pgSz w:w="11906" w:h="16838"/>
          <w:pgMar w:top="1440" w:right="1080" w:bottom="1440" w:left="1080" w:header="851" w:footer="992" w:gutter="0"/>
          <w:cols w:space="720" w:num="1"/>
          <w:docGrid w:type="lines" w:linePitch="312" w:charSpace="0"/>
        </w:sectPr>
      </w:pPr>
      <w:r>
        <w:rPr>
          <w:rFonts w:hint="eastAsia" w:ascii="宋体" w:hAnsi="宋体" w:cs="宋体"/>
          <w:b/>
          <w:szCs w:val="24"/>
        </w:rPr>
        <w:br w:type="page"/>
      </w:r>
    </w:p>
    <w:p>
      <w:pPr>
        <w:ind w:firstLine="321" w:firstLineChars="100"/>
        <w:jc w:val="center"/>
        <w:outlineLvl w:val="0"/>
        <w:rPr>
          <w:b/>
          <w:bCs/>
          <w:sz w:val="32"/>
          <w:szCs w:val="32"/>
        </w:rPr>
      </w:pPr>
      <w:bookmarkStart w:id="391" w:name="_Toc5185"/>
      <w:r>
        <w:rPr>
          <w:rFonts w:hint="eastAsia"/>
          <w:b/>
          <w:bCs/>
          <w:sz w:val="32"/>
          <w:szCs w:val="32"/>
        </w:rPr>
        <w:t>响应供应商具有履行本合同所必需的专业技术能力的说明及承诺（参考格式）</w:t>
      </w:r>
      <w:bookmarkEnd w:id="391"/>
    </w:p>
    <w:p>
      <w:pPr>
        <w:spacing w:line="360" w:lineRule="auto"/>
        <w:rPr>
          <w:rFonts w:ascii="宋体" w:hAnsi="宋体" w:cs="宋体"/>
          <w:spacing w:val="4"/>
          <w:u w:val="single"/>
        </w:rPr>
      </w:pPr>
    </w:p>
    <w:p>
      <w:pPr>
        <w:spacing w:line="360" w:lineRule="auto"/>
        <w:rPr>
          <w:rFonts w:ascii="宋体" w:hAnsi="宋体" w:cs="宋体"/>
          <w:spacing w:val="4"/>
          <w:szCs w:val="24"/>
          <w:u w:val="single"/>
        </w:rPr>
      </w:pPr>
      <w:r>
        <w:rPr>
          <w:rFonts w:hint="eastAsia" w:ascii="宋体" w:hAnsi="宋体" w:cs="宋体"/>
          <w:spacing w:val="4"/>
          <w:szCs w:val="24"/>
        </w:rPr>
        <w:t>致：</w:t>
      </w:r>
      <w:r>
        <w:rPr>
          <w:rFonts w:hint="eastAsia" w:ascii="宋体" w:hAnsi="宋体" w:cs="宋体"/>
          <w:spacing w:val="4"/>
          <w:szCs w:val="24"/>
          <w:u w:val="single"/>
        </w:rPr>
        <w:t xml:space="preserve">     （采购人名称）   </w:t>
      </w:r>
      <w:r>
        <w:rPr>
          <w:rFonts w:hint="eastAsia" w:ascii="宋体" w:hAnsi="宋体" w:cs="宋体"/>
          <w:spacing w:val="4"/>
          <w:szCs w:val="24"/>
        </w:rPr>
        <w:t>：</w:t>
      </w:r>
    </w:p>
    <w:p>
      <w:pPr>
        <w:spacing w:before="312" w:beforeLines="100" w:after="156" w:afterLines="50" w:line="360" w:lineRule="auto"/>
        <w:ind w:firstLine="496" w:firstLineChars="200"/>
        <w:rPr>
          <w:rFonts w:ascii="宋体" w:hAnsi="宋体" w:cs="宋体"/>
          <w:spacing w:val="4"/>
          <w:szCs w:val="24"/>
        </w:rPr>
      </w:pPr>
      <w:r>
        <w:rPr>
          <w:rFonts w:hint="eastAsia" w:ascii="宋体" w:hAnsi="宋体" w:cs="宋体"/>
          <w:spacing w:val="4"/>
          <w:szCs w:val="24"/>
        </w:rPr>
        <w:t>（公司）于年月日在中华人民共和国境内（详细注册地址）合法注册并经营，公司主营业务为（），营业（生产经营）面积为（）。现有员工数量为（），其中与履行本合同相关的专业技术人员有（专业能力、数量），本公司郑重承诺，具有履行本合同所必需的设备和专业技术能力。</w:t>
      </w:r>
    </w:p>
    <w:p>
      <w:pPr>
        <w:spacing w:before="312" w:beforeLines="100" w:after="156" w:afterLines="50" w:line="360" w:lineRule="auto"/>
        <w:ind w:firstLine="170"/>
        <w:rPr>
          <w:rFonts w:ascii="宋体" w:hAnsi="宋体" w:cs="宋体"/>
          <w:spacing w:val="4"/>
          <w:szCs w:val="24"/>
        </w:rPr>
      </w:pPr>
    </w:p>
    <w:p>
      <w:pPr>
        <w:pStyle w:val="14"/>
        <w:rPr>
          <w:rFonts w:ascii="宋体" w:hAnsi="宋体" w:cs="宋体"/>
          <w:szCs w:val="24"/>
        </w:rPr>
      </w:pPr>
    </w:p>
    <w:p>
      <w:pPr>
        <w:rPr>
          <w:rFonts w:ascii="宋体" w:hAnsi="宋体" w:cs="宋体"/>
          <w:szCs w:val="24"/>
        </w:rPr>
      </w:pPr>
    </w:p>
    <w:p>
      <w:pPr>
        <w:ind w:firstLine="3360" w:firstLineChars="1400"/>
        <w:rPr>
          <w:rFonts w:ascii="宋体" w:hAnsi="宋体" w:cs="宋体"/>
          <w:szCs w:val="24"/>
          <w:u w:val="single"/>
        </w:rPr>
      </w:pPr>
      <w:r>
        <w:rPr>
          <w:rFonts w:hint="eastAsia" w:ascii="宋体" w:hAnsi="宋体" w:cs="宋体"/>
          <w:szCs w:val="24"/>
        </w:rPr>
        <w:t xml:space="preserve">响应供应商： </w:t>
      </w:r>
      <w:r>
        <w:rPr>
          <w:rFonts w:hint="eastAsia" w:ascii="宋体" w:hAnsi="宋体" w:cs="宋体"/>
          <w:szCs w:val="24"/>
          <w:u w:val="single"/>
        </w:rPr>
        <w:t xml:space="preserve">          （盖章）             </w:t>
      </w:r>
    </w:p>
    <w:p>
      <w:pPr>
        <w:ind w:right="360"/>
        <w:jc w:val="right"/>
        <w:rPr>
          <w:rFonts w:ascii="宋体" w:hAnsi="宋体" w:cs="宋体"/>
          <w:szCs w:val="24"/>
        </w:rPr>
      </w:pPr>
    </w:p>
    <w:p>
      <w:pPr>
        <w:ind w:right="240"/>
        <w:jc w:val="center"/>
        <w:rPr>
          <w:rFonts w:ascii="宋体" w:hAnsi="宋体" w:cs="宋体"/>
          <w:szCs w:val="24"/>
          <w:u w:val="single"/>
        </w:rPr>
      </w:pPr>
      <w:r>
        <w:rPr>
          <w:rFonts w:hint="eastAsia" w:ascii="宋体" w:hAnsi="宋体" w:cs="宋体"/>
          <w:szCs w:val="24"/>
        </w:rPr>
        <w:t xml:space="preserve">                 法定代表人或其授权代理人： </w:t>
      </w:r>
      <w:r>
        <w:rPr>
          <w:rFonts w:hint="eastAsia" w:ascii="宋体" w:hAnsi="宋体" w:cs="宋体"/>
          <w:szCs w:val="24"/>
          <w:u w:val="single"/>
        </w:rPr>
        <w:t>（签字或签章）</w:t>
      </w:r>
    </w:p>
    <w:p>
      <w:pPr>
        <w:wordWrap w:val="0"/>
        <w:ind w:right="360" w:firstLine="2640" w:firstLineChars="1100"/>
        <w:rPr>
          <w:rFonts w:ascii="宋体" w:hAnsi="宋体" w:cs="宋体"/>
          <w:szCs w:val="24"/>
        </w:rPr>
      </w:pPr>
      <w:r>
        <w:rPr>
          <w:rFonts w:hint="eastAsia" w:ascii="宋体" w:hAnsi="宋体" w:cs="宋体"/>
          <w:szCs w:val="24"/>
        </w:rPr>
        <w:t xml:space="preserve"> </w:t>
      </w:r>
    </w:p>
    <w:p>
      <w:pPr>
        <w:wordWrap w:val="0"/>
        <w:ind w:right="360" w:firstLine="3120" w:firstLineChars="1300"/>
        <w:rPr>
          <w:rFonts w:ascii="宋体" w:hAnsi="宋体" w:cs="宋体"/>
          <w:szCs w:val="24"/>
          <w:u w:val="single"/>
        </w:rPr>
      </w:pPr>
      <w:r>
        <w:rPr>
          <w:rFonts w:hint="eastAsia" w:ascii="宋体" w:hAnsi="宋体" w:cs="宋体"/>
          <w:szCs w:val="24"/>
        </w:rPr>
        <w:t xml:space="preserve">  日   期：</w:t>
      </w:r>
      <w:r>
        <w:rPr>
          <w:rFonts w:hint="eastAsia" w:ascii="宋体" w:hAnsi="宋体" w:cs="宋体"/>
          <w:szCs w:val="24"/>
          <w:u w:val="single"/>
        </w:rPr>
        <w:t xml:space="preserve">                                         </w:t>
      </w:r>
    </w:p>
    <w:p>
      <w:pPr>
        <w:pStyle w:val="14"/>
        <w:rPr>
          <w:rFonts w:ascii="宋体" w:hAnsi="宋体" w:cs="宋体"/>
          <w:szCs w:val="24"/>
        </w:rPr>
      </w:pPr>
    </w:p>
    <w:p>
      <w:pPr>
        <w:rPr>
          <w:rFonts w:ascii="宋体" w:hAnsi="宋体" w:cs="宋体"/>
          <w:szCs w:val="24"/>
        </w:rPr>
      </w:pPr>
    </w:p>
    <w:p>
      <w:pPr>
        <w:rPr>
          <w:rFonts w:ascii="宋体" w:hAnsi="宋体" w:cs="宋体"/>
        </w:rPr>
      </w:pPr>
    </w:p>
    <w:p>
      <w:pPr>
        <w:rPr>
          <w:rFonts w:ascii="宋体" w:hAnsi="宋体" w:cs="宋体"/>
        </w:rPr>
      </w:pPr>
    </w:p>
    <w:p>
      <w:pPr>
        <w:rPr>
          <w:rFonts w:ascii="宋体" w:hAnsi="宋体" w:cs="宋体"/>
        </w:rPr>
      </w:pPr>
    </w:p>
    <w:p>
      <w:pPr>
        <w:pStyle w:val="14"/>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pStyle w:val="14"/>
        <w:rPr>
          <w:rFonts w:ascii="宋体" w:hAnsi="宋体" w:cs="宋体"/>
        </w:rPr>
      </w:pPr>
    </w:p>
    <w:p>
      <w:pPr>
        <w:pStyle w:val="14"/>
        <w:rPr>
          <w:rFonts w:ascii="宋体" w:hAnsi="宋体" w:cs="宋体"/>
        </w:rPr>
      </w:pPr>
    </w:p>
    <w:p>
      <w:pPr>
        <w:pStyle w:val="14"/>
        <w:rPr>
          <w:rFonts w:ascii="宋体" w:hAnsi="宋体" w:cs="宋体"/>
        </w:rPr>
      </w:pPr>
    </w:p>
    <w:p>
      <w:pPr>
        <w:pStyle w:val="14"/>
        <w:rPr>
          <w:rFonts w:ascii="宋体" w:hAnsi="宋体" w:cs="宋体"/>
        </w:rPr>
      </w:pPr>
    </w:p>
    <w:p>
      <w:pPr>
        <w:pStyle w:val="14"/>
        <w:rPr>
          <w:rFonts w:ascii="宋体" w:hAnsi="宋体" w:cs="宋体"/>
        </w:rPr>
      </w:pPr>
    </w:p>
    <w:p>
      <w:pPr>
        <w:pStyle w:val="4"/>
        <w:tabs>
          <w:tab w:val="left" w:pos="576"/>
        </w:tabs>
        <w:adjustRightInd w:val="0"/>
        <w:spacing w:before="0" w:after="0" w:line="360" w:lineRule="auto"/>
        <w:ind w:firstLine="422" w:firstLineChars="200"/>
        <w:textAlignment w:val="baseline"/>
        <w:rPr>
          <w:rFonts w:ascii="宋体" w:hAnsi="宋体" w:cs="宋体"/>
          <w:iCs/>
          <w:sz w:val="21"/>
          <w:szCs w:val="21"/>
        </w:rPr>
        <w:sectPr>
          <w:pgSz w:w="11906" w:h="16838"/>
          <w:pgMar w:top="1440" w:right="1080" w:bottom="1440" w:left="1080" w:header="851" w:footer="992" w:gutter="0"/>
          <w:cols w:space="720" w:num="1"/>
          <w:docGrid w:type="lines" w:linePitch="312" w:charSpace="0"/>
        </w:sectPr>
      </w:pPr>
    </w:p>
    <w:p>
      <w:pPr>
        <w:ind w:firstLine="321" w:firstLineChars="100"/>
        <w:jc w:val="center"/>
        <w:outlineLvl w:val="0"/>
        <w:rPr>
          <w:b/>
          <w:bCs/>
          <w:sz w:val="32"/>
          <w:szCs w:val="32"/>
        </w:rPr>
      </w:pPr>
      <w:r>
        <w:rPr>
          <w:rFonts w:hint="eastAsia"/>
          <w:b/>
          <w:bCs/>
          <w:sz w:val="32"/>
          <w:szCs w:val="32"/>
        </w:rPr>
        <w:t xml:space="preserve">响应供应商企业关系关联承诺书 </w:t>
      </w:r>
    </w:p>
    <w:p>
      <w:pPr>
        <w:spacing w:before="312" w:beforeLines="100" w:after="156" w:afterLines="50" w:line="360" w:lineRule="auto"/>
        <w:ind w:firstLine="496" w:firstLineChars="200"/>
        <w:rPr>
          <w:rFonts w:ascii="宋体" w:hAnsi="宋体" w:cs="宋体"/>
          <w:spacing w:val="4"/>
          <w:szCs w:val="24"/>
        </w:rPr>
      </w:pPr>
      <w:r>
        <w:rPr>
          <w:rFonts w:hint="eastAsia" w:ascii="宋体" w:hAnsi="宋体" w:cs="宋体"/>
          <w:spacing w:val="4"/>
          <w:szCs w:val="24"/>
        </w:rPr>
        <w:t xml:space="preserve">1、响应供应商股东及股权证明。 </w:t>
      </w:r>
    </w:p>
    <w:p>
      <w:pPr>
        <w:spacing w:before="312" w:beforeLines="100" w:after="156" w:afterLines="50" w:line="360" w:lineRule="auto"/>
        <w:ind w:firstLine="496" w:firstLineChars="200"/>
        <w:rPr>
          <w:rFonts w:ascii="宋体" w:hAnsi="宋体" w:cs="宋体"/>
          <w:spacing w:val="4"/>
          <w:szCs w:val="24"/>
        </w:rPr>
      </w:pPr>
      <w:r>
        <w:rPr>
          <w:rFonts w:hint="eastAsia" w:ascii="宋体" w:hAnsi="宋体" w:cs="宋体"/>
          <w:spacing w:val="4"/>
          <w:szCs w:val="24"/>
        </w:rPr>
        <w:t xml:space="preserve">2、响应供应商在本项目投标中，不存在与其它响应供应商负责人为同一人，有控股、管理等关联关 系承诺。 </w:t>
      </w:r>
    </w:p>
    <w:p>
      <w:pPr>
        <w:spacing w:before="312" w:beforeLines="100" w:after="156" w:afterLines="50" w:line="360" w:lineRule="auto"/>
        <w:ind w:firstLine="496" w:firstLineChars="200"/>
        <w:outlineLvl w:val="0"/>
        <w:rPr>
          <w:rFonts w:ascii="宋体" w:hAnsi="宋体" w:cs="宋体"/>
          <w:spacing w:val="4"/>
          <w:szCs w:val="24"/>
        </w:rPr>
      </w:pPr>
      <w:r>
        <w:rPr>
          <w:rFonts w:hint="eastAsia" w:ascii="宋体" w:hAnsi="宋体" w:cs="宋体"/>
          <w:spacing w:val="4"/>
          <w:szCs w:val="24"/>
        </w:rPr>
        <w:t xml:space="preserve">2-1、管理关系说明： </w:t>
      </w:r>
    </w:p>
    <w:p>
      <w:pPr>
        <w:spacing w:before="312" w:beforeLines="100" w:after="156" w:afterLines="50" w:line="360" w:lineRule="auto"/>
        <w:ind w:firstLine="496" w:firstLineChars="200"/>
        <w:rPr>
          <w:rFonts w:ascii="宋体" w:hAnsi="宋体" w:cs="宋体"/>
          <w:spacing w:val="4"/>
          <w:szCs w:val="24"/>
        </w:rPr>
      </w:pPr>
      <w:r>
        <w:rPr>
          <w:rFonts w:hint="eastAsia" w:ascii="宋体" w:hAnsi="宋体" w:cs="宋体"/>
          <w:spacing w:val="4"/>
          <w:szCs w:val="24"/>
        </w:rPr>
        <w:t>我单位管理的具有独立法人的下属单位有：</w:t>
      </w:r>
      <w:r>
        <w:rPr>
          <w:rFonts w:hint="eastAsia" w:ascii="宋体" w:hAnsi="宋体" w:cs="宋体"/>
          <w:spacing w:val="4"/>
          <w:szCs w:val="24"/>
          <w:u w:val="single"/>
        </w:rPr>
        <w:t xml:space="preserve">                     </w:t>
      </w:r>
      <w:r>
        <w:rPr>
          <w:rFonts w:hint="eastAsia" w:ascii="宋体" w:hAnsi="宋体" w:cs="宋体"/>
          <w:spacing w:val="4"/>
          <w:szCs w:val="24"/>
        </w:rPr>
        <w:t xml:space="preserve">。 </w:t>
      </w:r>
    </w:p>
    <w:p>
      <w:pPr>
        <w:spacing w:before="312" w:beforeLines="100" w:after="156" w:afterLines="50" w:line="360" w:lineRule="auto"/>
        <w:ind w:firstLine="496" w:firstLineChars="200"/>
        <w:rPr>
          <w:rFonts w:ascii="宋体" w:hAnsi="宋体" w:cs="宋体"/>
          <w:spacing w:val="4"/>
          <w:szCs w:val="24"/>
        </w:rPr>
      </w:pPr>
      <w:r>
        <w:rPr>
          <w:rFonts w:hint="eastAsia" w:ascii="宋体" w:hAnsi="宋体" w:cs="宋体"/>
          <w:spacing w:val="4"/>
          <w:szCs w:val="24"/>
        </w:rPr>
        <w:t>我单位的上级管理单位有</w:t>
      </w:r>
      <w:r>
        <w:rPr>
          <w:rFonts w:hint="eastAsia" w:ascii="宋体" w:hAnsi="宋体" w:cs="宋体"/>
          <w:spacing w:val="4"/>
          <w:szCs w:val="24"/>
          <w:u w:val="single"/>
        </w:rPr>
        <w:t xml:space="preserve">                           </w:t>
      </w:r>
      <w:r>
        <w:rPr>
          <w:rFonts w:hint="eastAsia" w:ascii="宋体" w:hAnsi="宋体" w:cs="宋体"/>
          <w:spacing w:val="4"/>
          <w:szCs w:val="24"/>
        </w:rPr>
        <w:t xml:space="preserve">。 </w:t>
      </w:r>
    </w:p>
    <w:p>
      <w:pPr>
        <w:spacing w:before="312" w:beforeLines="100" w:after="156" w:afterLines="50" w:line="360" w:lineRule="auto"/>
        <w:ind w:firstLine="496" w:firstLineChars="200"/>
        <w:outlineLvl w:val="0"/>
        <w:rPr>
          <w:rFonts w:ascii="宋体" w:hAnsi="宋体" w:cs="宋体"/>
          <w:spacing w:val="4"/>
          <w:szCs w:val="24"/>
        </w:rPr>
      </w:pPr>
      <w:r>
        <w:rPr>
          <w:rFonts w:hint="eastAsia" w:ascii="宋体" w:hAnsi="宋体" w:cs="宋体"/>
          <w:spacing w:val="4"/>
          <w:szCs w:val="24"/>
        </w:rPr>
        <w:t xml:space="preserve">2-2、股权关系说明： </w:t>
      </w:r>
    </w:p>
    <w:p>
      <w:pPr>
        <w:spacing w:before="312" w:beforeLines="100" w:after="156" w:afterLines="50" w:line="360" w:lineRule="auto"/>
        <w:ind w:firstLine="496" w:firstLineChars="200"/>
        <w:rPr>
          <w:rFonts w:ascii="宋体" w:hAnsi="宋体" w:cs="宋体"/>
          <w:spacing w:val="4"/>
          <w:szCs w:val="24"/>
        </w:rPr>
      </w:pPr>
      <w:r>
        <w:rPr>
          <w:rFonts w:hint="eastAsia" w:ascii="宋体" w:hAnsi="宋体" w:cs="宋体"/>
          <w:spacing w:val="4"/>
          <w:szCs w:val="24"/>
        </w:rPr>
        <w:t>我单位控股的单位有</w:t>
      </w:r>
      <w:r>
        <w:rPr>
          <w:rFonts w:hint="eastAsia" w:ascii="宋体" w:hAnsi="宋体" w:cs="宋体"/>
          <w:spacing w:val="4"/>
          <w:szCs w:val="24"/>
          <w:u w:val="single"/>
        </w:rPr>
        <w:t xml:space="preserve">                          </w:t>
      </w:r>
      <w:r>
        <w:rPr>
          <w:rFonts w:hint="eastAsia" w:ascii="宋体" w:hAnsi="宋体" w:cs="宋体"/>
          <w:spacing w:val="4"/>
          <w:szCs w:val="24"/>
        </w:rPr>
        <w:t xml:space="preserve">。 </w:t>
      </w:r>
    </w:p>
    <w:p>
      <w:pPr>
        <w:spacing w:before="312" w:beforeLines="100" w:after="156" w:afterLines="50" w:line="360" w:lineRule="auto"/>
        <w:ind w:firstLine="496" w:firstLineChars="200"/>
        <w:rPr>
          <w:rFonts w:ascii="宋体" w:hAnsi="宋体" w:cs="宋体"/>
          <w:spacing w:val="4"/>
          <w:szCs w:val="24"/>
        </w:rPr>
      </w:pPr>
      <w:r>
        <w:rPr>
          <w:rFonts w:hint="eastAsia" w:ascii="宋体" w:hAnsi="宋体" w:cs="宋体"/>
          <w:spacing w:val="4"/>
          <w:szCs w:val="24"/>
        </w:rPr>
        <w:t>我单位被单位控股</w:t>
      </w:r>
      <w:r>
        <w:rPr>
          <w:rFonts w:hint="eastAsia" w:ascii="宋体" w:hAnsi="宋体" w:cs="宋体"/>
          <w:spacing w:val="4"/>
          <w:szCs w:val="24"/>
          <w:u w:val="single"/>
        </w:rPr>
        <w:t xml:space="preserve">                            </w:t>
      </w:r>
      <w:r>
        <w:rPr>
          <w:rFonts w:hint="eastAsia" w:ascii="宋体" w:hAnsi="宋体" w:cs="宋体"/>
          <w:spacing w:val="4"/>
          <w:szCs w:val="24"/>
        </w:rPr>
        <w:t xml:space="preserve">。 </w:t>
      </w:r>
    </w:p>
    <w:p>
      <w:pPr>
        <w:spacing w:before="312" w:beforeLines="100" w:after="156" w:afterLines="50" w:line="360" w:lineRule="auto"/>
        <w:ind w:firstLine="496" w:firstLineChars="200"/>
        <w:outlineLvl w:val="0"/>
        <w:rPr>
          <w:rFonts w:ascii="宋体" w:hAnsi="宋体" w:cs="宋体"/>
          <w:spacing w:val="4"/>
          <w:szCs w:val="24"/>
          <w:u w:val="single"/>
        </w:rPr>
      </w:pPr>
      <w:r>
        <w:rPr>
          <w:rFonts w:hint="eastAsia" w:ascii="宋体" w:hAnsi="宋体" w:cs="宋体"/>
          <w:spacing w:val="4"/>
          <w:szCs w:val="24"/>
        </w:rPr>
        <w:t>2-3、单位负责人：</w:t>
      </w:r>
      <w:r>
        <w:rPr>
          <w:rFonts w:hint="eastAsia" w:ascii="宋体" w:hAnsi="宋体" w:cs="宋体"/>
          <w:spacing w:val="4"/>
          <w:szCs w:val="24"/>
          <w:u w:val="single"/>
        </w:rPr>
        <w:t xml:space="preserve">              </w:t>
      </w:r>
    </w:p>
    <w:p>
      <w:pPr>
        <w:spacing w:before="312" w:beforeLines="100" w:after="156" w:afterLines="50" w:line="360" w:lineRule="auto"/>
        <w:ind w:firstLine="496" w:firstLineChars="200"/>
        <w:rPr>
          <w:rFonts w:ascii="宋体" w:hAnsi="宋体" w:cs="宋体"/>
          <w:spacing w:val="4"/>
          <w:szCs w:val="24"/>
        </w:rPr>
      </w:pPr>
      <w:r>
        <w:rPr>
          <w:rFonts w:hint="eastAsia" w:ascii="宋体" w:hAnsi="宋体" w:cs="宋体"/>
          <w:spacing w:val="4"/>
          <w:szCs w:val="24"/>
        </w:rPr>
        <w:t xml:space="preserve">3、其他与本项目有关的利害关系说明： </w:t>
      </w:r>
    </w:p>
    <w:p>
      <w:pPr>
        <w:spacing w:before="312" w:beforeLines="100" w:after="156" w:afterLines="50" w:line="360" w:lineRule="auto"/>
        <w:ind w:firstLine="496" w:firstLineChars="200"/>
        <w:rPr>
          <w:rFonts w:ascii="宋体" w:hAnsi="宋体" w:cs="宋体"/>
          <w:spacing w:val="4"/>
          <w:szCs w:val="24"/>
        </w:rPr>
      </w:pPr>
      <w:r>
        <w:rPr>
          <w:rFonts w:hint="eastAsia" w:ascii="宋体" w:hAnsi="宋体" w:cs="宋体"/>
          <w:spacing w:val="4"/>
          <w:szCs w:val="24"/>
        </w:rPr>
        <w:t xml:space="preserve">我单位承诺以上说明真实有效，无虚假内容或隐瞒。 </w:t>
      </w:r>
    </w:p>
    <w:p>
      <w:pPr>
        <w:ind w:firstLine="3360" w:firstLineChars="1400"/>
        <w:rPr>
          <w:rFonts w:ascii="宋体" w:hAnsi="宋体" w:cs="宋体"/>
          <w:szCs w:val="24"/>
          <w:u w:val="single"/>
        </w:rPr>
      </w:pPr>
      <w:r>
        <w:rPr>
          <w:rFonts w:hint="eastAsia" w:ascii="宋体" w:hAnsi="宋体" w:cs="宋体"/>
          <w:szCs w:val="24"/>
        </w:rPr>
        <w:t xml:space="preserve">响应供应商： </w:t>
      </w:r>
      <w:r>
        <w:rPr>
          <w:rFonts w:hint="eastAsia" w:ascii="宋体" w:hAnsi="宋体" w:cs="宋体"/>
          <w:szCs w:val="24"/>
          <w:u w:val="single"/>
        </w:rPr>
        <w:t xml:space="preserve">          （盖章）             </w:t>
      </w:r>
    </w:p>
    <w:p>
      <w:pPr>
        <w:ind w:right="360"/>
        <w:jc w:val="right"/>
        <w:rPr>
          <w:rFonts w:ascii="宋体" w:hAnsi="宋体" w:cs="宋体"/>
          <w:szCs w:val="24"/>
        </w:rPr>
      </w:pPr>
    </w:p>
    <w:p>
      <w:pPr>
        <w:ind w:right="240"/>
        <w:rPr>
          <w:rFonts w:ascii="宋体" w:hAnsi="宋体" w:cs="宋体"/>
          <w:szCs w:val="24"/>
          <w:u w:val="single"/>
        </w:rPr>
      </w:pPr>
      <w:r>
        <w:rPr>
          <w:rFonts w:hint="eastAsia" w:ascii="宋体" w:hAnsi="宋体" w:cs="宋体"/>
          <w:szCs w:val="24"/>
        </w:rPr>
        <w:t xml:space="preserve">                            法定代表人或其授权代理人（签字或盖章）：</w:t>
      </w:r>
    </w:p>
    <w:p>
      <w:pPr>
        <w:wordWrap w:val="0"/>
        <w:ind w:right="360" w:firstLine="2640" w:firstLineChars="1100"/>
        <w:rPr>
          <w:rFonts w:ascii="宋体" w:hAnsi="宋体" w:cs="宋体"/>
          <w:szCs w:val="24"/>
        </w:rPr>
      </w:pPr>
      <w:r>
        <w:rPr>
          <w:rFonts w:hint="eastAsia" w:ascii="宋体" w:hAnsi="宋体" w:cs="宋体"/>
          <w:szCs w:val="24"/>
        </w:rPr>
        <w:t xml:space="preserve"> </w:t>
      </w:r>
    </w:p>
    <w:p>
      <w:pPr>
        <w:rPr>
          <w:b/>
          <w:bCs/>
          <w:sz w:val="32"/>
          <w:szCs w:val="32"/>
        </w:rPr>
      </w:pPr>
      <w:r>
        <w:rPr>
          <w:rFonts w:hint="eastAsia" w:ascii="宋体" w:hAnsi="宋体" w:cs="宋体"/>
          <w:szCs w:val="24"/>
        </w:rPr>
        <w:t xml:space="preserve">                            日   期：</w:t>
      </w:r>
      <w:r>
        <w:rPr>
          <w:rFonts w:hint="eastAsia" w:ascii="宋体" w:hAnsi="宋体" w:cs="宋体"/>
          <w:szCs w:val="24"/>
          <w:u w:val="single"/>
        </w:rPr>
        <w:t xml:space="preserve">   </w:t>
      </w:r>
    </w:p>
    <w:p>
      <w:pPr>
        <w:rPr>
          <w:b/>
          <w:bCs/>
          <w:sz w:val="32"/>
          <w:szCs w:val="32"/>
        </w:rPr>
      </w:pPr>
      <w:r>
        <w:rPr>
          <w:rFonts w:hint="eastAsia"/>
          <w:b/>
          <w:bCs/>
          <w:sz w:val="32"/>
          <w:szCs w:val="32"/>
        </w:rPr>
        <w:br w:type="page"/>
      </w:r>
    </w:p>
    <w:p>
      <w:pPr>
        <w:autoSpaceDE w:val="0"/>
        <w:autoSpaceDN w:val="0"/>
        <w:adjustRightInd w:val="0"/>
        <w:snapToGrid w:val="0"/>
        <w:spacing w:line="360" w:lineRule="auto"/>
        <w:jc w:val="center"/>
        <w:rPr>
          <w:rFonts w:ascii="宋体"/>
          <w:b/>
          <w:bCs/>
          <w:sz w:val="44"/>
          <w:szCs w:val="44"/>
          <w:lang w:val="zh-CN"/>
        </w:rPr>
      </w:pPr>
      <w:r>
        <w:rPr>
          <w:rFonts w:hint="eastAsia"/>
          <w:b/>
          <w:bCs/>
          <w:sz w:val="32"/>
          <w:szCs w:val="32"/>
        </w:rPr>
        <w:t>技术</w:t>
      </w:r>
      <w:r>
        <w:rPr>
          <w:rFonts w:hint="eastAsia"/>
          <w:b/>
          <w:bCs/>
          <w:sz w:val="32"/>
          <w:szCs w:val="32"/>
          <w:lang w:val="zh-CN"/>
        </w:rPr>
        <w:t>偏</w:t>
      </w:r>
      <w:r>
        <w:rPr>
          <w:rFonts w:hint="eastAsia"/>
          <w:b/>
          <w:bCs/>
          <w:sz w:val="32"/>
          <w:szCs w:val="32"/>
        </w:rPr>
        <w:t>离</w:t>
      </w:r>
      <w:r>
        <w:rPr>
          <w:rFonts w:hint="eastAsia"/>
          <w:b/>
          <w:bCs/>
          <w:sz w:val="32"/>
          <w:szCs w:val="32"/>
          <w:lang w:val="zh-CN"/>
        </w:rPr>
        <w:t>表</w:t>
      </w:r>
      <w:r>
        <w:rPr>
          <w:rFonts w:hint="eastAsia"/>
          <w:b/>
          <w:bCs/>
          <w:sz w:val="32"/>
          <w:szCs w:val="32"/>
        </w:rPr>
        <w:t xml:space="preserve"> </w:t>
      </w:r>
      <w:r>
        <w:rPr>
          <w:rFonts w:ascii="仿宋_GB2312" w:hAnsi="仿宋_GB2312" w:eastAsia="仿宋_GB2312" w:cs="仿宋_GB2312"/>
          <w:sz w:val="28"/>
          <w:szCs w:val="28"/>
        </w:rPr>
        <w:t xml:space="preserve"> </w:t>
      </w:r>
    </w:p>
    <w:tbl>
      <w:tblPr>
        <w:tblStyle w:val="3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52"/>
        <w:gridCol w:w="2949"/>
        <w:gridCol w:w="2850"/>
        <w:gridCol w:w="22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52" w:type="dxa"/>
            <w:vAlign w:val="center"/>
          </w:tcPr>
          <w:p>
            <w:pPr>
              <w:adjustRightInd w:val="0"/>
              <w:snapToGrid w:val="0"/>
              <w:ind w:right="23"/>
              <w:jc w:val="center"/>
              <w:rPr>
                <w:rFonts w:ascii="仿宋_GB2312" w:eastAsia="仿宋_GB2312"/>
                <w:b/>
                <w:bCs/>
                <w:sz w:val="32"/>
                <w:szCs w:val="32"/>
              </w:rPr>
            </w:pPr>
            <w:r>
              <w:rPr>
                <w:rFonts w:hint="eastAsia" w:ascii="仿宋_GB2312" w:eastAsia="仿宋_GB2312"/>
                <w:b/>
                <w:bCs/>
                <w:sz w:val="32"/>
                <w:szCs w:val="32"/>
              </w:rPr>
              <w:t>序号</w:t>
            </w:r>
          </w:p>
        </w:tc>
        <w:tc>
          <w:tcPr>
            <w:tcW w:w="2949" w:type="dxa"/>
            <w:vAlign w:val="center"/>
          </w:tcPr>
          <w:p>
            <w:pPr>
              <w:adjustRightInd w:val="0"/>
              <w:snapToGrid w:val="0"/>
              <w:ind w:right="23"/>
              <w:jc w:val="center"/>
              <w:rPr>
                <w:rFonts w:ascii="仿宋_GB2312" w:eastAsia="仿宋_GB2312"/>
                <w:b/>
                <w:bCs/>
                <w:sz w:val="32"/>
                <w:szCs w:val="32"/>
              </w:rPr>
            </w:pPr>
            <w:r>
              <w:rPr>
                <w:rFonts w:hint="eastAsia" w:ascii="仿宋_GB2312" w:eastAsia="仿宋_GB2312"/>
                <w:b/>
                <w:bCs/>
                <w:sz w:val="32"/>
                <w:szCs w:val="32"/>
              </w:rPr>
              <w:t>采购要求</w:t>
            </w:r>
          </w:p>
        </w:tc>
        <w:tc>
          <w:tcPr>
            <w:tcW w:w="2850" w:type="dxa"/>
            <w:vAlign w:val="center"/>
          </w:tcPr>
          <w:p>
            <w:pPr>
              <w:adjustRightInd w:val="0"/>
              <w:snapToGrid w:val="0"/>
              <w:ind w:right="23"/>
              <w:jc w:val="center"/>
              <w:rPr>
                <w:rFonts w:ascii="仿宋_GB2312" w:eastAsia="仿宋_GB2312"/>
                <w:b/>
                <w:bCs/>
                <w:sz w:val="32"/>
                <w:szCs w:val="32"/>
              </w:rPr>
            </w:pPr>
            <w:r>
              <w:rPr>
                <w:rFonts w:hint="eastAsia" w:ascii="仿宋_GB2312" w:eastAsia="仿宋_GB2312"/>
                <w:b/>
                <w:bCs/>
                <w:sz w:val="32"/>
                <w:szCs w:val="32"/>
              </w:rPr>
              <w:t>响应情况</w:t>
            </w:r>
          </w:p>
        </w:tc>
        <w:tc>
          <w:tcPr>
            <w:tcW w:w="2214" w:type="dxa"/>
            <w:vAlign w:val="center"/>
          </w:tcPr>
          <w:p>
            <w:pPr>
              <w:adjustRightInd w:val="0"/>
              <w:snapToGrid w:val="0"/>
              <w:ind w:right="23"/>
              <w:jc w:val="center"/>
              <w:rPr>
                <w:rFonts w:ascii="仿宋_GB2312" w:eastAsia="仿宋_GB2312"/>
                <w:b/>
                <w:bCs/>
                <w:sz w:val="32"/>
                <w:szCs w:val="32"/>
              </w:rPr>
            </w:pPr>
            <w:r>
              <w:rPr>
                <w:rFonts w:hint="eastAsia" w:ascii="仿宋_GB2312" w:eastAsia="仿宋_GB2312"/>
                <w:b/>
                <w:bCs/>
                <w:sz w:val="32"/>
                <w:szCs w:val="32"/>
              </w:rPr>
              <w:t>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tcPr>
          <w:p>
            <w:pPr>
              <w:adjustRightInd w:val="0"/>
              <w:snapToGrid w:val="0"/>
              <w:spacing w:line="360" w:lineRule="auto"/>
              <w:ind w:right="24"/>
              <w:rPr>
                <w:rFonts w:ascii="仿宋_GB2312" w:eastAsia="仿宋_GB2312"/>
                <w:bCs/>
                <w:sz w:val="32"/>
                <w:szCs w:val="32"/>
              </w:rPr>
            </w:pPr>
          </w:p>
        </w:tc>
        <w:tc>
          <w:tcPr>
            <w:tcW w:w="2949" w:type="dxa"/>
          </w:tcPr>
          <w:p>
            <w:pPr>
              <w:adjustRightInd w:val="0"/>
              <w:snapToGrid w:val="0"/>
              <w:spacing w:line="360" w:lineRule="auto"/>
              <w:ind w:right="24"/>
              <w:rPr>
                <w:rFonts w:ascii="仿宋_GB2312" w:eastAsia="仿宋_GB2312"/>
                <w:bCs/>
                <w:sz w:val="32"/>
                <w:szCs w:val="32"/>
              </w:rPr>
            </w:pPr>
          </w:p>
        </w:tc>
        <w:tc>
          <w:tcPr>
            <w:tcW w:w="2850" w:type="dxa"/>
          </w:tcPr>
          <w:p>
            <w:pPr>
              <w:adjustRightInd w:val="0"/>
              <w:snapToGrid w:val="0"/>
              <w:spacing w:line="360" w:lineRule="auto"/>
              <w:ind w:right="24"/>
              <w:rPr>
                <w:rFonts w:ascii="仿宋_GB2312" w:eastAsia="仿宋_GB2312"/>
                <w:bCs/>
                <w:sz w:val="32"/>
                <w:szCs w:val="32"/>
              </w:rPr>
            </w:pPr>
          </w:p>
        </w:tc>
        <w:tc>
          <w:tcPr>
            <w:tcW w:w="2214" w:type="dxa"/>
          </w:tcPr>
          <w:p>
            <w:pPr>
              <w:adjustRightInd w:val="0"/>
              <w:snapToGrid w:val="0"/>
              <w:spacing w:line="360" w:lineRule="auto"/>
              <w:ind w:right="24"/>
              <w:rPr>
                <w:rFonts w:ascii="仿宋_GB2312" w:eastAsia="仿宋_GB2312"/>
                <w:bCs/>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tcPr>
          <w:p>
            <w:pPr>
              <w:adjustRightInd w:val="0"/>
              <w:snapToGrid w:val="0"/>
              <w:spacing w:line="360" w:lineRule="auto"/>
              <w:ind w:right="24"/>
              <w:rPr>
                <w:rFonts w:ascii="仿宋_GB2312" w:eastAsia="仿宋_GB2312"/>
                <w:bCs/>
                <w:sz w:val="32"/>
                <w:szCs w:val="32"/>
              </w:rPr>
            </w:pPr>
          </w:p>
        </w:tc>
        <w:tc>
          <w:tcPr>
            <w:tcW w:w="2949" w:type="dxa"/>
          </w:tcPr>
          <w:p>
            <w:pPr>
              <w:adjustRightInd w:val="0"/>
              <w:snapToGrid w:val="0"/>
              <w:spacing w:line="360" w:lineRule="auto"/>
              <w:ind w:right="24"/>
              <w:rPr>
                <w:rFonts w:ascii="仿宋_GB2312" w:eastAsia="仿宋_GB2312"/>
                <w:bCs/>
                <w:sz w:val="32"/>
                <w:szCs w:val="32"/>
              </w:rPr>
            </w:pPr>
          </w:p>
        </w:tc>
        <w:tc>
          <w:tcPr>
            <w:tcW w:w="2850" w:type="dxa"/>
          </w:tcPr>
          <w:p>
            <w:pPr>
              <w:adjustRightInd w:val="0"/>
              <w:snapToGrid w:val="0"/>
              <w:spacing w:line="360" w:lineRule="auto"/>
              <w:ind w:right="24"/>
              <w:rPr>
                <w:rFonts w:ascii="仿宋_GB2312" w:eastAsia="仿宋_GB2312"/>
                <w:bCs/>
                <w:sz w:val="32"/>
                <w:szCs w:val="32"/>
              </w:rPr>
            </w:pPr>
          </w:p>
        </w:tc>
        <w:tc>
          <w:tcPr>
            <w:tcW w:w="2214" w:type="dxa"/>
          </w:tcPr>
          <w:p>
            <w:pPr>
              <w:adjustRightInd w:val="0"/>
              <w:snapToGrid w:val="0"/>
              <w:spacing w:line="360" w:lineRule="auto"/>
              <w:ind w:right="24"/>
              <w:rPr>
                <w:rFonts w:ascii="仿宋_GB2312" w:eastAsia="仿宋_GB2312"/>
                <w:bCs/>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tcPr>
          <w:p>
            <w:pPr>
              <w:adjustRightInd w:val="0"/>
              <w:snapToGrid w:val="0"/>
              <w:spacing w:line="360" w:lineRule="auto"/>
              <w:ind w:right="24"/>
              <w:rPr>
                <w:rFonts w:ascii="仿宋_GB2312" w:eastAsia="仿宋_GB2312"/>
                <w:bCs/>
                <w:sz w:val="32"/>
                <w:szCs w:val="32"/>
              </w:rPr>
            </w:pPr>
          </w:p>
        </w:tc>
        <w:tc>
          <w:tcPr>
            <w:tcW w:w="2949" w:type="dxa"/>
          </w:tcPr>
          <w:p>
            <w:pPr>
              <w:adjustRightInd w:val="0"/>
              <w:snapToGrid w:val="0"/>
              <w:spacing w:line="360" w:lineRule="auto"/>
              <w:ind w:right="24"/>
              <w:rPr>
                <w:rFonts w:ascii="仿宋_GB2312" w:eastAsia="仿宋_GB2312"/>
                <w:bCs/>
                <w:sz w:val="32"/>
                <w:szCs w:val="32"/>
              </w:rPr>
            </w:pPr>
          </w:p>
        </w:tc>
        <w:tc>
          <w:tcPr>
            <w:tcW w:w="2850" w:type="dxa"/>
          </w:tcPr>
          <w:p>
            <w:pPr>
              <w:adjustRightInd w:val="0"/>
              <w:snapToGrid w:val="0"/>
              <w:spacing w:line="360" w:lineRule="auto"/>
              <w:ind w:right="24"/>
              <w:rPr>
                <w:rFonts w:ascii="仿宋_GB2312" w:eastAsia="仿宋_GB2312"/>
                <w:bCs/>
                <w:sz w:val="32"/>
                <w:szCs w:val="32"/>
              </w:rPr>
            </w:pPr>
          </w:p>
        </w:tc>
        <w:tc>
          <w:tcPr>
            <w:tcW w:w="2214" w:type="dxa"/>
          </w:tcPr>
          <w:p>
            <w:pPr>
              <w:adjustRightInd w:val="0"/>
              <w:snapToGrid w:val="0"/>
              <w:spacing w:line="360" w:lineRule="auto"/>
              <w:ind w:right="24"/>
              <w:rPr>
                <w:rFonts w:ascii="仿宋_GB2312" w:eastAsia="仿宋_GB2312"/>
                <w:bCs/>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tcPr>
          <w:p>
            <w:pPr>
              <w:adjustRightInd w:val="0"/>
              <w:snapToGrid w:val="0"/>
              <w:spacing w:line="360" w:lineRule="auto"/>
              <w:ind w:right="24"/>
              <w:rPr>
                <w:rFonts w:ascii="仿宋_GB2312" w:eastAsia="仿宋_GB2312"/>
                <w:bCs/>
                <w:sz w:val="32"/>
                <w:szCs w:val="32"/>
              </w:rPr>
            </w:pPr>
          </w:p>
        </w:tc>
        <w:tc>
          <w:tcPr>
            <w:tcW w:w="2949" w:type="dxa"/>
          </w:tcPr>
          <w:p>
            <w:pPr>
              <w:adjustRightInd w:val="0"/>
              <w:snapToGrid w:val="0"/>
              <w:spacing w:line="360" w:lineRule="auto"/>
              <w:ind w:right="24"/>
              <w:rPr>
                <w:rFonts w:ascii="仿宋_GB2312" w:eastAsia="仿宋_GB2312"/>
                <w:bCs/>
                <w:sz w:val="32"/>
                <w:szCs w:val="32"/>
              </w:rPr>
            </w:pPr>
          </w:p>
        </w:tc>
        <w:tc>
          <w:tcPr>
            <w:tcW w:w="2850" w:type="dxa"/>
          </w:tcPr>
          <w:p>
            <w:pPr>
              <w:adjustRightInd w:val="0"/>
              <w:snapToGrid w:val="0"/>
              <w:spacing w:line="360" w:lineRule="auto"/>
              <w:ind w:right="24"/>
              <w:rPr>
                <w:rFonts w:ascii="仿宋_GB2312" w:eastAsia="仿宋_GB2312"/>
                <w:bCs/>
                <w:sz w:val="32"/>
                <w:szCs w:val="32"/>
              </w:rPr>
            </w:pPr>
          </w:p>
        </w:tc>
        <w:tc>
          <w:tcPr>
            <w:tcW w:w="2214" w:type="dxa"/>
          </w:tcPr>
          <w:p>
            <w:pPr>
              <w:adjustRightInd w:val="0"/>
              <w:snapToGrid w:val="0"/>
              <w:spacing w:line="360" w:lineRule="auto"/>
              <w:ind w:right="24"/>
              <w:rPr>
                <w:rFonts w:ascii="仿宋_GB2312" w:eastAsia="仿宋_GB2312"/>
                <w:bCs/>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tcPr>
          <w:p>
            <w:pPr>
              <w:adjustRightInd w:val="0"/>
              <w:snapToGrid w:val="0"/>
              <w:spacing w:line="360" w:lineRule="auto"/>
              <w:ind w:right="24"/>
              <w:rPr>
                <w:rFonts w:ascii="仿宋_GB2312" w:eastAsia="仿宋_GB2312"/>
                <w:bCs/>
                <w:sz w:val="32"/>
                <w:szCs w:val="32"/>
              </w:rPr>
            </w:pPr>
          </w:p>
        </w:tc>
        <w:tc>
          <w:tcPr>
            <w:tcW w:w="2949" w:type="dxa"/>
          </w:tcPr>
          <w:p>
            <w:pPr>
              <w:adjustRightInd w:val="0"/>
              <w:snapToGrid w:val="0"/>
              <w:spacing w:line="360" w:lineRule="auto"/>
              <w:ind w:right="24"/>
              <w:rPr>
                <w:rFonts w:ascii="仿宋_GB2312" w:eastAsia="仿宋_GB2312"/>
                <w:bCs/>
                <w:sz w:val="32"/>
                <w:szCs w:val="32"/>
              </w:rPr>
            </w:pPr>
          </w:p>
        </w:tc>
        <w:tc>
          <w:tcPr>
            <w:tcW w:w="2850" w:type="dxa"/>
          </w:tcPr>
          <w:p>
            <w:pPr>
              <w:adjustRightInd w:val="0"/>
              <w:snapToGrid w:val="0"/>
              <w:spacing w:line="360" w:lineRule="auto"/>
              <w:ind w:right="24"/>
              <w:rPr>
                <w:rFonts w:ascii="仿宋_GB2312" w:eastAsia="仿宋_GB2312"/>
                <w:bCs/>
                <w:sz w:val="32"/>
                <w:szCs w:val="32"/>
              </w:rPr>
            </w:pPr>
          </w:p>
        </w:tc>
        <w:tc>
          <w:tcPr>
            <w:tcW w:w="2214" w:type="dxa"/>
          </w:tcPr>
          <w:p>
            <w:pPr>
              <w:adjustRightInd w:val="0"/>
              <w:snapToGrid w:val="0"/>
              <w:spacing w:line="360" w:lineRule="auto"/>
              <w:ind w:right="24"/>
              <w:rPr>
                <w:rFonts w:ascii="仿宋_GB2312" w:eastAsia="仿宋_GB2312"/>
                <w:bCs/>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tcPr>
          <w:p>
            <w:pPr>
              <w:adjustRightInd w:val="0"/>
              <w:snapToGrid w:val="0"/>
              <w:spacing w:line="360" w:lineRule="auto"/>
              <w:ind w:right="24"/>
              <w:rPr>
                <w:rFonts w:ascii="仿宋_GB2312" w:eastAsia="仿宋_GB2312"/>
                <w:bCs/>
                <w:sz w:val="32"/>
                <w:szCs w:val="32"/>
              </w:rPr>
            </w:pPr>
          </w:p>
        </w:tc>
        <w:tc>
          <w:tcPr>
            <w:tcW w:w="2949" w:type="dxa"/>
          </w:tcPr>
          <w:p>
            <w:pPr>
              <w:adjustRightInd w:val="0"/>
              <w:snapToGrid w:val="0"/>
              <w:spacing w:line="360" w:lineRule="auto"/>
              <w:ind w:right="24"/>
              <w:rPr>
                <w:rFonts w:ascii="仿宋_GB2312" w:eastAsia="仿宋_GB2312"/>
                <w:bCs/>
                <w:sz w:val="32"/>
                <w:szCs w:val="32"/>
              </w:rPr>
            </w:pPr>
          </w:p>
        </w:tc>
        <w:tc>
          <w:tcPr>
            <w:tcW w:w="2850" w:type="dxa"/>
          </w:tcPr>
          <w:p>
            <w:pPr>
              <w:adjustRightInd w:val="0"/>
              <w:snapToGrid w:val="0"/>
              <w:spacing w:line="360" w:lineRule="auto"/>
              <w:ind w:right="24"/>
              <w:rPr>
                <w:rFonts w:ascii="仿宋_GB2312" w:eastAsia="仿宋_GB2312"/>
                <w:bCs/>
                <w:sz w:val="32"/>
                <w:szCs w:val="32"/>
              </w:rPr>
            </w:pPr>
          </w:p>
        </w:tc>
        <w:tc>
          <w:tcPr>
            <w:tcW w:w="2214" w:type="dxa"/>
          </w:tcPr>
          <w:p>
            <w:pPr>
              <w:adjustRightInd w:val="0"/>
              <w:snapToGrid w:val="0"/>
              <w:spacing w:line="360" w:lineRule="auto"/>
              <w:ind w:right="24"/>
              <w:rPr>
                <w:rFonts w:ascii="仿宋_GB2312" w:eastAsia="仿宋_GB2312"/>
                <w:bCs/>
                <w:sz w:val="32"/>
                <w:szCs w:val="32"/>
              </w:rPr>
            </w:pPr>
          </w:p>
        </w:tc>
      </w:tr>
    </w:tbl>
    <w:p>
      <w:pPr>
        <w:adjustRightInd w:val="0"/>
        <w:snapToGrid w:val="0"/>
        <w:spacing w:line="360" w:lineRule="auto"/>
        <w:ind w:right="629" w:firstLine="470" w:firstLineChars="196"/>
        <w:rPr>
          <w:rFonts w:ascii="宋体" w:hAnsi="宋体" w:cs="宋体"/>
          <w:szCs w:val="24"/>
        </w:rPr>
      </w:pPr>
      <w:r>
        <w:rPr>
          <w:rFonts w:hint="eastAsia" w:ascii="宋体" w:hAnsi="宋体" w:cs="宋体"/>
          <w:szCs w:val="24"/>
        </w:rPr>
        <w:t>说明：1、本表只填写响应文件中与磋商文件有偏离（包括正偏离和负偏离）的内容，响应文件中采购需求响应与采购内容完全一致的，不用在此表中列出，但必须提供空白表。</w:t>
      </w:r>
    </w:p>
    <w:p>
      <w:pPr>
        <w:adjustRightInd w:val="0"/>
        <w:snapToGrid w:val="0"/>
        <w:spacing w:line="360" w:lineRule="auto"/>
        <w:ind w:right="629" w:firstLine="470" w:firstLineChars="196"/>
        <w:rPr>
          <w:rFonts w:ascii="宋体" w:hAnsi="宋体" w:cs="宋体"/>
          <w:szCs w:val="24"/>
        </w:rPr>
      </w:pPr>
      <w:r>
        <w:rPr>
          <w:rFonts w:ascii="宋体" w:hAnsi="宋体" w:cs="宋体"/>
          <w:szCs w:val="24"/>
        </w:rPr>
        <w:t>2</w:t>
      </w:r>
      <w:r>
        <w:rPr>
          <w:rFonts w:hint="eastAsia" w:ascii="宋体" w:hAnsi="宋体" w:cs="宋体"/>
          <w:szCs w:val="24"/>
        </w:rPr>
        <w:t>、响应单位必须据实填写，不得虚假响应。</w:t>
      </w:r>
    </w:p>
    <w:p>
      <w:pPr>
        <w:adjustRightInd w:val="0"/>
        <w:snapToGrid w:val="0"/>
        <w:spacing w:line="360" w:lineRule="auto"/>
        <w:ind w:right="629" w:firstLine="470" w:firstLineChars="196"/>
        <w:rPr>
          <w:rFonts w:ascii="宋体" w:hAnsi="宋体" w:cs="宋体"/>
          <w:szCs w:val="24"/>
        </w:rPr>
      </w:pPr>
    </w:p>
    <w:p>
      <w:pPr>
        <w:ind w:firstLine="3360" w:firstLineChars="1400"/>
        <w:rPr>
          <w:rFonts w:ascii="宋体" w:hAnsi="宋体" w:cs="宋体"/>
          <w:szCs w:val="24"/>
          <w:u w:val="single"/>
        </w:rPr>
      </w:pPr>
      <w:r>
        <w:rPr>
          <w:rFonts w:hint="eastAsia" w:ascii="宋体" w:hAnsi="宋体" w:cs="宋体"/>
          <w:szCs w:val="24"/>
        </w:rPr>
        <w:t xml:space="preserve">响应供应商： </w:t>
      </w:r>
      <w:r>
        <w:rPr>
          <w:rFonts w:hint="eastAsia" w:ascii="宋体" w:hAnsi="宋体" w:cs="宋体"/>
          <w:szCs w:val="24"/>
          <w:u w:val="single"/>
        </w:rPr>
        <w:t xml:space="preserve">          （盖章）             </w:t>
      </w:r>
    </w:p>
    <w:p>
      <w:pPr>
        <w:ind w:right="360"/>
        <w:jc w:val="right"/>
        <w:rPr>
          <w:rFonts w:ascii="宋体" w:hAnsi="宋体" w:cs="宋体"/>
          <w:szCs w:val="24"/>
        </w:rPr>
      </w:pPr>
    </w:p>
    <w:p>
      <w:pPr>
        <w:ind w:right="240"/>
        <w:rPr>
          <w:rFonts w:ascii="宋体" w:hAnsi="宋体" w:cs="宋体"/>
          <w:szCs w:val="24"/>
          <w:u w:val="single"/>
        </w:rPr>
      </w:pPr>
      <w:r>
        <w:rPr>
          <w:rFonts w:hint="eastAsia" w:ascii="宋体" w:hAnsi="宋体" w:cs="宋体"/>
          <w:szCs w:val="24"/>
        </w:rPr>
        <w:t xml:space="preserve">                            法定代表人或其授权代理人（签字或盖章）：</w:t>
      </w:r>
    </w:p>
    <w:p>
      <w:pPr>
        <w:wordWrap w:val="0"/>
        <w:ind w:right="360" w:firstLine="2640" w:firstLineChars="1100"/>
        <w:rPr>
          <w:rFonts w:ascii="宋体" w:hAnsi="宋体" w:cs="宋体"/>
          <w:szCs w:val="24"/>
        </w:rPr>
      </w:pPr>
      <w:r>
        <w:rPr>
          <w:rFonts w:hint="eastAsia" w:ascii="宋体" w:hAnsi="宋体" w:cs="宋体"/>
          <w:szCs w:val="24"/>
        </w:rPr>
        <w:t xml:space="preserve"> </w:t>
      </w:r>
    </w:p>
    <w:p>
      <w:pPr>
        <w:adjustRightInd w:val="0"/>
        <w:snapToGrid w:val="0"/>
        <w:spacing w:line="360" w:lineRule="auto"/>
        <w:ind w:right="629" w:firstLine="3360" w:firstLineChars="1400"/>
        <w:rPr>
          <w:rFonts w:ascii="宋体" w:hAnsi="宋体"/>
          <w:b/>
          <w:bCs/>
          <w:sz w:val="44"/>
          <w:szCs w:val="44"/>
        </w:rPr>
      </w:pPr>
      <w:r>
        <w:rPr>
          <w:rFonts w:hint="eastAsia" w:ascii="宋体" w:hAnsi="宋体" w:cs="宋体"/>
          <w:szCs w:val="24"/>
        </w:rPr>
        <w:t>日   期：</w:t>
      </w:r>
    </w:p>
    <w:p>
      <w:pPr>
        <w:rPr>
          <w:b/>
          <w:bCs/>
          <w:sz w:val="32"/>
          <w:szCs w:val="32"/>
        </w:rPr>
      </w:pPr>
    </w:p>
    <w:p>
      <w:pPr>
        <w:rPr>
          <w:b/>
          <w:bCs/>
          <w:sz w:val="32"/>
          <w:szCs w:val="32"/>
        </w:rPr>
      </w:pPr>
      <w:r>
        <w:rPr>
          <w:rFonts w:hint="eastAsia"/>
          <w:b/>
          <w:bCs/>
          <w:sz w:val="32"/>
          <w:szCs w:val="32"/>
        </w:rPr>
        <w:br w:type="page"/>
      </w:r>
    </w:p>
    <w:p>
      <w:pPr>
        <w:adjustRightInd w:val="0"/>
        <w:snapToGrid w:val="0"/>
        <w:spacing w:line="360" w:lineRule="auto"/>
        <w:ind w:right="629" w:firstLine="630" w:firstLineChars="196"/>
        <w:jc w:val="center"/>
        <w:outlineLvl w:val="0"/>
        <w:rPr>
          <w:rFonts w:ascii="宋体" w:hAnsi="宋体" w:cs="宋体"/>
          <w:szCs w:val="24"/>
        </w:rPr>
      </w:pPr>
      <w:r>
        <w:rPr>
          <w:rFonts w:hint="eastAsia"/>
          <w:b/>
          <w:bCs/>
          <w:sz w:val="32"/>
          <w:szCs w:val="32"/>
        </w:rPr>
        <w:t>服务方案</w:t>
      </w:r>
    </w:p>
    <w:p>
      <w:pPr>
        <w:adjustRightInd w:val="0"/>
        <w:snapToGrid w:val="0"/>
        <w:spacing w:line="360" w:lineRule="auto"/>
        <w:ind w:right="629" w:firstLine="470" w:firstLineChars="196"/>
        <w:rPr>
          <w:rFonts w:ascii="宋体" w:hAnsi="宋体" w:cs="宋体"/>
          <w:szCs w:val="24"/>
        </w:rPr>
      </w:pPr>
    </w:p>
    <w:p>
      <w:pPr>
        <w:adjustRightInd w:val="0"/>
        <w:snapToGrid w:val="0"/>
        <w:spacing w:line="360" w:lineRule="auto"/>
        <w:ind w:right="629" w:firstLine="470" w:firstLineChars="196"/>
        <w:jc w:val="center"/>
        <w:rPr>
          <w:rFonts w:ascii="宋体" w:hAnsi="宋体" w:cs="宋体"/>
          <w:szCs w:val="24"/>
        </w:rPr>
      </w:pPr>
      <w:r>
        <w:rPr>
          <w:rFonts w:hint="eastAsia" w:ascii="宋体" w:hAnsi="宋体" w:cs="宋体"/>
          <w:szCs w:val="24"/>
        </w:rPr>
        <w:t>（由响应供应商根据评标办法自行编写，格式自定。）</w:t>
      </w:r>
    </w:p>
    <w:p>
      <w:pPr>
        <w:adjustRightInd w:val="0"/>
        <w:snapToGrid w:val="0"/>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pStyle w:val="4"/>
        <w:spacing w:line="360" w:lineRule="auto"/>
        <w:rPr>
          <w:rFonts w:ascii="宋体" w:hAnsi="宋体" w:cs="宋体"/>
          <w:kern w:val="2"/>
          <w:sz w:val="21"/>
          <w:szCs w:val="21"/>
        </w:rPr>
        <w:sectPr>
          <w:pgSz w:w="11906" w:h="16838"/>
          <w:pgMar w:top="1440" w:right="1080" w:bottom="1440" w:left="1080" w:header="851" w:footer="992" w:gutter="0"/>
          <w:cols w:space="720" w:num="1"/>
          <w:docGrid w:type="lines" w:linePitch="312" w:charSpace="0"/>
        </w:sectPr>
      </w:pPr>
    </w:p>
    <w:p>
      <w:pPr>
        <w:adjustRightInd w:val="0"/>
        <w:snapToGrid w:val="0"/>
        <w:spacing w:line="360" w:lineRule="auto"/>
        <w:ind w:right="629" w:firstLine="630" w:firstLineChars="196"/>
        <w:jc w:val="center"/>
        <w:outlineLvl w:val="0"/>
        <w:rPr>
          <w:b/>
          <w:bCs/>
          <w:sz w:val="32"/>
          <w:szCs w:val="32"/>
        </w:rPr>
      </w:pPr>
      <w:bookmarkStart w:id="392" w:name="_Toc24559"/>
      <w:r>
        <w:rPr>
          <w:rFonts w:hint="eastAsia"/>
          <w:b/>
          <w:bCs/>
          <w:sz w:val="32"/>
          <w:szCs w:val="32"/>
        </w:rPr>
        <w:t>人员配备表</w:t>
      </w:r>
    </w:p>
    <w:p>
      <w:pPr>
        <w:spacing w:line="360" w:lineRule="auto"/>
        <w:textAlignment w:val="baseline"/>
        <w:rPr>
          <w:rStyle w:val="123"/>
          <w:rFonts w:ascii="宋体" w:hAnsi="宋体"/>
          <w:u w:val="single"/>
        </w:rPr>
      </w:pPr>
      <w:r>
        <w:rPr>
          <w:rStyle w:val="123"/>
          <w:rFonts w:ascii="宋体" w:hAnsi="宋体"/>
        </w:rPr>
        <w:t>供应商名称：</w:t>
      </w:r>
      <w:r>
        <w:rPr>
          <w:rStyle w:val="123"/>
          <w:rFonts w:hint="eastAsia" w:ascii="宋体" w:hAnsi="宋体"/>
          <w:u w:val="single"/>
        </w:rPr>
        <w:t xml:space="preserve">                       </w:t>
      </w:r>
      <w:r>
        <w:rPr>
          <w:rStyle w:val="123"/>
          <w:rFonts w:ascii="宋体" w:hAnsi="宋体"/>
          <w:u w:val="single"/>
        </w:rPr>
        <w:t xml:space="preserve"> </w:t>
      </w:r>
    </w:p>
    <w:p>
      <w:pPr>
        <w:spacing w:line="360" w:lineRule="auto"/>
        <w:textAlignment w:val="baseline"/>
        <w:rPr>
          <w:rStyle w:val="123"/>
          <w:rFonts w:ascii="宋体" w:hAnsi="宋体"/>
          <w:u w:val="single"/>
        </w:rPr>
      </w:pPr>
      <w:r>
        <w:rPr>
          <w:rStyle w:val="123"/>
          <w:rFonts w:ascii="宋体" w:hAnsi="宋体"/>
        </w:rPr>
        <w:t>采购项目编号：</w:t>
      </w:r>
      <w:r>
        <w:rPr>
          <w:rStyle w:val="123"/>
          <w:rFonts w:ascii="宋体" w:hAnsi="宋体"/>
          <w:u w:val="single"/>
        </w:rPr>
        <w:t xml:space="preserve">                      </w:t>
      </w:r>
    </w:p>
    <w:tbl>
      <w:tblPr>
        <w:tblStyle w:val="35"/>
        <w:tblW w:w="0" w:type="auto"/>
        <w:tblInd w:w="196"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727"/>
        <w:gridCol w:w="793"/>
        <w:gridCol w:w="568"/>
        <w:gridCol w:w="1814"/>
        <w:gridCol w:w="679"/>
        <w:gridCol w:w="537"/>
        <w:gridCol w:w="2459"/>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1727" w:type="dxa"/>
            <w:tcBorders>
              <w:top w:val="single" w:color="000000" w:sz="12" w:space="0"/>
              <w:left w:val="single" w:color="000000" w:sz="12" w:space="0"/>
              <w:bottom w:val="single" w:color="000000" w:sz="4" w:space="0"/>
              <w:right w:val="single" w:color="000000" w:sz="12" w:space="0"/>
            </w:tcBorders>
            <w:vAlign w:val="center"/>
          </w:tcPr>
          <w:p>
            <w:pPr>
              <w:jc w:val="center"/>
              <w:textAlignment w:val="baseline"/>
              <w:rPr>
                <w:rStyle w:val="123"/>
                <w:rFonts w:ascii="宋体" w:hAnsi="宋体" w:cs="仿宋_GB2312"/>
                <w:bCs/>
              </w:rPr>
            </w:pPr>
            <w:r>
              <w:rPr>
                <w:rStyle w:val="123"/>
                <w:rFonts w:ascii="宋体" w:hAnsi="宋体" w:cs="仿宋_GB2312"/>
                <w:bCs/>
              </w:rPr>
              <w:t>公司名称</w:t>
            </w:r>
          </w:p>
        </w:tc>
        <w:tc>
          <w:tcPr>
            <w:tcW w:w="6850" w:type="dxa"/>
            <w:gridSpan w:val="6"/>
            <w:tcBorders>
              <w:top w:val="single" w:color="000000" w:sz="12" w:space="0"/>
              <w:left w:val="single" w:color="000000" w:sz="12" w:space="0"/>
              <w:bottom w:val="single" w:color="000000" w:sz="4" w:space="0"/>
              <w:right w:val="single" w:color="000000" w:sz="12" w:space="0"/>
            </w:tcBorders>
            <w:vAlign w:val="center"/>
          </w:tcPr>
          <w:p>
            <w:pPr>
              <w:jc w:val="center"/>
              <w:textAlignment w:val="baseline"/>
              <w:rPr>
                <w:rStyle w:val="123"/>
                <w:rFonts w:ascii="宋体" w:hAnsi="宋体" w:cs="仿宋_GB2312"/>
                <w:b/>
                <w:bCs/>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8577" w:type="dxa"/>
            <w:gridSpan w:val="7"/>
            <w:tcBorders>
              <w:top w:val="single" w:color="000000" w:sz="4" w:space="0"/>
              <w:left w:val="single" w:color="000000" w:sz="12" w:space="0"/>
              <w:bottom w:val="single" w:color="000000" w:sz="4" w:space="0"/>
              <w:right w:val="single" w:color="000000" w:sz="12" w:space="0"/>
            </w:tcBorders>
            <w:vAlign w:val="center"/>
          </w:tcPr>
          <w:p>
            <w:pPr>
              <w:jc w:val="center"/>
              <w:textAlignment w:val="baseline"/>
              <w:rPr>
                <w:rStyle w:val="123"/>
                <w:rFonts w:ascii="宋体" w:hAnsi="宋体" w:cs="仿宋_GB2312"/>
                <w:b/>
                <w:bCs/>
              </w:rPr>
            </w:pPr>
            <w:r>
              <w:rPr>
                <w:rStyle w:val="123"/>
                <w:rFonts w:ascii="宋体" w:hAnsi="宋体" w:cs="仿宋_GB2312"/>
                <w:bCs/>
                <w:szCs w:val="22"/>
              </w:rPr>
              <w:t>现场人员配备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1727" w:type="dxa"/>
            <w:vMerge w:val="restart"/>
            <w:tcBorders>
              <w:top w:val="single" w:color="000000" w:sz="4" w:space="0"/>
              <w:left w:val="single" w:color="000000" w:sz="12" w:space="0"/>
              <w:bottom w:val="single" w:color="000000" w:sz="4" w:space="0"/>
              <w:right w:val="single" w:color="000000" w:sz="12" w:space="0"/>
            </w:tcBorders>
            <w:vAlign w:val="center"/>
          </w:tcPr>
          <w:p>
            <w:pPr>
              <w:jc w:val="center"/>
              <w:textAlignment w:val="baseline"/>
              <w:rPr>
                <w:rStyle w:val="123"/>
                <w:rFonts w:ascii="宋体" w:hAnsi="宋体" w:cs="仿宋_GB2312"/>
                <w:bCs/>
              </w:rPr>
            </w:pPr>
            <w:r>
              <w:rPr>
                <w:rStyle w:val="123"/>
                <w:rFonts w:ascii="宋体" w:hAnsi="宋体" w:cs="仿宋_GB2312"/>
                <w:bCs/>
              </w:rPr>
              <w:t>项目选派人员</w:t>
            </w:r>
          </w:p>
        </w:tc>
        <w:tc>
          <w:tcPr>
            <w:tcW w:w="793" w:type="dxa"/>
            <w:vMerge w:val="restart"/>
            <w:tcBorders>
              <w:top w:val="single" w:color="000000" w:sz="4" w:space="0"/>
              <w:left w:val="single" w:color="000000" w:sz="12" w:space="0"/>
              <w:bottom w:val="single" w:color="000000" w:sz="4" w:space="0"/>
              <w:right w:val="single" w:color="000000" w:sz="4" w:space="0"/>
            </w:tcBorders>
            <w:vAlign w:val="center"/>
          </w:tcPr>
          <w:p>
            <w:pPr>
              <w:jc w:val="center"/>
              <w:textAlignment w:val="baseline"/>
              <w:rPr>
                <w:rStyle w:val="123"/>
                <w:rFonts w:ascii="宋体" w:hAnsi="宋体" w:cs="仿宋_GB2312"/>
                <w:bCs/>
              </w:rPr>
            </w:pPr>
          </w:p>
        </w:tc>
        <w:tc>
          <w:tcPr>
            <w:tcW w:w="6057" w:type="dxa"/>
            <w:gridSpan w:val="5"/>
            <w:tcBorders>
              <w:top w:val="single" w:color="000000" w:sz="4" w:space="0"/>
              <w:left w:val="single" w:color="000000" w:sz="4" w:space="0"/>
              <w:bottom w:val="single" w:color="000000" w:sz="4" w:space="0"/>
              <w:right w:val="single" w:color="000000" w:sz="12" w:space="0"/>
            </w:tcBorders>
            <w:vAlign w:val="center"/>
          </w:tcPr>
          <w:p>
            <w:pPr>
              <w:jc w:val="center"/>
              <w:textAlignment w:val="baseline"/>
              <w:rPr>
                <w:rStyle w:val="123"/>
                <w:rFonts w:ascii="宋体" w:hAnsi="宋体" w:cs="仿宋_GB2312"/>
                <w:bCs/>
              </w:rPr>
            </w:pPr>
            <w:r>
              <w:rPr>
                <w:rStyle w:val="123"/>
                <w:rFonts w:ascii="宋体" w:hAnsi="宋体" w:cs="仿宋_GB2312"/>
                <w:bCs/>
              </w:rPr>
              <w:t>有职称管理人员</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53" w:hRule="atLeast"/>
        </w:trPr>
        <w:tc>
          <w:tcPr>
            <w:tcW w:w="1727" w:type="dxa"/>
            <w:vMerge w:val="continue"/>
            <w:tcBorders>
              <w:top w:val="single" w:color="000000" w:sz="4" w:space="0"/>
              <w:left w:val="single" w:color="000000" w:sz="12" w:space="0"/>
              <w:bottom w:val="single" w:color="000000" w:sz="4" w:space="0"/>
              <w:right w:val="single" w:color="000000" w:sz="12" w:space="0"/>
            </w:tcBorders>
            <w:vAlign w:val="center"/>
          </w:tcPr>
          <w:p>
            <w:pPr>
              <w:jc w:val="center"/>
              <w:textAlignment w:val="baseline"/>
              <w:rPr>
                <w:rStyle w:val="123"/>
                <w:rFonts w:ascii="宋体" w:hAnsi="宋体" w:cs="仿宋_GB2312"/>
                <w:bCs/>
              </w:rPr>
            </w:pPr>
          </w:p>
        </w:tc>
        <w:tc>
          <w:tcPr>
            <w:tcW w:w="793" w:type="dxa"/>
            <w:vMerge w:val="continue"/>
            <w:tcBorders>
              <w:top w:val="single" w:color="000000" w:sz="4" w:space="0"/>
              <w:left w:val="single" w:color="000000" w:sz="12" w:space="0"/>
              <w:bottom w:val="single" w:color="000000" w:sz="4" w:space="0"/>
              <w:right w:val="single" w:color="000000" w:sz="4" w:space="0"/>
            </w:tcBorders>
            <w:vAlign w:val="center"/>
          </w:tcPr>
          <w:p>
            <w:pPr>
              <w:jc w:val="center"/>
              <w:textAlignment w:val="baseline"/>
              <w:rPr>
                <w:rStyle w:val="123"/>
                <w:rFonts w:ascii="宋体" w:hAnsi="宋体" w:cs="仿宋_GB2312"/>
                <w:bCs/>
              </w:rPr>
            </w:pPr>
          </w:p>
        </w:tc>
        <w:tc>
          <w:tcPr>
            <w:tcW w:w="3061" w:type="dxa"/>
            <w:gridSpan w:val="3"/>
            <w:tcBorders>
              <w:top w:val="single" w:color="000000" w:sz="4" w:space="0"/>
              <w:left w:val="single" w:color="000000" w:sz="4" w:space="0"/>
              <w:bottom w:val="single" w:color="000000" w:sz="4" w:space="0"/>
              <w:right w:val="single" w:color="000000" w:sz="4" w:space="0"/>
            </w:tcBorders>
            <w:vAlign w:val="center"/>
          </w:tcPr>
          <w:p>
            <w:pPr>
              <w:ind w:firstLine="1080" w:firstLineChars="450"/>
              <w:textAlignment w:val="baseline"/>
              <w:rPr>
                <w:rStyle w:val="123"/>
                <w:rFonts w:ascii="宋体" w:hAnsi="宋体" w:cs="仿宋_GB2312"/>
                <w:bCs/>
              </w:rPr>
            </w:pPr>
            <w:r>
              <w:rPr>
                <w:rStyle w:val="123"/>
                <w:rFonts w:ascii="宋体" w:hAnsi="宋体" w:cs="仿宋_GB2312"/>
                <w:bCs/>
              </w:rPr>
              <w:t>高级</w:t>
            </w:r>
          </w:p>
        </w:tc>
        <w:tc>
          <w:tcPr>
            <w:tcW w:w="2996" w:type="dxa"/>
            <w:gridSpan w:val="2"/>
            <w:tcBorders>
              <w:top w:val="single" w:color="000000" w:sz="4" w:space="0"/>
              <w:left w:val="single" w:color="000000" w:sz="4" w:space="0"/>
              <w:bottom w:val="single" w:color="000000" w:sz="4" w:space="0"/>
              <w:right w:val="single" w:color="000000" w:sz="12" w:space="0"/>
            </w:tcBorders>
            <w:vAlign w:val="center"/>
          </w:tcPr>
          <w:p>
            <w:pPr>
              <w:jc w:val="center"/>
              <w:textAlignment w:val="baseline"/>
              <w:rPr>
                <w:rStyle w:val="123"/>
                <w:rFonts w:ascii="宋体" w:hAnsi="宋体" w:cs="仿宋_GB2312"/>
                <w:bCs/>
              </w:rPr>
            </w:pPr>
            <w:r>
              <w:rPr>
                <w:rStyle w:val="123"/>
                <w:rFonts w:ascii="宋体" w:hAnsi="宋体" w:cs="仿宋_GB2312"/>
                <w:bCs/>
              </w:rPr>
              <w:t>中级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1727" w:type="dxa"/>
            <w:vMerge w:val="continue"/>
            <w:tcBorders>
              <w:top w:val="single" w:color="000000" w:sz="4" w:space="0"/>
              <w:left w:val="single" w:color="000000" w:sz="12" w:space="0"/>
              <w:bottom w:val="single" w:color="000000" w:sz="4" w:space="0"/>
              <w:right w:val="single" w:color="000000" w:sz="12" w:space="0"/>
            </w:tcBorders>
            <w:vAlign w:val="center"/>
          </w:tcPr>
          <w:p>
            <w:pPr>
              <w:jc w:val="center"/>
              <w:textAlignment w:val="baseline"/>
              <w:rPr>
                <w:rStyle w:val="123"/>
                <w:rFonts w:ascii="宋体" w:hAnsi="宋体" w:cs="仿宋_GB2312"/>
                <w:bCs/>
              </w:rPr>
            </w:pPr>
          </w:p>
        </w:tc>
        <w:tc>
          <w:tcPr>
            <w:tcW w:w="793" w:type="dxa"/>
            <w:vMerge w:val="continue"/>
            <w:tcBorders>
              <w:top w:val="single" w:color="000000" w:sz="4" w:space="0"/>
              <w:left w:val="single" w:color="000000" w:sz="12" w:space="0"/>
              <w:bottom w:val="single" w:color="000000" w:sz="4" w:space="0"/>
              <w:right w:val="single" w:color="000000" w:sz="4" w:space="0"/>
            </w:tcBorders>
            <w:vAlign w:val="center"/>
          </w:tcPr>
          <w:p>
            <w:pPr>
              <w:jc w:val="center"/>
              <w:textAlignment w:val="baseline"/>
              <w:rPr>
                <w:rStyle w:val="123"/>
                <w:rFonts w:ascii="宋体" w:hAnsi="宋体" w:cs="仿宋_GB2312"/>
                <w:bCs/>
              </w:rPr>
            </w:pPr>
          </w:p>
        </w:tc>
        <w:tc>
          <w:tcPr>
            <w:tcW w:w="3061" w:type="dxa"/>
            <w:gridSpan w:val="3"/>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123"/>
                <w:rFonts w:ascii="宋体" w:hAnsi="宋体" w:cs="仿宋_GB2312"/>
                <w:bCs/>
              </w:rPr>
            </w:pPr>
          </w:p>
        </w:tc>
        <w:tc>
          <w:tcPr>
            <w:tcW w:w="2996" w:type="dxa"/>
            <w:gridSpan w:val="2"/>
            <w:tcBorders>
              <w:top w:val="single" w:color="000000" w:sz="4" w:space="0"/>
              <w:left w:val="single" w:color="000000" w:sz="4" w:space="0"/>
              <w:bottom w:val="single" w:color="000000" w:sz="4" w:space="0"/>
              <w:right w:val="single" w:color="000000" w:sz="12" w:space="0"/>
            </w:tcBorders>
            <w:vAlign w:val="center"/>
          </w:tcPr>
          <w:p>
            <w:pPr>
              <w:jc w:val="center"/>
              <w:textAlignment w:val="baseline"/>
              <w:rPr>
                <w:rStyle w:val="123"/>
                <w:rFonts w:ascii="宋体" w:hAnsi="宋体" w:cs="仿宋_GB2312"/>
                <w:bCs/>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1727" w:type="dxa"/>
            <w:tcBorders>
              <w:top w:val="single" w:color="000000" w:sz="4" w:space="0"/>
              <w:left w:val="single" w:color="000000" w:sz="12" w:space="0"/>
              <w:bottom w:val="single" w:color="000000" w:sz="4" w:space="0"/>
              <w:right w:val="single" w:color="000000" w:sz="12" w:space="0"/>
            </w:tcBorders>
            <w:vAlign w:val="center"/>
          </w:tcPr>
          <w:p>
            <w:pPr>
              <w:jc w:val="center"/>
              <w:textAlignment w:val="baseline"/>
              <w:rPr>
                <w:rStyle w:val="123"/>
                <w:rFonts w:ascii="宋体" w:hAnsi="宋体" w:cs="仿宋_GB2312"/>
                <w:bCs/>
              </w:rPr>
            </w:pPr>
            <w:r>
              <w:rPr>
                <w:rStyle w:val="123"/>
                <w:rFonts w:ascii="宋体" w:hAnsi="宋体" w:cs="仿宋_GB2312"/>
                <w:bCs/>
              </w:rPr>
              <w:t>主要选派人员</w:t>
            </w:r>
          </w:p>
        </w:tc>
        <w:tc>
          <w:tcPr>
            <w:tcW w:w="1361" w:type="dxa"/>
            <w:gridSpan w:val="2"/>
            <w:tcBorders>
              <w:top w:val="single" w:color="000000" w:sz="4" w:space="0"/>
              <w:left w:val="single" w:color="000000" w:sz="12" w:space="0"/>
              <w:bottom w:val="single" w:color="000000" w:sz="4" w:space="0"/>
              <w:right w:val="single" w:color="000000" w:sz="4" w:space="0"/>
            </w:tcBorders>
            <w:vAlign w:val="center"/>
          </w:tcPr>
          <w:p>
            <w:pPr>
              <w:jc w:val="center"/>
              <w:textAlignment w:val="baseline"/>
              <w:rPr>
                <w:rStyle w:val="123"/>
                <w:rFonts w:ascii="宋体" w:hAnsi="宋体" w:cs="仿宋_GB2312"/>
                <w:bCs/>
              </w:rPr>
            </w:pPr>
            <w:r>
              <w:rPr>
                <w:rStyle w:val="123"/>
                <w:rFonts w:ascii="宋体" w:hAnsi="宋体" w:cs="仿宋_GB2312"/>
                <w:bCs/>
              </w:rPr>
              <w:t>姓名</w:t>
            </w:r>
          </w:p>
        </w:tc>
        <w:tc>
          <w:tcPr>
            <w:tcW w:w="1814"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123"/>
                <w:rFonts w:ascii="宋体" w:hAnsi="宋体" w:cs="仿宋_GB2312"/>
                <w:bCs/>
              </w:rPr>
            </w:pPr>
            <w:r>
              <w:rPr>
                <w:rStyle w:val="123"/>
                <w:rFonts w:ascii="宋体" w:hAnsi="宋体" w:cs="仿宋_GB2312"/>
                <w:bCs/>
              </w:rPr>
              <w:t>学历及专业</w:t>
            </w:r>
          </w:p>
        </w:tc>
        <w:tc>
          <w:tcPr>
            <w:tcW w:w="1216" w:type="dxa"/>
            <w:gridSpan w:val="2"/>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123"/>
                <w:rFonts w:ascii="宋体" w:hAnsi="宋体" w:cs="仿宋_GB2312"/>
                <w:bCs/>
              </w:rPr>
            </w:pPr>
            <w:r>
              <w:rPr>
                <w:rStyle w:val="123"/>
                <w:rFonts w:ascii="宋体" w:hAnsi="宋体" w:cs="仿宋_GB2312"/>
                <w:bCs/>
              </w:rPr>
              <w:t>职称</w:t>
            </w:r>
          </w:p>
        </w:tc>
        <w:tc>
          <w:tcPr>
            <w:tcW w:w="2459" w:type="dxa"/>
            <w:tcBorders>
              <w:top w:val="single" w:color="000000" w:sz="4" w:space="0"/>
              <w:left w:val="single" w:color="000000" w:sz="4" w:space="0"/>
              <w:bottom w:val="single" w:color="000000" w:sz="4" w:space="0"/>
              <w:right w:val="single" w:color="000000" w:sz="12" w:space="0"/>
            </w:tcBorders>
            <w:vAlign w:val="center"/>
          </w:tcPr>
          <w:p>
            <w:pPr>
              <w:jc w:val="center"/>
              <w:textAlignment w:val="baseline"/>
              <w:rPr>
                <w:rStyle w:val="123"/>
                <w:rFonts w:ascii="宋体" w:hAnsi="宋体" w:cs="仿宋_GB2312"/>
                <w:bCs/>
              </w:rPr>
            </w:pPr>
            <w:r>
              <w:rPr>
                <w:rStyle w:val="123"/>
                <w:rFonts w:ascii="宋体" w:hAnsi="宋体" w:cs="仿宋_GB2312"/>
                <w:bCs/>
              </w:rPr>
              <w:t xml:space="preserve">负责内容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1727" w:type="dxa"/>
            <w:tcBorders>
              <w:top w:val="single" w:color="000000" w:sz="4" w:space="0"/>
              <w:left w:val="single" w:color="000000" w:sz="12" w:space="0"/>
              <w:bottom w:val="single" w:color="000000" w:sz="4" w:space="0"/>
              <w:right w:val="single" w:color="000000" w:sz="12" w:space="0"/>
            </w:tcBorders>
            <w:vAlign w:val="center"/>
          </w:tcPr>
          <w:p>
            <w:pPr>
              <w:jc w:val="center"/>
              <w:textAlignment w:val="baseline"/>
              <w:rPr>
                <w:rStyle w:val="123"/>
                <w:rFonts w:ascii="宋体" w:hAnsi="宋体" w:cs="仿宋_GB2312"/>
                <w:bCs/>
              </w:rPr>
            </w:pPr>
          </w:p>
        </w:tc>
        <w:tc>
          <w:tcPr>
            <w:tcW w:w="1361" w:type="dxa"/>
            <w:gridSpan w:val="2"/>
            <w:tcBorders>
              <w:top w:val="single" w:color="000000" w:sz="4" w:space="0"/>
              <w:left w:val="single" w:color="000000" w:sz="12" w:space="0"/>
              <w:bottom w:val="single" w:color="000000" w:sz="4" w:space="0"/>
              <w:right w:val="single" w:color="000000" w:sz="4" w:space="0"/>
            </w:tcBorders>
            <w:vAlign w:val="center"/>
          </w:tcPr>
          <w:p>
            <w:pPr>
              <w:jc w:val="center"/>
              <w:textAlignment w:val="baseline"/>
              <w:rPr>
                <w:rStyle w:val="123"/>
                <w:rFonts w:ascii="宋体" w:hAnsi="宋体" w:cs="仿宋_GB2312"/>
                <w:bCs/>
              </w:rPr>
            </w:pPr>
          </w:p>
        </w:tc>
        <w:tc>
          <w:tcPr>
            <w:tcW w:w="1814"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123"/>
                <w:rFonts w:ascii="宋体" w:hAnsi="宋体" w:cs="仿宋_GB2312"/>
                <w:bCs/>
              </w:rPr>
            </w:pPr>
          </w:p>
        </w:tc>
        <w:tc>
          <w:tcPr>
            <w:tcW w:w="1216" w:type="dxa"/>
            <w:gridSpan w:val="2"/>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123"/>
                <w:rFonts w:ascii="宋体" w:hAnsi="宋体" w:cs="仿宋_GB2312"/>
                <w:bCs/>
              </w:rPr>
            </w:pPr>
          </w:p>
        </w:tc>
        <w:tc>
          <w:tcPr>
            <w:tcW w:w="2459" w:type="dxa"/>
            <w:tcBorders>
              <w:top w:val="single" w:color="000000" w:sz="4" w:space="0"/>
              <w:left w:val="single" w:color="000000" w:sz="4" w:space="0"/>
              <w:bottom w:val="single" w:color="000000" w:sz="4" w:space="0"/>
              <w:right w:val="single" w:color="000000" w:sz="12" w:space="0"/>
            </w:tcBorders>
            <w:vAlign w:val="center"/>
          </w:tcPr>
          <w:p>
            <w:pPr>
              <w:jc w:val="center"/>
              <w:textAlignment w:val="baseline"/>
              <w:rPr>
                <w:rStyle w:val="123"/>
                <w:rFonts w:ascii="宋体" w:hAnsi="宋体" w:cs="仿宋_GB2312"/>
                <w:bCs/>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1727" w:type="dxa"/>
            <w:tcBorders>
              <w:top w:val="single" w:color="000000" w:sz="4" w:space="0"/>
              <w:left w:val="single" w:color="000000" w:sz="12" w:space="0"/>
              <w:bottom w:val="single" w:color="000000" w:sz="4" w:space="0"/>
              <w:right w:val="single" w:color="000000" w:sz="12" w:space="0"/>
            </w:tcBorders>
            <w:vAlign w:val="center"/>
          </w:tcPr>
          <w:p>
            <w:pPr>
              <w:jc w:val="center"/>
              <w:textAlignment w:val="baseline"/>
              <w:rPr>
                <w:rStyle w:val="123"/>
                <w:rFonts w:ascii="宋体" w:hAnsi="宋体" w:cs="仿宋_GB2312"/>
                <w:bCs/>
              </w:rPr>
            </w:pPr>
          </w:p>
        </w:tc>
        <w:tc>
          <w:tcPr>
            <w:tcW w:w="1361" w:type="dxa"/>
            <w:gridSpan w:val="2"/>
            <w:tcBorders>
              <w:top w:val="single" w:color="000000" w:sz="4" w:space="0"/>
              <w:left w:val="single" w:color="000000" w:sz="12" w:space="0"/>
              <w:bottom w:val="single" w:color="000000" w:sz="4" w:space="0"/>
              <w:right w:val="single" w:color="000000" w:sz="4" w:space="0"/>
            </w:tcBorders>
            <w:vAlign w:val="center"/>
          </w:tcPr>
          <w:p>
            <w:pPr>
              <w:jc w:val="center"/>
              <w:textAlignment w:val="baseline"/>
              <w:rPr>
                <w:rStyle w:val="123"/>
                <w:rFonts w:ascii="宋体" w:hAnsi="宋体" w:cs="仿宋_GB2312"/>
                <w:bCs/>
              </w:rPr>
            </w:pPr>
          </w:p>
        </w:tc>
        <w:tc>
          <w:tcPr>
            <w:tcW w:w="1814"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123"/>
                <w:rFonts w:ascii="宋体" w:hAnsi="宋体" w:cs="仿宋_GB2312"/>
                <w:bCs/>
              </w:rPr>
            </w:pPr>
          </w:p>
        </w:tc>
        <w:tc>
          <w:tcPr>
            <w:tcW w:w="1216" w:type="dxa"/>
            <w:gridSpan w:val="2"/>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123"/>
                <w:rFonts w:ascii="宋体" w:hAnsi="宋体" w:cs="仿宋_GB2312"/>
                <w:bCs/>
              </w:rPr>
            </w:pPr>
          </w:p>
        </w:tc>
        <w:tc>
          <w:tcPr>
            <w:tcW w:w="2459" w:type="dxa"/>
            <w:tcBorders>
              <w:top w:val="single" w:color="000000" w:sz="4" w:space="0"/>
              <w:left w:val="single" w:color="000000" w:sz="4" w:space="0"/>
              <w:bottom w:val="single" w:color="000000" w:sz="4" w:space="0"/>
              <w:right w:val="single" w:color="000000" w:sz="12" w:space="0"/>
            </w:tcBorders>
            <w:vAlign w:val="center"/>
          </w:tcPr>
          <w:p>
            <w:pPr>
              <w:jc w:val="center"/>
              <w:textAlignment w:val="baseline"/>
              <w:rPr>
                <w:rStyle w:val="123"/>
                <w:rFonts w:ascii="宋体" w:hAnsi="宋体" w:cs="仿宋_GB2312"/>
                <w:bCs/>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1727" w:type="dxa"/>
            <w:tcBorders>
              <w:top w:val="single" w:color="000000" w:sz="4" w:space="0"/>
              <w:left w:val="single" w:color="000000" w:sz="12" w:space="0"/>
              <w:bottom w:val="single" w:color="000000" w:sz="4" w:space="0"/>
              <w:right w:val="single" w:color="000000" w:sz="12" w:space="0"/>
            </w:tcBorders>
            <w:vAlign w:val="center"/>
          </w:tcPr>
          <w:p>
            <w:pPr>
              <w:jc w:val="center"/>
              <w:textAlignment w:val="baseline"/>
              <w:rPr>
                <w:rStyle w:val="123"/>
                <w:rFonts w:ascii="宋体" w:hAnsi="宋体" w:cs="仿宋_GB2312"/>
                <w:bCs/>
              </w:rPr>
            </w:pPr>
          </w:p>
        </w:tc>
        <w:tc>
          <w:tcPr>
            <w:tcW w:w="1361" w:type="dxa"/>
            <w:gridSpan w:val="2"/>
            <w:tcBorders>
              <w:top w:val="single" w:color="000000" w:sz="4" w:space="0"/>
              <w:left w:val="single" w:color="000000" w:sz="12" w:space="0"/>
              <w:bottom w:val="single" w:color="000000" w:sz="4" w:space="0"/>
              <w:right w:val="single" w:color="000000" w:sz="4" w:space="0"/>
            </w:tcBorders>
            <w:vAlign w:val="center"/>
          </w:tcPr>
          <w:p>
            <w:pPr>
              <w:jc w:val="center"/>
              <w:textAlignment w:val="baseline"/>
              <w:rPr>
                <w:rStyle w:val="123"/>
                <w:rFonts w:ascii="宋体" w:hAnsi="宋体" w:cs="仿宋_GB2312"/>
                <w:bCs/>
              </w:rPr>
            </w:pPr>
          </w:p>
        </w:tc>
        <w:tc>
          <w:tcPr>
            <w:tcW w:w="1814"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123"/>
                <w:rFonts w:ascii="宋体" w:hAnsi="宋体" w:cs="仿宋_GB2312"/>
                <w:bCs/>
              </w:rPr>
            </w:pPr>
          </w:p>
        </w:tc>
        <w:tc>
          <w:tcPr>
            <w:tcW w:w="1216" w:type="dxa"/>
            <w:gridSpan w:val="2"/>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123"/>
                <w:rFonts w:ascii="宋体" w:hAnsi="宋体" w:cs="仿宋_GB2312"/>
                <w:bCs/>
              </w:rPr>
            </w:pPr>
          </w:p>
        </w:tc>
        <w:tc>
          <w:tcPr>
            <w:tcW w:w="2459" w:type="dxa"/>
            <w:tcBorders>
              <w:top w:val="single" w:color="000000" w:sz="4" w:space="0"/>
              <w:left w:val="single" w:color="000000" w:sz="4" w:space="0"/>
              <w:bottom w:val="single" w:color="000000" w:sz="4" w:space="0"/>
              <w:right w:val="single" w:color="000000" w:sz="12" w:space="0"/>
            </w:tcBorders>
            <w:vAlign w:val="center"/>
          </w:tcPr>
          <w:p>
            <w:pPr>
              <w:jc w:val="center"/>
              <w:textAlignment w:val="baseline"/>
              <w:rPr>
                <w:rStyle w:val="123"/>
                <w:rFonts w:ascii="宋体" w:hAnsi="宋体" w:cs="仿宋_GB2312"/>
                <w:bCs/>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1727" w:type="dxa"/>
            <w:tcBorders>
              <w:top w:val="single" w:color="000000" w:sz="4" w:space="0"/>
              <w:left w:val="single" w:color="000000" w:sz="12" w:space="0"/>
              <w:bottom w:val="single" w:color="000000" w:sz="4" w:space="0"/>
              <w:right w:val="single" w:color="000000" w:sz="12" w:space="0"/>
            </w:tcBorders>
            <w:vAlign w:val="center"/>
          </w:tcPr>
          <w:p>
            <w:pPr>
              <w:jc w:val="center"/>
              <w:textAlignment w:val="baseline"/>
              <w:rPr>
                <w:rStyle w:val="123"/>
                <w:rFonts w:ascii="宋体" w:hAnsi="宋体" w:cs="仿宋_GB2312"/>
                <w:bCs/>
              </w:rPr>
            </w:pPr>
          </w:p>
        </w:tc>
        <w:tc>
          <w:tcPr>
            <w:tcW w:w="1361" w:type="dxa"/>
            <w:gridSpan w:val="2"/>
            <w:tcBorders>
              <w:top w:val="single" w:color="000000" w:sz="4" w:space="0"/>
              <w:left w:val="single" w:color="000000" w:sz="12" w:space="0"/>
              <w:bottom w:val="single" w:color="000000" w:sz="4" w:space="0"/>
              <w:right w:val="single" w:color="000000" w:sz="4" w:space="0"/>
            </w:tcBorders>
            <w:vAlign w:val="center"/>
          </w:tcPr>
          <w:p>
            <w:pPr>
              <w:jc w:val="center"/>
              <w:textAlignment w:val="baseline"/>
              <w:rPr>
                <w:rStyle w:val="123"/>
                <w:rFonts w:ascii="宋体" w:hAnsi="宋体" w:cs="仿宋_GB2312"/>
                <w:bCs/>
              </w:rPr>
            </w:pPr>
          </w:p>
        </w:tc>
        <w:tc>
          <w:tcPr>
            <w:tcW w:w="1814"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123"/>
                <w:rFonts w:ascii="宋体" w:hAnsi="宋体" w:cs="仿宋_GB2312"/>
                <w:bCs/>
              </w:rPr>
            </w:pPr>
          </w:p>
        </w:tc>
        <w:tc>
          <w:tcPr>
            <w:tcW w:w="1216" w:type="dxa"/>
            <w:gridSpan w:val="2"/>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123"/>
                <w:rFonts w:ascii="宋体" w:hAnsi="宋体" w:cs="仿宋_GB2312"/>
                <w:bCs/>
              </w:rPr>
            </w:pPr>
          </w:p>
        </w:tc>
        <w:tc>
          <w:tcPr>
            <w:tcW w:w="2459" w:type="dxa"/>
            <w:tcBorders>
              <w:top w:val="single" w:color="000000" w:sz="4" w:space="0"/>
              <w:left w:val="single" w:color="000000" w:sz="4" w:space="0"/>
              <w:bottom w:val="single" w:color="000000" w:sz="4" w:space="0"/>
              <w:right w:val="single" w:color="000000" w:sz="12" w:space="0"/>
            </w:tcBorders>
            <w:vAlign w:val="center"/>
          </w:tcPr>
          <w:p>
            <w:pPr>
              <w:jc w:val="center"/>
              <w:textAlignment w:val="baseline"/>
              <w:rPr>
                <w:rStyle w:val="123"/>
                <w:rFonts w:ascii="宋体" w:hAnsi="宋体" w:cs="仿宋_GB2312"/>
                <w:bCs/>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1727" w:type="dxa"/>
            <w:tcBorders>
              <w:top w:val="single" w:color="000000" w:sz="4" w:space="0"/>
              <w:left w:val="single" w:color="000000" w:sz="12" w:space="0"/>
              <w:bottom w:val="single" w:color="000000" w:sz="4" w:space="0"/>
              <w:right w:val="single" w:color="000000" w:sz="12" w:space="0"/>
            </w:tcBorders>
            <w:vAlign w:val="center"/>
          </w:tcPr>
          <w:p>
            <w:pPr>
              <w:jc w:val="center"/>
              <w:textAlignment w:val="baseline"/>
              <w:rPr>
                <w:rStyle w:val="123"/>
                <w:rFonts w:ascii="宋体" w:hAnsi="宋体" w:cs="仿宋_GB2312"/>
                <w:bCs/>
              </w:rPr>
            </w:pPr>
          </w:p>
        </w:tc>
        <w:tc>
          <w:tcPr>
            <w:tcW w:w="1361" w:type="dxa"/>
            <w:gridSpan w:val="2"/>
            <w:tcBorders>
              <w:top w:val="single" w:color="000000" w:sz="4" w:space="0"/>
              <w:left w:val="single" w:color="000000" w:sz="12" w:space="0"/>
              <w:bottom w:val="single" w:color="000000" w:sz="4" w:space="0"/>
              <w:right w:val="single" w:color="000000" w:sz="4" w:space="0"/>
            </w:tcBorders>
            <w:vAlign w:val="center"/>
          </w:tcPr>
          <w:p>
            <w:pPr>
              <w:jc w:val="center"/>
              <w:textAlignment w:val="baseline"/>
              <w:rPr>
                <w:rStyle w:val="123"/>
                <w:rFonts w:ascii="宋体" w:hAnsi="宋体" w:cs="仿宋_GB2312"/>
                <w:bCs/>
              </w:rPr>
            </w:pPr>
          </w:p>
        </w:tc>
        <w:tc>
          <w:tcPr>
            <w:tcW w:w="1814"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123"/>
                <w:rFonts w:ascii="宋体" w:hAnsi="宋体" w:cs="仿宋_GB2312"/>
                <w:bCs/>
              </w:rPr>
            </w:pPr>
          </w:p>
        </w:tc>
        <w:tc>
          <w:tcPr>
            <w:tcW w:w="1216" w:type="dxa"/>
            <w:gridSpan w:val="2"/>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123"/>
                <w:rFonts w:ascii="宋体" w:hAnsi="宋体" w:cs="仿宋_GB2312"/>
                <w:bCs/>
              </w:rPr>
            </w:pPr>
          </w:p>
        </w:tc>
        <w:tc>
          <w:tcPr>
            <w:tcW w:w="2459" w:type="dxa"/>
            <w:tcBorders>
              <w:top w:val="single" w:color="000000" w:sz="4" w:space="0"/>
              <w:left w:val="single" w:color="000000" w:sz="4" w:space="0"/>
              <w:bottom w:val="single" w:color="000000" w:sz="4" w:space="0"/>
              <w:right w:val="single" w:color="000000" w:sz="12" w:space="0"/>
            </w:tcBorders>
            <w:vAlign w:val="center"/>
          </w:tcPr>
          <w:p>
            <w:pPr>
              <w:jc w:val="center"/>
              <w:textAlignment w:val="baseline"/>
              <w:rPr>
                <w:rStyle w:val="123"/>
                <w:rFonts w:ascii="宋体" w:hAnsi="宋体" w:cs="仿宋_GB2312"/>
                <w:bCs/>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1727" w:type="dxa"/>
            <w:tcBorders>
              <w:top w:val="single" w:color="000000" w:sz="4" w:space="0"/>
              <w:left w:val="single" w:color="000000" w:sz="12" w:space="0"/>
              <w:bottom w:val="single" w:color="000000" w:sz="4" w:space="0"/>
              <w:right w:val="single" w:color="000000" w:sz="12" w:space="0"/>
            </w:tcBorders>
            <w:vAlign w:val="center"/>
          </w:tcPr>
          <w:p>
            <w:pPr>
              <w:jc w:val="center"/>
              <w:textAlignment w:val="baseline"/>
              <w:rPr>
                <w:rStyle w:val="123"/>
                <w:rFonts w:ascii="宋体" w:hAnsi="宋体" w:cs="仿宋_GB2312"/>
                <w:bCs/>
              </w:rPr>
            </w:pPr>
          </w:p>
        </w:tc>
        <w:tc>
          <w:tcPr>
            <w:tcW w:w="1361" w:type="dxa"/>
            <w:gridSpan w:val="2"/>
            <w:tcBorders>
              <w:top w:val="single" w:color="000000" w:sz="4" w:space="0"/>
              <w:left w:val="single" w:color="000000" w:sz="12" w:space="0"/>
              <w:bottom w:val="single" w:color="000000" w:sz="4" w:space="0"/>
              <w:right w:val="single" w:color="000000" w:sz="4" w:space="0"/>
            </w:tcBorders>
            <w:vAlign w:val="center"/>
          </w:tcPr>
          <w:p>
            <w:pPr>
              <w:jc w:val="center"/>
              <w:textAlignment w:val="baseline"/>
              <w:rPr>
                <w:rStyle w:val="123"/>
                <w:rFonts w:ascii="宋体" w:hAnsi="宋体" w:cs="仿宋_GB2312"/>
                <w:bCs/>
              </w:rPr>
            </w:pPr>
          </w:p>
        </w:tc>
        <w:tc>
          <w:tcPr>
            <w:tcW w:w="1814"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123"/>
                <w:rFonts w:ascii="宋体" w:hAnsi="宋体" w:cs="仿宋_GB2312"/>
                <w:bCs/>
              </w:rPr>
            </w:pPr>
          </w:p>
        </w:tc>
        <w:tc>
          <w:tcPr>
            <w:tcW w:w="1216" w:type="dxa"/>
            <w:gridSpan w:val="2"/>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123"/>
                <w:rFonts w:ascii="宋体" w:hAnsi="宋体" w:cs="仿宋_GB2312"/>
                <w:bCs/>
              </w:rPr>
            </w:pPr>
          </w:p>
        </w:tc>
        <w:tc>
          <w:tcPr>
            <w:tcW w:w="2459" w:type="dxa"/>
            <w:tcBorders>
              <w:top w:val="single" w:color="000000" w:sz="4" w:space="0"/>
              <w:left w:val="single" w:color="000000" w:sz="4" w:space="0"/>
              <w:bottom w:val="single" w:color="000000" w:sz="4" w:space="0"/>
              <w:right w:val="single" w:color="000000" w:sz="12" w:space="0"/>
            </w:tcBorders>
            <w:vAlign w:val="center"/>
          </w:tcPr>
          <w:p>
            <w:pPr>
              <w:jc w:val="center"/>
              <w:textAlignment w:val="baseline"/>
              <w:rPr>
                <w:rStyle w:val="123"/>
                <w:rFonts w:ascii="宋体" w:hAnsi="宋体" w:cs="仿宋_GB2312"/>
                <w:bCs/>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1727" w:type="dxa"/>
            <w:tcBorders>
              <w:top w:val="single" w:color="000000" w:sz="4" w:space="0"/>
              <w:left w:val="single" w:color="000000" w:sz="12" w:space="0"/>
              <w:bottom w:val="single" w:color="000000" w:sz="4" w:space="0"/>
              <w:right w:val="single" w:color="000000" w:sz="12" w:space="0"/>
            </w:tcBorders>
            <w:vAlign w:val="center"/>
          </w:tcPr>
          <w:p>
            <w:pPr>
              <w:jc w:val="center"/>
              <w:textAlignment w:val="baseline"/>
              <w:rPr>
                <w:rStyle w:val="123"/>
                <w:rFonts w:ascii="宋体" w:hAnsi="宋体" w:cs="仿宋_GB2312"/>
                <w:bCs/>
              </w:rPr>
            </w:pPr>
          </w:p>
        </w:tc>
        <w:tc>
          <w:tcPr>
            <w:tcW w:w="1361" w:type="dxa"/>
            <w:gridSpan w:val="2"/>
            <w:tcBorders>
              <w:top w:val="single" w:color="000000" w:sz="4" w:space="0"/>
              <w:left w:val="single" w:color="000000" w:sz="12" w:space="0"/>
              <w:bottom w:val="single" w:color="000000" w:sz="4" w:space="0"/>
              <w:right w:val="single" w:color="000000" w:sz="4" w:space="0"/>
            </w:tcBorders>
            <w:vAlign w:val="center"/>
          </w:tcPr>
          <w:p>
            <w:pPr>
              <w:jc w:val="center"/>
              <w:textAlignment w:val="baseline"/>
              <w:rPr>
                <w:rStyle w:val="123"/>
                <w:rFonts w:ascii="宋体" w:hAnsi="宋体" w:cs="仿宋_GB2312"/>
                <w:bCs/>
              </w:rPr>
            </w:pPr>
          </w:p>
        </w:tc>
        <w:tc>
          <w:tcPr>
            <w:tcW w:w="1814"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123"/>
                <w:rFonts w:ascii="宋体" w:hAnsi="宋体" w:cs="仿宋_GB2312"/>
                <w:bCs/>
              </w:rPr>
            </w:pPr>
          </w:p>
        </w:tc>
        <w:tc>
          <w:tcPr>
            <w:tcW w:w="1216" w:type="dxa"/>
            <w:gridSpan w:val="2"/>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123"/>
                <w:rFonts w:ascii="宋体" w:hAnsi="宋体" w:cs="仿宋_GB2312"/>
                <w:bCs/>
              </w:rPr>
            </w:pPr>
          </w:p>
        </w:tc>
        <w:tc>
          <w:tcPr>
            <w:tcW w:w="2459" w:type="dxa"/>
            <w:tcBorders>
              <w:top w:val="single" w:color="000000" w:sz="4" w:space="0"/>
              <w:left w:val="single" w:color="000000" w:sz="4" w:space="0"/>
              <w:bottom w:val="single" w:color="000000" w:sz="4" w:space="0"/>
              <w:right w:val="single" w:color="000000" w:sz="12" w:space="0"/>
            </w:tcBorders>
            <w:vAlign w:val="center"/>
          </w:tcPr>
          <w:p>
            <w:pPr>
              <w:jc w:val="center"/>
              <w:textAlignment w:val="baseline"/>
              <w:rPr>
                <w:rStyle w:val="123"/>
                <w:rFonts w:ascii="宋体" w:hAnsi="宋体" w:cs="仿宋_GB2312"/>
                <w:bCs/>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1727" w:type="dxa"/>
            <w:tcBorders>
              <w:top w:val="single" w:color="000000" w:sz="4" w:space="0"/>
              <w:left w:val="single" w:color="000000" w:sz="12" w:space="0"/>
              <w:bottom w:val="single" w:color="000000" w:sz="4" w:space="0"/>
              <w:right w:val="single" w:color="000000" w:sz="12" w:space="0"/>
            </w:tcBorders>
            <w:vAlign w:val="center"/>
          </w:tcPr>
          <w:p>
            <w:pPr>
              <w:jc w:val="center"/>
              <w:textAlignment w:val="baseline"/>
              <w:rPr>
                <w:rStyle w:val="123"/>
                <w:rFonts w:ascii="宋体" w:hAnsi="宋体" w:cs="仿宋_GB2312"/>
                <w:bCs/>
              </w:rPr>
            </w:pPr>
          </w:p>
        </w:tc>
        <w:tc>
          <w:tcPr>
            <w:tcW w:w="1361" w:type="dxa"/>
            <w:gridSpan w:val="2"/>
            <w:tcBorders>
              <w:top w:val="single" w:color="000000" w:sz="4" w:space="0"/>
              <w:left w:val="single" w:color="000000" w:sz="12" w:space="0"/>
              <w:bottom w:val="single" w:color="000000" w:sz="4" w:space="0"/>
              <w:right w:val="single" w:color="000000" w:sz="4" w:space="0"/>
            </w:tcBorders>
            <w:vAlign w:val="center"/>
          </w:tcPr>
          <w:p>
            <w:pPr>
              <w:jc w:val="center"/>
              <w:textAlignment w:val="baseline"/>
              <w:rPr>
                <w:rStyle w:val="123"/>
                <w:rFonts w:ascii="宋体" w:hAnsi="宋体" w:cs="仿宋_GB2312"/>
                <w:bCs/>
              </w:rPr>
            </w:pPr>
          </w:p>
        </w:tc>
        <w:tc>
          <w:tcPr>
            <w:tcW w:w="1814"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123"/>
                <w:rFonts w:ascii="宋体" w:hAnsi="宋体" w:cs="仿宋_GB2312"/>
                <w:bCs/>
              </w:rPr>
            </w:pPr>
          </w:p>
        </w:tc>
        <w:tc>
          <w:tcPr>
            <w:tcW w:w="1216" w:type="dxa"/>
            <w:gridSpan w:val="2"/>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123"/>
                <w:rFonts w:ascii="宋体" w:hAnsi="宋体" w:cs="仿宋_GB2312"/>
                <w:bCs/>
              </w:rPr>
            </w:pPr>
          </w:p>
        </w:tc>
        <w:tc>
          <w:tcPr>
            <w:tcW w:w="2459" w:type="dxa"/>
            <w:tcBorders>
              <w:top w:val="single" w:color="000000" w:sz="4" w:space="0"/>
              <w:left w:val="single" w:color="000000" w:sz="4" w:space="0"/>
              <w:bottom w:val="single" w:color="000000" w:sz="4" w:space="0"/>
              <w:right w:val="single" w:color="000000" w:sz="12" w:space="0"/>
            </w:tcBorders>
            <w:vAlign w:val="center"/>
          </w:tcPr>
          <w:p>
            <w:pPr>
              <w:jc w:val="center"/>
              <w:textAlignment w:val="baseline"/>
              <w:rPr>
                <w:rStyle w:val="123"/>
                <w:rFonts w:ascii="宋体" w:hAnsi="宋体" w:cs="仿宋_GB2312"/>
                <w:bCs/>
              </w:rPr>
            </w:pPr>
          </w:p>
        </w:tc>
      </w:tr>
    </w:tbl>
    <w:p>
      <w:pPr>
        <w:spacing w:line="360" w:lineRule="auto"/>
        <w:textAlignment w:val="baseline"/>
        <w:rPr>
          <w:rStyle w:val="123"/>
          <w:rFonts w:ascii="宋体" w:hAnsi="宋体"/>
        </w:rPr>
      </w:pPr>
      <w:r>
        <w:rPr>
          <w:rStyle w:val="123"/>
          <w:rFonts w:ascii="宋体" w:hAnsi="宋体"/>
        </w:rPr>
        <w:t>注：供应商需随此表附上项目组成员的相关资格、职称、从业经历等证明文件复印件。</w:t>
      </w:r>
    </w:p>
    <w:p>
      <w:pPr>
        <w:spacing w:line="400" w:lineRule="atLeast"/>
        <w:textAlignment w:val="baseline"/>
        <w:rPr>
          <w:rStyle w:val="123"/>
          <w:rFonts w:ascii="宋体" w:hAnsi="宋体"/>
        </w:rPr>
      </w:pPr>
    </w:p>
    <w:p>
      <w:pPr>
        <w:spacing w:line="400" w:lineRule="atLeast"/>
        <w:textAlignment w:val="baseline"/>
        <w:rPr>
          <w:rStyle w:val="123"/>
          <w:rFonts w:ascii="宋体" w:hAnsi="宋体"/>
        </w:rPr>
      </w:pPr>
    </w:p>
    <w:p>
      <w:pPr>
        <w:textAlignment w:val="baseline"/>
        <w:rPr>
          <w:rStyle w:val="123"/>
          <w:rFonts w:ascii="宋体" w:hAnsi="宋体"/>
        </w:rPr>
      </w:pPr>
    </w:p>
    <w:p>
      <w:pPr>
        <w:ind w:firstLine="3360" w:firstLineChars="1400"/>
        <w:rPr>
          <w:rFonts w:ascii="宋体" w:hAnsi="宋体" w:cs="宋体"/>
          <w:szCs w:val="24"/>
          <w:u w:val="single"/>
        </w:rPr>
      </w:pPr>
      <w:r>
        <w:rPr>
          <w:rFonts w:hint="eastAsia" w:ascii="宋体" w:hAnsi="宋体" w:cs="宋体"/>
          <w:szCs w:val="24"/>
        </w:rPr>
        <w:t xml:space="preserve">响应供应商： </w:t>
      </w:r>
      <w:r>
        <w:rPr>
          <w:rFonts w:hint="eastAsia" w:ascii="宋体" w:hAnsi="宋体" w:cs="宋体"/>
          <w:szCs w:val="24"/>
          <w:u w:val="single"/>
        </w:rPr>
        <w:t xml:space="preserve">          （盖章）             </w:t>
      </w:r>
    </w:p>
    <w:p>
      <w:pPr>
        <w:ind w:right="360"/>
        <w:jc w:val="right"/>
        <w:rPr>
          <w:rFonts w:ascii="宋体" w:hAnsi="宋体" w:cs="宋体"/>
          <w:szCs w:val="24"/>
        </w:rPr>
      </w:pPr>
    </w:p>
    <w:p>
      <w:pPr>
        <w:ind w:right="240"/>
        <w:rPr>
          <w:rFonts w:ascii="宋体" w:hAnsi="宋体" w:cs="宋体"/>
          <w:szCs w:val="24"/>
          <w:u w:val="single"/>
        </w:rPr>
      </w:pPr>
      <w:r>
        <w:rPr>
          <w:rFonts w:hint="eastAsia" w:ascii="宋体" w:hAnsi="宋体" w:cs="宋体"/>
          <w:szCs w:val="24"/>
        </w:rPr>
        <w:t xml:space="preserve">                            法定代表人或其授权代理人（签字或盖章）：</w:t>
      </w:r>
    </w:p>
    <w:p>
      <w:pPr>
        <w:wordWrap w:val="0"/>
        <w:ind w:right="360" w:firstLine="2640" w:firstLineChars="1100"/>
        <w:rPr>
          <w:rFonts w:ascii="宋体" w:hAnsi="宋体" w:cs="宋体"/>
          <w:szCs w:val="24"/>
        </w:rPr>
      </w:pPr>
      <w:r>
        <w:rPr>
          <w:rFonts w:hint="eastAsia" w:ascii="宋体" w:hAnsi="宋体" w:cs="宋体"/>
          <w:szCs w:val="24"/>
        </w:rPr>
        <w:t xml:space="preserve"> </w:t>
      </w:r>
    </w:p>
    <w:p>
      <w:pPr>
        <w:ind w:right="240"/>
        <w:jc w:val="center"/>
        <w:textAlignment w:val="baseline"/>
        <w:rPr>
          <w:rStyle w:val="123"/>
          <w:rFonts w:ascii="宋体" w:hAnsi="宋体"/>
          <w:u w:val="single"/>
        </w:rPr>
      </w:pPr>
      <w:r>
        <w:rPr>
          <w:rFonts w:hint="eastAsia" w:ascii="宋体" w:hAnsi="宋体" w:cs="宋体"/>
          <w:szCs w:val="24"/>
        </w:rPr>
        <w:t>日   期：</w:t>
      </w:r>
      <w:r>
        <w:rPr>
          <w:rStyle w:val="123"/>
          <w:rFonts w:ascii="宋体" w:hAnsi="宋体"/>
          <w:u w:val="single"/>
        </w:rPr>
        <w:t xml:space="preserve">                              </w:t>
      </w:r>
    </w:p>
    <w:p>
      <w:pPr>
        <w:rPr>
          <w:b/>
          <w:bCs/>
          <w:sz w:val="32"/>
          <w:szCs w:val="32"/>
        </w:rPr>
      </w:pPr>
      <w:r>
        <w:rPr>
          <w:rFonts w:hint="eastAsia"/>
          <w:b/>
          <w:bCs/>
          <w:sz w:val="32"/>
          <w:szCs w:val="32"/>
        </w:rPr>
        <w:br w:type="page"/>
      </w:r>
    </w:p>
    <w:p>
      <w:pPr>
        <w:pStyle w:val="139"/>
        <w:widowControl/>
        <w:tabs>
          <w:tab w:val="left" w:pos="576"/>
        </w:tabs>
        <w:spacing w:before="0" w:after="0" w:line="360" w:lineRule="auto"/>
        <w:jc w:val="center"/>
        <w:rPr>
          <w:rFonts w:ascii="宋体" w:hAnsi="宋体" w:cs="宋体"/>
          <w:bCs/>
          <w:sz w:val="24"/>
        </w:rPr>
      </w:pPr>
      <w:r>
        <w:rPr>
          <w:rFonts w:hint="eastAsia" w:ascii="Times New Roman" w:hAnsi="Times New Roman" w:eastAsia="宋体"/>
          <w:bCs/>
          <w:szCs w:val="32"/>
        </w:rPr>
        <w:t>拟投入本项目负责人简历表</w:t>
      </w:r>
    </w:p>
    <w:p>
      <w:pPr>
        <w:spacing w:line="360" w:lineRule="auto"/>
        <w:textAlignment w:val="baseline"/>
        <w:rPr>
          <w:rStyle w:val="123"/>
          <w:rFonts w:ascii="宋体" w:hAnsi="宋体"/>
          <w:u w:val="single"/>
        </w:rPr>
      </w:pPr>
      <w:r>
        <w:rPr>
          <w:rStyle w:val="123"/>
          <w:rFonts w:ascii="宋体" w:hAnsi="宋体"/>
        </w:rPr>
        <w:t>供应商名称：</w:t>
      </w:r>
      <w:r>
        <w:rPr>
          <w:rStyle w:val="123"/>
          <w:rFonts w:hint="eastAsia" w:ascii="宋体" w:hAnsi="宋体"/>
          <w:u w:val="single"/>
        </w:rPr>
        <w:t xml:space="preserve">                       </w:t>
      </w:r>
      <w:r>
        <w:rPr>
          <w:rStyle w:val="123"/>
          <w:rFonts w:ascii="宋体" w:hAnsi="宋体"/>
          <w:u w:val="single"/>
        </w:rPr>
        <w:t xml:space="preserve"> </w:t>
      </w:r>
    </w:p>
    <w:p>
      <w:pPr>
        <w:spacing w:line="360" w:lineRule="auto"/>
        <w:textAlignment w:val="baseline"/>
        <w:rPr>
          <w:rStyle w:val="123"/>
          <w:rFonts w:ascii="宋体" w:hAnsi="宋体"/>
          <w:b/>
          <w:sz w:val="36"/>
        </w:rPr>
      </w:pPr>
      <w:r>
        <w:rPr>
          <w:rStyle w:val="123"/>
          <w:rFonts w:ascii="宋体" w:hAnsi="宋体"/>
        </w:rPr>
        <w:t>采购项目编号：</w:t>
      </w:r>
      <w:r>
        <w:rPr>
          <w:rStyle w:val="123"/>
          <w:rFonts w:ascii="宋体" w:hAnsi="宋体"/>
          <w:u w:val="single"/>
        </w:rPr>
        <w:t xml:space="preserve">                      </w:t>
      </w:r>
    </w:p>
    <w:tbl>
      <w:tblPr>
        <w:tblStyle w:val="3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80"/>
        <w:gridCol w:w="615"/>
        <w:gridCol w:w="1065"/>
        <w:gridCol w:w="300"/>
        <w:gridCol w:w="330"/>
        <w:gridCol w:w="945"/>
        <w:gridCol w:w="930"/>
        <w:gridCol w:w="15"/>
        <w:gridCol w:w="90"/>
        <w:gridCol w:w="27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85" w:hRule="atLeast"/>
        </w:trPr>
        <w:tc>
          <w:tcPr>
            <w:tcW w:w="1380"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123"/>
                <w:rFonts w:ascii="宋体" w:hAnsi="宋体"/>
              </w:rPr>
            </w:pPr>
            <w:r>
              <w:rPr>
                <w:rStyle w:val="123"/>
                <w:rFonts w:ascii="宋体" w:hAnsi="宋体"/>
              </w:rPr>
              <w:t>姓  名</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123"/>
                <w:rFonts w:ascii="宋体" w:hAnsi="宋体"/>
              </w:rPr>
            </w:pPr>
          </w:p>
        </w:tc>
        <w:tc>
          <w:tcPr>
            <w:tcW w:w="630" w:type="dxa"/>
            <w:gridSpan w:val="2"/>
            <w:tcBorders>
              <w:top w:val="single" w:color="000000" w:sz="4" w:space="0"/>
              <w:left w:val="single" w:color="000000" w:sz="4" w:space="0"/>
              <w:bottom w:val="single" w:color="000000" w:sz="4" w:space="0"/>
              <w:right w:val="single" w:color="000000" w:sz="4" w:space="0"/>
            </w:tcBorders>
            <w:vAlign w:val="center"/>
          </w:tcPr>
          <w:p>
            <w:pPr>
              <w:textAlignment w:val="baseline"/>
              <w:rPr>
                <w:rStyle w:val="123"/>
                <w:rFonts w:ascii="宋体" w:hAnsi="宋体"/>
              </w:rPr>
            </w:pPr>
            <w:r>
              <w:rPr>
                <w:rStyle w:val="123"/>
                <w:rFonts w:ascii="宋体" w:hAnsi="宋体"/>
              </w:rPr>
              <w:t>性 别</w:t>
            </w:r>
          </w:p>
        </w:tc>
        <w:tc>
          <w:tcPr>
            <w:tcW w:w="945" w:type="dxa"/>
            <w:tcBorders>
              <w:top w:val="single" w:color="000000" w:sz="4" w:space="0"/>
              <w:left w:val="single" w:color="000000" w:sz="4" w:space="0"/>
              <w:bottom w:val="single" w:color="000000" w:sz="4" w:space="0"/>
              <w:right w:val="single" w:color="000000" w:sz="4" w:space="0"/>
            </w:tcBorders>
            <w:vAlign w:val="center"/>
          </w:tcPr>
          <w:p>
            <w:pPr>
              <w:textAlignment w:val="baseline"/>
              <w:rPr>
                <w:rStyle w:val="123"/>
                <w:rFonts w:ascii="宋体" w:hAnsi="宋体"/>
              </w:rPr>
            </w:pPr>
          </w:p>
        </w:tc>
        <w:tc>
          <w:tcPr>
            <w:tcW w:w="945" w:type="dxa"/>
            <w:gridSpan w:val="2"/>
            <w:tcBorders>
              <w:top w:val="single" w:color="000000" w:sz="4" w:space="0"/>
              <w:left w:val="single" w:color="000000" w:sz="4" w:space="0"/>
              <w:bottom w:val="single" w:color="000000" w:sz="4" w:space="0"/>
              <w:right w:val="single" w:color="000000" w:sz="4" w:space="0"/>
            </w:tcBorders>
            <w:vAlign w:val="center"/>
          </w:tcPr>
          <w:p>
            <w:pPr>
              <w:ind w:left="-18"/>
              <w:jc w:val="center"/>
              <w:textAlignment w:val="baseline"/>
              <w:rPr>
                <w:rStyle w:val="123"/>
                <w:rFonts w:ascii="宋体" w:hAnsi="宋体"/>
              </w:rPr>
            </w:pPr>
            <w:r>
              <w:rPr>
                <w:rStyle w:val="123"/>
                <w:rFonts w:ascii="宋体" w:hAnsi="宋体"/>
              </w:rPr>
              <w:t>出生</w:t>
            </w:r>
          </w:p>
          <w:p>
            <w:pPr>
              <w:ind w:left="-18"/>
              <w:jc w:val="center"/>
              <w:textAlignment w:val="baseline"/>
              <w:rPr>
                <w:rStyle w:val="123"/>
                <w:rFonts w:ascii="宋体" w:hAnsi="宋体"/>
              </w:rPr>
            </w:pPr>
            <w:r>
              <w:rPr>
                <w:rStyle w:val="123"/>
                <w:rFonts w:ascii="宋体" w:hAnsi="宋体"/>
              </w:rPr>
              <w:t>日期</w:t>
            </w:r>
          </w:p>
        </w:tc>
        <w:tc>
          <w:tcPr>
            <w:tcW w:w="2820" w:type="dxa"/>
            <w:gridSpan w:val="2"/>
            <w:tcBorders>
              <w:top w:val="single" w:color="000000" w:sz="4" w:space="0"/>
              <w:left w:val="single" w:color="000000" w:sz="4" w:space="0"/>
              <w:bottom w:val="single" w:color="000000" w:sz="4" w:space="0"/>
              <w:right w:val="single" w:color="000000" w:sz="4" w:space="0"/>
            </w:tcBorders>
            <w:vAlign w:val="center"/>
          </w:tcPr>
          <w:p>
            <w:pPr>
              <w:textAlignment w:val="baseline"/>
              <w:rPr>
                <w:rStyle w:val="123"/>
                <w:rFonts w:ascii="宋体" w:hAnsi="宋体"/>
              </w:rPr>
            </w:pPr>
            <w:r>
              <w:rPr>
                <w:rStyle w:val="123"/>
                <w:rFonts w:ascii="宋体" w:hAnsi="宋体"/>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00" w:hRule="atLeast"/>
        </w:trPr>
        <w:tc>
          <w:tcPr>
            <w:tcW w:w="1380" w:type="dxa"/>
            <w:tcBorders>
              <w:top w:val="single" w:color="000000" w:sz="4" w:space="0"/>
              <w:left w:val="single" w:color="000000" w:sz="4" w:space="0"/>
              <w:bottom w:val="single" w:color="000000" w:sz="4" w:space="0"/>
              <w:right w:val="single" w:color="000000" w:sz="4" w:space="0"/>
            </w:tcBorders>
            <w:vAlign w:val="center"/>
          </w:tcPr>
          <w:p>
            <w:pPr>
              <w:textAlignment w:val="baseline"/>
              <w:rPr>
                <w:rStyle w:val="123"/>
                <w:rFonts w:ascii="宋体" w:hAnsi="宋体"/>
              </w:rPr>
            </w:pPr>
            <w:r>
              <w:rPr>
                <w:rStyle w:val="123"/>
                <w:rFonts w:ascii="宋体" w:hAnsi="宋体"/>
              </w:rPr>
              <w:t>毕业院校及专业</w:t>
            </w:r>
          </w:p>
        </w:tc>
        <w:tc>
          <w:tcPr>
            <w:tcW w:w="3255" w:type="dxa"/>
            <w:gridSpan w:val="5"/>
            <w:tcBorders>
              <w:top w:val="single" w:color="000000" w:sz="4" w:space="0"/>
              <w:left w:val="single" w:color="000000" w:sz="4" w:space="0"/>
              <w:bottom w:val="single" w:color="000000" w:sz="4" w:space="0"/>
              <w:right w:val="single" w:color="000000" w:sz="4" w:space="0"/>
            </w:tcBorders>
            <w:vAlign w:val="center"/>
          </w:tcPr>
          <w:p>
            <w:pPr>
              <w:textAlignment w:val="baseline"/>
              <w:rPr>
                <w:rStyle w:val="123"/>
                <w:rFonts w:ascii="宋体" w:hAnsi="宋体"/>
              </w:rPr>
            </w:pPr>
          </w:p>
        </w:tc>
        <w:tc>
          <w:tcPr>
            <w:tcW w:w="945" w:type="dxa"/>
            <w:gridSpan w:val="2"/>
            <w:tcBorders>
              <w:top w:val="single" w:color="000000" w:sz="4" w:space="0"/>
              <w:left w:val="single" w:color="000000" w:sz="4" w:space="0"/>
              <w:bottom w:val="single" w:color="000000" w:sz="4" w:space="0"/>
              <w:right w:val="single" w:color="000000" w:sz="4" w:space="0"/>
            </w:tcBorders>
            <w:vAlign w:val="center"/>
          </w:tcPr>
          <w:p>
            <w:pPr>
              <w:ind w:left="-18"/>
              <w:jc w:val="center"/>
              <w:textAlignment w:val="baseline"/>
              <w:rPr>
                <w:rStyle w:val="123"/>
                <w:rFonts w:ascii="宋体" w:hAnsi="宋体"/>
              </w:rPr>
            </w:pPr>
            <w:r>
              <w:rPr>
                <w:rStyle w:val="123"/>
                <w:rFonts w:ascii="宋体" w:hAnsi="宋体"/>
              </w:rPr>
              <w:t>毕业</w:t>
            </w:r>
          </w:p>
          <w:p>
            <w:pPr>
              <w:ind w:left="-18"/>
              <w:jc w:val="center"/>
              <w:textAlignment w:val="baseline"/>
              <w:rPr>
                <w:rStyle w:val="123"/>
                <w:rFonts w:ascii="宋体" w:hAnsi="宋体"/>
              </w:rPr>
            </w:pPr>
            <w:r>
              <w:rPr>
                <w:rStyle w:val="123"/>
                <w:rFonts w:ascii="宋体" w:hAnsi="宋体"/>
              </w:rPr>
              <w:t>时间</w:t>
            </w:r>
          </w:p>
        </w:tc>
        <w:tc>
          <w:tcPr>
            <w:tcW w:w="2820" w:type="dxa"/>
            <w:gridSpan w:val="2"/>
            <w:tcBorders>
              <w:top w:val="single" w:color="000000" w:sz="4" w:space="0"/>
              <w:left w:val="single" w:color="000000" w:sz="4" w:space="0"/>
              <w:bottom w:val="single" w:color="000000" w:sz="4" w:space="0"/>
              <w:right w:val="single" w:color="000000" w:sz="4" w:space="0"/>
            </w:tcBorders>
            <w:vAlign w:val="center"/>
          </w:tcPr>
          <w:p>
            <w:pPr>
              <w:ind w:left="45"/>
              <w:textAlignment w:val="baseline"/>
              <w:rPr>
                <w:rStyle w:val="123"/>
                <w:rFonts w:ascii="宋体" w:hAnsi="宋体"/>
              </w:rPr>
            </w:pPr>
            <w:r>
              <w:rPr>
                <w:rStyle w:val="123"/>
                <w:rFonts w:ascii="宋体" w:hAnsi="宋体"/>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1995" w:type="dxa"/>
            <w:gridSpan w:val="2"/>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123"/>
                <w:rFonts w:ascii="宋体" w:hAnsi="宋体"/>
              </w:rPr>
            </w:pPr>
            <w:r>
              <w:rPr>
                <w:rStyle w:val="123"/>
                <w:rFonts w:ascii="宋体" w:hAnsi="宋体"/>
              </w:rPr>
              <w:t>从事本专业时间</w:t>
            </w:r>
          </w:p>
        </w:tc>
        <w:tc>
          <w:tcPr>
            <w:tcW w:w="1365" w:type="dxa"/>
            <w:gridSpan w:val="2"/>
            <w:tcBorders>
              <w:top w:val="single" w:color="000000" w:sz="4" w:space="0"/>
              <w:left w:val="single" w:color="000000" w:sz="4" w:space="0"/>
              <w:bottom w:val="single" w:color="000000" w:sz="4" w:space="0"/>
              <w:right w:val="single" w:color="000000" w:sz="4" w:space="0"/>
            </w:tcBorders>
            <w:vAlign w:val="center"/>
          </w:tcPr>
          <w:p>
            <w:pPr>
              <w:textAlignment w:val="baseline"/>
              <w:rPr>
                <w:rStyle w:val="123"/>
                <w:rFonts w:ascii="宋体" w:hAnsi="宋体"/>
              </w:rPr>
            </w:pPr>
          </w:p>
        </w:tc>
        <w:tc>
          <w:tcPr>
            <w:tcW w:w="2205" w:type="dxa"/>
            <w:gridSpan w:val="3"/>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123"/>
                <w:rFonts w:ascii="宋体" w:hAnsi="宋体"/>
              </w:rPr>
            </w:pPr>
            <w:r>
              <w:rPr>
                <w:rStyle w:val="123"/>
                <w:rFonts w:ascii="宋体" w:hAnsi="宋体"/>
              </w:rPr>
              <w:t>为供应商服务时间</w:t>
            </w:r>
          </w:p>
        </w:tc>
        <w:tc>
          <w:tcPr>
            <w:tcW w:w="2835" w:type="dxa"/>
            <w:gridSpan w:val="3"/>
            <w:tcBorders>
              <w:top w:val="single" w:color="000000" w:sz="4" w:space="0"/>
              <w:left w:val="single" w:color="000000" w:sz="4" w:space="0"/>
              <w:bottom w:val="single" w:color="000000" w:sz="4" w:space="0"/>
              <w:right w:val="single" w:color="000000" w:sz="4" w:space="0"/>
            </w:tcBorders>
            <w:vAlign w:val="center"/>
          </w:tcPr>
          <w:p>
            <w:pPr>
              <w:textAlignment w:val="baseline"/>
              <w:rPr>
                <w:rStyle w:val="123"/>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995" w:type="dxa"/>
            <w:gridSpan w:val="2"/>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123"/>
                <w:rFonts w:ascii="宋体" w:hAnsi="宋体"/>
              </w:rPr>
            </w:pPr>
            <w:r>
              <w:rPr>
                <w:rStyle w:val="123"/>
                <w:rFonts w:ascii="宋体" w:hAnsi="宋体"/>
              </w:rPr>
              <w:t>执 业 注 册</w:t>
            </w:r>
          </w:p>
        </w:tc>
        <w:tc>
          <w:tcPr>
            <w:tcW w:w="1365" w:type="dxa"/>
            <w:gridSpan w:val="2"/>
            <w:tcBorders>
              <w:top w:val="single" w:color="000000" w:sz="4" w:space="0"/>
              <w:left w:val="single" w:color="000000" w:sz="4" w:space="0"/>
              <w:bottom w:val="single" w:color="000000" w:sz="4" w:space="0"/>
              <w:right w:val="single" w:color="000000" w:sz="4" w:space="0"/>
            </w:tcBorders>
            <w:vAlign w:val="center"/>
          </w:tcPr>
          <w:p>
            <w:pPr>
              <w:textAlignment w:val="baseline"/>
              <w:rPr>
                <w:rStyle w:val="123"/>
                <w:rFonts w:ascii="宋体" w:hAnsi="宋体"/>
              </w:rPr>
            </w:pPr>
          </w:p>
        </w:tc>
        <w:tc>
          <w:tcPr>
            <w:tcW w:w="2205" w:type="dxa"/>
            <w:gridSpan w:val="3"/>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123"/>
                <w:rFonts w:ascii="宋体" w:hAnsi="宋体"/>
              </w:rPr>
            </w:pPr>
            <w:r>
              <w:rPr>
                <w:rStyle w:val="123"/>
                <w:rFonts w:ascii="宋体" w:hAnsi="宋体"/>
              </w:rPr>
              <w:t>职       称</w:t>
            </w:r>
          </w:p>
        </w:tc>
        <w:tc>
          <w:tcPr>
            <w:tcW w:w="2835" w:type="dxa"/>
            <w:gridSpan w:val="3"/>
            <w:tcBorders>
              <w:top w:val="single" w:color="000000" w:sz="4" w:space="0"/>
              <w:left w:val="single" w:color="000000" w:sz="4" w:space="0"/>
              <w:bottom w:val="single" w:color="000000" w:sz="4" w:space="0"/>
              <w:right w:val="single" w:color="000000" w:sz="4" w:space="0"/>
            </w:tcBorders>
            <w:vAlign w:val="center"/>
          </w:tcPr>
          <w:p>
            <w:pPr>
              <w:textAlignment w:val="baseline"/>
              <w:rPr>
                <w:rStyle w:val="123"/>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00" w:hRule="atLeast"/>
        </w:trPr>
        <w:tc>
          <w:tcPr>
            <w:tcW w:w="8400" w:type="dxa"/>
            <w:gridSpan w:val="10"/>
            <w:tcBorders>
              <w:top w:val="single" w:color="000000" w:sz="4" w:space="0"/>
              <w:left w:val="single" w:color="000000" w:sz="4" w:space="0"/>
              <w:bottom w:val="single" w:color="000000" w:sz="4" w:space="0"/>
              <w:right w:val="single" w:color="000000" w:sz="4" w:space="0"/>
            </w:tcBorders>
            <w:vAlign w:val="center"/>
          </w:tcPr>
          <w:p>
            <w:pPr>
              <w:textAlignment w:val="baseline"/>
              <w:rPr>
                <w:rStyle w:val="123"/>
                <w:rFonts w:ascii="宋体" w:hAnsi="宋体"/>
              </w:rPr>
            </w:pPr>
            <w:r>
              <w:rPr>
                <w:rStyle w:val="123"/>
                <w:rFonts w:ascii="宋体" w:hAnsi="宋体"/>
              </w:rPr>
              <w:t xml:space="preserve">                          主  要  经  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995" w:type="dxa"/>
            <w:gridSpan w:val="2"/>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123"/>
                <w:rFonts w:ascii="宋体" w:hAnsi="宋体"/>
              </w:rPr>
            </w:pPr>
            <w:r>
              <w:rPr>
                <w:rStyle w:val="123"/>
                <w:rFonts w:ascii="宋体" w:hAnsi="宋体"/>
              </w:rPr>
              <w:t>时   间</w:t>
            </w:r>
          </w:p>
        </w:tc>
        <w:tc>
          <w:tcPr>
            <w:tcW w:w="3675" w:type="dxa"/>
            <w:gridSpan w:val="7"/>
            <w:tcBorders>
              <w:top w:val="single" w:color="000000" w:sz="4" w:space="0"/>
              <w:left w:val="single" w:color="000000" w:sz="4" w:space="0"/>
              <w:bottom w:val="single" w:color="000000" w:sz="4" w:space="0"/>
              <w:right w:val="single" w:color="000000" w:sz="4" w:space="0"/>
            </w:tcBorders>
            <w:vAlign w:val="center"/>
          </w:tcPr>
          <w:p>
            <w:pPr>
              <w:textAlignment w:val="baseline"/>
              <w:rPr>
                <w:rStyle w:val="123"/>
                <w:rFonts w:ascii="宋体" w:hAnsi="宋体"/>
              </w:rPr>
            </w:pPr>
            <w:r>
              <w:rPr>
                <w:rStyle w:val="123"/>
                <w:rFonts w:ascii="宋体" w:hAnsi="宋体"/>
              </w:rPr>
              <w:t xml:space="preserve"> 参加过的项目名称及规模</w:t>
            </w:r>
          </w:p>
        </w:tc>
        <w:tc>
          <w:tcPr>
            <w:tcW w:w="2730"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123"/>
                <w:rFonts w:ascii="宋体" w:hAnsi="宋体"/>
              </w:rPr>
            </w:pPr>
            <w:r>
              <w:rPr>
                <w:rStyle w:val="123"/>
                <w:rFonts w:ascii="宋体" w:hAnsi="宋体"/>
              </w:rPr>
              <w:t>该项目中任职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3" w:hRule="atLeast"/>
        </w:trPr>
        <w:tc>
          <w:tcPr>
            <w:tcW w:w="1995" w:type="dxa"/>
            <w:gridSpan w:val="2"/>
            <w:tcBorders>
              <w:top w:val="single" w:color="000000" w:sz="4" w:space="0"/>
              <w:left w:val="single" w:color="000000" w:sz="4" w:space="0"/>
              <w:bottom w:val="single" w:color="000000" w:sz="4" w:space="0"/>
              <w:right w:val="single" w:color="000000" w:sz="4" w:space="0"/>
            </w:tcBorders>
          </w:tcPr>
          <w:p>
            <w:pPr>
              <w:textAlignment w:val="baseline"/>
              <w:rPr>
                <w:rStyle w:val="123"/>
                <w:rFonts w:ascii="宋体" w:hAnsi="宋体"/>
                <w:sz w:val="22"/>
              </w:rPr>
            </w:pPr>
          </w:p>
        </w:tc>
        <w:tc>
          <w:tcPr>
            <w:tcW w:w="3675" w:type="dxa"/>
            <w:gridSpan w:val="7"/>
            <w:tcBorders>
              <w:top w:val="single" w:color="000000" w:sz="4" w:space="0"/>
              <w:left w:val="single" w:color="000000" w:sz="4" w:space="0"/>
              <w:bottom w:val="single" w:color="000000" w:sz="4" w:space="0"/>
              <w:right w:val="single" w:color="000000" w:sz="4" w:space="0"/>
            </w:tcBorders>
          </w:tcPr>
          <w:p>
            <w:pPr>
              <w:textAlignment w:val="baseline"/>
              <w:rPr>
                <w:rStyle w:val="123"/>
                <w:rFonts w:ascii="宋体" w:hAnsi="宋体"/>
                <w:sz w:val="22"/>
              </w:rPr>
            </w:pPr>
          </w:p>
        </w:tc>
        <w:tc>
          <w:tcPr>
            <w:tcW w:w="2730" w:type="dxa"/>
            <w:tcBorders>
              <w:top w:val="single" w:color="000000" w:sz="4" w:space="0"/>
              <w:left w:val="single" w:color="000000" w:sz="4" w:space="0"/>
              <w:bottom w:val="single" w:color="000000" w:sz="4" w:space="0"/>
              <w:right w:val="single" w:color="000000" w:sz="4" w:space="0"/>
            </w:tcBorders>
          </w:tcPr>
          <w:p>
            <w:pPr>
              <w:textAlignment w:val="baseline"/>
              <w:rPr>
                <w:rStyle w:val="123"/>
                <w:rFonts w:ascii="宋体" w:hAnsi="宋体"/>
                <w:sz w:val="22"/>
              </w:rPr>
            </w:pPr>
          </w:p>
        </w:tc>
      </w:tr>
    </w:tbl>
    <w:p>
      <w:pPr>
        <w:spacing w:line="360" w:lineRule="auto"/>
        <w:textAlignment w:val="baseline"/>
        <w:rPr>
          <w:rStyle w:val="123"/>
          <w:rFonts w:ascii="宋体" w:hAnsi="宋体"/>
        </w:rPr>
      </w:pPr>
      <w:r>
        <w:rPr>
          <w:rStyle w:val="123"/>
          <w:rFonts w:ascii="宋体" w:hAnsi="宋体"/>
        </w:rPr>
        <w:t>注：供应商需随此表附上主要负责人的相关资格、职称、从业经历业绩等证明文件复印件。</w:t>
      </w:r>
    </w:p>
    <w:p>
      <w:pPr>
        <w:ind w:right="360"/>
        <w:jc w:val="right"/>
        <w:textAlignment w:val="baseline"/>
        <w:rPr>
          <w:rStyle w:val="123"/>
          <w:rFonts w:ascii="宋体" w:hAnsi="宋体"/>
          <w:u w:val="single"/>
        </w:rPr>
      </w:pPr>
    </w:p>
    <w:p>
      <w:pPr>
        <w:pStyle w:val="133"/>
        <w:widowControl/>
        <w:rPr>
          <w:rStyle w:val="123"/>
          <w:rFonts w:ascii="宋体" w:hAnsi="宋体"/>
          <w:u w:val="single"/>
        </w:rPr>
      </w:pPr>
    </w:p>
    <w:p>
      <w:pPr>
        <w:ind w:firstLine="3360" w:firstLineChars="1400"/>
        <w:rPr>
          <w:rFonts w:ascii="宋体" w:hAnsi="宋体" w:cs="宋体"/>
          <w:szCs w:val="24"/>
          <w:u w:val="single"/>
        </w:rPr>
      </w:pPr>
      <w:r>
        <w:rPr>
          <w:rFonts w:hint="eastAsia" w:ascii="宋体" w:hAnsi="宋体" w:cs="宋体"/>
          <w:szCs w:val="24"/>
        </w:rPr>
        <w:t xml:space="preserve">响应供应商： </w:t>
      </w:r>
      <w:r>
        <w:rPr>
          <w:rFonts w:hint="eastAsia" w:ascii="宋体" w:hAnsi="宋体" w:cs="宋体"/>
          <w:szCs w:val="24"/>
          <w:u w:val="single"/>
        </w:rPr>
        <w:t xml:space="preserve">          （盖章）             </w:t>
      </w:r>
    </w:p>
    <w:p>
      <w:pPr>
        <w:ind w:right="360"/>
        <w:jc w:val="right"/>
        <w:rPr>
          <w:rFonts w:ascii="宋体" w:hAnsi="宋体" w:cs="宋体"/>
          <w:szCs w:val="24"/>
        </w:rPr>
      </w:pPr>
    </w:p>
    <w:p>
      <w:pPr>
        <w:ind w:right="240"/>
        <w:rPr>
          <w:rFonts w:ascii="宋体" w:hAnsi="宋体" w:cs="宋体"/>
          <w:szCs w:val="24"/>
          <w:u w:val="single"/>
        </w:rPr>
      </w:pPr>
      <w:r>
        <w:rPr>
          <w:rFonts w:hint="eastAsia" w:ascii="宋体" w:hAnsi="宋体" w:cs="宋体"/>
          <w:szCs w:val="24"/>
        </w:rPr>
        <w:t xml:space="preserve">                            法定代表人或其授权代理人（签字或盖章）：</w:t>
      </w:r>
    </w:p>
    <w:p>
      <w:pPr>
        <w:wordWrap w:val="0"/>
        <w:ind w:right="360" w:firstLine="2640" w:firstLineChars="1100"/>
        <w:rPr>
          <w:rFonts w:ascii="宋体" w:hAnsi="宋体" w:cs="宋体"/>
          <w:szCs w:val="24"/>
        </w:rPr>
      </w:pPr>
      <w:r>
        <w:rPr>
          <w:rFonts w:hint="eastAsia" w:ascii="宋体" w:hAnsi="宋体" w:cs="宋体"/>
          <w:szCs w:val="24"/>
        </w:rPr>
        <w:t xml:space="preserve"> </w:t>
      </w:r>
    </w:p>
    <w:p>
      <w:pPr>
        <w:ind w:right="240" w:firstLine="3120" w:firstLineChars="1300"/>
        <w:textAlignment w:val="baseline"/>
        <w:rPr>
          <w:rStyle w:val="123"/>
          <w:rFonts w:ascii="宋体" w:hAnsi="宋体"/>
          <w:u w:val="single"/>
        </w:rPr>
      </w:pPr>
      <w:r>
        <w:rPr>
          <w:rFonts w:hint="eastAsia" w:ascii="宋体" w:hAnsi="宋体" w:cs="宋体"/>
          <w:szCs w:val="24"/>
        </w:rPr>
        <w:t xml:space="preserve"> 日   期：</w:t>
      </w:r>
      <w:r>
        <w:rPr>
          <w:rStyle w:val="123"/>
          <w:rFonts w:ascii="宋体" w:hAnsi="宋体"/>
          <w:u w:val="single"/>
        </w:rPr>
        <w:t xml:space="preserve">                              </w:t>
      </w:r>
    </w:p>
    <w:p>
      <w:pPr>
        <w:tabs>
          <w:tab w:val="left" w:pos="7665"/>
        </w:tabs>
        <w:spacing w:line="360" w:lineRule="auto"/>
        <w:ind w:firstLine="480" w:firstLineChars="200"/>
        <w:rPr>
          <w:rFonts w:ascii="宋体" w:hAnsi="宋体" w:cs="宋体"/>
        </w:rPr>
      </w:pPr>
    </w:p>
    <w:p>
      <w:pPr>
        <w:tabs>
          <w:tab w:val="left" w:pos="7665"/>
        </w:tabs>
        <w:spacing w:line="360" w:lineRule="auto"/>
        <w:ind w:firstLine="480" w:firstLineChars="200"/>
        <w:rPr>
          <w:rFonts w:ascii="宋体" w:hAnsi="宋体" w:cs="宋体"/>
        </w:rPr>
      </w:pPr>
    </w:p>
    <w:p>
      <w:pPr>
        <w:tabs>
          <w:tab w:val="left" w:pos="7665"/>
        </w:tabs>
        <w:spacing w:line="360" w:lineRule="auto"/>
        <w:ind w:firstLine="480" w:firstLineChars="200"/>
        <w:rPr>
          <w:rFonts w:ascii="宋体" w:hAnsi="宋体" w:cs="宋体"/>
        </w:rPr>
      </w:pPr>
    </w:p>
    <w:p>
      <w:pPr>
        <w:ind w:right="240"/>
        <w:textAlignment w:val="baseline"/>
        <w:rPr>
          <w:rStyle w:val="123"/>
          <w:rFonts w:ascii="宋体" w:hAnsi="宋体"/>
          <w:iCs/>
        </w:rPr>
      </w:pPr>
      <w:r>
        <w:rPr>
          <w:rStyle w:val="123"/>
          <w:rFonts w:ascii="宋体" w:hAnsi="宋体"/>
          <w:u w:val="single"/>
        </w:rPr>
        <w:t xml:space="preserve">       </w:t>
      </w:r>
    </w:p>
    <w:p>
      <w:pPr>
        <w:rPr>
          <w:b/>
          <w:bCs/>
          <w:sz w:val="32"/>
          <w:szCs w:val="32"/>
        </w:rPr>
      </w:pPr>
    </w:p>
    <w:p>
      <w:pPr>
        <w:rPr>
          <w:b/>
          <w:bCs/>
          <w:sz w:val="32"/>
          <w:szCs w:val="32"/>
        </w:rPr>
      </w:pPr>
      <w:r>
        <w:rPr>
          <w:rFonts w:hint="eastAsia"/>
          <w:b/>
          <w:bCs/>
          <w:sz w:val="32"/>
          <w:szCs w:val="32"/>
        </w:rPr>
        <w:br w:type="page"/>
      </w:r>
    </w:p>
    <w:p>
      <w:pPr>
        <w:pStyle w:val="139"/>
        <w:widowControl/>
        <w:tabs>
          <w:tab w:val="left" w:pos="576"/>
        </w:tabs>
        <w:spacing w:before="0" w:after="0" w:line="360" w:lineRule="auto"/>
        <w:jc w:val="center"/>
        <w:rPr>
          <w:rFonts w:ascii="宋体" w:hAnsi="宋体" w:cs="宋体"/>
          <w:bCs/>
          <w:sz w:val="24"/>
        </w:rPr>
      </w:pPr>
      <w:r>
        <w:rPr>
          <w:rFonts w:hint="eastAsia" w:ascii="Times New Roman" w:hAnsi="Times New Roman" w:eastAsia="宋体"/>
          <w:bCs/>
          <w:szCs w:val="32"/>
        </w:rPr>
        <w:t>拟投入本项目技术负责人简历表</w:t>
      </w:r>
    </w:p>
    <w:p>
      <w:pPr>
        <w:spacing w:line="360" w:lineRule="auto"/>
        <w:textAlignment w:val="baseline"/>
        <w:rPr>
          <w:rStyle w:val="123"/>
          <w:rFonts w:ascii="宋体" w:hAnsi="宋体"/>
          <w:u w:val="single"/>
        </w:rPr>
      </w:pPr>
      <w:r>
        <w:rPr>
          <w:rStyle w:val="123"/>
          <w:rFonts w:ascii="宋体" w:hAnsi="宋体"/>
        </w:rPr>
        <w:t>供应商名称：</w:t>
      </w:r>
      <w:r>
        <w:rPr>
          <w:rStyle w:val="123"/>
          <w:rFonts w:hint="eastAsia" w:ascii="宋体" w:hAnsi="宋体"/>
          <w:u w:val="single"/>
        </w:rPr>
        <w:t xml:space="preserve">                       </w:t>
      </w:r>
      <w:r>
        <w:rPr>
          <w:rStyle w:val="123"/>
          <w:rFonts w:ascii="宋体" w:hAnsi="宋体"/>
          <w:u w:val="single"/>
        </w:rPr>
        <w:t xml:space="preserve"> </w:t>
      </w:r>
    </w:p>
    <w:p>
      <w:pPr>
        <w:spacing w:line="360" w:lineRule="auto"/>
        <w:textAlignment w:val="baseline"/>
        <w:rPr>
          <w:rStyle w:val="123"/>
          <w:rFonts w:ascii="宋体" w:hAnsi="宋体"/>
          <w:b/>
          <w:sz w:val="36"/>
        </w:rPr>
      </w:pPr>
      <w:r>
        <w:rPr>
          <w:rStyle w:val="123"/>
          <w:rFonts w:ascii="宋体" w:hAnsi="宋体"/>
        </w:rPr>
        <w:t>采购项目编号：</w:t>
      </w:r>
      <w:r>
        <w:rPr>
          <w:rStyle w:val="123"/>
          <w:rFonts w:ascii="宋体" w:hAnsi="宋体"/>
          <w:u w:val="single"/>
        </w:rPr>
        <w:t xml:space="preserve">                      </w:t>
      </w:r>
    </w:p>
    <w:tbl>
      <w:tblPr>
        <w:tblStyle w:val="3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80"/>
        <w:gridCol w:w="615"/>
        <w:gridCol w:w="1065"/>
        <w:gridCol w:w="300"/>
        <w:gridCol w:w="330"/>
        <w:gridCol w:w="945"/>
        <w:gridCol w:w="930"/>
        <w:gridCol w:w="15"/>
        <w:gridCol w:w="90"/>
        <w:gridCol w:w="27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85" w:hRule="atLeast"/>
        </w:trPr>
        <w:tc>
          <w:tcPr>
            <w:tcW w:w="1380"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123"/>
                <w:rFonts w:ascii="宋体" w:hAnsi="宋体"/>
              </w:rPr>
            </w:pPr>
            <w:r>
              <w:rPr>
                <w:rStyle w:val="123"/>
                <w:rFonts w:ascii="宋体" w:hAnsi="宋体"/>
              </w:rPr>
              <w:t>姓  名</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123"/>
                <w:rFonts w:ascii="宋体" w:hAnsi="宋体"/>
              </w:rPr>
            </w:pPr>
          </w:p>
        </w:tc>
        <w:tc>
          <w:tcPr>
            <w:tcW w:w="630" w:type="dxa"/>
            <w:gridSpan w:val="2"/>
            <w:tcBorders>
              <w:top w:val="single" w:color="000000" w:sz="4" w:space="0"/>
              <w:left w:val="single" w:color="000000" w:sz="4" w:space="0"/>
              <w:bottom w:val="single" w:color="000000" w:sz="4" w:space="0"/>
              <w:right w:val="single" w:color="000000" w:sz="4" w:space="0"/>
            </w:tcBorders>
            <w:vAlign w:val="center"/>
          </w:tcPr>
          <w:p>
            <w:pPr>
              <w:textAlignment w:val="baseline"/>
              <w:rPr>
                <w:rStyle w:val="123"/>
                <w:rFonts w:ascii="宋体" w:hAnsi="宋体"/>
              </w:rPr>
            </w:pPr>
            <w:r>
              <w:rPr>
                <w:rStyle w:val="123"/>
                <w:rFonts w:ascii="宋体" w:hAnsi="宋体"/>
              </w:rPr>
              <w:t>性 别</w:t>
            </w:r>
          </w:p>
        </w:tc>
        <w:tc>
          <w:tcPr>
            <w:tcW w:w="945" w:type="dxa"/>
            <w:tcBorders>
              <w:top w:val="single" w:color="000000" w:sz="4" w:space="0"/>
              <w:left w:val="single" w:color="000000" w:sz="4" w:space="0"/>
              <w:bottom w:val="single" w:color="000000" w:sz="4" w:space="0"/>
              <w:right w:val="single" w:color="000000" w:sz="4" w:space="0"/>
            </w:tcBorders>
            <w:vAlign w:val="center"/>
          </w:tcPr>
          <w:p>
            <w:pPr>
              <w:textAlignment w:val="baseline"/>
              <w:rPr>
                <w:rStyle w:val="123"/>
                <w:rFonts w:ascii="宋体" w:hAnsi="宋体"/>
              </w:rPr>
            </w:pPr>
          </w:p>
        </w:tc>
        <w:tc>
          <w:tcPr>
            <w:tcW w:w="945" w:type="dxa"/>
            <w:gridSpan w:val="2"/>
            <w:tcBorders>
              <w:top w:val="single" w:color="000000" w:sz="4" w:space="0"/>
              <w:left w:val="single" w:color="000000" w:sz="4" w:space="0"/>
              <w:bottom w:val="single" w:color="000000" w:sz="4" w:space="0"/>
              <w:right w:val="single" w:color="000000" w:sz="4" w:space="0"/>
            </w:tcBorders>
            <w:vAlign w:val="center"/>
          </w:tcPr>
          <w:p>
            <w:pPr>
              <w:ind w:left="-18"/>
              <w:jc w:val="center"/>
              <w:textAlignment w:val="baseline"/>
              <w:rPr>
                <w:rStyle w:val="123"/>
                <w:rFonts w:ascii="宋体" w:hAnsi="宋体"/>
              </w:rPr>
            </w:pPr>
            <w:r>
              <w:rPr>
                <w:rStyle w:val="123"/>
                <w:rFonts w:ascii="宋体" w:hAnsi="宋体"/>
              </w:rPr>
              <w:t>出生</w:t>
            </w:r>
          </w:p>
          <w:p>
            <w:pPr>
              <w:ind w:left="-18"/>
              <w:jc w:val="center"/>
              <w:textAlignment w:val="baseline"/>
              <w:rPr>
                <w:rStyle w:val="123"/>
                <w:rFonts w:ascii="宋体" w:hAnsi="宋体"/>
              </w:rPr>
            </w:pPr>
            <w:r>
              <w:rPr>
                <w:rStyle w:val="123"/>
                <w:rFonts w:ascii="宋体" w:hAnsi="宋体"/>
              </w:rPr>
              <w:t>日期</w:t>
            </w:r>
          </w:p>
        </w:tc>
        <w:tc>
          <w:tcPr>
            <w:tcW w:w="2820" w:type="dxa"/>
            <w:gridSpan w:val="2"/>
            <w:tcBorders>
              <w:top w:val="single" w:color="000000" w:sz="4" w:space="0"/>
              <w:left w:val="single" w:color="000000" w:sz="4" w:space="0"/>
              <w:bottom w:val="single" w:color="000000" w:sz="4" w:space="0"/>
              <w:right w:val="single" w:color="000000" w:sz="4" w:space="0"/>
            </w:tcBorders>
            <w:vAlign w:val="center"/>
          </w:tcPr>
          <w:p>
            <w:pPr>
              <w:textAlignment w:val="baseline"/>
              <w:rPr>
                <w:rStyle w:val="123"/>
                <w:rFonts w:ascii="宋体" w:hAnsi="宋体"/>
              </w:rPr>
            </w:pPr>
            <w:r>
              <w:rPr>
                <w:rStyle w:val="123"/>
                <w:rFonts w:ascii="宋体" w:hAnsi="宋体"/>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00" w:hRule="atLeast"/>
        </w:trPr>
        <w:tc>
          <w:tcPr>
            <w:tcW w:w="1380" w:type="dxa"/>
            <w:tcBorders>
              <w:top w:val="single" w:color="000000" w:sz="4" w:space="0"/>
              <w:left w:val="single" w:color="000000" w:sz="4" w:space="0"/>
              <w:bottom w:val="single" w:color="000000" w:sz="4" w:space="0"/>
              <w:right w:val="single" w:color="000000" w:sz="4" w:space="0"/>
            </w:tcBorders>
            <w:vAlign w:val="center"/>
          </w:tcPr>
          <w:p>
            <w:pPr>
              <w:textAlignment w:val="baseline"/>
              <w:rPr>
                <w:rStyle w:val="123"/>
                <w:rFonts w:ascii="宋体" w:hAnsi="宋体"/>
              </w:rPr>
            </w:pPr>
            <w:r>
              <w:rPr>
                <w:rStyle w:val="123"/>
                <w:rFonts w:ascii="宋体" w:hAnsi="宋体"/>
              </w:rPr>
              <w:t>毕业院校及专业</w:t>
            </w:r>
          </w:p>
        </w:tc>
        <w:tc>
          <w:tcPr>
            <w:tcW w:w="3255" w:type="dxa"/>
            <w:gridSpan w:val="5"/>
            <w:tcBorders>
              <w:top w:val="single" w:color="000000" w:sz="4" w:space="0"/>
              <w:left w:val="single" w:color="000000" w:sz="4" w:space="0"/>
              <w:bottom w:val="single" w:color="000000" w:sz="4" w:space="0"/>
              <w:right w:val="single" w:color="000000" w:sz="4" w:space="0"/>
            </w:tcBorders>
            <w:vAlign w:val="center"/>
          </w:tcPr>
          <w:p>
            <w:pPr>
              <w:textAlignment w:val="baseline"/>
              <w:rPr>
                <w:rStyle w:val="123"/>
                <w:rFonts w:ascii="宋体" w:hAnsi="宋体"/>
              </w:rPr>
            </w:pPr>
          </w:p>
        </w:tc>
        <w:tc>
          <w:tcPr>
            <w:tcW w:w="945" w:type="dxa"/>
            <w:gridSpan w:val="2"/>
            <w:tcBorders>
              <w:top w:val="single" w:color="000000" w:sz="4" w:space="0"/>
              <w:left w:val="single" w:color="000000" w:sz="4" w:space="0"/>
              <w:bottom w:val="single" w:color="000000" w:sz="4" w:space="0"/>
              <w:right w:val="single" w:color="000000" w:sz="4" w:space="0"/>
            </w:tcBorders>
            <w:vAlign w:val="center"/>
          </w:tcPr>
          <w:p>
            <w:pPr>
              <w:ind w:left="-18"/>
              <w:jc w:val="center"/>
              <w:textAlignment w:val="baseline"/>
              <w:rPr>
                <w:rStyle w:val="123"/>
                <w:rFonts w:ascii="宋体" w:hAnsi="宋体"/>
              </w:rPr>
            </w:pPr>
            <w:r>
              <w:rPr>
                <w:rStyle w:val="123"/>
                <w:rFonts w:ascii="宋体" w:hAnsi="宋体"/>
              </w:rPr>
              <w:t>毕业</w:t>
            </w:r>
          </w:p>
          <w:p>
            <w:pPr>
              <w:ind w:left="-18"/>
              <w:jc w:val="center"/>
              <w:textAlignment w:val="baseline"/>
              <w:rPr>
                <w:rStyle w:val="123"/>
                <w:rFonts w:ascii="宋体" w:hAnsi="宋体"/>
              </w:rPr>
            </w:pPr>
            <w:r>
              <w:rPr>
                <w:rStyle w:val="123"/>
                <w:rFonts w:ascii="宋体" w:hAnsi="宋体"/>
              </w:rPr>
              <w:t>时间</w:t>
            </w:r>
          </w:p>
        </w:tc>
        <w:tc>
          <w:tcPr>
            <w:tcW w:w="2820" w:type="dxa"/>
            <w:gridSpan w:val="2"/>
            <w:tcBorders>
              <w:top w:val="single" w:color="000000" w:sz="4" w:space="0"/>
              <w:left w:val="single" w:color="000000" w:sz="4" w:space="0"/>
              <w:bottom w:val="single" w:color="000000" w:sz="4" w:space="0"/>
              <w:right w:val="single" w:color="000000" w:sz="4" w:space="0"/>
            </w:tcBorders>
            <w:vAlign w:val="center"/>
          </w:tcPr>
          <w:p>
            <w:pPr>
              <w:ind w:left="45"/>
              <w:textAlignment w:val="baseline"/>
              <w:rPr>
                <w:rStyle w:val="123"/>
                <w:rFonts w:ascii="宋体" w:hAnsi="宋体"/>
              </w:rPr>
            </w:pPr>
            <w:r>
              <w:rPr>
                <w:rStyle w:val="123"/>
                <w:rFonts w:ascii="宋体" w:hAnsi="宋体"/>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1995" w:type="dxa"/>
            <w:gridSpan w:val="2"/>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123"/>
                <w:rFonts w:ascii="宋体" w:hAnsi="宋体"/>
              </w:rPr>
            </w:pPr>
            <w:r>
              <w:rPr>
                <w:rStyle w:val="123"/>
                <w:rFonts w:ascii="宋体" w:hAnsi="宋体"/>
              </w:rPr>
              <w:t>从事本专业时间</w:t>
            </w:r>
          </w:p>
        </w:tc>
        <w:tc>
          <w:tcPr>
            <w:tcW w:w="1365" w:type="dxa"/>
            <w:gridSpan w:val="2"/>
            <w:tcBorders>
              <w:top w:val="single" w:color="000000" w:sz="4" w:space="0"/>
              <w:left w:val="single" w:color="000000" w:sz="4" w:space="0"/>
              <w:bottom w:val="single" w:color="000000" w:sz="4" w:space="0"/>
              <w:right w:val="single" w:color="000000" w:sz="4" w:space="0"/>
            </w:tcBorders>
            <w:vAlign w:val="center"/>
          </w:tcPr>
          <w:p>
            <w:pPr>
              <w:textAlignment w:val="baseline"/>
              <w:rPr>
                <w:rStyle w:val="123"/>
                <w:rFonts w:ascii="宋体" w:hAnsi="宋体"/>
              </w:rPr>
            </w:pPr>
          </w:p>
        </w:tc>
        <w:tc>
          <w:tcPr>
            <w:tcW w:w="2205" w:type="dxa"/>
            <w:gridSpan w:val="3"/>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123"/>
                <w:rFonts w:ascii="宋体" w:hAnsi="宋体"/>
              </w:rPr>
            </w:pPr>
            <w:r>
              <w:rPr>
                <w:rStyle w:val="123"/>
                <w:rFonts w:ascii="宋体" w:hAnsi="宋体"/>
              </w:rPr>
              <w:t>为供应商服务时间</w:t>
            </w:r>
          </w:p>
        </w:tc>
        <w:tc>
          <w:tcPr>
            <w:tcW w:w="2835" w:type="dxa"/>
            <w:gridSpan w:val="3"/>
            <w:tcBorders>
              <w:top w:val="single" w:color="000000" w:sz="4" w:space="0"/>
              <w:left w:val="single" w:color="000000" w:sz="4" w:space="0"/>
              <w:bottom w:val="single" w:color="000000" w:sz="4" w:space="0"/>
              <w:right w:val="single" w:color="000000" w:sz="4" w:space="0"/>
            </w:tcBorders>
            <w:vAlign w:val="center"/>
          </w:tcPr>
          <w:p>
            <w:pPr>
              <w:textAlignment w:val="baseline"/>
              <w:rPr>
                <w:rStyle w:val="123"/>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995" w:type="dxa"/>
            <w:gridSpan w:val="2"/>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123"/>
                <w:rFonts w:ascii="宋体" w:hAnsi="宋体"/>
              </w:rPr>
            </w:pPr>
            <w:r>
              <w:rPr>
                <w:rStyle w:val="123"/>
                <w:rFonts w:ascii="宋体" w:hAnsi="宋体"/>
              </w:rPr>
              <w:t>执 业 注 册</w:t>
            </w:r>
          </w:p>
        </w:tc>
        <w:tc>
          <w:tcPr>
            <w:tcW w:w="1365" w:type="dxa"/>
            <w:gridSpan w:val="2"/>
            <w:tcBorders>
              <w:top w:val="single" w:color="000000" w:sz="4" w:space="0"/>
              <w:left w:val="single" w:color="000000" w:sz="4" w:space="0"/>
              <w:bottom w:val="single" w:color="000000" w:sz="4" w:space="0"/>
              <w:right w:val="single" w:color="000000" w:sz="4" w:space="0"/>
            </w:tcBorders>
            <w:vAlign w:val="center"/>
          </w:tcPr>
          <w:p>
            <w:pPr>
              <w:textAlignment w:val="baseline"/>
              <w:rPr>
                <w:rStyle w:val="123"/>
                <w:rFonts w:ascii="宋体" w:hAnsi="宋体"/>
              </w:rPr>
            </w:pPr>
          </w:p>
        </w:tc>
        <w:tc>
          <w:tcPr>
            <w:tcW w:w="2205" w:type="dxa"/>
            <w:gridSpan w:val="3"/>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123"/>
                <w:rFonts w:ascii="宋体" w:hAnsi="宋体"/>
              </w:rPr>
            </w:pPr>
            <w:r>
              <w:rPr>
                <w:rStyle w:val="123"/>
                <w:rFonts w:ascii="宋体" w:hAnsi="宋体"/>
              </w:rPr>
              <w:t>职       称</w:t>
            </w:r>
          </w:p>
        </w:tc>
        <w:tc>
          <w:tcPr>
            <w:tcW w:w="2835" w:type="dxa"/>
            <w:gridSpan w:val="3"/>
            <w:tcBorders>
              <w:top w:val="single" w:color="000000" w:sz="4" w:space="0"/>
              <w:left w:val="single" w:color="000000" w:sz="4" w:space="0"/>
              <w:bottom w:val="single" w:color="000000" w:sz="4" w:space="0"/>
              <w:right w:val="single" w:color="000000" w:sz="4" w:space="0"/>
            </w:tcBorders>
            <w:vAlign w:val="center"/>
          </w:tcPr>
          <w:p>
            <w:pPr>
              <w:textAlignment w:val="baseline"/>
              <w:rPr>
                <w:rStyle w:val="123"/>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00" w:hRule="atLeast"/>
        </w:trPr>
        <w:tc>
          <w:tcPr>
            <w:tcW w:w="8400" w:type="dxa"/>
            <w:gridSpan w:val="10"/>
            <w:tcBorders>
              <w:top w:val="single" w:color="000000" w:sz="4" w:space="0"/>
              <w:left w:val="single" w:color="000000" w:sz="4" w:space="0"/>
              <w:bottom w:val="single" w:color="000000" w:sz="4" w:space="0"/>
              <w:right w:val="single" w:color="000000" w:sz="4" w:space="0"/>
            </w:tcBorders>
            <w:vAlign w:val="center"/>
          </w:tcPr>
          <w:p>
            <w:pPr>
              <w:textAlignment w:val="baseline"/>
              <w:rPr>
                <w:rStyle w:val="123"/>
                <w:rFonts w:ascii="宋体" w:hAnsi="宋体"/>
              </w:rPr>
            </w:pPr>
            <w:r>
              <w:rPr>
                <w:rStyle w:val="123"/>
                <w:rFonts w:ascii="宋体" w:hAnsi="宋体"/>
              </w:rPr>
              <w:t xml:space="preserve">                          主  要  经  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995" w:type="dxa"/>
            <w:gridSpan w:val="2"/>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123"/>
                <w:rFonts w:ascii="宋体" w:hAnsi="宋体"/>
              </w:rPr>
            </w:pPr>
            <w:r>
              <w:rPr>
                <w:rStyle w:val="123"/>
                <w:rFonts w:ascii="宋体" w:hAnsi="宋体"/>
              </w:rPr>
              <w:t>时   间</w:t>
            </w:r>
          </w:p>
        </w:tc>
        <w:tc>
          <w:tcPr>
            <w:tcW w:w="3675" w:type="dxa"/>
            <w:gridSpan w:val="7"/>
            <w:tcBorders>
              <w:top w:val="single" w:color="000000" w:sz="4" w:space="0"/>
              <w:left w:val="single" w:color="000000" w:sz="4" w:space="0"/>
              <w:bottom w:val="single" w:color="000000" w:sz="4" w:space="0"/>
              <w:right w:val="single" w:color="000000" w:sz="4" w:space="0"/>
            </w:tcBorders>
            <w:vAlign w:val="center"/>
          </w:tcPr>
          <w:p>
            <w:pPr>
              <w:textAlignment w:val="baseline"/>
              <w:rPr>
                <w:rStyle w:val="123"/>
                <w:rFonts w:ascii="宋体" w:hAnsi="宋体"/>
              </w:rPr>
            </w:pPr>
            <w:r>
              <w:rPr>
                <w:rStyle w:val="123"/>
                <w:rFonts w:ascii="宋体" w:hAnsi="宋体"/>
              </w:rPr>
              <w:t xml:space="preserve"> 参加过的项目名称及规模</w:t>
            </w:r>
          </w:p>
        </w:tc>
        <w:tc>
          <w:tcPr>
            <w:tcW w:w="2730"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123"/>
                <w:rFonts w:ascii="宋体" w:hAnsi="宋体"/>
              </w:rPr>
            </w:pPr>
            <w:r>
              <w:rPr>
                <w:rStyle w:val="123"/>
                <w:rFonts w:ascii="宋体" w:hAnsi="宋体"/>
              </w:rPr>
              <w:t>该项目中任职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3" w:hRule="atLeast"/>
        </w:trPr>
        <w:tc>
          <w:tcPr>
            <w:tcW w:w="1995" w:type="dxa"/>
            <w:gridSpan w:val="2"/>
            <w:tcBorders>
              <w:top w:val="single" w:color="000000" w:sz="4" w:space="0"/>
              <w:left w:val="single" w:color="000000" w:sz="4" w:space="0"/>
              <w:bottom w:val="single" w:color="000000" w:sz="4" w:space="0"/>
              <w:right w:val="single" w:color="000000" w:sz="4" w:space="0"/>
            </w:tcBorders>
          </w:tcPr>
          <w:p>
            <w:pPr>
              <w:textAlignment w:val="baseline"/>
              <w:rPr>
                <w:rStyle w:val="123"/>
                <w:rFonts w:ascii="宋体" w:hAnsi="宋体"/>
                <w:sz w:val="22"/>
              </w:rPr>
            </w:pPr>
          </w:p>
        </w:tc>
        <w:tc>
          <w:tcPr>
            <w:tcW w:w="3675" w:type="dxa"/>
            <w:gridSpan w:val="7"/>
            <w:tcBorders>
              <w:top w:val="single" w:color="000000" w:sz="4" w:space="0"/>
              <w:left w:val="single" w:color="000000" w:sz="4" w:space="0"/>
              <w:bottom w:val="single" w:color="000000" w:sz="4" w:space="0"/>
              <w:right w:val="single" w:color="000000" w:sz="4" w:space="0"/>
            </w:tcBorders>
          </w:tcPr>
          <w:p>
            <w:pPr>
              <w:textAlignment w:val="baseline"/>
              <w:rPr>
                <w:rStyle w:val="123"/>
                <w:rFonts w:ascii="宋体" w:hAnsi="宋体"/>
                <w:sz w:val="22"/>
              </w:rPr>
            </w:pPr>
          </w:p>
        </w:tc>
        <w:tc>
          <w:tcPr>
            <w:tcW w:w="2730" w:type="dxa"/>
            <w:tcBorders>
              <w:top w:val="single" w:color="000000" w:sz="4" w:space="0"/>
              <w:left w:val="single" w:color="000000" w:sz="4" w:space="0"/>
              <w:bottom w:val="single" w:color="000000" w:sz="4" w:space="0"/>
              <w:right w:val="single" w:color="000000" w:sz="4" w:space="0"/>
            </w:tcBorders>
          </w:tcPr>
          <w:p>
            <w:pPr>
              <w:textAlignment w:val="baseline"/>
              <w:rPr>
                <w:rStyle w:val="123"/>
                <w:rFonts w:ascii="宋体" w:hAnsi="宋体"/>
                <w:sz w:val="22"/>
              </w:rPr>
            </w:pPr>
          </w:p>
        </w:tc>
      </w:tr>
    </w:tbl>
    <w:p>
      <w:pPr>
        <w:spacing w:line="360" w:lineRule="auto"/>
        <w:textAlignment w:val="baseline"/>
        <w:rPr>
          <w:rStyle w:val="123"/>
          <w:rFonts w:ascii="宋体" w:hAnsi="宋体"/>
        </w:rPr>
      </w:pPr>
      <w:r>
        <w:rPr>
          <w:rStyle w:val="123"/>
          <w:rFonts w:ascii="宋体" w:hAnsi="宋体"/>
        </w:rPr>
        <w:t>注：</w:t>
      </w:r>
      <w:r>
        <w:rPr>
          <w:rStyle w:val="123"/>
          <w:rFonts w:hint="eastAsia" w:ascii="宋体" w:hAnsi="宋体"/>
        </w:rPr>
        <w:t>附相关资料证明</w:t>
      </w:r>
    </w:p>
    <w:p>
      <w:pPr>
        <w:ind w:right="360"/>
        <w:jc w:val="right"/>
        <w:textAlignment w:val="baseline"/>
        <w:rPr>
          <w:rStyle w:val="123"/>
          <w:rFonts w:ascii="宋体" w:hAnsi="宋体"/>
          <w:u w:val="single"/>
        </w:rPr>
      </w:pPr>
    </w:p>
    <w:p>
      <w:pPr>
        <w:pStyle w:val="133"/>
        <w:widowControl/>
        <w:rPr>
          <w:rStyle w:val="123"/>
          <w:rFonts w:ascii="宋体" w:hAnsi="宋体"/>
          <w:u w:val="single"/>
        </w:rPr>
      </w:pPr>
    </w:p>
    <w:p>
      <w:pPr>
        <w:ind w:firstLine="3360" w:firstLineChars="1400"/>
        <w:rPr>
          <w:rFonts w:ascii="宋体" w:hAnsi="宋体" w:cs="宋体"/>
          <w:szCs w:val="24"/>
          <w:u w:val="single"/>
        </w:rPr>
      </w:pPr>
      <w:r>
        <w:rPr>
          <w:rFonts w:hint="eastAsia" w:ascii="宋体" w:hAnsi="宋体" w:cs="宋体"/>
          <w:szCs w:val="24"/>
        </w:rPr>
        <w:t xml:space="preserve">响应供应商： </w:t>
      </w:r>
      <w:r>
        <w:rPr>
          <w:rFonts w:hint="eastAsia" w:ascii="宋体" w:hAnsi="宋体" w:cs="宋体"/>
          <w:szCs w:val="24"/>
          <w:u w:val="single"/>
        </w:rPr>
        <w:t xml:space="preserve">          （盖章）             </w:t>
      </w:r>
    </w:p>
    <w:p>
      <w:pPr>
        <w:ind w:right="360"/>
        <w:jc w:val="right"/>
        <w:rPr>
          <w:rFonts w:ascii="宋体" w:hAnsi="宋体" w:cs="宋体"/>
          <w:szCs w:val="24"/>
        </w:rPr>
      </w:pPr>
    </w:p>
    <w:p>
      <w:pPr>
        <w:ind w:right="240"/>
        <w:rPr>
          <w:rFonts w:ascii="宋体" w:hAnsi="宋体" w:cs="宋体"/>
          <w:szCs w:val="24"/>
          <w:u w:val="single"/>
        </w:rPr>
      </w:pPr>
      <w:r>
        <w:rPr>
          <w:rFonts w:hint="eastAsia" w:ascii="宋体" w:hAnsi="宋体" w:cs="宋体"/>
          <w:szCs w:val="24"/>
        </w:rPr>
        <w:t xml:space="preserve">                            法定代表人或其授权代理人（签字或盖章）：</w:t>
      </w:r>
    </w:p>
    <w:p>
      <w:pPr>
        <w:wordWrap w:val="0"/>
        <w:ind w:right="360" w:firstLine="2640" w:firstLineChars="1100"/>
        <w:rPr>
          <w:rFonts w:ascii="宋体" w:hAnsi="宋体" w:cs="宋体"/>
          <w:szCs w:val="24"/>
        </w:rPr>
      </w:pPr>
      <w:r>
        <w:rPr>
          <w:rFonts w:hint="eastAsia" w:ascii="宋体" w:hAnsi="宋体" w:cs="宋体"/>
          <w:szCs w:val="24"/>
        </w:rPr>
        <w:t xml:space="preserve"> </w:t>
      </w:r>
    </w:p>
    <w:p>
      <w:pPr>
        <w:ind w:firstLine="3360" w:firstLineChars="1400"/>
        <w:rPr>
          <w:b/>
          <w:bCs/>
          <w:sz w:val="32"/>
          <w:szCs w:val="32"/>
        </w:rPr>
      </w:pPr>
      <w:r>
        <w:rPr>
          <w:rFonts w:hint="eastAsia" w:ascii="宋体" w:hAnsi="宋体" w:cs="宋体"/>
          <w:szCs w:val="24"/>
        </w:rPr>
        <w:t xml:space="preserve"> 日   期：</w:t>
      </w:r>
    </w:p>
    <w:p>
      <w:pPr>
        <w:rPr>
          <w:b/>
          <w:bCs/>
          <w:sz w:val="32"/>
          <w:szCs w:val="32"/>
        </w:rPr>
      </w:pPr>
      <w:r>
        <w:rPr>
          <w:rFonts w:hint="eastAsia"/>
          <w:b/>
          <w:bCs/>
          <w:sz w:val="32"/>
          <w:szCs w:val="32"/>
        </w:rPr>
        <w:br w:type="page"/>
      </w:r>
    </w:p>
    <w:p>
      <w:pPr>
        <w:jc w:val="center"/>
        <w:outlineLvl w:val="0"/>
        <w:rPr>
          <w:b/>
          <w:bCs/>
          <w:sz w:val="32"/>
          <w:szCs w:val="32"/>
        </w:rPr>
      </w:pPr>
      <w:r>
        <w:rPr>
          <w:rFonts w:hint="eastAsia"/>
          <w:b/>
          <w:bCs/>
          <w:sz w:val="32"/>
          <w:szCs w:val="32"/>
        </w:rPr>
        <w:t>服务承诺</w:t>
      </w:r>
    </w:p>
    <w:p>
      <w:pPr>
        <w:adjustRightInd w:val="0"/>
        <w:snapToGrid w:val="0"/>
        <w:spacing w:line="360" w:lineRule="auto"/>
        <w:ind w:right="629" w:firstLine="470" w:firstLineChars="196"/>
        <w:jc w:val="center"/>
        <w:rPr>
          <w:rFonts w:ascii="宋体" w:hAnsi="宋体" w:cs="宋体"/>
          <w:szCs w:val="24"/>
        </w:rPr>
      </w:pPr>
      <w:r>
        <w:rPr>
          <w:rFonts w:hint="eastAsia" w:ascii="宋体" w:hAnsi="宋体" w:cs="宋体"/>
          <w:szCs w:val="24"/>
        </w:rPr>
        <w:t>（由响应供应商根据评标办法自行编写，格式自定。）</w:t>
      </w:r>
    </w:p>
    <w:p>
      <w:pPr>
        <w:jc w:val="center"/>
        <w:rPr>
          <w:b/>
          <w:bCs/>
          <w:sz w:val="32"/>
          <w:szCs w:val="32"/>
        </w:rPr>
      </w:pPr>
      <w:r>
        <w:rPr>
          <w:rFonts w:hint="eastAsia"/>
          <w:b/>
          <w:bCs/>
          <w:sz w:val="32"/>
          <w:szCs w:val="32"/>
        </w:rPr>
        <w:br w:type="page"/>
      </w:r>
    </w:p>
    <w:p>
      <w:pPr>
        <w:jc w:val="center"/>
        <w:outlineLvl w:val="0"/>
        <w:rPr>
          <w:b/>
          <w:bCs/>
          <w:sz w:val="32"/>
          <w:szCs w:val="32"/>
        </w:rPr>
      </w:pPr>
      <w:r>
        <w:rPr>
          <w:rFonts w:hint="eastAsia"/>
          <w:b/>
          <w:bCs/>
          <w:sz w:val="32"/>
          <w:szCs w:val="32"/>
        </w:rPr>
        <w:t>类似项目和相关项目一览表</w:t>
      </w:r>
      <w:bookmarkEnd w:id="392"/>
    </w:p>
    <w:p>
      <w:pPr>
        <w:pStyle w:val="2"/>
        <w:rPr>
          <w:b/>
          <w:bCs/>
          <w:sz w:val="32"/>
          <w:szCs w:val="32"/>
        </w:rPr>
      </w:pPr>
    </w:p>
    <w:p>
      <w:pPr>
        <w:pStyle w:val="2"/>
        <w:rPr>
          <w:b/>
          <w:bCs/>
          <w:sz w:val="32"/>
          <w:szCs w:val="32"/>
        </w:rPr>
      </w:pPr>
    </w:p>
    <w:p>
      <w:pPr>
        <w:ind w:firstLine="240" w:firstLineChars="100"/>
        <w:rPr>
          <w:rFonts w:ascii="宋体" w:hAnsi="宋体" w:cs="宋体"/>
          <w:szCs w:val="24"/>
          <w:u w:val="single"/>
        </w:rPr>
      </w:pPr>
      <w:r>
        <w:rPr>
          <w:rFonts w:hint="eastAsia" w:ascii="宋体" w:hAnsi="宋体" w:cs="宋体"/>
          <w:szCs w:val="24"/>
        </w:rPr>
        <w:t>采购项目编号：</w:t>
      </w:r>
      <w:r>
        <w:rPr>
          <w:rFonts w:hint="eastAsia" w:ascii="宋体" w:hAnsi="宋体" w:cs="宋体"/>
          <w:szCs w:val="24"/>
          <w:u w:val="single"/>
        </w:rPr>
        <w:t xml:space="preserve">                    </w:t>
      </w:r>
    </w:p>
    <w:tbl>
      <w:tblPr>
        <w:tblStyle w:val="3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473"/>
        <w:gridCol w:w="1142"/>
        <w:gridCol w:w="1035"/>
        <w:gridCol w:w="1335"/>
        <w:gridCol w:w="1185"/>
        <w:gridCol w:w="1237"/>
        <w:gridCol w:w="1559"/>
        <w:gridCol w:w="99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473" w:type="dxa"/>
            <w:vAlign w:val="center"/>
          </w:tcPr>
          <w:p>
            <w:pPr>
              <w:jc w:val="center"/>
              <w:rPr>
                <w:rFonts w:ascii="宋体" w:hAnsi="宋体" w:cs="宋体"/>
                <w:b/>
                <w:szCs w:val="24"/>
              </w:rPr>
            </w:pPr>
            <w:r>
              <w:rPr>
                <w:rFonts w:hint="eastAsia" w:ascii="宋体" w:hAnsi="宋体" w:cs="宋体"/>
                <w:b/>
                <w:szCs w:val="24"/>
              </w:rPr>
              <w:t>序号</w:t>
            </w:r>
          </w:p>
        </w:tc>
        <w:tc>
          <w:tcPr>
            <w:tcW w:w="1142" w:type="dxa"/>
            <w:vAlign w:val="center"/>
          </w:tcPr>
          <w:p>
            <w:pPr>
              <w:jc w:val="center"/>
              <w:rPr>
                <w:rFonts w:ascii="宋体" w:hAnsi="宋体" w:cs="宋体"/>
                <w:b/>
                <w:szCs w:val="24"/>
              </w:rPr>
            </w:pPr>
            <w:r>
              <w:rPr>
                <w:rFonts w:hint="eastAsia" w:ascii="宋体" w:hAnsi="宋体" w:cs="宋体"/>
                <w:b/>
                <w:szCs w:val="24"/>
              </w:rPr>
              <w:t>项目名称</w:t>
            </w:r>
          </w:p>
        </w:tc>
        <w:tc>
          <w:tcPr>
            <w:tcW w:w="1035" w:type="dxa"/>
            <w:vAlign w:val="center"/>
          </w:tcPr>
          <w:p>
            <w:pPr>
              <w:jc w:val="center"/>
              <w:rPr>
                <w:rFonts w:ascii="宋体" w:hAnsi="宋体" w:cs="宋体"/>
                <w:b/>
                <w:szCs w:val="24"/>
              </w:rPr>
            </w:pPr>
            <w:r>
              <w:rPr>
                <w:rFonts w:hint="eastAsia" w:ascii="宋体" w:hAnsi="宋体" w:cs="宋体"/>
                <w:b/>
                <w:szCs w:val="24"/>
              </w:rPr>
              <w:t>项目内容</w:t>
            </w:r>
          </w:p>
        </w:tc>
        <w:tc>
          <w:tcPr>
            <w:tcW w:w="1335" w:type="dxa"/>
            <w:tcBorders>
              <w:left w:val="single" w:color="auto" w:sz="4" w:space="0"/>
              <w:right w:val="single" w:color="auto" w:sz="4" w:space="0"/>
            </w:tcBorders>
            <w:vAlign w:val="center"/>
          </w:tcPr>
          <w:p>
            <w:pPr>
              <w:jc w:val="center"/>
              <w:rPr>
                <w:rFonts w:ascii="宋体" w:hAnsi="宋体" w:cs="宋体"/>
                <w:b/>
                <w:szCs w:val="24"/>
              </w:rPr>
            </w:pPr>
            <w:r>
              <w:rPr>
                <w:rFonts w:hint="eastAsia" w:ascii="宋体" w:hAnsi="宋体" w:cs="宋体"/>
                <w:b/>
                <w:szCs w:val="24"/>
              </w:rPr>
              <w:t>合同金额</w:t>
            </w:r>
          </w:p>
          <w:p>
            <w:pPr>
              <w:jc w:val="center"/>
              <w:rPr>
                <w:rFonts w:ascii="宋体" w:hAnsi="宋体" w:cs="宋体"/>
                <w:b/>
                <w:szCs w:val="24"/>
              </w:rPr>
            </w:pPr>
            <w:r>
              <w:rPr>
                <w:rFonts w:hint="eastAsia" w:ascii="宋体" w:hAnsi="宋体" w:cs="宋体"/>
                <w:b/>
                <w:szCs w:val="24"/>
              </w:rPr>
              <w:t>（万元）</w:t>
            </w:r>
          </w:p>
        </w:tc>
        <w:tc>
          <w:tcPr>
            <w:tcW w:w="1185" w:type="dxa"/>
            <w:vAlign w:val="center"/>
          </w:tcPr>
          <w:p>
            <w:pPr>
              <w:jc w:val="center"/>
              <w:rPr>
                <w:rFonts w:ascii="宋体" w:hAnsi="宋体" w:cs="宋体"/>
                <w:b/>
                <w:szCs w:val="24"/>
              </w:rPr>
            </w:pPr>
            <w:r>
              <w:rPr>
                <w:rFonts w:hint="eastAsia" w:ascii="宋体" w:hAnsi="宋体" w:cs="宋体"/>
                <w:b/>
                <w:szCs w:val="24"/>
              </w:rPr>
              <w:t>签订日期</w:t>
            </w:r>
          </w:p>
        </w:tc>
        <w:tc>
          <w:tcPr>
            <w:tcW w:w="1237" w:type="dxa"/>
            <w:vAlign w:val="center"/>
          </w:tcPr>
          <w:p>
            <w:pPr>
              <w:jc w:val="center"/>
              <w:rPr>
                <w:rFonts w:ascii="宋体" w:hAnsi="宋体" w:cs="宋体"/>
                <w:b/>
                <w:szCs w:val="24"/>
              </w:rPr>
            </w:pPr>
            <w:r>
              <w:rPr>
                <w:rFonts w:hint="eastAsia" w:ascii="宋体" w:hAnsi="宋体" w:cs="宋体"/>
                <w:b/>
                <w:szCs w:val="24"/>
              </w:rPr>
              <w:t>完结日期</w:t>
            </w:r>
          </w:p>
        </w:tc>
        <w:tc>
          <w:tcPr>
            <w:tcW w:w="1559" w:type="dxa"/>
            <w:vAlign w:val="center"/>
          </w:tcPr>
          <w:p>
            <w:pPr>
              <w:jc w:val="center"/>
              <w:rPr>
                <w:rFonts w:ascii="宋体" w:hAnsi="宋体" w:cs="宋体"/>
                <w:b/>
                <w:szCs w:val="24"/>
              </w:rPr>
            </w:pPr>
            <w:r>
              <w:rPr>
                <w:rFonts w:hint="eastAsia" w:ascii="宋体" w:hAnsi="宋体" w:cs="宋体"/>
                <w:b/>
                <w:szCs w:val="24"/>
              </w:rPr>
              <w:t>业主名称</w:t>
            </w:r>
          </w:p>
        </w:tc>
        <w:tc>
          <w:tcPr>
            <w:tcW w:w="993" w:type="dxa"/>
            <w:vAlign w:val="center"/>
          </w:tcPr>
          <w:p>
            <w:pPr>
              <w:jc w:val="center"/>
              <w:rPr>
                <w:rFonts w:ascii="宋体" w:hAnsi="宋体" w:cs="宋体"/>
                <w:b/>
                <w:szCs w:val="24"/>
              </w:rPr>
            </w:pPr>
            <w:r>
              <w:rPr>
                <w:rFonts w:hint="eastAsia" w:ascii="宋体" w:hAnsi="宋体" w:cs="宋体"/>
                <w:b/>
                <w:szCs w:val="24"/>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473" w:type="dxa"/>
            <w:vAlign w:val="center"/>
          </w:tcPr>
          <w:p>
            <w:pPr>
              <w:ind w:left="120"/>
              <w:jc w:val="center"/>
              <w:rPr>
                <w:rFonts w:ascii="宋体" w:hAnsi="宋体" w:cs="宋体"/>
                <w:b/>
                <w:szCs w:val="24"/>
              </w:rPr>
            </w:pPr>
            <w:r>
              <w:rPr>
                <w:rFonts w:hint="eastAsia" w:ascii="宋体" w:hAnsi="宋体" w:cs="宋体"/>
                <w:b/>
                <w:szCs w:val="24"/>
              </w:rPr>
              <w:t>1</w:t>
            </w:r>
          </w:p>
        </w:tc>
        <w:tc>
          <w:tcPr>
            <w:tcW w:w="1142" w:type="dxa"/>
            <w:vAlign w:val="center"/>
          </w:tcPr>
          <w:p>
            <w:pPr>
              <w:jc w:val="center"/>
              <w:rPr>
                <w:rFonts w:ascii="宋体" w:hAnsi="宋体" w:cs="宋体"/>
                <w:szCs w:val="24"/>
              </w:rPr>
            </w:pPr>
          </w:p>
        </w:tc>
        <w:tc>
          <w:tcPr>
            <w:tcW w:w="1035" w:type="dxa"/>
            <w:vAlign w:val="center"/>
          </w:tcPr>
          <w:p>
            <w:pPr>
              <w:jc w:val="center"/>
              <w:rPr>
                <w:rFonts w:ascii="宋体" w:hAnsi="宋体" w:cs="宋体"/>
                <w:szCs w:val="24"/>
              </w:rPr>
            </w:pPr>
          </w:p>
        </w:tc>
        <w:tc>
          <w:tcPr>
            <w:tcW w:w="1335" w:type="dxa"/>
            <w:tcBorders>
              <w:left w:val="single" w:color="auto" w:sz="4" w:space="0"/>
              <w:right w:val="single" w:color="auto" w:sz="4" w:space="0"/>
            </w:tcBorders>
            <w:vAlign w:val="center"/>
          </w:tcPr>
          <w:p>
            <w:pPr>
              <w:jc w:val="center"/>
              <w:rPr>
                <w:rFonts w:ascii="宋体" w:hAnsi="宋体" w:cs="宋体"/>
                <w:szCs w:val="24"/>
              </w:rPr>
            </w:pPr>
          </w:p>
        </w:tc>
        <w:tc>
          <w:tcPr>
            <w:tcW w:w="1185" w:type="dxa"/>
            <w:vAlign w:val="center"/>
          </w:tcPr>
          <w:p>
            <w:pPr>
              <w:jc w:val="center"/>
              <w:rPr>
                <w:rFonts w:ascii="宋体" w:hAnsi="宋体" w:cs="宋体"/>
                <w:szCs w:val="24"/>
              </w:rPr>
            </w:pPr>
          </w:p>
        </w:tc>
        <w:tc>
          <w:tcPr>
            <w:tcW w:w="1237" w:type="dxa"/>
          </w:tcPr>
          <w:p>
            <w:pPr>
              <w:jc w:val="center"/>
              <w:rPr>
                <w:rFonts w:ascii="宋体" w:hAnsi="宋体" w:cs="宋体"/>
                <w:szCs w:val="24"/>
              </w:rPr>
            </w:pPr>
          </w:p>
        </w:tc>
        <w:tc>
          <w:tcPr>
            <w:tcW w:w="1559" w:type="dxa"/>
          </w:tcPr>
          <w:p>
            <w:pPr>
              <w:jc w:val="center"/>
              <w:rPr>
                <w:rFonts w:ascii="宋体" w:hAnsi="宋体" w:cs="宋体"/>
                <w:szCs w:val="24"/>
              </w:rPr>
            </w:pPr>
          </w:p>
        </w:tc>
        <w:tc>
          <w:tcPr>
            <w:tcW w:w="993" w:type="dxa"/>
          </w:tcPr>
          <w:p>
            <w:pPr>
              <w:jc w:val="center"/>
              <w:rPr>
                <w:rFonts w:ascii="宋体" w:hAnsi="宋体" w:cs="宋体"/>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473" w:type="dxa"/>
            <w:vAlign w:val="center"/>
          </w:tcPr>
          <w:p>
            <w:pPr>
              <w:ind w:left="120"/>
              <w:jc w:val="center"/>
              <w:rPr>
                <w:rFonts w:ascii="宋体" w:hAnsi="宋体" w:cs="宋体"/>
                <w:b/>
                <w:szCs w:val="24"/>
              </w:rPr>
            </w:pPr>
            <w:r>
              <w:rPr>
                <w:rFonts w:hint="eastAsia" w:ascii="宋体" w:hAnsi="宋体" w:cs="宋体"/>
                <w:b/>
                <w:szCs w:val="24"/>
              </w:rPr>
              <w:t>2</w:t>
            </w:r>
          </w:p>
        </w:tc>
        <w:tc>
          <w:tcPr>
            <w:tcW w:w="1142" w:type="dxa"/>
            <w:vAlign w:val="center"/>
          </w:tcPr>
          <w:p>
            <w:pPr>
              <w:jc w:val="center"/>
              <w:rPr>
                <w:rFonts w:ascii="宋体" w:hAnsi="宋体" w:cs="宋体"/>
                <w:szCs w:val="24"/>
              </w:rPr>
            </w:pPr>
          </w:p>
        </w:tc>
        <w:tc>
          <w:tcPr>
            <w:tcW w:w="1035" w:type="dxa"/>
            <w:vAlign w:val="center"/>
          </w:tcPr>
          <w:p>
            <w:pPr>
              <w:jc w:val="center"/>
              <w:rPr>
                <w:rFonts w:ascii="宋体" w:hAnsi="宋体" w:cs="宋体"/>
                <w:szCs w:val="24"/>
              </w:rPr>
            </w:pPr>
          </w:p>
        </w:tc>
        <w:tc>
          <w:tcPr>
            <w:tcW w:w="1335" w:type="dxa"/>
            <w:tcBorders>
              <w:left w:val="single" w:color="auto" w:sz="4" w:space="0"/>
              <w:right w:val="single" w:color="auto" w:sz="4" w:space="0"/>
            </w:tcBorders>
            <w:vAlign w:val="center"/>
          </w:tcPr>
          <w:p>
            <w:pPr>
              <w:jc w:val="center"/>
              <w:rPr>
                <w:rFonts w:ascii="宋体" w:hAnsi="宋体" w:cs="宋体"/>
                <w:szCs w:val="24"/>
              </w:rPr>
            </w:pPr>
          </w:p>
        </w:tc>
        <w:tc>
          <w:tcPr>
            <w:tcW w:w="1185" w:type="dxa"/>
            <w:vAlign w:val="center"/>
          </w:tcPr>
          <w:p>
            <w:pPr>
              <w:jc w:val="center"/>
              <w:rPr>
                <w:rFonts w:ascii="宋体" w:hAnsi="宋体" w:cs="宋体"/>
                <w:szCs w:val="24"/>
              </w:rPr>
            </w:pPr>
          </w:p>
        </w:tc>
        <w:tc>
          <w:tcPr>
            <w:tcW w:w="1237" w:type="dxa"/>
          </w:tcPr>
          <w:p>
            <w:pPr>
              <w:jc w:val="center"/>
              <w:rPr>
                <w:rFonts w:ascii="宋体" w:hAnsi="宋体" w:cs="宋体"/>
                <w:szCs w:val="24"/>
              </w:rPr>
            </w:pPr>
          </w:p>
        </w:tc>
        <w:tc>
          <w:tcPr>
            <w:tcW w:w="1559" w:type="dxa"/>
          </w:tcPr>
          <w:p>
            <w:pPr>
              <w:jc w:val="center"/>
              <w:rPr>
                <w:rFonts w:ascii="宋体" w:hAnsi="宋体" w:cs="宋体"/>
                <w:szCs w:val="24"/>
              </w:rPr>
            </w:pPr>
          </w:p>
        </w:tc>
        <w:tc>
          <w:tcPr>
            <w:tcW w:w="993" w:type="dxa"/>
          </w:tcPr>
          <w:p>
            <w:pPr>
              <w:jc w:val="center"/>
              <w:rPr>
                <w:rFonts w:ascii="宋体" w:hAnsi="宋体" w:cs="宋体"/>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473" w:type="dxa"/>
            <w:vAlign w:val="center"/>
          </w:tcPr>
          <w:p>
            <w:pPr>
              <w:ind w:left="120"/>
              <w:jc w:val="center"/>
              <w:rPr>
                <w:rFonts w:ascii="宋体" w:hAnsi="宋体" w:cs="宋体"/>
                <w:b/>
                <w:szCs w:val="24"/>
              </w:rPr>
            </w:pPr>
            <w:r>
              <w:rPr>
                <w:rFonts w:hint="eastAsia" w:ascii="宋体" w:hAnsi="宋体" w:cs="宋体"/>
                <w:b/>
                <w:szCs w:val="24"/>
              </w:rPr>
              <w:t>3</w:t>
            </w:r>
          </w:p>
        </w:tc>
        <w:tc>
          <w:tcPr>
            <w:tcW w:w="1142" w:type="dxa"/>
            <w:vAlign w:val="center"/>
          </w:tcPr>
          <w:p>
            <w:pPr>
              <w:jc w:val="center"/>
              <w:rPr>
                <w:rFonts w:ascii="宋体" w:hAnsi="宋体" w:cs="宋体"/>
                <w:szCs w:val="24"/>
              </w:rPr>
            </w:pPr>
          </w:p>
        </w:tc>
        <w:tc>
          <w:tcPr>
            <w:tcW w:w="1035" w:type="dxa"/>
            <w:vAlign w:val="center"/>
          </w:tcPr>
          <w:p>
            <w:pPr>
              <w:jc w:val="center"/>
              <w:rPr>
                <w:rFonts w:ascii="宋体" w:hAnsi="宋体" w:cs="宋体"/>
                <w:szCs w:val="24"/>
              </w:rPr>
            </w:pPr>
          </w:p>
        </w:tc>
        <w:tc>
          <w:tcPr>
            <w:tcW w:w="1335" w:type="dxa"/>
            <w:tcBorders>
              <w:left w:val="single" w:color="auto" w:sz="4" w:space="0"/>
              <w:right w:val="single" w:color="auto" w:sz="4" w:space="0"/>
            </w:tcBorders>
            <w:vAlign w:val="center"/>
          </w:tcPr>
          <w:p>
            <w:pPr>
              <w:jc w:val="center"/>
              <w:rPr>
                <w:rFonts w:ascii="宋体" w:hAnsi="宋体" w:cs="宋体"/>
                <w:szCs w:val="24"/>
              </w:rPr>
            </w:pPr>
          </w:p>
        </w:tc>
        <w:tc>
          <w:tcPr>
            <w:tcW w:w="1185" w:type="dxa"/>
            <w:vAlign w:val="center"/>
          </w:tcPr>
          <w:p>
            <w:pPr>
              <w:jc w:val="center"/>
              <w:rPr>
                <w:rFonts w:ascii="宋体" w:hAnsi="宋体" w:cs="宋体"/>
                <w:szCs w:val="24"/>
              </w:rPr>
            </w:pPr>
          </w:p>
        </w:tc>
        <w:tc>
          <w:tcPr>
            <w:tcW w:w="1237" w:type="dxa"/>
          </w:tcPr>
          <w:p>
            <w:pPr>
              <w:jc w:val="center"/>
              <w:rPr>
                <w:rFonts w:ascii="宋体" w:hAnsi="宋体" w:cs="宋体"/>
                <w:szCs w:val="24"/>
              </w:rPr>
            </w:pPr>
          </w:p>
        </w:tc>
        <w:tc>
          <w:tcPr>
            <w:tcW w:w="1559" w:type="dxa"/>
          </w:tcPr>
          <w:p>
            <w:pPr>
              <w:jc w:val="center"/>
              <w:rPr>
                <w:rFonts w:ascii="宋体" w:hAnsi="宋体" w:cs="宋体"/>
                <w:szCs w:val="24"/>
              </w:rPr>
            </w:pPr>
          </w:p>
        </w:tc>
        <w:tc>
          <w:tcPr>
            <w:tcW w:w="993" w:type="dxa"/>
          </w:tcPr>
          <w:p>
            <w:pPr>
              <w:jc w:val="center"/>
              <w:rPr>
                <w:rFonts w:ascii="宋体" w:hAnsi="宋体" w:cs="宋体"/>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473" w:type="dxa"/>
            <w:vAlign w:val="center"/>
          </w:tcPr>
          <w:p>
            <w:pPr>
              <w:ind w:left="120"/>
              <w:jc w:val="center"/>
              <w:rPr>
                <w:rFonts w:ascii="宋体" w:hAnsi="宋体" w:cs="宋体"/>
                <w:b/>
                <w:szCs w:val="24"/>
              </w:rPr>
            </w:pPr>
            <w:r>
              <w:rPr>
                <w:rFonts w:hint="eastAsia" w:ascii="宋体" w:hAnsi="宋体" w:cs="宋体"/>
                <w:b/>
                <w:szCs w:val="24"/>
              </w:rPr>
              <w:t>4</w:t>
            </w:r>
          </w:p>
        </w:tc>
        <w:tc>
          <w:tcPr>
            <w:tcW w:w="1142" w:type="dxa"/>
            <w:vAlign w:val="center"/>
          </w:tcPr>
          <w:p>
            <w:pPr>
              <w:jc w:val="center"/>
              <w:rPr>
                <w:rFonts w:ascii="宋体" w:hAnsi="宋体" w:cs="宋体"/>
                <w:szCs w:val="24"/>
              </w:rPr>
            </w:pPr>
          </w:p>
        </w:tc>
        <w:tc>
          <w:tcPr>
            <w:tcW w:w="1035" w:type="dxa"/>
            <w:vAlign w:val="center"/>
          </w:tcPr>
          <w:p>
            <w:pPr>
              <w:jc w:val="center"/>
              <w:rPr>
                <w:rFonts w:ascii="宋体" w:hAnsi="宋体" w:cs="宋体"/>
                <w:szCs w:val="24"/>
              </w:rPr>
            </w:pPr>
          </w:p>
        </w:tc>
        <w:tc>
          <w:tcPr>
            <w:tcW w:w="1335" w:type="dxa"/>
            <w:tcBorders>
              <w:left w:val="single" w:color="auto" w:sz="4" w:space="0"/>
              <w:right w:val="single" w:color="auto" w:sz="4" w:space="0"/>
            </w:tcBorders>
            <w:vAlign w:val="center"/>
          </w:tcPr>
          <w:p>
            <w:pPr>
              <w:jc w:val="center"/>
              <w:rPr>
                <w:rFonts w:ascii="宋体" w:hAnsi="宋体" w:cs="宋体"/>
                <w:szCs w:val="24"/>
              </w:rPr>
            </w:pPr>
          </w:p>
        </w:tc>
        <w:tc>
          <w:tcPr>
            <w:tcW w:w="1185" w:type="dxa"/>
            <w:vAlign w:val="center"/>
          </w:tcPr>
          <w:p>
            <w:pPr>
              <w:jc w:val="center"/>
              <w:rPr>
                <w:rFonts w:ascii="宋体" w:hAnsi="宋体" w:cs="宋体"/>
                <w:szCs w:val="24"/>
              </w:rPr>
            </w:pPr>
          </w:p>
        </w:tc>
        <w:tc>
          <w:tcPr>
            <w:tcW w:w="1237" w:type="dxa"/>
          </w:tcPr>
          <w:p>
            <w:pPr>
              <w:jc w:val="center"/>
              <w:rPr>
                <w:rFonts w:ascii="宋体" w:hAnsi="宋体" w:cs="宋体"/>
                <w:szCs w:val="24"/>
              </w:rPr>
            </w:pPr>
          </w:p>
        </w:tc>
        <w:tc>
          <w:tcPr>
            <w:tcW w:w="1559" w:type="dxa"/>
          </w:tcPr>
          <w:p>
            <w:pPr>
              <w:jc w:val="center"/>
              <w:rPr>
                <w:rFonts w:ascii="宋体" w:hAnsi="宋体" w:cs="宋体"/>
                <w:szCs w:val="24"/>
              </w:rPr>
            </w:pPr>
          </w:p>
        </w:tc>
        <w:tc>
          <w:tcPr>
            <w:tcW w:w="993" w:type="dxa"/>
          </w:tcPr>
          <w:p>
            <w:pPr>
              <w:jc w:val="center"/>
              <w:rPr>
                <w:rFonts w:ascii="宋体" w:hAnsi="宋体" w:cs="宋体"/>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473" w:type="dxa"/>
            <w:vAlign w:val="center"/>
          </w:tcPr>
          <w:p>
            <w:pPr>
              <w:ind w:left="120"/>
              <w:jc w:val="center"/>
              <w:rPr>
                <w:rFonts w:ascii="宋体" w:hAnsi="宋体" w:cs="宋体"/>
                <w:b/>
                <w:szCs w:val="24"/>
              </w:rPr>
            </w:pPr>
            <w:r>
              <w:rPr>
                <w:rFonts w:hint="eastAsia" w:ascii="宋体" w:hAnsi="宋体" w:cs="宋体"/>
                <w:b/>
                <w:szCs w:val="24"/>
              </w:rPr>
              <w:t>5</w:t>
            </w:r>
          </w:p>
        </w:tc>
        <w:tc>
          <w:tcPr>
            <w:tcW w:w="1142" w:type="dxa"/>
            <w:vAlign w:val="center"/>
          </w:tcPr>
          <w:p>
            <w:pPr>
              <w:jc w:val="center"/>
              <w:rPr>
                <w:rFonts w:ascii="宋体" w:hAnsi="宋体" w:cs="宋体"/>
                <w:szCs w:val="24"/>
              </w:rPr>
            </w:pPr>
          </w:p>
        </w:tc>
        <w:tc>
          <w:tcPr>
            <w:tcW w:w="1035" w:type="dxa"/>
            <w:vAlign w:val="center"/>
          </w:tcPr>
          <w:p>
            <w:pPr>
              <w:jc w:val="center"/>
              <w:rPr>
                <w:rFonts w:ascii="宋体" w:hAnsi="宋体" w:cs="宋体"/>
                <w:szCs w:val="24"/>
              </w:rPr>
            </w:pPr>
          </w:p>
        </w:tc>
        <w:tc>
          <w:tcPr>
            <w:tcW w:w="1335" w:type="dxa"/>
            <w:tcBorders>
              <w:left w:val="single" w:color="auto" w:sz="4" w:space="0"/>
              <w:right w:val="single" w:color="auto" w:sz="4" w:space="0"/>
            </w:tcBorders>
            <w:vAlign w:val="center"/>
          </w:tcPr>
          <w:p>
            <w:pPr>
              <w:jc w:val="center"/>
              <w:rPr>
                <w:rFonts w:ascii="宋体" w:hAnsi="宋体" w:cs="宋体"/>
                <w:szCs w:val="24"/>
              </w:rPr>
            </w:pPr>
          </w:p>
        </w:tc>
        <w:tc>
          <w:tcPr>
            <w:tcW w:w="1185" w:type="dxa"/>
            <w:vAlign w:val="center"/>
          </w:tcPr>
          <w:p>
            <w:pPr>
              <w:jc w:val="center"/>
              <w:rPr>
                <w:rFonts w:ascii="宋体" w:hAnsi="宋体" w:cs="宋体"/>
                <w:szCs w:val="24"/>
              </w:rPr>
            </w:pPr>
          </w:p>
        </w:tc>
        <w:tc>
          <w:tcPr>
            <w:tcW w:w="1237" w:type="dxa"/>
          </w:tcPr>
          <w:p>
            <w:pPr>
              <w:jc w:val="center"/>
              <w:rPr>
                <w:rFonts w:ascii="宋体" w:hAnsi="宋体" w:cs="宋体"/>
                <w:szCs w:val="24"/>
              </w:rPr>
            </w:pPr>
          </w:p>
        </w:tc>
        <w:tc>
          <w:tcPr>
            <w:tcW w:w="1559" w:type="dxa"/>
          </w:tcPr>
          <w:p>
            <w:pPr>
              <w:jc w:val="center"/>
              <w:rPr>
                <w:rFonts w:ascii="宋体" w:hAnsi="宋体" w:cs="宋体"/>
                <w:szCs w:val="24"/>
              </w:rPr>
            </w:pPr>
          </w:p>
        </w:tc>
        <w:tc>
          <w:tcPr>
            <w:tcW w:w="993" w:type="dxa"/>
          </w:tcPr>
          <w:p>
            <w:pPr>
              <w:jc w:val="center"/>
              <w:rPr>
                <w:rFonts w:ascii="宋体" w:hAnsi="宋体" w:cs="宋体"/>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473" w:type="dxa"/>
            <w:vAlign w:val="center"/>
          </w:tcPr>
          <w:p>
            <w:pPr>
              <w:jc w:val="center"/>
              <w:rPr>
                <w:rFonts w:ascii="宋体" w:hAnsi="宋体" w:cs="宋体"/>
                <w:b/>
                <w:szCs w:val="24"/>
              </w:rPr>
            </w:pPr>
            <w:r>
              <w:rPr>
                <w:rFonts w:hint="eastAsia" w:ascii="宋体" w:hAnsi="宋体" w:cs="宋体"/>
                <w:b/>
                <w:szCs w:val="24"/>
              </w:rPr>
              <w:t>…</w:t>
            </w:r>
          </w:p>
        </w:tc>
        <w:tc>
          <w:tcPr>
            <w:tcW w:w="1142" w:type="dxa"/>
            <w:vAlign w:val="center"/>
          </w:tcPr>
          <w:p>
            <w:pPr>
              <w:jc w:val="center"/>
              <w:rPr>
                <w:rFonts w:ascii="宋体" w:hAnsi="宋体" w:cs="宋体"/>
                <w:szCs w:val="24"/>
              </w:rPr>
            </w:pPr>
          </w:p>
        </w:tc>
        <w:tc>
          <w:tcPr>
            <w:tcW w:w="1035" w:type="dxa"/>
            <w:vAlign w:val="center"/>
          </w:tcPr>
          <w:p>
            <w:pPr>
              <w:jc w:val="center"/>
              <w:rPr>
                <w:rFonts w:ascii="宋体" w:hAnsi="宋体" w:cs="宋体"/>
                <w:szCs w:val="24"/>
              </w:rPr>
            </w:pPr>
          </w:p>
        </w:tc>
        <w:tc>
          <w:tcPr>
            <w:tcW w:w="1335" w:type="dxa"/>
            <w:tcBorders>
              <w:left w:val="single" w:color="auto" w:sz="4" w:space="0"/>
              <w:right w:val="single" w:color="auto" w:sz="4" w:space="0"/>
            </w:tcBorders>
            <w:vAlign w:val="center"/>
          </w:tcPr>
          <w:p>
            <w:pPr>
              <w:jc w:val="center"/>
              <w:rPr>
                <w:rFonts w:ascii="宋体" w:hAnsi="宋体" w:cs="宋体"/>
                <w:szCs w:val="24"/>
              </w:rPr>
            </w:pPr>
          </w:p>
        </w:tc>
        <w:tc>
          <w:tcPr>
            <w:tcW w:w="1185" w:type="dxa"/>
            <w:vAlign w:val="center"/>
          </w:tcPr>
          <w:p>
            <w:pPr>
              <w:jc w:val="center"/>
              <w:rPr>
                <w:rFonts w:ascii="宋体" w:hAnsi="宋体" w:cs="宋体"/>
                <w:szCs w:val="24"/>
              </w:rPr>
            </w:pPr>
          </w:p>
        </w:tc>
        <w:tc>
          <w:tcPr>
            <w:tcW w:w="1237" w:type="dxa"/>
          </w:tcPr>
          <w:p>
            <w:pPr>
              <w:jc w:val="center"/>
              <w:rPr>
                <w:rFonts w:ascii="宋体" w:hAnsi="宋体" w:cs="宋体"/>
                <w:szCs w:val="24"/>
              </w:rPr>
            </w:pPr>
          </w:p>
        </w:tc>
        <w:tc>
          <w:tcPr>
            <w:tcW w:w="1559" w:type="dxa"/>
          </w:tcPr>
          <w:p>
            <w:pPr>
              <w:jc w:val="center"/>
              <w:rPr>
                <w:rFonts w:ascii="宋体" w:hAnsi="宋体" w:cs="宋体"/>
                <w:szCs w:val="24"/>
              </w:rPr>
            </w:pPr>
          </w:p>
        </w:tc>
        <w:tc>
          <w:tcPr>
            <w:tcW w:w="993" w:type="dxa"/>
          </w:tcPr>
          <w:p>
            <w:pPr>
              <w:jc w:val="center"/>
              <w:rPr>
                <w:rFonts w:ascii="宋体" w:hAnsi="宋体" w:cs="宋体"/>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473" w:type="dxa"/>
            <w:vAlign w:val="center"/>
          </w:tcPr>
          <w:p>
            <w:pPr>
              <w:jc w:val="center"/>
              <w:rPr>
                <w:rFonts w:ascii="宋体" w:hAnsi="宋体" w:cs="宋体"/>
                <w:b/>
                <w:szCs w:val="24"/>
              </w:rPr>
            </w:pPr>
          </w:p>
        </w:tc>
        <w:tc>
          <w:tcPr>
            <w:tcW w:w="1142" w:type="dxa"/>
            <w:vAlign w:val="center"/>
          </w:tcPr>
          <w:p>
            <w:pPr>
              <w:jc w:val="center"/>
              <w:rPr>
                <w:rFonts w:ascii="宋体" w:hAnsi="宋体" w:cs="宋体"/>
                <w:szCs w:val="24"/>
              </w:rPr>
            </w:pPr>
          </w:p>
        </w:tc>
        <w:tc>
          <w:tcPr>
            <w:tcW w:w="1035" w:type="dxa"/>
            <w:vAlign w:val="center"/>
          </w:tcPr>
          <w:p>
            <w:pPr>
              <w:jc w:val="center"/>
              <w:rPr>
                <w:rFonts w:ascii="宋体" w:hAnsi="宋体" w:cs="宋体"/>
                <w:szCs w:val="24"/>
              </w:rPr>
            </w:pPr>
          </w:p>
        </w:tc>
        <w:tc>
          <w:tcPr>
            <w:tcW w:w="1335" w:type="dxa"/>
            <w:tcBorders>
              <w:left w:val="single" w:color="auto" w:sz="4" w:space="0"/>
              <w:right w:val="single" w:color="auto" w:sz="4" w:space="0"/>
            </w:tcBorders>
            <w:vAlign w:val="center"/>
          </w:tcPr>
          <w:p>
            <w:pPr>
              <w:jc w:val="center"/>
              <w:rPr>
                <w:rFonts w:ascii="宋体" w:hAnsi="宋体" w:cs="宋体"/>
                <w:szCs w:val="24"/>
              </w:rPr>
            </w:pPr>
          </w:p>
        </w:tc>
        <w:tc>
          <w:tcPr>
            <w:tcW w:w="1185" w:type="dxa"/>
            <w:vAlign w:val="center"/>
          </w:tcPr>
          <w:p>
            <w:pPr>
              <w:jc w:val="center"/>
              <w:rPr>
                <w:rFonts w:ascii="宋体" w:hAnsi="宋体" w:cs="宋体"/>
                <w:szCs w:val="24"/>
              </w:rPr>
            </w:pPr>
          </w:p>
        </w:tc>
        <w:tc>
          <w:tcPr>
            <w:tcW w:w="1237" w:type="dxa"/>
          </w:tcPr>
          <w:p>
            <w:pPr>
              <w:jc w:val="center"/>
              <w:rPr>
                <w:rFonts w:ascii="宋体" w:hAnsi="宋体" w:cs="宋体"/>
                <w:szCs w:val="24"/>
              </w:rPr>
            </w:pPr>
          </w:p>
        </w:tc>
        <w:tc>
          <w:tcPr>
            <w:tcW w:w="1559" w:type="dxa"/>
          </w:tcPr>
          <w:p>
            <w:pPr>
              <w:jc w:val="center"/>
              <w:rPr>
                <w:rFonts w:ascii="宋体" w:hAnsi="宋体" w:cs="宋体"/>
                <w:szCs w:val="24"/>
              </w:rPr>
            </w:pPr>
          </w:p>
        </w:tc>
        <w:tc>
          <w:tcPr>
            <w:tcW w:w="993" w:type="dxa"/>
          </w:tcPr>
          <w:p>
            <w:pPr>
              <w:jc w:val="center"/>
              <w:rPr>
                <w:rFonts w:ascii="宋体" w:hAnsi="宋体" w:cs="宋体"/>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473" w:type="dxa"/>
            <w:vAlign w:val="center"/>
          </w:tcPr>
          <w:p>
            <w:pPr>
              <w:ind w:left="120"/>
              <w:jc w:val="center"/>
              <w:rPr>
                <w:rFonts w:ascii="宋体" w:hAnsi="宋体" w:cs="宋体"/>
                <w:b/>
                <w:szCs w:val="24"/>
              </w:rPr>
            </w:pPr>
          </w:p>
        </w:tc>
        <w:tc>
          <w:tcPr>
            <w:tcW w:w="1142" w:type="dxa"/>
            <w:vAlign w:val="center"/>
          </w:tcPr>
          <w:p>
            <w:pPr>
              <w:jc w:val="center"/>
              <w:rPr>
                <w:rFonts w:ascii="宋体" w:hAnsi="宋体" w:cs="宋体"/>
                <w:szCs w:val="24"/>
              </w:rPr>
            </w:pPr>
          </w:p>
        </w:tc>
        <w:tc>
          <w:tcPr>
            <w:tcW w:w="1035" w:type="dxa"/>
            <w:vAlign w:val="center"/>
          </w:tcPr>
          <w:p>
            <w:pPr>
              <w:jc w:val="center"/>
              <w:rPr>
                <w:rFonts w:ascii="宋体" w:hAnsi="宋体" w:cs="宋体"/>
                <w:szCs w:val="24"/>
              </w:rPr>
            </w:pPr>
          </w:p>
        </w:tc>
        <w:tc>
          <w:tcPr>
            <w:tcW w:w="1335" w:type="dxa"/>
            <w:tcBorders>
              <w:left w:val="single" w:color="auto" w:sz="4" w:space="0"/>
              <w:right w:val="single" w:color="auto" w:sz="4" w:space="0"/>
            </w:tcBorders>
            <w:vAlign w:val="center"/>
          </w:tcPr>
          <w:p>
            <w:pPr>
              <w:jc w:val="center"/>
              <w:rPr>
                <w:rFonts w:ascii="宋体" w:hAnsi="宋体" w:cs="宋体"/>
                <w:szCs w:val="24"/>
              </w:rPr>
            </w:pPr>
          </w:p>
        </w:tc>
        <w:tc>
          <w:tcPr>
            <w:tcW w:w="1185" w:type="dxa"/>
            <w:vAlign w:val="center"/>
          </w:tcPr>
          <w:p>
            <w:pPr>
              <w:jc w:val="center"/>
              <w:rPr>
                <w:rFonts w:ascii="宋体" w:hAnsi="宋体" w:cs="宋体"/>
                <w:szCs w:val="24"/>
              </w:rPr>
            </w:pPr>
          </w:p>
        </w:tc>
        <w:tc>
          <w:tcPr>
            <w:tcW w:w="1237" w:type="dxa"/>
          </w:tcPr>
          <w:p>
            <w:pPr>
              <w:jc w:val="center"/>
              <w:rPr>
                <w:rFonts w:ascii="宋体" w:hAnsi="宋体" w:cs="宋体"/>
                <w:szCs w:val="24"/>
              </w:rPr>
            </w:pPr>
          </w:p>
        </w:tc>
        <w:tc>
          <w:tcPr>
            <w:tcW w:w="1559" w:type="dxa"/>
          </w:tcPr>
          <w:p>
            <w:pPr>
              <w:jc w:val="center"/>
              <w:rPr>
                <w:rFonts w:ascii="宋体" w:hAnsi="宋体" w:cs="宋体"/>
                <w:szCs w:val="24"/>
              </w:rPr>
            </w:pPr>
          </w:p>
        </w:tc>
        <w:tc>
          <w:tcPr>
            <w:tcW w:w="993" w:type="dxa"/>
          </w:tcPr>
          <w:p>
            <w:pPr>
              <w:jc w:val="center"/>
              <w:rPr>
                <w:rFonts w:ascii="宋体" w:hAnsi="宋体" w:cs="宋体"/>
                <w:szCs w:val="24"/>
              </w:rPr>
            </w:pPr>
          </w:p>
        </w:tc>
      </w:tr>
    </w:tbl>
    <w:p>
      <w:pPr>
        <w:snapToGrid w:val="0"/>
        <w:ind w:left="398" w:hanging="398" w:hangingChars="166"/>
        <w:rPr>
          <w:rFonts w:ascii="宋体" w:hAnsi="宋体" w:cs="宋体"/>
          <w:szCs w:val="24"/>
        </w:rPr>
      </w:pPr>
    </w:p>
    <w:p>
      <w:pPr>
        <w:snapToGrid w:val="0"/>
        <w:ind w:left="398" w:hanging="398" w:hangingChars="166"/>
        <w:rPr>
          <w:rFonts w:ascii="宋体" w:hAnsi="宋体" w:cs="宋体"/>
          <w:szCs w:val="24"/>
        </w:rPr>
      </w:pPr>
      <w:r>
        <w:rPr>
          <w:rFonts w:hint="eastAsia" w:ascii="宋体" w:hAnsi="宋体" w:cs="宋体"/>
          <w:szCs w:val="24"/>
        </w:rPr>
        <w:t>注：1. 响应供应商应如实列出以上情况，如有隐瞒，一经查实将导致其响应申请被拒绝。</w:t>
      </w:r>
    </w:p>
    <w:p>
      <w:pPr>
        <w:snapToGrid w:val="0"/>
        <w:ind w:firstLine="480" w:firstLineChars="200"/>
        <w:rPr>
          <w:rFonts w:ascii="宋体" w:hAnsi="宋体" w:cs="宋体"/>
          <w:szCs w:val="24"/>
        </w:rPr>
      </w:pPr>
      <w:r>
        <w:rPr>
          <w:rFonts w:hint="eastAsia" w:ascii="宋体" w:hAnsi="宋体" w:cs="宋体"/>
          <w:szCs w:val="24"/>
        </w:rPr>
        <w:t xml:space="preserve">2.合同复印件或中标通知书加盖公章装订附在本表后。 </w:t>
      </w:r>
    </w:p>
    <w:p>
      <w:pPr>
        <w:ind w:firstLine="2880" w:firstLineChars="1200"/>
        <w:rPr>
          <w:rFonts w:ascii="宋体" w:hAnsi="宋体" w:cs="宋体"/>
          <w:szCs w:val="24"/>
        </w:rPr>
      </w:pPr>
    </w:p>
    <w:p>
      <w:pPr>
        <w:ind w:firstLine="2880" w:firstLineChars="1200"/>
        <w:rPr>
          <w:rFonts w:ascii="宋体" w:hAnsi="宋体" w:cs="宋体"/>
          <w:szCs w:val="24"/>
        </w:rPr>
      </w:pPr>
    </w:p>
    <w:p>
      <w:pPr>
        <w:ind w:firstLine="2880" w:firstLineChars="1200"/>
        <w:rPr>
          <w:rFonts w:ascii="宋体" w:hAnsi="宋体" w:cs="宋体"/>
          <w:szCs w:val="24"/>
        </w:rPr>
      </w:pPr>
    </w:p>
    <w:p>
      <w:pPr>
        <w:ind w:firstLine="3360" w:firstLineChars="1400"/>
        <w:rPr>
          <w:rFonts w:ascii="宋体" w:hAnsi="宋体" w:cs="宋体"/>
          <w:szCs w:val="24"/>
          <w:u w:val="single"/>
        </w:rPr>
      </w:pPr>
      <w:r>
        <w:rPr>
          <w:rFonts w:hint="eastAsia" w:ascii="宋体" w:hAnsi="宋体" w:cs="宋体"/>
          <w:szCs w:val="24"/>
        </w:rPr>
        <w:t xml:space="preserve">响应供应商： </w:t>
      </w:r>
      <w:r>
        <w:rPr>
          <w:rFonts w:hint="eastAsia" w:ascii="宋体" w:hAnsi="宋体" w:cs="宋体"/>
          <w:szCs w:val="24"/>
          <w:u w:val="single"/>
        </w:rPr>
        <w:t xml:space="preserve">          （盖章）             </w:t>
      </w:r>
    </w:p>
    <w:p>
      <w:pPr>
        <w:ind w:right="360"/>
        <w:jc w:val="right"/>
        <w:rPr>
          <w:rFonts w:ascii="宋体" w:hAnsi="宋体" w:cs="宋体"/>
          <w:szCs w:val="24"/>
        </w:rPr>
      </w:pPr>
    </w:p>
    <w:p>
      <w:pPr>
        <w:ind w:right="240"/>
        <w:jc w:val="center"/>
        <w:rPr>
          <w:rFonts w:ascii="宋体" w:hAnsi="宋体" w:cs="宋体"/>
          <w:szCs w:val="24"/>
          <w:u w:val="single"/>
        </w:rPr>
      </w:pPr>
      <w:r>
        <w:rPr>
          <w:rFonts w:hint="eastAsia" w:ascii="宋体" w:hAnsi="宋体" w:cs="宋体"/>
          <w:szCs w:val="24"/>
        </w:rPr>
        <w:t xml:space="preserve">                 法定代表人或其授权代理人： </w:t>
      </w:r>
      <w:r>
        <w:rPr>
          <w:rFonts w:hint="eastAsia" w:ascii="宋体" w:hAnsi="宋体" w:cs="宋体"/>
          <w:szCs w:val="24"/>
          <w:u w:val="single"/>
        </w:rPr>
        <w:t>（签字或签章）</w:t>
      </w:r>
    </w:p>
    <w:p>
      <w:pPr>
        <w:wordWrap w:val="0"/>
        <w:ind w:right="360" w:firstLine="2640" w:firstLineChars="1100"/>
        <w:rPr>
          <w:rFonts w:ascii="宋体" w:hAnsi="宋体" w:cs="宋体"/>
          <w:szCs w:val="24"/>
        </w:rPr>
      </w:pPr>
    </w:p>
    <w:p>
      <w:pPr>
        <w:spacing w:line="480" w:lineRule="auto"/>
        <w:ind w:firstLine="3120" w:firstLineChars="1300"/>
        <w:rPr>
          <w:rFonts w:ascii="宋体" w:hAnsi="宋体" w:cs="宋体"/>
          <w:szCs w:val="24"/>
        </w:rPr>
      </w:pPr>
      <w:r>
        <w:rPr>
          <w:rFonts w:hint="eastAsia" w:ascii="宋体" w:hAnsi="宋体" w:cs="宋体"/>
          <w:szCs w:val="24"/>
        </w:rPr>
        <w:t xml:space="preserve">  日   期：</w:t>
      </w:r>
      <w:r>
        <w:rPr>
          <w:rFonts w:hint="eastAsia" w:ascii="宋体" w:hAnsi="宋体" w:cs="宋体"/>
          <w:szCs w:val="24"/>
          <w:u w:val="single"/>
        </w:rPr>
        <w:t xml:space="preserve">                     </w:t>
      </w:r>
      <w:r>
        <w:rPr>
          <w:rFonts w:hint="eastAsia" w:ascii="宋体" w:hAnsi="宋体" w:cs="宋体"/>
          <w:szCs w:val="24"/>
        </w:rPr>
        <w:t xml:space="preserve">  </w:t>
      </w:r>
    </w:p>
    <w:p>
      <w:pPr>
        <w:pStyle w:val="14"/>
        <w:jc w:val="center"/>
        <w:outlineLvl w:val="0"/>
        <w:rPr>
          <w:b/>
          <w:bCs/>
        </w:rPr>
      </w:pPr>
      <w:bookmarkStart w:id="393" w:name="_Toc27757"/>
      <w:r>
        <w:rPr>
          <w:rFonts w:hint="eastAsia"/>
          <w:b/>
          <w:bCs/>
          <w:sz w:val="32"/>
          <w:szCs w:val="32"/>
        </w:rPr>
        <w:br w:type="page"/>
      </w:r>
      <w:r>
        <w:rPr>
          <w:rFonts w:hint="eastAsia"/>
          <w:b/>
          <w:bCs/>
          <w:sz w:val="32"/>
          <w:szCs w:val="32"/>
        </w:rPr>
        <w:t>其它资料</w:t>
      </w:r>
      <w:bookmarkEnd w:id="393"/>
    </w:p>
    <w:p>
      <w:pPr>
        <w:spacing w:line="360" w:lineRule="auto"/>
        <w:rPr>
          <w:rFonts w:ascii="宋体" w:hAnsi="宋体" w:cs="宋体"/>
          <w:szCs w:val="24"/>
        </w:rPr>
      </w:pPr>
    </w:p>
    <w:p>
      <w:pPr>
        <w:spacing w:line="360" w:lineRule="auto"/>
        <w:jc w:val="center"/>
        <w:rPr>
          <w:rFonts w:ascii="宋体" w:hAnsi="宋体" w:cs="宋体"/>
          <w:szCs w:val="24"/>
        </w:rPr>
      </w:pPr>
      <w:r>
        <w:rPr>
          <w:rFonts w:hint="eastAsia" w:ascii="宋体" w:hAnsi="宋体" w:cs="宋体"/>
          <w:szCs w:val="24"/>
        </w:rPr>
        <w:t>响应供应商认为对其中标有利的其它书面证明材料</w:t>
      </w:r>
    </w:p>
    <w:p>
      <w:pPr>
        <w:spacing w:line="360" w:lineRule="auto"/>
        <w:jc w:val="center"/>
        <w:rPr>
          <w:rFonts w:ascii="宋体" w:hAnsi="宋体" w:cs="宋体"/>
          <w:szCs w:val="24"/>
        </w:rPr>
      </w:pPr>
      <w:r>
        <w:rPr>
          <w:rFonts w:hint="eastAsia" w:ascii="宋体" w:hAnsi="宋体" w:cs="宋体"/>
          <w:szCs w:val="24"/>
        </w:rPr>
        <w:t>（格式自定）</w:t>
      </w: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pStyle w:val="4"/>
        <w:spacing w:line="360" w:lineRule="auto"/>
        <w:rPr>
          <w:rFonts w:ascii="宋体" w:hAnsi="宋体" w:cs="宋体"/>
          <w:iCs/>
          <w:kern w:val="2"/>
          <w:sz w:val="21"/>
          <w:szCs w:val="21"/>
        </w:rPr>
        <w:sectPr>
          <w:pgSz w:w="11907" w:h="16840"/>
          <w:pgMar w:top="1440" w:right="1474" w:bottom="1440" w:left="1474" w:header="851" w:footer="992" w:gutter="0"/>
          <w:cols w:space="720" w:num="1"/>
          <w:docGrid w:linePitch="312" w:charSpace="0"/>
        </w:sectPr>
      </w:pPr>
    </w:p>
    <w:p>
      <w:pPr>
        <w:jc w:val="center"/>
        <w:outlineLvl w:val="0"/>
        <w:rPr>
          <w:b/>
          <w:bCs/>
          <w:sz w:val="32"/>
          <w:szCs w:val="32"/>
        </w:rPr>
      </w:pPr>
      <w:bookmarkStart w:id="394" w:name="_Toc13350"/>
      <w:r>
        <w:rPr>
          <w:rFonts w:hint="eastAsia"/>
          <w:b/>
          <w:bCs/>
          <w:sz w:val="32"/>
          <w:szCs w:val="32"/>
        </w:rPr>
        <w:t>响应供应商满足政府采购相关优惠政策的声明或证明材料</w:t>
      </w:r>
      <w:bookmarkEnd w:id="394"/>
    </w:p>
    <w:p>
      <w:pPr>
        <w:adjustRightInd w:val="0"/>
        <w:snapToGrid w:val="0"/>
        <w:spacing w:line="360" w:lineRule="auto"/>
        <w:ind w:firstLine="720" w:firstLineChars="300"/>
        <w:rPr>
          <w:rFonts w:ascii="宋体" w:hAnsi="宋体" w:cs="宋体"/>
          <w:szCs w:val="24"/>
        </w:rPr>
      </w:pPr>
    </w:p>
    <w:p>
      <w:pPr>
        <w:adjustRightInd w:val="0"/>
        <w:snapToGrid w:val="0"/>
        <w:spacing w:line="360" w:lineRule="auto"/>
        <w:ind w:firstLine="720" w:firstLineChars="300"/>
        <w:rPr>
          <w:rFonts w:ascii="宋体" w:hAnsi="宋体" w:cs="宋体"/>
          <w:szCs w:val="24"/>
        </w:rPr>
      </w:pPr>
    </w:p>
    <w:p>
      <w:pPr>
        <w:adjustRightInd w:val="0"/>
        <w:snapToGrid w:val="0"/>
        <w:spacing w:line="360" w:lineRule="auto"/>
        <w:ind w:firstLine="720" w:firstLineChars="300"/>
        <w:rPr>
          <w:rFonts w:ascii="宋体" w:hAnsi="宋体" w:cs="宋体"/>
          <w:szCs w:val="24"/>
        </w:rPr>
      </w:pPr>
      <w:r>
        <w:rPr>
          <w:rFonts w:hint="eastAsia" w:ascii="宋体" w:hAnsi="宋体" w:cs="宋体"/>
          <w:szCs w:val="24"/>
        </w:rPr>
        <w:t>说明：</w:t>
      </w:r>
    </w:p>
    <w:p>
      <w:pPr>
        <w:adjustRightInd w:val="0"/>
        <w:snapToGrid w:val="0"/>
        <w:spacing w:line="360" w:lineRule="auto"/>
        <w:ind w:firstLine="720" w:firstLineChars="300"/>
        <w:outlineLvl w:val="0"/>
        <w:rPr>
          <w:rFonts w:ascii="宋体" w:hAnsi="宋体" w:cs="宋体"/>
          <w:szCs w:val="24"/>
        </w:rPr>
      </w:pPr>
      <w:r>
        <w:rPr>
          <w:rFonts w:hint="eastAsia" w:ascii="宋体" w:hAnsi="宋体" w:cs="宋体"/>
          <w:szCs w:val="24"/>
        </w:rPr>
        <w:t>（1）中小企业声明函格式见附件；</w:t>
      </w:r>
    </w:p>
    <w:p>
      <w:pPr>
        <w:adjustRightInd w:val="0"/>
        <w:snapToGrid w:val="0"/>
        <w:spacing w:line="360" w:lineRule="auto"/>
        <w:ind w:firstLine="720" w:firstLineChars="300"/>
        <w:outlineLvl w:val="0"/>
        <w:rPr>
          <w:rFonts w:ascii="宋体" w:hAnsi="宋体" w:cs="宋体"/>
          <w:szCs w:val="24"/>
        </w:rPr>
      </w:pPr>
      <w:r>
        <w:rPr>
          <w:rFonts w:hint="eastAsia" w:ascii="宋体" w:hAnsi="宋体" w:cs="宋体"/>
          <w:szCs w:val="24"/>
        </w:rPr>
        <w:t>（2）残疾人福利性单位声明函格式见附件；</w:t>
      </w:r>
    </w:p>
    <w:p>
      <w:pPr>
        <w:adjustRightInd w:val="0"/>
        <w:snapToGrid w:val="0"/>
        <w:spacing w:line="360" w:lineRule="auto"/>
        <w:ind w:firstLine="720" w:firstLineChars="300"/>
        <w:outlineLvl w:val="0"/>
        <w:rPr>
          <w:rFonts w:ascii="宋体" w:hAnsi="宋体" w:cs="宋体"/>
          <w:szCs w:val="24"/>
        </w:rPr>
      </w:pPr>
      <w:r>
        <w:rPr>
          <w:rFonts w:hint="eastAsia" w:ascii="宋体" w:hAnsi="宋体" w:cs="宋体"/>
          <w:szCs w:val="24"/>
        </w:rPr>
        <w:t>（3）监狱企业证明文件见附件；</w:t>
      </w:r>
    </w:p>
    <w:p>
      <w:pPr>
        <w:adjustRightInd w:val="0"/>
        <w:snapToGrid w:val="0"/>
        <w:spacing w:line="360" w:lineRule="auto"/>
        <w:ind w:firstLine="720" w:firstLineChars="300"/>
        <w:outlineLvl w:val="0"/>
        <w:rPr>
          <w:rFonts w:ascii="宋体" w:hAnsi="宋体" w:cs="宋体"/>
          <w:szCs w:val="24"/>
        </w:rPr>
      </w:pPr>
      <w:r>
        <w:rPr>
          <w:rFonts w:hint="eastAsia" w:ascii="宋体" w:hAnsi="宋体" w:cs="宋体"/>
          <w:szCs w:val="24"/>
        </w:rPr>
        <w:t>（4）“节能产品”、“环境标志产品”证明材料格式见附件。</w:t>
      </w:r>
    </w:p>
    <w:p>
      <w:pPr>
        <w:pStyle w:val="128"/>
        <w:spacing w:line="400" w:lineRule="exact"/>
        <w:rPr>
          <w:rFonts w:ascii="宋体" w:hAnsi="宋体" w:cs="宋体"/>
          <w:b/>
          <w:sz w:val="28"/>
          <w:szCs w:val="28"/>
        </w:rPr>
      </w:pPr>
    </w:p>
    <w:p>
      <w:pPr>
        <w:pStyle w:val="128"/>
        <w:spacing w:line="400" w:lineRule="exact"/>
        <w:rPr>
          <w:rFonts w:ascii="宋体" w:hAnsi="宋体" w:cs="宋体"/>
          <w:b/>
          <w:sz w:val="28"/>
          <w:szCs w:val="28"/>
        </w:rPr>
      </w:pPr>
    </w:p>
    <w:p>
      <w:pPr>
        <w:pStyle w:val="128"/>
        <w:spacing w:line="400" w:lineRule="exact"/>
        <w:rPr>
          <w:rFonts w:ascii="宋体" w:hAnsi="宋体" w:cs="宋体"/>
          <w:b/>
          <w:sz w:val="28"/>
          <w:szCs w:val="28"/>
        </w:rPr>
      </w:pPr>
    </w:p>
    <w:p>
      <w:pPr>
        <w:pStyle w:val="128"/>
        <w:spacing w:line="400" w:lineRule="exact"/>
        <w:rPr>
          <w:rFonts w:ascii="宋体" w:hAnsi="宋体" w:cs="宋体"/>
          <w:b/>
          <w:sz w:val="28"/>
          <w:szCs w:val="28"/>
        </w:rPr>
      </w:pPr>
    </w:p>
    <w:p>
      <w:pPr>
        <w:pStyle w:val="128"/>
        <w:spacing w:line="400" w:lineRule="exact"/>
        <w:rPr>
          <w:rFonts w:ascii="宋体" w:hAnsi="宋体" w:cs="宋体"/>
          <w:b/>
          <w:sz w:val="28"/>
          <w:szCs w:val="28"/>
        </w:rPr>
      </w:pPr>
    </w:p>
    <w:p>
      <w:pPr>
        <w:pStyle w:val="128"/>
        <w:spacing w:line="400" w:lineRule="exact"/>
        <w:rPr>
          <w:rFonts w:ascii="宋体" w:hAnsi="宋体" w:cs="宋体"/>
          <w:b/>
          <w:sz w:val="28"/>
          <w:szCs w:val="28"/>
        </w:rPr>
      </w:pPr>
    </w:p>
    <w:p>
      <w:pPr>
        <w:pStyle w:val="128"/>
        <w:spacing w:line="400" w:lineRule="exact"/>
        <w:rPr>
          <w:rFonts w:ascii="宋体" w:hAnsi="宋体" w:cs="宋体"/>
          <w:b/>
          <w:sz w:val="28"/>
          <w:szCs w:val="28"/>
        </w:rPr>
      </w:pPr>
    </w:p>
    <w:p>
      <w:pPr>
        <w:pStyle w:val="128"/>
        <w:spacing w:line="400" w:lineRule="exact"/>
        <w:rPr>
          <w:rFonts w:ascii="宋体" w:hAnsi="宋体" w:cs="宋体"/>
          <w:b/>
          <w:sz w:val="28"/>
          <w:szCs w:val="28"/>
        </w:rPr>
      </w:pPr>
    </w:p>
    <w:p>
      <w:pPr>
        <w:pStyle w:val="128"/>
        <w:spacing w:line="400" w:lineRule="exact"/>
        <w:rPr>
          <w:rFonts w:ascii="宋体" w:hAnsi="宋体" w:cs="宋体"/>
          <w:b/>
          <w:sz w:val="28"/>
          <w:szCs w:val="28"/>
        </w:rPr>
      </w:pPr>
    </w:p>
    <w:p>
      <w:pPr>
        <w:pStyle w:val="128"/>
        <w:spacing w:line="400" w:lineRule="exact"/>
        <w:rPr>
          <w:rFonts w:ascii="宋体" w:hAnsi="宋体" w:cs="宋体"/>
          <w:b/>
          <w:sz w:val="28"/>
          <w:szCs w:val="28"/>
        </w:rPr>
      </w:pPr>
    </w:p>
    <w:p>
      <w:pPr>
        <w:pStyle w:val="128"/>
        <w:spacing w:line="400" w:lineRule="exact"/>
        <w:rPr>
          <w:rFonts w:ascii="宋体" w:hAnsi="宋体" w:cs="宋体"/>
          <w:b/>
          <w:sz w:val="28"/>
          <w:szCs w:val="28"/>
        </w:rPr>
      </w:pPr>
    </w:p>
    <w:p>
      <w:pPr>
        <w:pStyle w:val="128"/>
        <w:spacing w:line="400" w:lineRule="exact"/>
        <w:rPr>
          <w:rFonts w:ascii="宋体" w:hAnsi="宋体" w:cs="宋体"/>
          <w:b/>
          <w:sz w:val="28"/>
          <w:szCs w:val="28"/>
        </w:rPr>
      </w:pPr>
    </w:p>
    <w:p>
      <w:pPr>
        <w:pStyle w:val="128"/>
        <w:spacing w:line="400" w:lineRule="exact"/>
        <w:rPr>
          <w:rFonts w:ascii="宋体" w:hAnsi="宋体" w:cs="宋体"/>
          <w:b/>
          <w:sz w:val="28"/>
          <w:szCs w:val="28"/>
        </w:rPr>
      </w:pPr>
    </w:p>
    <w:p>
      <w:pPr>
        <w:pStyle w:val="128"/>
        <w:spacing w:line="400" w:lineRule="exact"/>
        <w:rPr>
          <w:rFonts w:ascii="宋体" w:hAnsi="宋体" w:cs="宋体"/>
          <w:b/>
          <w:sz w:val="28"/>
          <w:szCs w:val="28"/>
        </w:rPr>
      </w:pPr>
    </w:p>
    <w:p>
      <w:pPr>
        <w:pStyle w:val="128"/>
        <w:spacing w:line="400" w:lineRule="exact"/>
        <w:rPr>
          <w:rFonts w:ascii="宋体" w:hAnsi="宋体" w:cs="宋体"/>
          <w:b/>
          <w:sz w:val="28"/>
          <w:szCs w:val="28"/>
        </w:rPr>
      </w:pPr>
    </w:p>
    <w:p>
      <w:pPr>
        <w:pStyle w:val="128"/>
        <w:spacing w:line="400" w:lineRule="exact"/>
        <w:rPr>
          <w:rFonts w:ascii="宋体" w:hAnsi="宋体" w:cs="宋体"/>
          <w:b/>
          <w:sz w:val="28"/>
          <w:szCs w:val="28"/>
        </w:rPr>
      </w:pPr>
    </w:p>
    <w:p>
      <w:pPr>
        <w:pStyle w:val="128"/>
        <w:spacing w:line="400" w:lineRule="exact"/>
        <w:rPr>
          <w:rFonts w:ascii="宋体" w:hAnsi="宋体" w:cs="宋体"/>
          <w:b/>
          <w:sz w:val="28"/>
          <w:szCs w:val="28"/>
        </w:rPr>
      </w:pPr>
    </w:p>
    <w:p>
      <w:pPr>
        <w:pStyle w:val="128"/>
        <w:spacing w:line="400" w:lineRule="exact"/>
        <w:rPr>
          <w:rFonts w:ascii="宋体" w:hAnsi="宋体" w:cs="宋体"/>
          <w:b/>
          <w:sz w:val="28"/>
          <w:szCs w:val="28"/>
        </w:rPr>
      </w:pPr>
    </w:p>
    <w:p>
      <w:pPr>
        <w:pStyle w:val="128"/>
        <w:spacing w:line="400" w:lineRule="exact"/>
        <w:rPr>
          <w:rFonts w:ascii="宋体" w:hAnsi="宋体" w:cs="宋体"/>
          <w:b/>
          <w:sz w:val="28"/>
          <w:szCs w:val="28"/>
        </w:rPr>
      </w:pPr>
    </w:p>
    <w:p>
      <w:pPr>
        <w:pStyle w:val="128"/>
        <w:spacing w:line="400" w:lineRule="exact"/>
        <w:rPr>
          <w:rFonts w:ascii="宋体" w:hAnsi="宋体" w:cs="宋体"/>
          <w:b/>
          <w:sz w:val="28"/>
          <w:szCs w:val="28"/>
        </w:rPr>
      </w:pPr>
    </w:p>
    <w:p>
      <w:pPr>
        <w:pStyle w:val="128"/>
        <w:spacing w:line="400" w:lineRule="exact"/>
        <w:rPr>
          <w:rFonts w:ascii="宋体" w:hAnsi="宋体" w:cs="宋体"/>
          <w:b/>
          <w:sz w:val="28"/>
          <w:szCs w:val="28"/>
        </w:rPr>
      </w:pPr>
    </w:p>
    <w:p>
      <w:pPr>
        <w:pStyle w:val="128"/>
        <w:spacing w:line="400" w:lineRule="exact"/>
        <w:rPr>
          <w:rFonts w:ascii="宋体" w:hAnsi="宋体" w:cs="宋体"/>
          <w:b/>
          <w:sz w:val="28"/>
          <w:szCs w:val="28"/>
        </w:rPr>
      </w:pPr>
    </w:p>
    <w:p>
      <w:pPr>
        <w:pStyle w:val="128"/>
        <w:spacing w:line="400" w:lineRule="exact"/>
        <w:rPr>
          <w:rFonts w:ascii="宋体" w:hAnsi="宋体" w:cs="宋体"/>
          <w:sz w:val="28"/>
          <w:szCs w:val="28"/>
        </w:rPr>
        <w:sectPr>
          <w:pgSz w:w="11907" w:h="16840"/>
          <w:pgMar w:top="1440" w:right="1474" w:bottom="1440" w:left="1474" w:header="851" w:footer="992" w:gutter="0"/>
          <w:cols w:space="720" w:num="1"/>
          <w:docGrid w:linePitch="312" w:charSpace="0"/>
        </w:sectPr>
      </w:pPr>
    </w:p>
    <w:p>
      <w:pPr>
        <w:widowControl/>
        <w:outlineLvl w:val="0"/>
        <w:rPr>
          <w:rFonts w:ascii="宋体" w:hAnsi="宋体" w:cs="宋体"/>
        </w:rPr>
      </w:pPr>
      <w:r>
        <w:rPr>
          <w:rFonts w:hint="eastAsia"/>
        </w:rPr>
        <w:t xml:space="preserve">附件1                      </w:t>
      </w:r>
      <w:r>
        <w:rPr>
          <w:rFonts w:hint="eastAsia" w:ascii="宋体" w:hAnsi="宋体" w:cs="宋体"/>
          <w:b/>
          <w:kern w:val="0"/>
          <w:lang w:bidi="ar"/>
        </w:rPr>
        <w:t>中小企业声明函（工程、服务）</w:t>
      </w:r>
    </w:p>
    <w:p>
      <w:pPr>
        <w:widowControl/>
        <w:spacing w:line="360" w:lineRule="auto"/>
        <w:ind w:firstLine="480" w:firstLineChars="200"/>
        <w:jc w:val="left"/>
        <w:rPr>
          <w:rFonts w:ascii="宋体" w:hAnsi="宋体" w:cs="宋体"/>
          <w:kern w:val="0"/>
          <w:lang w:bidi="ar"/>
        </w:rPr>
      </w:pPr>
    </w:p>
    <w:p>
      <w:pPr>
        <w:widowControl/>
        <w:spacing w:line="360" w:lineRule="auto"/>
        <w:ind w:firstLine="480" w:firstLineChars="200"/>
        <w:jc w:val="left"/>
        <w:rPr>
          <w:rFonts w:ascii="宋体" w:hAnsi="宋体" w:cs="宋体"/>
        </w:rPr>
      </w:pPr>
      <w:r>
        <w:rPr>
          <w:rFonts w:hint="eastAsia" w:ascii="宋体" w:hAnsi="宋体" w:cs="宋体"/>
          <w:kern w:val="0"/>
          <w:lang w:bidi="ar"/>
        </w:rPr>
        <w:t>本公司（联合体）郑重声明，根据《政府采购促进中小企业发展管理办法》（财库﹝2020﹞46 号）的规定，本公司 （联合体）参加</w:t>
      </w:r>
      <w:r>
        <w:rPr>
          <w:rFonts w:hint="eastAsia" w:ascii="宋体" w:hAnsi="宋体" w:cs="宋体"/>
          <w:kern w:val="0"/>
          <w:u w:val="single"/>
          <w:lang w:bidi="ar"/>
        </w:rPr>
        <w:t>（单位名称）</w:t>
      </w:r>
      <w:r>
        <w:rPr>
          <w:rFonts w:hint="eastAsia" w:ascii="宋体" w:hAnsi="宋体" w:cs="宋体"/>
          <w:kern w:val="0"/>
          <w:lang w:bidi="ar"/>
        </w:rPr>
        <w:t>的</w:t>
      </w:r>
      <w:r>
        <w:rPr>
          <w:rFonts w:hint="eastAsia" w:ascii="宋体" w:hAnsi="宋体" w:cs="宋体"/>
          <w:kern w:val="0"/>
          <w:u w:val="single"/>
          <w:lang w:bidi="ar"/>
        </w:rPr>
        <w:t>（项目名称）</w:t>
      </w:r>
      <w:r>
        <w:rPr>
          <w:rFonts w:hint="eastAsia" w:ascii="宋体" w:hAnsi="宋体" w:cs="宋体"/>
          <w:kern w:val="0"/>
          <w:lang w:bidi="ar"/>
        </w:rPr>
        <w:t>采购活动，工程的施工单位全部为符合政策要求的中小企业（或者：服务全部由符合政策要求的中小企业承接）。相关企业（含联合体中的中小企业、签订分包意向协议的中小企业）的具体情 况如下：</w:t>
      </w:r>
    </w:p>
    <w:p>
      <w:pPr>
        <w:widowControl/>
        <w:numPr>
          <w:ilvl w:val="0"/>
          <w:numId w:val="9"/>
        </w:numPr>
        <w:spacing w:line="360" w:lineRule="auto"/>
        <w:ind w:firstLine="480" w:firstLineChars="200"/>
        <w:jc w:val="left"/>
        <w:rPr>
          <w:rFonts w:ascii="宋体" w:hAnsi="宋体" w:cs="宋体"/>
          <w:kern w:val="0"/>
          <w:lang w:bidi="ar"/>
        </w:rPr>
      </w:pPr>
      <w:r>
        <w:rPr>
          <w:rFonts w:hint="eastAsia" w:ascii="宋体" w:hAnsi="宋体" w:cs="宋体"/>
          <w:kern w:val="0"/>
          <w:u w:val="single"/>
          <w:lang w:bidi="ar"/>
        </w:rPr>
        <w:t xml:space="preserve">（标的名称） </w:t>
      </w:r>
      <w:r>
        <w:rPr>
          <w:rFonts w:hint="eastAsia" w:ascii="宋体" w:hAnsi="宋体" w:cs="宋体"/>
          <w:kern w:val="0"/>
          <w:lang w:bidi="ar"/>
        </w:rPr>
        <w:t>，属于</w:t>
      </w:r>
      <w:r>
        <w:rPr>
          <w:rFonts w:hint="eastAsia" w:ascii="宋体" w:hAnsi="宋体" w:cs="宋体"/>
          <w:kern w:val="0"/>
          <w:u w:val="single"/>
          <w:lang w:bidi="ar"/>
        </w:rPr>
        <w:t>（采购文件中明确的所属行业）</w:t>
      </w:r>
      <w:r>
        <w:rPr>
          <w:rFonts w:hint="eastAsia" w:ascii="宋体" w:hAnsi="宋体" w:cs="宋体"/>
          <w:kern w:val="0"/>
          <w:lang w:bidi="ar"/>
        </w:rPr>
        <w:t>； 承建（承接）企业为</w:t>
      </w:r>
      <w:r>
        <w:rPr>
          <w:rFonts w:hint="eastAsia" w:ascii="宋体" w:hAnsi="宋体" w:cs="宋体"/>
          <w:kern w:val="0"/>
          <w:u w:val="single"/>
          <w:lang w:bidi="ar"/>
        </w:rPr>
        <w:t>（企业名称）</w:t>
      </w:r>
      <w:r>
        <w:rPr>
          <w:rFonts w:hint="eastAsia" w:ascii="宋体" w:hAnsi="宋体" w:cs="宋体"/>
          <w:kern w:val="0"/>
          <w:lang w:bidi="ar"/>
        </w:rPr>
        <w:t>，从业人员</w:t>
      </w:r>
      <w:r>
        <w:rPr>
          <w:rFonts w:hint="eastAsia" w:ascii="宋体" w:hAnsi="宋体" w:cs="宋体"/>
          <w:kern w:val="0"/>
          <w:u w:val="single"/>
          <w:lang w:bidi="ar"/>
        </w:rPr>
        <w:t xml:space="preserve">   </w:t>
      </w:r>
      <w:r>
        <w:rPr>
          <w:rFonts w:hint="eastAsia" w:ascii="宋体" w:hAnsi="宋体" w:cs="宋体"/>
          <w:kern w:val="0"/>
          <w:lang w:bidi="ar"/>
        </w:rPr>
        <w:t>人，营业收入为</w:t>
      </w:r>
      <w:r>
        <w:rPr>
          <w:rFonts w:hint="eastAsia" w:ascii="宋体" w:hAnsi="宋体" w:cs="宋体"/>
          <w:kern w:val="0"/>
          <w:u w:val="single"/>
          <w:lang w:bidi="ar"/>
        </w:rPr>
        <w:t xml:space="preserve">      </w:t>
      </w:r>
      <w:r>
        <w:rPr>
          <w:rFonts w:hint="eastAsia" w:ascii="宋体" w:hAnsi="宋体" w:cs="宋体"/>
          <w:kern w:val="0"/>
          <w:lang w:bidi="ar"/>
        </w:rPr>
        <w:t>万元，资产总额为</w:t>
      </w:r>
      <w:r>
        <w:rPr>
          <w:rFonts w:hint="eastAsia" w:ascii="宋体" w:hAnsi="宋体" w:cs="宋体"/>
          <w:kern w:val="0"/>
          <w:u w:val="single"/>
          <w:lang w:bidi="ar"/>
        </w:rPr>
        <w:t xml:space="preserve">         </w:t>
      </w:r>
      <w:r>
        <w:rPr>
          <w:rFonts w:hint="eastAsia" w:ascii="宋体" w:hAnsi="宋体" w:cs="宋体"/>
          <w:kern w:val="0"/>
          <w:lang w:bidi="ar"/>
        </w:rPr>
        <w:t>万元，属于</w:t>
      </w:r>
      <w:r>
        <w:rPr>
          <w:rFonts w:hint="eastAsia" w:ascii="宋体" w:hAnsi="宋体" w:cs="宋体"/>
          <w:kern w:val="0"/>
          <w:u w:val="single"/>
          <w:lang w:bidi="ar"/>
        </w:rPr>
        <w:t>（中型企业、 小型企业、微型企业）</w:t>
      </w:r>
      <w:r>
        <w:rPr>
          <w:rFonts w:hint="eastAsia" w:ascii="宋体" w:hAnsi="宋体" w:cs="宋体"/>
          <w:kern w:val="0"/>
          <w:lang w:bidi="ar"/>
        </w:rPr>
        <w:t xml:space="preserve">； </w:t>
      </w:r>
    </w:p>
    <w:p>
      <w:pPr>
        <w:widowControl/>
        <w:spacing w:line="360" w:lineRule="auto"/>
        <w:ind w:firstLine="480" w:firstLineChars="200"/>
        <w:jc w:val="left"/>
        <w:rPr>
          <w:rFonts w:ascii="宋体" w:hAnsi="宋体" w:cs="宋体"/>
        </w:rPr>
      </w:pPr>
      <w:r>
        <w:rPr>
          <w:rFonts w:hint="eastAsia" w:ascii="宋体" w:hAnsi="宋体" w:cs="宋体"/>
          <w:kern w:val="0"/>
          <w:lang w:bidi="ar"/>
        </w:rPr>
        <w:t>2.</w:t>
      </w:r>
      <w:r>
        <w:rPr>
          <w:rFonts w:hint="eastAsia" w:ascii="宋体" w:hAnsi="宋体" w:cs="宋体"/>
          <w:kern w:val="0"/>
          <w:u w:val="single"/>
          <w:lang w:bidi="ar"/>
        </w:rPr>
        <w:t xml:space="preserve"> （标的名称） </w:t>
      </w:r>
      <w:r>
        <w:rPr>
          <w:rFonts w:hint="eastAsia" w:ascii="宋体" w:hAnsi="宋体" w:cs="宋体"/>
          <w:kern w:val="0"/>
          <w:lang w:bidi="ar"/>
        </w:rPr>
        <w:t>，属于</w:t>
      </w:r>
      <w:r>
        <w:rPr>
          <w:rFonts w:hint="eastAsia" w:ascii="宋体" w:hAnsi="宋体" w:cs="宋体"/>
          <w:kern w:val="0"/>
          <w:u w:val="single"/>
          <w:lang w:bidi="ar"/>
        </w:rPr>
        <w:t>（采购文件中明确的所属行业）</w:t>
      </w:r>
      <w:r>
        <w:rPr>
          <w:rFonts w:hint="eastAsia" w:ascii="宋体" w:hAnsi="宋体" w:cs="宋体"/>
          <w:kern w:val="0"/>
          <w:lang w:bidi="ar"/>
        </w:rPr>
        <w:t>； 承建（承接）企业为</w:t>
      </w:r>
      <w:r>
        <w:rPr>
          <w:rFonts w:hint="eastAsia" w:ascii="宋体" w:hAnsi="宋体" w:cs="宋体"/>
          <w:kern w:val="0"/>
          <w:u w:val="single"/>
          <w:lang w:bidi="ar"/>
        </w:rPr>
        <w:t>（企业名称）</w:t>
      </w:r>
      <w:r>
        <w:rPr>
          <w:rFonts w:hint="eastAsia" w:ascii="宋体" w:hAnsi="宋体" w:cs="宋体"/>
          <w:kern w:val="0"/>
          <w:lang w:bidi="ar"/>
        </w:rPr>
        <w:t>，从业人员</w:t>
      </w:r>
      <w:r>
        <w:rPr>
          <w:rFonts w:hint="eastAsia" w:ascii="宋体" w:hAnsi="宋体" w:cs="宋体"/>
          <w:kern w:val="0"/>
          <w:u w:val="single"/>
          <w:lang w:bidi="ar"/>
        </w:rPr>
        <w:t xml:space="preserve">   </w:t>
      </w:r>
      <w:r>
        <w:rPr>
          <w:rFonts w:hint="eastAsia" w:ascii="宋体" w:hAnsi="宋体" w:cs="宋体"/>
          <w:kern w:val="0"/>
          <w:lang w:bidi="ar"/>
        </w:rPr>
        <w:t>人，营业收入为</w:t>
      </w:r>
      <w:r>
        <w:rPr>
          <w:rFonts w:hint="eastAsia" w:ascii="宋体" w:hAnsi="宋体" w:cs="宋体"/>
          <w:kern w:val="0"/>
          <w:u w:val="single"/>
          <w:lang w:bidi="ar"/>
        </w:rPr>
        <w:t xml:space="preserve">      </w:t>
      </w:r>
      <w:r>
        <w:rPr>
          <w:rFonts w:hint="eastAsia" w:ascii="宋体" w:hAnsi="宋体" w:cs="宋体"/>
          <w:kern w:val="0"/>
          <w:lang w:bidi="ar"/>
        </w:rPr>
        <w:t>万元，资产总额为</w:t>
      </w:r>
      <w:r>
        <w:rPr>
          <w:rFonts w:hint="eastAsia" w:ascii="宋体" w:hAnsi="宋体" w:cs="宋体"/>
          <w:kern w:val="0"/>
          <w:u w:val="single"/>
          <w:lang w:bidi="ar"/>
        </w:rPr>
        <w:t xml:space="preserve">         </w:t>
      </w:r>
      <w:r>
        <w:rPr>
          <w:rFonts w:hint="eastAsia" w:ascii="宋体" w:hAnsi="宋体" w:cs="宋体"/>
          <w:kern w:val="0"/>
          <w:lang w:bidi="ar"/>
        </w:rPr>
        <w:t>万元，属于</w:t>
      </w:r>
      <w:r>
        <w:rPr>
          <w:rFonts w:hint="eastAsia" w:ascii="宋体" w:hAnsi="宋体" w:cs="宋体"/>
          <w:kern w:val="0"/>
          <w:u w:val="single"/>
          <w:lang w:bidi="ar"/>
        </w:rPr>
        <w:t>（中型企业、 小型企业、微型企业）</w:t>
      </w:r>
      <w:r>
        <w:rPr>
          <w:rFonts w:hint="eastAsia" w:ascii="宋体" w:hAnsi="宋体" w:cs="宋体"/>
          <w:kern w:val="0"/>
          <w:lang w:bidi="ar"/>
        </w:rPr>
        <w:t xml:space="preserve">； </w:t>
      </w:r>
    </w:p>
    <w:p>
      <w:pPr>
        <w:pStyle w:val="56"/>
        <w:rPr>
          <w:rFonts w:ascii="宋体" w:hAnsi="宋体" w:cs="宋体"/>
        </w:rPr>
      </w:pPr>
    </w:p>
    <w:p>
      <w:pPr>
        <w:widowControl/>
        <w:spacing w:line="360" w:lineRule="auto"/>
        <w:ind w:firstLine="480" w:firstLineChars="200"/>
        <w:jc w:val="left"/>
        <w:rPr>
          <w:rFonts w:ascii="宋体" w:hAnsi="宋体" w:cs="宋体"/>
        </w:rPr>
      </w:pPr>
      <w:r>
        <w:rPr>
          <w:rFonts w:hint="eastAsia" w:ascii="宋体" w:hAnsi="宋体" w:cs="宋体"/>
          <w:kern w:val="0"/>
          <w:lang w:bidi="ar"/>
        </w:rPr>
        <w:t>……</w:t>
      </w:r>
    </w:p>
    <w:p>
      <w:pPr>
        <w:widowControl/>
        <w:spacing w:line="360" w:lineRule="auto"/>
        <w:ind w:firstLine="480" w:firstLineChars="200"/>
        <w:jc w:val="left"/>
        <w:rPr>
          <w:rFonts w:ascii="宋体" w:hAnsi="宋体" w:cs="宋体"/>
        </w:rPr>
      </w:pPr>
      <w:r>
        <w:rPr>
          <w:rFonts w:hint="eastAsia" w:ascii="宋体" w:hAnsi="宋体" w:cs="宋体"/>
          <w:kern w:val="0"/>
          <w:lang w:bidi="ar"/>
        </w:rPr>
        <w:t>以上企业，不属于大企业的分支机构，不存在控股股东 为大企业的情形，也不存在与大企业的负责人为同一人的情形。</w:t>
      </w:r>
    </w:p>
    <w:p>
      <w:pPr>
        <w:widowControl/>
        <w:spacing w:line="360" w:lineRule="auto"/>
        <w:ind w:firstLine="480" w:firstLineChars="200"/>
        <w:jc w:val="left"/>
        <w:rPr>
          <w:rFonts w:ascii="宋体" w:hAnsi="宋体" w:cs="宋体"/>
        </w:rPr>
      </w:pPr>
      <w:r>
        <w:rPr>
          <w:rFonts w:hint="eastAsia" w:ascii="宋体" w:hAnsi="宋体" w:cs="宋体"/>
          <w:kern w:val="0"/>
          <w:lang w:bidi="ar"/>
        </w:rPr>
        <w:t xml:space="preserve">本企业对上述声明内容的真实性负责。如有虚假，将依 法承担相应责任。 </w:t>
      </w:r>
    </w:p>
    <w:p>
      <w:pPr>
        <w:widowControl/>
        <w:spacing w:line="360" w:lineRule="auto"/>
        <w:ind w:firstLine="480" w:firstLineChars="200"/>
        <w:jc w:val="left"/>
        <w:rPr>
          <w:rFonts w:ascii="宋体" w:hAnsi="宋体" w:cs="宋体"/>
          <w:kern w:val="0"/>
          <w:lang w:bidi="ar"/>
        </w:rPr>
      </w:pPr>
    </w:p>
    <w:p>
      <w:pPr>
        <w:widowControl/>
        <w:spacing w:line="360" w:lineRule="auto"/>
        <w:ind w:firstLine="480" w:firstLineChars="200"/>
        <w:jc w:val="left"/>
        <w:rPr>
          <w:rFonts w:ascii="宋体" w:hAnsi="宋体" w:cs="宋体"/>
          <w:kern w:val="0"/>
          <w:lang w:bidi="ar"/>
        </w:rPr>
      </w:pPr>
    </w:p>
    <w:p>
      <w:pPr>
        <w:widowControl/>
        <w:spacing w:line="360" w:lineRule="auto"/>
        <w:ind w:firstLine="480" w:firstLineChars="200"/>
        <w:jc w:val="left"/>
        <w:rPr>
          <w:rFonts w:ascii="宋体" w:hAnsi="宋体" w:cs="宋体"/>
          <w:kern w:val="0"/>
          <w:lang w:bidi="ar"/>
        </w:rPr>
      </w:pPr>
    </w:p>
    <w:p>
      <w:pPr>
        <w:widowControl/>
        <w:spacing w:line="360" w:lineRule="auto"/>
        <w:ind w:firstLine="480" w:firstLineChars="200"/>
        <w:jc w:val="center"/>
        <w:rPr>
          <w:rFonts w:ascii="宋体" w:hAnsi="宋体" w:cs="宋体"/>
        </w:rPr>
      </w:pPr>
      <w:r>
        <w:rPr>
          <w:rFonts w:hint="eastAsia" w:ascii="宋体" w:hAnsi="宋体" w:cs="宋体"/>
          <w:kern w:val="0"/>
          <w:lang w:bidi="ar"/>
        </w:rPr>
        <w:t xml:space="preserve">       企业名称（盖章）： </w:t>
      </w:r>
    </w:p>
    <w:p>
      <w:pPr>
        <w:widowControl/>
        <w:spacing w:line="360" w:lineRule="auto"/>
        <w:ind w:firstLine="4080" w:firstLineChars="1700"/>
        <w:rPr>
          <w:rFonts w:ascii="宋体" w:hAnsi="宋体" w:cs="宋体"/>
          <w:kern w:val="0"/>
          <w:lang w:bidi="ar"/>
        </w:rPr>
      </w:pPr>
    </w:p>
    <w:p>
      <w:pPr>
        <w:pStyle w:val="9"/>
        <w:spacing w:line="360" w:lineRule="auto"/>
        <w:ind w:firstLine="4142" w:firstLineChars="1726"/>
        <w:rPr>
          <w:rFonts w:ascii="宋体" w:hAnsi="宋体" w:cs="宋体"/>
          <w:szCs w:val="24"/>
        </w:rPr>
      </w:pPr>
      <w:r>
        <w:rPr>
          <w:rFonts w:hint="eastAsia" w:ascii="宋体" w:hAnsi="宋体" w:cs="宋体"/>
          <w:kern w:val="0"/>
          <w:szCs w:val="24"/>
          <w:lang w:bidi="ar"/>
        </w:rPr>
        <w:t>日 期：</w:t>
      </w:r>
    </w:p>
    <w:p>
      <w:pPr>
        <w:pStyle w:val="9"/>
        <w:spacing w:line="360" w:lineRule="auto"/>
        <w:ind w:firstLine="480"/>
        <w:rPr>
          <w:rFonts w:ascii="宋体" w:hAnsi="宋体" w:cs="宋体"/>
          <w:szCs w:val="24"/>
        </w:rPr>
      </w:pPr>
    </w:p>
    <w:p>
      <w:pPr>
        <w:adjustRightInd w:val="0"/>
        <w:snapToGrid w:val="0"/>
        <w:spacing w:line="360" w:lineRule="auto"/>
        <w:rPr>
          <w:rFonts w:ascii="宋体" w:hAnsi="宋体" w:cs="宋体"/>
          <w:sz w:val="28"/>
          <w:szCs w:val="28"/>
        </w:rPr>
      </w:pPr>
    </w:p>
    <w:p>
      <w:pPr>
        <w:adjustRightInd w:val="0"/>
        <w:snapToGrid w:val="0"/>
        <w:spacing w:line="360" w:lineRule="auto"/>
        <w:rPr>
          <w:rFonts w:ascii="宋体" w:hAnsi="宋体" w:cs="宋体"/>
          <w:sz w:val="28"/>
          <w:szCs w:val="28"/>
        </w:rPr>
        <w:sectPr>
          <w:pgSz w:w="11907" w:h="16840"/>
          <w:pgMar w:top="1440" w:right="1474" w:bottom="1440" w:left="1474" w:header="851" w:footer="992" w:gutter="0"/>
          <w:cols w:space="720" w:num="1"/>
          <w:docGrid w:linePitch="312" w:charSpace="0"/>
        </w:sectPr>
      </w:pPr>
    </w:p>
    <w:p>
      <w:pPr>
        <w:outlineLvl w:val="0"/>
        <w:rPr>
          <w:b/>
          <w:bCs/>
          <w:sz w:val="32"/>
          <w:szCs w:val="32"/>
        </w:rPr>
      </w:pPr>
      <w:r>
        <w:rPr>
          <w:rFonts w:hint="eastAsia"/>
        </w:rPr>
        <w:t>附件2</w:t>
      </w:r>
      <w:bookmarkStart w:id="395" w:name="OLE_LINK13"/>
      <w:bookmarkStart w:id="396" w:name="OLE_LINK14"/>
      <w:r>
        <w:rPr>
          <w:rFonts w:hint="eastAsia"/>
          <w:b/>
          <w:bCs/>
        </w:rPr>
        <w:t xml:space="preserve"> </w:t>
      </w:r>
      <w:r>
        <w:rPr>
          <w:rFonts w:hint="eastAsia"/>
          <w:b/>
          <w:bCs/>
          <w:sz w:val="32"/>
          <w:szCs w:val="32"/>
        </w:rPr>
        <w:t xml:space="preserve">           残疾人福利性单位声明函</w:t>
      </w:r>
    </w:p>
    <w:bookmarkEnd w:id="395"/>
    <w:bookmarkEnd w:id="396"/>
    <w:p>
      <w:pPr>
        <w:spacing w:line="588" w:lineRule="exact"/>
        <w:rPr>
          <w:rFonts w:ascii="宋体" w:hAnsi="宋体" w:cs="宋体"/>
          <w:b/>
          <w:spacing w:val="6"/>
          <w:sz w:val="30"/>
          <w:szCs w:val="30"/>
        </w:rPr>
      </w:pPr>
    </w:p>
    <w:p>
      <w:pPr>
        <w:spacing w:line="360" w:lineRule="auto"/>
        <w:ind w:firstLine="504" w:firstLineChars="200"/>
        <w:rPr>
          <w:rFonts w:ascii="宋体" w:hAnsi="宋体" w:cs="宋体"/>
          <w:spacing w:val="6"/>
          <w:szCs w:val="24"/>
        </w:rPr>
      </w:pPr>
      <w:r>
        <w:rPr>
          <w:rFonts w:hint="eastAsia" w:ascii="宋体" w:hAnsi="宋体" w:cs="宋体"/>
          <w:spacing w:val="6"/>
          <w:szCs w:val="24"/>
        </w:rPr>
        <w:t>本单位郑重声明，根据《财政部 民政部 中国残疾人联合会关于促进残疾人就业政府采购政策的通知》（财库</w:t>
      </w:r>
      <w:r>
        <w:rPr>
          <w:rFonts w:hint="eastAsia" w:ascii="宋体" w:hAnsi="宋体" w:cs="宋体"/>
          <w:szCs w:val="24"/>
        </w:rPr>
        <w:t>〔2017〕 141</w:t>
      </w:r>
      <w:r>
        <w:rPr>
          <w:rFonts w:hint="eastAsia" w:ascii="宋体" w:hAnsi="宋体" w:cs="宋体"/>
          <w:spacing w:val="6"/>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504" w:firstLineChars="200"/>
        <w:rPr>
          <w:rFonts w:ascii="宋体" w:hAnsi="宋体" w:cs="宋体"/>
          <w:spacing w:val="6"/>
          <w:szCs w:val="24"/>
        </w:rPr>
      </w:pPr>
      <w:r>
        <w:rPr>
          <w:rFonts w:hint="eastAsia" w:ascii="宋体" w:hAnsi="宋体" w:cs="宋体"/>
          <w:spacing w:val="6"/>
          <w:szCs w:val="24"/>
        </w:rPr>
        <w:t>本单位对上述声明的真实性负责。如有虚假，将依法承担相应责任。</w:t>
      </w:r>
    </w:p>
    <w:p>
      <w:pPr>
        <w:spacing w:line="360" w:lineRule="auto"/>
        <w:ind w:firstLine="504" w:firstLineChars="200"/>
        <w:rPr>
          <w:rFonts w:ascii="宋体" w:hAnsi="宋体" w:cs="宋体"/>
          <w:spacing w:val="6"/>
          <w:szCs w:val="24"/>
        </w:rPr>
      </w:pPr>
    </w:p>
    <w:p>
      <w:pPr>
        <w:spacing w:line="360" w:lineRule="auto"/>
        <w:ind w:firstLine="504" w:firstLineChars="200"/>
        <w:rPr>
          <w:rFonts w:ascii="宋体" w:hAnsi="宋体" w:cs="宋体"/>
          <w:spacing w:val="6"/>
          <w:szCs w:val="24"/>
        </w:rPr>
      </w:pPr>
    </w:p>
    <w:p>
      <w:pPr>
        <w:tabs>
          <w:tab w:val="left" w:pos="4860"/>
        </w:tabs>
        <w:spacing w:line="360" w:lineRule="auto"/>
        <w:ind w:right="1560" w:firstLine="504" w:firstLineChars="200"/>
        <w:jc w:val="center"/>
        <w:rPr>
          <w:rFonts w:ascii="宋体" w:hAnsi="宋体" w:cs="宋体"/>
          <w:spacing w:val="6"/>
          <w:szCs w:val="24"/>
        </w:rPr>
      </w:pPr>
      <w:r>
        <w:rPr>
          <w:rFonts w:hint="eastAsia" w:ascii="宋体" w:hAnsi="宋体" w:cs="宋体"/>
          <w:spacing w:val="6"/>
          <w:szCs w:val="24"/>
        </w:rPr>
        <w:t xml:space="preserve">                       单位名称：</w:t>
      </w:r>
      <w:r>
        <w:rPr>
          <w:rFonts w:hint="eastAsia" w:ascii="宋体" w:hAnsi="宋体" w:cs="宋体"/>
          <w:spacing w:val="6"/>
          <w:szCs w:val="24"/>
          <w:u w:val="single"/>
        </w:rPr>
        <w:t xml:space="preserve">         </w:t>
      </w:r>
      <w:r>
        <w:rPr>
          <w:rFonts w:hint="eastAsia" w:ascii="宋体" w:hAnsi="宋体" w:cs="宋体"/>
          <w:spacing w:val="6"/>
          <w:szCs w:val="24"/>
        </w:rPr>
        <w:t>（盖单位章）：</w:t>
      </w:r>
    </w:p>
    <w:p>
      <w:pPr>
        <w:tabs>
          <w:tab w:val="left" w:pos="4860"/>
        </w:tabs>
        <w:spacing w:line="360" w:lineRule="auto"/>
        <w:ind w:right="1560" w:firstLine="504" w:firstLineChars="200"/>
        <w:jc w:val="center"/>
        <w:rPr>
          <w:rFonts w:ascii="宋体" w:hAnsi="宋体" w:cs="宋体"/>
          <w:spacing w:val="6"/>
          <w:szCs w:val="24"/>
        </w:rPr>
      </w:pPr>
      <w:r>
        <w:rPr>
          <w:rFonts w:hint="eastAsia" w:ascii="宋体" w:hAnsi="宋体" w:cs="宋体"/>
          <w:spacing w:val="6"/>
          <w:szCs w:val="24"/>
        </w:rPr>
        <w:t xml:space="preserve"> </w:t>
      </w:r>
    </w:p>
    <w:p>
      <w:pPr>
        <w:tabs>
          <w:tab w:val="left" w:pos="4860"/>
        </w:tabs>
        <w:spacing w:line="360" w:lineRule="auto"/>
        <w:ind w:right="1560" w:firstLine="504" w:firstLineChars="200"/>
        <w:jc w:val="center"/>
        <w:rPr>
          <w:rFonts w:ascii="宋体" w:hAnsi="宋体" w:cs="宋体"/>
          <w:szCs w:val="24"/>
        </w:rPr>
      </w:pPr>
      <w:r>
        <w:rPr>
          <w:rFonts w:hint="eastAsia" w:ascii="宋体" w:hAnsi="宋体" w:cs="宋体"/>
          <w:spacing w:val="6"/>
          <w:szCs w:val="24"/>
        </w:rPr>
        <w:t xml:space="preserve">                   日     期：    年   月  日</w:t>
      </w:r>
    </w:p>
    <w:p>
      <w:pPr>
        <w:adjustRightInd w:val="0"/>
        <w:snapToGrid w:val="0"/>
        <w:spacing w:line="360" w:lineRule="auto"/>
        <w:rPr>
          <w:rFonts w:ascii="宋体" w:hAnsi="宋体" w:cs="宋体"/>
          <w:b/>
          <w:szCs w:val="24"/>
        </w:rPr>
      </w:pPr>
    </w:p>
    <w:p>
      <w:pPr>
        <w:adjustRightInd w:val="0"/>
        <w:snapToGrid w:val="0"/>
        <w:spacing w:before="50" w:line="360" w:lineRule="auto"/>
        <w:jc w:val="center"/>
        <w:rPr>
          <w:rFonts w:ascii="宋体" w:hAnsi="宋体" w:cs="宋体"/>
          <w:b/>
          <w:szCs w:val="24"/>
        </w:rPr>
      </w:pPr>
    </w:p>
    <w:p>
      <w:pPr>
        <w:adjustRightInd w:val="0"/>
        <w:snapToGrid w:val="0"/>
        <w:spacing w:before="50" w:line="360" w:lineRule="auto"/>
        <w:jc w:val="center"/>
        <w:rPr>
          <w:rFonts w:ascii="宋体" w:hAnsi="宋体" w:cs="宋体"/>
          <w:b/>
          <w:sz w:val="36"/>
          <w:szCs w:val="36"/>
        </w:rPr>
      </w:pPr>
    </w:p>
    <w:p>
      <w:pPr>
        <w:adjustRightInd w:val="0"/>
        <w:snapToGrid w:val="0"/>
        <w:spacing w:before="50" w:line="360" w:lineRule="auto"/>
        <w:jc w:val="center"/>
        <w:rPr>
          <w:rFonts w:ascii="宋体" w:hAnsi="宋体" w:cs="宋体"/>
          <w:b/>
          <w:sz w:val="36"/>
          <w:szCs w:val="36"/>
        </w:rPr>
      </w:pPr>
    </w:p>
    <w:p>
      <w:pPr>
        <w:adjustRightInd w:val="0"/>
        <w:snapToGrid w:val="0"/>
        <w:spacing w:before="50" w:line="360" w:lineRule="auto"/>
        <w:jc w:val="center"/>
        <w:rPr>
          <w:rFonts w:ascii="宋体" w:hAnsi="宋体" w:cs="宋体"/>
          <w:b/>
          <w:sz w:val="36"/>
          <w:szCs w:val="36"/>
        </w:rPr>
      </w:pPr>
    </w:p>
    <w:p>
      <w:pPr>
        <w:adjustRightInd w:val="0"/>
        <w:snapToGrid w:val="0"/>
        <w:spacing w:line="360" w:lineRule="auto"/>
        <w:rPr>
          <w:rFonts w:ascii="宋体" w:hAnsi="宋体" w:cs="宋体"/>
          <w:b/>
          <w:szCs w:val="24"/>
        </w:rPr>
        <w:sectPr>
          <w:pgSz w:w="11907" w:h="16840"/>
          <w:pgMar w:top="1440" w:right="1474" w:bottom="1440" w:left="1474" w:header="851" w:footer="992" w:gutter="0"/>
          <w:cols w:space="720" w:num="1"/>
          <w:docGrid w:linePitch="312" w:charSpace="0"/>
        </w:sectPr>
      </w:pPr>
    </w:p>
    <w:p>
      <w:pPr>
        <w:outlineLvl w:val="0"/>
        <w:rPr>
          <w:b/>
          <w:bCs/>
          <w:sz w:val="32"/>
          <w:szCs w:val="32"/>
        </w:rPr>
      </w:pPr>
      <w:r>
        <w:rPr>
          <w:rFonts w:hint="eastAsia"/>
        </w:rPr>
        <w:t xml:space="preserve">附件3                  </w:t>
      </w:r>
      <w:r>
        <w:rPr>
          <w:rFonts w:hint="eastAsia"/>
          <w:b/>
          <w:bCs/>
          <w:sz w:val="32"/>
          <w:szCs w:val="32"/>
        </w:rPr>
        <w:t>监狱企业证明文件</w:t>
      </w:r>
    </w:p>
    <w:p>
      <w:pPr>
        <w:adjustRightInd w:val="0"/>
        <w:snapToGrid w:val="0"/>
        <w:spacing w:before="50" w:line="360" w:lineRule="auto"/>
        <w:rPr>
          <w:rFonts w:ascii="宋体" w:hAnsi="宋体" w:cs="宋体"/>
          <w:b/>
          <w:szCs w:val="24"/>
        </w:rPr>
      </w:pPr>
    </w:p>
    <w:p>
      <w:pPr>
        <w:adjustRightInd w:val="0"/>
        <w:snapToGrid w:val="0"/>
        <w:spacing w:line="360" w:lineRule="auto"/>
        <w:rPr>
          <w:rFonts w:ascii="宋体" w:hAnsi="宋体" w:cs="宋体"/>
          <w:szCs w:val="24"/>
        </w:rPr>
      </w:pPr>
      <w:r>
        <w:rPr>
          <w:rFonts w:hint="eastAsia" w:ascii="宋体" w:hAnsi="宋体" w:cs="宋体"/>
          <w:szCs w:val="24"/>
        </w:rPr>
        <w:t>说明：</w:t>
      </w:r>
    </w:p>
    <w:p>
      <w:pPr>
        <w:adjustRightInd w:val="0"/>
        <w:snapToGrid w:val="0"/>
        <w:spacing w:line="360" w:lineRule="auto"/>
        <w:ind w:firstLine="525"/>
        <w:rPr>
          <w:rFonts w:ascii="宋体" w:hAnsi="宋体" w:cs="宋体"/>
          <w:bCs/>
          <w:szCs w:val="24"/>
        </w:rPr>
      </w:pPr>
      <w:r>
        <w:rPr>
          <w:rFonts w:hint="eastAsia" w:ascii="宋体" w:hAnsi="宋体" w:cs="宋体"/>
          <w:bCs/>
          <w:szCs w:val="24"/>
        </w:rPr>
        <w:t>1.无格式要求，由出具监狱企业证明的单位自行拟定；</w:t>
      </w:r>
    </w:p>
    <w:p>
      <w:pPr>
        <w:adjustRightInd w:val="0"/>
        <w:snapToGrid w:val="0"/>
        <w:spacing w:line="360" w:lineRule="auto"/>
        <w:ind w:firstLine="525"/>
        <w:rPr>
          <w:rFonts w:ascii="宋体" w:hAnsi="宋体" w:cs="宋体"/>
          <w:szCs w:val="24"/>
        </w:rPr>
      </w:pPr>
      <w:r>
        <w:rPr>
          <w:rFonts w:hint="eastAsia" w:ascii="宋体" w:hAnsi="宋体" w:cs="宋体"/>
          <w:szCs w:val="24"/>
        </w:rPr>
        <w:t>2.响应人如实填写本表。符合条件的响应人未按上述要求提供、填写的，评审时不予以考虑。</w:t>
      </w:r>
    </w:p>
    <w:p>
      <w:pPr>
        <w:adjustRightInd w:val="0"/>
        <w:snapToGrid w:val="0"/>
        <w:spacing w:before="50" w:line="360" w:lineRule="auto"/>
        <w:jc w:val="left"/>
        <w:rPr>
          <w:rFonts w:ascii="宋体" w:hAnsi="宋体" w:cs="宋体"/>
          <w:b/>
          <w:szCs w:val="24"/>
        </w:rPr>
        <w:sectPr>
          <w:pgSz w:w="11907" w:h="16840"/>
          <w:pgMar w:top="1440" w:right="1474" w:bottom="1440" w:left="1474" w:header="851" w:footer="992" w:gutter="0"/>
          <w:cols w:space="720" w:num="1"/>
          <w:docGrid w:linePitch="312" w:charSpace="0"/>
        </w:sectPr>
      </w:pPr>
      <w:r>
        <w:rPr>
          <w:rFonts w:hint="eastAsia" w:ascii="宋体" w:hAnsi="宋体" w:cs="宋体"/>
          <w:b/>
          <w:szCs w:val="24"/>
        </w:rPr>
        <w:t>不符合条件的供应商无需填写。如果出现虚假应标，由此产生的后果由供应商自行负责。</w:t>
      </w:r>
    </w:p>
    <w:p>
      <w:pPr>
        <w:outlineLvl w:val="0"/>
        <w:rPr>
          <w:b/>
          <w:bCs/>
          <w:sz w:val="32"/>
          <w:szCs w:val="32"/>
        </w:rPr>
      </w:pPr>
      <w:r>
        <w:rPr>
          <w:rFonts w:hint="eastAsia"/>
        </w:rPr>
        <w:t xml:space="preserve">附件4       </w:t>
      </w:r>
      <w:r>
        <w:rPr>
          <w:rFonts w:hint="eastAsia"/>
          <w:b/>
          <w:bCs/>
          <w:sz w:val="32"/>
          <w:szCs w:val="32"/>
        </w:rPr>
        <w:t>“节能产品”、“环境标志产品”证明材料</w:t>
      </w:r>
    </w:p>
    <w:p>
      <w:pPr>
        <w:spacing w:line="360" w:lineRule="auto"/>
        <w:rPr>
          <w:rFonts w:ascii="宋体" w:hAnsi="宋体" w:cs="宋体"/>
        </w:rPr>
      </w:pPr>
    </w:p>
    <w:p>
      <w:pPr>
        <w:adjustRightInd w:val="0"/>
        <w:snapToGrid w:val="0"/>
        <w:spacing w:line="360" w:lineRule="auto"/>
        <w:rPr>
          <w:rFonts w:ascii="宋体" w:hAnsi="宋体" w:cs="宋体"/>
          <w:szCs w:val="24"/>
        </w:rPr>
      </w:pPr>
      <w:r>
        <w:rPr>
          <w:rFonts w:hint="eastAsia" w:ascii="宋体" w:hAnsi="宋体" w:cs="宋体"/>
          <w:szCs w:val="24"/>
        </w:rPr>
        <w:t>说明：</w:t>
      </w:r>
    </w:p>
    <w:p>
      <w:pPr>
        <w:adjustRightInd w:val="0"/>
        <w:snapToGrid w:val="0"/>
        <w:spacing w:line="360" w:lineRule="auto"/>
        <w:ind w:firstLine="600" w:firstLineChars="250"/>
        <w:rPr>
          <w:rFonts w:ascii="宋体" w:hAnsi="宋体" w:cs="宋体"/>
          <w:bCs/>
          <w:szCs w:val="24"/>
        </w:rPr>
      </w:pPr>
      <w:r>
        <w:rPr>
          <w:rFonts w:hint="eastAsia" w:ascii="宋体" w:hAnsi="宋体" w:cs="宋体"/>
          <w:bCs/>
          <w:szCs w:val="24"/>
        </w:rPr>
        <w:t>1.</w:t>
      </w:r>
      <w:r>
        <w:rPr>
          <w:rFonts w:hint="eastAsia" w:ascii="宋体" w:hAnsi="宋体" w:cs="宋体"/>
          <w:szCs w:val="24"/>
        </w:rPr>
        <w:t>响应人提供的产品</w:t>
      </w:r>
      <w:r>
        <w:rPr>
          <w:rFonts w:hint="eastAsia" w:ascii="宋体" w:hAnsi="宋体" w:cs="宋体"/>
          <w:bCs/>
          <w:szCs w:val="24"/>
        </w:rPr>
        <w:t>属于节能产品或环境标志产品的</w:t>
      </w:r>
      <w:r>
        <w:rPr>
          <w:rFonts w:hint="eastAsia" w:ascii="宋体" w:hAnsi="宋体" w:cs="宋体"/>
          <w:szCs w:val="24"/>
        </w:rPr>
        <w:t>，应按响应人须知第3.4.1项规定提供相关证明材料，并在《货物（产品）分项报价表》中填写相应的证书编号；</w:t>
      </w:r>
    </w:p>
    <w:p>
      <w:pPr>
        <w:adjustRightInd w:val="0"/>
        <w:snapToGrid w:val="0"/>
        <w:spacing w:line="360" w:lineRule="auto"/>
        <w:ind w:firstLine="600" w:firstLineChars="250"/>
        <w:rPr>
          <w:rFonts w:ascii="宋体" w:hAnsi="宋体" w:cs="宋体"/>
          <w:bCs/>
          <w:szCs w:val="24"/>
        </w:rPr>
      </w:pPr>
      <w:r>
        <w:rPr>
          <w:rFonts w:hint="eastAsia" w:ascii="宋体" w:hAnsi="宋体" w:cs="宋体"/>
          <w:bCs/>
          <w:szCs w:val="24"/>
        </w:rPr>
        <w:t>2.响应人未按上述要求提供、</w:t>
      </w:r>
      <w:r>
        <w:rPr>
          <w:rFonts w:hint="eastAsia" w:ascii="宋体" w:hAnsi="宋体" w:cs="宋体"/>
          <w:szCs w:val="24"/>
        </w:rPr>
        <w:t>填写</w:t>
      </w:r>
      <w:r>
        <w:rPr>
          <w:rFonts w:hint="eastAsia" w:ascii="宋体" w:hAnsi="宋体" w:cs="宋体"/>
          <w:bCs/>
          <w:szCs w:val="24"/>
        </w:rPr>
        <w:t>的，评标时不予加分。</w:t>
      </w:r>
    </w:p>
    <w:p>
      <w:pPr>
        <w:adjustRightInd w:val="0"/>
        <w:snapToGrid w:val="0"/>
        <w:spacing w:line="360" w:lineRule="auto"/>
        <w:ind w:firstLine="600" w:firstLineChars="250"/>
        <w:rPr>
          <w:rFonts w:ascii="宋体" w:hAnsi="宋体" w:cs="宋体"/>
          <w:bCs/>
          <w:szCs w:val="24"/>
        </w:rPr>
      </w:pPr>
    </w:p>
    <w:p>
      <w:pPr>
        <w:adjustRightInd w:val="0"/>
        <w:snapToGrid w:val="0"/>
        <w:spacing w:line="360" w:lineRule="auto"/>
        <w:ind w:firstLine="600" w:firstLineChars="250"/>
        <w:rPr>
          <w:rFonts w:ascii="宋体" w:hAnsi="宋体" w:cs="宋体"/>
          <w:bCs/>
        </w:rPr>
      </w:pPr>
    </w:p>
    <w:p>
      <w:pPr>
        <w:adjustRightInd w:val="0"/>
        <w:snapToGrid w:val="0"/>
        <w:spacing w:line="360" w:lineRule="auto"/>
        <w:ind w:firstLine="600" w:firstLineChars="250"/>
        <w:rPr>
          <w:rFonts w:ascii="宋体" w:hAnsi="宋体" w:cs="宋体"/>
          <w:bCs/>
        </w:rPr>
      </w:pPr>
    </w:p>
    <w:p>
      <w:pPr>
        <w:adjustRightInd w:val="0"/>
        <w:snapToGrid w:val="0"/>
        <w:spacing w:line="360" w:lineRule="auto"/>
        <w:ind w:firstLine="600" w:firstLineChars="250"/>
        <w:rPr>
          <w:rFonts w:ascii="宋体" w:hAnsi="宋体" w:cs="宋体"/>
          <w:bCs/>
        </w:rPr>
      </w:pPr>
    </w:p>
    <w:p>
      <w:pPr>
        <w:adjustRightInd w:val="0"/>
        <w:snapToGrid w:val="0"/>
        <w:spacing w:line="360" w:lineRule="auto"/>
        <w:ind w:firstLine="600" w:firstLineChars="250"/>
        <w:rPr>
          <w:rFonts w:ascii="宋体" w:hAnsi="宋体" w:cs="宋体"/>
          <w:bCs/>
        </w:rPr>
      </w:pPr>
    </w:p>
    <w:p>
      <w:pPr>
        <w:adjustRightInd w:val="0"/>
        <w:snapToGrid w:val="0"/>
        <w:spacing w:line="360" w:lineRule="auto"/>
        <w:ind w:firstLine="600" w:firstLineChars="250"/>
        <w:rPr>
          <w:rFonts w:ascii="宋体" w:hAnsi="宋体" w:cs="宋体"/>
          <w:bCs/>
        </w:rPr>
      </w:pPr>
    </w:p>
    <w:p>
      <w:pPr>
        <w:adjustRightInd w:val="0"/>
        <w:snapToGrid w:val="0"/>
        <w:spacing w:line="360" w:lineRule="auto"/>
        <w:ind w:firstLine="600" w:firstLineChars="250"/>
        <w:rPr>
          <w:rFonts w:ascii="宋体" w:hAnsi="宋体" w:cs="宋体"/>
          <w:bCs/>
        </w:rPr>
      </w:pPr>
    </w:p>
    <w:p>
      <w:pPr>
        <w:adjustRightInd w:val="0"/>
        <w:snapToGrid w:val="0"/>
        <w:spacing w:line="360" w:lineRule="auto"/>
        <w:ind w:firstLine="600" w:firstLineChars="250"/>
        <w:rPr>
          <w:rFonts w:ascii="宋体" w:hAnsi="宋体" w:cs="宋体"/>
          <w:bCs/>
        </w:rPr>
      </w:pPr>
    </w:p>
    <w:p>
      <w:pPr>
        <w:adjustRightInd w:val="0"/>
        <w:snapToGrid w:val="0"/>
        <w:spacing w:line="360" w:lineRule="auto"/>
        <w:ind w:firstLine="600" w:firstLineChars="250"/>
        <w:rPr>
          <w:rFonts w:ascii="宋体" w:hAnsi="宋体" w:cs="宋体"/>
          <w:bCs/>
        </w:rPr>
      </w:pPr>
    </w:p>
    <w:p>
      <w:pPr>
        <w:adjustRightInd w:val="0"/>
        <w:snapToGrid w:val="0"/>
        <w:spacing w:line="360" w:lineRule="auto"/>
        <w:ind w:firstLine="600" w:firstLineChars="250"/>
        <w:rPr>
          <w:rFonts w:ascii="宋体" w:hAnsi="宋体" w:cs="宋体"/>
          <w:bCs/>
        </w:rPr>
      </w:pPr>
    </w:p>
    <w:p>
      <w:pPr>
        <w:adjustRightInd w:val="0"/>
        <w:snapToGrid w:val="0"/>
        <w:spacing w:line="360" w:lineRule="auto"/>
        <w:ind w:firstLine="600" w:firstLineChars="250"/>
        <w:rPr>
          <w:rFonts w:ascii="宋体" w:hAnsi="宋体" w:cs="宋体"/>
          <w:bCs/>
        </w:rPr>
      </w:pPr>
    </w:p>
    <w:p>
      <w:pPr>
        <w:adjustRightInd w:val="0"/>
        <w:snapToGrid w:val="0"/>
        <w:spacing w:line="360" w:lineRule="auto"/>
        <w:ind w:firstLine="600" w:firstLineChars="250"/>
        <w:rPr>
          <w:rFonts w:ascii="宋体" w:hAnsi="宋体" w:cs="宋体"/>
          <w:bCs/>
        </w:rPr>
      </w:pPr>
    </w:p>
    <w:p>
      <w:pPr>
        <w:adjustRightInd w:val="0"/>
        <w:snapToGrid w:val="0"/>
        <w:spacing w:line="360" w:lineRule="auto"/>
        <w:ind w:firstLine="600" w:firstLineChars="250"/>
        <w:rPr>
          <w:rFonts w:ascii="宋体" w:hAnsi="宋体" w:cs="宋体"/>
          <w:bCs/>
        </w:rPr>
      </w:pPr>
    </w:p>
    <w:p>
      <w:pPr>
        <w:adjustRightInd w:val="0"/>
        <w:snapToGrid w:val="0"/>
        <w:spacing w:line="360" w:lineRule="auto"/>
        <w:ind w:firstLine="600" w:firstLineChars="250"/>
        <w:rPr>
          <w:rFonts w:ascii="宋体" w:hAnsi="宋体" w:cs="宋体"/>
          <w:bCs/>
        </w:rPr>
      </w:pPr>
    </w:p>
    <w:p>
      <w:pPr>
        <w:adjustRightInd w:val="0"/>
        <w:snapToGrid w:val="0"/>
        <w:spacing w:line="360" w:lineRule="auto"/>
        <w:ind w:firstLine="600" w:firstLineChars="250"/>
        <w:rPr>
          <w:rFonts w:ascii="宋体" w:hAnsi="宋体" w:cs="宋体"/>
          <w:bCs/>
        </w:rPr>
      </w:pPr>
    </w:p>
    <w:p>
      <w:pPr>
        <w:pStyle w:val="57"/>
      </w:pPr>
    </w:p>
    <w:p>
      <w:pPr>
        <w:pStyle w:val="31"/>
        <w:adjustRightInd w:val="0"/>
        <w:snapToGrid w:val="0"/>
        <w:spacing w:before="0" w:beforeAutospacing="0" w:after="0" w:afterAutospacing="0" w:line="360" w:lineRule="auto"/>
        <w:ind w:left="547" w:leftChars="228" w:firstLine="64" w:firstLineChars="27"/>
        <w:jc w:val="both"/>
      </w:pPr>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enlo">
    <w:altName w:val="Segoe Print"/>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_GB2312">
    <w:altName w:val="Times New Roman"/>
    <w:panose1 w:val="00000000000000000000"/>
    <w:charset w:val="00"/>
    <w:family w:val="auto"/>
    <w:pitch w:val="default"/>
    <w:sig w:usb0="00000000" w:usb1="00000000" w:usb2="00000000" w:usb3="00000000" w:csb0="00000001" w:csb1="00000000"/>
  </w:font>
  <w:font w:name="font-weight : 400">
    <w:altName w:val="Segoe Print"/>
    <w:panose1 w:val="00000000000000000000"/>
    <w:charset w:val="00"/>
    <w:family w:val="auto"/>
    <w:pitch w:val="default"/>
    <w:sig w:usb0="00000000" w:usb1="00000000" w:usb2="00000000" w:usb3="00000000" w:csb0="00040001" w:csb1="00000000"/>
  </w:font>
  <w:font w:name="font-weight : 700">
    <w:altName w:val="Segoe Print"/>
    <w:panose1 w:val="00000000000000000000"/>
    <w:charset w:val="00"/>
    <w:family w:val="auto"/>
    <w:pitch w:val="default"/>
    <w:sig w:usb0="00000000" w:usb1="00000000" w:usb2="00000000" w:usb3="00000000" w:csb0="00040001" w:csb1="00000000"/>
  </w:font>
  <w:font w:name="Wingdings 2">
    <w:panose1 w:val="05020102010507070707"/>
    <w:charset w:val="02"/>
    <w:family w:val="roman"/>
    <w:pitch w:val="default"/>
    <w:sig w:usb0="00000000" w:usb1="00000000" w:usb2="00000000" w:usb3="00000000" w:csb0="80000000" w:csb1="00000000"/>
  </w:font>
  <w:font w:name="??">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Swis721 BT">
    <w:panose1 w:val="020B0504020202020204"/>
    <w:charset w:val="00"/>
    <w:family w:val="auto"/>
    <w:pitch w:val="default"/>
    <w:sig w:usb0="800000AF" w:usb1="1000204A" w:usb2="00000000" w:usb3="00000000" w:csb0="00000011" w:csb1="00000000"/>
  </w:font>
  <w:font w:name="Swis721 Cn BT">
    <w:panose1 w:val="020B0506020202030204"/>
    <w:charset w:val="00"/>
    <w:family w:val="auto"/>
    <w:pitch w:val="default"/>
    <w:sig w:usb0="800000AF" w:usb1="1000204A" w:usb2="00000000" w:usb3="00000000" w:csb0="00000011" w:csb1="00000000"/>
  </w:font>
  <w:font w:name="Symusic">
    <w:panose1 w:val="00000400000000000000"/>
    <w:charset w:val="00"/>
    <w:family w:val="auto"/>
    <w:pitch w:val="default"/>
    <w:sig w:usb0="00000001"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r>
                            <w:rPr>
                              <w:rFonts w:hint="eastAsia"/>
                            </w:rPr>
                            <w:t xml:space="preserve"> 页 共 </w:t>
                          </w:r>
                          <w:r>
                            <w:fldChar w:fldCharType="begin"/>
                          </w:r>
                          <w:r>
                            <w:instrText xml:space="preserve"> NUMPAGES  \* MERGEFORMAT </w:instrText>
                          </w:r>
                          <w:r>
                            <w:fldChar w:fldCharType="separate"/>
                          </w:r>
                          <w:r>
                            <w:t>62</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r>
                      <w:rPr>
                        <w:rFonts w:hint="eastAsia"/>
                      </w:rPr>
                      <w:t xml:space="preserve"> 页 共 </w:t>
                    </w:r>
                    <w:r>
                      <w:fldChar w:fldCharType="begin"/>
                    </w:r>
                    <w:r>
                      <w:instrText xml:space="preserve"> NUMPAGES  \* MERGEFORMAT </w:instrText>
                    </w:r>
                    <w:r>
                      <w:fldChar w:fldCharType="separate"/>
                    </w:r>
                    <w:r>
                      <w:t>62</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30</w:t>
                          </w:r>
                          <w:r>
                            <w:rPr>
                              <w:rFonts w:hint="eastAsia"/>
                            </w:rPr>
                            <w:fldChar w:fldCharType="end"/>
                          </w:r>
                          <w:r>
                            <w:rPr>
                              <w:rFonts w:hint="eastAsia"/>
                            </w:rPr>
                            <w:t xml:space="preserve"> 页 共 </w:t>
                          </w:r>
                          <w:r>
                            <w:fldChar w:fldCharType="begin"/>
                          </w:r>
                          <w:r>
                            <w:instrText xml:space="preserve"> NUMPAGES  \* MERGEFORMAT </w:instrText>
                          </w:r>
                          <w:r>
                            <w:fldChar w:fldCharType="separate"/>
                          </w:r>
                          <w:r>
                            <w:t>62</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30</w:t>
                    </w:r>
                    <w:r>
                      <w:rPr>
                        <w:rFonts w:hint="eastAsia"/>
                      </w:rPr>
                      <w:fldChar w:fldCharType="end"/>
                    </w:r>
                    <w:r>
                      <w:rPr>
                        <w:rFonts w:hint="eastAsia"/>
                      </w:rPr>
                      <w:t xml:space="preserve"> 页 共 </w:t>
                    </w:r>
                    <w:r>
                      <w:fldChar w:fldCharType="begin"/>
                    </w:r>
                    <w:r>
                      <w:instrText xml:space="preserve"> NUMPAGES  \* MERGEFORMAT </w:instrText>
                    </w:r>
                    <w:r>
                      <w:fldChar w:fldCharType="separate"/>
                    </w:r>
                    <w:r>
                      <w:t>62</w:t>
                    </w:r>
                    <w:r>
                      <w:fldChar w:fldCharType="end"/>
                    </w:r>
                    <w:r>
                      <w:rPr>
                        <w:rFonts w:hint="eastAsia"/>
                      </w:rPr>
                      <w:t xml:space="preserve"> 页</w:t>
                    </w:r>
                  </w:p>
                </w:txbxContent>
              </v:textbox>
            </v:shape>
          </w:pict>
        </mc:Fallback>
      </mc:AlternateContent>
    </w:r>
  </w:p>
  <w:p>
    <w:pPr>
      <w:tabs>
        <w:tab w:val="center" w:pos="4567"/>
      </w:tabs>
      <w:snapToGrid w:val="0"/>
      <w:ind w:right="360"/>
      <w:jc w:val="left"/>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right" w:pos="8820"/>
        <w:tab w:val="clear" w:pos="8306"/>
      </w:tabs>
      <w:ind w:right="565"/>
    </w:pPr>
    <w:r>
      <mc:AlternateContent>
        <mc:Choice Requires="wps">
          <w:drawing>
            <wp:anchor distT="0" distB="0" distL="114300" distR="114300" simplePos="0" relativeHeight="251663360" behindDoc="0" locked="0" layoutInCell="1" allowOverlap="1">
              <wp:simplePos x="0" y="0"/>
              <wp:positionH relativeFrom="margin">
                <wp:posOffset>2383790</wp:posOffset>
              </wp:positionH>
              <wp:positionV relativeFrom="paragraph">
                <wp:posOffset>-1270</wp:posOffset>
              </wp:positionV>
              <wp:extent cx="1301750" cy="182245"/>
              <wp:effectExtent l="0" t="0" r="0" b="0"/>
              <wp:wrapNone/>
              <wp:docPr id="6" name="文本框 6"/>
              <wp:cNvGraphicFramePr/>
              <a:graphic xmlns:a="http://schemas.openxmlformats.org/drawingml/2006/main">
                <a:graphicData uri="http://schemas.microsoft.com/office/word/2010/wordprocessingShape">
                  <wps:wsp>
                    <wps:cNvSpPr txBox="1"/>
                    <wps:spPr>
                      <a:xfrm>
                        <a:off x="0" y="0"/>
                        <a:ext cx="1301750" cy="1822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63</w:t>
                          </w:r>
                          <w:r>
                            <w:fldChar w:fldCharType="end"/>
                          </w:r>
                          <w:r>
                            <w:rPr>
                              <w:rFonts w:hint="eastAsia"/>
                            </w:rPr>
                            <w:t xml:space="preserve"> 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87.7pt;margin-top:-0.1pt;height:14.35pt;width:102.5pt;mso-position-horizontal-relative:margin;z-index:251663360;mso-width-relative:page;mso-height-relative:page;" filled="f" stroked="f" coordsize="21600,21600" o:gfxdata="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hfFcEtcAAAAIAQAADwAAAAAAAAABACAAAAAiAAAAZHJzL2Rvd25yZXYueG1sUEsB&#10;AhQAFAAAAAgAh07iQEyHto0vAgAAVgQAAA4AAAAAAAAAAQAgAAAAJgEAAGRycy9lMm9Eb2MueG1s&#10;UEsFBgAAAAAGAAYAWQEAAMcFAAAAAA==&#10;">
              <v:fill on="f" focussize="0,0"/>
              <v:stroke on="f" weight="0.5pt"/>
              <v:imagedata o:title=""/>
              <o:lock v:ext="edit" aspectratio="f"/>
              <v:textbox inset="0mm,0mm,0mm,0mm">
                <w:txbxContent>
                  <w:p>
                    <w:pPr>
                      <w:pStyle w:val="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63</w:t>
                    </w:r>
                    <w:r>
                      <w:fldChar w:fldCharType="end"/>
                    </w:r>
                    <w:r>
                      <w:rPr>
                        <w:rFonts w:hint="eastAsia"/>
                      </w:rPr>
                      <w:t xml:space="preserve"> 页</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tabs>
                              <w:tab w:val="right" w:pos="8820"/>
                              <w:tab w:val="clear" w:pos="8306"/>
                            </w:tabs>
                            <w:ind w:right="565"/>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2"/>
                      <w:tabs>
                        <w:tab w:val="right" w:pos="8820"/>
                        <w:tab w:val="clear" w:pos="8306"/>
                      </w:tabs>
                      <w:ind w:right="565"/>
                    </w:pPr>
                  </w:p>
                </w:txbxContent>
              </v:textbox>
            </v:shape>
          </w:pict>
        </mc:Fallback>
      </mc:AlternateContent>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Bdr>
        <w:bottom w:val="double" w:color="auto" w:sz="8" w:space="0"/>
      </w:pBdr>
      <w:jc w:val="right"/>
      <w:rPr>
        <w:rFonts w:ascii="宋体" w:hAnsi="宋体" w:cs="宋体"/>
        <w:color w:val="333333"/>
        <w:szCs w:val="21"/>
      </w:rPr>
    </w:pPr>
    <w:r>
      <w:rPr>
        <w:rFonts w:hint="eastAsia" w:ascii="宋体" w:hAnsi="宋体" w:cs="宋体"/>
        <w:color w:val="333333"/>
        <w:szCs w:val="21"/>
      </w:rPr>
      <w:t>莲湖区市政设施调查项目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BA37CB"/>
    <w:multiLevelType w:val="singleLevel"/>
    <w:tmpl w:val="86BA37CB"/>
    <w:lvl w:ilvl="0" w:tentative="0">
      <w:start w:val="1"/>
      <w:numFmt w:val="decimal"/>
      <w:suff w:val="nothing"/>
      <w:lvlText w:val="%1、"/>
      <w:lvlJc w:val="left"/>
    </w:lvl>
  </w:abstractNum>
  <w:abstractNum w:abstractNumId="1">
    <w:nsid w:val="91003273"/>
    <w:multiLevelType w:val="singleLevel"/>
    <w:tmpl w:val="91003273"/>
    <w:lvl w:ilvl="0" w:tentative="0">
      <w:start w:val="1"/>
      <w:numFmt w:val="decimal"/>
      <w:suff w:val="space"/>
      <w:lvlText w:val="%1."/>
      <w:lvlJc w:val="left"/>
    </w:lvl>
  </w:abstractNum>
  <w:abstractNum w:abstractNumId="2">
    <w:nsid w:val="A5A65F6B"/>
    <w:multiLevelType w:val="singleLevel"/>
    <w:tmpl w:val="A5A65F6B"/>
    <w:lvl w:ilvl="0" w:tentative="0">
      <w:start w:val="6"/>
      <w:numFmt w:val="chineseCounting"/>
      <w:suff w:val="nothing"/>
      <w:lvlText w:val="%1、"/>
      <w:lvlJc w:val="left"/>
      <w:rPr>
        <w:rFonts w:hint="eastAsia"/>
      </w:rPr>
    </w:lvl>
  </w:abstractNum>
  <w:abstractNum w:abstractNumId="3">
    <w:nsid w:val="B7204BDC"/>
    <w:multiLevelType w:val="singleLevel"/>
    <w:tmpl w:val="B7204BDC"/>
    <w:lvl w:ilvl="0" w:tentative="0">
      <w:start w:val="6"/>
      <w:numFmt w:val="decimal"/>
      <w:suff w:val="nothing"/>
      <w:lvlText w:val="%1、"/>
      <w:lvlJc w:val="left"/>
    </w:lvl>
  </w:abstractNum>
  <w:abstractNum w:abstractNumId="4">
    <w:nsid w:val="15D41C24"/>
    <w:multiLevelType w:val="multilevel"/>
    <w:tmpl w:val="15D41C24"/>
    <w:lvl w:ilvl="0" w:tentative="0">
      <w:start w:val="1"/>
      <w:numFmt w:val="bullet"/>
      <w:pStyle w:val="59"/>
      <w:lvlText w:val=""/>
      <w:lvlJc w:val="left"/>
      <w:pPr>
        <w:tabs>
          <w:tab w:val="left" w:pos="710"/>
        </w:tabs>
        <w:ind w:left="960" w:hanging="25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328258F7"/>
    <w:multiLevelType w:val="multilevel"/>
    <w:tmpl w:val="328258F7"/>
    <w:lvl w:ilvl="0" w:tentative="0">
      <w:start w:val="1"/>
      <w:numFmt w:val="decimal"/>
      <w:lvlText w:val="第%1章"/>
      <w:lvlJc w:val="left"/>
      <w:pPr>
        <w:ind w:left="420" w:hanging="420"/>
      </w:pPr>
      <w:rPr>
        <w:rFonts w:hint="eastAsia" w:ascii="宋体" w:eastAsia="宋体"/>
        <w:b/>
        <w:i w:val="0"/>
      </w:r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pStyle w:val="7"/>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6">
    <w:nsid w:val="3A286EF4"/>
    <w:multiLevelType w:val="singleLevel"/>
    <w:tmpl w:val="3A286EF4"/>
    <w:lvl w:ilvl="0" w:tentative="0">
      <w:start w:val="1"/>
      <w:numFmt w:val="decimal"/>
      <w:suff w:val="nothing"/>
      <w:lvlText w:val="%1）"/>
      <w:lvlJc w:val="left"/>
      <w:pPr>
        <w:textAlignment w:val="baseline"/>
      </w:pPr>
    </w:lvl>
  </w:abstractNum>
  <w:abstractNum w:abstractNumId="7">
    <w:nsid w:val="6FFCA2C1"/>
    <w:multiLevelType w:val="singleLevel"/>
    <w:tmpl w:val="6FFCA2C1"/>
    <w:lvl w:ilvl="0" w:tentative="0">
      <w:start w:val="1"/>
      <w:numFmt w:val="decimal"/>
      <w:suff w:val="nothing"/>
      <w:lvlText w:val="（%1）"/>
      <w:lvlJc w:val="left"/>
    </w:lvl>
  </w:abstractNum>
  <w:abstractNum w:abstractNumId="8">
    <w:nsid w:val="7B7C9547"/>
    <w:multiLevelType w:val="singleLevel"/>
    <w:tmpl w:val="7B7C9547"/>
    <w:lvl w:ilvl="0" w:tentative="0">
      <w:start w:val="1"/>
      <w:numFmt w:val="decimal"/>
      <w:suff w:val="nothing"/>
      <w:lvlText w:val="（%1）"/>
      <w:lvlJc w:val="left"/>
    </w:lvl>
  </w:abstractNum>
  <w:num w:numId="1">
    <w:abstractNumId w:val="5"/>
  </w:num>
  <w:num w:numId="2">
    <w:abstractNumId w:val="4"/>
  </w:num>
  <w:num w:numId="3">
    <w:abstractNumId w:val="3"/>
  </w:num>
  <w:num w:numId="4">
    <w:abstractNumId w:val="2"/>
  </w:num>
  <w:num w:numId="5">
    <w:abstractNumId w:val="0"/>
  </w:num>
  <w:num w:numId="6">
    <w:abstractNumId w:val="7"/>
  </w:num>
  <w:num w:numId="7">
    <w:abstractNumId w:val="8"/>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CFD"/>
    <w:rsid w:val="00006FAE"/>
    <w:rsid w:val="00012BA6"/>
    <w:rsid w:val="00014E98"/>
    <w:rsid w:val="0001615B"/>
    <w:rsid w:val="00022311"/>
    <w:rsid w:val="00030A42"/>
    <w:rsid w:val="00040B45"/>
    <w:rsid w:val="000479A7"/>
    <w:rsid w:val="00051C6F"/>
    <w:rsid w:val="0005316E"/>
    <w:rsid w:val="0006517C"/>
    <w:rsid w:val="00067B0D"/>
    <w:rsid w:val="000722F8"/>
    <w:rsid w:val="00082DD6"/>
    <w:rsid w:val="00086240"/>
    <w:rsid w:val="00087B9D"/>
    <w:rsid w:val="000947D1"/>
    <w:rsid w:val="000973A0"/>
    <w:rsid w:val="000A5568"/>
    <w:rsid w:val="000A5C56"/>
    <w:rsid w:val="000A7B4E"/>
    <w:rsid w:val="000B0EB1"/>
    <w:rsid w:val="000B0F01"/>
    <w:rsid w:val="000B17A5"/>
    <w:rsid w:val="000B29EB"/>
    <w:rsid w:val="000C101C"/>
    <w:rsid w:val="000C35E1"/>
    <w:rsid w:val="000C618F"/>
    <w:rsid w:val="000C6BCB"/>
    <w:rsid w:val="000D3422"/>
    <w:rsid w:val="000E0179"/>
    <w:rsid w:val="000E4101"/>
    <w:rsid w:val="000E56B2"/>
    <w:rsid w:val="000E78C9"/>
    <w:rsid w:val="000F426B"/>
    <w:rsid w:val="000F4305"/>
    <w:rsid w:val="00103F77"/>
    <w:rsid w:val="00104189"/>
    <w:rsid w:val="001109B8"/>
    <w:rsid w:val="00111A84"/>
    <w:rsid w:val="00113DF3"/>
    <w:rsid w:val="00116B60"/>
    <w:rsid w:val="001178F0"/>
    <w:rsid w:val="001279B1"/>
    <w:rsid w:val="00137F30"/>
    <w:rsid w:val="0014060D"/>
    <w:rsid w:val="00141647"/>
    <w:rsid w:val="00144112"/>
    <w:rsid w:val="001518E8"/>
    <w:rsid w:val="001522F0"/>
    <w:rsid w:val="001524B2"/>
    <w:rsid w:val="00153C6C"/>
    <w:rsid w:val="001552EB"/>
    <w:rsid w:val="0015688F"/>
    <w:rsid w:val="00157CFA"/>
    <w:rsid w:val="00157D0D"/>
    <w:rsid w:val="001607C7"/>
    <w:rsid w:val="00164B46"/>
    <w:rsid w:val="001650B8"/>
    <w:rsid w:val="00170D90"/>
    <w:rsid w:val="00171E2E"/>
    <w:rsid w:val="00172A3E"/>
    <w:rsid w:val="001745BB"/>
    <w:rsid w:val="001864F5"/>
    <w:rsid w:val="00197ECB"/>
    <w:rsid w:val="001A3AC1"/>
    <w:rsid w:val="001A497D"/>
    <w:rsid w:val="001B5E78"/>
    <w:rsid w:val="001B7917"/>
    <w:rsid w:val="001C5199"/>
    <w:rsid w:val="001D19FD"/>
    <w:rsid w:val="001D38F8"/>
    <w:rsid w:val="001E36F3"/>
    <w:rsid w:val="001E36F7"/>
    <w:rsid w:val="001E3A36"/>
    <w:rsid w:val="001E497B"/>
    <w:rsid w:val="001F1FDC"/>
    <w:rsid w:val="001F4DF1"/>
    <w:rsid w:val="001F4FCD"/>
    <w:rsid w:val="001F51E9"/>
    <w:rsid w:val="0020419F"/>
    <w:rsid w:val="002059B1"/>
    <w:rsid w:val="00205EB0"/>
    <w:rsid w:val="00212FCB"/>
    <w:rsid w:val="00213271"/>
    <w:rsid w:val="00221A15"/>
    <w:rsid w:val="00222E27"/>
    <w:rsid w:val="002239E9"/>
    <w:rsid w:val="002245CC"/>
    <w:rsid w:val="0022477B"/>
    <w:rsid w:val="00227356"/>
    <w:rsid w:val="00231884"/>
    <w:rsid w:val="002338CD"/>
    <w:rsid w:val="00242341"/>
    <w:rsid w:val="0024313B"/>
    <w:rsid w:val="00250180"/>
    <w:rsid w:val="002517A0"/>
    <w:rsid w:val="00251B26"/>
    <w:rsid w:val="00252B88"/>
    <w:rsid w:val="00254EF4"/>
    <w:rsid w:val="00257C8D"/>
    <w:rsid w:val="00263470"/>
    <w:rsid w:val="002638A5"/>
    <w:rsid w:val="00264DEA"/>
    <w:rsid w:val="00273103"/>
    <w:rsid w:val="00273646"/>
    <w:rsid w:val="00274B21"/>
    <w:rsid w:val="002777E9"/>
    <w:rsid w:val="00284A65"/>
    <w:rsid w:val="00286739"/>
    <w:rsid w:val="00287668"/>
    <w:rsid w:val="00290557"/>
    <w:rsid w:val="00297A72"/>
    <w:rsid w:val="002A1E9A"/>
    <w:rsid w:val="002A357E"/>
    <w:rsid w:val="002A45BF"/>
    <w:rsid w:val="002A4CD8"/>
    <w:rsid w:val="002B3E68"/>
    <w:rsid w:val="002B5921"/>
    <w:rsid w:val="002B6213"/>
    <w:rsid w:val="002B7252"/>
    <w:rsid w:val="002C0454"/>
    <w:rsid w:val="002C07F0"/>
    <w:rsid w:val="002C1154"/>
    <w:rsid w:val="002C118C"/>
    <w:rsid w:val="002C4C75"/>
    <w:rsid w:val="002C72B2"/>
    <w:rsid w:val="002D4E7E"/>
    <w:rsid w:val="002D55F3"/>
    <w:rsid w:val="002E126F"/>
    <w:rsid w:val="002E1E34"/>
    <w:rsid w:val="002E2A64"/>
    <w:rsid w:val="002E4838"/>
    <w:rsid w:val="002E4BC1"/>
    <w:rsid w:val="002E65DA"/>
    <w:rsid w:val="002E6EDF"/>
    <w:rsid w:val="002F0303"/>
    <w:rsid w:val="002F1901"/>
    <w:rsid w:val="002F54C2"/>
    <w:rsid w:val="0030031B"/>
    <w:rsid w:val="00310D51"/>
    <w:rsid w:val="00311E51"/>
    <w:rsid w:val="00322204"/>
    <w:rsid w:val="00324C92"/>
    <w:rsid w:val="00325321"/>
    <w:rsid w:val="00326E16"/>
    <w:rsid w:val="003277E8"/>
    <w:rsid w:val="00331D92"/>
    <w:rsid w:val="00336D04"/>
    <w:rsid w:val="00340ABD"/>
    <w:rsid w:val="00347164"/>
    <w:rsid w:val="00350A72"/>
    <w:rsid w:val="00352506"/>
    <w:rsid w:val="00356F9E"/>
    <w:rsid w:val="00366A5A"/>
    <w:rsid w:val="0037489D"/>
    <w:rsid w:val="00375B24"/>
    <w:rsid w:val="003802AE"/>
    <w:rsid w:val="00381A58"/>
    <w:rsid w:val="003828F5"/>
    <w:rsid w:val="003853D9"/>
    <w:rsid w:val="0038768B"/>
    <w:rsid w:val="00391383"/>
    <w:rsid w:val="00393487"/>
    <w:rsid w:val="00394C66"/>
    <w:rsid w:val="003A68C7"/>
    <w:rsid w:val="003B4575"/>
    <w:rsid w:val="003B5758"/>
    <w:rsid w:val="003B61D4"/>
    <w:rsid w:val="003D6CF3"/>
    <w:rsid w:val="003D7368"/>
    <w:rsid w:val="003D75D9"/>
    <w:rsid w:val="003E0558"/>
    <w:rsid w:val="003E5512"/>
    <w:rsid w:val="00401FC3"/>
    <w:rsid w:val="0040418A"/>
    <w:rsid w:val="004056B3"/>
    <w:rsid w:val="00405A59"/>
    <w:rsid w:val="00412171"/>
    <w:rsid w:val="00412EBA"/>
    <w:rsid w:val="00416224"/>
    <w:rsid w:val="00420EF7"/>
    <w:rsid w:val="004212E3"/>
    <w:rsid w:val="0043310C"/>
    <w:rsid w:val="00433777"/>
    <w:rsid w:val="00441B16"/>
    <w:rsid w:val="00442F2B"/>
    <w:rsid w:val="00444232"/>
    <w:rsid w:val="004504C3"/>
    <w:rsid w:val="00452A15"/>
    <w:rsid w:val="00453B20"/>
    <w:rsid w:val="00454AFF"/>
    <w:rsid w:val="00455AB6"/>
    <w:rsid w:val="00460598"/>
    <w:rsid w:val="00470D07"/>
    <w:rsid w:val="00480F57"/>
    <w:rsid w:val="004832C2"/>
    <w:rsid w:val="0048360B"/>
    <w:rsid w:val="004839BD"/>
    <w:rsid w:val="00487F98"/>
    <w:rsid w:val="004A3292"/>
    <w:rsid w:val="004A4D5D"/>
    <w:rsid w:val="004B0AA4"/>
    <w:rsid w:val="004B1436"/>
    <w:rsid w:val="004B20E6"/>
    <w:rsid w:val="004B25FA"/>
    <w:rsid w:val="004B6609"/>
    <w:rsid w:val="004B74FA"/>
    <w:rsid w:val="004C4758"/>
    <w:rsid w:val="004D03C1"/>
    <w:rsid w:val="004D0766"/>
    <w:rsid w:val="004E2525"/>
    <w:rsid w:val="004E75B7"/>
    <w:rsid w:val="004E7741"/>
    <w:rsid w:val="0050107B"/>
    <w:rsid w:val="00503F57"/>
    <w:rsid w:val="00510D29"/>
    <w:rsid w:val="00513F75"/>
    <w:rsid w:val="0051680E"/>
    <w:rsid w:val="005176B2"/>
    <w:rsid w:val="0052151A"/>
    <w:rsid w:val="005273F9"/>
    <w:rsid w:val="005305F4"/>
    <w:rsid w:val="00531818"/>
    <w:rsid w:val="00536087"/>
    <w:rsid w:val="00537018"/>
    <w:rsid w:val="00547F38"/>
    <w:rsid w:val="00550B48"/>
    <w:rsid w:val="00550FB2"/>
    <w:rsid w:val="005514FC"/>
    <w:rsid w:val="00553E52"/>
    <w:rsid w:val="00554AC7"/>
    <w:rsid w:val="005555A0"/>
    <w:rsid w:val="005575BE"/>
    <w:rsid w:val="00562899"/>
    <w:rsid w:val="00564AA1"/>
    <w:rsid w:val="00565E57"/>
    <w:rsid w:val="005661E0"/>
    <w:rsid w:val="005743AB"/>
    <w:rsid w:val="00576D54"/>
    <w:rsid w:val="00576FE1"/>
    <w:rsid w:val="00580FFA"/>
    <w:rsid w:val="005856B5"/>
    <w:rsid w:val="005868E0"/>
    <w:rsid w:val="00594B63"/>
    <w:rsid w:val="00595BA3"/>
    <w:rsid w:val="00597432"/>
    <w:rsid w:val="005A1EAF"/>
    <w:rsid w:val="005A4269"/>
    <w:rsid w:val="005A6222"/>
    <w:rsid w:val="005B09C0"/>
    <w:rsid w:val="005B0E82"/>
    <w:rsid w:val="005B1F61"/>
    <w:rsid w:val="005C1F2E"/>
    <w:rsid w:val="005C6F9C"/>
    <w:rsid w:val="005D0EC6"/>
    <w:rsid w:val="005D5F7B"/>
    <w:rsid w:val="005D61E6"/>
    <w:rsid w:val="005D6ABC"/>
    <w:rsid w:val="005E000B"/>
    <w:rsid w:val="005E141C"/>
    <w:rsid w:val="005E1CFE"/>
    <w:rsid w:val="005F036B"/>
    <w:rsid w:val="005F3EBE"/>
    <w:rsid w:val="00600620"/>
    <w:rsid w:val="00607527"/>
    <w:rsid w:val="00614C67"/>
    <w:rsid w:val="006224CE"/>
    <w:rsid w:val="00627C53"/>
    <w:rsid w:val="006327B2"/>
    <w:rsid w:val="0063282C"/>
    <w:rsid w:val="00632FBD"/>
    <w:rsid w:val="00634E62"/>
    <w:rsid w:val="006376FC"/>
    <w:rsid w:val="00640CE8"/>
    <w:rsid w:val="00641076"/>
    <w:rsid w:val="00641C6E"/>
    <w:rsid w:val="00641E06"/>
    <w:rsid w:val="00644718"/>
    <w:rsid w:val="00646BAA"/>
    <w:rsid w:val="00647C44"/>
    <w:rsid w:val="00647FD5"/>
    <w:rsid w:val="00653283"/>
    <w:rsid w:val="00657CF9"/>
    <w:rsid w:val="0066221B"/>
    <w:rsid w:val="00665556"/>
    <w:rsid w:val="00667E3E"/>
    <w:rsid w:val="00670126"/>
    <w:rsid w:val="00672200"/>
    <w:rsid w:val="00674D01"/>
    <w:rsid w:val="00681B13"/>
    <w:rsid w:val="00681D4F"/>
    <w:rsid w:val="006848B9"/>
    <w:rsid w:val="00691C8A"/>
    <w:rsid w:val="00696BCD"/>
    <w:rsid w:val="006A3B81"/>
    <w:rsid w:val="006A4009"/>
    <w:rsid w:val="006A4B0D"/>
    <w:rsid w:val="006A59EA"/>
    <w:rsid w:val="006A652F"/>
    <w:rsid w:val="006B3529"/>
    <w:rsid w:val="006B7901"/>
    <w:rsid w:val="006C11B3"/>
    <w:rsid w:val="006C1C1D"/>
    <w:rsid w:val="006C3BDC"/>
    <w:rsid w:val="006C42FF"/>
    <w:rsid w:val="006C4484"/>
    <w:rsid w:val="006C6632"/>
    <w:rsid w:val="006C7331"/>
    <w:rsid w:val="006D6874"/>
    <w:rsid w:val="006D6E45"/>
    <w:rsid w:val="006E17DE"/>
    <w:rsid w:val="006E67CF"/>
    <w:rsid w:val="006F019A"/>
    <w:rsid w:val="006F08E0"/>
    <w:rsid w:val="007027DE"/>
    <w:rsid w:val="00703F79"/>
    <w:rsid w:val="00707CB1"/>
    <w:rsid w:val="007178D1"/>
    <w:rsid w:val="00717B24"/>
    <w:rsid w:val="00722240"/>
    <w:rsid w:val="00724238"/>
    <w:rsid w:val="00725A5A"/>
    <w:rsid w:val="007334B3"/>
    <w:rsid w:val="0073377B"/>
    <w:rsid w:val="00734557"/>
    <w:rsid w:val="0074294D"/>
    <w:rsid w:val="00757003"/>
    <w:rsid w:val="00760EE3"/>
    <w:rsid w:val="00761E17"/>
    <w:rsid w:val="007626C7"/>
    <w:rsid w:val="00766D6B"/>
    <w:rsid w:val="00780A9A"/>
    <w:rsid w:val="00780D19"/>
    <w:rsid w:val="00784913"/>
    <w:rsid w:val="007869F8"/>
    <w:rsid w:val="00787C6D"/>
    <w:rsid w:val="00795B07"/>
    <w:rsid w:val="00796391"/>
    <w:rsid w:val="007A33EB"/>
    <w:rsid w:val="007A3A00"/>
    <w:rsid w:val="007A5755"/>
    <w:rsid w:val="007A5FD4"/>
    <w:rsid w:val="007B3F6C"/>
    <w:rsid w:val="007B4AF9"/>
    <w:rsid w:val="007C03A7"/>
    <w:rsid w:val="007C18E8"/>
    <w:rsid w:val="007C330A"/>
    <w:rsid w:val="007C498A"/>
    <w:rsid w:val="007D42A9"/>
    <w:rsid w:val="007E4379"/>
    <w:rsid w:val="007F06B5"/>
    <w:rsid w:val="007F3401"/>
    <w:rsid w:val="007F4CAA"/>
    <w:rsid w:val="00811328"/>
    <w:rsid w:val="00814EA3"/>
    <w:rsid w:val="008164EF"/>
    <w:rsid w:val="00817D80"/>
    <w:rsid w:val="00821311"/>
    <w:rsid w:val="008260A9"/>
    <w:rsid w:val="00826F23"/>
    <w:rsid w:val="00833B2E"/>
    <w:rsid w:val="00836711"/>
    <w:rsid w:val="008370FE"/>
    <w:rsid w:val="00837CD6"/>
    <w:rsid w:val="00841C87"/>
    <w:rsid w:val="00843F60"/>
    <w:rsid w:val="00844558"/>
    <w:rsid w:val="00847EA1"/>
    <w:rsid w:val="00850631"/>
    <w:rsid w:val="00861CB3"/>
    <w:rsid w:val="008672C6"/>
    <w:rsid w:val="0087054C"/>
    <w:rsid w:val="008773FD"/>
    <w:rsid w:val="00887235"/>
    <w:rsid w:val="00887369"/>
    <w:rsid w:val="00893B69"/>
    <w:rsid w:val="00894BED"/>
    <w:rsid w:val="0089646D"/>
    <w:rsid w:val="008A1E54"/>
    <w:rsid w:val="008A5B0A"/>
    <w:rsid w:val="008A5C92"/>
    <w:rsid w:val="008A724A"/>
    <w:rsid w:val="008A735F"/>
    <w:rsid w:val="008B2292"/>
    <w:rsid w:val="008B4C93"/>
    <w:rsid w:val="008C34AF"/>
    <w:rsid w:val="008C5140"/>
    <w:rsid w:val="008D1FB8"/>
    <w:rsid w:val="008D4D2A"/>
    <w:rsid w:val="008D5657"/>
    <w:rsid w:val="008D6BD4"/>
    <w:rsid w:val="008E4DB3"/>
    <w:rsid w:val="008E6B64"/>
    <w:rsid w:val="008F02BC"/>
    <w:rsid w:val="008F06EA"/>
    <w:rsid w:val="008F10E9"/>
    <w:rsid w:val="008F61BC"/>
    <w:rsid w:val="008F7FD7"/>
    <w:rsid w:val="0090369F"/>
    <w:rsid w:val="0091002F"/>
    <w:rsid w:val="009106FA"/>
    <w:rsid w:val="00914FE5"/>
    <w:rsid w:val="00915B9E"/>
    <w:rsid w:val="00917D8B"/>
    <w:rsid w:val="0092051D"/>
    <w:rsid w:val="00921F7C"/>
    <w:rsid w:val="0092605E"/>
    <w:rsid w:val="009269BC"/>
    <w:rsid w:val="00926CBF"/>
    <w:rsid w:val="009406B9"/>
    <w:rsid w:val="0094153F"/>
    <w:rsid w:val="00943677"/>
    <w:rsid w:val="0094547E"/>
    <w:rsid w:val="0094703E"/>
    <w:rsid w:val="00961F88"/>
    <w:rsid w:val="00963102"/>
    <w:rsid w:val="0096476F"/>
    <w:rsid w:val="009662DD"/>
    <w:rsid w:val="009711F8"/>
    <w:rsid w:val="00976064"/>
    <w:rsid w:val="009767FF"/>
    <w:rsid w:val="0098578F"/>
    <w:rsid w:val="00991884"/>
    <w:rsid w:val="00991D17"/>
    <w:rsid w:val="009926FE"/>
    <w:rsid w:val="009A4CEA"/>
    <w:rsid w:val="009A749F"/>
    <w:rsid w:val="009B1204"/>
    <w:rsid w:val="009B2290"/>
    <w:rsid w:val="009B3013"/>
    <w:rsid w:val="009C2EF2"/>
    <w:rsid w:val="009C3E07"/>
    <w:rsid w:val="009D2E26"/>
    <w:rsid w:val="009D360E"/>
    <w:rsid w:val="009E1E14"/>
    <w:rsid w:val="009E20EE"/>
    <w:rsid w:val="009E470F"/>
    <w:rsid w:val="009E6D46"/>
    <w:rsid w:val="009F06F2"/>
    <w:rsid w:val="009F6B62"/>
    <w:rsid w:val="00A07925"/>
    <w:rsid w:val="00A11546"/>
    <w:rsid w:val="00A116BF"/>
    <w:rsid w:val="00A11BA2"/>
    <w:rsid w:val="00A13879"/>
    <w:rsid w:val="00A17D3A"/>
    <w:rsid w:val="00A26274"/>
    <w:rsid w:val="00A2684B"/>
    <w:rsid w:val="00A2684C"/>
    <w:rsid w:val="00A273ED"/>
    <w:rsid w:val="00A334BA"/>
    <w:rsid w:val="00A551AC"/>
    <w:rsid w:val="00A55585"/>
    <w:rsid w:val="00A642E1"/>
    <w:rsid w:val="00A71198"/>
    <w:rsid w:val="00A7540E"/>
    <w:rsid w:val="00A75B2B"/>
    <w:rsid w:val="00A768C0"/>
    <w:rsid w:val="00A76DA7"/>
    <w:rsid w:val="00A77CA7"/>
    <w:rsid w:val="00A802EB"/>
    <w:rsid w:val="00A820C8"/>
    <w:rsid w:val="00A826AF"/>
    <w:rsid w:val="00A8324B"/>
    <w:rsid w:val="00A87345"/>
    <w:rsid w:val="00A901FB"/>
    <w:rsid w:val="00A90A62"/>
    <w:rsid w:val="00A92BE5"/>
    <w:rsid w:val="00A978EC"/>
    <w:rsid w:val="00AA096E"/>
    <w:rsid w:val="00AA7624"/>
    <w:rsid w:val="00AB103A"/>
    <w:rsid w:val="00AB6D27"/>
    <w:rsid w:val="00AB7920"/>
    <w:rsid w:val="00AC5222"/>
    <w:rsid w:val="00AE22A8"/>
    <w:rsid w:val="00AE5237"/>
    <w:rsid w:val="00AF2F11"/>
    <w:rsid w:val="00AF504A"/>
    <w:rsid w:val="00B04EBC"/>
    <w:rsid w:val="00B06466"/>
    <w:rsid w:val="00B10272"/>
    <w:rsid w:val="00B11530"/>
    <w:rsid w:val="00B1164D"/>
    <w:rsid w:val="00B24830"/>
    <w:rsid w:val="00B32C29"/>
    <w:rsid w:val="00B40358"/>
    <w:rsid w:val="00B416AA"/>
    <w:rsid w:val="00B46F3F"/>
    <w:rsid w:val="00B55948"/>
    <w:rsid w:val="00B568F0"/>
    <w:rsid w:val="00B62232"/>
    <w:rsid w:val="00B63162"/>
    <w:rsid w:val="00B65062"/>
    <w:rsid w:val="00B65235"/>
    <w:rsid w:val="00B805A4"/>
    <w:rsid w:val="00B85AAF"/>
    <w:rsid w:val="00B93BDE"/>
    <w:rsid w:val="00B93E00"/>
    <w:rsid w:val="00BA0C1B"/>
    <w:rsid w:val="00BA0D4A"/>
    <w:rsid w:val="00BA38EE"/>
    <w:rsid w:val="00BA5417"/>
    <w:rsid w:val="00BA585E"/>
    <w:rsid w:val="00BA7AB7"/>
    <w:rsid w:val="00BB0810"/>
    <w:rsid w:val="00BB18C4"/>
    <w:rsid w:val="00BB2F71"/>
    <w:rsid w:val="00BB3B8C"/>
    <w:rsid w:val="00BB3D5E"/>
    <w:rsid w:val="00BB3DC6"/>
    <w:rsid w:val="00BC4FC5"/>
    <w:rsid w:val="00BC52F1"/>
    <w:rsid w:val="00BC7686"/>
    <w:rsid w:val="00BC7A98"/>
    <w:rsid w:val="00BD4B24"/>
    <w:rsid w:val="00BD4B60"/>
    <w:rsid w:val="00BD70A3"/>
    <w:rsid w:val="00BD74E6"/>
    <w:rsid w:val="00BE36A0"/>
    <w:rsid w:val="00BE6D3E"/>
    <w:rsid w:val="00BE7D2D"/>
    <w:rsid w:val="00BF14A9"/>
    <w:rsid w:val="00BF558F"/>
    <w:rsid w:val="00C01658"/>
    <w:rsid w:val="00C05D74"/>
    <w:rsid w:val="00C061EA"/>
    <w:rsid w:val="00C06A6B"/>
    <w:rsid w:val="00C10055"/>
    <w:rsid w:val="00C12DA8"/>
    <w:rsid w:val="00C14421"/>
    <w:rsid w:val="00C150E7"/>
    <w:rsid w:val="00C2510E"/>
    <w:rsid w:val="00C3021B"/>
    <w:rsid w:val="00C34F09"/>
    <w:rsid w:val="00C433A0"/>
    <w:rsid w:val="00C44D56"/>
    <w:rsid w:val="00C51A35"/>
    <w:rsid w:val="00C55BFD"/>
    <w:rsid w:val="00C56570"/>
    <w:rsid w:val="00C577EF"/>
    <w:rsid w:val="00C67F53"/>
    <w:rsid w:val="00C70230"/>
    <w:rsid w:val="00C723A7"/>
    <w:rsid w:val="00C74BC0"/>
    <w:rsid w:val="00C75264"/>
    <w:rsid w:val="00C766CD"/>
    <w:rsid w:val="00C7754D"/>
    <w:rsid w:val="00C82D30"/>
    <w:rsid w:val="00C84D3F"/>
    <w:rsid w:val="00C93DB7"/>
    <w:rsid w:val="00C95C99"/>
    <w:rsid w:val="00CA283B"/>
    <w:rsid w:val="00CA5306"/>
    <w:rsid w:val="00CA7D5B"/>
    <w:rsid w:val="00CB0478"/>
    <w:rsid w:val="00CB1A16"/>
    <w:rsid w:val="00CB71D4"/>
    <w:rsid w:val="00CC278B"/>
    <w:rsid w:val="00CC3512"/>
    <w:rsid w:val="00CC6D5F"/>
    <w:rsid w:val="00CD1FD8"/>
    <w:rsid w:val="00CE0B13"/>
    <w:rsid w:val="00CE3060"/>
    <w:rsid w:val="00CF16DE"/>
    <w:rsid w:val="00CF2293"/>
    <w:rsid w:val="00D02F54"/>
    <w:rsid w:val="00D03BE4"/>
    <w:rsid w:val="00D057F1"/>
    <w:rsid w:val="00D05BDD"/>
    <w:rsid w:val="00D06510"/>
    <w:rsid w:val="00D06FFB"/>
    <w:rsid w:val="00D0731E"/>
    <w:rsid w:val="00D07658"/>
    <w:rsid w:val="00D15895"/>
    <w:rsid w:val="00D20E13"/>
    <w:rsid w:val="00D33DC8"/>
    <w:rsid w:val="00D4184E"/>
    <w:rsid w:val="00D42C8D"/>
    <w:rsid w:val="00D45A88"/>
    <w:rsid w:val="00D52815"/>
    <w:rsid w:val="00D56E39"/>
    <w:rsid w:val="00D65DFA"/>
    <w:rsid w:val="00D71968"/>
    <w:rsid w:val="00D7236A"/>
    <w:rsid w:val="00D75713"/>
    <w:rsid w:val="00D767E1"/>
    <w:rsid w:val="00D7724E"/>
    <w:rsid w:val="00D82531"/>
    <w:rsid w:val="00D85FE3"/>
    <w:rsid w:val="00D919FF"/>
    <w:rsid w:val="00D92D97"/>
    <w:rsid w:val="00D97F90"/>
    <w:rsid w:val="00DA0F8C"/>
    <w:rsid w:val="00DA2EEA"/>
    <w:rsid w:val="00DA666A"/>
    <w:rsid w:val="00DB0D26"/>
    <w:rsid w:val="00DB3B89"/>
    <w:rsid w:val="00DB5393"/>
    <w:rsid w:val="00DC1487"/>
    <w:rsid w:val="00DC17C2"/>
    <w:rsid w:val="00DC4843"/>
    <w:rsid w:val="00DC6E6B"/>
    <w:rsid w:val="00DC7534"/>
    <w:rsid w:val="00DD0218"/>
    <w:rsid w:val="00DD0A31"/>
    <w:rsid w:val="00DD159C"/>
    <w:rsid w:val="00DD1A5A"/>
    <w:rsid w:val="00DD296F"/>
    <w:rsid w:val="00DD4945"/>
    <w:rsid w:val="00DD4E7B"/>
    <w:rsid w:val="00DE0CB1"/>
    <w:rsid w:val="00DE3EC0"/>
    <w:rsid w:val="00DE3EE9"/>
    <w:rsid w:val="00DE65A1"/>
    <w:rsid w:val="00DF5893"/>
    <w:rsid w:val="00DF5E4B"/>
    <w:rsid w:val="00E04B43"/>
    <w:rsid w:val="00E05159"/>
    <w:rsid w:val="00E051A5"/>
    <w:rsid w:val="00E27CDA"/>
    <w:rsid w:val="00E3146E"/>
    <w:rsid w:val="00E31721"/>
    <w:rsid w:val="00E34392"/>
    <w:rsid w:val="00E36CA2"/>
    <w:rsid w:val="00E44B8D"/>
    <w:rsid w:val="00E46A75"/>
    <w:rsid w:val="00E50D3F"/>
    <w:rsid w:val="00E64671"/>
    <w:rsid w:val="00E67A7A"/>
    <w:rsid w:val="00E709DE"/>
    <w:rsid w:val="00E81B2A"/>
    <w:rsid w:val="00E82D6C"/>
    <w:rsid w:val="00E8601A"/>
    <w:rsid w:val="00E904E3"/>
    <w:rsid w:val="00E91210"/>
    <w:rsid w:val="00E93CFD"/>
    <w:rsid w:val="00E95E12"/>
    <w:rsid w:val="00EA71D5"/>
    <w:rsid w:val="00EA781C"/>
    <w:rsid w:val="00EB088F"/>
    <w:rsid w:val="00EB1E27"/>
    <w:rsid w:val="00EB4238"/>
    <w:rsid w:val="00EB5F61"/>
    <w:rsid w:val="00EC00DE"/>
    <w:rsid w:val="00EE10C7"/>
    <w:rsid w:val="00EE545C"/>
    <w:rsid w:val="00F06271"/>
    <w:rsid w:val="00F120C9"/>
    <w:rsid w:val="00F15882"/>
    <w:rsid w:val="00F1673F"/>
    <w:rsid w:val="00F2544F"/>
    <w:rsid w:val="00F30540"/>
    <w:rsid w:val="00F327E1"/>
    <w:rsid w:val="00F35295"/>
    <w:rsid w:val="00F400C9"/>
    <w:rsid w:val="00F43BBB"/>
    <w:rsid w:val="00F44410"/>
    <w:rsid w:val="00F444E2"/>
    <w:rsid w:val="00F451DB"/>
    <w:rsid w:val="00F51CB5"/>
    <w:rsid w:val="00F520EC"/>
    <w:rsid w:val="00F524FB"/>
    <w:rsid w:val="00F5277F"/>
    <w:rsid w:val="00F54C6D"/>
    <w:rsid w:val="00F57BBB"/>
    <w:rsid w:val="00F608A3"/>
    <w:rsid w:val="00F61BC3"/>
    <w:rsid w:val="00F61D15"/>
    <w:rsid w:val="00F824AB"/>
    <w:rsid w:val="00F83A21"/>
    <w:rsid w:val="00F90F04"/>
    <w:rsid w:val="00F92BAF"/>
    <w:rsid w:val="00F96C99"/>
    <w:rsid w:val="00FA3E83"/>
    <w:rsid w:val="00FB13A3"/>
    <w:rsid w:val="00FC0E16"/>
    <w:rsid w:val="00FC26FD"/>
    <w:rsid w:val="00FC2C0C"/>
    <w:rsid w:val="00FC2CC3"/>
    <w:rsid w:val="00FC3462"/>
    <w:rsid w:val="00FC3F16"/>
    <w:rsid w:val="00FC4087"/>
    <w:rsid w:val="00FC5186"/>
    <w:rsid w:val="00FC79FA"/>
    <w:rsid w:val="00FD05B4"/>
    <w:rsid w:val="00FD7A54"/>
    <w:rsid w:val="00FE5E5D"/>
    <w:rsid w:val="01116C17"/>
    <w:rsid w:val="011A6CC1"/>
    <w:rsid w:val="012421CF"/>
    <w:rsid w:val="01255E11"/>
    <w:rsid w:val="014D453B"/>
    <w:rsid w:val="014E6D1D"/>
    <w:rsid w:val="01614DE1"/>
    <w:rsid w:val="0183657A"/>
    <w:rsid w:val="01966F7E"/>
    <w:rsid w:val="01A42E5C"/>
    <w:rsid w:val="01AE7E53"/>
    <w:rsid w:val="01CA6E8C"/>
    <w:rsid w:val="01E47B8B"/>
    <w:rsid w:val="01FF3E04"/>
    <w:rsid w:val="01FF6F2E"/>
    <w:rsid w:val="020069D9"/>
    <w:rsid w:val="020404F8"/>
    <w:rsid w:val="021B058E"/>
    <w:rsid w:val="0223533F"/>
    <w:rsid w:val="022D2217"/>
    <w:rsid w:val="024F31A3"/>
    <w:rsid w:val="026B583E"/>
    <w:rsid w:val="0292317D"/>
    <w:rsid w:val="029D1A6D"/>
    <w:rsid w:val="02B905D6"/>
    <w:rsid w:val="02FA087A"/>
    <w:rsid w:val="030955F1"/>
    <w:rsid w:val="030F5877"/>
    <w:rsid w:val="031A0163"/>
    <w:rsid w:val="032F2286"/>
    <w:rsid w:val="03582280"/>
    <w:rsid w:val="036C6556"/>
    <w:rsid w:val="03DE79C0"/>
    <w:rsid w:val="041E2DD6"/>
    <w:rsid w:val="04234081"/>
    <w:rsid w:val="042A6CC2"/>
    <w:rsid w:val="04361BB6"/>
    <w:rsid w:val="043D7319"/>
    <w:rsid w:val="04457EA8"/>
    <w:rsid w:val="04494CB8"/>
    <w:rsid w:val="04612054"/>
    <w:rsid w:val="046D3F8A"/>
    <w:rsid w:val="04927073"/>
    <w:rsid w:val="049708DB"/>
    <w:rsid w:val="04974539"/>
    <w:rsid w:val="04D5471E"/>
    <w:rsid w:val="05001814"/>
    <w:rsid w:val="050C4AB7"/>
    <w:rsid w:val="05163256"/>
    <w:rsid w:val="05177B87"/>
    <w:rsid w:val="051E5AD8"/>
    <w:rsid w:val="05716AEB"/>
    <w:rsid w:val="05725BBD"/>
    <w:rsid w:val="05A57BF8"/>
    <w:rsid w:val="05B73C0A"/>
    <w:rsid w:val="05BA7B2A"/>
    <w:rsid w:val="05BE2845"/>
    <w:rsid w:val="05BF4B29"/>
    <w:rsid w:val="0613421C"/>
    <w:rsid w:val="06406E4D"/>
    <w:rsid w:val="06533F2F"/>
    <w:rsid w:val="065A2DFB"/>
    <w:rsid w:val="065A3664"/>
    <w:rsid w:val="065D4EA0"/>
    <w:rsid w:val="06B9722A"/>
    <w:rsid w:val="06C155CC"/>
    <w:rsid w:val="06D72F99"/>
    <w:rsid w:val="06F0708D"/>
    <w:rsid w:val="070D6D82"/>
    <w:rsid w:val="07180CC8"/>
    <w:rsid w:val="071C41F5"/>
    <w:rsid w:val="074505FD"/>
    <w:rsid w:val="07493CDF"/>
    <w:rsid w:val="074B2170"/>
    <w:rsid w:val="075D7D60"/>
    <w:rsid w:val="076311BF"/>
    <w:rsid w:val="077C7393"/>
    <w:rsid w:val="078706DC"/>
    <w:rsid w:val="078B53F1"/>
    <w:rsid w:val="0792019A"/>
    <w:rsid w:val="07987A92"/>
    <w:rsid w:val="07B418B0"/>
    <w:rsid w:val="07C457A0"/>
    <w:rsid w:val="07C73B46"/>
    <w:rsid w:val="07D52149"/>
    <w:rsid w:val="07DC393D"/>
    <w:rsid w:val="07FC0BA5"/>
    <w:rsid w:val="08026BED"/>
    <w:rsid w:val="0814475F"/>
    <w:rsid w:val="0816192B"/>
    <w:rsid w:val="082F3FA6"/>
    <w:rsid w:val="085A2CB7"/>
    <w:rsid w:val="085F4872"/>
    <w:rsid w:val="08850B9A"/>
    <w:rsid w:val="088C4F30"/>
    <w:rsid w:val="08A80680"/>
    <w:rsid w:val="08C07A25"/>
    <w:rsid w:val="08C27A09"/>
    <w:rsid w:val="08E246E3"/>
    <w:rsid w:val="08E55039"/>
    <w:rsid w:val="08F92FC6"/>
    <w:rsid w:val="08FC6893"/>
    <w:rsid w:val="0906391B"/>
    <w:rsid w:val="0909318D"/>
    <w:rsid w:val="092F6F95"/>
    <w:rsid w:val="09615DFE"/>
    <w:rsid w:val="096B0379"/>
    <w:rsid w:val="09717A45"/>
    <w:rsid w:val="0983387E"/>
    <w:rsid w:val="09962BF0"/>
    <w:rsid w:val="09A40AEB"/>
    <w:rsid w:val="09AA7C34"/>
    <w:rsid w:val="09CE6041"/>
    <w:rsid w:val="09DC5A9B"/>
    <w:rsid w:val="09E27BDA"/>
    <w:rsid w:val="0A03356F"/>
    <w:rsid w:val="0A2C2DC7"/>
    <w:rsid w:val="0A577F5C"/>
    <w:rsid w:val="0A793292"/>
    <w:rsid w:val="0AAE031E"/>
    <w:rsid w:val="0ADD710D"/>
    <w:rsid w:val="0AE35EAC"/>
    <w:rsid w:val="0B5A1986"/>
    <w:rsid w:val="0B69004A"/>
    <w:rsid w:val="0B7A1DEE"/>
    <w:rsid w:val="0B947AFB"/>
    <w:rsid w:val="0BA97CF0"/>
    <w:rsid w:val="0BAC4FF1"/>
    <w:rsid w:val="0BC2172B"/>
    <w:rsid w:val="0BCD7B61"/>
    <w:rsid w:val="0BD073E6"/>
    <w:rsid w:val="0BE41363"/>
    <w:rsid w:val="0BEA5D72"/>
    <w:rsid w:val="0C3209E5"/>
    <w:rsid w:val="0C3E7BBE"/>
    <w:rsid w:val="0C5F5E9C"/>
    <w:rsid w:val="0C7D4B95"/>
    <w:rsid w:val="0C88699E"/>
    <w:rsid w:val="0CA45F2A"/>
    <w:rsid w:val="0CD93A56"/>
    <w:rsid w:val="0CDB4377"/>
    <w:rsid w:val="0CF705EB"/>
    <w:rsid w:val="0CFC4F48"/>
    <w:rsid w:val="0D297C03"/>
    <w:rsid w:val="0D2A0A91"/>
    <w:rsid w:val="0D346C35"/>
    <w:rsid w:val="0D4835FB"/>
    <w:rsid w:val="0D4A07E8"/>
    <w:rsid w:val="0D545E3C"/>
    <w:rsid w:val="0D6E7AB9"/>
    <w:rsid w:val="0D7F5F17"/>
    <w:rsid w:val="0D81039E"/>
    <w:rsid w:val="0D891A5B"/>
    <w:rsid w:val="0D906439"/>
    <w:rsid w:val="0D90725F"/>
    <w:rsid w:val="0DA02E5C"/>
    <w:rsid w:val="0DAD4AFF"/>
    <w:rsid w:val="0DD11AFF"/>
    <w:rsid w:val="0DEC5E88"/>
    <w:rsid w:val="0DED2E39"/>
    <w:rsid w:val="0E107158"/>
    <w:rsid w:val="0E2163B9"/>
    <w:rsid w:val="0E385D10"/>
    <w:rsid w:val="0E3E6BC6"/>
    <w:rsid w:val="0E790296"/>
    <w:rsid w:val="0E7C26CF"/>
    <w:rsid w:val="0EA51F5A"/>
    <w:rsid w:val="0EF27DE0"/>
    <w:rsid w:val="0EF36F85"/>
    <w:rsid w:val="0F070516"/>
    <w:rsid w:val="0F1F4D1C"/>
    <w:rsid w:val="0F262781"/>
    <w:rsid w:val="0F3B79A1"/>
    <w:rsid w:val="0F7130D2"/>
    <w:rsid w:val="0F7D39C8"/>
    <w:rsid w:val="0F860340"/>
    <w:rsid w:val="0F91491B"/>
    <w:rsid w:val="0FB46143"/>
    <w:rsid w:val="100D6A90"/>
    <w:rsid w:val="101F117E"/>
    <w:rsid w:val="106A0DA2"/>
    <w:rsid w:val="10711467"/>
    <w:rsid w:val="10821FA0"/>
    <w:rsid w:val="10944237"/>
    <w:rsid w:val="109D6ABC"/>
    <w:rsid w:val="10A828F0"/>
    <w:rsid w:val="10E662BD"/>
    <w:rsid w:val="10F04737"/>
    <w:rsid w:val="11032DA9"/>
    <w:rsid w:val="111127B9"/>
    <w:rsid w:val="11120CA9"/>
    <w:rsid w:val="112C6057"/>
    <w:rsid w:val="113D1E2A"/>
    <w:rsid w:val="116E4396"/>
    <w:rsid w:val="1183785B"/>
    <w:rsid w:val="11863B4D"/>
    <w:rsid w:val="119E608A"/>
    <w:rsid w:val="11B95246"/>
    <w:rsid w:val="11DF4D29"/>
    <w:rsid w:val="11EA05E3"/>
    <w:rsid w:val="121D0EB4"/>
    <w:rsid w:val="122056C7"/>
    <w:rsid w:val="12512C4E"/>
    <w:rsid w:val="126943A2"/>
    <w:rsid w:val="126A0C24"/>
    <w:rsid w:val="12777B8F"/>
    <w:rsid w:val="12B64906"/>
    <w:rsid w:val="12B67BD9"/>
    <w:rsid w:val="12BF5528"/>
    <w:rsid w:val="12C10C78"/>
    <w:rsid w:val="131B3EB0"/>
    <w:rsid w:val="1322661D"/>
    <w:rsid w:val="13405ABF"/>
    <w:rsid w:val="137911BD"/>
    <w:rsid w:val="138702E0"/>
    <w:rsid w:val="138E465F"/>
    <w:rsid w:val="13BE7060"/>
    <w:rsid w:val="13D85203"/>
    <w:rsid w:val="13F325D9"/>
    <w:rsid w:val="13F44A41"/>
    <w:rsid w:val="140369F8"/>
    <w:rsid w:val="14093486"/>
    <w:rsid w:val="141B24E2"/>
    <w:rsid w:val="142A135C"/>
    <w:rsid w:val="146B1018"/>
    <w:rsid w:val="14824B0B"/>
    <w:rsid w:val="14BB05ED"/>
    <w:rsid w:val="14C35F5D"/>
    <w:rsid w:val="14D12245"/>
    <w:rsid w:val="14D22949"/>
    <w:rsid w:val="15047D27"/>
    <w:rsid w:val="150F364D"/>
    <w:rsid w:val="15186DA2"/>
    <w:rsid w:val="151A1017"/>
    <w:rsid w:val="153F7896"/>
    <w:rsid w:val="15442639"/>
    <w:rsid w:val="155313AE"/>
    <w:rsid w:val="15611FD8"/>
    <w:rsid w:val="15647C74"/>
    <w:rsid w:val="15886B4F"/>
    <w:rsid w:val="15A66797"/>
    <w:rsid w:val="15AE46FE"/>
    <w:rsid w:val="15C108B3"/>
    <w:rsid w:val="15CB5E68"/>
    <w:rsid w:val="15E94D21"/>
    <w:rsid w:val="15FB3574"/>
    <w:rsid w:val="16117A7F"/>
    <w:rsid w:val="163B1004"/>
    <w:rsid w:val="169D371E"/>
    <w:rsid w:val="16AD7ED9"/>
    <w:rsid w:val="16C76134"/>
    <w:rsid w:val="16CF7654"/>
    <w:rsid w:val="16E33319"/>
    <w:rsid w:val="170001A1"/>
    <w:rsid w:val="1711641D"/>
    <w:rsid w:val="17131FD6"/>
    <w:rsid w:val="171904D5"/>
    <w:rsid w:val="1727728A"/>
    <w:rsid w:val="174E33D5"/>
    <w:rsid w:val="17624B86"/>
    <w:rsid w:val="178739F3"/>
    <w:rsid w:val="17885FB1"/>
    <w:rsid w:val="1793427B"/>
    <w:rsid w:val="17CB488D"/>
    <w:rsid w:val="17CB781E"/>
    <w:rsid w:val="17DC5B65"/>
    <w:rsid w:val="17E27274"/>
    <w:rsid w:val="17F81389"/>
    <w:rsid w:val="18072308"/>
    <w:rsid w:val="181F12E2"/>
    <w:rsid w:val="182A0043"/>
    <w:rsid w:val="184B20EF"/>
    <w:rsid w:val="184D083A"/>
    <w:rsid w:val="184D4577"/>
    <w:rsid w:val="186B29A4"/>
    <w:rsid w:val="187262BB"/>
    <w:rsid w:val="1885012C"/>
    <w:rsid w:val="188C3829"/>
    <w:rsid w:val="18C06BE7"/>
    <w:rsid w:val="18E1523E"/>
    <w:rsid w:val="18F022D0"/>
    <w:rsid w:val="18FE3036"/>
    <w:rsid w:val="191032AC"/>
    <w:rsid w:val="1914720B"/>
    <w:rsid w:val="195F51B0"/>
    <w:rsid w:val="199B4D32"/>
    <w:rsid w:val="19A35C22"/>
    <w:rsid w:val="19DF4836"/>
    <w:rsid w:val="19FA00B9"/>
    <w:rsid w:val="1A0E5C9B"/>
    <w:rsid w:val="1A141B03"/>
    <w:rsid w:val="1A1D7F05"/>
    <w:rsid w:val="1A266BC5"/>
    <w:rsid w:val="1A34611E"/>
    <w:rsid w:val="1A504C5D"/>
    <w:rsid w:val="1A6C0DB8"/>
    <w:rsid w:val="1A6E524C"/>
    <w:rsid w:val="1A7367D4"/>
    <w:rsid w:val="1A8D12A6"/>
    <w:rsid w:val="1AA72BF2"/>
    <w:rsid w:val="1AA93011"/>
    <w:rsid w:val="1AC373C0"/>
    <w:rsid w:val="1AD00E1F"/>
    <w:rsid w:val="1AE05A4C"/>
    <w:rsid w:val="1B160870"/>
    <w:rsid w:val="1B22091A"/>
    <w:rsid w:val="1B4B1AC5"/>
    <w:rsid w:val="1B4F76A0"/>
    <w:rsid w:val="1B8958D7"/>
    <w:rsid w:val="1B8E6059"/>
    <w:rsid w:val="1BA24045"/>
    <w:rsid w:val="1BAB21A8"/>
    <w:rsid w:val="1BBC6FDB"/>
    <w:rsid w:val="1BD45D2C"/>
    <w:rsid w:val="1BD46D18"/>
    <w:rsid w:val="1BDE0DDC"/>
    <w:rsid w:val="1BE60222"/>
    <w:rsid w:val="1BEF2847"/>
    <w:rsid w:val="1BF21999"/>
    <w:rsid w:val="1C1C4524"/>
    <w:rsid w:val="1C20236B"/>
    <w:rsid w:val="1C210802"/>
    <w:rsid w:val="1C3746DF"/>
    <w:rsid w:val="1C3A27E0"/>
    <w:rsid w:val="1C6B3D72"/>
    <w:rsid w:val="1C7C0056"/>
    <w:rsid w:val="1C906E4D"/>
    <w:rsid w:val="1C936ACF"/>
    <w:rsid w:val="1CAC3ACF"/>
    <w:rsid w:val="1CB814E8"/>
    <w:rsid w:val="1CD85B4D"/>
    <w:rsid w:val="1D091C8D"/>
    <w:rsid w:val="1D341EF4"/>
    <w:rsid w:val="1D4245D9"/>
    <w:rsid w:val="1D4A7063"/>
    <w:rsid w:val="1D5366FC"/>
    <w:rsid w:val="1D53710A"/>
    <w:rsid w:val="1DBB40B1"/>
    <w:rsid w:val="1DBC4C07"/>
    <w:rsid w:val="1DD53D74"/>
    <w:rsid w:val="1DD741B1"/>
    <w:rsid w:val="1DD7797F"/>
    <w:rsid w:val="1DEE4F6D"/>
    <w:rsid w:val="1DF16DA3"/>
    <w:rsid w:val="1E062DA1"/>
    <w:rsid w:val="1E1F2FE8"/>
    <w:rsid w:val="1E372B89"/>
    <w:rsid w:val="1E493FE6"/>
    <w:rsid w:val="1E5C035A"/>
    <w:rsid w:val="1E8F2DDE"/>
    <w:rsid w:val="1EA2099C"/>
    <w:rsid w:val="1EB3508A"/>
    <w:rsid w:val="1EE84B2F"/>
    <w:rsid w:val="1EF1706C"/>
    <w:rsid w:val="1EF77AB1"/>
    <w:rsid w:val="1EFC68F7"/>
    <w:rsid w:val="1EFD1230"/>
    <w:rsid w:val="1F712173"/>
    <w:rsid w:val="1F7C41DA"/>
    <w:rsid w:val="1F881244"/>
    <w:rsid w:val="1FB26F13"/>
    <w:rsid w:val="1FC07D58"/>
    <w:rsid w:val="1FCB37F1"/>
    <w:rsid w:val="1FD1234F"/>
    <w:rsid w:val="1FEA0313"/>
    <w:rsid w:val="1FEA6B7A"/>
    <w:rsid w:val="1FEE5FDD"/>
    <w:rsid w:val="1FEF58A4"/>
    <w:rsid w:val="1FF24978"/>
    <w:rsid w:val="201B7892"/>
    <w:rsid w:val="2028004B"/>
    <w:rsid w:val="207006F0"/>
    <w:rsid w:val="209540FD"/>
    <w:rsid w:val="20A85A41"/>
    <w:rsid w:val="20AD3576"/>
    <w:rsid w:val="20CD65DD"/>
    <w:rsid w:val="20D16922"/>
    <w:rsid w:val="20ED26C7"/>
    <w:rsid w:val="20FA604C"/>
    <w:rsid w:val="21894F48"/>
    <w:rsid w:val="219033F9"/>
    <w:rsid w:val="21935A00"/>
    <w:rsid w:val="219731C1"/>
    <w:rsid w:val="21A3296F"/>
    <w:rsid w:val="21A8165C"/>
    <w:rsid w:val="21A951D9"/>
    <w:rsid w:val="21AB14A5"/>
    <w:rsid w:val="21AF51EF"/>
    <w:rsid w:val="21B16A61"/>
    <w:rsid w:val="21F21DB6"/>
    <w:rsid w:val="22121A20"/>
    <w:rsid w:val="223F19C3"/>
    <w:rsid w:val="22417705"/>
    <w:rsid w:val="22864DEE"/>
    <w:rsid w:val="22943CD7"/>
    <w:rsid w:val="22B249AF"/>
    <w:rsid w:val="22BB6CFE"/>
    <w:rsid w:val="22C65928"/>
    <w:rsid w:val="22D149CC"/>
    <w:rsid w:val="22F143FC"/>
    <w:rsid w:val="23010066"/>
    <w:rsid w:val="2337702C"/>
    <w:rsid w:val="23463476"/>
    <w:rsid w:val="235845D1"/>
    <w:rsid w:val="23597958"/>
    <w:rsid w:val="239C0712"/>
    <w:rsid w:val="23BF788A"/>
    <w:rsid w:val="23C32A40"/>
    <w:rsid w:val="23C57AF1"/>
    <w:rsid w:val="24081E92"/>
    <w:rsid w:val="241E5EC8"/>
    <w:rsid w:val="24452400"/>
    <w:rsid w:val="244E0A70"/>
    <w:rsid w:val="245A0F1E"/>
    <w:rsid w:val="24643001"/>
    <w:rsid w:val="248330FD"/>
    <w:rsid w:val="249A14BF"/>
    <w:rsid w:val="24D2765A"/>
    <w:rsid w:val="24E24FA7"/>
    <w:rsid w:val="24E52332"/>
    <w:rsid w:val="24E91832"/>
    <w:rsid w:val="24E97783"/>
    <w:rsid w:val="24F65BCC"/>
    <w:rsid w:val="2501199D"/>
    <w:rsid w:val="252B2B16"/>
    <w:rsid w:val="25523D96"/>
    <w:rsid w:val="255C4A09"/>
    <w:rsid w:val="258B39A0"/>
    <w:rsid w:val="258D7059"/>
    <w:rsid w:val="25A7490B"/>
    <w:rsid w:val="25BD29B7"/>
    <w:rsid w:val="25BF27E6"/>
    <w:rsid w:val="2617673A"/>
    <w:rsid w:val="261D52B6"/>
    <w:rsid w:val="26601364"/>
    <w:rsid w:val="266E4766"/>
    <w:rsid w:val="26701A33"/>
    <w:rsid w:val="26A137F9"/>
    <w:rsid w:val="26C4569A"/>
    <w:rsid w:val="26DC6118"/>
    <w:rsid w:val="26E82A1A"/>
    <w:rsid w:val="26E85D1A"/>
    <w:rsid w:val="270D70BE"/>
    <w:rsid w:val="27167951"/>
    <w:rsid w:val="27431FB9"/>
    <w:rsid w:val="27785E2C"/>
    <w:rsid w:val="27872A1E"/>
    <w:rsid w:val="278F25DD"/>
    <w:rsid w:val="279F5ED5"/>
    <w:rsid w:val="27BE70CB"/>
    <w:rsid w:val="27D8796C"/>
    <w:rsid w:val="27FB320A"/>
    <w:rsid w:val="28120424"/>
    <w:rsid w:val="281C3A3B"/>
    <w:rsid w:val="28240B74"/>
    <w:rsid w:val="28475419"/>
    <w:rsid w:val="284A2E29"/>
    <w:rsid w:val="285079DF"/>
    <w:rsid w:val="28536BD2"/>
    <w:rsid w:val="286476AA"/>
    <w:rsid w:val="286B4391"/>
    <w:rsid w:val="286C28CF"/>
    <w:rsid w:val="286D70CE"/>
    <w:rsid w:val="287838C9"/>
    <w:rsid w:val="287C7352"/>
    <w:rsid w:val="28844AD8"/>
    <w:rsid w:val="28932B8F"/>
    <w:rsid w:val="28B04FB0"/>
    <w:rsid w:val="28BC08FE"/>
    <w:rsid w:val="28F6721F"/>
    <w:rsid w:val="29001E4B"/>
    <w:rsid w:val="290B79FF"/>
    <w:rsid w:val="291B536E"/>
    <w:rsid w:val="29432252"/>
    <w:rsid w:val="294A19E3"/>
    <w:rsid w:val="29593B3E"/>
    <w:rsid w:val="29632ECF"/>
    <w:rsid w:val="296C0ECA"/>
    <w:rsid w:val="298E16C5"/>
    <w:rsid w:val="298F4B90"/>
    <w:rsid w:val="299A5E3B"/>
    <w:rsid w:val="299B6FE9"/>
    <w:rsid w:val="29A6050E"/>
    <w:rsid w:val="29BB59D8"/>
    <w:rsid w:val="29CE336C"/>
    <w:rsid w:val="29D12299"/>
    <w:rsid w:val="29E77AE6"/>
    <w:rsid w:val="29FA7271"/>
    <w:rsid w:val="2A207582"/>
    <w:rsid w:val="2A4F6CCE"/>
    <w:rsid w:val="2A5B1363"/>
    <w:rsid w:val="2AE84C1E"/>
    <w:rsid w:val="2AEE6307"/>
    <w:rsid w:val="2B4331AB"/>
    <w:rsid w:val="2B705A2D"/>
    <w:rsid w:val="2BA10F33"/>
    <w:rsid w:val="2BC93786"/>
    <w:rsid w:val="2C1864E6"/>
    <w:rsid w:val="2C1A33F2"/>
    <w:rsid w:val="2C22260C"/>
    <w:rsid w:val="2C2B2E5A"/>
    <w:rsid w:val="2C4B6CFE"/>
    <w:rsid w:val="2C523E24"/>
    <w:rsid w:val="2C8011EE"/>
    <w:rsid w:val="2CA376BD"/>
    <w:rsid w:val="2CA37D7C"/>
    <w:rsid w:val="2D0A2382"/>
    <w:rsid w:val="2D1512DE"/>
    <w:rsid w:val="2D357439"/>
    <w:rsid w:val="2D7206C5"/>
    <w:rsid w:val="2D8F06E1"/>
    <w:rsid w:val="2DC7077B"/>
    <w:rsid w:val="2DCB2362"/>
    <w:rsid w:val="2E02535B"/>
    <w:rsid w:val="2E0A468B"/>
    <w:rsid w:val="2E205E6B"/>
    <w:rsid w:val="2E446B40"/>
    <w:rsid w:val="2E4F59A0"/>
    <w:rsid w:val="2E5107E8"/>
    <w:rsid w:val="2E8419E0"/>
    <w:rsid w:val="2EA86AA8"/>
    <w:rsid w:val="2EAE3E7A"/>
    <w:rsid w:val="2EC445A2"/>
    <w:rsid w:val="2EF345D1"/>
    <w:rsid w:val="2EFF0F8B"/>
    <w:rsid w:val="2F031BBC"/>
    <w:rsid w:val="2F194434"/>
    <w:rsid w:val="2F3C21C7"/>
    <w:rsid w:val="2F6C2B0C"/>
    <w:rsid w:val="2FBC20DF"/>
    <w:rsid w:val="2FD617EF"/>
    <w:rsid w:val="2FE26273"/>
    <w:rsid w:val="2FF1592F"/>
    <w:rsid w:val="301D2C8F"/>
    <w:rsid w:val="303C01A4"/>
    <w:rsid w:val="303C3B5B"/>
    <w:rsid w:val="30862C89"/>
    <w:rsid w:val="30BF41E6"/>
    <w:rsid w:val="31145C57"/>
    <w:rsid w:val="312435BA"/>
    <w:rsid w:val="31316E2F"/>
    <w:rsid w:val="314B3832"/>
    <w:rsid w:val="318202AA"/>
    <w:rsid w:val="31865D16"/>
    <w:rsid w:val="318A4418"/>
    <w:rsid w:val="318F50D4"/>
    <w:rsid w:val="319C2BEC"/>
    <w:rsid w:val="31D470F1"/>
    <w:rsid w:val="31F8148B"/>
    <w:rsid w:val="31FF607E"/>
    <w:rsid w:val="324063AC"/>
    <w:rsid w:val="325A27E0"/>
    <w:rsid w:val="329A7D93"/>
    <w:rsid w:val="32A841B4"/>
    <w:rsid w:val="32C94422"/>
    <w:rsid w:val="32C95410"/>
    <w:rsid w:val="32F14F00"/>
    <w:rsid w:val="330065D5"/>
    <w:rsid w:val="331F48FC"/>
    <w:rsid w:val="333B019B"/>
    <w:rsid w:val="335C2259"/>
    <w:rsid w:val="335C681F"/>
    <w:rsid w:val="335F2953"/>
    <w:rsid w:val="336D4972"/>
    <w:rsid w:val="3375119E"/>
    <w:rsid w:val="33BB3EFA"/>
    <w:rsid w:val="33CF485C"/>
    <w:rsid w:val="33D96657"/>
    <w:rsid w:val="33EE5645"/>
    <w:rsid w:val="33EE77BF"/>
    <w:rsid w:val="33F156FA"/>
    <w:rsid w:val="33FA644B"/>
    <w:rsid w:val="341A234E"/>
    <w:rsid w:val="34205BD0"/>
    <w:rsid w:val="34337537"/>
    <w:rsid w:val="349217BF"/>
    <w:rsid w:val="34946F7E"/>
    <w:rsid w:val="34DC4911"/>
    <w:rsid w:val="34FE0E7A"/>
    <w:rsid w:val="351244EC"/>
    <w:rsid w:val="351B381E"/>
    <w:rsid w:val="3530435C"/>
    <w:rsid w:val="353A1F89"/>
    <w:rsid w:val="354649CF"/>
    <w:rsid w:val="354C5A6C"/>
    <w:rsid w:val="354D5282"/>
    <w:rsid w:val="35725826"/>
    <w:rsid w:val="35C4599B"/>
    <w:rsid w:val="35DC05F8"/>
    <w:rsid w:val="35ED78EE"/>
    <w:rsid w:val="35F95B07"/>
    <w:rsid w:val="36014C9E"/>
    <w:rsid w:val="36105C04"/>
    <w:rsid w:val="3635452E"/>
    <w:rsid w:val="36721F88"/>
    <w:rsid w:val="36882DCF"/>
    <w:rsid w:val="36A216E8"/>
    <w:rsid w:val="36A40309"/>
    <w:rsid w:val="36E1681B"/>
    <w:rsid w:val="36ED4900"/>
    <w:rsid w:val="36F06052"/>
    <w:rsid w:val="370D5858"/>
    <w:rsid w:val="3710497B"/>
    <w:rsid w:val="37535461"/>
    <w:rsid w:val="37650183"/>
    <w:rsid w:val="376A61BB"/>
    <w:rsid w:val="377D7518"/>
    <w:rsid w:val="37835A9E"/>
    <w:rsid w:val="37917B42"/>
    <w:rsid w:val="37A83370"/>
    <w:rsid w:val="37AA29AB"/>
    <w:rsid w:val="37DB3D9C"/>
    <w:rsid w:val="37F379BD"/>
    <w:rsid w:val="37F97E43"/>
    <w:rsid w:val="38022F7F"/>
    <w:rsid w:val="38144FF5"/>
    <w:rsid w:val="382D4C2C"/>
    <w:rsid w:val="3832157E"/>
    <w:rsid w:val="38347EF1"/>
    <w:rsid w:val="3835018B"/>
    <w:rsid w:val="3836111A"/>
    <w:rsid w:val="384C725C"/>
    <w:rsid w:val="38672972"/>
    <w:rsid w:val="386B3783"/>
    <w:rsid w:val="38742AEC"/>
    <w:rsid w:val="387D7380"/>
    <w:rsid w:val="387E36AE"/>
    <w:rsid w:val="388A6B1C"/>
    <w:rsid w:val="38A87B39"/>
    <w:rsid w:val="38B8456D"/>
    <w:rsid w:val="38E131F8"/>
    <w:rsid w:val="391E652E"/>
    <w:rsid w:val="393A1CE4"/>
    <w:rsid w:val="393F17BE"/>
    <w:rsid w:val="39440C8D"/>
    <w:rsid w:val="396C38E2"/>
    <w:rsid w:val="39840966"/>
    <w:rsid w:val="398E03E9"/>
    <w:rsid w:val="39F16EF4"/>
    <w:rsid w:val="3A124186"/>
    <w:rsid w:val="3A2E426A"/>
    <w:rsid w:val="3A7F5764"/>
    <w:rsid w:val="3A883046"/>
    <w:rsid w:val="3A994AC8"/>
    <w:rsid w:val="3AA3613F"/>
    <w:rsid w:val="3ADB309F"/>
    <w:rsid w:val="3B035FD1"/>
    <w:rsid w:val="3B3C6117"/>
    <w:rsid w:val="3B552EC1"/>
    <w:rsid w:val="3B8043BE"/>
    <w:rsid w:val="3B8A77A2"/>
    <w:rsid w:val="3BAB17B4"/>
    <w:rsid w:val="3BB36F50"/>
    <w:rsid w:val="3BC92072"/>
    <w:rsid w:val="3BD80739"/>
    <w:rsid w:val="3BF440F4"/>
    <w:rsid w:val="3C0223F0"/>
    <w:rsid w:val="3C274D0C"/>
    <w:rsid w:val="3C29210D"/>
    <w:rsid w:val="3C2F4B54"/>
    <w:rsid w:val="3C546D32"/>
    <w:rsid w:val="3C6229DB"/>
    <w:rsid w:val="3C76553C"/>
    <w:rsid w:val="3C821F4D"/>
    <w:rsid w:val="3C895FA2"/>
    <w:rsid w:val="3C962AA4"/>
    <w:rsid w:val="3C98732C"/>
    <w:rsid w:val="3CB2308A"/>
    <w:rsid w:val="3CB33684"/>
    <w:rsid w:val="3CC6338D"/>
    <w:rsid w:val="3CE56A82"/>
    <w:rsid w:val="3CE56CAD"/>
    <w:rsid w:val="3CFB1814"/>
    <w:rsid w:val="3D2C72C0"/>
    <w:rsid w:val="3D4033E9"/>
    <w:rsid w:val="3D4757D0"/>
    <w:rsid w:val="3D48486F"/>
    <w:rsid w:val="3D4E143D"/>
    <w:rsid w:val="3D6313CB"/>
    <w:rsid w:val="3D6330D3"/>
    <w:rsid w:val="3D785CA3"/>
    <w:rsid w:val="3D801011"/>
    <w:rsid w:val="3D8540AB"/>
    <w:rsid w:val="3DB21309"/>
    <w:rsid w:val="3DC00C07"/>
    <w:rsid w:val="3DE20BDF"/>
    <w:rsid w:val="3DE729BF"/>
    <w:rsid w:val="3E040A8E"/>
    <w:rsid w:val="3E0B0F61"/>
    <w:rsid w:val="3E236719"/>
    <w:rsid w:val="3E44715C"/>
    <w:rsid w:val="3E4D6532"/>
    <w:rsid w:val="3E6945A2"/>
    <w:rsid w:val="3E7D0BDE"/>
    <w:rsid w:val="3E935660"/>
    <w:rsid w:val="3EAB7518"/>
    <w:rsid w:val="3EDE33A4"/>
    <w:rsid w:val="3EEE5976"/>
    <w:rsid w:val="3EFE5950"/>
    <w:rsid w:val="3F027BC2"/>
    <w:rsid w:val="3F3B50BD"/>
    <w:rsid w:val="3F3F43D7"/>
    <w:rsid w:val="3FA532F5"/>
    <w:rsid w:val="3FB15E77"/>
    <w:rsid w:val="3FC30107"/>
    <w:rsid w:val="3FCF3DFB"/>
    <w:rsid w:val="3FEC598E"/>
    <w:rsid w:val="40004C3A"/>
    <w:rsid w:val="4004519E"/>
    <w:rsid w:val="4044287D"/>
    <w:rsid w:val="406F30C5"/>
    <w:rsid w:val="40707729"/>
    <w:rsid w:val="40763C1B"/>
    <w:rsid w:val="40797C66"/>
    <w:rsid w:val="40B30531"/>
    <w:rsid w:val="40CE16E9"/>
    <w:rsid w:val="40D327EC"/>
    <w:rsid w:val="40E07AB2"/>
    <w:rsid w:val="40E4361E"/>
    <w:rsid w:val="41333D33"/>
    <w:rsid w:val="41496F06"/>
    <w:rsid w:val="415A3E9A"/>
    <w:rsid w:val="415E63C5"/>
    <w:rsid w:val="41606375"/>
    <w:rsid w:val="41611CA3"/>
    <w:rsid w:val="41721D58"/>
    <w:rsid w:val="418121F5"/>
    <w:rsid w:val="41865466"/>
    <w:rsid w:val="41B67659"/>
    <w:rsid w:val="41D61E21"/>
    <w:rsid w:val="41E47DDA"/>
    <w:rsid w:val="42007443"/>
    <w:rsid w:val="420D0F9E"/>
    <w:rsid w:val="421037B9"/>
    <w:rsid w:val="4235633D"/>
    <w:rsid w:val="424F1040"/>
    <w:rsid w:val="425024F6"/>
    <w:rsid w:val="42585AC3"/>
    <w:rsid w:val="42755200"/>
    <w:rsid w:val="42A24FF7"/>
    <w:rsid w:val="42AC7546"/>
    <w:rsid w:val="42C37180"/>
    <w:rsid w:val="42CB0874"/>
    <w:rsid w:val="42D062CD"/>
    <w:rsid w:val="42DE27F7"/>
    <w:rsid w:val="432C10E4"/>
    <w:rsid w:val="43346AA6"/>
    <w:rsid w:val="43381027"/>
    <w:rsid w:val="434A02AF"/>
    <w:rsid w:val="435A2E4E"/>
    <w:rsid w:val="435D2214"/>
    <w:rsid w:val="43866FE6"/>
    <w:rsid w:val="4388460A"/>
    <w:rsid w:val="43D66577"/>
    <w:rsid w:val="43FD0678"/>
    <w:rsid w:val="445E2307"/>
    <w:rsid w:val="445F787F"/>
    <w:rsid w:val="449548DA"/>
    <w:rsid w:val="44977EDB"/>
    <w:rsid w:val="44B20B27"/>
    <w:rsid w:val="44B55706"/>
    <w:rsid w:val="44B724BE"/>
    <w:rsid w:val="44DA3756"/>
    <w:rsid w:val="45056959"/>
    <w:rsid w:val="45135837"/>
    <w:rsid w:val="451655E5"/>
    <w:rsid w:val="45370E8C"/>
    <w:rsid w:val="453A5A53"/>
    <w:rsid w:val="454400F8"/>
    <w:rsid w:val="454406F8"/>
    <w:rsid w:val="456831B2"/>
    <w:rsid w:val="4579568D"/>
    <w:rsid w:val="457C1B59"/>
    <w:rsid w:val="45C3044F"/>
    <w:rsid w:val="45CA72DB"/>
    <w:rsid w:val="45CF3E06"/>
    <w:rsid w:val="45EA6C66"/>
    <w:rsid w:val="45EC2767"/>
    <w:rsid w:val="460A53A7"/>
    <w:rsid w:val="46152792"/>
    <w:rsid w:val="4615399A"/>
    <w:rsid w:val="46317415"/>
    <w:rsid w:val="463E4B93"/>
    <w:rsid w:val="4664473C"/>
    <w:rsid w:val="468D1112"/>
    <w:rsid w:val="469F5C33"/>
    <w:rsid w:val="46BC60B7"/>
    <w:rsid w:val="46C63A58"/>
    <w:rsid w:val="46CD4F5C"/>
    <w:rsid w:val="46CF181E"/>
    <w:rsid w:val="46D913E2"/>
    <w:rsid w:val="46DA788F"/>
    <w:rsid w:val="46E303FE"/>
    <w:rsid w:val="46F76CC4"/>
    <w:rsid w:val="470000CA"/>
    <w:rsid w:val="470136FD"/>
    <w:rsid w:val="472A2963"/>
    <w:rsid w:val="472A4246"/>
    <w:rsid w:val="475518FA"/>
    <w:rsid w:val="47886F7C"/>
    <w:rsid w:val="478D6FE7"/>
    <w:rsid w:val="47947B2F"/>
    <w:rsid w:val="47953C4F"/>
    <w:rsid w:val="47A461DD"/>
    <w:rsid w:val="47BA0304"/>
    <w:rsid w:val="47C675EF"/>
    <w:rsid w:val="47D622DD"/>
    <w:rsid w:val="47D754E9"/>
    <w:rsid w:val="47E2150B"/>
    <w:rsid w:val="47EB541A"/>
    <w:rsid w:val="480C40F9"/>
    <w:rsid w:val="485A1678"/>
    <w:rsid w:val="48850837"/>
    <w:rsid w:val="48B07CDF"/>
    <w:rsid w:val="48C12F4D"/>
    <w:rsid w:val="48D56FBA"/>
    <w:rsid w:val="48DA3CE5"/>
    <w:rsid w:val="48E663FD"/>
    <w:rsid w:val="48ED71AD"/>
    <w:rsid w:val="49165546"/>
    <w:rsid w:val="49710B49"/>
    <w:rsid w:val="497C0ABE"/>
    <w:rsid w:val="49B74E15"/>
    <w:rsid w:val="49CE0CD8"/>
    <w:rsid w:val="49D02933"/>
    <w:rsid w:val="49D80ED6"/>
    <w:rsid w:val="49D85524"/>
    <w:rsid w:val="49E937A6"/>
    <w:rsid w:val="4A5C0AFC"/>
    <w:rsid w:val="4A5F0414"/>
    <w:rsid w:val="4A610236"/>
    <w:rsid w:val="4A623E00"/>
    <w:rsid w:val="4A6E0973"/>
    <w:rsid w:val="4A78182C"/>
    <w:rsid w:val="4A9E3CCB"/>
    <w:rsid w:val="4A9F4ED1"/>
    <w:rsid w:val="4AAD1F42"/>
    <w:rsid w:val="4AE957C6"/>
    <w:rsid w:val="4B096F56"/>
    <w:rsid w:val="4B0B7CC0"/>
    <w:rsid w:val="4B422A21"/>
    <w:rsid w:val="4B574835"/>
    <w:rsid w:val="4B871FEA"/>
    <w:rsid w:val="4B8804D6"/>
    <w:rsid w:val="4B9E30D2"/>
    <w:rsid w:val="4BA33049"/>
    <w:rsid w:val="4BAA50D4"/>
    <w:rsid w:val="4BD35333"/>
    <w:rsid w:val="4BE644E4"/>
    <w:rsid w:val="4BE7445A"/>
    <w:rsid w:val="4BEF5499"/>
    <w:rsid w:val="4C0015C7"/>
    <w:rsid w:val="4C256C8F"/>
    <w:rsid w:val="4C340278"/>
    <w:rsid w:val="4C407016"/>
    <w:rsid w:val="4C550C1D"/>
    <w:rsid w:val="4C673E0C"/>
    <w:rsid w:val="4C701966"/>
    <w:rsid w:val="4C827371"/>
    <w:rsid w:val="4CB93BDD"/>
    <w:rsid w:val="4CCD4FD8"/>
    <w:rsid w:val="4CCE70E8"/>
    <w:rsid w:val="4CD51C26"/>
    <w:rsid w:val="4D166F5D"/>
    <w:rsid w:val="4D203EDF"/>
    <w:rsid w:val="4D310419"/>
    <w:rsid w:val="4D53211B"/>
    <w:rsid w:val="4D7F1180"/>
    <w:rsid w:val="4D8D6BBB"/>
    <w:rsid w:val="4DB43F9D"/>
    <w:rsid w:val="4DBD6C5B"/>
    <w:rsid w:val="4DD7184F"/>
    <w:rsid w:val="4DF67135"/>
    <w:rsid w:val="4E035259"/>
    <w:rsid w:val="4E3917D8"/>
    <w:rsid w:val="4E3C1227"/>
    <w:rsid w:val="4E711E7B"/>
    <w:rsid w:val="4E781B91"/>
    <w:rsid w:val="4EA542DD"/>
    <w:rsid w:val="4EAB17F1"/>
    <w:rsid w:val="4EC16C96"/>
    <w:rsid w:val="4ECC0D30"/>
    <w:rsid w:val="4EEC7D94"/>
    <w:rsid w:val="4EF37F41"/>
    <w:rsid w:val="4F034621"/>
    <w:rsid w:val="4F070A28"/>
    <w:rsid w:val="4F3C14D6"/>
    <w:rsid w:val="4F532F1D"/>
    <w:rsid w:val="4F7725B8"/>
    <w:rsid w:val="4FD000FD"/>
    <w:rsid w:val="4FE40AA8"/>
    <w:rsid w:val="50180587"/>
    <w:rsid w:val="503A3961"/>
    <w:rsid w:val="503A669D"/>
    <w:rsid w:val="5053651E"/>
    <w:rsid w:val="505A7A12"/>
    <w:rsid w:val="505D72EC"/>
    <w:rsid w:val="50AD6E77"/>
    <w:rsid w:val="50BB1C4C"/>
    <w:rsid w:val="50C651BB"/>
    <w:rsid w:val="50D82CE2"/>
    <w:rsid w:val="50DE51F9"/>
    <w:rsid w:val="50EA3D0F"/>
    <w:rsid w:val="51170283"/>
    <w:rsid w:val="511D3460"/>
    <w:rsid w:val="51381E97"/>
    <w:rsid w:val="514133F4"/>
    <w:rsid w:val="514F033B"/>
    <w:rsid w:val="5159765F"/>
    <w:rsid w:val="51810111"/>
    <w:rsid w:val="518D629A"/>
    <w:rsid w:val="518E0CB1"/>
    <w:rsid w:val="519C717F"/>
    <w:rsid w:val="51A81C8B"/>
    <w:rsid w:val="51D718E9"/>
    <w:rsid w:val="51ED6293"/>
    <w:rsid w:val="51FA4CEC"/>
    <w:rsid w:val="520F5B0C"/>
    <w:rsid w:val="52181CEC"/>
    <w:rsid w:val="522C23EA"/>
    <w:rsid w:val="522F4180"/>
    <w:rsid w:val="5248364E"/>
    <w:rsid w:val="52524600"/>
    <w:rsid w:val="526475AB"/>
    <w:rsid w:val="52686B63"/>
    <w:rsid w:val="5284117F"/>
    <w:rsid w:val="528E63B6"/>
    <w:rsid w:val="529158E7"/>
    <w:rsid w:val="529448D9"/>
    <w:rsid w:val="52B40E29"/>
    <w:rsid w:val="52B636A4"/>
    <w:rsid w:val="52DA1C3F"/>
    <w:rsid w:val="52E16FB4"/>
    <w:rsid w:val="52E81CB2"/>
    <w:rsid w:val="530124F2"/>
    <w:rsid w:val="530F17E7"/>
    <w:rsid w:val="53111123"/>
    <w:rsid w:val="53126C25"/>
    <w:rsid w:val="535C2B02"/>
    <w:rsid w:val="538E32E7"/>
    <w:rsid w:val="53BB4752"/>
    <w:rsid w:val="53C84B1E"/>
    <w:rsid w:val="53CF692B"/>
    <w:rsid w:val="53F768C7"/>
    <w:rsid w:val="5400393D"/>
    <w:rsid w:val="54133D01"/>
    <w:rsid w:val="541F7FA8"/>
    <w:rsid w:val="54442C85"/>
    <w:rsid w:val="545C5507"/>
    <w:rsid w:val="54676906"/>
    <w:rsid w:val="546C2808"/>
    <w:rsid w:val="54770819"/>
    <w:rsid w:val="54901A26"/>
    <w:rsid w:val="54905328"/>
    <w:rsid w:val="54C514D1"/>
    <w:rsid w:val="54DC2C82"/>
    <w:rsid w:val="54EA7001"/>
    <w:rsid w:val="54EB7C68"/>
    <w:rsid w:val="55113B7B"/>
    <w:rsid w:val="55194B37"/>
    <w:rsid w:val="552405A4"/>
    <w:rsid w:val="553F211B"/>
    <w:rsid w:val="555C6699"/>
    <w:rsid w:val="556148B0"/>
    <w:rsid w:val="55713BAA"/>
    <w:rsid w:val="55C533DD"/>
    <w:rsid w:val="55E150F9"/>
    <w:rsid w:val="55F4696C"/>
    <w:rsid w:val="563B7F84"/>
    <w:rsid w:val="56612D67"/>
    <w:rsid w:val="566338E1"/>
    <w:rsid w:val="566C1F6B"/>
    <w:rsid w:val="567D3215"/>
    <w:rsid w:val="56854F26"/>
    <w:rsid w:val="56C12B9C"/>
    <w:rsid w:val="56D72087"/>
    <w:rsid w:val="56DB7601"/>
    <w:rsid w:val="5715262A"/>
    <w:rsid w:val="571D20F5"/>
    <w:rsid w:val="572248AC"/>
    <w:rsid w:val="57390926"/>
    <w:rsid w:val="573E31AA"/>
    <w:rsid w:val="57545B64"/>
    <w:rsid w:val="575B7CF8"/>
    <w:rsid w:val="57671E5A"/>
    <w:rsid w:val="57FA3976"/>
    <w:rsid w:val="5802613B"/>
    <w:rsid w:val="58101CFD"/>
    <w:rsid w:val="582D6FC1"/>
    <w:rsid w:val="584A5C54"/>
    <w:rsid w:val="587139BA"/>
    <w:rsid w:val="587367BD"/>
    <w:rsid w:val="58940BE2"/>
    <w:rsid w:val="58BF3E8D"/>
    <w:rsid w:val="58F72EB5"/>
    <w:rsid w:val="591060BF"/>
    <w:rsid w:val="59180452"/>
    <w:rsid w:val="59260BAB"/>
    <w:rsid w:val="592F2981"/>
    <w:rsid w:val="59361FCA"/>
    <w:rsid w:val="593F3FED"/>
    <w:rsid w:val="59612A54"/>
    <w:rsid w:val="599041FB"/>
    <w:rsid w:val="59CB639D"/>
    <w:rsid w:val="59D20119"/>
    <w:rsid w:val="5A1B7A1E"/>
    <w:rsid w:val="5A5B74B2"/>
    <w:rsid w:val="5A6B7ADD"/>
    <w:rsid w:val="5A7C0CAF"/>
    <w:rsid w:val="5AB22CAB"/>
    <w:rsid w:val="5AD949B6"/>
    <w:rsid w:val="5ADF4630"/>
    <w:rsid w:val="5AE4210C"/>
    <w:rsid w:val="5AF46872"/>
    <w:rsid w:val="5AF63BB9"/>
    <w:rsid w:val="5B184852"/>
    <w:rsid w:val="5B311CF2"/>
    <w:rsid w:val="5B563E6A"/>
    <w:rsid w:val="5B582EAB"/>
    <w:rsid w:val="5B7B70BB"/>
    <w:rsid w:val="5B9550AD"/>
    <w:rsid w:val="5BA21593"/>
    <w:rsid w:val="5BDD78C8"/>
    <w:rsid w:val="5BEA4111"/>
    <w:rsid w:val="5C1475C6"/>
    <w:rsid w:val="5C1E62A8"/>
    <w:rsid w:val="5C213F80"/>
    <w:rsid w:val="5C2C151C"/>
    <w:rsid w:val="5C3B312C"/>
    <w:rsid w:val="5C3E2C52"/>
    <w:rsid w:val="5C695427"/>
    <w:rsid w:val="5C725121"/>
    <w:rsid w:val="5CAD1A9D"/>
    <w:rsid w:val="5CB0535B"/>
    <w:rsid w:val="5CBF314D"/>
    <w:rsid w:val="5CC0734A"/>
    <w:rsid w:val="5CC1641F"/>
    <w:rsid w:val="5CD474EE"/>
    <w:rsid w:val="5CD53681"/>
    <w:rsid w:val="5CF23895"/>
    <w:rsid w:val="5CF411B2"/>
    <w:rsid w:val="5D157788"/>
    <w:rsid w:val="5D615AF7"/>
    <w:rsid w:val="5D723BE8"/>
    <w:rsid w:val="5D76173F"/>
    <w:rsid w:val="5D7A6AB5"/>
    <w:rsid w:val="5D8C0886"/>
    <w:rsid w:val="5D9459A1"/>
    <w:rsid w:val="5DE00D6E"/>
    <w:rsid w:val="5DE6332D"/>
    <w:rsid w:val="5E014490"/>
    <w:rsid w:val="5E3A5600"/>
    <w:rsid w:val="5E637D49"/>
    <w:rsid w:val="5E941225"/>
    <w:rsid w:val="5E985653"/>
    <w:rsid w:val="5E993FED"/>
    <w:rsid w:val="5E9D355C"/>
    <w:rsid w:val="5EA61BA3"/>
    <w:rsid w:val="5EBB3B43"/>
    <w:rsid w:val="5ECB3A34"/>
    <w:rsid w:val="5F096FA4"/>
    <w:rsid w:val="5F3B16E0"/>
    <w:rsid w:val="5F44535C"/>
    <w:rsid w:val="5F4D558C"/>
    <w:rsid w:val="5F546AD6"/>
    <w:rsid w:val="5F6B78F4"/>
    <w:rsid w:val="5F800213"/>
    <w:rsid w:val="5F830ADD"/>
    <w:rsid w:val="5F8B0416"/>
    <w:rsid w:val="5F8F74AA"/>
    <w:rsid w:val="5F910D3B"/>
    <w:rsid w:val="5F997032"/>
    <w:rsid w:val="5F9D6546"/>
    <w:rsid w:val="5FA238CD"/>
    <w:rsid w:val="5FFE529C"/>
    <w:rsid w:val="602E6E57"/>
    <w:rsid w:val="603A7CF1"/>
    <w:rsid w:val="605B2499"/>
    <w:rsid w:val="606722FC"/>
    <w:rsid w:val="606B48B1"/>
    <w:rsid w:val="60734D38"/>
    <w:rsid w:val="6093541E"/>
    <w:rsid w:val="60964868"/>
    <w:rsid w:val="60A80A23"/>
    <w:rsid w:val="60A91631"/>
    <w:rsid w:val="60B53EB9"/>
    <w:rsid w:val="60C47FA3"/>
    <w:rsid w:val="60CA39EB"/>
    <w:rsid w:val="60E470AD"/>
    <w:rsid w:val="61064EE8"/>
    <w:rsid w:val="61136E11"/>
    <w:rsid w:val="61382DD5"/>
    <w:rsid w:val="616F2F9A"/>
    <w:rsid w:val="617910B8"/>
    <w:rsid w:val="61A14EBF"/>
    <w:rsid w:val="62532E86"/>
    <w:rsid w:val="626C66DD"/>
    <w:rsid w:val="62773253"/>
    <w:rsid w:val="628400E0"/>
    <w:rsid w:val="628A16C4"/>
    <w:rsid w:val="62AD619B"/>
    <w:rsid w:val="62D13892"/>
    <w:rsid w:val="62E12FE9"/>
    <w:rsid w:val="62EC1529"/>
    <w:rsid w:val="62EE4686"/>
    <w:rsid w:val="62F91598"/>
    <w:rsid w:val="6302435F"/>
    <w:rsid w:val="632663EB"/>
    <w:rsid w:val="632B0FBE"/>
    <w:rsid w:val="63537544"/>
    <w:rsid w:val="637D7FCE"/>
    <w:rsid w:val="639E65A1"/>
    <w:rsid w:val="63B66146"/>
    <w:rsid w:val="63B94AC6"/>
    <w:rsid w:val="63E916D9"/>
    <w:rsid w:val="640A79E4"/>
    <w:rsid w:val="64156E8F"/>
    <w:rsid w:val="64183119"/>
    <w:rsid w:val="64241457"/>
    <w:rsid w:val="642E2704"/>
    <w:rsid w:val="64361453"/>
    <w:rsid w:val="64504ED8"/>
    <w:rsid w:val="64597E31"/>
    <w:rsid w:val="6472075D"/>
    <w:rsid w:val="64835F6D"/>
    <w:rsid w:val="649B5B2D"/>
    <w:rsid w:val="64BF0362"/>
    <w:rsid w:val="64C227A4"/>
    <w:rsid w:val="64F438AF"/>
    <w:rsid w:val="65042B74"/>
    <w:rsid w:val="651010AD"/>
    <w:rsid w:val="65182EDB"/>
    <w:rsid w:val="654F59E6"/>
    <w:rsid w:val="65502BFA"/>
    <w:rsid w:val="65872441"/>
    <w:rsid w:val="659116E4"/>
    <w:rsid w:val="6595521D"/>
    <w:rsid w:val="65B17316"/>
    <w:rsid w:val="65CD787F"/>
    <w:rsid w:val="65F06B71"/>
    <w:rsid w:val="65FB5EC4"/>
    <w:rsid w:val="65FC7E5D"/>
    <w:rsid w:val="661F00A6"/>
    <w:rsid w:val="664D23B6"/>
    <w:rsid w:val="667020F9"/>
    <w:rsid w:val="667F161C"/>
    <w:rsid w:val="668F04A8"/>
    <w:rsid w:val="66952D5A"/>
    <w:rsid w:val="66A06BFF"/>
    <w:rsid w:val="66A74E1B"/>
    <w:rsid w:val="66A7502B"/>
    <w:rsid w:val="66B7708F"/>
    <w:rsid w:val="66C0586F"/>
    <w:rsid w:val="66E272E6"/>
    <w:rsid w:val="66EA1002"/>
    <w:rsid w:val="66EE24B2"/>
    <w:rsid w:val="670030A7"/>
    <w:rsid w:val="67137D4F"/>
    <w:rsid w:val="67166C85"/>
    <w:rsid w:val="672862FC"/>
    <w:rsid w:val="6734075C"/>
    <w:rsid w:val="67571759"/>
    <w:rsid w:val="675744B5"/>
    <w:rsid w:val="675F67F0"/>
    <w:rsid w:val="677C6F61"/>
    <w:rsid w:val="678A17CF"/>
    <w:rsid w:val="678B4918"/>
    <w:rsid w:val="678D5720"/>
    <w:rsid w:val="67A239F5"/>
    <w:rsid w:val="67F9114B"/>
    <w:rsid w:val="67FA5540"/>
    <w:rsid w:val="67FE41A7"/>
    <w:rsid w:val="680142D0"/>
    <w:rsid w:val="68015204"/>
    <w:rsid w:val="681109E4"/>
    <w:rsid w:val="683C3E4C"/>
    <w:rsid w:val="686314D3"/>
    <w:rsid w:val="68682B54"/>
    <w:rsid w:val="68C17F7E"/>
    <w:rsid w:val="68CE2C34"/>
    <w:rsid w:val="68D42586"/>
    <w:rsid w:val="68EB46C6"/>
    <w:rsid w:val="68F03F8B"/>
    <w:rsid w:val="68F04D92"/>
    <w:rsid w:val="69033C7C"/>
    <w:rsid w:val="69260701"/>
    <w:rsid w:val="695A3167"/>
    <w:rsid w:val="69613EFD"/>
    <w:rsid w:val="696B72C6"/>
    <w:rsid w:val="6976278F"/>
    <w:rsid w:val="69802A47"/>
    <w:rsid w:val="69B76DA8"/>
    <w:rsid w:val="69F04BEF"/>
    <w:rsid w:val="69FF02D7"/>
    <w:rsid w:val="6A06440A"/>
    <w:rsid w:val="6A100CF9"/>
    <w:rsid w:val="6A3D2F51"/>
    <w:rsid w:val="6A405111"/>
    <w:rsid w:val="6A51597C"/>
    <w:rsid w:val="6A6529F3"/>
    <w:rsid w:val="6A921F2A"/>
    <w:rsid w:val="6AAF0B0A"/>
    <w:rsid w:val="6AB85C8B"/>
    <w:rsid w:val="6ACD70D8"/>
    <w:rsid w:val="6B150D22"/>
    <w:rsid w:val="6B246C66"/>
    <w:rsid w:val="6B2831C8"/>
    <w:rsid w:val="6B2C02A3"/>
    <w:rsid w:val="6B313115"/>
    <w:rsid w:val="6B32329F"/>
    <w:rsid w:val="6B4E64CC"/>
    <w:rsid w:val="6B534144"/>
    <w:rsid w:val="6B590C04"/>
    <w:rsid w:val="6B6A58AC"/>
    <w:rsid w:val="6B747153"/>
    <w:rsid w:val="6B7D4314"/>
    <w:rsid w:val="6BAE267B"/>
    <w:rsid w:val="6BC47F3A"/>
    <w:rsid w:val="6BE55FDB"/>
    <w:rsid w:val="6BE9488B"/>
    <w:rsid w:val="6C2379FD"/>
    <w:rsid w:val="6C3D4E67"/>
    <w:rsid w:val="6C450326"/>
    <w:rsid w:val="6C4C0A7E"/>
    <w:rsid w:val="6C4C22E3"/>
    <w:rsid w:val="6C685CE4"/>
    <w:rsid w:val="6C6D0398"/>
    <w:rsid w:val="6C9038BF"/>
    <w:rsid w:val="6C905D79"/>
    <w:rsid w:val="6C914A7E"/>
    <w:rsid w:val="6D05507A"/>
    <w:rsid w:val="6D145FF6"/>
    <w:rsid w:val="6D3A6825"/>
    <w:rsid w:val="6D523E62"/>
    <w:rsid w:val="6D6475C0"/>
    <w:rsid w:val="6D6E46F3"/>
    <w:rsid w:val="6D714693"/>
    <w:rsid w:val="6D8130A7"/>
    <w:rsid w:val="6DBC0209"/>
    <w:rsid w:val="6DCB32D8"/>
    <w:rsid w:val="6DD72E11"/>
    <w:rsid w:val="6DDD4A45"/>
    <w:rsid w:val="6DE52258"/>
    <w:rsid w:val="6DF312AD"/>
    <w:rsid w:val="6E126B2A"/>
    <w:rsid w:val="6E1C5548"/>
    <w:rsid w:val="6E4A3B47"/>
    <w:rsid w:val="6E53409C"/>
    <w:rsid w:val="6E5B36DA"/>
    <w:rsid w:val="6E5F2FD7"/>
    <w:rsid w:val="6EC22FA9"/>
    <w:rsid w:val="6ECE0080"/>
    <w:rsid w:val="6ED448E3"/>
    <w:rsid w:val="6F1C0269"/>
    <w:rsid w:val="6F240116"/>
    <w:rsid w:val="6F4E39AD"/>
    <w:rsid w:val="6F596E55"/>
    <w:rsid w:val="6F613B00"/>
    <w:rsid w:val="6F7170FE"/>
    <w:rsid w:val="6F72503A"/>
    <w:rsid w:val="6F824EA7"/>
    <w:rsid w:val="6F9D2AF1"/>
    <w:rsid w:val="6FAA52EC"/>
    <w:rsid w:val="6FAE6552"/>
    <w:rsid w:val="6FD147F7"/>
    <w:rsid w:val="6FD35F2D"/>
    <w:rsid w:val="701A55C6"/>
    <w:rsid w:val="701E5A3C"/>
    <w:rsid w:val="70453892"/>
    <w:rsid w:val="704857D0"/>
    <w:rsid w:val="706C7BFE"/>
    <w:rsid w:val="70CF7C2A"/>
    <w:rsid w:val="710C6E1A"/>
    <w:rsid w:val="71231646"/>
    <w:rsid w:val="71284176"/>
    <w:rsid w:val="7140217F"/>
    <w:rsid w:val="71465F1D"/>
    <w:rsid w:val="71B820EE"/>
    <w:rsid w:val="71BE6601"/>
    <w:rsid w:val="71CD6D72"/>
    <w:rsid w:val="71D8716C"/>
    <w:rsid w:val="71E60F32"/>
    <w:rsid w:val="720E65AC"/>
    <w:rsid w:val="722566AC"/>
    <w:rsid w:val="72283DB2"/>
    <w:rsid w:val="72454D02"/>
    <w:rsid w:val="724F2FB7"/>
    <w:rsid w:val="725C2CF9"/>
    <w:rsid w:val="727758A3"/>
    <w:rsid w:val="728B0055"/>
    <w:rsid w:val="72965817"/>
    <w:rsid w:val="729938C3"/>
    <w:rsid w:val="72BA3A61"/>
    <w:rsid w:val="72F704D8"/>
    <w:rsid w:val="72FD3B2C"/>
    <w:rsid w:val="73044883"/>
    <w:rsid w:val="730604C2"/>
    <w:rsid w:val="732575A1"/>
    <w:rsid w:val="73433543"/>
    <w:rsid w:val="73675438"/>
    <w:rsid w:val="73C56CFF"/>
    <w:rsid w:val="73D73227"/>
    <w:rsid w:val="73DA61C2"/>
    <w:rsid w:val="73DE2176"/>
    <w:rsid w:val="73DE32C4"/>
    <w:rsid w:val="73E21988"/>
    <w:rsid w:val="741C0FF8"/>
    <w:rsid w:val="74561143"/>
    <w:rsid w:val="745778F4"/>
    <w:rsid w:val="745D621F"/>
    <w:rsid w:val="746609E0"/>
    <w:rsid w:val="746B3549"/>
    <w:rsid w:val="746F7ADF"/>
    <w:rsid w:val="7474376E"/>
    <w:rsid w:val="74C13A28"/>
    <w:rsid w:val="74C81314"/>
    <w:rsid w:val="74CD7ED7"/>
    <w:rsid w:val="74DA3693"/>
    <w:rsid w:val="74DA6643"/>
    <w:rsid w:val="74E946E7"/>
    <w:rsid w:val="74ED061F"/>
    <w:rsid w:val="74F6454B"/>
    <w:rsid w:val="74FE1236"/>
    <w:rsid w:val="74FE3405"/>
    <w:rsid w:val="750B11CD"/>
    <w:rsid w:val="750C7B8E"/>
    <w:rsid w:val="752C7B0F"/>
    <w:rsid w:val="75410740"/>
    <w:rsid w:val="755977BC"/>
    <w:rsid w:val="7562377B"/>
    <w:rsid w:val="75711A54"/>
    <w:rsid w:val="75902A3F"/>
    <w:rsid w:val="75BF2E23"/>
    <w:rsid w:val="75C30244"/>
    <w:rsid w:val="75E46F36"/>
    <w:rsid w:val="75F31DEC"/>
    <w:rsid w:val="76116788"/>
    <w:rsid w:val="761B5C5F"/>
    <w:rsid w:val="763B0605"/>
    <w:rsid w:val="76422CE1"/>
    <w:rsid w:val="765F4AAA"/>
    <w:rsid w:val="76806202"/>
    <w:rsid w:val="768335DB"/>
    <w:rsid w:val="768E0063"/>
    <w:rsid w:val="76A3556A"/>
    <w:rsid w:val="76B508DC"/>
    <w:rsid w:val="76BE5082"/>
    <w:rsid w:val="76E717B4"/>
    <w:rsid w:val="76EF0691"/>
    <w:rsid w:val="77055BC5"/>
    <w:rsid w:val="771345ED"/>
    <w:rsid w:val="771531DE"/>
    <w:rsid w:val="77180B48"/>
    <w:rsid w:val="77187C44"/>
    <w:rsid w:val="77276293"/>
    <w:rsid w:val="776E3E88"/>
    <w:rsid w:val="777747B9"/>
    <w:rsid w:val="777872B6"/>
    <w:rsid w:val="779B00F2"/>
    <w:rsid w:val="77E40FCA"/>
    <w:rsid w:val="77F0211C"/>
    <w:rsid w:val="78032625"/>
    <w:rsid w:val="78090A90"/>
    <w:rsid w:val="782A7B72"/>
    <w:rsid w:val="78385FAC"/>
    <w:rsid w:val="783C2375"/>
    <w:rsid w:val="78DF6F90"/>
    <w:rsid w:val="79370079"/>
    <w:rsid w:val="793C57CE"/>
    <w:rsid w:val="793D703B"/>
    <w:rsid w:val="794C784F"/>
    <w:rsid w:val="79995940"/>
    <w:rsid w:val="799D6D42"/>
    <w:rsid w:val="799E149B"/>
    <w:rsid w:val="79B35F83"/>
    <w:rsid w:val="7A3457F0"/>
    <w:rsid w:val="7A432B04"/>
    <w:rsid w:val="7A5A6A44"/>
    <w:rsid w:val="7A8B15A7"/>
    <w:rsid w:val="7A8B5B28"/>
    <w:rsid w:val="7AA52D50"/>
    <w:rsid w:val="7AC3356A"/>
    <w:rsid w:val="7B152780"/>
    <w:rsid w:val="7B170855"/>
    <w:rsid w:val="7B173B57"/>
    <w:rsid w:val="7B2236E2"/>
    <w:rsid w:val="7B3D5451"/>
    <w:rsid w:val="7B45086F"/>
    <w:rsid w:val="7B4C2EDC"/>
    <w:rsid w:val="7B7116FA"/>
    <w:rsid w:val="7B9D3A59"/>
    <w:rsid w:val="7BC824E2"/>
    <w:rsid w:val="7BD74270"/>
    <w:rsid w:val="7C160DDA"/>
    <w:rsid w:val="7C163AC7"/>
    <w:rsid w:val="7C237871"/>
    <w:rsid w:val="7C293037"/>
    <w:rsid w:val="7C347A7E"/>
    <w:rsid w:val="7C402306"/>
    <w:rsid w:val="7C661BFA"/>
    <w:rsid w:val="7C7C54B7"/>
    <w:rsid w:val="7C9866F6"/>
    <w:rsid w:val="7CA9506D"/>
    <w:rsid w:val="7CD532BC"/>
    <w:rsid w:val="7CD97BA1"/>
    <w:rsid w:val="7CDD1D24"/>
    <w:rsid w:val="7CE65028"/>
    <w:rsid w:val="7D0D411F"/>
    <w:rsid w:val="7D1D4F0F"/>
    <w:rsid w:val="7D1E1CE8"/>
    <w:rsid w:val="7D43513E"/>
    <w:rsid w:val="7D5B727F"/>
    <w:rsid w:val="7D81485F"/>
    <w:rsid w:val="7DA04A28"/>
    <w:rsid w:val="7DA56196"/>
    <w:rsid w:val="7DA564D3"/>
    <w:rsid w:val="7DAB79E4"/>
    <w:rsid w:val="7DB57C0C"/>
    <w:rsid w:val="7DBD0FB3"/>
    <w:rsid w:val="7DC54D53"/>
    <w:rsid w:val="7DF80E1A"/>
    <w:rsid w:val="7E1637F2"/>
    <w:rsid w:val="7E1F348F"/>
    <w:rsid w:val="7E2766A8"/>
    <w:rsid w:val="7E4E526A"/>
    <w:rsid w:val="7E4F052C"/>
    <w:rsid w:val="7E4F614E"/>
    <w:rsid w:val="7E572434"/>
    <w:rsid w:val="7E7C1377"/>
    <w:rsid w:val="7E874EF0"/>
    <w:rsid w:val="7E8B50E4"/>
    <w:rsid w:val="7EB63F83"/>
    <w:rsid w:val="7ED3149D"/>
    <w:rsid w:val="7ED457DA"/>
    <w:rsid w:val="7EF47ADC"/>
    <w:rsid w:val="7EFC4F7F"/>
    <w:rsid w:val="7F0F347D"/>
    <w:rsid w:val="7F270BF7"/>
    <w:rsid w:val="7F35585E"/>
    <w:rsid w:val="7F4A52D0"/>
    <w:rsid w:val="7F8E48E8"/>
    <w:rsid w:val="7F9F5BC2"/>
    <w:rsid w:val="7FB4310E"/>
    <w:rsid w:val="7FB54793"/>
    <w:rsid w:val="7FD07093"/>
    <w:rsid w:val="7FE33D17"/>
    <w:rsid w:val="7FF10E64"/>
    <w:rsid w:val="7FF75A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 w:semiHidden="0"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qFormat="1" w:unhideWhenUsed="0" w:uiPriority="99" w:name="index 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0" w:name="toc 3" w:locked="1"/>
    <w:lsdException w:qFormat="1" w:unhideWhenUsed="0" w:uiPriority="0" w:name="toc 4" w:locked="1"/>
    <w:lsdException w:qFormat="1" w:unhideWhenUsed="0" w:uiPriority="0" w:name="toc 5" w:locked="1"/>
    <w:lsdException w:qFormat="1" w:unhideWhenUsed="0" w:uiPriority="0" w:name="toc 6" w:locked="1"/>
    <w:lsdException w:qFormat="1" w:unhideWhenUsed="0" w:uiPriority="0" w:name="toc 7" w:locked="1"/>
    <w:lsdException w:qFormat="1" w:unhideWhenUsed="0" w:uiPriority="0" w:name="toc 8" w:locked="1"/>
    <w:lsdException w:qFormat="1" w:unhideWhenUsed="0" w:uiPriority="0"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qFormat="1" w:unhideWhenUsed="0" w:uiPriority="99" w:name="index heading"/>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0"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qFormat="1" w:unhideWhenUsed="0" w:uiPriority="0" w:semiHidden="0" w:name="Message Header" w:locked="1"/>
    <w:lsdException w:qFormat="1" w:unhideWhenUsed="0" w:uiPriority="11" w:semiHidden="0" w:name="Subtitle" w:locked="1"/>
    <w:lsdException w:uiPriority="99" w:name="Salutation" w:locked="1"/>
    <w:lsdException w:qFormat="1" w:unhideWhenUsed="0" w:uiPriority="0" w:semiHidden="0" w:name="Date" w:locked="1"/>
    <w:lsdException w:qFormat="1" w:unhideWhenUsed="0" w:uiPriority="0" w:semiHidden="0" w:name="Body Text First Indent" w:locked="1"/>
    <w:lsdException w:qFormat="1" w:unhideWhenUsed="0" w:uiPriority="0" w:semiHidden="0" w:name="Body Text First Indent 2" w:locked="1"/>
    <w:lsdException w:uiPriority="99" w:name="Note Heading" w:locked="1"/>
    <w:lsdException w:uiPriority="99" w:name="Body Text 2" w:locked="1"/>
    <w:lsdException w:qFormat="1" w:unhideWhenUsed="0" w:uiPriority="99" w:semiHidden="0" w:name="Body Text 3"/>
    <w:lsdException w:uiPriority="99" w:name="Body Text Indent 2" w:locked="1"/>
    <w:lsdException w:uiPriority="99" w:name="Body Text Indent 3" w:locked="1"/>
    <w:lsdException w:qFormat="1" w:unhideWhenUsed="0" w:uiPriority="99" w:semiHidden="0"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iPriority="99" w:semiHidden="0" w:name="HTML Keyboard" w:locked="1"/>
    <w:lsdException w:uiPriority="99" w:name="HTML Preformatted" w:locked="1"/>
    <w:lsdException w:qFormat="1" w:uiPriority="99" w:semiHidden="0" w:name="HTML Sample" w:locked="1"/>
    <w:lsdException w:qFormat="1" w:uiPriority="99" w:name="HTML Typewriter" w:locked="1"/>
    <w:lsdException w:qFormat="1" w:unhideWhenUsed="0" w:uiPriority="99" w:semiHidden="0" w:name="HTML Variable"/>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qFormat="1" w:uiPriority="99" w:semiHidden="0"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Calibri"/>
      <w:kern w:val="2"/>
      <w:sz w:val="24"/>
      <w:szCs w:val="21"/>
      <w:lang w:val="en-US" w:eastAsia="zh-CN" w:bidi="ar-SA"/>
    </w:rPr>
  </w:style>
  <w:style w:type="paragraph" w:styleId="3">
    <w:name w:val="heading 1"/>
    <w:basedOn w:val="1"/>
    <w:next w:val="1"/>
    <w:link w:val="98"/>
    <w:qFormat/>
    <w:uiPriority w:val="99"/>
    <w:pPr>
      <w:spacing w:line="360" w:lineRule="auto"/>
      <w:jc w:val="center"/>
      <w:outlineLvl w:val="0"/>
    </w:pPr>
    <w:rPr>
      <w:rFonts w:cs="Times New Roman"/>
      <w:b/>
      <w:bCs/>
      <w:kern w:val="44"/>
      <w:sz w:val="32"/>
      <w:szCs w:val="44"/>
    </w:rPr>
  </w:style>
  <w:style w:type="paragraph" w:styleId="4">
    <w:name w:val="heading 2"/>
    <w:basedOn w:val="1"/>
    <w:next w:val="1"/>
    <w:link w:val="114"/>
    <w:qFormat/>
    <w:uiPriority w:val="99"/>
    <w:pPr>
      <w:keepNext/>
      <w:keepLines/>
      <w:spacing w:before="260" w:after="260" w:line="415" w:lineRule="auto"/>
      <w:outlineLvl w:val="1"/>
    </w:pPr>
    <w:rPr>
      <w:rFonts w:ascii="Cambria" w:hAnsi="Cambria" w:cs="Times New Roman"/>
      <w:b/>
      <w:bCs/>
      <w:kern w:val="0"/>
      <w:szCs w:val="32"/>
    </w:rPr>
  </w:style>
  <w:style w:type="paragraph" w:styleId="5">
    <w:name w:val="heading 3"/>
    <w:basedOn w:val="1"/>
    <w:next w:val="1"/>
    <w:link w:val="113"/>
    <w:qFormat/>
    <w:uiPriority w:val="99"/>
    <w:pPr>
      <w:keepNext/>
      <w:keepLines/>
      <w:spacing w:before="260" w:after="260" w:line="416" w:lineRule="auto"/>
      <w:outlineLvl w:val="2"/>
    </w:pPr>
    <w:rPr>
      <w:rFonts w:cs="Times New Roman"/>
      <w:b/>
      <w:bCs/>
      <w:kern w:val="0"/>
      <w:sz w:val="32"/>
      <w:szCs w:val="32"/>
    </w:rPr>
  </w:style>
  <w:style w:type="paragraph" w:styleId="6">
    <w:name w:val="heading 4"/>
    <w:basedOn w:val="1"/>
    <w:next w:val="1"/>
    <w:link w:val="91"/>
    <w:qFormat/>
    <w:uiPriority w:val="99"/>
    <w:pPr>
      <w:keepNext/>
      <w:keepLines/>
      <w:spacing w:before="280" w:after="290" w:line="374" w:lineRule="auto"/>
      <w:outlineLvl w:val="3"/>
    </w:pPr>
    <w:rPr>
      <w:rFonts w:ascii="Cambria" w:hAnsi="Cambria" w:cs="Times New Roman"/>
      <w:b/>
      <w:bCs/>
      <w:kern w:val="0"/>
      <w:sz w:val="28"/>
      <w:szCs w:val="28"/>
    </w:rPr>
  </w:style>
  <w:style w:type="paragraph" w:styleId="7">
    <w:name w:val="heading 5"/>
    <w:basedOn w:val="1"/>
    <w:next w:val="1"/>
    <w:qFormat/>
    <w:locked/>
    <w:uiPriority w:val="9"/>
    <w:pPr>
      <w:numPr>
        <w:ilvl w:val="4"/>
        <w:numId w:val="1"/>
      </w:numPr>
      <w:ind w:left="0" w:firstLine="0"/>
      <w:outlineLvl w:val="4"/>
    </w:pPr>
    <w:rPr>
      <w:b/>
      <w:bCs/>
      <w:szCs w:val="28"/>
    </w:rPr>
  </w:style>
  <w:style w:type="character" w:default="1" w:styleId="38">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6"/>
    <w:qFormat/>
    <w:uiPriority w:val="99"/>
    <w:pPr>
      <w:tabs>
        <w:tab w:val="center" w:pos="4153"/>
        <w:tab w:val="right" w:pos="8306"/>
      </w:tabs>
      <w:snapToGrid w:val="0"/>
      <w:jc w:val="left"/>
    </w:pPr>
    <w:rPr>
      <w:rFonts w:cs="Times New Roman"/>
      <w:kern w:val="0"/>
      <w:sz w:val="18"/>
      <w:szCs w:val="18"/>
    </w:rPr>
  </w:style>
  <w:style w:type="paragraph" w:styleId="8">
    <w:name w:val="toc 7"/>
    <w:basedOn w:val="1"/>
    <w:next w:val="1"/>
    <w:semiHidden/>
    <w:qFormat/>
    <w:locked/>
    <w:uiPriority w:val="0"/>
    <w:pPr>
      <w:ind w:left="1440"/>
      <w:jc w:val="left"/>
    </w:pPr>
    <w:rPr>
      <w:rFonts w:asciiTheme="minorHAnsi" w:hAnsiTheme="minorHAnsi" w:cstheme="minorHAnsi"/>
      <w:sz w:val="18"/>
      <w:szCs w:val="18"/>
    </w:rPr>
  </w:style>
  <w:style w:type="paragraph" w:styleId="9">
    <w:name w:val="Normal Indent"/>
    <w:basedOn w:val="1"/>
    <w:next w:val="10"/>
    <w:qFormat/>
    <w:uiPriority w:val="99"/>
    <w:pPr>
      <w:ind w:firstLine="200" w:firstLineChars="200"/>
    </w:pPr>
  </w:style>
  <w:style w:type="paragraph" w:styleId="10">
    <w:name w:val="toc 4"/>
    <w:basedOn w:val="1"/>
    <w:next w:val="1"/>
    <w:semiHidden/>
    <w:qFormat/>
    <w:locked/>
    <w:uiPriority w:val="0"/>
    <w:pPr>
      <w:ind w:left="720"/>
      <w:jc w:val="left"/>
    </w:pPr>
    <w:rPr>
      <w:rFonts w:asciiTheme="minorHAnsi" w:hAnsiTheme="minorHAnsi" w:cstheme="minorHAnsi"/>
      <w:sz w:val="18"/>
      <w:szCs w:val="18"/>
    </w:rPr>
  </w:style>
  <w:style w:type="paragraph" w:styleId="11">
    <w:name w:val="caption"/>
    <w:basedOn w:val="1"/>
    <w:next w:val="1"/>
    <w:qFormat/>
    <w:uiPriority w:val="99"/>
    <w:rPr>
      <w:rFonts w:ascii="Arial" w:hAnsi="Arial" w:eastAsia="黑体" w:cs="Arial"/>
      <w:sz w:val="20"/>
      <w:szCs w:val="20"/>
    </w:rPr>
  </w:style>
  <w:style w:type="paragraph" w:styleId="12">
    <w:name w:val="annotation text"/>
    <w:basedOn w:val="1"/>
    <w:link w:val="89"/>
    <w:semiHidden/>
    <w:qFormat/>
    <w:uiPriority w:val="99"/>
    <w:pPr>
      <w:jc w:val="left"/>
    </w:pPr>
    <w:rPr>
      <w:rFonts w:cs="Times New Roman"/>
      <w:kern w:val="0"/>
    </w:rPr>
  </w:style>
  <w:style w:type="paragraph" w:styleId="13">
    <w:name w:val="Body Text 3"/>
    <w:basedOn w:val="1"/>
    <w:link w:val="115"/>
    <w:qFormat/>
    <w:uiPriority w:val="99"/>
    <w:pPr>
      <w:spacing w:after="120"/>
    </w:pPr>
    <w:rPr>
      <w:rFonts w:cs="Times New Roman"/>
      <w:kern w:val="0"/>
      <w:sz w:val="16"/>
      <w:szCs w:val="16"/>
    </w:rPr>
  </w:style>
  <w:style w:type="paragraph" w:styleId="14">
    <w:name w:val="Body Text"/>
    <w:basedOn w:val="1"/>
    <w:next w:val="1"/>
    <w:link w:val="94"/>
    <w:qFormat/>
    <w:uiPriority w:val="99"/>
    <w:rPr>
      <w:rFonts w:cs="Times New Roman"/>
      <w:kern w:val="0"/>
    </w:rPr>
  </w:style>
  <w:style w:type="paragraph" w:styleId="15">
    <w:name w:val="Body Text Indent"/>
    <w:basedOn w:val="1"/>
    <w:qFormat/>
    <w:locked/>
    <w:uiPriority w:val="0"/>
    <w:pPr>
      <w:ind w:left="1083" w:leftChars="30" w:hanging="1020" w:hangingChars="425"/>
    </w:pPr>
    <w:rPr>
      <w:rFonts w:ascii="宋体" w:hAnsi="宋体"/>
    </w:rPr>
  </w:style>
  <w:style w:type="paragraph" w:styleId="16">
    <w:name w:val="Block Text"/>
    <w:basedOn w:val="1"/>
    <w:qFormat/>
    <w:locked/>
    <w:uiPriority w:val="99"/>
    <w:pPr>
      <w:tabs>
        <w:tab w:val="left" w:pos="540"/>
        <w:tab w:val="left" w:pos="720"/>
      </w:tabs>
      <w:ind w:left="1604" w:right="25" w:rightChars="12"/>
    </w:pPr>
    <w:rPr>
      <w:b/>
      <w:bCs/>
      <w:sz w:val="28"/>
      <w:szCs w:val="20"/>
    </w:rPr>
  </w:style>
  <w:style w:type="paragraph" w:styleId="17">
    <w:name w:val="toc 5"/>
    <w:basedOn w:val="1"/>
    <w:next w:val="1"/>
    <w:semiHidden/>
    <w:qFormat/>
    <w:locked/>
    <w:uiPriority w:val="0"/>
    <w:pPr>
      <w:ind w:left="960"/>
      <w:jc w:val="left"/>
    </w:pPr>
    <w:rPr>
      <w:rFonts w:asciiTheme="minorHAnsi" w:hAnsiTheme="minorHAnsi" w:cstheme="minorHAnsi"/>
      <w:sz w:val="18"/>
      <w:szCs w:val="18"/>
    </w:rPr>
  </w:style>
  <w:style w:type="paragraph" w:styleId="18">
    <w:name w:val="toc 3"/>
    <w:basedOn w:val="1"/>
    <w:next w:val="1"/>
    <w:semiHidden/>
    <w:qFormat/>
    <w:locked/>
    <w:uiPriority w:val="0"/>
    <w:pPr>
      <w:ind w:left="480"/>
      <w:jc w:val="left"/>
    </w:pPr>
    <w:rPr>
      <w:rFonts w:asciiTheme="minorHAnsi" w:hAnsiTheme="minorHAnsi" w:cstheme="minorHAnsi"/>
      <w:i/>
      <w:iCs/>
      <w:sz w:val="20"/>
      <w:szCs w:val="20"/>
    </w:rPr>
  </w:style>
  <w:style w:type="paragraph" w:styleId="19">
    <w:name w:val="Plain Text"/>
    <w:basedOn w:val="1"/>
    <w:link w:val="107"/>
    <w:qFormat/>
    <w:uiPriority w:val="99"/>
    <w:rPr>
      <w:rFonts w:ascii="宋体" w:hAnsi="Courier New" w:cs="Times New Roman"/>
      <w:kern w:val="0"/>
    </w:rPr>
  </w:style>
  <w:style w:type="paragraph" w:styleId="20">
    <w:name w:val="toc 8"/>
    <w:basedOn w:val="1"/>
    <w:next w:val="1"/>
    <w:semiHidden/>
    <w:qFormat/>
    <w:locked/>
    <w:uiPriority w:val="0"/>
    <w:pPr>
      <w:ind w:left="1680"/>
      <w:jc w:val="left"/>
    </w:pPr>
    <w:rPr>
      <w:rFonts w:asciiTheme="minorHAnsi" w:hAnsiTheme="minorHAnsi" w:cstheme="minorHAnsi"/>
      <w:sz w:val="18"/>
      <w:szCs w:val="18"/>
    </w:rPr>
  </w:style>
  <w:style w:type="paragraph" w:styleId="21">
    <w:name w:val="Date"/>
    <w:basedOn w:val="1"/>
    <w:next w:val="1"/>
    <w:qFormat/>
    <w:locked/>
    <w:uiPriority w:val="0"/>
    <w:pPr>
      <w:autoSpaceDE w:val="0"/>
      <w:autoSpaceDN w:val="0"/>
      <w:adjustRightInd w:val="0"/>
      <w:textAlignment w:val="baseline"/>
    </w:pPr>
    <w:rPr>
      <w:rFonts w:ascii="宋体"/>
      <w:sz w:val="28"/>
    </w:rPr>
  </w:style>
  <w:style w:type="paragraph" w:styleId="22">
    <w:name w:val="Balloon Text"/>
    <w:basedOn w:val="1"/>
    <w:link w:val="86"/>
    <w:semiHidden/>
    <w:qFormat/>
    <w:uiPriority w:val="99"/>
    <w:rPr>
      <w:rFonts w:cs="Times New Roman"/>
      <w:sz w:val="18"/>
      <w:szCs w:val="18"/>
    </w:rPr>
  </w:style>
  <w:style w:type="paragraph" w:styleId="23">
    <w:name w:val="header"/>
    <w:basedOn w:val="1"/>
    <w:link w:val="112"/>
    <w:qFormat/>
    <w:uiPriority w:val="99"/>
    <w:pPr>
      <w:pBdr>
        <w:bottom w:val="single" w:color="auto" w:sz="6" w:space="1"/>
      </w:pBdr>
      <w:tabs>
        <w:tab w:val="center" w:pos="4153"/>
        <w:tab w:val="right" w:pos="8306"/>
      </w:tabs>
      <w:snapToGrid w:val="0"/>
      <w:jc w:val="center"/>
    </w:pPr>
    <w:rPr>
      <w:rFonts w:cs="Times New Roman"/>
      <w:kern w:val="0"/>
      <w:sz w:val="18"/>
      <w:szCs w:val="18"/>
    </w:rPr>
  </w:style>
  <w:style w:type="paragraph" w:styleId="24">
    <w:name w:val="toc 1"/>
    <w:basedOn w:val="1"/>
    <w:next w:val="1"/>
    <w:qFormat/>
    <w:uiPriority w:val="39"/>
    <w:pPr>
      <w:spacing w:before="120" w:after="120"/>
      <w:jc w:val="left"/>
    </w:pPr>
    <w:rPr>
      <w:rFonts w:asciiTheme="minorHAnsi" w:hAnsiTheme="minorHAnsi" w:cstheme="minorHAnsi"/>
      <w:b/>
      <w:bCs/>
      <w:caps/>
      <w:szCs w:val="20"/>
    </w:rPr>
  </w:style>
  <w:style w:type="paragraph" w:styleId="25">
    <w:name w:val="index heading"/>
    <w:basedOn w:val="1"/>
    <w:next w:val="26"/>
    <w:semiHidden/>
    <w:qFormat/>
    <w:uiPriority w:val="99"/>
    <w:rPr>
      <w:rFonts w:cs="Times New Roman"/>
    </w:rPr>
  </w:style>
  <w:style w:type="paragraph" w:styleId="26">
    <w:name w:val="index 1"/>
    <w:basedOn w:val="1"/>
    <w:next w:val="1"/>
    <w:semiHidden/>
    <w:qFormat/>
    <w:uiPriority w:val="99"/>
    <w:pPr>
      <w:tabs>
        <w:tab w:val="left" w:pos="7740"/>
      </w:tabs>
      <w:jc w:val="center"/>
    </w:pPr>
    <w:rPr>
      <w:rFonts w:ascii="仿宋" w:hAnsi="仿宋" w:eastAsia="仿宋" w:cs="仿宋"/>
      <w:b/>
      <w:bCs/>
      <w:sz w:val="28"/>
      <w:szCs w:val="28"/>
    </w:rPr>
  </w:style>
  <w:style w:type="paragraph" w:styleId="27">
    <w:name w:val="toc 6"/>
    <w:basedOn w:val="1"/>
    <w:next w:val="1"/>
    <w:semiHidden/>
    <w:qFormat/>
    <w:locked/>
    <w:uiPriority w:val="0"/>
    <w:pPr>
      <w:ind w:left="1200"/>
      <w:jc w:val="left"/>
    </w:pPr>
    <w:rPr>
      <w:rFonts w:asciiTheme="minorHAnsi" w:hAnsiTheme="minorHAnsi" w:cstheme="minorHAnsi"/>
      <w:sz w:val="18"/>
      <w:szCs w:val="18"/>
    </w:rPr>
  </w:style>
  <w:style w:type="paragraph" w:styleId="28">
    <w:name w:val="toc 2"/>
    <w:basedOn w:val="1"/>
    <w:next w:val="1"/>
    <w:qFormat/>
    <w:uiPriority w:val="39"/>
    <w:pPr>
      <w:ind w:left="240"/>
      <w:jc w:val="left"/>
    </w:pPr>
    <w:rPr>
      <w:rFonts w:asciiTheme="minorHAnsi" w:hAnsiTheme="minorHAnsi" w:cstheme="minorHAnsi"/>
      <w:smallCaps/>
      <w:sz w:val="20"/>
      <w:szCs w:val="20"/>
    </w:rPr>
  </w:style>
  <w:style w:type="paragraph" w:styleId="29">
    <w:name w:val="toc 9"/>
    <w:basedOn w:val="1"/>
    <w:next w:val="1"/>
    <w:semiHidden/>
    <w:qFormat/>
    <w:locked/>
    <w:uiPriority w:val="0"/>
    <w:pPr>
      <w:ind w:left="1920"/>
      <w:jc w:val="left"/>
    </w:pPr>
    <w:rPr>
      <w:rFonts w:asciiTheme="minorHAnsi" w:hAnsiTheme="minorHAnsi" w:cstheme="minorHAnsi"/>
      <w:sz w:val="18"/>
      <w:szCs w:val="18"/>
    </w:rPr>
  </w:style>
  <w:style w:type="paragraph" w:styleId="30">
    <w:name w:val="Message Header"/>
    <w:basedOn w:val="1"/>
    <w:qFormat/>
    <w:locked/>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rPr>
  </w:style>
  <w:style w:type="paragraph" w:styleId="31">
    <w:name w:val="Normal (Web)"/>
    <w:basedOn w:val="1"/>
    <w:qFormat/>
    <w:uiPriority w:val="99"/>
    <w:pPr>
      <w:widowControl/>
      <w:spacing w:before="100" w:beforeAutospacing="1" w:after="100" w:afterAutospacing="1"/>
      <w:jc w:val="left"/>
    </w:pPr>
    <w:rPr>
      <w:rFonts w:ascii="宋体" w:hAnsi="宋体" w:cs="宋体"/>
      <w:color w:val="000000"/>
      <w:kern w:val="0"/>
      <w:szCs w:val="24"/>
    </w:rPr>
  </w:style>
  <w:style w:type="paragraph" w:styleId="32">
    <w:name w:val="annotation subject"/>
    <w:basedOn w:val="12"/>
    <w:next w:val="12"/>
    <w:link w:val="119"/>
    <w:semiHidden/>
    <w:qFormat/>
    <w:uiPriority w:val="99"/>
    <w:rPr>
      <w:b/>
      <w:bCs/>
    </w:rPr>
  </w:style>
  <w:style w:type="paragraph" w:styleId="33">
    <w:name w:val="Body Text First Indent"/>
    <w:basedOn w:val="14"/>
    <w:qFormat/>
    <w:locked/>
    <w:uiPriority w:val="0"/>
    <w:pPr>
      <w:adjustRightInd w:val="0"/>
      <w:ind w:firstLine="420"/>
      <w:jc w:val="left"/>
      <w:textAlignment w:val="baseline"/>
    </w:pPr>
  </w:style>
  <w:style w:type="paragraph" w:styleId="34">
    <w:name w:val="Body Text First Indent 2"/>
    <w:basedOn w:val="15"/>
    <w:next w:val="1"/>
    <w:qFormat/>
    <w:locked/>
    <w:uiPriority w:val="0"/>
    <w:pPr>
      <w:ind w:firstLine="420" w:firstLineChars="200"/>
    </w:pPr>
  </w:style>
  <w:style w:type="table" w:styleId="36">
    <w:name w:val="Table Grid"/>
    <w:basedOn w:val="3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7">
    <w:name w:val="Table Professional"/>
    <w:basedOn w:val="35"/>
    <w:unhideWhenUsed/>
    <w:qFormat/>
    <w:locked/>
    <w:uiPriority w:val="99"/>
    <w:pPr>
      <w:widowControl w:val="0"/>
      <w:autoSpaceDE w:val="0"/>
      <w:autoSpaceDN w:val="0"/>
      <w:adjustRightInd w:val="0"/>
      <w:spacing w:line="360" w:lineRule="auto"/>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39">
    <w:name w:val="Strong"/>
    <w:basedOn w:val="38"/>
    <w:qFormat/>
    <w:uiPriority w:val="99"/>
    <w:rPr>
      <w:rFonts w:ascii="Tahoma" w:hAnsi="Tahoma" w:eastAsia="宋体" w:cs="Tahoma"/>
      <w:b/>
      <w:bCs/>
      <w:spacing w:val="10"/>
      <w:sz w:val="24"/>
      <w:szCs w:val="24"/>
      <w:lang w:val="en-US" w:eastAsia="zh-CN"/>
    </w:rPr>
  </w:style>
  <w:style w:type="character" w:styleId="40">
    <w:name w:val="page number"/>
    <w:basedOn w:val="38"/>
    <w:qFormat/>
    <w:locked/>
    <w:uiPriority w:val="0"/>
  </w:style>
  <w:style w:type="character" w:styleId="41">
    <w:name w:val="FollowedHyperlink"/>
    <w:qFormat/>
    <w:uiPriority w:val="99"/>
    <w:rPr>
      <w:color w:val="auto"/>
      <w:u w:val="none"/>
    </w:rPr>
  </w:style>
  <w:style w:type="character" w:styleId="42">
    <w:name w:val="Emphasis"/>
    <w:qFormat/>
    <w:uiPriority w:val="20"/>
    <w:rPr>
      <w:color w:val="auto"/>
      <w:u w:val="none"/>
    </w:rPr>
  </w:style>
  <w:style w:type="character" w:styleId="43">
    <w:name w:val="HTML Definition"/>
    <w:basedOn w:val="38"/>
    <w:qFormat/>
    <w:uiPriority w:val="99"/>
  </w:style>
  <w:style w:type="character" w:styleId="44">
    <w:name w:val="HTML Typewriter"/>
    <w:basedOn w:val="38"/>
    <w:semiHidden/>
    <w:unhideWhenUsed/>
    <w:qFormat/>
    <w:locked/>
    <w:uiPriority w:val="99"/>
    <w:rPr>
      <w:rFonts w:hint="default" w:ascii="monospace" w:hAnsi="monospace" w:eastAsia="monospace" w:cs="monospace"/>
      <w:sz w:val="20"/>
    </w:rPr>
  </w:style>
  <w:style w:type="character" w:styleId="45">
    <w:name w:val="HTML Acronym"/>
    <w:basedOn w:val="38"/>
    <w:qFormat/>
    <w:uiPriority w:val="99"/>
  </w:style>
  <w:style w:type="character" w:styleId="46">
    <w:name w:val="HTML Variable"/>
    <w:basedOn w:val="38"/>
    <w:qFormat/>
    <w:uiPriority w:val="99"/>
  </w:style>
  <w:style w:type="character" w:styleId="47">
    <w:name w:val="Hyperlink"/>
    <w:basedOn w:val="38"/>
    <w:qFormat/>
    <w:uiPriority w:val="99"/>
    <w:rPr>
      <w:color w:val="333333"/>
      <w:u w:val="none"/>
    </w:rPr>
  </w:style>
  <w:style w:type="character" w:styleId="48">
    <w:name w:val="HTML Code"/>
    <w:qFormat/>
    <w:uiPriority w:val="99"/>
    <w:rPr>
      <w:rFonts w:ascii="Courier New" w:hAnsi="Courier New" w:cs="Courier New"/>
      <w:sz w:val="20"/>
      <w:szCs w:val="20"/>
    </w:rPr>
  </w:style>
  <w:style w:type="character" w:styleId="49">
    <w:name w:val="annotation reference"/>
    <w:semiHidden/>
    <w:qFormat/>
    <w:uiPriority w:val="99"/>
    <w:rPr>
      <w:sz w:val="21"/>
      <w:szCs w:val="21"/>
    </w:rPr>
  </w:style>
  <w:style w:type="character" w:styleId="50">
    <w:name w:val="HTML Cite"/>
    <w:basedOn w:val="38"/>
    <w:qFormat/>
    <w:uiPriority w:val="99"/>
  </w:style>
  <w:style w:type="character" w:styleId="51">
    <w:name w:val="HTML Keyboard"/>
    <w:unhideWhenUsed/>
    <w:qFormat/>
    <w:locked/>
    <w:uiPriority w:val="99"/>
    <w:rPr>
      <w:rFonts w:hint="default" w:ascii="Menlo" w:hAnsi="Menlo" w:eastAsia="Menlo" w:cs="Menlo"/>
      <w:color w:val="FFFFFF"/>
      <w:sz w:val="21"/>
      <w:szCs w:val="21"/>
      <w:shd w:val="clear" w:color="auto" w:fill="333333"/>
    </w:rPr>
  </w:style>
  <w:style w:type="character" w:styleId="52">
    <w:name w:val="HTML Sample"/>
    <w:unhideWhenUsed/>
    <w:qFormat/>
    <w:locked/>
    <w:uiPriority w:val="99"/>
    <w:rPr>
      <w:rFonts w:hint="default" w:ascii="Menlo" w:hAnsi="Menlo" w:eastAsia="Menlo" w:cs="Menlo"/>
      <w:sz w:val="21"/>
      <w:szCs w:val="21"/>
    </w:rPr>
  </w:style>
  <w:style w:type="paragraph" w:customStyle="1" w:styleId="53">
    <w:name w:val="TOC 标题1"/>
    <w:basedOn w:val="3"/>
    <w:next w:val="1"/>
    <w:qFormat/>
    <w:uiPriority w:val="99"/>
    <w:pPr>
      <w:spacing w:line="276" w:lineRule="auto"/>
      <w:outlineLvl w:val="9"/>
    </w:pPr>
    <w:rPr>
      <w:rFonts w:ascii="仿宋" w:hAnsi="仿宋" w:eastAsia="仿宋"/>
      <w:color w:val="000000"/>
      <w:kern w:val="0"/>
      <w:szCs w:val="32"/>
    </w:rPr>
  </w:style>
  <w:style w:type="paragraph" w:customStyle="1" w:styleId="54">
    <w:name w:val="首行缩进"/>
    <w:basedOn w:val="1"/>
    <w:qFormat/>
    <w:uiPriority w:val="0"/>
    <w:pPr>
      <w:ind w:firstLine="480" w:firstLineChars="200"/>
    </w:pPr>
    <w:rPr>
      <w:lang w:val="zh-CN"/>
    </w:rPr>
  </w:style>
  <w:style w:type="paragraph" w:customStyle="1" w:styleId="55">
    <w:name w:val="段落"/>
    <w:qFormat/>
    <w:uiPriority w:val="0"/>
    <w:pPr>
      <w:adjustRightInd w:val="0"/>
      <w:snapToGrid w:val="0"/>
      <w:spacing w:before="120" w:after="120" w:line="360" w:lineRule="auto"/>
      <w:ind w:firstLine="560" w:firstLineChars="200"/>
      <w:jc w:val="both"/>
    </w:pPr>
    <w:rPr>
      <w:rFonts w:ascii="Times New Roman" w:hAnsi="Times New Roman" w:eastAsia="仿宋_GB2312" w:cs="Times New Roman"/>
      <w:kern w:val="2"/>
      <w:sz w:val="28"/>
      <w:szCs w:val="24"/>
      <w:lang w:val="en-US" w:eastAsia="zh-CN" w:bidi="ar-SA"/>
    </w:rPr>
  </w:style>
  <w:style w:type="paragraph" w:customStyle="1" w:styleId="56">
    <w:name w:val="表格文字"/>
    <w:basedOn w:val="1"/>
    <w:qFormat/>
    <w:uiPriority w:val="99"/>
    <w:pPr>
      <w:spacing w:before="25" w:after="25"/>
      <w:jc w:val="left"/>
    </w:pPr>
    <w:rPr>
      <w:rFonts w:cs="Times New Roman"/>
      <w:spacing w:val="10"/>
      <w:kern w:val="0"/>
      <w:szCs w:val="24"/>
    </w:rPr>
  </w:style>
  <w:style w:type="paragraph" w:customStyle="1" w:styleId="57">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
    <w:name w:val="正文-段落"/>
    <w:qFormat/>
    <w:uiPriority w:val="99"/>
    <w:pPr>
      <w:spacing w:line="360" w:lineRule="auto"/>
      <w:ind w:firstLine="200" w:firstLineChars="200"/>
    </w:pPr>
    <w:rPr>
      <w:rFonts w:ascii="Times New Roman" w:hAnsi="Times New Roman" w:eastAsia="宋体" w:cs="Calibri"/>
      <w:sz w:val="24"/>
      <w:szCs w:val="24"/>
      <w:lang w:val="en-US" w:eastAsia="zh-CN" w:bidi="ar-SA"/>
    </w:rPr>
  </w:style>
  <w:style w:type="paragraph" w:customStyle="1" w:styleId="59">
    <w:name w:val="一级缩进"/>
    <w:qFormat/>
    <w:uiPriority w:val="0"/>
    <w:pPr>
      <w:numPr>
        <w:ilvl w:val="0"/>
        <w:numId w:val="2"/>
      </w:numPr>
      <w:tabs>
        <w:tab w:val="left" w:pos="568"/>
        <w:tab w:val="clear" w:pos="710"/>
      </w:tabs>
      <w:adjustRightInd w:val="0"/>
      <w:snapToGrid w:val="0"/>
      <w:spacing w:before="120" w:after="120" w:line="360" w:lineRule="auto"/>
      <w:ind w:left="818"/>
      <w:jc w:val="both"/>
    </w:pPr>
    <w:rPr>
      <w:rFonts w:ascii="Times New Roman" w:hAnsi="Times New Roman" w:eastAsia="仿宋_GB2312" w:cs="Times New Roman"/>
      <w:kern w:val="2"/>
      <w:sz w:val="24"/>
      <w:szCs w:val="24"/>
      <w:lang w:val="en-US" w:eastAsia="zh-CN" w:bidi="ar-SA"/>
    </w:rPr>
  </w:style>
  <w:style w:type="paragraph" w:customStyle="1" w:styleId="60">
    <w:name w:val="正文首行缩进两字符"/>
    <w:basedOn w:val="1"/>
    <w:qFormat/>
    <w:uiPriority w:val="99"/>
    <w:pPr>
      <w:spacing w:line="360" w:lineRule="auto"/>
      <w:ind w:firstLine="200" w:firstLineChars="200"/>
    </w:pPr>
  </w:style>
  <w:style w:type="paragraph" w:customStyle="1" w:styleId="61">
    <w:name w:val="Char Char1 Char Char Char Char Char Char"/>
    <w:basedOn w:val="1"/>
    <w:qFormat/>
    <w:uiPriority w:val="0"/>
    <w:pPr>
      <w:widowControl/>
      <w:spacing w:after="160" w:line="240" w:lineRule="exact"/>
      <w:jc w:val="center"/>
    </w:pPr>
    <w:rPr>
      <w:rFonts w:ascii="黑体" w:hAnsi="Verdana" w:eastAsia="黑体" w:cs="Times New Roman"/>
      <w:kern w:val="0"/>
      <w:sz w:val="36"/>
      <w:szCs w:val="36"/>
    </w:rPr>
  </w:style>
  <w:style w:type="paragraph" w:customStyle="1" w:styleId="62">
    <w:name w:val="**正文"/>
    <w:basedOn w:val="1"/>
    <w:qFormat/>
    <w:uiPriority w:val="0"/>
    <w:pPr>
      <w:ind w:firstLine="482"/>
    </w:pPr>
    <w:rPr>
      <w:rFonts w:ascii="宋体" w:hAnsi="宋体"/>
      <w:sz w:val="20"/>
      <w:szCs w:val="24"/>
      <w:lang w:val="zh-CN"/>
    </w:rPr>
  </w:style>
  <w:style w:type="paragraph" w:customStyle="1" w:styleId="63">
    <w:name w:val="题注5"/>
    <w:basedOn w:val="1"/>
    <w:next w:val="11"/>
    <w:qFormat/>
    <w:uiPriority w:val="99"/>
    <w:pPr>
      <w:jc w:val="center"/>
    </w:pPr>
    <w:rPr>
      <w:rFonts w:cs="Times New Roman"/>
      <w:b/>
      <w:bCs/>
      <w:color w:val="000000"/>
      <w:szCs w:val="24"/>
    </w:rPr>
  </w:style>
  <w:style w:type="paragraph" w:customStyle="1" w:styleId="64">
    <w:name w:val="GP正文(首行缩进)"/>
    <w:basedOn w:val="1"/>
    <w:qFormat/>
    <w:uiPriority w:val="99"/>
    <w:pPr>
      <w:spacing w:line="360" w:lineRule="auto"/>
      <w:ind w:firstLine="200" w:firstLineChars="200"/>
      <w:jc w:val="left"/>
    </w:pPr>
    <w:rPr>
      <w:szCs w:val="24"/>
    </w:rPr>
  </w:style>
  <w:style w:type="paragraph" w:customStyle="1" w:styleId="65">
    <w:name w:val="题注4"/>
    <w:basedOn w:val="1"/>
    <w:next w:val="11"/>
    <w:qFormat/>
    <w:uiPriority w:val="99"/>
    <w:pPr>
      <w:ind w:left="-132" w:leftChars="-64" w:right="-105" w:rightChars="-50" w:hanging="2"/>
      <w:jc w:val="center"/>
    </w:pPr>
    <w:rPr>
      <w:rFonts w:cs="Times New Roman"/>
      <w:b/>
      <w:bCs/>
      <w:color w:val="FF0000"/>
      <w:lang w:val="en-GB"/>
    </w:rPr>
  </w:style>
  <w:style w:type="paragraph" w:customStyle="1" w:styleId="66">
    <w:name w:val="Preformatted"/>
    <w:basedOn w:val="1"/>
    <w:qFormat/>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67">
    <w:name w:val="标号"/>
    <w:basedOn w:val="1"/>
    <w:qFormat/>
    <w:uiPriority w:val="99"/>
    <w:pPr>
      <w:spacing w:line="360" w:lineRule="auto"/>
    </w:pPr>
    <w:rPr>
      <w:rFonts w:ascii="宋体" w:hAnsi="宋体" w:cs="宋体"/>
      <w:szCs w:val="24"/>
    </w:rPr>
  </w:style>
  <w:style w:type="paragraph" w:customStyle="1" w:styleId="68">
    <w:name w:val="表格样式居中"/>
    <w:qFormat/>
    <w:uiPriority w:val="0"/>
    <w:pPr>
      <w:adjustRightInd w:val="0"/>
      <w:snapToGrid w:val="0"/>
      <w:jc w:val="center"/>
    </w:pPr>
    <w:rPr>
      <w:rFonts w:ascii="Times New Roman" w:hAnsi="Times New Roman" w:eastAsia="仿宋_GB2312" w:cs="Times New Roman"/>
      <w:bCs/>
      <w:kern w:val="44"/>
      <w:sz w:val="21"/>
      <w:szCs w:val="44"/>
      <w:lang w:val="en-US" w:eastAsia="zh-CN" w:bidi="ar-SA"/>
    </w:rPr>
  </w:style>
  <w:style w:type="paragraph" w:customStyle="1" w:styleId="69">
    <w:name w:val="_Style 0"/>
    <w:qFormat/>
    <w:uiPriority w:val="1"/>
    <w:pPr>
      <w:widowControl w:val="0"/>
      <w:jc w:val="both"/>
    </w:pPr>
    <w:rPr>
      <w:rFonts w:ascii="Times New Roman" w:hAnsi="Times New Roman" w:eastAsia="宋体" w:cs="Calibri"/>
      <w:kern w:val="2"/>
      <w:sz w:val="21"/>
      <w:szCs w:val="21"/>
      <w:lang w:val="en-US" w:eastAsia="zh-CN" w:bidi="ar-SA"/>
    </w:rPr>
  </w:style>
  <w:style w:type="paragraph" w:customStyle="1" w:styleId="70">
    <w:name w:val="xl25"/>
    <w:basedOn w:val="1"/>
    <w:qFormat/>
    <w:uiPriority w:val="99"/>
    <w:pPr>
      <w:widowControl/>
      <w:pBdr>
        <w:bottom w:val="single" w:color="auto" w:sz="4" w:space="0"/>
        <w:right w:val="single" w:color="auto" w:sz="4" w:space="0"/>
      </w:pBdr>
      <w:spacing w:before="100" w:beforeAutospacing="1" w:after="100" w:afterAutospacing="1"/>
      <w:jc w:val="center"/>
    </w:pPr>
    <w:rPr>
      <w:rFonts w:ascii="宋体" w:hAnsi="宋体" w:cs="宋体"/>
      <w:kern w:val="0"/>
    </w:rPr>
  </w:style>
  <w:style w:type="paragraph" w:customStyle="1" w:styleId="71">
    <w:name w:val="正文1"/>
    <w:qFormat/>
    <w:uiPriority w:val="99"/>
    <w:pPr>
      <w:widowControl w:val="0"/>
      <w:adjustRightInd w:val="0"/>
      <w:spacing w:line="312" w:lineRule="atLeast"/>
      <w:jc w:val="both"/>
      <w:textAlignment w:val="baseline"/>
    </w:pPr>
    <w:rPr>
      <w:rFonts w:ascii="宋体" w:hAnsi="Times New Roman" w:eastAsia="宋体" w:cs="宋体"/>
      <w:sz w:val="34"/>
      <w:szCs w:val="34"/>
      <w:lang w:val="en-US" w:eastAsia="zh-CN" w:bidi="ar-SA"/>
    </w:rPr>
  </w:style>
  <w:style w:type="paragraph" w:customStyle="1" w:styleId="72">
    <w:name w:val="图"/>
    <w:basedOn w:val="1"/>
    <w:qFormat/>
    <w:uiPriority w:val="99"/>
    <w:pPr>
      <w:keepNext/>
      <w:adjustRightInd w:val="0"/>
      <w:snapToGrid w:val="0"/>
      <w:spacing w:before="60" w:after="60" w:line="300" w:lineRule="auto"/>
      <w:jc w:val="center"/>
    </w:pPr>
    <w:rPr>
      <w:rFonts w:cs="Times New Roman"/>
      <w:spacing w:val="20"/>
      <w:kern w:val="0"/>
      <w:szCs w:val="24"/>
    </w:rPr>
  </w:style>
  <w:style w:type="paragraph" w:styleId="73">
    <w:name w:val="No Spacing"/>
    <w:qFormat/>
    <w:uiPriority w:val="1"/>
    <w:pPr>
      <w:widowControl w:val="0"/>
      <w:jc w:val="both"/>
    </w:pPr>
    <w:rPr>
      <w:rFonts w:ascii="Times New Roman" w:hAnsi="Times New Roman" w:eastAsia="宋体" w:cs="Calibri"/>
      <w:kern w:val="2"/>
      <w:sz w:val="21"/>
      <w:szCs w:val="21"/>
      <w:lang w:val="en-US" w:eastAsia="zh-CN" w:bidi="ar-SA"/>
    </w:rPr>
  </w:style>
  <w:style w:type="paragraph" w:customStyle="1" w:styleId="74">
    <w:name w:val="纯文本1"/>
    <w:basedOn w:val="1"/>
    <w:qFormat/>
    <w:uiPriority w:val="0"/>
    <w:rPr>
      <w:rFonts w:ascii="宋体" w:hAnsi="Courier New" w:cs="Times New Roman"/>
      <w:szCs w:val="22"/>
    </w:rPr>
  </w:style>
  <w:style w:type="paragraph" w:customStyle="1" w:styleId="75">
    <w:name w:val="Table Text"/>
    <w:basedOn w:val="1"/>
    <w:qFormat/>
    <w:uiPriority w:val="0"/>
    <w:pPr>
      <w:topLinePunct/>
      <w:snapToGrid w:val="0"/>
      <w:spacing w:before="80" w:after="80" w:line="240" w:lineRule="atLeast"/>
    </w:pPr>
  </w:style>
  <w:style w:type="paragraph" w:customStyle="1" w:styleId="76">
    <w:name w:val="图样式"/>
    <w:basedOn w:val="1"/>
    <w:qFormat/>
    <w:uiPriority w:val="0"/>
    <w:pPr>
      <w:keepNext/>
      <w:widowControl/>
      <w:spacing w:before="80" w:after="80"/>
      <w:jc w:val="center"/>
    </w:pPr>
  </w:style>
  <w:style w:type="paragraph" w:customStyle="1" w:styleId="77">
    <w:name w:val="列出段落1"/>
    <w:basedOn w:val="1"/>
    <w:qFormat/>
    <w:uiPriority w:val="34"/>
    <w:pPr>
      <w:ind w:firstLine="420" w:firstLineChars="200"/>
    </w:pPr>
  </w:style>
  <w:style w:type="paragraph" w:customStyle="1" w:styleId="78">
    <w:name w:val="正文缩进1"/>
    <w:basedOn w:val="1"/>
    <w:qFormat/>
    <w:uiPriority w:val="0"/>
    <w:pPr>
      <w:autoSpaceDE w:val="0"/>
      <w:autoSpaceDN w:val="0"/>
      <w:adjustRightInd w:val="0"/>
      <w:ind w:firstLine="420"/>
      <w:jc w:val="left"/>
    </w:pPr>
    <w:rPr>
      <w:rFonts w:ascii="宋体"/>
      <w:kern w:val="0"/>
    </w:rPr>
  </w:style>
  <w:style w:type="paragraph" w:customStyle="1" w:styleId="79">
    <w:name w:val="*正文"/>
    <w:basedOn w:val="1"/>
    <w:qFormat/>
    <w:uiPriority w:val="99"/>
    <w:pPr>
      <w:widowControl/>
      <w:ind w:firstLine="200" w:firstLineChars="200"/>
    </w:pPr>
    <w:rPr>
      <w:rFonts w:ascii="??_GB2312" w:eastAsia="Times New Roman" w:cs="??_GB2312"/>
      <w:szCs w:val="24"/>
    </w:rPr>
  </w:style>
  <w:style w:type="character" w:customStyle="1" w:styleId="80">
    <w:name w:val="font71"/>
    <w:qFormat/>
    <w:uiPriority w:val="0"/>
    <w:rPr>
      <w:rFonts w:ascii="font-weight : 400" w:hAnsi="font-weight : 400" w:eastAsia="font-weight : 400" w:cs="font-weight : 400"/>
      <w:color w:val="000000"/>
      <w:sz w:val="20"/>
      <w:szCs w:val="20"/>
      <w:u w:val="none"/>
    </w:rPr>
  </w:style>
  <w:style w:type="character" w:customStyle="1" w:styleId="81">
    <w:name w:val="hour_am"/>
    <w:basedOn w:val="38"/>
    <w:qFormat/>
    <w:uiPriority w:val="0"/>
  </w:style>
  <w:style w:type="character" w:customStyle="1" w:styleId="82">
    <w:name w:val="font11"/>
    <w:qFormat/>
    <w:uiPriority w:val="0"/>
    <w:rPr>
      <w:rFonts w:hint="default" w:ascii="Calibri" w:hAnsi="Calibri" w:cs="Calibri"/>
      <w:b/>
      <w:color w:val="000000"/>
      <w:sz w:val="21"/>
      <w:szCs w:val="21"/>
      <w:u w:val="single"/>
    </w:rPr>
  </w:style>
  <w:style w:type="character" w:customStyle="1" w:styleId="83">
    <w:name w:val="redfilenumber"/>
    <w:qFormat/>
    <w:uiPriority w:val="0"/>
    <w:rPr>
      <w:color w:val="BA2636"/>
      <w:sz w:val="18"/>
      <w:szCs w:val="18"/>
    </w:rPr>
  </w:style>
  <w:style w:type="character" w:customStyle="1" w:styleId="84">
    <w:name w:val="font01"/>
    <w:qFormat/>
    <w:uiPriority w:val="0"/>
    <w:rPr>
      <w:rFonts w:hint="default" w:ascii="Calibri" w:hAnsi="Calibri" w:cs="Calibri"/>
      <w:color w:val="000000"/>
      <w:sz w:val="20"/>
      <w:szCs w:val="20"/>
      <w:u w:val="single"/>
    </w:rPr>
  </w:style>
  <w:style w:type="character" w:customStyle="1" w:styleId="85">
    <w:name w:val="font21"/>
    <w:qFormat/>
    <w:uiPriority w:val="99"/>
    <w:rPr>
      <w:rFonts w:ascii="宋体" w:hAnsi="宋体" w:eastAsia="宋体" w:cs="宋体"/>
      <w:b/>
      <w:bCs/>
      <w:color w:val="000000"/>
      <w:sz w:val="20"/>
      <w:szCs w:val="20"/>
      <w:u w:val="none"/>
    </w:rPr>
  </w:style>
  <w:style w:type="character" w:customStyle="1" w:styleId="86">
    <w:name w:val="批注框文本 Char"/>
    <w:link w:val="22"/>
    <w:qFormat/>
    <w:locked/>
    <w:uiPriority w:val="99"/>
    <w:rPr>
      <w:rFonts w:ascii="Calibri" w:hAnsi="Calibri" w:eastAsia="宋体" w:cs="Calibri"/>
      <w:kern w:val="2"/>
      <w:sz w:val="18"/>
      <w:szCs w:val="18"/>
    </w:rPr>
  </w:style>
  <w:style w:type="character" w:customStyle="1" w:styleId="87">
    <w:name w:val="qxdate"/>
    <w:qFormat/>
    <w:uiPriority w:val="0"/>
    <w:rPr>
      <w:color w:val="333333"/>
      <w:sz w:val="18"/>
      <w:szCs w:val="18"/>
    </w:rPr>
  </w:style>
  <w:style w:type="character" w:customStyle="1" w:styleId="88">
    <w:name w:val="hour_pm"/>
    <w:basedOn w:val="38"/>
    <w:qFormat/>
    <w:uiPriority w:val="0"/>
  </w:style>
  <w:style w:type="character" w:customStyle="1" w:styleId="89">
    <w:name w:val="批注文字 Char"/>
    <w:link w:val="12"/>
    <w:semiHidden/>
    <w:qFormat/>
    <w:locked/>
    <w:uiPriority w:val="99"/>
    <w:rPr>
      <w:rFonts w:ascii="Calibri" w:hAnsi="Calibri" w:cs="Calibri"/>
      <w:sz w:val="21"/>
      <w:szCs w:val="21"/>
    </w:rPr>
  </w:style>
  <w:style w:type="character" w:customStyle="1" w:styleId="90">
    <w:name w:val="hover3"/>
    <w:qFormat/>
    <w:uiPriority w:val="0"/>
    <w:rPr>
      <w:shd w:val="clear" w:color="auto" w:fill="EEEEEE"/>
    </w:rPr>
  </w:style>
  <w:style w:type="character" w:customStyle="1" w:styleId="91">
    <w:name w:val="标题 4 Char"/>
    <w:link w:val="6"/>
    <w:semiHidden/>
    <w:qFormat/>
    <w:locked/>
    <w:uiPriority w:val="99"/>
    <w:rPr>
      <w:rFonts w:ascii="Cambria" w:hAnsi="Cambria" w:eastAsia="宋体" w:cs="Cambria"/>
      <w:b/>
      <w:bCs/>
      <w:sz w:val="28"/>
      <w:szCs w:val="28"/>
    </w:rPr>
  </w:style>
  <w:style w:type="character" w:customStyle="1" w:styleId="92">
    <w:name w:val="font101"/>
    <w:qFormat/>
    <w:uiPriority w:val="0"/>
    <w:rPr>
      <w:rFonts w:ascii="font-weight : 700" w:hAnsi="font-weight : 700" w:eastAsia="font-weight : 700" w:cs="font-weight : 700"/>
      <w:color w:val="000000"/>
      <w:sz w:val="20"/>
      <w:szCs w:val="20"/>
      <w:u w:val="none"/>
    </w:rPr>
  </w:style>
  <w:style w:type="character" w:customStyle="1" w:styleId="93">
    <w:name w:val="glyphicon4"/>
    <w:basedOn w:val="38"/>
    <w:qFormat/>
    <w:uiPriority w:val="0"/>
  </w:style>
  <w:style w:type="character" w:customStyle="1" w:styleId="94">
    <w:name w:val="正文文本 Char"/>
    <w:link w:val="14"/>
    <w:semiHidden/>
    <w:qFormat/>
    <w:locked/>
    <w:uiPriority w:val="99"/>
    <w:rPr>
      <w:rFonts w:ascii="Calibri" w:hAnsi="Calibri" w:cs="Calibri"/>
      <w:sz w:val="21"/>
      <w:szCs w:val="21"/>
    </w:rPr>
  </w:style>
  <w:style w:type="character" w:customStyle="1" w:styleId="95">
    <w:name w:val="font91"/>
    <w:qFormat/>
    <w:uiPriority w:val="99"/>
    <w:rPr>
      <w:rFonts w:ascii="Arial" w:hAnsi="Arial" w:cs="Arial"/>
      <w:color w:val="auto"/>
      <w:sz w:val="18"/>
      <w:szCs w:val="18"/>
      <w:u w:val="none"/>
    </w:rPr>
  </w:style>
  <w:style w:type="character" w:customStyle="1" w:styleId="96">
    <w:name w:val="页脚 Char"/>
    <w:link w:val="2"/>
    <w:qFormat/>
    <w:locked/>
    <w:uiPriority w:val="99"/>
    <w:rPr>
      <w:rFonts w:ascii="Calibri" w:hAnsi="Calibri" w:cs="Calibri"/>
      <w:sz w:val="18"/>
      <w:szCs w:val="18"/>
    </w:rPr>
  </w:style>
  <w:style w:type="character" w:customStyle="1" w:styleId="97">
    <w:name w:val="font31"/>
    <w:qFormat/>
    <w:uiPriority w:val="99"/>
    <w:rPr>
      <w:rFonts w:ascii="宋体" w:hAnsi="宋体" w:eastAsia="宋体" w:cs="宋体"/>
      <w:color w:val="auto"/>
      <w:sz w:val="18"/>
      <w:szCs w:val="18"/>
      <w:u w:val="none"/>
    </w:rPr>
  </w:style>
  <w:style w:type="character" w:customStyle="1" w:styleId="98">
    <w:name w:val="标题 1 Char"/>
    <w:link w:val="3"/>
    <w:qFormat/>
    <w:locked/>
    <w:uiPriority w:val="99"/>
    <w:rPr>
      <w:rFonts w:ascii="Times New Roman" w:hAnsi="Times New Roman" w:eastAsia="宋体" w:cs="Calibri"/>
      <w:b/>
      <w:bCs/>
      <w:kern w:val="44"/>
      <w:sz w:val="32"/>
      <w:szCs w:val="44"/>
    </w:rPr>
  </w:style>
  <w:style w:type="character" w:customStyle="1" w:styleId="99">
    <w:name w:val="font51"/>
    <w:qFormat/>
    <w:uiPriority w:val="0"/>
    <w:rPr>
      <w:rFonts w:hint="eastAsia" w:ascii="宋体" w:hAnsi="宋体" w:eastAsia="宋体" w:cs="宋体"/>
      <w:b/>
      <w:color w:val="000000"/>
      <w:sz w:val="21"/>
      <w:szCs w:val="21"/>
      <w:u w:val="none"/>
    </w:rPr>
  </w:style>
  <w:style w:type="character" w:customStyle="1" w:styleId="100">
    <w:name w:val="font81"/>
    <w:qFormat/>
    <w:uiPriority w:val="99"/>
    <w:rPr>
      <w:rFonts w:ascii="Wingdings 2" w:hAnsi="Wingdings 2" w:cs="Wingdings 2"/>
      <w:color w:val="000000"/>
      <w:sz w:val="20"/>
      <w:szCs w:val="20"/>
      <w:u w:val="none"/>
    </w:rPr>
  </w:style>
  <w:style w:type="character" w:customStyle="1" w:styleId="101">
    <w:name w:val="displayarti"/>
    <w:qFormat/>
    <w:uiPriority w:val="99"/>
    <w:rPr>
      <w:color w:val="FFFFFF"/>
      <w:shd w:val="clear" w:color="auto" w:fill="auto"/>
    </w:rPr>
  </w:style>
  <w:style w:type="character" w:customStyle="1" w:styleId="102">
    <w:name w:val="redfilefwwh"/>
    <w:qFormat/>
    <w:uiPriority w:val="0"/>
    <w:rPr>
      <w:color w:val="BA2636"/>
      <w:sz w:val="18"/>
      <w:szCs w:val="18"/>
    </w:rPr>
  </w:style>
  <w:style w:type="character" w:customStyle="1" w:styleId="103">
    <w:name w:val="glyphicon"/>
    <w:basedOn w:val="38"/>
    <w:qFormat/>
    <w:uiPriority w:val="0"/>
  </w:style>
  <w:style w:type="character" w:customStyle="1" w:styleId="104">
    <w:name w:val="button"/>
    <w:basedOn w:val="38"/>
    <w:qFormat/>
    <w:uiPriority w:val="0"/>
  </w:style>
  <w:style w:type="character" w:customStyle="1" w:styleId="105">
    <w:name w:val="cfdate"/>
    <w:qFormat/>
    <w:uiPriority w:val="0"/>
    <w:rPr>
      <w:color w:val="333333"/>
      <w:sz w:val="18"/>
      <w:szCs w:val="18"/>
    </w:rPr>
  </w:style>
  <w:style w:type="character" w:customStyle="1" w:styleId="106">
    <w:name w:val="gpa"/>
    <w:qFormat/>
    <w:uiPriority w:val="99"/>
    <w:rPr>
      <w:rFonts w:ascii="Arial" w:hAnsi="Arial" w:cs="Arial"/>
      <w:sz w:val="15"/>
      <w:szCs w:val="15"/>
    </w:rPr>
  </w:style>
  <w:style w:type="character" w:customStyle="1" w:styleId="107">
    <w:name w:val="纯文本 Char"/>
    <w:link w:val="19"/>
    <w:semiHidden/>
    <w:qFormat/>
    <w:locked/>
    <w:uiPriority w:val="99"/>
    <w:rPr>
      <w:rFonts w:ascii="宋体" w:hAnsi="Courier New" w:cs="宋体"/>
      <w:sz w:val="21"/>
      <w:szCs w:val="21"/>
    </w:rPr>
  </w:style>
  <w:style w:type="character" w:customStyle="1" w:styleId="108">
    <w:name w:val="font41"/>
    <w:qFormat/>
    <w:uiPriority w:val="0"/>
    <w:rPr>
      <w:rFonts w:hint="default" w:ascii="Calibri" w:hAnsi="Calibri" w:cs="Calibri"/>
      <w:b/>
      <w:color w:val="000000"/>
      <w:sz w:val="21"/>
      <w:szCs w:val="21"/>
      <w:u w:val="none"/>
    </w:rPr>
  </w:style>
  <w:style w:type="character" w:customStyle="1" w:styleId="109">
    <w:name w:val="sadicon"/>
    <w:basedOn w:val="38"/>
    <w:qFormat/>
    <w:uiPriority w:val="99"/>
  </w:style>
  <w:style w:type="character" w:customStyle="1" w:styleId="110">
    <w:name w:val="old"/>
    <w:qFormat/>
    <w:uiPriority w:val="0"/>
    <w:rPr>
      <w:color w:val="999999"/>
    </w:rPr>
  </w:style>
  <w:style w:type="character" w:customStyle="1" w:styleId="111">
    <w:name w:val="gjfg"/>
    <w:basedOn w:val="38"/>
    <w:qFormat/>
    <w:uiPriority w:val="0"/>
  </w:style>
  <w:style w:type="character" w:customStyle="1" w:styleId="112">
    <w:name w:val="页眉 Char"/>
    <w:link w:val="23"/>
    <w:semiHidden/>
    <w:qFormat/>
    <w:locked/>
    <w:uiPriority w:val="99"/>
    <w:rPr>
      <w:rFonts w:ascii="Calibri" w:hAnsi="Calibri" w:cs="Calibri"/>
      <w:sz w:val="18"/>
      <w:szCs w:val="18"/>
    </w:rPr>
  </w:style>
  <w:style w:type="character" w:customStyle="1" w:styleId="113">
    <w:name w:val="标题 3 Char"/>
    <w:link w:val="5"/>
    <w:semiHidden/>
    <w:qFormat/>
    <w:locked/>
    <w:uiPriority w:val="99"/>
    <w:rPr>
      <w:rFonts w:ascii="Calibri" w:hAnsi="Calibri" w:cs="Calibri"/>
      <w:b/>
      <w:bCs/>
      <w:sz w:val="32"/>
      <w:szCs w:val="32"/>
    </w:rPr>
  </w:style>
  <w:style w:type="character" w:customStyle="1" w:styleId="114">
    <w:name w:val="标题 2 Char"/>
    <w:link w:val="4"/>
    <w:semiHidden/>
    <w:qFormat/>
    <w:locked/>
    <w:uiPriority w:val="99"/>
    <w:rPr>
      <w:rFonts w:ascii="Cambria" w:hAnsi="Cambria" w:eastAsia="宋体" w:cs="Cambria"/>
      <w:b/>
      <w:bCs/>
      <w:sz w:val="24"/>
      <w:szCs w:val="32"/>
    </w:rPr>
  </w:style>
  <w:style w:type="character" w:customStyle="1" w:styleId="115">
    <w:name w:val="正文文本 3 Char"/>
    <w:link w:val="13"/>
    <w:semiHidden/>
    <w:qFormat/>
    <w:locked/>
    <w:uiPriority w:val="99"/>
    <w:rPr>
      <w:rFonts w:ascii="Calibri" w:hAnsi="Calibri" w:cs="Calibri"/>
      <w:sz w:val="16"/>
      <w:szCs w:val="16"/>
    </w:rPr>
  </w:style>
  <w:style w:type="character" w:customStyle="1" w:styleId="116">
    <w:name w:val="selected"/>
    <w:qFormat/>
    <w:uiPriority w:val="99"/>
    <w:rPr>
      <w:shd w:val="clear" w:color="auto" w:fill="auto"/>
    </w:rPr>
  </w:style>
  <w:style w:type="character" w:customStyle="1" w:styleId="117">
    <w:name w:val="font61"/>
    <w:qFormat/>
    <w:uiPriority w:val="99"/>
    <w:rPr>
      <w:rFonts w:ascii="宋体" w:hAnsi="宋体" w:eastAsia="宋体" w:cs="宋体"/>
      <w:color w:val="000000"/>
      <w:sz w:val="20"/>
      <w:szCs w:val="20"/>
      <w:u w:val="none"/>
    </w:rPr>
  </w:style>
  <w:style w:type="character" w:customStyle="1" w:styleId="118">
    <w:name w:val="tmpztreemove_arrow"/>
    <w:qFormat/>
    <w:uiPriority w:val="0"/>
    <w:rPr>
      <w:shd w:val="clear" w:color="auto" w:fill="FFFFFF"/>
    </w:rPr>
  </w:style>
  <w:style w:type="character" w:customStyle="1" w:styleId="119">
    <w:name w:val="批注主题 Char"/>
    <w:link w:val="32"/>
    <w:semiHidden/>
    <w:qFormat/>
    <w:locked/>
    <w:uiPriority w:val="99"/>
    <w:rPr>
      <w:rFonts w:ascii="Calibri" w:hAnsi="Calibri" w:cs="Calibri"/>
      <w:b/>
      <w:bCs/>
      <w:sz w:val="21"/>
      <w:szCs w:val="21"/>
    </w:rPr>
  </w:style>
  <w:style w:type="table" w:customStyle="1" w:styleId="120">
    <w:name w:val="Table"/>
    <w:basedOn w:val="37"/>
    <w:qFormat/>
    <w:uiPriority w:val="0"/>
    <w:pPr>
      <w:autoSpaceDE/>
      <w:autoSpaceDN/>
      <w:adjustRightInd/>
      <w:spacing w:line="240" w:lineRule="auto"/>
    </w:pPr>
    <w:rPr>
      <w:rFonts w:cs="Arial"/>
    </w:rPr>
    <w:tblPr/>
    <w:trPr>
      <w:cantSplit/>
    </w:trPr>
    <w:tcPr>
      <w:shd w:val="clear" w:color="auto" w:fill="auto"/>
    </w:tcPr>
    <w:tblStylePr w:type="firstRow">
      <w:rPr>
        <w:b w:val="0"/>
        <w:bCs w:val="0"/>
        <w:i w:val="0"/>
        <w:iCs w:val="0"/>
        <w:color w:val="auto"/>
        <w:sz w:val="20"/>
        <w:szCs w:val="20"/>
      </w:rPr>
      <w:tcPr>
        <w:tcBorders>
          <w:top w:val="single" w:color="auto" w:sz="6" w:space="0"/>
          <w:left w:val="single" w:color="auto" w:sz="6" w:space="0"/>
          <w:bottom w:val="single" w:color="auto" w:sz="6" w:space="0"/>
          <w:right w:val="single" w:color="auto" w:sz="6" w:space="0"/>
          <w:insideH w:val="single" w:sz="6" w:space="0"/>
          <w:insideV w:val="single" w:sz="6" w:space="0"/>
          <w:tl2br w:val="nil"/>
          <w:tr2bl w:val="nil"/>
        </w:tcBorders>
        <w:shd w:val="clear" w:color="auto" w:fill="D9D9D9"/>
      </w:tcPr>
    </w:tblStylePr>
  </w:style>
  <w:style w:type="table" w:customStyle="1" w:styleId="121">
    <w:name w:val="表样式"/>
    <w:basedOn w:val="35"/>
    <w:qFormat/>
    <w:uiPriority w:val="0"/>
    <w:pPr>
      <w:jc w:val="both"/>
    </w:pPr>
    <w:rPr>
      <w:sz w:val="1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auto"/>
      <w:vAlign w:val="center"/>
    </w:tcPr>
  </w:style>
  <w:style w:type="table" w:customStyle="1" w:styleId="122">
    <w:name w:val="网格型1"/>
    <w:basedOn w:val="35"/>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23">
    <w:name w:val="NormalCharacter"/>
    <w:qFormat/>
    <w:uiPriority w:val="0"/>
    <w:rPr>
      <w:rFonts w:ascii="Times New Roman" w:hAnsi="Times New Roman" w:eastAsia="宋体" w:cs="Calibri"/>
      <w:kern w:val="2"/>
      <w:sz w:val="24"/>
      <w:szCs w:val="21"/>
      <w:lang w:val="en-US" w:eastAsia="zh-CN" w:bidi="ar-SA"/>
    </w:rPr>
  </w:style>
  <w:style w:type="paragraph" w:customStyle="1" w:styleId="124">
    <w:name w:val="_Style 2"/>
    <w:basedOn w:val="1"/>
    <w:next w:val="1"/>
    <w:qFormat/>
    <w:uiPriority w:val="0"/>
    <w:pPr>
      <w:pBdr>
        <w:bottom w:val="single" w:color="auto" w:sz="6" w:space="1"/>
      </w:pBdr>
      <w:jc w:val="center"/>
    </w:pPr>
    <w:rPr>
      <w:rFonts w:ascii="Arial"/>
      <w:vanish/>
      <w:sz w:val="16"/>
    </w:rPr>
  </w:style>
  <w:style w:type="paragraph" w:customStyle="1" w:styleId="125">
    <w:name w:val="p0"/>
    <w:basedOn w:val="1"/>
    <w:qFormat/>
    <w:uiPriority w:val="0"/>
    <w:pPr>
      <w:widowControl/>
    </w:pPr>
    <w:rPr>
      <w:kern w:val="0"/>
    </w:rPr>
  </w:style>
  <w:style w:type="paragraph" w:customStyle="1" w:styleId="126">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27">
    <w:name w:val="xl36"/>
    <w:basedOn w:val="1"/>
    <w:qFormat/>
    <w:uiPriority w:val="0"/>
    <w:pPr>
      <w:widowControl/>
      <w:spacing w:before="100" w:after="100"/>
      <w:jc w:val="center"/>
    </w:pPr>
    <w:rPr>
      <w:rFonts w:hint="eastAsia" w:ascii="宋体" w:hAnsi="宋体"/>
      <w:kern w:val="0"/>
    </w:rPr>
  </w:style>
  <w:style w:type="paragraph" w:customStyle="1" w:styleId="128">
    <w:name w:val="Char1"/>
    <w:basedOn w:val="1"/>
    <w:qFormat/>
    <w:uiPriority w:val="0"/>
  </w:style>
  <w:style w:type="character" w:customStyle="1" w:styleId="129">
    <w:name w:val="indent"/>
    <w:basedOn w:val="38"/>
    <w:qFormat/>
    <w:uiPriority w:val="0"/>
  </w:style>
  <w:style w:type="character" w:customStyle="1" w:styleId="130">
    <w:name w:val="mini-outputtext1"/>
    <w:basedOn w:val="38"/>
    <w:qFormat/>
    <w:uiPriority w:val="0"/>
  </w:style>
  <w:style w:type="paragraph" w:customStyle="1" w:styleId="131">
    <w:name w:val="title13"/>
    <w:basedOn w:val="1"/>
    <w:qFormat/>
    <w:uiPriority w:val="0"/>
    <w:pPr>
      <w:spacing w:before="150"/>
      <w:jc w:val="left"/>
    </w:pPr>
    <w:rPr>
      <w:rFonts w:cs="Times New Roman"/>
      <w:b/>
      <w:kern w:val="0"/>
      <w:sz w:val="22"/>
      <w:szCs w:val="22"/>
    </w:rPr>
  </w:style>
  <w:style w:type="paragraph" w:customStyle="1" w:styleId="132">
    <w:name w:val="BodyText1I"/>
    <w:basedOn w:val="133"/>
    <w:qFormat/>
    <w:uiPriority w:val="0"/>
    <w:pPr>
      <w:ind w:firstLine="420"/>
      <w:jc w:val="left"/>
    </w:pPr>
    <w:rPr>
      <w:b w:val="0"/>
      <w:kern w:val="0"/>
      <w:sz w:val="21"/>
    </w:rPr>
  </w:style>
  <w:style w:type="paragraph" w:customStyle="1" w:styleId="133">
    <w:name w:val="BodyText"/>
    <w:basedOn w:val="1"/>
    <w:next w:val="1"/>
    <w:qFormat/>
    <w:uiPriority w:val="0"/>
    <w:rPr>
      <w:b/>
      <w:sz w:val="28"/>
    </w:rPr>
  </w:style>
  <w:style w:type="paragraph" w:customStyle="1" w:styleId="134">
    <w:name w:val="Table Paragraph"/>
    <w:basedOn w:val="1"/>
    <w:qFormat/>
    <w:uiPriority w:val="1"/>
  </w:style>
  <w:style w:type="table" w:customStyle="1" w:styleId="135">
    <w:name w:val="Table Normal"/>
    <w:semiHidden/>
    <w:unhideWhenUsed/>
    <w:qFormat/>
    <w:uiPriority w:val="2"/>
    <w:tblPr>
      <w:tblCellMar>
        <w:top w:w="0" w:type="dxa"/>
        <w:left w:w="0" w:type="dxa"/>
        <w:bottom w:w="0" w:type="dxa"/>
        <w:right w:w="0" w:type="dxa"/>
      </w:tblCellMar>
    </w:tblPr>
  </w:style>
  <w:style w:type="paragraph" w:customStyle="1" w:styleId="136">
    <w:name w:val="正文 New"/>
    <w:qFormat/>
    <w:uiPriority w:val="99"/>
    <w:pPr>
      <w:widowControl w:val="0"/>
      <w:jc w:val="both"/>
    </w:pPr>
    <w:rPr>
      <w:rFonts w:ascii="Calibri" w:hAnsi="Calibri" w:eastAsia="宋体" w:cs="Times New Roman"/>
      <w:lang w:val="en-US" w:eastAsia="zh-CN" w:bidi="ar-SA"/>
    </w:rPr>
  </w:style>
  <w:style w:type="paragraph" w:styleId="137">
    <w:name w:val="List Paragraph"/>
    <w:basedOn w:val="1"/>
    <w:qFormat/>
    <w:uiPriority w:val="0"/>
    <w:pPr>
      <w:widowControl/>
      <w:ind w:firstLine="420" w:firstLineChars="200"/>
      <w:jc w:val="left"/>
    </w:pPr>
    <w:rPr>
      <w:rFonts w:ascii="宋体" w:hAnsi="宋体" w:cs="宋体"/>
      <w:kern w:val="0"/>
    </w:rPr>
  </w:style>
  <w:style w:type="paragraph" w:customStyle="1" w:styleId="13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39">
    <w:name w:val="Heading2"/>
    <w:basedOn w:val="1"/>
    <w:next w:val="1"/>
    <w:qFormat/>
    <w:uiPriority w:val="0"/>
    <w:pPr>
      <w:keepNext/>
      <w:keepLines/>
      <w:spacing w:before="260" w:after="260" w:line="415" w:lineRule="auto"/>
      <w:textAlignment w:val="baseline"/>
    </w:pPr>
    <w:rPr>
      <w:rFonts w:ascii="Arial" w:hAnsi="Arial" w:eastAsia="黑体"/>
      <w:b/>
      <w:sz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DC2CF7-46A6-4965-A514-E0DF77C6779C}">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62</Pages>
  <Words>28550</Words>
  <Characters>30290</Characters>
  <Lines>255</Lines>
  <Paragraphs>71</Paragraphs>
  <TotalTime>67</TotalTime>
  <ScaleCrop>false</ScaleCrop>
  <LinksUpToDate>false</LinksUpToDate>
  <CharactersWithSpaces>33064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2017-06-05T03:40:00Z</dcterms:created>
  <dc:creator>Administrator</dc:creator>
  <cp:lastModifiedBy>傑。</cp:lastModifiedBy>
  <cp:lastPrinted>2020-09-07T06:15:00Z</cp:lastPrinted>
  <dcterms:modified xsi:type="dcterms:W3CDTF">2022-03-28T06:09:31Z</dcterms:modified>
  <dc:title> </dc:title>
  <cp:revision>166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KSORubyTemplateID">
    <vt:lpwstr>6</vt:lpwstr>
  </property>
  <property fmtid="{D5CDD505-2E9C-101B-9397-08002B2CF9AE}" pid="4" name="ICV">
    <vt:lpwstr>3B23DE2FD1064EFD896F65CF367697E8</vt:lpwstr>
  </property>
</Properties>
</file>