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color w:val="auto"/>
          <w:sz w:val="28"/>
          <w:szCs w:val="28"/>
          <w:highlight w:val="none"/>
        </w:rPr>
      </w:pPr>
      <w:bookmarkStart w:id="0" w:name="OLE_LINK9"/>
      <w:r>
        <w:rPr>
          <w:rFonts w:hint="eastAsia" w:ascii="宋体" w:hAnsi="宋体" w:cs="宋体"/>
          <w:b/>
          <w:color w:val="auto"/>
          <w:sz w:val="28"/>
          <w:szCs w:val="28"/>
          <w:highlight w:val="none"/>
        </w:rPr>
        <w:t>政府采购项目</w:t>
      </w:r>
    </w:p>
    <w:p>
      <w:pPr>
        <w:adjustRightInd w:val="0"/>
        <w:snapToGrid w:val="0"/>
        <w:spacing w:line="360" w:lineRule="auto"/>
        <w:jc w:val="left"/>
        <w:rPr>
          <w:rFonts w:ascii="宋体" w:hAnsi="宋体" w:cs="宋体"/>
          <w:b/>
          <w:color w:val="auto"/>
          <w:sz w:val="28"/>
          <w:szCs w:val="28"/>
          <w:highlight w:val="none"/>
        </w:rPr>
      </w:pPr>
      <w:r>
        <w:rPr>
          <w:rFonts w:hint="eastAsia" w:ascii="宋体" w:hAnsi="宋体" w:cs="宋体"/>
          <w:b/>
          <w:color w:val="auto"/>
          <w:sz w:val="28"/>
          <w:szCs w:val="28"/>
          <w:highlight w:val="none"/>
        </w:rPr>
        <w:t>项目编号：ZMZB2022YDYZ-125</w:t>
      </w:r>
    </w:p>
    <w:p>
      <w:pPr>
        <w:tabs>
          <w:tab w:val="left" w:pos="2336"/>
        </w:tabs>
        <w:adjustRightInd w:val="0"/>
        <w:snapToGrid w:val="0"/>
        <w:spacing w:line="360" w:lineRule="auto"/>
        <w:rPr>
          <w:rFonts w:ascii="宋体" w:hAnsi="宋体" w:cs="宋体"/>
          <w:b/>
          <w:color w:val="auto"/>
          <w:sz w:val="44"/>
          <w:szCs w:val="44"/>
          <w:highlight w:val="none"/>
        </w:rPr>
      </w:pPr>
      <w:r>
        <w:rPr>
          <w:rFonts w:hint="eastAsia" w:ascii="宋体" w:hAnsi="宋体" w:cs="宋体"/>
          <w:b/>
          <w:color w:val="auto"/>
          <w:sz w:val="44"/>
          <w:szCs w:val="44"/>
          <w:highlight w:val="none"/>
        </w:rPr>
        <w:tab/>
      </w:r>
    </w:p>
    <w:p>
      <w:pPr>
        <w:adjustRightInd w:val="0"/>
        <w:snapToGrid w:val="0"/>
        <w:spacing w:line="360" w:lineRule="auto"/>
        <w:rPr>
          <w:rFonts w:ascii="宋体" w:hAnsi="宋体" w:cs="宋体"/>
          <w:b/>
          <w:color w:val="auto"/>
          <w:sz w:val="10"/>
          <w:szCs w:val="10"/>
          <w:highlight w:val="none"/>
        </w:rPr>
      </w:pPr>
    </w:p>
    <w:p>
      <w:pPr>
        <w:adjustRightInd w:val="0"/>
        <w:snapToGrid w:val="0"/>
        <w:spacing w:line="360" w:lineRule="auto"/>
        <w:jc w:val="center"/>
        <w:rPr>
          <w:rFonts w:ascii="宋体" w:hAnsi="宋体" w:cs="宋体"/>
          <w:b/>
          <w:color w:val="auto"/>
          <w:sz w:val="56"/>
          <w:szCs w:val="56"/>
          <w:highlight w:val="none"/>
        </w:rPr>
      </w:pPr>
      <w:r>
        <w:rPr>
          <w:rFonts w:hint="eastAsia" w:ascii="宋体" w:hAnsi="宋体" w:cs="宋体"/>
          <w:b/>
          <w:color w:val="auto"/>
          <w:sz w:val="56"/>
          <w:szCs w:val="56"/>
          <w:highlight w:val="none"/>
        </w:rPr>
        <w:t>西安市远东第一中学</w:t>
      </w:r>
    </w:p>
    <w:p>
      <w:pPr>
        <w:adjustRightInd w:val="0"/>
        <w:snapToGrid w:val="0"/>
        <w:spacing w:line="360" w:lineRule="auto"/>
        <w:jc w:val="center"/>
        <w:rPr>
          <w:rFonts w:hint="eastAsia" w:ascii="宋体" w:hAnsi="宋体" w:eastAsia="宋体" w:cs="宋体"/>
          <w:b/>
          <w:i/>
          <w:color w:val="auto"/>
          <w:sz w:val="48"/>
          <w:highlight w:val="none"/>
          <w:lang w:eastAsia="zh-CN"/>
        </w:rPr>
      </w:pPr>
      <w:r>
        <w:rPr>
          <w:rFonts w:hint="eastAsia" w:ascii="宋体" w:hAnsi="宋体" w:cs="宋体"/>
          <w:b/>
          <w:color w:val="auto"/>
          <w:sz w:val="56"/>
          <w:szCs w:val="56"/>
          <w:highlight w:val="none"/>
          <w:lang w:eastAsia="zh-CN"/>
        </w:rPr>
        <w:t>校园信息化设备采购项目</w:t>
      </w:r>
    </w:p>
    <w:p>
      <w:pPr>
        <w:adjustRightInd w:val="0"/>
        <w:snapToGrid w:val="0"/>
        <w:spacing w:line="360" w:lineRule="auto"/>
        <w:jc w:val="left"/>
        <w:rPr>
          <w:rFonts w:ascii="宋体" w:hAnsi="宋体" w:cs="宋体"/>
          <w:b/>
          <w:color w:val="auto"/>
          <w:sz w:val="52"/>
          <w:szCs w:val="52"/>
          <w:highlight w:val="none"/>
        </w:rPr>
      </w:pPr>
      <w:r>
        <w:rPr>
          <w:rFonts w:hint="eastAsia" w:ascii="宋体" w:hAnsi="宋体" w:cs="宋体"/>
        </w:rPr>
        <w:drawing>
          <wp:anchor distT="0" distB="0" distL="114300" distR="114300" simplePos="0" relativeHeight="251666432" behindDoc="0" locked="0" layoutInCell="1" allowOverlap="1">
            <wp:simplePos x="0" y="0"/>
            <wp:positionH relativeFrom="column">
              <wp:posOffset>1672590</wp:posOffset>
            </wp:positionH>
            <wp:positionV relativeFrom="paragraph">
              <wp:posOffset>323215</wp:posOffset>
            </wp:positionV>
            <wp:extent cx="2095500" cy="1087120"/>
            <wp:effectExtent l="0" t="0" r="0" b="17780"/>
            <wp:wrapSquare wrapText="bothSides"/>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21"/>
                    <a:stretch>
                      <a:fillRect/>
                    </a:stretch>
                  </pic:blipFill>
                  <pic:spPr>
                    <a:xfrm>
                      <a:off x="0" y="0"/>
                      <a:ext cx="2095500" cy="1087120"/>
                    </a:xfrm>
                    <a:prstGeom prst="rect">
                      <a:avLst/>
                    </a:prstGeom>
                    <a:noFill/>
                    <a:ln>
                      <a:noFill/>
                    </a:ln>
                  </pic:spPr>
                </pic:pic>
              </a:graphicData>
            </a:graphic>
          </wp:anchor>
        </w:drawing>
      </w:r>
    </w:p>
    <w:p>
      <w:pPr>
        <w:rPr>
          <w:rFonts w:ascii="宋体" w:hAnsi="宋体" w:cs="宋体"/>
          <w:b/>
          <w:color w:val="auto"/>
          <w:sz w:val="52"/>
          <w:szCs w:val="52"/>
          <w:highlight w:val="none"/>
        </w:rPr>
      </w:pPr>
    </w:p>
    <w:p>
      <w:pPr>
        <w:rPr>
          <w:rFonts w:ascii="宋体" w:hAnsi="宋体" w:cs="宋体"/>
          <w:color w:val="auto"/>
          <w:highlight w:val="none"/>
        </w:rPr>
      </w:pPr>
    </w:p>
    <w:p>
      <w:pPr>
        <w:tabs>
          <w:tab w:val="left" w:pos="0"/>
        </w:tabs>
        <w:adjustRightInd w:val="0"/>
        <w:snapToGrid w:val="0"/>
        <w:spacing w:line="360" w:lineRule="auto"/>
        <w:jc w:val="center"/>
        <w:rPr>
          <w:rFonts w:hint="eastAsia" w:ascii="宋体" w:hAnsi="宋体" w:cs="宋体"/>
          <w:b/>
          <w:color w:val="auto"/>
          <w:sz w:val="96"/>
          <w:szCs w:val="96"/>
          <w:highlight w:val="none"/>
        </w:rPr>
      </w:pPr>
    </w:p>
    <w:p>
      <w:pPr>
        <w:tabs>
          <w:tab w:val="left" w:pos="0"/>
        </w:tabs>
        <w:adjustRightInd w:val="0"/>
        <w:snapToGrid w:val="0"/>
        <w:spacing w:line="360" w:lineRule="auto"/>
        <w:jc w:val="center"/>
        <w:rPr>
          <w:rFonts w:ascii="宋体" w:hAnsi="宋体" w:cs="宋体"/>
          <w:b/>
          <w:color w:val="auto"/>
          <w:sz w:val="96"/>
          <w:szCs w:val="96"/>
          <w:highlight w:val="none"/>
        </w:rPr>
      </w:pPr>
      <w:r>
        <w:rPr>
          <w:rFonts w:hint="eastAsia" w:ascii="宋体" w:hAnsi="宋体" w:cs="宋体"/>
          <w:b/>
          <w:color w:val="auto"/>
          <w:sz w:val="96"/>
          <w:szCs w:val="96"/>
          <w:highlight w:val="none"/>
        </w:rPr>
        <w:t>公开招标文件</w:t>
      </w:r>
    </w:p>
    <w:p>
      <w:pPr>
        <w:adjustRightInd w:val="0"/>
        <w:snapToGrid w:val="0"/>
        <w:spacing w:line="360" w:lineRule="auto"/>
        <w:jc w:val="center"/>
        <w:rPr>
          <w:rFonts w:ascii="宋体" w:hAnsi="宋体" w:cs="宋体"/>
          <w:b/>
          <w:color w:val="auto"/>
          <w:sz w:val="32"/>
          <w:szCs w:val="32"/>
          <w:highlight w:val="none"/>
        </w:rPr>
      </w:pPr>
    </w:p>
    <w:p>
      <w:pPr>
        <w:adjustRightInd w:val="0"/>
        <w:snapToGrid w:val="0"/>
        <w:spacing w:line="360" w:lineRule="auto"/>
        <w:jc w:val="center"/>
        <w:rPr>
          <w:rFonts w:ascii="宋体" w:hAnsi="宋体" w:cs="宋体"/>
          <w:b/>
          <w:color w:val="auto"/>
          <w:sz w:val="32"/>
          <w:szCs w:val="32"/>
          <w:highlight w:val="none"/>
        </w:rPr>
      </w:pPr>
    </w:p>
    <w:p>
      <w:pPr>
        <w:adjustRightInd w:val="0"/>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陕西卓佲项目管理有限公司</w:t>
      </w:r>
    </w:p>
    <w:p>
      <w:pPr>
        <w:adjustRightInd w:val="0"/>
        <w:snapToGrid w:val="0"/>
        <w:spacing w:line="600" w:lineRule="auto"/>
        <w:jc w:val="center"/>
        <w:rPr>
          <w:rFonts w:ascii="宋体" w:hAnsi="宋体" w:cs="宋体"/>
          <w:b/>
          <w:color w:val="auto"/>
          <w:sz w:val="40"/>
          <w:szCs w:val="40"/>
          <w:highlight w:val="none"/>
        </w:rPr>
        <w:sectPr>
          <w:headerReference r:id="rId4" w:type="first"/>
          <w:headerReference r:id="rId3" w:type="default"/>
          <w:footerReference r:id="rId5" w:type="default"/>
          <w:pgSz w:w="11906" w:h="16838"/>
          <w:pgMar w:top="1440" w:right="1486" w:bottom="1440" w:left="1800" w:header="851" w:footer="992" w:gutter="0"/>
          <w:pgNumType w:start="1"/>
          <w:cols w:space="720" w:num="1"/>
          <w:docGrid w:type="lines" w:linePitch="312" w:charSpace="0"/>
        </w:sectPr>
      </w:pPr>
      <w:r>
        <w:rPr>
          <w:rFonts w:hint="eastAsia" w:ascii="宋体" w:hAnsi="宋体" w:cs="宋体"/>
          <w:b/>
          <w:color w:val="auto"/>
          <w:sz w:val="36"/>
          <w:szCs w:val="36"/>
          <w:highlight w:val="none"/>
        </w:rPr>
        <w:t>2022年6月</w:t>
      </w:r>
    </w:p>
    <w:p>
      <w:pPr>
        <w:pStyle w:val="21"/>
        <w:tabs>
          <w:tab w:val="right" w:leader="dot" w:pos="8306"/>
        </w:tabs>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p>
      <w:pPr>
        <w:pStyle w:val="21"/>
        <w:tabs>
          <w:tab w:val="right" w:leader="dot" w:pos="8306"/>
        </w:tabs>
        <w:rPr>
          <w:color w:val="auto"/>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"1-2" \h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"_Toc32738" </w:instrText>
      </w:r>
      <w:r>
        <w:rPr>
          <w:color w:val="auto"/>
          <w:highlight w:val="none"/>
        </w:rPr>
        <w:fldChar w:fldCharType="separate"/>
      </w:r>
      <w:r>
        <w:rPr>
          <w:rFonts w:hint="eastAsia" w:ascii="宋体" w:hAnsi="宋体" w:cs="宋体"/>
          <w:color w:val="auto"/>
          <w:szCs w:val="36"/>
          <w:highlight w:val="none"/>
        </w:rPr>
        <w:t>第一部分  公开招标公告</w:t>
      </w:r>
      <w:r>
        <w:rPr>
          <w:color w:val="auto"/>
          <w:highlight w:val="none"/>
        </w:rPr>
        <w:tab/>
      </w:r>
      <w:r>
        <w:rPr>
          <w:color w:val="auto"/>
          <w:highlight w:val="none"/>
        </w:rPr>
        <w:fldChar w:fldCharType="begin"/>
      </w:r>
      <w:r>
        <w:rPr>
          <w:color w:val="auto"/>
          <w:highlight w:val="none"/>
        </w:rPr>
        <w:instrText xml:space="preserve"> PAGEREF _Toc32738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1"/>
        <w:tabs>
          <w:tab w:val="right" w:leader="dot" w:pos="8306"/>
        </w:tabs>
        <w:rPr>
          <w:color w:val="auto"/>
          <w:highlight w:val="none"/>
        </w:rPr>
      </w:pPr>
      <w:r>
        <w:rPr>
          <w:color w:val="auto"/>
          <w:highlight w:val="none"/>
        </w:rPr>
        <w:fldChar w:fldCharType="begin"/>
      </w:r>
      <w:r>
        <w:rPr>
          <w:color w:val="auto"/>
          <w:highlight w:val="none"/>
        </w:rPr>
        <w:instrText xml:space="preserve"> HYPERLINK \l "_Toc5218" </w:instrText>
      </w:r>
      <w:r>
        <w:rPr>
          <w:color w:val="auto"/>
          <w:highlight w:val="none"/>
        </w:rPr>
        <w:fldChar w:fldCharType="separate"/>
      </w:r>
      <w:r>
        <w:rPr>
          <w:rFonts w:hint="eastAsia" w:ascii="宋体" w:hAnsi="宋体" w:cs="宋体"/>
          <w:color w:val="auto"/>
          <w:szCs w:val="36"/>
          <w:highlight w:val="none"/>
        </w:rPr>
        <w:t>第二部分  供应商须知前附表</w:t>
      </w:r>
      <w:r>
        <w:rPr>
          <w:color w:val="auto"/>
          <w:highlight w:val="none"/>
        </w:rPr>
        <w:tab/>
      </w:r>
      <w:r>
        <w:rPr>
          <w:color w:val="auto"/>
          <w:highlight w:val="none"/>
        </w:rPr>
        <w:fldChar w:fldCharType="begin"/>
      </w:r>
      <w:r>
        <w:rPr>
          <w:color w:val="auto"/>
          <w:highlight w:val="none"/>
        </w:rPr>
        <w:instrText xml:space="preserve"> PAGEREF _Toc5218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1"/>
        <w:tabs>
          <w:tab w:val="right" w:leader="dot" w:pos="8306"/>
        </w:tabs>
        <w:rPr>
          <w:color w:val="auto"/>
          <w:highlight w:val="none"/>
        </w:rPr>
      </w:pPr>
      <w:r>
        <w:rPr>
          <w:color w:val="auto"/>
          <w:highlight w:val="none"/>
        </w:rPr>
        <w:fldChar w:fldCharType="begin"/>
      </w:r>
      <w:r>
        <w:rPr>
          <w:color w:val="auto"/>
          <w:highlight w:val="none"/>
        </w:rPr>
        <w:instrText xml:space="preserve"> HYPERLINK \l "_Toc28458" </w:instrText>
      </w:r>
      <w:r>
        <w:rPr>
          <w:color w:val="auto"/>
          <w:highlight w:val="none"/>
        </w:rPr>
        <w:fldChar w:fldCharType="separate"/>
      </w:r>
      <w:r>
        <w:rPr>
          <w:rFonts w:hint="eastAsia" w:ascii="宋体" w:hAnsi="宋体" w:cs="宋体"/>
          <w:color w:val="auto"/>
          <w:szCs w:val="36"/>
          <w:highlight w:val="none"/>
        </w:rPr>
        <w:t>第三部分  供应商须知</w:t>
      </w:r>
      <w:r>
        <w:rPr>
          <w:color w:val="auto"/>
          <w:highlight w:val="none"/>
        </w:rPr>
        <w:tab/>
      </w:r>
      <w:r>
        <w:rPr>
          <w:color w:val="auto"/>
          <w:highlight w:val="none"/>
        </w:rPr>
        <w:fldChar w:fldCharType="begin"/>
      </w:r>
      <w:r>
        <w:rPr>
          <w:color w:val="auto"/>
          <w:highlight w:val="none"/>
        </w:rPr>
        <w:instrText xml:space="preserve"> PAGEREF _Toc28458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"_Toc23208" </w:instrText>
      </w:r>
      <w:r>
        <w:rPr>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_Toc23208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"_Toc5793" </w:instrText>
      </w:r>
      <w:r>
        <w:rPr>
          <w:color w:val="auto"/>
          <w:highlight w:val="none"/>
        </w:rPr>
        <w:fldChar w:fldCharType="separate"/>
      </w:r>
      <w:r>
        <w:rPr>
          <w:rFonts w:hint="eastAsia" w:ascii="宋体" w:hAnsi="宋体" w:cs="宋体"/>
          <w:color w:val="auto"/>
          <w:szCs w:val="28"/>
          <w:highlight w:val="none"/>
        </w:rPr>
        <w:t>二、 招标文件</w:t>
      </w:r>
      <w:r>
        <w:rPr>
          <w:color w:val="auto"/>
          <w:highlight w:val="none"/>
        </w:rPr>
        <w:tab/>
      </w:r>
      <w:r>
        <w:rPr>
          <w:color w:val="auto"/>
          <w:highlight w:val="none"/>
        </w:rPr>
        <w:fldChar w:fldCharType="begin"/>
      </w:r>
      <w:r>
        <w:rPr>
          <w:color w:val="auto"/>
          <w:highlight w:val="none"/>
        </w:rPr>
        <w:instrText xml:space="preserve"> PAGEREF _Toc5793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"_Toc20872" </w:instrText>
      </w:r>
      <w:r>
        <w:rPr>
          <w:color w:val="auto"/>
          <w:highlight w:val="none"/>
        </w:rPr>
        <w:fldChar w:fldCharType="separate"/>
      </w:r>
      <w:r>
        <w:rPr>
          <w:rFonts w:hint="eastAsia" w:ascii="宋体" w:hAnsi="宋体" w:cs="宋体"/>
          <w:color w:val="auto"/>
          <w:szCs w:val="28"/>
          <w:highlight w:val="none"/>
        </w:rPr>
        <w:t>三、投标文件</w:t>
      </w:r>
      <w:r>
        <w:rPr>
          <w:color w:val="auto"/>
          <w:highlight w:val="none"/>
        </w:rPr>
        <w:tab/>
      </w:r>
      <w:r>
        <w:rPr>
          <w:color w:val="auto"/>
          <w:highlight w:val="none"/>
        </w:rPr>
        <w:fldChar w:fldCharType="begin"/>
      </w:r>
      <w:r>
        <w:rPr>
          <w:color w:val="auto"/>
          <w:highlight w:val="none"/>
        </w:rPr>
        <w:instrText xml:space="preserve"> PAGEREF _Toc20872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"_Toc26041" </w:instrText>
      </w:r>
      <w:r>
        <w:rPr>
          <w:color w:val="auto"/>
          <w:highlight w:val="none"/>
        </w:rPr>
        <w:fldChar w:fldCharType="separate"/>
      </w:r>
      <w:r>
        <w:rPr>
          <w:rFonts w:hint="eastAsia" w:ascii="宋体" w:hAnsi="宋体" w:cs="宋体"/>
          <w:bCs/>
          <w:color w:val="auto"/>
          <w:kern w:val="0"/>
          <w:szCs w:val="28"/>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_Toc26041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"_Toc27823" </w:instrText>
      </w:r>
      <w:r>
        <w:rPr>
          <w:color w:val="auto"/>
          <w:highlight w:val="none"/>
        </w:rPr>
        <w:fldChar w:fldCharType="separate"/>
      </w:r>
      <w:r>
        <w:rPr>
          <w:rFonts w:hint="eastAsia" w:ascii="宋体" w:hAnsi="宋体" w:cs="宋体"/>
          <w:bCs/>
          <w:color w:val="auto"/>
          <w:kern w:val="0"/>
          <w:szCs w:val="28"/>
          <w:highlight w:val="none"/>
        </w:rPr>
        <w:t>五、 开标、评审、定标</w:t>
      </w:r>
      <w:r>
        <w:rPr>
          <w:color w:val="auto"/>
          <w:highlight w:val="none"/>
        </w:rPr>
        <w:tab/>
      </w:r>
      <w:r>
        <w:rPr>
          <w:color w:val="auto"/>
          <w:highlight w:val="none"/>
        </w:rPr>
        <w:fldChar w:fldCharType="begin"/>
      </w:r>
      <w:r>
        <w:rPr>
          <w:color w:val="auto"/>
          <w:highlight w:val="none"/>
        </w:rPr>
        <w:instrText xml:space="preserve"> PAGEREF _Toc27823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"_Toc19679" </w:instrText>
      </w:r>
      <w:r>
        <w:rPr>
          <w:color w:val="auto"/>
          <w:highlight w:val="none"/>
        </w:rPr>
        <w:fldChar w:fldCharType="separate"/>
      </w:r>
      <w:r>
        <w:rPr>
          <w:rFonts w:hint="eastAsia" w:ascii="宋体" w:hAnsi="宋体" w:cs="宋体"/>
          <w:bCs/>
          <w:color w:val="auto"/>
          <w:kern w:val="0"/>
          <w:szCs w:val="28"/>
          <w:highlight w:val="none"/>
        </w:rPr>
        <w:t>六、签订合同</w:t>
      </w:r>
      <w:r>
        <w:rPr>
          <w:color w:val="auto"/>
          <w:highlight w:val="none"/>
        </w:rPr>
        <w:tab/>
      </w:r>
      <w:r>
        <w:rPr>
          <w:color w:val="auto"/>
          <w:highlight w:val="none"/>
        </w:rPr>
        <w:fldChar w:fldCharType="begin"/>
      </w:r>
      <w:r>
        <w:rPr>
          <w:color w:val="auto"/>
          <w:highlight w:val="none"/>
        </w:rPr>
        <w:instrText xml:space="preserve"> PAGEREF _Toc19679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"_Toc16775" </w:instrText>
      </w:r>
      <w:r>
        <w:rPr>
          <w:color w:val="auto"/>
          <w:highlight w:val="none"/>
        </w:rPr>
        <w:fldChar w:fldCharType="separate"/>
      </w:r>
      <w:r>
        <w:rPr>
          <w:rFonts w:hint="eastAsia" w:ascii="宋体" w:hAnsi="宋体" w:cs="宋体"/>
          <w:bCs/>
          <w:color w:val="auto"/>
          <w:kern w:val="0"/>
          <w:szCs w:val="28"/>
          <w:highlight w:val="none"/>
        </w:rPr>
        <w:t>七、质疑和投诉</w:t>
      </w:r>
      <w:r>
        <w:rPr>
          <w:color w:val="auto"/>
          <w:highlight w:val="none"/>
        </w:rPr>
        <w:tab/>
      </w:r>
      <w:r>
        <w:rPr>
          <w:color w:val="auto"/>
          <w:highlight w:val="none"/>
        </w:rPr>
        <w:fldChar w:fldCharType="begin"/>
      </w:r>
      <w:r>
        <w:rPr>
          <w:color w:val="auto"/>
          <w:highlight w:val="none"/>
        </w:rPr>
        <w:instrText xml:space="preserve"> PAGEREF _Toc16775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1"/>
        <w:tabs>
          <w:tab w:val="right" w:leader="dot" w:pos="8306"/>
        </w:tabs>
        <w:rPr>
          <w:color w:val="auto"/>
          <w:highlight w:val="none"/>
        </w:rPr>
      </w:pPr>
      <w:r>
        <w:rPr>
          <w:color w:val="auto"/>
          <w:highlight w:val="none"/>
        </w:rPr>
        <w:fldChar w:fldCharType="begin"/>
      </w:r>
      <w:r>
        <w:rPr>
          <w:color w:val="auto"/>
          <w:highlight w:val="none"/>
        </w:rPr>
        <w:instrText xml:space="preserve"> HYPERLINK \l "_Toc1684" </w:instrText>
      </w:r>
      <w:r>
        <w:rPr>
          <w:color w:val="auto"/>
          <w:highlight w:val="none"/>
        </w:rPr>
        <w:fldChar w:fldCharType="separate"/>
      </w:r>
      <w:r>
        <w:rPr>
          <w:rFonts w:hint="eastAsia" w:ascii="宋体" w:hAnsi="宋体" w:cs="宋体"/>
          <w:color w:val="auto"/>
          <w:szCs w:val="36"/>
          <w:highlight w:val="none"/>
        </w:rPr>
        <w:t>第四部分 评标方法</w:t>
      </w:r>
      <w:r>
        <w:rPr>
          <w:color w:val="auto"/>
          <w:highlight w:val="none"/>
        </w:rPr>
        <w:tab/>
      </w:r>
      <w:r>
        <w:rPr>
          <w:color w:val="auto"/>
          <w:highlight w:val="none"/>
        </w:rPr>
        <w:fldChar w:fldCharType="begin"/>
      </w:r>
      <w:r>
        <w:rPr>
          <w:color w:val="auto"/>
          <w:highlight w:val="none"/>
        </w:rPr>
        <w:instrText xml:space="preserve"> PAGEREF _Toc1684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1"/>
        <w:tabs>
          <w:tab w:val="right" w:leader="dot" w:pos="8306"/>
        </w:tabs>
        <w:rPr>
          <w:color w:val="auto"/>
          <w:highlight w:val="none"/>
        </w:rPr>
      </w:pPr>
      <w:r>
        <w:rPr>
          <w:color w:val="auto"/>
          <w:highlight w:val="none"/>
        </w:rPr>
        <w:fldChar w:fldCharType="begin"/>
      </w:r>
      <w:r>
        <w:rPr>
          <w:color w:val="auto"/>
          <w:highlight w:val="none"/>
        </w:rPr>
        <w:instrText xml:space="preserve"> HYPERLINK \l "_Toc26190" </w:instrText>
      </w:r>
      <w:r>
        <w:rPr>
          <w:color w:val="auto"/>
          <w:highlight w:val="none"/>
        </w:rPr>
        <w:fldChar w:fldCharType="separate"/>
      </w:r>
      <w:r>
        <w:rPr>
          <w:rFonts w:hint="eastAsia" w:ascii="宋体" w:hAnsi="宋体" w:cs="宋体"/>
          <w:color w:val="auto"/>
          <w:szCs w:val="36"/>
          <w:highlight w:val="none"/>
        </w:rPr>
        <w:t>第五部分 采购要求</w:t>
      </w:r>
      <w:r>
        <w:rPr>
          <w:color w:val="auto"/>
          <w:highlight w:val="none"/>
        </w:rPr>
        <w:tab/>
      </w:r>
      <w:r>
        <w:rPr>
          <w:color w:val="auto"/>
          <w:highlight w:val="none"/>
        </w:rPr>
        <w:fldChar w:fldCharType="begin"/>
      </w:r>
      <w:r>
        <w:rPr>
          <w:color w:val="auto"/>
          <w:highlight w:val="none"/>
        </w:rPr>
        <w:instrText xml:space="preserve"> PAGEREF _Toc26190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1"/>
        <w:tabs>
          <w:tab w:val="right" w:leader="dot" w:pos="8306"/>
        </w:tabs>
        <w:rPr>
          <w:color w:val="auto"/>
          <w:highlight w:val="none"/>
        </w:rPr>
      </w:pPr>
      <w:r>
        <w:rPr>
          <w:color w:val="auto"/>
          <w:highlight w:val="none"/>
        </w:rPr>
        <w:fldChar w:fldCharType="begin"/>
      </w:r>
      <w:r>
        <w:rPr>
          <w:color w:val="auto"/>
          <w:highlight w:val="none"/>
        </w:rPr>
        <w:instrText xml:space="preserve"> HYPERLINK \l "_Toc12975" </w:instrText>
      </w:r>
      <w:r>
        <w:rPr>
          <w:color w:val="auto"/>
          <w:highlight w:val="none"/>
        </w:rPr>
        <w:fldChar w:fldCharType="separate"/>
      </w:r>
      <w:r>
        <w:rPr>
          <w:rFonts w:hint="eastAsia" w:ascii="宋体" w:hAnsi="宋体" w:cs="宋体"/>
          <w:bCs/>
          <w:color w:val="auto"/>
          <w:szCs w:val="36"/>
          <w:highlight w:val="none"/>
        </w:rPr>
        <w:t>第六部分  合同条款</w:t>
      </w:r>
      <w:r>
        <w:rPr>
          <w:color w:val="auto"/>
          <w:highlight w:val="none"/>
        </w:rPr>
        <w:tab/>
      </w:r>
      <w:r>
        <w:rPr>
          <w:color w:val="auto"/>
          <w:highlight w:val="none"/>
        </w:rPr>
        <w:fldChar w:fldCharType="begin"/>
      </w:r>
      <w:r>
        <w:rPr>
          <w:color w:val="auto"/>
          <w:highlight w:val="none"/>
        </w:rPr>
        <w:instrText xml:space="preserve"> PAGEREF _Toc12975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21"/>
        <w:tabs>
          <w:tab w:val="right" w:leader="dot" w:pos="8306"/>
        </w:tabs>
        <w:rPr>
          <w:color w:val="auto"/>
          <w:highlight w:val="none"/>
        </w:rPr>
      </w:pPr>
      <w:r>
        <w:rPr>
          <w:color w:val="auto"/>
          <w:highlight w:val="none"/>
        </w:rPr>
        <w:fldChar w:fldCharType="begin"/>
      </w:r>
      <w:r>
        <w:rPr>
          <w:color w:val="auto"/>
          <w:highlight w:val="none"/>
        </w:rPr>
        <w:instrText xml:space="preserve"> HYPERLINK \l "_Toc25166" </w:instrText>
      </w:r>
      <w:r>
        <w:rPr>
          <w:color w:val="auto"/>
          <w:highlight w:val="none"/>
        </w:rPr>
        <w:fldChar w:fldCharType="separate"/>
      </w:r>
      <w:r>
        <w:rPr>
          <w:rFonts w:hint="eastAsia" w:ascii="宋体" w:hAnsi="宋体" w:cs="宋体"/>
          <w:color w:val="auto"/>
          <w:szCs w:val="36"/>
          <w:highlight w:val="none"/>
        </w:rPr>
        <w:t>第七部分  投标文件格式</w:t>
      </w:r>
      <w:r>
        <w:rPr>
          <w:color w:val="auto"/>
          <w:highlight w:val="none"/>
        </w:rPr>
        <w:tab/>
      </w:r>
      <w:r>
        <w:rPr>
          <w:color w:val="auto"/>
          <w:highlight w:val="none"/>
        </w:rPr>
        <w:fldChar w:fldCharType="begin"/>
      </w:r>
      <w:r>
        <w:rPr>
          <w:color w:val="auto"/>
          <w:highlight w:val="none"/>
        </w:rPr>
        <w:instrText xml:space="preserve"> PAGEREF _Toc25166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"_Toc20184" </w:instrText>
      </w:r>
      <w:r>
        <w:rPr>
          <w:color w:val="auto"/>
          <w:highlight w:val="none"/>
        </w:rPr>
        <w:fldChar w:fldCharType="separate"/>
      </w:r>
      <w:r>
        <w:rPr>
          <w:rFonts w:hint="eastAsia" w:ascii="宋体" w:hAnsi="宋体" w:cs="宋体"/>
          <w:color w:val="auto"/>
          <w:szCs w:val="36"/>
          <w:highlight w:val="none"/>
        </w:rPr>
        <w:t>第一部分  投标函</w:t>
      </w:r>
      <w:r>
        <w:rPr>
          <w:color w:val="auto"/>
          <w:highlight w:val="none"/>
        </w:rPr>
        <w:tab/>
      </w:r>
      <w:r>
        <w:rPr>
          <w:color w:val="auto"/>
          <w:highlight w:val="none"/>
        </w:rPr>
        <w:fldChar w:fldCharType="begin"/>
      </w:r>
      <w:r>
        <w:rPr>
          <w:color w:val="auto"/>
          <w:highlight w:val="none"/>
        </w:rPr>
        <w:instrText xml:space="preserve"> PAGEREF _Toc20184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"_Toc15787" </w:instrText>
      </w:r>
      <w:r>
        <w:rPr>
          <w:color w:val="auto"/>
          <w:highlight w:val="none"/>
        </w:rPr>
        <w:fldChar w:fldCharType="separate"/>
      </w:r>
      <w:r>
        <w:rPr>
          <w:rFonts w:hint="eastAsia" w:ascii="宋体" w:hAnsi="宋体" w:cs="宋体"/>
          <w:color w:val="auto"/>
          <w:szCs w:val="36"/>
          <w:highlight w:val="none"/>
        </w:rPr>
        <w:t>第二部分 报价一览表</w:t>
      </w:r>
      <w:r>
        <w:rPr>
          <w:color w:val="auto"/>
          <w:highlight w:val="none"/>
        </w:rPr>
        <w:tab/>
      </w:r>
      <w:r>
        <w:rPr>
          <w:color w:val="auto"/>
          <w:highlight w:val="none"/>
        </w:rPr>
        <w:fldChar w:fldCharType="begin"/>
      </w:r>
      <w:r>
        <w:rPr>
          <w:color w:val="auto"/>
          <w:highlight w:val="none"/>
        </w:rPr>
        <w:instrText xml:space="preserve"> PAGEREF _Toc15787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"_Toc15835" </w:instrText>
      </w:r>
      <w:r>
        <w:rPr>
          <w:color w:val="auto"/>
          <w:highlight w:val="none"/>
        </w:rPr>
        <w:fldChar w:fldCharType="separate"/>
      </w:r>
      <w:r>
        <w:rPr>
          <w:rFonts w:hint="eastAsia" w:ascii="宋体" w:hAnsi="宋体" w:cs="宋体"/>
          <w:color w:val="auto"/>
          <w:highlight w:val="none"/>
        </w:rPr>
        <w:t>第三部分</w:t>
      </w:r>
      <w:r>
        <w:rPr>
          <w:rFonts w:hint="eastAsia" w:ascii="宋体" w:hAnsi="宋体" w:cs="宋体"/>
          <w:color w:val="auto"/>
          <w:szCs w:val="36"/>
          <w:highlight w:val="none"/>
        </w:rPr>
        <w:t xml:space="preserve">  </w:t>
      </w:r>
      <w:r>
        <w:rPr>
          <w:rFonts w:hint="eastAsia" w:ascii="宋体" w:hAnsi="宋体" w:cs="宋体"/>
          <w:color w:val="auto"/>
          <w:highlight w:val="none"/>
        </w:rPr>
        <w:t>商务及技术响应说明</w:t>
      </w:r>
      <w:r>
        <w:rPr>
          <w:color w:val="auto"/>
          <w:highlight w:val="none"/>
        </w:rPr>
        <w:tab/>
      </w:r>
      <w:r>
        <w:rPr>
          <w:color w:val="auto"/>
          <w:highlight w:val="none"/>
        </w:rPr>
        <w:fldChar w:fldCharType="begin"/>
      </w:r>
      <w:r>
        <w:rPr>
          <w:color w:val="auto"/>
          <w:highlight w:val="none"/>
        </w:rPr>
        <w:instrText xml:space="preserve"> PAGEREF _Toc15835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"_Toc19443" </w:instrText>
      </w:r>
      <w:r>
        <w:rPr>
          <w:color w:val="auto"/>
          <w:highlight w:val="none"/>
        </w:rPr>
        <w:fldChar w:fldCharType="separate"/>
      </w:r>
      <w:r>
        <w:rPr>
          <w:rFonts w:hint="eastAsia" w:ascii="宋体" w:hAnsi="宋体" w:cs="宋体"/>
          <w:color w:val="auto"/>
          <w:szCs w:val="36"/>
          <w:highlight w:val="none"/>
        </w:rPr>
        <w:t>第四部分  供应商资格要求</w:t>
      </w:r>
      <w:r>
        <w:rPr>
          <w:color w:val="auto"/>
          <w:highlight w:val="none"/>
        </w:rPr>
        <w:tab/>
      </w:r>
      <w:r>
        <w:rPr>
          <w:color w:val="auto"/>
          <w:highlight w:val="none"/>
        </w:rPr>
        <w:fldChar w:fldCharType="begin"/>
      </w:r>
      <w:r>
        <w:rPr>
          <w:color w:val="auto"/>
          <w:highlight w:val="none"/>
        </w:rPr>
        <w:instrText xml:space="preserve"> PAGEREF _Toc19443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"_Toc29607" </w:instrText>
      </w:r>
      <w:r>
        <w:rPr>
          <w:color w:val="auto"/>
          <w:highlight w:val="none"/>
        </w:rPr>
        <w:fldChar w:fldCharType="separate"/>
      </w:r>
      <w:r>
        <w:rPr>
          <w:rFonts w:hint="eastAsia" w:ascii="宋体" w:hAnsi="宋体" w:cs="宋体"/>
          <w:color w:val="auto"/>
          <w:szCs w:val="36"/>
          <w:highlight w:val="none"/>
        </w:rPr>
        <w:t>第五部分  技术与服务方案</w:t>
      </w:r>
      <w:r>
        <w:rPr>
          <w:color w:val="auto"/>
          <w:highlight w:val="none"/>
        </w:rPr>
        <w:tab/>
      </w:r>
      <w:r>
        <w:rPr>
          <w:color w:val="auto"/>
          <w:highlight w:val="none"/>
        </w:rPr>
        <w:fldChar w:fldCharType="begin"/>
      </w:r>
      <w:r>
        <w:rPr>
          <w:color w:val="auto"/>
          <w:highlight w:val="none"/>
        </w:rPr>
        <w:instrText xml:space="preserve"> PAGEREF _Toc29607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"_Toc19655" </w:instrText>
      </w:r>
      <w:r>
        <w:rPr>
          <w:color w:val="auto"/>
          <w:highlight w:val="none"/>
        </w:rPr>
        <w:fldChar w:fldCharType="separate"/>
      </w:r>
      <w:r>
        <w:rPr>
          <w:rFonts w:hint="eastAsia" w:ascii="宋体" w:hAnsi="宋体" w:cs="宋体"/>
          <w:color w:val="auto"/>
          <w:szCs w:val="36"/>
          <w:highlight w:val="none"/>
        </w:rPr>
        <w:t>第六部分  服务承诺</w:t>
      </w:r>
      <w:r>
        <w:rPr>
          <w:color w:val="auto"/>
          <w:highlight w:val="none"/>
        </w:rPr>
        <w:tab/>
      </w:r>
      <w:r>
        <w:rPr>
          <w:color w:val="auto"/>
          <w:highlight w:val="none"/>
        </w:rPr>
        <w:fldChar w:fldCharType="begin"/>
      </w:r>
      <w:r>
        <w:rPr>
          <w:color w:val="auto"/>
          <w:highlight w:val="none"/>
        </w:rPr>
        <w:instrText xml:space="preserve"> PAGEREF _Toc19655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"_Toc15906" </w:instrText>
      </w:r>
      <w:r>
        <w:rPr>
          <w:color w:val="auto"/>
          <w:highlight w:val="none"/>
        </w:rPr>
        <w:fldChar w:fldCharType="separate"/>
      </w:r>
      <w:r>
        <w:rPr>
          <w:rFonts w:hint="eastAsia" w:ascii="宋体" w:hAnsi="宋体" w:cs="宋体"/>
          <w:color w:val="auto"/>
          <w:szCs w:val="36"/>
          <w:highlight w:val="none"/>
        </w:rPr>
        <w:t>第七部分  业绩一览表</w:t>
      </w:r>
      <w:r>
        <w:rPr>
          <w:color w:val="auto"/>
          <w:highlight w:val="none"/>
        </w:rPr>
        <w:tab/>
      </w:r>
      <w:r>
        <w:rPr>
          <w:color w:val="auto"/>
          <w:highlight w:val="none"/>
        </w:rPr>
        <w:fldChar w:fldCharType="begin"/>
      </w:r>
      <w:r>
        <w:rPr>
          <w:color w:val="auto"/>
          <w:highlight w:val="none"/>
        </w:rPr>
        <w:instrText xml:space="preserve"> PAGEREF _Toc15906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"_Toc27538" </w:instrText>
      </w:r>
      <w:r>
        <w:rPr>
          <w:color w:val="auto"/>
          <w:highlight w:val="none"/>
        </w:rPr>
        <w:fldChar w:fldCharType="separate"/>
      </w:r>
      <w:r>
        <w:rPr>
          <w:rFonts w:hint="eastAsia" w:ascii="宋体" w:hAnsi="宋体" w:cs="宋体"/>
          <w:color w:val="auto"/>
          <w:szCs w:val="36"/>
          <w:highlight w:val="none"/>
        </w:rPr>
        <w:t>第八部分 供应商认为有必要说明的其他问题</w:t>
      </w:r>
      <w:r>
        <w:rPr>
          <w:color w:val="auto"/>
          <w:highlight w:val="none"/>
        </w:rPr>
        <w:tab/>
      </w:r>
      <w:r>
        <w:rPr>
          <w:color w:val="auto"/>
          <w:highlight w:val="none"/>
        </w:rPr>
        <w:fldChar w:fldCharType="begin"/>
      </w:r>
      <w:r>
        <w:rPr>
          <w:color w:val="auto"/>
          <w:highlight w:val="none"/>
        </w:rPr>
        <w:instrText xml:space="preserve"> PAGEREF _Toc27538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"_Toc14253" </w:instrText>
      </w:r>
      <w:r>
        <w:rPr>
          <w:color w:val="auto"/>
          <w:highlight w:val="none"/>
        </w:rPr>
        <w:fldChar w:fldCharType="separate"/>
      </w:r>
      <w:r>
        <w:rPr>
          <w:rFonts w:hint="eastAsia" w:ascii="宋体" w:hAnsi="宋体" w:cs="宋体"/>
          <w:color w:val="auto"/>
          <w:highlight w:val="none"/>
        </w:rPr>
        <w:t>附件一、封袋正面标识式样</w:t>
      </w:r>
      <w:r>
        <w:rPr>
          <w:color w:val="auto"/>
          <w:highlight w:val="none"/>
        </w:rPr>
        <w:tab/>
      </w:r>
      <w:r>
        <w:rPr>
          <w:color w:val="auto"/>
          <w:highlight w:val="none"/>
        </w:rPr>
        <w:fldChar w:fldCharType="begin"/>
      </w:r>
      <w:r>
        <w:rPr>
          <w:color w:val="auto"/>
          <w:highlight w:val="none"/>
        </w:rPr>
        <w:instrText xml:space="preserve"> PAGEREF _Toc14253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"_Toc2889" </w:instrText>
      </w:r>
      <w:r>
        <w:rPr>
          <w:color w:val="auto"/>
          <w:highlight w:val="none"/>
        </w:rPr>
        <w:fldChar w:fldCharType="separate"/>
      </w:r>
      <w:r>
        <w:rPr>
          <w:rFonts w:hint="eastAsia" w:ascii="宋体" w:hAnsi="宋体" w:cs="宋体"/>
          <w:color w:val="auto"/>
          <w:highlight w:val="none"/>
        </w:rPr>
        <w:t>附件二、中小企业申明（货物）</w:t>
      </w:r>
      <w:r>
        <w:rPr>
          <w:color w:val="auto"/>
          <w:highlight w:val="none"/>
        </w:rPr>
        <w:tab/>
      </w:r>
      <w:r>
        <w:rPr>
          <w:color w:val="auto"/>
          <w:highlight w:val="none"/>
        </w:rPr>
        <w:fldChar w:fldCharType="begin"/>
      </w:r>
      <w:r>
        <w:rPr>
          <w:color w:val="auto"/>
          <w:highlight w:val="none"/>
        </w:rPr>
        <w:instrText xml:space="preserve"> PAGEREF _Toc2889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"_Toc2332" </w:instrText>
      </w:r>
      <w:r>
        <w:rPr>
          <w:color w:val="auto"/>
          <w:highlight w:val="none"/>
        </w:rPr>
        <w:fldChar w:fldCharType="separate"/>
      </w:r>
      <w:r>
        <w:rPr>
          <w:rFonts w:hint="eastAsia" w:ascii="宋体" w:hAnsi="宋体" w:cs="宋体"/>
          <w:color w:val="auto"/>
          <w:highlight w:val="none"/>
        </w:rPr>
        <w:t>附件三、残疾人福利性单位声明</w:t>
      </w:r>
      <w:r>
        <w:rPr>
          <w:color w:val="auto"/>
          <w:highlight w:val="none"/>
        </w:rPr>
        <w:tab/>
      </w:r>
      <w:r>
        <w:rPr>
          <w:color w:val="auto"/>
          <w:highlight w:val="none"/>
        </w:rPr>
        <w:fldChar w:fldCharType="begin"/>
      </w:r>
      <w:r>
        <w:rPr>
          <w:color w:val="auto"/>
          <w:highlight w:val="none"/>
        </w:rPr>
        <w:instrText xml:space="preserve"> PAGEREF _Toc2332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"_Toc1115" </w:instrText>
      </w:r>
      <w:r>
        <w:rPr>
          <w:color w:val="auto"/>
          <w:highlight w:val="none"/>
        </w:rPr>
        <w:fldChar w:fldCharType="separate"/>
      </w:r>
      <w:r>
        <w:rPr>
          <w:rFonts w:hint="eastAsia" w:ascii="宋体" w:hAnsi="宋体" w:cs="宋体"/>
          <w:color w:val="auto"/>
          <w:highlight w:val="none"/>
        </w:rPr>
        <w:t>附件四、监狱企业证明文件</w:t>
      </w:r>
      <w:r>
        <w:rPr>
          <w:color w:val="auto"/>
          <w:highlight w:val="none"/>
        </w:rPr>
        <w:tab/>
      </w:r>
      <w:r>
        <w:rPr>
          <w:color w:val="auto"/>
          <w:highlight w:val="none"/>
        </w:rPr>
        <w:fldChar w:fldCharType="begin"/>
      </w:r>
      <w:r>
        <w:rPr>
          <w:color w:val="auto"/>
          <w:highlight w:val="none"/>
        </w:rPr>
        <w:instrText xml:space="preserve"> PAGEREF _Toc1115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"_Toc22629" </w:instrText>
      </w:r>
      <w:r>
        <w:rPr>
          <w:color w:val="auto"/>
          <w:highlight w:val="none"/>
        </w:rPr>
        <w:fldChar w:fldCharType="separate"/>
      </w:r>
      <w:r>
        <w:rPr>
          <w:rFonts w:hint="eastAsia" w:ascii="宋体" w:hAnsi="宋体" w:cs="宋体"/>
          <w:color w:val="auto"/>
          <w:highlight w:val="none"/>
        </w:rPr>
        <w:t>附件五、“节能产品”，“环境标志产品”证明材料</w:t>
      </w:r>
      <w:r>
        <w:rPr>
          <w:color w:val="auto"/>
          <w:highlight w:val="none"/>
        </w:rPr>
        <w:tab/>
      </w:r>
      <w:r>
        <w:rPr>
          <w:color w:val="auto"/>
          <w:highlight w:val="none"/>
        </w:rPr>
        <w:fldChar w:fldCharType="begin"/>
      </w:r>
      <w:r>
        <w:rPr>
          <w:color w:val="auto"/>
          <w:highlight w:val="none"/>
        </w:rPr>
        <w:instrText xml:space="preserve"> PAGEREF _Toc22629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22"/>
        <w:tabs>
          <w:tab w:val="right" w:leader="dot" w:pos="8306"/>
        </w:tabs>
        <w:rPr>
          <w:color w:val="auto"/>
          <w:highlight w:val="none"/>
        </w:rPr>
      </w:pPr>
      <w:r>
        <w:rPr>
          <w:color w:val="auto"/>
          <w:highlight w:val="none"/>
        </w:rPr>
        <w:fldChar w:fldCharType="begin"/>
      </w:r>
      <w:r>
        <w:rPr>
          <w:color w:val="auto"/>
          <w:highlight w:val="none"/>
        </w:rPr>
        <w:instrText xml:space="preserve"> HYPERLINK \l "_Toc24355" </w:instrText>
      </w:r>
      <w:r>
        <w:rPr>
          <w:color w:val="auto"/>
          <w:highlight w:val="none"/>
        </w:rPr>
        <w:fldChar w:fldCharType="separate"/>
      </w:r>
      <w:r>
        <w:rPr>
          <w:rFonts w:hint="eastAsia" w:ascii="宋体" w:hAnsi="宋体" w:cs="宋体"/>
          <w:color w:val="auto"/>
          <w:highlight w:val="none"/>
        </w:rPr>
        <w:t>附件六、质疑函范本</w:t>
      </w:r>
      <w:r>
        <w:rPr>
          <w:color w:val="auto"/>
          <w:highlight w:val="none"/>
        </w:rPr>
        <w:tab/>
      </w:r>
      <w:r>
        <w:rPr>
          <w:color w:val="auto"/>
          <w:highlight w:val="none"/>
        </w:rPr>
        <w:fldChar w:fldCharType="begin"/>
      </w:r>
      <w:r>
        <w:rPr>
          <w:color w:val="auto"/>
          <w:highlight w:val="none"/>
        </w:rPr>
        <w:instrText xml:space="preserve"> PAGEREF _Toc24355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3"/>
        <w:spacing w:line="240" w:lineRule="auto"/>
        <w:rPr>
          <w:rFonts w:ascii="宋体" w:hAnsi="宋体" w:cs="宋体"/>
          <w:b w:val="0"/>
          <w:color w:val="auto"/>
          <w:sz w:val="24"/>
          <w:szCs w:val="24"/>
          <w:highlight w:val="none"/>
        </w:rPr>
        <w:sectPr>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color w:val="auto"/>
          <w:szCs w:val="24"/>
          <w:highlight w:val="none"/>
        </w:rPr>
        <w:fldChar w:fldCharType="end"/>
      </w:r>
    </w:p>
    <w:p>
      <w:pPr>
        <w:pStyle w:val="3"/>
        <w:spacing w:before="312" w:beforeLines="100" w:after="468" w:afterLines="150" w:line="600" w:lineRule="exact"/>
        <w:rPr>
          <w:rFonts w:ascii="宋体" w:hAnsi="宋体" w:cs="宋体"/>
          <w:color w:val="auto"/>
          <w:sz w:val="36"/>
          <w:szCs w:val="36"/>
          <w:highlight w:val="none"/>
        </w:rPr>
      </w:pPr>
      <w:bookmarkStart w:id="1" w:name="_Toc26575"/>
      <w:bookmarkStart w:id="2" w:name="_Toc32738"/>
      <w:r>
        <w:rPr>
          <w:rFonts w:hint="eastAsia" w:ascii="宋体" w:hAnsi="宋体" w:cs="宋体"/>
          <w:color w:val="auto"/>
          <w:sz w:val="36"/>
          <w:szCs w:val="36"/>
          <w:highlight w:val="none"/>
        </w:rPr>
        <w:t>第一部分  公开招标公告</w:t>
      </w:r>
      <w:bookmarkEnd w:id="1"/>
      <w:bookmarkEnd w:id="2"/>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项目概况</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西安市远东第一中学</w:t>
      </w:r>
      <w:r>
        <w:rPr>
          <w:rFonts w:hint="eastAsia" w:ascii="宋体" w:hAnsi="宋体" w:cs="宋体"/>
          <w:color w:val="auto"/>
          <w:sz w:val="24"/>
          <w:szCs w:val="24"/>
          <w:highlight w:val="none"/>
          <w:lang w:eastAsia="zh-CN"/>
        </w:rPr>
        <w:t>校园信息化设备采购项目</w:t>
      </w:r>
      <w:r>
        <w:rPr>
          <w:rFonts w:hint="eastAsia" w:ascii="宋体" w:hAnsi="宋体" w:cs="宋体"/>
          <w:color w:val="auto"/>
          <w:sz w:val="24"/>
          <w:szCs w:val="24"/>
          <w:highlight w:val="none"/>
        </w:rPr>
        <w:t>招标项目的潜在投标人应在西安市雁塔区科技路10号华奥大厦A座20层2002室获取招标文件，并于2022年</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分（北京时间）前递交投标文件。</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一、项目基本情况</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项目编号：ZMZB2022YDYZ-125</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项目名称：西安市远东第一中学</w:t>
      </w:r>
      <w:r>
        <w:rPr>
          <w:rFonts w:hint="eastAsia" w:ascii="宋体" w:hAnsi="宋体" w:cs="宋体"/>
          <w:color w:val="auto"/>
          <w:sz w:val="24"/>
          <w:szCs w:val="24"/>
          <w:highlight w:val="none"/>
          <w:lang w:eastAsia="zh-CN"/>
        </w:rPr>
        <w:t>校园信息化设备采购项目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采购方式：公开招标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预算金额：1500000.00元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采购需求：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合同包1(学校信息化建设采购项目):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合同包预算金额：1500000.00元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合同包最高限价：1500000.00元</w:t>
      </w:r>
    </w:p>
    <w:tbl>
      <w:tblPr>
        <w:tblStyle w:val="30"/>
        <w:tblW w:w="9985" w:type="dxa"/>
        <w:jc w:val="center"/>
        <w:tblLayout w:type="fixed"/>
        <w:tblCellMar>
          <w:top w:w="0" w:type="dxa"/>
          <w:left w:w="0" w:type="dxa"/>
          <w:bottom w:w="0" w:type="dxa"/>
          <w:right w:w="0" w:type="dxa"/>
        </w:tblCellMar>
      </w:tblPr>
      <w:tblGrid>
        <w:gridCol w:w="1037"/>
        <w:gridCol w:w="1611"/>
        <w:gridCol w:w="1332"/>
        <w:gridCol w:w="1095"/>
        <w:gridCol w:w="1350"/>
        <w:gridCol w:w="1768"/>
        <w:gridCol w:w="1792"/>
      </w:tblGrid>
      <w:tr>
        <w:tblPrEx>
          <w:tblCellMar>
            <w:top w:w="0" w:type="dxa"/>
            <w:left w:w="0" w:type="dxa"/>
            <w:bottom w:w="0" w:type="dxa"/>
            <w:right w:w="0" w:type="dxa"/>
          </w:tblCellMar>
        </w:tblPrEx>
        <w:trPr>
          <w:trHeight w:val="1498" w:hRule="atLeast"/>
          <w:tblHeader/>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品目号</w:t>
            </w:r>
          </w:p>
        </w:tc>
        <w:tc>
          <w:tcPr>
            <w:tcW w:w="1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品目</w:t>
            </w:r>
          </w:p>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采购标的</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品目预算(元)</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最高限价(元)</w:t>
            </w:r>
          </w:p>
        </w:tc>
      </w:tr>
      <w:tr>
        <w:tblPrEx>
          <w:tblCellMar>
            <w:top w:w="0" w:type="dxa"/>
            <w:left w:w="0" w:type="dxa"/>
            <w:bottom w:w="0" w:type="dxa"/>
            <w:right w:w="0" w:type="dxa"/>
          </w:tblCellMar>
        </w:tblPrEx>
        <w:trPr>
          <w:trHeight w:val="1885"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1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触控一体机</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1500000</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台</w:t>
            </w:r>
            <w:r>
              <w:rPr>
                <w:rFonts w:hint="eastAsia" w:ascii="宋体" w:hAnsi="宋体" w:cs="宋体"/>
                <w:color w:val="auto"/>
                <w:sz w:val="24"/>
                <w:szCs w:val="24"/>
                <w:highlight w:val="none"/>
              </w:rPr>
              <w:t>)</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详见采购文件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1500000.00元</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1500000.00元</w:t>
            </w:r>
          </w:p>
        </w:tc>
      </w:tr>
    </w:tbl>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本合同包不接受联合体投标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合同履行期限：自合同签订后到该项目质保期结束（具体服务起止日期可随合同签订时间相应顺延） </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二、申请人的资格要求：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1.满足《中华人民共和国政府釆购法》第二十二条规定;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合同包1(学校信息化建设采购项目)落实政府采购政策需满足的资格要求如下:</w:t>
      </w:r>
    </w:p>
    <w:p>
      <w:pPr>
        <w:numPr>
          <w:ilvl w:val="0"/>
          <w:numId w:val="2"/>
        </w:num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《政府采购促进中小企业发展管理办法》（财库〔2020〕46号）； </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（2）《财政部 司法部关于政府采购支持监狱企业发展有关问题的通知》（财库〔2014〕68号）；</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（3）《国务院办公厅关于建立政府强制采购节能产品制度的通知》（国办发〔2007〕51号）；</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（4）《节能产品政府采购实施意见》（财库〔2004〕185号）；</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（5）《环境标志产品政府采购实施的意见》（财库〔2006〕90号）；</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（6）《三部门联合发布关于促进残疾人就业政府采购政策的通知》（财库〔2017〕141号）。</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（7）《财政部 发展改革委 生态环境部 市场监管总局关于调整优化节能产品、环境标志产品政府采购执行机制的通知》（财库〔2019〕9号）。</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（8）陕西省财政厅关于印发《陕西省中小企业政府采购信用融资办法》（陕财办采〔2018〕23号）。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合同包1(学校信息化建设采购项目)特定资格要求如下:</w:t>
      </w:r>
    </w:p>
    <w:p>
      <w:pPr>
        <w:numPr>
          <w:ilvl w:val="0"/>
          <w:numId w:val="3"/>
        </w:num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具有独立承担民事责任能力的法人、其他组织或自然人，提供合法有效的统一社会信用代码营业执照（事业单位提供事业单位法人证书，自然人应提供身份证）；</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2）财务状况证明：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（3）具有履行合同所必需的设备和专业技术能力的书面声明；</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（4）税收缴纳证明：提供2021年9月以来至少一个月的纳税证明或完税证明，依法免税的单位应提供相关证明材料； </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（5）社会保障资金缴纳证明：提供2021年9月以来至少一个月的社会保障资金缴存单据或社保机构开具的社会保险参保缴费情况证明。依法不需要缴纳社会保障资金的供应商应提供相关文件证明；</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（6）参加政府采购活动前3年内在经营活动中没有重大违法记录的书面声明；</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（7）非法定代表人参加投标的，须提供法定代表人委托授权书及被授权人身份证，法定代表人参加投标时,只需提供法定代表人身份证； </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（8）本项目不接受联合体投标。</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三、获取招标文件</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时间：2022年</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日至2022年</w:t>
      </w:r>
      <w:r>
        <w:rPr>
          <w:rFonts w:hint="eastAsia" w:ascii="宋体" w:hAnsi="宋体" w:cs="宋体"/>
          <w:color w:val="auto"/>
          <w:sz w:val="24"/>
          <w:szCs w:val="24"/>
          <w:highlight w:val="none"/>
          <w:lang w:val="en-US" w:eastAsia="zh-CN"/>
        </w:rPr>
        <w:t>07月04</w:t>
      </w:r>
      <w:r>
        <w:rPr>
          <w:rFonts w:hint="eastAsia" w:ascii="宋体" w:hAnsi="宋体" w:cs="宋体"/>
          <w:color w:val="auto"/>
          <w:sz w:val="24"/>
          <w:szCs w:val="24"/>
          <w:highlight w:val="none"/>
        </w:rPr>
        <w:t>日，每天上午09:00:00至12:00:00，下午13:30:00至17:00:00（北京时间,法定节假日除外）</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地点：西安市雁塔区科技路10号华奥大厦A座20层2002室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方式：现场获取</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售价：免费赠送</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四、提交投标文件截止时间、开标时间和地点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2022年</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 xml:space="preserve">日 </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时30分00秒 （北京时间）</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地点：西安市雁塔区科技路10号华奥大厦A座20层2002室开标室</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五、公告期限</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自本公告发布之日起5个工作日。</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六、其他补充事宜</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本项目开标地点：西安市雁塔区科技路10号华奥大厦A座20层2002室开标室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注：（1）</w:t>
      </w:r>
      <w:r>
        <w:rPr>
          <w:rFonts w:hint="eastAsia" w:ascii="宋体" w:hAnsi="宋体" w:cs="宋体"/>
          <w:color w:val="auto"/>
          <w:sz w:val="24"/>
          <w:szCs w:val="24"/>
          <w:highlight w:val="none"/>
          <w:lang w:eastAsia="zh-CN"/>
        </w:rPr>
        <w:t>现场</w:t>
      </w:r>
      <w:r>
        <w:rPr>
          <w:rFonts w:hint="eastAsia" w:ascii="宋体" w:hAnsi="宋体" w:cs="宋体"/>
          <w:color w:val="auto"/>
          <w:sz w:val="24"/>
          <w:szCs w:val="24"/>
          <w:highlight w:val="none"/>
        </w:rPr>
        <w:t>获取招标文件时请携带单位介绍信原件、身份证原件及复印件加盖公章。（2）在采购文件获取时间内通过电子邮箱发送电子版报名资料的方式获取采购文件，供应商出具的对领取人的授权委托书或介绍信以及领取人的身份证，加盖公章后以扫描件形式发送至shanxizhuoming_zb@163.com邮箱，（邮件标题命名格式为“供应商名称+联系人+联系电话+项目名称”），招标文件将通过邮箱发送，无须现场领取。（3）请供应商按照陕西省财政厅关于政府采购供应商注册登记有关事项的通知中的要求，通过陕西省政府采购网（http://www.ccgp-shaanxi.gov.cn/）注册登记加入陕西省政府采购供应商库。</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七、对本次招标提出询问，请按以下方式联系。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1.釆购人信息</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名称：西安市远东第一中学</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地址：陕西省西安市莲湖区汉城东路27号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联系方式：029-84293888-81109        </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2.釆购代理机构信息</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名称：陕西卓佲项目管理有限公司</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地址：西安市雁塔区科技路10号华奥大厦A座20层2002室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联系方式：029-88440695</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3.项目联系方式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项目联系人：米文佳 魏萌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电话：029-88440695</w:t>
      </w:r>
    </w:p>
    <w:p>
      <w:pPr>
        <w:spacing w:line="360" w:lineRule="auto"/>
        <w:ind w:firstLine="480" w:firstLineChars="200"/>
        <w:jc w:val="right"/>
        <w:rPr>
          <w:rFonts w:ascii="宋体" w:hAnsi="宋体" w:cs="宋体"/>
          <w:color w:val="auto"/>
          <w:sz w:val="24"/>
          <w:szCs w:val="24"/>
          <w:highlight w:val="none"/>
        </w:rPr>
      </w:pPr>
    </w:p>
    <w:p>
      <w:pPr>
        <w:spacing w:line="360" w:lineRule="auto"/>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陕西卓佲项目管理有限公司</w:t>
      </w:r>
    </w:p>
    <w:p>
      <w:pPr>
        <w:spacing w:line="360" w:lineRule="auto"/>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2022年</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w:t>
      </w:r>
    </w:p>
    <w:p>
      <w:pPr>
        <w:rPr>
          <w:color w:val="auto"/>
          <w:highlight w:val="none"/>
        </w:rPr>
      </w:pPr>
    </w:p>
    <w:p>
      <w:pPr>
        <w:pStyle w:val="3"/>
        <w:keepLines w:val="0"/>
        <w:ind w:firstLine="562" w:firstLineChars="175"/>
        <w:rPr>
          <w:rFonts w:ascii="宋体" w:hAnsi="宋体" w:cs="宋体"/>
          <w:color w:val="auto"/>
          <w:highlight w:val="none"/>
        </w:rPr>
        <w:sectPr>
          <w:footerReference r:id="rId7" w:type="default"/>
          <w:pgSz w:w="11906" w:h="16838"/>
          <w:pgMar w:top="1440" w:right="1486" w:bottom="1440" w:left="1800" w:header="851" w:footer="992" w:gutter="0"/>
          <w:pgNumType w:start="1"/>
          <w:cols w:space="720" w:num="1"/>
          <w:docGrid w:type="lines" w:linePitch="312" w:charSpace="0"/>
        </w:sectPr>
      </w:pPr>
    </w:p>
    <w:p>
      <w:pPr>
        <w:pStyle w:val="3"/>
        <w:spacing w:before="312" w:beforeLines="100" w:after="156" w:afterLines="50" w:line="600" w:lineRule="exact"/>
        <w:rPr>
          <w:rFonts w:ascii="宋体" w:hAnsi="宋体" w:cs="宋体"/>
          <w:color w:val="auto"/>
          <w:sz w:val="36"/>
          <w:szCs w:val="36"/>
          <w:highlight w:val="none"/>
        </w:rPr>
      </w:pPr>
      <w:bookmarkStart w:id="3" w:name="_Toc30089"/>
      <w:bookmarkStart w:id="4" w:name="_Toc5218"/>
      <w:bookmarkStart w:id="5" w:name="_Toc438048787"/>
      <w:r>
        <w:rPr>
          <w:rFonts w:hint="eastAsia" w:ascii="宋体" w:hAnsi="宋体" w:cs="宋体"/>
          <w:color w:val="auto"/>
          <w:sz w:val="36"/>
          <w:szCs w:val="36"/>
          <w:highlight w:val="none"/>
        </w:rPr>
        <w:t>第二部分  供应商须知前附表</w:t>
      </w:r>
      <w:bookmarkEnd w:id="3"/>
      <w:bookmarkEnd w:id="4"/>
      <w:bookmarkEnd w:id="5"/>
    </w:p>
    <w:tbl>
      <w:tblPr>
        <w:tblStyle w:val="30"/>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494" w:type="dxa"/>
            <w:vAlign w:val="center"/>
          </w:tcPr>
          <w:p>
            <w:pPr>
              <w:spacing w:before="156" w:beforeLines="5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内容</w:t>
            </w:r>
          </w:p>
        </w:tc>
        <w:tc>
          <w:tcPr>
            <w:tcW w:w="7219" w:type="dxa"/>
          </w:tcPr>
          <w:p>
            <w:pPr>
              <w:spacing w:before="156" w:beforeLines="5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1</w:t>
            </w:r>
          </w:p>
        </w:tc>
        <w:tc>
          <w:tcPr>
            <w:tcW w:w="149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资格要求</w:t>
            </w:r>
          </w:p>
        </w:tc>
        <w:tc>
          <w:tcPr>
            <w:tcW w:w="7219" w:type="dxa"/>
          </w:tcPr>
          <w:p>
            <w:pPr>
              <w:numPr>
                <w:ilvl w:val="0"/>
                <w:numId w:val="4"/>
              </w:num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基本资格条件：满足《中华人民共和国政府采购法》第二十二条规定。</w:t>
            </w:r>
          </w:p>
          <w:p>
            <w:pPr>
              <w:numPr>
                <w:ilvl w:val="0"/>
                <w:numId w:val="4"/>
              </w:num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特定资格条件：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（2）财务状况证明：</w:t>
            </w:r>
            <w:r>
              <w:rPr>
                <w:rFonts w:hint="eastAsia" w:ascii="宋体" w:hAnsi="宋体" w:cs="宋体"/>
                <w:color w:val="auto"/>
                <w:sz w:val="24"/>
                <w:highlight w:val="none"/>
              </w:rPr>
              <w:t>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（3）具有履行合同所必需的设备和专业技术能力的书面声明；</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（4）税收缴纳证明：提供2021年9月以来至少一个月的纳税证明或完税证明，依法免税的单位应提供相关证明材料； </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（5）社会保障资金缴纳证明：提供2021年9月以来至少一个月的社会保障资金缴存单据或社保机构开具的社会保险参保缴费情况证明。依法不需要缴纳社会保障资金的供应商应提供相关文件证明；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（6）参加政府采购活动前3年内在经营活动中没有重大违法记录的书面声明；</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（7）非法定代表人参加投标的，须提供法定代表人委托授权书及被授权人身份证，法定代表人参加投标时,只需提供法定代表人身份证； </w:t>
            </w:r>
          </w:p>
          <w:p>
            <w:pPr>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（8）本项目不接受联合体投标。</w:t>
            </w:r>
          </w:p>
          <w:p>
            <w:pPr>
              <w:spacing w:line="360" w:lineRule="auto"/>
              <w:ind w:firstLine="422" w:firstLineChars="175"/>
              <w:jc w:val="left"/>
              <w:rPr>
                <w:rFonts w:ascii="宋体" w:hAnsi="宋体" w:cs="宋体"/>
                <w:color w:val="auto"/>
                <w:sz w:val="24"/>
                <w:szCs w:val="24"/>
                <w:highlight w:val="none"/>
              </w:rPr>
            </w:pPr>
            <w:r>
              <w:rPr>
                <w:rFonts w:hint="eastAsia" w:ascii="宋体" w:hAnsi="宋体" w:cs="宋体"/>
                <w:b/>
                <w:bCs/>
                <w:color w:val="auto"/>
                <w:sz w:val="24"/>
                <w:szCs w:val="24"/>
                <w:highlight w:val="none"/>
              </w:rPr>
              <w:t>以上项为资格审查必备资质。投标文件的正本和全部副本必须附上述资格证明文件，缺少其中一项或某项达不到公开招标要求，其投标文件按无效文件处理。（开标现场携带相关原件及供应商代表身份证备查）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tcPr>
          <w:p>
            <w:pPr>
              <w:spacing w:before="156" w:beforeLines="5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2</w:t>
            </w:r>
          </w:p>
        </w:tc>
        <w:tc>
          <w:tcPr>
            <w:tcW w:w="149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符合性审查</w:t>
            </w:r>
          </w:p>
        </w:tc>
        <w:tc>
          <w:tcPr>
            <w:tcW w:w="7219" w:type="dxa"/>
          </w:tcPr>
          <w:p>
            <w:pPr>
              <w:pStyle w:val="15"/>
              <w:snapToGrid w:val="0"/>
              <w:spacing w:line="360" w:lineRule="auto"/>
              <w:rPr>
                <w:rFonts w:hAnsi="宋体" w:cs="宋体"/>
                <w:color w:val="auto"/>
                <w:kern w:val="0"/>
                <w:sz w:val="24"/>
                <w:szCs w:val="24"/>
                <w:highlight w:val="none"/>
              </w:rPr>
            </w:pPr>
            <w:r>
              <w:rPr>
                <w:rFonts w:hint="eastAsia" w:hAnsi="宋体" w:cs="宋体"/>
                <w:color w:val="auto"/>
                <w:kern w:val="0"/>
                <w:sz w:val="24"/>
                <w:szCs w:val="24"/>
                <w:highlight w:val="none"/>
              </w:rPr>
              <w:t>有下列情形之一的，应在符合性审查时按照无效投标处理。</w:t>
            </w:r>
          </w:p>
          <w:p>
            <w:pPr>
              <w:numPr>
                <w:ilvl w:val="0"/>
                <w:numId w:val="5"/>
              </w:numPr>
              <w:spacing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 xml:space="preserve">投标报价超过采购预算或者最高限价； </w:t>
            </w:r>
          </w:p>
          <w:p>
            <w:pPr>
              <w:numPr>
                <w:ilvl w:val="0"/>
                <w:numId w:val="5"/>
              </w:numPr>
              <w:spacing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投标文件的交货期不满足招标文件要求</w:t>
            </w:r>
          </w:p>
          <w:p>
            <w:pPr>
              <w:numPr>
                <w:ilvl w:val="0"/>
                <w:numId w:val="5"/>
              </w:numPr>
              <w:spacing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投标文件的质保期不满足招标文件要求；</w:t>
            </w:r>
          </w:p>
          <w:p>
            <w:pPr>
              <w:pStyle w:val="2"/>
              <w:rPr>
                <w:color w:val="auto"/>
                <w:highlight w:val="none"/>
              </w:rPr>
            </w:pPr>
            <w:r>
              <w:rPr>
                <w:rFonts w:hint="eastAsia" w:ascii="宋体" w:hAnsi="宋体" w:cs="宋体"/>
                <w:color w:val="auto"/>
                <w:highlight w:val="none"/>
              </w:rPr>
              <w:t>（4）投标文件的付款方式不满足招标文件要求；</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（5）投标文件的数量、签署、盖章、装订不符合招标文件要求；</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（6）投标文件无投标有效期或有效期达不到招标文件要求的；</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（7）供应商针对同一项目递交两份或多份内容不同的投标文件，未书面声明哪一份是有效的或出现选择性报价的；</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（8）投标文件的标的数量不满足采购要求的；</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（9）“★”符号标明的条款为实质性要求和条件，投标文件对其中任何一条的负偏离，为实质性偏离，其投标无效；</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（10）投标文件含有采购人不能接受的附加条件的；</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（11）</w:t>
            </w:r>
            <w:r>
              <w:rPr>
                <w:rFonts w:ascii="宋体" w:hAnsi="宋体" w:cs="宋体"/>
                <w:b/>
                <w:bCs/>
                <w:color w:val="auto"/>
                <w:sz w:val="24"/>
                <w:szCs w:val="24"/>
                <w:highlight w:val="none"/>
              </w:rPr>
              <w:t>供应商</w:t>
            </w:r>
            <w:r>
              <w:rPr>
                <w:rFonts w:hint="eastAsia" w:ascii="宋体" w:hAnsi="宋体" w:cs="宋体"/>
                <w:b/>
                <w:bCs/>
                <w:color w:val="auto"/>
                <w:sz w:val="24"/>
                <w:szCs w:val="24"/>
                <w:highlight w:val="none"/>
              </w:rPr>
              <w:t>提供赠品、回扣或者与采购无关的其他商品、服务（不包括采购项目本身所包括涉及的采购事项，</w:t>
            </w:r>
            <w:r>
              <w:rPr>
                <w:rFonts w:ascii="宋体" w:hAnsi="宋体" w:cs="宋体"/>
                <w:b/>
                <w:bCs/>
                <w:color w:val="auto"/>
                <w:sz w:val="24"/>
                <w:szCs w:val="24"/>
                <w:highlight w:val="none"/>
              </w:rPr>
              <w:t>供应商</w:t>
            </w:r>
            <w:r>
              <w:rPr>
                <w:rFonts w:hint="eastAsia" w:ascii="宋体" w:hAnsi="宋体" w:cs="宋体"/>
                <w:b/>
                <w:bCs/>
                <w:color w:val="auto"/>
                <w:sz w:val="24"/>
                <w:szCs w:val="24"/>
                <w:highlight w:val="none"/>
              </w:rPr>
              <w:t>不能以“赠送、赠予”等任何名义提供货物和服务以规避招标文件的约束）。否则，供应商的投标行为将作为以不正当手段排挤其他供应商认定；</w:t>
            </w:r>
          </w:p>
          <w:p>
            <w:pPr>
              <w:spacing w:line="360" w:lineRule="auto"/>
              <w:rPr>
                <w:rFonts w:ascii="宋体" w:hAnsi="宋体" w:cs="宋体"/>
                <w:b/>
                <w:bCs/>
                <w:color w:val="auto"/>
                <w:sz w:val="24"/>
                <w:szCs w:val="24"/>
                <w:highlight w:val="none"/>
              </w:rPr>
            </w:pPr>
            <w:r>
              <w:rPr>
                <w:rFonts w:hint="eastAsia" w:ascii="宋体" w:hAnsi="宋体" w:cs="宋体"/>
                <w:color w:val="auto"/>
                <w:sz w:val="24"/>
                <w:szCs w:val="24"/>
                <w:highlight w:val="none"/>
              </w:rPr>
              <w:t>（12）法律、法规和招标文件规定的其他无效情形。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505" w:type="dxa"/>
          </w:tcPr>
          <w:p>
            <w:pPr>
              <w:spacing w:before="156" w:beforeLines="5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3</w:t>
            </w:r>
          </w:p>
        </w:tc>
        <w:tc>
          <w:tcPr>
            <w:tcW w:w="149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商务条款</w:t>
            </w:r>
          </w:p>
        </w:tc>
        <w:tc>
          <w:tcPr>
            <w:tcW w:w="7219" w:type="dxa"/>
          </w:tcPr>
          <w:p>
            <w:pPr>
              <w:spacing w:line="360" w:lineRule="auto"/>
              <w:rPr>
                <w:rFonts w:ascii="宋体" w:hAnsi="宋体" w:cs="宋体"/>
                <w:color w:val="auto"/>
                <w:sz w:val="24"/>
                <w:szCs w:val="24"/>
                <w:highlight w:val="none"/>
              </w:rPr>
            </w:pPr>
            <w:r>
              <w:rPr>
                <w:rFonts w:hint="eastAsia"/>
                <w:color w:val="auto"/>
                <w:highlight w:val="none"/>
              </w:rPr>
              <w:t>★</w:t>
            </w:r>
            <w:r>
              <w:rPr>
                <w:rFonts w:hint="eastAsia" w:ascii="宋体" w:hAnsi="宋体" w:cs="宋体"/>
                <w:color w:val="auto"/>
                <w:sz w:val="24"/>
                <w:szCs w:val="24"/>
                <w:highlight w:val="none"/>
              </w:rPr>
              <w:t>1、交货期：合同签订后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w:t>
            </w:r>
          </w:p>
          <w:p>
            <w:pPr>
              <w:pStyle w:val="2"/>
              <w:rPr>
                <w:rFonts w:ascii="宋体" w:hAnsi="宋体" w:cs="宋体"/>
                <w:color w:val="auto"/>
                <w:highlight w:val="none"/>
              </w:rPr>
            </w:pPr>
            <w:r>
              <w:rPr>
                <w:rFonts w:hint="eastAsia" w:ascii="宋体" w:hAnsi="宋体" w:cs="宋体"/>
                <w:color w:val="auto"/>
                <w:highlight w:val="none"/>
              </w:rPr>
              <w:t xml:space="preserve">★2、质保期：验收合格后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12</w:t>
            </w:r>
            <w:r>
              <w:rPr>
                <w:rFonts w:hint="eastAsia" w:ascii="宋体" w:hAnsi="宋体" w:cs="宋体"/>
                <w:color w:val="auto"/>
                <w:highlight w:val="none"/>
                <w:u w:val="single"/>
              </w:rPr>
              <w:t xml:space="preserve">  </w:t>
            </w:r>
            <w:r>
              <w:rPr>
                <w:rFonts w:hint="eastAsia" w:ascii="宋体" w:hAnsi="宋体" w:cs="宋体"/>
                <w:color w:val="auto"/>
                <w:highlight w:val="none"/>
              </w:rPr>
              <w:t>个月。</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★3、交货地点：采购人指定地点。</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★4、付款方式：</w:t>
            </w:r>
          </w:p>
          <w:p>
            <w:pPr>
              <w:tabs>
                <w:tab w:val="left" w:pos="1440"/>
              </w:tabs>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（1）全部产品安装调试完毕并验收合格后，30日内，甲方向乙方支付合同总价95%的价款。</w:t>
            </w:r>
          </w:p>
          <w:p>
            <w:pPr>
              <w:tabs>
                <w:tab w:val="left" w:pos="1440"/>
              </w:tabs>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（2）留合同总价的5%在质保期满一年后一次付清。</w:t>
            </w:r>
          </w:p>
          <w:p>
            <w:pPr>
              <w:tabs>
                <w:tab w:val="left" w:pos="1440"/>
              </w:tabs>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（3）结算方式：银行转账。</w:t>
            </w:r>
          </w:p>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（4）结算单位：由采购人负责结算，乙方开具合同总价数的全额发票交采购人。</w:t>
            </w:r>
          </w:p>
          <w:p>
            <w:pPr>
              <w:spacing w:line="360" w:lineRule="auto"/>
              <w:rPr>
                <w:color w:val="auto"/>
                <w:highlight w:val="none"/>
              </w:rPr>
            </w:pPr>
            <w:r>
              <w:rPr>
                <w:rFonts w:hint="eastAsia" w:ascii="宋体" w:hAnsi="宋体" w:cs="宋体"/>
                <w:color w:val="auto"/>
                <w:sz w:val="24"/>
                <w:szCs w:val="24"/>
                <w:highlight w:val="none"/>
              </w:rPr>
              <w:t>备注：商务条款为实质性条款，不允许负偏离。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94"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备选方案</w:t>
            </w:r>
          </w:p>
        </w:tc>
        <w:tc>
          <w:tcPr>
            <w:tcW w:w="7219" w:type="dxa"/>
            <w:vAlign w:val="center"/>
          </w:tcPr>
          <w:p>
            <w:pPr>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494"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w:t>
            </w:r>
          </w:p>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有效期</w:t>
            </w:r>
          </w:p>
        </w:tc>
        <w:tc>
          <w:tcPr>
            <w:tcW w:w="7219" w:type="dxa"/>
            <w:vAlign w:val="center"/>
          </w:tcPr>
          <w:p>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投标文件有效期为从开标之日起有效期至少为90日历日。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494" w:type="dxa"/>
            <w:vAlign w:val="center"/>
          </w:tcPr>
          <w:p>
            <w:pPr>
              <w:spacing w:line="360" w:lineRule="auto"/>
              <w:jc w:val="center"/>
              <w:rPr>
                <w:rFonts w:ascii="宋体" w:hAnsi="宋体" w:cs="宋体"/>
                <w:color w:val="auto"/>
                <w:sz w:val="24"/>
                <w:szCs w:val="24"/>
                <w:highlight w:val="none"/>
              </w:rPr>
            </w:pPr>
            <w:r>
              <w:rPr>
                <w:rFonts w:hint="eastAsia" w:ascii="宋体" w:hAnsi="宋体" w:cs="宋体"/>
                <w:b/>
                <w:bCs/>
                <w:color w:val="auto"/>
                <w:sz w:val="24"/>
                <w:szCs w:val="24"/>
                <w:highlight w:val="none"/>
              </w:rPr>
              <w:t>投标货币及报价</w:t>
            </w:r>
          </w:p>
        </w:tc>
        <w:tc>
          <w:tcPr>
            <w:tcW w:w="7219" w:type="dxa"/>
            <w:vAlign w:val="center"/>
          </w:tcPr>
          <w:p>
            <w:pPr>
              <w:numPr>
                <w:ilvl w:val="0"/>
                <w:numId w:val="6"/>
              </w:numPr>
              <w:spacing w:line="360" w:lineRule="auto"/>
              <w:ind w:firstLine="0"/>
              <w:jc w:val="left"/>
              <w:rPr>
                <w:rFonts w:ascii="宋体" w:hAnsi="宋体" w:cs="宋体"/>
                <w:color w:val="auto"/>
                <w:sz w:val="24"/>
                <w:szCs w:val="24"/>
                <w:highlight w:val="none"/>
              </w:rPr>
            </w:pPr>
            <w:r>
              <w:rPr>
                <w:rFonts w:hint="eastAsia" w:ascii="宋体" w:hAnsi="宋体" w:cs="宋体"/>
                <w:b/>
                <w:bCs/>
                <w:color w:val="auto"/>
                <w:sz w:val="24"/>
                <w:szCs w:val="24"/>
                <w:highlight w:val="none"/>
              </w:rPr>
              <w:t>供应商应当根据招标文件的要求和范围，以人民币为货币，以元为报价单位</w:t>
            </w:r>
            <w:r>
              <w:rPr>
                <w:rFonts w:hint="eastAsia" w:ascii="宋体" w:hAnsi="宋体" w:cs="宋体"/>
                <w:color w:val="auto"/>
                <w:sz w:val="24"/>
                <w:szCs w:val="24"/>
                <w:highlight w:val="none"/>
              </w:rPr>
              <w:t>。</w:t>
            </w:r>
          </w:p>
          <w:p>
            <w:pPr>
              <w:numPr>
                <w:ilvl w:val="0"/>
                <w:numId w:val="6"/>
              </w:numPr>
              <w:spacing w:line="360" w:lineRule="auto"/>
              <w:ind w:firstLine="0"/>
              <w:jc w:val="left"/>
              <w:rPr>
                <w:rFonts w:ascii="宋体" w:hAnsi="宋体" w:cs="宋体"/>
                <w:color w:val="auto"/>
                <w:sz w:val="24"/>
                <w:szCs w:val="24"/>
                <w:highlight w:val="none"/>
              </w:rPr>
            </w:pPr>
            <w:r>
              <w:rPr>
                <w:rFonts w:hint="eastAsia" w:ascii="宋体" w:hAnsi="宋体" w:cs="宋体"/>
                <w:b/>
                <w:bCs/>
                <w:color w:val="auto"/>
                <w:sz w:val="24"/>
                <w:szCs w:val="24"/>
                <w:highlight w:val="none"/>
              </w:rPr>
              <w:t>供应商应在投标报价表中标明完成本次招标所要求的货物、服务且验收合格的所有费用，包括产品费、安装调试费、运杂费（含保险）、仓储保管费、技术培训费、检测费、施工费、运输费、人工费、税金及进口产品国家按现行税收政策征收的一切税费等。</w:t>
            </w:r>
          </w:p>
          <w:p>
            <w:pPr>
              <w:numPr>
                <w:ilvl w:val="0"/>
                <w:numId w:val="6"/>
              </w:numPr>
              <w:spacing w:line="360" w:lineRule="auto"/>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供应商应在投标文件中的开标一览表上按招标文件规定要求填写，并由法定代表人或被授权人代表签署；任何有选择的报价不予接受。</w:t>
            </w:r>
          </w:p>
          <w:p>
            <w:pPr>
              <w:numPr>
                <w:ilvl w:val="0"/>
                <w:numId w:val="6"/>
              </w:numPr>
              <w:spacing w:line="360" w:lineRule="auto"/>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开标一览表与分项报价表中的价格，在合同执行过程中，均不得以任何理由变更。</w:t>
            </w:r>
          </w:p>
          <w:p>
            <w:pPr>
              <w:numPr>
                <w:ilvl w:val="0"/>
                <w:numId w:val="6"/>
              </w:numPr>
              <w:spacing w:line="360" w:lineRule="auto"/>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采用综合评分法的，最低报价不是中标的唯一依据。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8"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494" w:type="dxa"/>
            <w:vAlign w:val="center"/>
          </w:tcPr>
          <w:p>
            <w:pPr>
              <w:spacing w:line="360" w:lineRule="auto"/>
              <w:jc w:val="center"/>
              <w:rPr>
                <w:rFonts w:ascii="宋体" w:hAnsi="宋体" w:cs="宋体"/>
                <w:color w:val="auto"/>
                <w:sz w:val="24"/>
                <w:szCs w:val="24"/>
                <w:highlight w:val="none"/>
              </w:rPr>
            </w:pPr>
            <w:r>
              <w:rPr>
                <w:rFonts w:hint="eastAsia" w:ascii="宋体" w:hAnsi="宋体" w:cs="宋体"/>
                <w:b/>
                <w:bCs/>
                <w:color w:val="auto"/>
                <w:sz w:val="24"/>
                <w:szCs w:val="24"/>
                <w:highlight w:val="none"/>
              </w:rPr>
              <w:t>投标文件份数及装订要求</w:t>
            </w:r>
          </w:p>
        </w:tc>
        <w:tc>
          <w:tcPr>
            <w:tcW w:w="7219" w:type="dxa"/>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1、投标文件正本</w:t>
            </w:r>
            <w:r>
              <w:rPr>
                <w:rFonts w:hint="eastAsia" w:ascii="宋体" w:hAnsi="宋体" w:cs="宋体"/>
                <w:color w:val="auto"/>
                <w:sz w:val="24"/>
                <w:szCs w:val="24"/>
                <w:highlight w:val="none"/>
                <w:u w:val="single"/>
              </w:rPr>
              <w:t>壹</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肆</w:t>
            </w:r>
            <w:r>
              <w:rPr>
                <w:rFonts w:hint="eastAsia" w:ascii="宋体" w:hAnsi="宋体" w:cs="宋体"/>
                <w:color w:val="auto"/>
                <w:sz w:val="24"/>
                <w:szCs w:val="24"/>
                <w:highlight w:val="none"/>
              </w:rPr>
              <w:t>份、开标一览表</w:t>
            </w:r>
            <w:r>
              <w:rPr>
                <w:rFonts w:hint="eastAsia" w:ascii="宋体" w:hAnsi="宋体" w:cs="宋体"/>
                <w:color w:val="auto"/>
                <w:sz w:val="24"/>
                <w:szCs w:val="24"/>
                <w:highlight w:val="none"/>
                <w:u w:val="single"/>
              </w:rPr>
              <w:t>壹</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壹</w:t>
            </w:r>
            <w:r>
              <w:rPr>
                <w:rFonts w:hint="eastAsia" w:ascii="宋体" w:hAnsi="宋体" w:cs="宋体"/>
                <w:color w:val="auto"/>
                <w:sz w:val="24"/>
                <w:szCs w:val="24"/>
                <w:highlight w:val="none"/>
              </w:rPr>
              <w:t>份；</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2、正、副本分别</w:t>
            </w:r>
            <w:r>
              <w:rPr>
                <w:rFonts w:hint="eastAsia" w:ascii="宋体" w:hAnsi="宋体" w:cs="宋体"/>
                <w:b/>
                <w:bCs/>
                <w:color w:val="auto"/>
                <w:sz w:val="24"/>
                <w:szCs w:val="24"/>
                <w:highlight w:val="none"/>
              </w:rPr>
              <w:t>胶装装订成册</w:t>
            </w:r>
            <w:r>
              <w:rPr>
                <w:rFonts w:hint="eastAsia" w:ascii="宋体" w:hAnsi="宋体" w:cs="宋体"/>
                <w:color w:val="auto"/>
                <w:sz w:val="24"/>
                <w:szCs w:val="24"/>
                <w:highlight w:val="none"/>
              </w:rPr>
              <w:t>，逐页标注连页码，且封面须清楚地标明“正本”或“副本”；若正本和副本不符，以正本书面文件为准；同时提供与正本内容一致的电子版（U盘、电子文档应为PDF与WORD格式各一份，PDF版本需为正本签署盖章扫描件）、报价一览表（用于开标唱标单独提交的“报价一览表”应为原件）。</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07"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494"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投标文件的签署</w:t>
            </w:r>
          </w:p>
        </w:tc>
        <w:tc>
          <w:tcPr>
            <w:tcW w:w="7219" w:type="dxa"/>
            <w:vAlign w:val="center"/>
          </w:tcPr>
          <w:p>
            <w:pPr>
              <w:numPr>
                <w:ilvl w:val="0"/>
                <w:numId w:val="7"/>
              </w:numPr>
              <w:spacing w:line="360" w:lineRule="auto"/>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供应商在投标文件中指定的页面的落款处，按招标文件要求由供应商的法定代表人或其授权代表在规定的签章处签字或盖章。</w:t>
            </w:r>
          </w:p>
          <w:p>
            <w:pPr>
              <w:numPr>
                <w:ilvl w:val="0"/>
                <w:numId w:val="7"/>
              </w:numPr>
              <w:spacing w:line="360" w:lineRule="auto"/>
              <w:ind w:firstLine="0"/>
              <w:jc w:val="left"/>
              <w:rPr>
                <w:rFonts w:ascii="宋体" w:hAnsi="宋体" w:cs="宋体"/>
                <w:color w:val="auto"/>
                <w:sz w:val="24"/>
                <w:szCs w:val="24"/>
                <w:highlight w:val="none"/>
              </w:rPr>
            </w:pPr>
            <w:r>
              <w:rPr>
                <w:rFonts w:hint="eastAsia" w:ascii="宋体" w:hAnsi="宋体" w:cs="宋体"/>
                <w:color w:val="auto"/>
                <w:sz w:val="24"/>
                <w:szCs w:val="24"/>
                <w:highlight w:val="none"/>
              </w:rPr>
              <w:t>投标文件应字迹清楚、内容齐全、不得涂改或增删。如有修改和增删，必须有供应商公章及法定代表人或其授权的供应商代表签字。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auto"/>
                <w:sz w:val="24"/>
                <w:szCs w:val="24"/>
                <w:highlight w:val="none"/>
              </w:rPr>
            </w:pPr>
            <w:r>
              <w:rPr>
                <w:rFonts w:hint="eastAsia" w:ascii="宋体" w:hAnsi="宋体" w:cs="宋体"/>
                <w:color w:val="auto"/>
                <w:sz w:val="24"/>
                <w:szCs w:val="24"/>
                <w:highlight w:val="none"/>
              </w:rPr>
              <w:t>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27"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494"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投标文件的密封</w:t>
            </w:r>
          </w:p>
        </w:tc>
        <w:tc>
          <w:tcPr>
            <w:tcW w:w="7219" w:type="dxa"/>
            <w:vAlign w:val="center"/>
          </w:tcPr>
          <w:p>
            <w:pPr>
              <w:pStyle w:val="65"/>
              <w:spacing w:line="360" w:lineRule="auto"/>
              <w:rPr>
                <w:color w:val="auto"/>
                <w:kern w:val="2"/>
                <w:highlight w:val="none"/>
              </w:rPr>
            </w:pPr>
            <w:r>
              <w:rPr>
                <w:rFonts w:hint="eastAsia"/>
                <w:color w:val="auto"/>
                <w:kern w:val="2"/>
                <w:highlight w:val="none"/>
              </w:rPr>
              <w:t>1、密封要求：</w:t>
            </w:r>
          </w:p>
          <w:p>
            <w:pPr>
              <w:pStyle w:val="65"/>
              <w:spacing w:line="360" w:lineRule="auto"/>
              <w:rPr>
                <w:color w:val="auto"/>
                <w:kern w:val="2"/>
                <w:highlight w:val="none"/>
              </w:rPr>
            </w:pPr>
            <w:r>
              <w:rPr>
                <w:rFonts w:hint="eastAsia"/>
                <w:color w:val="auto"/>
                <w:kern w:val="2"/>
                <w:highlight w:val="none"/>
              </w:rPr>
              <w:t>开标一览表单独密封递交，</w:t>
            </w:r>
          </w:p>
          <w:p>
            <w:pPr>
              <w:pStyle w:val="65"/>
              <w:spacing w:line="360" w:lineRule="auto"/>
              <w:rPr>
                <w:color w:val="auto"/>
                <w:kern w:val="2"/>
                <w:highlight w:val="none"/>
              </w:rPr>
            </w:pPr>
            <w:r>
              <w:rPr>
                <w:rFonts w:hint="eastAsia"/>
                <w:color w:val="auto"/>
                <w:kern w:val="2"/>
                <w:highlight w:val="none"/>
              </w:rPr>
              <w:t>电子文档单独密封递交。</w:t>
            </w:r>
          </w:p>
          <w:p>
            <w:pPr>
              <w:spacing w:line="360" w:lineRule="auto"/>
              <w:ind w:right="158" w:rightChars="75"/>
              <w:rPr>
                <w:rFonts w:ascii="宋体" w:hAnsi="宋体" w:cs="宋体"/>
                <w:color w:val="auto"/>
                <w:sz w:val="24"/>
                <w:szCs w:val="24"/>
                <w:highlight w:val="none"/>
              </w:rPr>
            </w:pPr>
            <w:r>
              <w:rPr>
                <w:rFonts w:hint="eastAsia" w:ascii="宋体" w:hAnsi="宋体" w:cs="宋体"/>
                <w:color w:val="auto"/>
                <w:sz w:val="24"/>
                <w:szCs w:val="24"/>
                <w:highlight w:val="none"/>
              </w:rPr>
              <w:t>所有正本单独密封递交，也可分册密封递交；</w:t>
            </w:r>
          </w:p>
          <w:p>
            <w:pPr>
              <w:spacing w:line="360" w:lineRule="auto"/>
              <w:ind w:right="158" w:rightChars="75"/>
              <w:rPr>
                <w:rFonts w:ascii="宋体" w:hAnsi="宋体" w:cs="宋体"/>
                <w:color w:val="auto"/>
                <w:sz w:val="24"/>
                <w:szCs w:val="24"/>
                <w:highlight w:val="none"/>
                <w:lang w:val="zh-CN"/>
              </w:rPr>
            </w:pPr>
            <w:r>
              <w:rPr>
                <w:rFonts w:hint="eastAsia" w:ascii="宋体" w:hAnsi="宋体" w:cs="宋体"/>
                <w:color w:val="auto"/>
                <w:sz w:val="24"/>
                <w:szCs w:val="24"/>
                <w:highlight w:val="none"/>
              </w:rPr>
              <w:t>所有副本单独密封递交，</w:t>
            </w:r>
            <w:r>
              <w:rPr>
                <w:rFonts w:hint="eastAsia" w:ascii="宋体" w:hAnsi="宋体" w:cs="宋体"/>
                <w:color w:val="auto"/>
                <w:sz w:val="24"/>
                <w:szCs w:val="24"/>
                <w:highlight w:val="none"/>
                <w:lang w:val="zh-CN"/>
              </w:rPr>
              <w:t>也可分册</w:t>
            </w:r>
            <w:r>
              <w:rPr>
                <w:rFonts w:hint="eastAsia" w:ascii="宋体" w:hAnsi="宋体" w:cs="宋体"/>
                <w:color w:val="auto"/>
                <w:sz w:val="24"/>
                <w:szCs w:val="24"/>
                <w:highlight w:val="none"/>
              </w:rPr>
              <w:t>密封递交</w:t>
            </w:r>
            <w:r>
              <w:rPr>
                <w:rFonts w:hint="eastAsia" w:ascii="宋体" w:hAnsi="宋体" w:cs="宋体"/>
                <w:color w:val="auto"/>
                <w:sz w:val="24"/>
                <w:szCs w:val="24"/>
                <w:highlight w:val="none"/>
                <w:lang w:val="zh-CN"/>
              </w:rPr>
              <w:t>；</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在封袋正面标明“正本”“副本”“电子版”“开标一览表”字样。封袋应密封完整（密封以不泄露供应商商业机密、投标文件内容为标准，封面标识见招标文件附件一），如果未按上述规定进行密封，供应商的投标文件有权被拒绝。</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3、如果供应商未按上述要求密封，误投或过早启封的投标文件，将自行承担其投标文件被视为无效投标文件的风险。</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4、本次招标只接受简体中文文字的投标文件；如投标文件中出现外文资料，需配以中文译文。否则，由此引发的一切责任由供应商自负。</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5、拒绝接受以电话、传真、电子邮件形式的投标。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494"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评分标准</w:t>
            </w:r>
          </w:p>
        </w:tc>
        <w:tc>
          <w:tcPr>
            <w:tcW w:w="721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1494" w:type="dxa"/>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是否采购进口产品</w:t>
            </w:r>
          </w:p>
        </w:tc>
        <w:tc>
          <w:tcPr>
            <w:tcW w:w="721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1494" w:type="dxa"/>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现场勘查</w:t>
            </w:r>
          </w:p>
        </w:tc>
        <w:tc>
          <w:tcPr>
            <w:tcW w:w="721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1494" w:type="dxa"/>
            <w:vAlign w:val="center"/>
          </w:tcPr>
          <w:p>
            <w:pPr>
              <w:spacing w:line="360" w:lineRule="auto"/>
              <w:jc w:val="center"/>
              <w:rPr>
                <w:rFonts w:ascii="宋体" w:hAnsi="宋体" w:cs="宋体"/>
                <w:color w:val="auto"/>
                <w:sz w:val="24"/>
                <w:szCs w:val="24"/>
                <w:highlight w:val="none"/>
              </w:rPr>
            </w:pPr>
            <w:r>
              <w:rPr>
                <w:rFonts w:hint="eastAsia" w:ascii="宋体" w:hAnsi="宋体" w:cs="宋体"/>
                <w:b/>
                <w:bCs/>
                <w:color w:val="auto"/>
                <w:sz w:val="24"/>
                <w:szCs w:val="24"/>
                <w:highlight w:val="none"/>
              </w:rPr>
              <w:t>代理服务费</w:t>
            </w:r>
          </w:p>
        </w:tc>
        <w:tc>
          <w:tcPr>
            <w:tcW w:w="721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参照国家计委颁布的《招标代理服务收费管理暂行办法》（计价格[2002]1980号）和发改办价格[2003]857号文件等法律法规规定的计价标准收取（含税），按照中标金额差额定率累进法计算，由中标/成交单位一次性支付给乙方。</w:t>
            </w:r>
          </w:p>
          <w:p>
            <w:pPr>
              <w:spacing w:line="360" w:lineRule="auto"/>
              <w:rPr>
                <w:color w:val="auto"/>
                <w:highlight w:val="none"/>
              </w:rPr>
            </w:pPr>
            <w:r>
              <w:rPr>
                <w:rFonts w:hint="eastAsia" w:ascii="宋体" w:hAnsi="宋体" w:cs="宋体"/>
                <w:color w:val="auto"/>
                <w:sz w:val="24"/>
                <w:szCs w:val="24"/>
                <w:highlight w:val="none"/>
              </w:rPr>
              <w:t>供应商将招标代理服务费计入投标报价但不单独列明，中标单位在领取中标通知书前，须向采购代理机构一次性支付招标代理服务费；代理服务费以转账、电汇或现金等形式交纳。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14</w:t>
            </w:r>
          </w:p>
        </w:tc>
        <w:tc>
          <w:tcPr>
            <w:tcW w:w="1494" w:type="dxa"/>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项目属性</w:t>
            </w:r>
          </w:p>
        </w:tc>
        <w:tc>
          <w:tcPr>
            <w:tcW w:w="7219" w:type="dxa"/>
            <w:vAlign w:val="center"/>
          </w:tcPr>
          <w:p>
            <w:pPr>
              <w:pStyle w:val="21"/>
              <w:rPr>
                <w:rFonts w:ascii="仿宋" w:hAnsi="仿宋" w:cs="Courier New"/>
                <w:color w:val="auto"/>
                <w:sz w:val="24"/>
                <w:szCs w:val="24"/>
                <w:highlight w:val="none"/>
              </w:rPr>
            </w:pPr>
            <w:r>
              <w:rPr>
                <w:rFonts w:hint="eastAsia" w:ascii="仿宋" w:hAnsi="仿宋" w:cs="Courier New"/>
                <w:color w:val="auto"/>
                <w:sz w:val="24"/>
                <w:szCs w:val="24"/>
                <w:highlight w:val="none"/>
              </w:rPr>
              <w:t>货物招标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1494" w:type="dxa"/>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所属行业</w:t>
            </w:r>
          </w:p>
        </w:tc>
        <w:tc>
          <w:tcPr>
            <w:tcW w:w="7219" w:type="dxa"/>
            <w:vAlign w:val="center"/>
          </w:tcPr>
          <w:p>
            <w:pPr>
              <w:pStyle w:val="21"/>
              <w:rPr>
                <w:rFonts w:ascii="仿宋" w:hAnsi="仿宋" w:cs="Courier New"/>
                <w:color w:val="auto"/>
                <w:sz w:val="24"/>
                <w:szCs w:val="24"/>
                <w:highlight w:val="none"/>
              </w:rPr>
            </w:pPr>
            <w:r>
              <w:rPr>
                <w:rFonts w:hint="eastAsia" w:ascii="仿宋" w:hAnsi="仿宋" w:cs="Courier New"/>
                <w:color w:val="auto"/>
                <w:sz w:val="24"/>
                <w:szCs w:val="24"/>
                <w:highlight w:val="none"/>
              </w:rPr>
              <w:t>所有标的所属行业为工业。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16</w:t>
            </w:r>
          </w:p>
        </w:tc>
        <w:tc>
          <w:tcPr>
            <w:tcW w:w="1494" w:type="dxa"/>
            <w:vAlign w:val="center"/>
          </w:tcPr>
          <w:p>
            <w:pPr>
              <w:jc w:val="center"/>
              <w:rPr>
                <w:rFonts w:ascii="仿宋" w:hAnsi="仿宋" w:cs="Courier New"/>
                <w:color w:val="auto"/>
                <w:sz w:val="24"/>
                <w:szCs w:val="24"/>
                <w:highlight w:val="none"/>
              </w:rPr>
            </w:pPr>
            <w:r>
              <w:rPr>
                <w:rFonts w:hint="eastAsia" w:ascii="仿宋" w:hAnsi="仿宋" w:cs="Courier New"/>
                <w:b/>
                <w:bCs/>
                <w:color w:val="auto"/>
                <w:sz w:val="24"/>
                <w:szCs w:val="24"/>
                <w:highlight w:val="none"/>
              </w:rPr>
              <w:t>核心产品</w:t>
            </w:r>
          </w:p>
        </w:tc>
        <w:tc>
          <w:tcPr>
            <w:tcW w:w="7219" w:type="dxa"/>
            <w:vAlign w:val="center"/>
          </w:tcPr>
          <w:p>
            <w:pPr>
              <w:pStyle w:val="2"/>
              <w:rPr>
                <w:rFonts w:ascii="仿宋" w:hAnsi="仿宋" w:cs="Courier New"/>
                <w:color w:val="auto"/>
                <w:kern w:val="2"/>
                <w:highlight w:val="none"/>
              </w:rPr>
            </w:pPr>
            <w:r>
              <w:rPr>
                <w:rFonts w:hint="eastAsia" w:ascii="仿宋" w:hAnsi="仿宋" w:cs="Courier New"/>
                <w:color w:val="auto"/>
                <w:kern w:val="2"/>
                <w:highlight w:val="none"/>
              </w:rPr>
              <w:t>智慧黑板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17</w:t>
            </w:r>
          </w:p>
        </w:tc>
        <w:tc>
          <w:tcPr>
            <w:tcW w:w="1494" w:type="dxa"/>
            <w:vAlign w:val="center"/>
          </w:tcPr>
          <w:p>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是否专门面向中小企业</w:t>
            </w:r>
          </w:p>
        </w:tc>
        <w:tc>
          <w:tcPr>
            <w:tcW w:w="7219" w:type="dxa"/>
            <w:vAlign w:val="center"/>
          </w:tcPr>
          <w:p>
            <w:pPr>
              <w:ind w:right="158" w:rightChars="75"/>
              <w:rPr>
                <w:color w:val="auto"/>
                <w:sz w:val="24"/>
                <w:szCs w:val="24"/>
                <w:highlight w:val="none"/>
              </w:rPr>
            </w:pPr>
            <w:r>
              <w:rPr>
                <w:rFonts w:hint="eastAsia"/>
                <w:color w:val="auto"/>
                <w:sz w:val="24"/>
                <w:szCs w:val="24"/>
                <w:highlight w:val="none"/>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18</w:t>
            </w:r>
          </w:p>
        </w:tc>
        <w:tc>
          <w:tcPr>
            <w:tcW w:w="1494" w:type="dxa"/>
            <w:vAlign w:val="center"/>
          </w:tcPr>
          <w:p>
            <w:pPr>
              <w:spacing w:line="360"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供应商</w:t>
            </w:r>
          </w:p>
          <w:p>
            <w:pPr>
              <w:spacing w:line="360"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提出质疑的时间、形式</w:t>
            </w:r>
          </w:p>
        </w:tc>
        <w:tc>
          <w:tcPr>
            <w:tcW w:w="7219" w:type="dxa"/>
            <w:vAlign w:val="center"/>
          </w:tcPr>
          <w:p>
            <w:pPr>
              <w:spacing w:line="360" w:lineRule="auto"/>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形式：书面；</w:t>
            </w:r>
          </w:p>
          <w:p>
            <w:pPr>
              <w:spacing w:line="360" w:lineRule="auto"/>
              <w:jc w:val="left"/>
              <w:rPr>
                <w:color w:val="auto"/>
                <w:highlight w:val="none"/>
              </w:rPr>
            </w:pPr>
            <w:r>
              <w:rPr>
                <w:rFonts w:hint="eastAsia" w:ascii="宋体" w:hAnsi="宋体" w:cs="宋体"/>
                <w:color w:val="auto"/>
                <w:sz w:val="24"/>
                <w:szCs w:val="24"/>
                <w:highlight w:val="none"/>
              </w:rPr>
              <w:t>环节：</w:t>
            </w:r>
            <w:r>
              <w:rPr>
                <w:rFonts w:hint="eastAsia" w:ascii="宋体" w:hAnsi="宋体" w:cs="宋体"/>
                <w:color w:val="auto"/>
                <w:sz w:val="24"/>
                <w:szCs w:val="24"/>
                <w:highlight w:val="none"/>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19</w:t>
            </w:r>
          </w:p>
        </w:tc>
        <w:tc>
          <w:tcPr>
            <w:tcW w:w="1494" w:type="dxa"/>
            <w:vAlign w:val="center"/>
          </w:tcPr>
          <w:p>
            <w:pPr>
              <w:spacing w:line="360"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对供应商提出质疑答复时间、形式</w:t>
            </w:r>
          </w:p>
        </w:tc>
        <w:tc>
          <w:tcPr>
            <w:tcW w:w="7219" w:type="dxa"/>
            <w:vAlign w:val="center"/>
          </w:tcPr>
          <w:p>
            <w:pPr>
              <w:spacing w:line="360" w:lineRule="auto"/>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时间：自收到供应商质疑函之日起7个工作日内</w:t>
            </w:r>
          </w:p>
          <w:p>
            <w:pPr>
              <w:spacing w:line="360" w:lineRule="auto"/>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1494" w:type="dxa"/>
            <w:vAlign w:val="center"/>
          </w:tcPr>
          <w:p>
            <w:pPr>
              <w:spacing w:line="360"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供应商信用信息查询</w:t>
            </w:r>
            <w:r>
              <w:rPr>
                <w:rFonts w:hint="eastAsia" w:ascii="宋体" w:hAnsi="宋体" w:cs="宋体"/>
                <w:color w:val="auto"/>
                <w:sz w:val="24"/>
                <w:szCs w:val="24"/>
                <w:highlight w:val="none"/>
              </w:rPr>
              <w:t>截止</w:t>
            </w:r>
            <w:r>
              <w:rPr>
                <w:rFonts w:hint="eastAsia" w:ascii="宋体" w:hAnsi="宋体" w:cs="宋体"/>
                <w:color w:val="auto"/>
                <w:sz w:val="24"/>
                <w:szCs w:val="24"/>
                <w:highlight w:val="none"/>
                <w:lang w:val="zh-CN"/>
              </w:rPr>
              <w:t>时点</w:t>
            </w:r>
          </w:p>
        </w:tc>
        <w:tc>
          <w:tcPr>
            <w:tcW w:w="7219" w:type="dxa"/>
            <w:vAlign w:val="center"/>
          </w:tcPr>
          <w:p>
            <w:pPr>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rPr>
              <w:t>投标文件递交截止日，由采购人和采购代理机构共同查询。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c>
          <w:tcPr>
            <w:tcW w:w="1494" w:type="dxa"/>
            <w:vAlign w:val="center"/>
          </w:tcPr>
          <w:p>
            <w:pPr>
              <w:spacing w:line="360" w:lineRule="auto"/>
              <w:jc w:val="center"/>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弃标须知</w:t>
            </w:r>
          </w:p>
        </w:tc>
        <w:tc>
          <w:tcPr>
            <w:tcW w:w="7219" w:type="dxa"/>
            <w:vAlign w:val="center"/>
          </w:tcPr>
          <w:p>
            <w:pPr>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市财函〔2021〕431号文第16条规定：供应商登记免费领取采购文件的，如不参与项目投标，应在递交投标（或响应）文件截止时间前一日以书面形式告知采购代理机构。否则，采购代理机构可以向财政部门反应情况并提供佐证。供应商一年内累计出现三次该情形，将被监管部门记录为失信行为。</w:t>
            </w:r>
          </w:p>
          <w:p>
            <w:pPr>
              <w:pStyle w:val="1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确认通知格式</w:t>
            </w:r>
            <w:r>
              <w:rPr>
                <w:rFonts w:hint="eastAsia" w:asciiTheme="minorEastAsia" w:hAnsiTheme="minorEastAsia" w:cstheme="minorEastAsia"/>
                <w:b/>
                <w:bCs/>
                <w:color w:val="auto"/>
                <w:sz w:val="24"/>
                <w:szCs w:val="24"/>
                <w:highlight w:val="none"/>
              </w:rPr>
              <w:t>下附</w:t>
            </w:r>
            <w:r>
              <w:rPr>
                <w:rFonts w:hint="eastAsia" w:asciiTheme="minorEastAsia" w:hAnsiTheme="minorEastAsia" w:eastAsiaTheme="minorEastAsia" w:cstheme="minorEastAsia"/>
                <w:b/>
                <w:bCs/>
                <w:color w:val="auto"/>
                <w:sz w:val="24"/>
                <w:szCs w:val="24"/>
                <w:highlight w:val="none"/>
              </w:rPr>
              <w:t>，供应商无论是否参与本项目投标，均需在递交响应文件截止时间前一日以书面形式告知采购代理机构。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22</w:t>
            </w:r>
          </w:p>
        </w:tc>
        <w:tc>
          <w:tcPr>
            <w:tcW w:w="1494" w:type="dxa"/>
            <w:vAlign w:val="center"/>
          </w:tcPr>
          <w:p>
            <w:pPr>
              <w:jc w:val="center"/>
              <w:rPr>
                <w:rFonts w:ascii="宋体" w:cs="宋体" w:eastAsiaTheme="minorEastAsia"/>
                <w:color w:val="auto"/>
                <w:sz w:val="24"/>
                <w:szCs w:val="24"/>
                <w:highlight w:val="none"/>
                <w:lang w:val="zh-CN"/>
              </w:rPr>
            </w:pPr>
            <w:r>
              <w:rPr>
                <w:rFonts w:hint="eastAsia" w:ascii="宋体" w:cs="宋体"/>
                <w:color w:val="auto"/>
                <w:sz w:val="24"/>
                <w:szCs w:val="24"/>
                <w:highlight w:val="none"/>
              </w:rPr>
              <w:t>确认通知</w:t>
            </w:r>
          </w:p>
        </w:tc>
        <w:tc>
          <w:tcPr>
            <w:tcW w:w="7219" w:type="dxa"/>
            <w:vAlign w:val="center"/>
          </w:tcPr>
          <w:tbl>
            <w:tblPr>
              <w:tblStyle w:val="30"/>
              <w:tblW w:w="7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7075" w:type="dxa"/>
                </w:tcPr>
                <w:p>
                  <w:pPr>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确认通知（格式）</w:t>
                  </w:r>
                </w:p>
                <w:p>
                  <w:pPr>
                    <w:spacing w:line="360" w:lineRule="auto"/>
                    <w:rPr>
                      <w:rFonts w:hAnsi="宋体" w:cs="宋体" w:eastAsiaTheme="minorEastAsia"/>
                      <w:color w:val="auto"/>
                      <w:sz w:val="24"/>
                      <w:szCs w:val="24"/>
                      <w:highlight w:val="none"/>
                    </w:rPr>
                  </w:pP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（采购人/采购代理机构）</w:t>
                  </w:r>
                </w:p>
                <w:p>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我方已于</w:t>
                  </w:r>
                  <w:r>
                    <w:rPr>
                      <w:rFonts w:hint="eastAsia" w:hAnsi="宋体" w:cs="宋体"/>
                      <w:color w:val="auto"/>
                      <w:sz w:val="24"/>
                      <w:szCs w:val="24"/>
                      <w:highlight w:val="none"/>
                      <w:u w:val="single"/>
                    </w:rPr>
                    <w:t>2022</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日收到你方</w:t>
                  </w:r>
                  <w:r>
                    <w:rPr>
                      <w:rFonts w:hint="eastAsia" w:hAnsi="宋体" w:cs="宋体"/>
                      <w:color w:val="auto"/>
                      <w:sz w:val="24"/>
                      <w:szCs w:val="24"/>
                      <w:highlight w:val="none"/>
                      <w:u w:val="single"/>
                    </w:rPr>
                    <w:t>2022</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日发出的</w:t>
                  </w:r>
                  <w:r>
                    <w:rPr>
                      <w:rFonts w:hint="eastAsia" w:hAnsi="宋体" w:cs="宋体"/>
                      <w:color w:val="auto"/>
                      <w:sz w:val="24"/>
                      <w:szCs w:val="24"/>
                      <w:highlight w:val="none"/>
                      <w:u w:val="single"/>
                    </w:rPr>
                    <w:t>西安市远东第一中学</w:t>
                  </w:r>
                  <w:r>
                    <w:rPr>
                      <w:rFonts w:hint="eastAsia" w:hAnsi="宋体" w:cs="宋体"/>
                      <w:color w:val="auto"/>
                      <w:sz w:val="24"/>
                      <w:szCs w:val="24"/>
                      <w:highlight w:val="none"/>
                      <w:u w:val="single"/>
                      <w:lang w:eastAsia="zh-CN"/>
                    </w:rPr>
                    <w:t>校园信息化设备采购项目</w:t>
                  </w:r>
                  <w:r>
                    <w:rPr>
                      <w:rFonts w:hint="eastAsia" w:hAnsi="宋体" w:cs="宋体"/>
                      <w:color w:val="auto"/>
                      <w:sz w:val="24"/>
                      <w:szCs w:val="24"/>
                      <w:highlight w:val="none"/>
                    </w:rPr>
                    <w:t>公开招标文件，并确认</w:t>
                  </w:r>
                  <w:r>
                    <w:rPr>
                      <w:rFonts w:hint="eastAsia" w:hAnsi="宋体" w:cs="宋体"/>
                      <w:color w:val="auto"/>
                      <w:sz w:val="24"/>
                      <w:szCs w:val="24"/>
                      <w:highlight w:val="none"/>
                      <w:u w:val="single"/>
                    </w:rPr>
                    <w:t>（参加/不参加）</w:t>
                  </w:r>
                  <w:r>
                    <w:rPr>
                      <w:rFonts w:hint="eastAsia" w:hAnsi="宋体" w:cs="宋体"/>
                      <w:color w:val="auto"/>
                      <w:sz w:val="24"/>
                      <w:szCs w:val="24"/>
                      <w:highlight w:val="none"/>
                    </w:rPr>
                    <w:t>本项目投标。</w:t>
                  </w:r>
                </w:p>
                <w:p>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特此确认。</w:t>
                  </w:r>
                </w:p>
                <w:p>
                  <w:pPr>
                    <w:spacing w:line="360" w:lineRule="auto"/>
                    <w:rPr>
                      <w:rFonts w:hAnsi="宋体" w:cs="宋体"/>
                      <w:color w:val="auto"/>
                      <w:sz w:val="24"/>
                      <w:szCs w:val="24"/>
                      <w:highlight w:val="none"/>
                    </w:rPr>
                  </w:pPr>
                  <w:r>
                    <w:rPr>
                      <w:rFonts w:hint="eastAsia" w:hAnsi="宋体" w:cs="宋体"/>
                      <w:color w:val="auto"/>
                      <w:sz w:val="24"/>
                      <w:szCs w:val="24"/>
                      <w:highlight w:val="none"/>
                    </w:rPr>
                    <w:t xml:space="preserve">                                 供应商名称：（加盖公章）</w:t>
                  </w:r>
                </w:p>
                <w:p>
                  <w:pPr>
                    <w:spacing w:line="360" w:lineRule="auto"/>
                    <w:rPr>
                      <w:rFonts w:hAnsi="宋体" w:cs="宋体"/>
                      <w:color w:val="auto"/>
                      <w:sz w:val="24"/>
                      <w:szCs w:val="24"/>
                      <w:highlight w:val="none"/>
                    </w:rPr>
                  </w:pPr>
                  <w:r>
                    <w:rPr>
                      <w:rFonts w:hint="eastAsia" w:hAnsi="宋体" w:cs="宋体"/>
                      <w:color w:val="auto"/>
                      <w:sz w:val="24"/>
                      <w:szCs w:val="24"/>
                      <w:highlight w:val="none"/>
                    </w:rPr>
                    <w:t xml:space="preserve">                                 法定代表人：（签字或盖章）</w:t>
                  </w:r>
                </w:p>
                <w:p>
                  <w:pPr>
                    <w:spacing w:line="360" w:lineRule="auto"/>
                    <w:jc w:val="center"/>
                    <w:rPr>
                      <w:rFonts w:hAnsi="宋体" w:cs="宋体"/>
                      <w:b/>
                      <w:color w:val="auto"/>
                      <w:sz w:val="24"/>
                      <w:szCs w:val="24"/>
                      <w:highlight w:val="none"/>
                    </w:rPr>
                  </w:pPr>
                  <w:r>
                    <w:rPr>
                      <w:rFonts w:hint="eastAsia" w:hAnsi="宋体" w:cs="宋体"/>
                      <w:color w:val="auto"/>
                      <w:sz w:val="24"/>
                      <w:szCs w:val="24"/>
                      <w:highlight w:val="none"/>
                    </w:rPr>
                    <w:t xml:space="preserve">                            </w:t>
                  </w:r>
                  <w:r>
                    <w:rPr>
                      <w:rFonts w:hAnsi="宋体" w:cs="宋体"/>
                      <w:color w:val="auto"/>
                      <w:sz w:val="24"/>
                      <w:szCs w:val="24"/>
                      <w:highlight w:val="none"/>
                    </w:rPr>
                    <w:t xml:space="preserve">   </w:t>
                  </w:r>
                  <w:r>
                    <w:rPr>
                      <w:rFonts w:hint="eastAsia" w:hAnsi="宋体" w:cs="宋体"/>
                      <w:color w:val="auto"/>
                      <w:sz w:val="24"/>
                      <w:szCs w:val="24"/>
                      <w:highlight w:val="none"/>
                    </w:rPr>
                    <w:t>日期：   年   月   日</w:t>
                  </w:r>
                </w:p>
              </w:tc>
            </w:tr>
          </w:tbl>
          <w:p>
            <w:pPr>
              <w:spacing w:line="360" w:lineRule="auto"/>
              <w:ind w:firstLine="480" w:firstLineChars="200"/>
              <w:jc w:val="left"/>
              <w:rPr>
                <w:rFonts w:ascii="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23</w:t>
            </w:r>
          </w:p>
        </w:tc>
        <w:tc>
          <w:tcPr>
            <w:tcW w:w="1494" w:type="dxa"/>
            <w:vAlign w:val="center"/>
          </w:tcPr>
          <w:p>
            <w:pPr>
              <w:spacing w:line="360"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非实质性偏离</w:t>
            </w:r>
          </w:p>
        </w:tc>
        <w:tc>
          <w:tcPr>
            <w:tcW w:w="721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zh-CN"/>
              </w:rPr>
              <w:t>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24</w:t>
            </w:r>
          </w:p>
        </w:tc>
        <w:tc>
          <w:tcPr>
            <w:tcW w:w="1494" w:type="dxa"/>
            <w:vAlign w:val="center"/>
          </w:tcPr>
          <w:p>
            <w:pPr>
              <w:pStyle w:val="15"/>
              <w:spacing w:line="336" w:lineRule="auto"/>
              <w:jc w:val="center"/>
              <w:rPr>
                <w:rFonts w:hAnsi="宋体" w:cs="宋体"/>
                <w:color w:val="auto"/>
                <w:sz w:val="24"/>
                <w:szCs w:val="24"/>
                <w:highlight w:val="none"/>
                <w:lang w:val="zh-CN"/>
              </w:rPr>
            </w:pPr>
            <w:r>
              <w:rPr>
                <w:rFonts w:hint="eastAsia" w:ascii="仿宋" w:hAnsi="仿宋"/>
                <w:color w:val="auto"/>
                <w:sz w:val="24"/>
                <w:szCs w:val="24"/>
                <w:highlight w:val="none"/>
              </w:rPr>
              <w:t>其他</w:t>
            </w:r>
          </w:p>
        </w:tc>
        <w:tc>
          <w:tcPr>
            <w:tcW w:w="7219" w:type="dxa"/>
            <w:vAlign w:val="center"/>
          </w:tcPr>
          <w:p>
            <w:pPr>
              <w:pStyle w:val="15"/>
              <w:spacing w:line="336" w:lineRule="auto"/>
              <w:jc w:val="left"/>
              <w:rPr>
                <w:color w:val="auto"/>
                <w:highlight w:val="none"/>
              </w:rPr>
            </w:pPr>
            <w:r>
              <w:rPr>
                <w:rFonts w:hint="eastAsia" w:ascii="仿宋" w:hAnsi="仿宋"/>
                <w:color w:val="auto"/>
                <w:sz w:val="24"/>
                <w:szCs w:val="24"/>
                <w:highlight w:val="none"/>
              </w:rPr>
              <w:t>采购文件与媒体发布的采购公告不一致时，以公告为准，正文与前附表表述不一致时，以供应商须知前附表为准，</w:t>
            </w:r>
          </w:p>
        </w:tc>
      </w:tr>
    </w:tbl>
    <w:p>
      <w:pPr>
        <w:spacing w:before="312" w:beforeLines="100" w:after="312" w:afterLines="100" w:line="500" w:lineRule="exact"/>
        <w:rPr>
          <w:rFonts w:ascii="宋体" w:hAnsi="宋体" w:cs="宋体"/>
          <w:color w:val="auto"/>
          <w:sz w:val="36"/>
          <w:szCs w:val="36"/>
          <w:highlight w:val="none"/>
        </w:rPr>
      </w:pPr>
      <w:bookmarkStart w:id="6" w:name="_Toc19272"/>
      <w:r>
        <w:rPr>
          <w:rFonts w:hint="eastAsia" w:ascii="宋体" w:hAnsi="宋体" w:cs="宋体"/>
          <w:color w:val="auto"/>
          <w:sz w:val="36"/>
          <w:szCs w:val="36"/>
          <w:highlight w:val="none"/>
        </w:rPr>
        <w:br w:type="page"/>
      </w:r>
    </w:p>
    <w:p>
      <w:pPr>
        <w:pStyle w:val="3"/>
        <w:keepLines w:val="0"/>
        <w:spacing w:before="312" w:beforeLines="100" w:after="312" w:afterLines="100" w:line="500" w:lineRule="exact"/>
        <w:rPr>
          <w:rFonts w:ascii="宋体" w:hAnsi="宋体" w:cs="宋体"/>
          <w:color w:val="auto"/>
          <w:sz w:val="36"/>
          <w:szCs w:val="36"/>
          <w:highlight w:val="none"/>
        </w:rPr>
      </w:pPr>
      <w:bookmarkStart w:id="7" w:name="_Toc28458"/>
      <w:r>
        <w:rPr>
          <w:rFonts w:hint="eastAsia" w:ascii="宋体" w:hAnsi="宋体" w:cs="宋体"/>
          <w:color w:val="auto"/>
          <w:sz w:val="36"/>
          <w:szCs w:val="36"/>
          <w:highlight w:val="none"/>
        </w:rPr>
        <w:t>第三部分  供应商须知</w:t>
      </w:r>
      <w:bookmarkEnd w:id="6"/>
      <w:bookmarkEnd w:id="7"/>
    </w:p>
    <w:p>
      <w:pPr>
        <w:pStyle w:val="4"/>
        <w:ind w:firstLine="562" w:firstLineChars="200"/>
        <w:jc w:val="center"/>
        <w:rPr>
          <w:rFonts w:ascii="宋体" w:hAnsi="宋体" w:cs="宋体"/>
          <w:color w:val="auto"/>
          <w:highlight w:val="none"/>
        </w:rPr>
      </w:pPr>
      <w:bookmarkStart w:id="8" w:name="_Toc23208"/>
      <w:bookmarkStart w:id="9" w:name="_Toc26739"/>
      <w:r>
        <w:rPr>
          <w:rFonts w:hint="eastAsia" w:ascii="宋体" w:hAnsi="宋体" w:cs="宋体"/>
          <w:color w:val="auto"/>
          <w:highlight w:val="none"/>
        </w:rPr>
        <w:t>一、总 则</w:t>
      </w:r>
      <w:bookmarkEnd w:id="8"/>
      <w:bookmarkEnd w:id="9"/>
    </w:p>
    <w:p>
      <w:pPr>
        <w:pStyle w:val="5"/>
        <w:numPr>
          <w:ilvl w:val="0"/>
          <w:numId w:val="8"/>
        </w:numPr>
        <w:spacing w:line="500" w:lineRule="exact"/>
        <w:ind w:firstLine="562" w:firstLineChars="200"/>
        <w:rPr>
          <w:rFonts w:ascii="宋体" w:hAnsi="宋体" w:cs="宋体"/>
          <w:color w:val="auto"/>
          <w:szCs w:val="28"/>
          <w:highlight w:val="none"/>
        </w:rPr>
      </w:pPr>
      <w:bookmarkStart w:id="10" w:name="_Toc6742"/>
      <w:bookmarkStart w:id="11" w:name="_Toc380336725"/>
      <w:bookmarkStart w:id="12" w:name="_Toc358364319"/>
      <w:bookmarkStart w:id="13" w:name="_Toc9257"/>
      <w:r>
        <w:rPr>
          <w:rFonts w:hint="eastAsia" w:ascii="宋体" w:hAnsi="宋体" w:cs="宋体"/>
          <w:color w:val="auto"/>
          <w:szCs w:val="28"/>
          <w:highlight w:val="none"/>
        </w:rPr>
        <w:t>适用范围</w:t>
      </w:r>
      <w:bookmarkEnd w:id="10"/>
      <w:bookmarkEnd w:id="11"/>
      <w:bookmarkEnd w:id="12"/>
      <w:bookmarkEnd w:id="13"/>
    </w:p>
    <w:p>
      <w:pPr>
        <w:widowControl/>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 本招标文件适用于本次招标活动的全过程。</w:t>
      </w:r>
    </w:p>
    <w:p>
      <w:pPr>
        <w:widowControl/>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 本次采购采购人、采购代理机构、供应商、评标委员会的相关行为均受《中华人民共和国政府采购法》及实施条例、财政部规章及政府采购项目所在地有关法规、规章的约束，其权利受到上述法律法规的保护。</w:t>
      </w:r>
    </w:p>
    <w:p>
      <w:pPr>
        <w:pStyle w:val="5"/>
        <w:numPr>
          <w:ilvl w:val="0"/>
          <w:numId w:val="8"/>
        </w:numPr>
        <w:spacing w:line="500" w:lineRule="exact"/>
        <w:ind w:firstLine="562" w:firstLineChars="200"/>
        <w:rPr>
          <w:rFonts w:ascii="宋体" w:hAnsi="宋体" w:cs="宋体"/>
          <w:color w:val="auto"/>
          <w:szCs w:val="28"/>
          <w:highlight w:val="none"/>
        </w:rPr>
      </w:pPr>
      <w:bookmarkStart w:id="14" w:name="_Toc23781"/>
      <w:bookmarkStart w:id="15" w:name="_Toc358364321"/>
      <w:bookmarkStart w:id="16" w:name="_Toc380336727"/>
      <w:bookmarkStart w:id="17" w:name="_Toc17676"/>
      <w:r>
        <w:rPr>
          <w:rFonts w:hint="eastAsia" w:ascii="宋体" w:hAnsi="宋体" w:cs="宋体"/>
          <w:color w:val="auto"/>
          <w:szCs w:val="28"/>
          <w:highlight w:val="none"/>
        </w:rPr>
        <w:t>合格的</w:t>
      </w:r>
      <w:bookmarkEnd w:id="14"/>
      <w:bookmarkEnd w:id="15"/>
      <w:bookmarkEnd w:id="16"/>
      <w:bookmarkEnd w:id="17"/>
      <w:r>
        <w:rPr>
          <w:rFonts w:hint="eastAsia" w:ascii="宋体" w:hAnsi="宋体" w:cs="宋体"/>
          <w:color w:val="auto"/>
          <w:szCs w:val="28"/>
          <w:highlight w:val="none"/>
        </w:rPr>
        <w:t>供应商</w:t>
      </w:r>
    </w:p>
    <w:p>
      <w:pPr>
        <w:tabs>
          <w:tab w:val="left" w:pos="0"/>
        </w:tabs>
        <w:spacing w:line="500" w:lineRule="exact"/>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2.1供应商应遵守有关的国家法律、法规和条例，具备《中华人民共和国政府采购法》和本文件中规定的条件：</w:t>
      </w:r>
    </w:p>
    <w:p>
      <w:pPr>
        <w:numPr>
          <w:ilvl w:val="0"/>
          <w:numId w:val="9"/>
        </w:num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具有独立承担民事责任的能力；</w:t>
      </w:r>
    </w:p>
    <w:p>
      <w:pPr>
        <w:numPr>
          <w:ilvl w:val="0"/>
          <w:numId w:val="9"/>
        </w:num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具有良好的商业信誉和健全的财务会计制度；</w:t>
      </w:r>
    </w:p>
    <w:p>
      <w:pPr>
        <w:numPr>
          <w:ilvl w:val="0"/>
          <w:numId w:val="9"/>
        </w:num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具有履行合同所必需的设备和专业技术能力；</w:t>
      </w:r>
    </w:p>
    <w:p>
      <w:pPr>
        <w:numPr>
          <w:ilvl w:val="0"/>
          <w:numId w:val="9"/>
        </w:num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具有依法缴纳税收和社会保障资金的良好记录；</w:t>
      </w:r>
    </w:p>
    <w:p>
      <w:pPr>
        <w:numPr>
          <w:ilvl w:val="0"/>
          <w:numId w:val="9"/>
        </w:num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参加此项采购活动前三年内，在经营活动中没有重大违法记录；</w:t>
      </w:r>
    </w:p>
    <w:p>
      <w:pPr>
        <w:numPr>
          <w:ilvl w:val="0"/>
          <w:numId w:val="9"/>
        </w:num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法律、行政法规规定的其他条件。</w:t>
      </w:r>
    </w:p>
    <w:p>
      <w:pPr>
        <w:tabs>
          <w:tab w:val="left" w:pos="0"/>
        </w:tabs>
        <w:spacing w:line="500" w:lineRule="exact"/>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2.2供应商应独立于采购人，不得直接或间接地与采购人为采购本次招标的货物进行设计、编制技术规格和其它文件所委托的咨询公司或其附属机构有任何关联。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2.3供应商存在下列情形之一，其投标文件按无效文件处理。</w:t>
      </w:r>
    </w:p>
    <w:p>
      <w:pPr>
        <w:tabs>
          <w:tab w:val="left" w:pos="0"/>
        </w:tabs>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（1）与采购人采购代理机构存在隶属关系或者其他利害关系；</w:t>
      </w:r>
    </w:p>
    <w:p>
      <w:pPr>
        <w:tabs>
          <w:tab w:val="left" w:pos="0"/>
        </w:tabs>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color w:val="auto"/>
          <w:kern w:val="0"/>
          <w:sz w:val="24"/>
          <w:szCs w:val="24"/>
          <w:highlight w:val="none"/>
        </w:rPr>
        <w:t>。</w:t>
      </w:r>
    </w:p>
    <w:p>
      <w:pPr>
        <w:tabs>
          <w:tab w:val="left" w:pos="0"/>
        </w:tabs>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8"/>
        </w:numPr>
        <w:spacing w:line="500" w:lineRule="exact"/>
        <w:ind w:firstLine="562" w:firstLineChars="200"/>
        <w:rPr>
          <w:rFonts w:ascii="宋体" w:hAnsi="宋体" w:cs="宋体"/>
          <w:color w:val="auto"/>
          <w:szCs w:val="28"/>
          <w:highlight w:val="none"/>
        </w:rPr>
      </w:pPr>
      <w:bookmarkStart w:id="18" w:name="_Toc22444"/>
      <w:bookmarkStart w:id="19" w:name="_Toc380336728"/>
      <w:bookmarkStart w:id="20" w:name="_Toc358364322"/>
      <w:bookmarkStart w:id="21" w:name="_Toc540"/>
      <w:r>
        <w:rPr>
          <w:rFonts w:hint="eastAsia" w:ascii="宋体" w:hAnsi="宋体" w:cs="宋体"/>
          <w:color w:val="auto"/>
          <w:szCs w:val="28"/>
          <w:highlight w:val="none"/>
        </w:rPr>
        <w:t>费用</w:t>
      </w:r>
      <w:bookmarkEnd w:id="18"/>
      <w:bookmarkEnd w:id="19"/>
      <w:bookmarkEnd w:id="20"/>
      <w:bookmarkEnd w:id="21"/>
    </w:p>
    <w:p>
      <w:pPr>
        <w:widowControl/>
        <w:spacing w:line="500" w:lineRule="exact"/>
        <w:ind w:firstLine="480" w:firstLineChars="200"/>
        <w:jc w:val="left"/>
        <w:rPr>
          <w:rFonts w:ascii="宋体" w:hAnsi="宋体" w:cs="宋体"/>
          <w:color w:val="auto"/>
          <w:sz w:val="24"/>
          <w:szCs w:val="24"/>
          <w:highlight w:val="none"/>
        </w:rPr>
      </w:pPr>
      <w:bookmarkStart w:id="22" w:name="_Toc17817"/>
      <w:bookmarkStart w:id="23" w:name="_Toc5801"/>
      <w:r>
        <w:rPr>
          <w:rFonts w:hint="eastAsia" w:ascii="宋体" w:hAnsi="宋体" w:cs="宋体"/>
          <w:color w:val="auto"/>
          <w:sz w:val="24"/>
          <w:szCs w:val="24"/>
          <w:highlight w:val="none"/>
        </w:rPr>
        <w:t>供应商必须从代理机构获取招标文件，供应商自行转让或复制招标文件视为无效。</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无论投标过程和结果如何，供应商自行承担与投标有关的全部费用。</w:t>
      </w:r>
    </w:p>
    <w:p>
      <w:pPr>
        <w:pStyle w:val="5"/>
        <w:numPr>
          <w:ilvl w:val="0"/>
          <w:numId w:val="8"/>
        </w:numPr>
        <w:spacing w:line="500" w:lineRule="exact"/>
        <w:ind w:firstLine="562" w:firstLineChars="200"/>
        <w:rPr>
          <w:rFonts w:ascii="宋体" w:hAnsi="宋体" w:cs="宋体"/>
          <w:color w:val="auto"/>
          <w:szCs w:val="28"/>
          <w:highlight w:val="none"/>
        </w:rPr>
      </w:pPr>
      <w:r>
        <w:rPr>
          <w:rFonts w:hint="eastAsia" w:ascii="宋体" w:hAnsi="宋体" w:cs="宋体"/>
          <w:color w:val="auto"/>
          <w:szCs w:val="28"/>
          <w:highlight w:val="none"/>
        </w:rPr>
        <w:t>实质性偏离</w:t>
      </w:r>
    </w:p>
    <w:p>
      <w:pPr>
        <w:widowControl/>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投标文件应当对招标文件实质性要求和条件作出满足性或有利于采购人的响应，否则，供应商的投标无效。</w:t>
      </w:r>
    </w:p>
    <w:p>
      <w:pPr>
        <w:widowControl/>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偏离是指投标文件不响应或者不满足招标文件提出的要求和条件，分为实质性偏离和非实质性偏离。</w:t>
      </w:r>
    </w:p>
    <w:p>
      <w:pPr>
        <w:widowControl/>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除法律、法规和招标文件规定的其他投标无效情形外，招标文件中用“★”符号标明的条款为实质性要求和条件，投标文件对其中任何一条的偏离，为实质性偏离，其投标无效。</w:t>
      </w:r>
    </w:p>
    <w:p>
      <w:pPr>
        <w:widowControl/>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投标文件偏离招标文件的非实质性要求和条件，为非实质性偏离。非实质性偏离的范围和项数应当符合投标须知前附表的规定，超出偏离范围和最高项数的投标无效。</w:t>
      </w:r>
    </w:p>
    <w:p>
      <w:pPr>
        <w:widowControl/>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投标文件对招标文件的全部偏离，均应在投标文件商务条款偏离表和技术参数偏离表中列明，除列明的内容外，视为供应商响应招标文件的全部要求。</w:t>
      </w:r>
    </w:p>
    <w:p>
      <w:pPr>
        <w:pStyle w:val="5"/>
        <w:numPr>
          <w:ilvl w:val="0"/>
          <w:numId w:val="8"/>
        </w:numPr>
        <w:spacing w:line="500" w:lineRule="exact"/>
        <w:ind w:firstLine="562" w:firstLineChars="200"/>
        <w:rPr>
          <w:rFonts w:ascii="宋体" w:hAnsi="宋体" w:cs="宋体"/>
          <w:color w:val="auto"/>
          <w:szCs w:val="28"/>
          <w:highlight w:val="none"/>
        </w:rPr>
      </w:pPr>
      <w:bookmarkStart w:id="24" w:name="_Toc217446047"/>
      <w:r>
        <w:rPr>
          <w:rFonts w:hint="eastAsia" w:ascii="宋体" w:hAnsi="宋体" w:cs="宋体"/>
          <w:color w:val="auto"/>
          <w:szCs w:val="28"/>
          <w:highlight w:val="none"/>
        </w:rPr>
        <w:t>知识产权</w:t>
      </w:r>
      <w:bookmarkEnd w:id="24"/>
    </w:p>
    <w:p>
      <w:pPr>
        <w:pStyle w:val="13"/>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当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13"/>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采购人享有本项目实施过程中产生的知识成果及知识产权。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欲在项目实施过程中采用自有知识成果，需在投标文件中声明，并提供相关知识产权证明文件。使用该知识成果后，供应商需提供开发接口和开发手册等技术文档，并承诺提供无限期技术支持，采购人享有永久使用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如采用供应商所不拥有的知识产权，则在投标报价中必须包括合法获取该知识产权的相关费用。</w:t>
      </w:r>
    </w:p>
    <w:p>
      <w:pPr>
        <w:pStyle w:val="28"/>
        <w:rPr>
          <w:color w:val="auto"/>
          <w:highlight w:val="none"/>
        </w:rPr>
      </w:pPr>
    </w:p>
    <w:p>
      <w:pPr>
        <w:pStyle w:val="28"/>
        <w:rPr>
          <w:color w:val="auto"/>
          <w:highlight w:val="none"/>
        </w:rPr>
      </w:pPr>
    </w:p>
    <w:bookmarkEnd w:id="22"/>
    <w:bookmarkEnd w:id="23"/>
    <w:p>
      <w:pPr>
        <w:spacing w:line="360" w:lineRule="auto"/>
        <w:jc w:val="left"/>
        <w:rPr>
          <w:rFonts w:ascii="宋体" w:hAnsi="宋体" w:cs="宋体"/>
          <w:color w:val="auto"/>
          <w:kern w:val="0"/>
          <w:sz w:val="24"/>
          <w:szCs w:val="24"/>
          <w:highlight w:val="none"/>
        </w:rPr>
      </w:pPr>
      <w:bookmarkStart w:id="25" w:name="_Toc7144"/>
    </w:p>
    <w:p>
      <w:pPr>
        <w:rPr>
          <w:rFonts w:ascii="宋体" w:hAnsi="宋体" w:cs="宋体"/>
          <w:color w:val="auto"/>
          <w:highlight w:val="none"/>
        </w:rPr>
      </w:pPr>
      <w:r>
        <w:rPr>
          <w:rFonts w:hint="eastAsia" w:ascii="宋体" w:hAnsi="宋体" w:cs="宋体"/>
          <w:color w:val="auto"/>
          <w:highlight w:val="none"/>
        </w:rPr>
        <w:br w:type="page"/>
      </w:r>
    </w:p>
    <w:p>
      <w:pPr>
        <w:pStyle w:val="4"/>
        <w:numPr>
          <w:ilvl w:val="0"/>
          <w:numId w:val="10"/>
        </w:numPr>
        <w:jc w:val="center"/>
        <w:rPr>
          <w:rFonts w:ascii="宋体" w:hAnsi="宋体" w:cs="宋体"/>
          <w:color w:val="auto"/>
          <w:sz w:val="36"/>
          <w:szCs w:val="28"/>
          <w:highlight w:val="none"/>
        </w:rPr>
      </w:pPr>
      <w:bookmarkStart w:id="26" w:name="_Toc5793"/>
      <w:r>
        <w:rPr>
          <w:rFonts w:hint="eastAsia" w:ascii="宋体" w:hAnsi="宋体" w:cs="宋体"/>
          <w:color w:val="auto"/>
          <w:sz w:val="36"/>
          <w:szCs w:val="28"/>
          <w:highlight w:val="none"/>
        </w:rPr>
        <w:t>招标文件</w:t>
      </w:r>
      <w:bookmarkEnd w:id="25"/>
      <w:bookmarkEnd w:id="26"/>
    </w:p>
    <w:p>
      <w:pPr>
        <w:pStyle w:val="5"/>
        <w:keepNext w:val="0"/>
        <w:keepLines w:val="0"/>
        <w:numPr>
          <w:ilvl w:val="0"/>
          <w:numId w:val="11"/>
        </w:numPr>
        <w:spacing w:line="500" w:lineRule="exact"/>
        <w:ind w:firstLine="562" w:firstLineChars="200"/>
        <w:rPr>
          <w:rFonts w:ascii="宋体" w:hAnsi="宋体" w:cs="宋体"/>
          <w:color w:val="auto"/>
          <w:szCs w:val="28"/>
          <w:highlight w:val="none"/>
        </w:rPr>
      </w:pPr>
      <w:r>
        <w:rPr>
          <w:rFonts w:hint="eastAsia" w:ascii="宋体" w:hAnsi="宋体" w:cs="宋体"/>
          <w:color w:val="auto"/>
          <w:szCs w:val="28"/>
          <w:highlight w:val="none"/>
        </w:rPr>
        <w:t>招标文件的构成</w:t>
      </w:r>
    </w:p>
    <w:p>
      <w:pPr>
        <w:tabs>
          <w:tab w:val="left" w:pos="0"/>
        </w:tabs>
        <w:adjustRightInd w:val="0"/>
        <w:snapToGri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1.1 招标文件是供应商准备投标文件和参加投标的依据，同时也是评标的重要依据，具有准法律文件性质。本招标文件包括以下内容：</w:t>
      </w:r>
    </w:p>
    <w:p>
      <w:pPr>
        <w:numPr>
          <w:ilvl w:val="0"/>
          <w:numId w:val="12"/>
        </w:numPr>
        <w:tabs>
          <w:tab w:val="left" w:pos="0"/>
        </w:tabs>
        <w:adjustRightInd w:val="0"/>
        <w:snapToGrid w:val="0"/>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公开招标公告；</w:t>
      </w:r>
    </w:p>
    <w:p>
      <w:pPr>
        <w:numPr>
          <w:ilvl w:val="0"/>
          <w:numId w:val="12"/>
        </w:numPr>
        <w:tabs>
          <w:tab w:val="left" w:pos="0"/>
        </w:tabs>
        <w:adjustRightInd w:val="0"/>
        <w:snapToGrid w:val="0"/>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供应商须知前附表；</w:t>
      </w:r>
    </w:p>
    <w:p>
      <w:pPr>
        <w:numPr>
          <w:ilvl w:val="0"/>
          <w:numId w:val="12"/>
        </w:numPr>
        <w:tabs>
          <w:tab w:val="left" w:pos="0"/>
        </w:tabs>
        <w:adjustRightInd w:val="0"/>
        <w:snapToGrid w:val="0"/>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供应商须知；</w:t>
      </w:r>
    </w:p>
    <w:p>
      <w:pPr>
        <w:numPr>
          <w:ilvl w:val="0"/>
          <w:numId w:val="12"/>
        </w:numPr>
        <w:tabs>
          <w:tab w:val="left" w:pos="0"/>
        </w:tabs>
        <w:adjustRightInd w:val="0"/>
        <w:snapToGrid w:val="0"/>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评标方法；</w:t>
      </w:r>
    </w:p>
    <w:p>
      <w:pPr>
        <w:numPr>
          <w:ilvl w:val="0"/>
          <w:numId w:val="12"/>
        </w:numPr>
        <w:tabs>
          <w:tab w:val="left" w:pos="0"/>
        </w:tabs>
        <w:adjustRightInd w:val="0"/>
        <w:snapToGrid w:val="0"/>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采购要求；</w:t>
      </w:r>
    </w:p>
    <w:p>
      <w:pPr>
        <w:numPr>
          <w:ilvl w:val="0"/>
          <w:numId w:val="12"/>
        </w:numPr>
        <w:tabs>
          <w:tab w:val="left" w:pos="0"/>
        </w:tabs>
        <w:adjustRightInd w:val="0"/>
        <w:snapToGrid w:val="0"/>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合同条款；</w:t>
      </w:r>
    </w:p>
    <w:p>
      <w:pPr>
        <w:numPr>
          <w:ilvl w:val="0"/>
          <w:numId w:val="12"/>
        </w:numPr>
        <w:tabs>
          <w:tab w:val="left" w:pos="0"/>
        </w:tabs>
        <w:adjustRightInd w:val="0"/>
        <w:snapToGrid w:val="0"/>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投标文件格式。</w:t>
      </w:r>
    </w:p>
    <w:p>
      <w:pPr>
        <w:tabs>
          <w:tab w:val="left" w:pos="0"/>
        </w:tabs>
        <w:adjustRightInd w:val="0"/>
        <w:snapToGri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1.2供应商应认真阅读招标文件中所有的条款、事项、格式和技术规范、参数及要求等。供应商没有按照招标文件要求提交全部资料，或者没有对招标文件在各方面都作出实质性响应，将导致其投标被拒绝或被认定为无效投标。</w:t>
      </w:r>
    </w:p>
    <w:p>
      <w:pPr>
        <w:pStyle w:val="5"/>
        <w:keepNext w:val="0"/>
        <w:keepLines w:val="0"/>
        <w:numPr>
          <w:ilvl w:val="0"/>
          <w:numId w:val="11"/>
        </w:numPr>
        <w:spacing w:line="500" w:lineRule="exact"/>
        <w:ind w:firstLine="562" w:firstLineChars="200"/>
        <w:rPr>
          <w:rFonts w:ascii="宋体" w:hAnsi="宋体" w:cs="宋体"/>
          <w:color w:val="auto"/>
          <w:szCs w:val="28"/>
          <w:highlight w:val="none"/>
        </w:rPr>
      </w:pPr>
      <w:bookmarkStart w:id="27" w:name="_Toc19797"/>
      <w:r>
        <w:rPr>
          <w:rFonts w:hint="eastAsia" w:ascii="宋体" w:hAnsi="宋体" w:cs="宋体"/>
          <w:color w:val="auto"/>
          <w:szCs w:val="28"/>
          <w:highlight w:val="none"/>
        </w:rPr>
        <w:t>招标文件的澄清</w:t>
      </w:r>
      <w:bookmarkEnd w:id="27"/>
    </w:p>
    <w:p>
      <w:pPr>
        <w:adjustRightInd w:val="0"/>
        <w:snapToGri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2.1 供应商应认真阅读和充分理解招标文件中所有的事项，如有问题或疑义请及时函告。否则，视为同意招标文件的一切条款和要求并承担由此引起的一切法律责任。凡因供应商对招标文件阅读不深、理解不透、误解、疏漏、或因市场行情了解不清造成的后果和风险均由供应商自行承担。</w:t>
      </w:r>
    </w:p>
    <w:p>
      <w:pPr>
        <w:tabs>
          <w:tab w:val="left" w:pos="0"/>
        </w:tabs>
        <w:adjustRightInd w:val="0"/>
        <w:snapToGri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2.2 任何对招标文件进行询问或要求进行澄清的供应商，均应在收到招标文件后七个工作日内按公开招标文件中的通讯地址以书面形式递交代理机构，采购人或代理机构对收到的任何询问或澄清要求将作出书面答复。</w:t>
      </w:r>
    </w:p>
    <w:p>
      <w:pPr>
        <w:pStyle w:val="5"/>
        <w:keepNext w:val="0"/>
        <w:keepLines w:val="0"/>
        <w:numPr>
          <w:ilvl w:val="0"/>
          <w:numId w:val="11"/>
        </w:numPr>
        <w:spacing w:line="500" w:lineRule="exact"/>
        <w:ind w:firstLine="562" w:firstLineChars="200"/>
        <w:rPr>
          <w:rFonts w:ascii="宋体" w:hAnsi="宋体" w:cs="宋体"/>
          <w:color w:val="auto"/>
          <w:szCs w:val="28"/>
          <w:highlight w:val="none"/>
        </w:rPr>
      </w:pPr>
      <w:bookmarkStart w:id="28" w:name="_Toc6390"/>
      <w:r>
        <w:rPr>
          <w:rFonts w:hint="eastAsia" w:ascii="宋体" w:hAnsi="宋体" w:cs="宋体"/>
          <w:color w:val="auto"/>
          <w:szCs w:val="28"/>
          <w:highlight w:val="none"/>
        </w:rPr>
        <w:t>招标文件的修改</w:t>
      </w:r>
      <w:bookmarkEnd w:id="28"/>
    </w:p>
    <w:p>
      <w:pPr>
        <w:tabs>
          <w:tab w:val="left" w:pos="0"/>
        </w:tabs>
        <w:adjustRightInd w:val="0"/>
        <w:snapToGrid w:val="0"/>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3.1 在投标截止时间十五日前，无论出于何种原因，代理机构可主动地或在解答供应商提出的澄清问题时，对招标文件进行修改。招标文件的澄清和修改将以书面形式通知所有供应商，并作为招标文件的补充，与其具有同等法律效力。</w:t>
      </w:r>
    </w:p>
    <w:p>
      <w:pPr>
        <w:tabs>
          <w:tab w:val="left" w:pos="0"/>
        </w:tabs>
        <w:adjustRightInd w:val="0"/>
        <w:snapToGrid w:val="0"/>
        <w:spacing w:line="50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3.2 为方便供应商对招标文件修改或澄清内容有充分的时间进行补充修改，代理机构可适当延长投标截止时间和开标时间，在招标文件要求提交投标文件的截止日期前，将变更时间书面通知所有购买招标文件的供应商。</w:t>
      </w:r>
    </w:p>
    <w:p>
      <w:pPr>
        <w:pStyle w:val="5"/>
        <w:numPr>
          <w:ilvl w:val="0"/>
          <w:numId w:val="11"/>
        </w:numPr>
        <w:spacing w:line="500" w:lineRule="exact"/>
        <w:ind w:firstLine="562" w:firstLineChars="200"/>
        <w:rPr>
          <w:rFonts w:ascii="宋体" w:hAnsi="宋体" w:cs="宋体"/>
          <w:color w:val="auto"/>
          <w:szCs w:val="28"/>
          <w:highlight w:val="none"/>
        </w:rPr>
      </w:pPr>
      <w:bookmarkStart w:id="29" w:name="_Toc5095"/>
      <w:r>
        <w:rPr>
          <w:rFonts w:hint="eastAsia" w:ascii="宋体" w:hAnsi="宋体" w:cs="宋体"/>
          <w:color w:val="auto"/>
          <w:szCs w:val="28"/>
          <w:highlight w:val="none"/>
        </w:rPr>
        <w:t>招标文件的解释权归代理机构</w:t>
      </w:r>
      <w:bookmarkEnd w:id="29"/>
    </w:p>
    <w:p>
      <w:pPr>
        <w:pStyle w:val="5"/>
        <w:numPr>
          <w:ilvl w:val="0"/>
          <w:numId w:val="11"/>
        </w:numPr>
        <w:spacing w:line="360" w:lineRule="auto"/>
        <w:ind w:firstLine="562" w:firstLineChars="200"/>
        <w:rPr>
          <w:rFonts w:ascii="宋体" w:hAnsi="宋体" w:cs="宋体"/>
          <w:color w:val="auto"/>
          <w:szCs w:val="28"/>
          <w:highlight w:val="none"/>
        </w:rPr>
      </w:pPr>
      <w:r>
        <w:rPr>
          <w:rFonts w:hint="eastAsia" w:ascii="宋体" w:hAnsi="宋体" w:cs="宋体"/>
          <w:color w:val="auto"/>
          <w:szCs w:val="28"/>
          <w:highlight w:val="none"/>
        </w:rPr>
        <w:t>落实的政府采购政策</w:t>
      </w:r>
    </w:p>
    <w:p>
      <w:pPr>
        <w:tabs>
          <w:tab w:val="left" w:pos="0"/>
        </w:tabs>
        <w:adjustRightInd w:val="0"/>
        <w:snapToGrid w:val="0"/>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5.1节能产品、环境标志产品</w:t>
      </w:r>
    </w:p>
    <w:p>
      <w:pPr>
        <w:tabs>
          <w:tab w:val="left" w:pos="0"/>
        </w:tabs>
        <w:adjustRightInd w:val="0"/>
        <w:snapToGrid w:val="0"/>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 xml:space="preserve"> 供应商所投产品，将依据《节能产品、环境标志产品品目清单》和认证证书实施政府优先采购和强制采购。</w:t>
      </w:r>
    </w:p>
    <w:p>
      <w:pPr>
        <w:tabs>
          <w:tab w:val="left" w:pos="0"/>
        </w:tabs>
        <w:adjustRightInd w:val="0"/>
        <w:snapToGrid w:val="0"/>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供应商可以提供所投产品经国家确定的认证机构出具的、处于有效期之内的节能产品、环境标志产品认证证书复印件。采购代理机构通过中国政府采购网（http：//www.ccgp.gov.cn/）对获证产品信息进行核对。</w:t>
      </w:r>
    </w:p>
    <w:p>
      <w:pPr>
        <w:tabs>
          <w:tab w:val="left" w:pos="0"/>
        </w:tabs>
        <w:adjustRightInd w:val="0"/>
        <w:snapToGrid w:val="0"/>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5.2中小企业</w:t>
      </w:r>
    </w:p>
    <w:p>
      <w:pPr>
        <w:tabs>
          <w:tab w:val="left" w:pos="0"/>
        </w:tabs>
        <w:adjustRightInd w:val="0"/>
        <w:snapToGrid w:val="0"/>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如项目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见附件二）。</w:t>
      </w:r>
    </w:p>
    <w:p>
      <w:pPr>
        <w:tabs>
          <w:tab w:val="left" w:pos="0"/>
        </w:tabs>
        <w:adjustRightInd w:val="0"/>
        <w:snapToGrid w:val="0"/>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如项目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符合小微企业政策条件；在服务采购项目中，服务由小微企业承接，视为小微企业。符合中小企业政策条件的供应商参加政府采购活动，应当提供《中小企业声明函》（见附件二），不提供的在评标时不享受价格扣除优惠政策。货物和服务项目，对小型和微型企业的价格给予6%～10%的扣除，用扣除后的价格参与评审</w:t>
      </w:r>
      <w:r>
        <w:rPr>
          <w:rFonts w:hint="eastAsia" w:hAnsi="宋体" w:cs="宋体"/>
          <w:color w:val="auto"/>
          <w:sz w:val="24"/>
          <w:szCs w:val="24"/>
          <w:highlight w:val="none"/>
          <w:lang w:eastAsia="zh-CN"/>
        </w:rPr>
        <w:t>，本项目扣除为</w:t>
      </w:r>
      <w:r>
        <w:rPr>
          <w:rFonts w:hint="eastAsia" w:hAnsi="宋体" w:cs="宋体"/>
          <w:color w:val="auto"/>
          <w:sz w:val="24"/>
          <w:szCs w:val="24"/>
          <w:highlight w:val="none"/>
          <w:lang w:val="en-US" w:eastAsia="zh-CN"/>
        </w:rPr>
        <w:t>6%</w:t>
      </w:r>
      <w:r>
        <w:rPr>
          <w:rFonts w:hint="eastAsia" w:hAnsi="宋体" w:cs="宋体"/>
          <w:color w:val="auto"/>
          <w:sz w:val="24"/>
          <w:szCs w:val="24"/>
          <w:highlight w:val="none"/>
        </w:rPr>
        <w:t>。</w:t>
      </w:r>
    </w:p>
    <w:p>
      <w:pPr>
        <w:tabs>
          <w:tab w:val="left" w:pos="0"/>
        </w:tabs>
        <w:adjustRightInd w:val="0"/>
        <w:snapToGrid w:val="0"/>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5.2依据《财政部、司法部关于政府采购支持监狱企业发展有关问题的通知》（财库〔2014〕68号）之规定，监狱企业参加政府采购活动，视同小微企业。应当提供由省级以上监狱管理局、戒毒管理局出具的属于监狱企业的证明文件，在评审时享受小微企业政策。未提供或出具证明文件的单位不符合相关要求的，不视为小微企业。</w:t>
      </w:r>
    </w:p>
    <w:p>
      <w:pPr>
        <w:tabs>
          <w:tab w:val="left" w:pos="0"/>
        </w:tabs>
        <w:adjustRightInd w:val="0"/>
        <w:snapToGrid w:val="0"/>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5.3依据《财政部、民政部、中国残疾人联合会关于促进残疾人就业政府采购政策的通知》（财库〔2017〕141号）之规定，残疾人福利性单位参加政府采购活动，视同小微企业，应当提供《残疾人福利性单位声明函》，在评审时享受小微企业政策。未提供的不视为小微企业。</w:t>
      </w:r>
    </w:p>
    <w:p>
      <w:pPr>
        <w:tabs>
          <w:tab w:val="left" w:pos="0"/>
        </w:tabs>
        <w:adjustRightInd w:val="0"/>
        <w:snapToGrid w:val="0"/>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残疾人福利性单位属于小微企业的，不重复享受政策。</w:t>
      </w:r>
    </w:p>
    <w:p>
      <w:pPr>
        <w:tabs>
          <w:tab w:val="left" w:pos="0"/>
        </w:tabs>
        <w:adjustRightInd w:val="0"/>
        <w:snapToGrid w:val="0"/>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供应商提供的《中小企业声明函》或者《残疾人福利性单位声明函》存在明显错误的，评标委员会可以要求供应商作出澄清；澄清后，符合小微企业条件的，供应商可以享受价格扣除优惠政策；否则，不享受价格扣除优惠政策。</w:t>
      </w:r>
    </w:p>
    <w:p>
      <w:pPr>
        <w:tabs>
          <w:tab w:val="left" w:pos="0"/>
        </w:tabs>
        <w:adjustRightInd w:val="0"/>
        <w:snapToGrid w:val="0"/>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享受中小企业扶持政策的供应商可以同时享受节能产品、环境标志产品优先采购政策。</w:t>
      </w:r>
    </w:p>
    <w:p>
      <w:pPr>
        <w:tabs>
          <w:tab w:val="left" w:pos="0"/>
        </w:tabs>
        <w:adjustRightInd w:val="0"/>
        <w:snapToGrid w:val="0"/>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政府采购监督检查、投诉处理及政府采购行政处罚中对中小企业的认定，由货物制造商注册登记所在地的县级以上人民政府中小企业主管部门负责。</w:t>
      </w:r>
    </w:p>
    <w:p>
      <w:pPr>
        <w:tabs>
          <w:tab w:val="left" w:pos="0"/>
        </w:tabs>
        <w:adjustRightInd w:val="0"/>
        <w:snapToGrid w:val="0"/>
        <w:spacing w:line="500" w:lineRule="exact"/>
        <w:ind w:firstLine="480" w:firstLineChars="200"/>
        <w:jc w:val="left"/>
        <w:rPr>
          <w:color w:val="auto"/>
          <w:sz w:val="24"/>
          <w:szCs w:val="24"/>
          <w:highlight w:val="none"/>
        </w:rPr>
        <w:sectPr>
          <w:footerReference r:id="rId8" w:type="default"/>
          <w:pgSz w:w="11906" w:h="16838"/>
          <w:pgMar w:top="1440" w:right="1706" w:bottom="1440" w:left="1800" w:header="851" w:footer="992" w:gutter="0"/>
          <w:cols w:space="720" w:num="1"/>
          <w:docGrid w:type="lines" w:linePitch="312" w:charSpace="0"/>
        </w:sectPr>
      </w:pPr>
      <w:r>
        <w:rPr>
          <w:rFonts w:hint="eastAsia" w:ascii="宋体" w:hAnsi="宋体" w:cs="宋体"/>
          <w:color w:val="auto"/>
          <w:sz w:val="24"/>
          <w:szCs w:val="24"/>
          <w:highlight w:val="none"/>
        </w:rPr>
        <w:t>5.4供应商有融资、担保需求的，具体办理流程按照财政部门及相关政策执行（陕西省财政厅关于印发《陕西省中小企业政府采购信用融资办法》（陕财办采〔2018〕23号））。</w:t>
      </w:r>
    </w:p>
    <w:p>
      <w:pPr>
        <w:pStyle w:val="4"/>
        <w:jc w:val="center"/>
        <w:rPr>
          <w:rFonts w:ascii="宋体" w:hAnsi="宋体" w:cs="宋体"/>
          <w:color w:val="auto"/>
          <w:sz w:val="36"/>
          <w:szCs w:val="28"/>
          <w:highlight w:val="none"/>
        </w:rPr>
      </w:pPr>
      <w:bookmarkStart w:id="30" w:name="_Toc20872"/>
      <w:bookmarkStart w:id="31" w:name="_Toc15601"/>
      <w:r>
        <w:rPr>
          <w:rFonts w:hint="eastAsia" w:ascii="宋体" w:hAnsi="宋体" w:cs="宋体"/>
          <w:color w:val="auto"/>
          <w:sz w:val="36"/>
          <w:szCs w:val="28"/>
          <w:highlight w:val="none"/>
        </w:rPr>
        <w:t>三、投标文件</w:t>
      </w:r>
      <w:bookmarkEnd w:id="30"/>
      <w:bookmarkEnd w:id="31"/>
    </w:p>
    <w:p>
      <w:pPr>
        <w:pStyle w:val="5"/>
        <w:numPr>
          <w:ilvl w:val="0"/>
          <w:numId w:val="13"/>
        </w:numPr>
        <w:spacing w:line="500" w:lineRule="exact"/>
        <w:ind w:firstLine="562" w:firstLineChars="200"/>
        <w:rPr>
          <w:rFonts w:ascii="宋体" w:hAnsi="宋体" w:cs="宋体"/>
          <w:color w:val="auto"/>
          <w:szCs w:val="28"/>
          <w:highlight w:val="none"/>
        </w:rPr>
      </w:pPr>
      <w:bookmarkStart w:id="32" w:name="_Toc17549"/>
      <w:r>
        <w:rPr>
          <w:rFonts w:hint="eastAsia" w:ascii="宋体" w:hAnsi="宋体" w:cs="宋体"/>
          <w:color w:val="auto"/>
          <w:szCs w:val="28"/>
          <w:highlight w:val="none"/>
        </w:rPr>
        <w:t>投标文件的编制</w:t>
      </w:r>
      <w:bookmarkEnd w:id="32"/>
    </w:p>
    <w:p>
      <w:pPr>
        <w:tabs>
          <w:tab w:val="left" w:pos="0"/>
        </w:tabs>
        <w:spacing w:line="500" w:lineRule="exact"/>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供应商需依据招标文件内容和投标文件格式的要求编制投标文件，具体内容参见“第七部分 投标文件格式”。</w:t>
      </w:r>
    </w:p>
    <w:p>
      <w:pPr>
        <w:widowControl/>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投标文件规格幅面（A4），</w:t>
      </w:r>
      <w:r>
        <w:rPr>
          <w:rFonts w:hint="eastAsia" w:ascii="宋体" w:hAnsi="宋体" w:cs="宋体"/>
          <w:b/>
          <w:bCs/>
          <w:color w:val="auto"/>
          <w:sz w:val="24"/>
          <w:szCs w:val="24"/>
          <w:highlight w:val="none"/>
        </w:rPr>
        <w:t>推荐采用双面打印</w:t>
      </w:r>
      <w:r>
        <w:rPr>
          <w:rFonts w:hint="eastAsia" w:ascii="宋体" w:hAnsi="宋体" w:cs="宋体"/>
          <w:color w:val="auto"/>
          <w:sz w:val="24"/>
          <w:szCs w:val="24"/>
          <w:highlight w:val="none"/>
        </w:rPr>
        <w:t>，按照招标文件所规定的内容顺序，统一编目、编页码装订，由于编排混乱导致投标文件被误读或查找不到，其责任应当由供应商承担。装订必须采用胶装形式，不得采用活页装订，必须编排页码。</w:t>
      </w:r>
    </w:p>
    <w:p>
      <w:pPr>
        <w:pStyle w:val="5"/>
        <w:numPr>
          <w:ilvl w:val="0"/>
          <w:numId w:val="13"/>
        </w:numPr>
        <w:spacing w:line="500" w:lineRule="exact"/>
        <w:ind w:firstLine="482" w:firstLineChars="200"/>
        <w:rPr>
          <w:rFonts w:ascii="宋体" w:hAnsi="宋体" w:cs="宋体"/>
          <w:color w:val="auto"/>
          <w:sz w:val="24"/>
          <w:szCs w:val="24"/>
          <w:highlight w:val="none"/>
        </w:rPr>
      </w:pPr>
      <w:bookmarkStart w:id="33" w:name="_Toc27646"/>
      <w:bookmarkStart w:id="34" w:name="_Toc1311"/>
      <w:r>
        <w:rPr>
          <w:rFonts w:hint="eastAsia" w:ascii="宋体" w:hAnsi="宋体" w:cs="宋体"/>
          <w:color w:val="auto"/>
          <w:sz w:val="24"/>
          <w:szCs w:val="24"/>
          <w:highlight w:val="none"/>
        </w:rPr>
        <w:t>投标报价</w:t>
      </w:r>
      <w:bookmarkEnd w:id="33"/>
    </w:p>
    <w:p>
      <w:pPr>
        <w:spacing w:line="360" w:lineRule="auto"/>
        <w:ind w:firstLine="482" w:firstLineChars="200"/>
        <w:rPr>
          <w:rFonts w:ascii="宋体" w:hAnsi="宋体" w:cs="宋体"/>
          <w:color w:val="auto"/>
          <w:highlight w:val="none"/>
        </w:rPr>
      </w:pPr>
      <w:r>
        <w:rPr>
          <w:rFonts w:hint="eastAsia" w:ascii="宋体" w:hAnsi="宋体" w:cs="宋体"/>
          <w:b/>
          <w:bCs/>
          <w:color w:val="auto"/>
          <w:sz w:val="24"/>
          <w:szCs w:val="24"/>
          <w:highlight w:val="none"/>
        </w:rPr>
        <w:t>详见供应商须知前附表。</w:t>
      </w:r>
    </w:p>
    <w:p>
      <w:pPr>
        <w:pStyle w:val="5"/>
        <w:numPr>
          <w:ilvl w:val="0"/>
          <w:numId w:val="13"/>
        </w:numPr>
        <w:spacing w:line="500" w:lineRule="exact"/>
        <w:ind w:firstLine="482" w:firstLineChars="200"/>
        <w:rPr>
          <w:rFonts w:ascii="宋体" w:hAnsi="宋体" w:cs="宋体"/>
          <w:color w:val="auto"/>
          <w:sz w:val="24"/>
          <w:szCs w:val="24"/>
          <w:highlight w:val="none"/>
        </w:rPr>
      </w:pPr>
      <w:bookmarkStart w:id="35" w:name="_Toc29200"/>
      <w:r>
        <w:rPr>
          <w:rFonts w:hint="eastAsia" w:ascii="宋体" w:hAnsi="宋体" w:cs="宋体"/>
          <w:color w:val="auto"/>
          <w:sz w:val="24"/>
          <w:szCs w:val="24"/>
          <w:highlight w:val="none"/>
        </w:rPr>
        <w:t>投标货币</w:t>
      </w:r>
      <w:bookmarkEnd w:id="35"/>
    </w:p>
    <w:p>
      <w:pPr>
        <w:spacing w:line="360" w:lineRule="auto"/>
        <w:ind w:firstLine="482" w:firstLineChars="200"/>
        <w:rPr>
          <w:rFonts w:ascii="宋体" w:hAnsi="宋体" w:cs="宋体"/>
          <w:color w:val="auto"/>
          <w:highlight w:val="none"/>
        </w:rPr>
      </w:pPr>
      <w:r>
        <w:rPr>
          <w:rFonts w:hint="eastAsia" w:ascii="宋体" w:hAnsi="宋体" w:cs="宋体"/>
          <w:b/>
          <w:bCs/>
          <w:color w:val="auto"/>
          <w:sz w:val="24"/>
          <w:szCs w:val="24"/>
          <w:highlight w:val="none"/>
        </w:rPr>
        <w:t>详见供应商须知前附表。</w:t>
      </w:r>
    </w:p>
    <w:bookmarkEnd w:id="34"/>
    <w:p>
      <w:pPr>
        <w:pStyle w:val="5"/>
        <w:numPr>
          <w:ilvl w:val="0"/>
          <w:numId w:val="13"/>
        </w:numPr>
        <w:spacing w:line="500" w:lineRule="exact"/>
        <w:ind w:firstLine="562" w:firstLineChars="200"/>
        <w:rPr>
          <w:rFonts w:ascii="宋体" w:hAnsi="宋体" w:cs="宋体"/>
          <w:color w:val="auto"/>
          <w:szCs w:val="28"/>
          <w:highlight w:val="none"/>
        </w:rPr>
      </w:pPr>
      <w:bookmarkStart w:id="36" w:name="_Toc19668"/>
      <w:r>
        <w:rPr>
          <w:rFonts w:hint="eastAsia" w:ascii="宋体" w:hAnsi="宋体" w:cs="宋体"/>
          <w:color w:val="auto"/>
          <w:szCs w:val="28"/>
          <w:highlight w:val="none"/>
        </w:rPr>
        <w:t>投标有效期</w:t>
      </w:r>
      <w:bookmarkEnd w:id="36"/>
    </w:p>
    <w:p>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投标有效期见供应商须知前附表，无投标有效期或投标有效期短于此规定期限的投标文件，视为无效文件，其投标将被拒绝。</w:t>
      </w:r>
    </w:p>
    <w:p>
      <w:pPr>
        <w:pStyle w:val="5"/>
        <w:numPr>
          <w:ilvl w:val="0"/>
          <w:numId w:val="13"/>
        </w:numPr>
        <w:spacing w:line="500" w:lineRule="exact"/>
        <w:ind w:firstLine="562" w:firstLineChars="200"/>
        <w:rPr>
          <w:rFonts w:ascii="宋体" w:hAnsi="宋体" w:cs="宋体"/>
          <w:color w:val="auto"/>
          <w:szCs w:val="28"/>
          <w:highlight w:val="none"/>
        </w:rPr>
      </w:pPr>
      <w:bookmarkStart w:id="37" w:name="_Toc24827"/>
      <w:r>
        <w:rPr>
          <w:rFonts w:hint="eastAsia" w:ascii="宋体" w:hAnsi="宋体" w:cs="宋体"/>
          <w:color w:val="auto"/>
          <w:szCs w:val="28"/>
          <w:highlight w:val="none"/>
        </w:rPr>
        <w:t>投标文件的装订、签署和</w:t>
      </w:r>
      <w:bookmarkEnd w:id="37"/>
      <w:r>
        <w:rPr>
          <w:rFonts w:hint="eastAsia" w:ascii="宋体" w:hAnsi="宋体" w:cs="宋体"/>
          <w:color w:val="auto"/>
          <w:szCs w:val="28"/>
          <w:highlight w:val="none"/>
        </w:rPr>
        <w:t>密封</w:t>
      </w:r>
    </w:p>
    <w:p>
      <w:pPr>
        <w:tabs>
          <w:tab w:val="left" w:pos="0"/>
        </w:tabs>
        <w:spacing w:line="500" w:lineRule="exact"/>
        <w:ind w:firstLine="480" w:firstLineChars="200"/>
        <w:rPr>
          <w:rFonts w:ascii="宋体" w:hAnsi="宋体" w:cs="宋体"/>
          <w:color w:val="auto"/>
          <w:sz w:val="24"/>
          <w:szCs w:val="24"/>
          <w:highlight w:val="none"/>
        </w:rPr>
      </w:pPr>
      <w:bookmarkStart w:id="38" w:name="_Toc22752"/>
      <w:r>
        <w:rPr>
          <w:rFonts w:hint="eastAsia" w:ascii="宋体" w:hAnsi="宋体" w:cs="宋体"/>
          <w:color w:val="auto"/>
          <w:sz w:val="24"/>
          <w:szCs w:val="24"/>
          <w:highlight w:val="none"/>
        </w:rPr>
        <w:t>5.1 投标文件的装订</w:t>
      </w:r>
    </w:p>
    <w:p>
      <w:pPr>
        <w:spacing w:line="500" w:lineRule="exact"/>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详见供应商须知前附表。</w:t>
      </w:r>
    </w:p>
    <w:p>
      <w:p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5.2 投标文件的签署</w:t>
      </w:r>
    </w:p>
    <w:p>
      <w:pPr>
        <w:spacing w:line="500" w:lineRule="exact"/>
        <w:ind w:firstLine="482" w:firstLineChars="200"/>
        <w:jc w:val="left"/>
        <w:rPr>
          <w:rFonts w:ascii="宋体" w:hAnsi="宋体" w:cs="宋体"/>
          <w:color w:val="auto"/>
          <w:kern w:val="0"/>
          <w:sz w:val="24"/>
          <w:szCs w:val="24"/>
          <w:highlight w:val="none"/>
        </w:rPr>
      </w:pPr>
      <w:r>
        <w:rPr>
          <w:rFonts w:hint="eastAsia" w:ascii="宋体" w:hAnsi="宋体" w:cs="宋体"/>
          <w:b/>
          <w:bCs/>
          <w:color w:val="auto"/>
          <w:sz w:val="24"/>
          <w:szCs w:val="24"/>
          <w:highlight w:val="none"/>
        </w:rPr>
        <w:t>详见供应商须知前附表。</w:t>
      </w:r>
    </w:p>
    <w:p>
      <w:pPr>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5.3 投标文件的密封</w:t>
      </w:r>
    </w:p>
    <w:p>
      <w:pPr>
        <w:spacing w:line="500" w:lineRule="exact"/>
        <w:ind w:firstLine="482" w:firstLineChars="200"/>
        <w:jc w:val="left"/>
        <w:rPr>
          <w:rFonts w:ascii="宋体" w:hAnsi="宋体" w:cs="宋体"/>
          <w:color w:val="auto"/>
          <w:highlight w:val="none"/>
        </w:rPr>
      </w:pPr>
      <w:r>
        <w:rPr>
          <w:rFonts w:hint="eastAsia" w:ascii="宋体" w:hAnsi="宋体" w:cs="宋体"/>
          <w:b/>
          <w:bCs/>
          <w:color w:val="auto"/>
          <w:sz w:val="24"/>
          <w:szCs w:val="24"/>
          <w:highlight w:val="none"/>
        </w:rPr>
        <w:t>详见供应商须知前附表。</w:t>
      </w:r>
    </w:p>
    <w:bookmarkEnd w:id="38"/>
    <w:p>
      <w:pPr>
        <w:widowControl/>
        <w:numPr>
          <w:ilvl w:val="0"/>
          <w:numId w:val="14"/>
        </w:numPr>
        <w:spacing w:line="500" w:lineRule="exact"/>
        <w:ind w:firstLine="482" w:firstLineChars="200"/>
        <w:jc w:val="center"/>
        <w:outlineLvl w:val="1"/>
        <w:rPr>
          <w:rFonts w:ascii="宋体" w:hAnsi="宋体" w:cs="宋体"/>
          <w:b/>
          <w:bCs/>
          <w:color w:val="auto"/>
          <w:kern w:val="0"/>
          <w:sz w:val="24"/>
          <w:szCs w:val="24"/>
          <w:highlight w:val="none"/>
        </w:rPr>
        <w:sectPr>
          <w:pgSz w:w="11906" w:h="16838"/>
          <w:pgMar w:top="1440" w:right="1706" w:bottom="1440" w:left="1800" w:header="851" w:footer="992" w:gutter="0"/>
          <w:cols w:space="720" w:num="1"/>
          <w:docGrid w:type="lines" w:linePitch="312" w:charSpace="0"/>
        </w:sectPr>
      </w:pPr>
      <w:bookmarkStart w:id="39" w:name="_Toc3736"/>
    </w:p>
    <w:p>
      <w:pPr>
        <w:widowControl/>
        <w:spacing w:before="159" w:beforeLines="50" w:after="159" w:afterLines="50" w:line="500" w:lineRule="exact"/>
        <w:jc w:val="center"/>
        <w:outlineLvl w:val="1"/>
        <w:rPr>
          <w:rFonts w:ascii="宋体" w:hAnsi="宋体" w:cs="宋体"/>
          <w:b/>
          <w:bCs/>
          <w:color w:val="auto"/>
          <w:kern w:val="0"/>
          <w:sz w:val="32"/>
          <w:szCs w:val="28"/>
          <w:highlight w:val="none"/>
        </w:rPr>
      </w:pPr>
      <w:bookmarkStart w:id="40" w:name="_Toc3565"/>
      <w:bookmarkStart w:id="41" w:name="_Toc26041"/>
      <w:r>
        <w:rPr>
          <w:rFonts w:hint="eastAsia" w:ascii="宋体" w:hAnsi="宋体" w:cs="宋体"/>
          <w:b/>
          <w:bCs/>
          <w:color w:val="auto"/>
          <w:kern w:val="0"/>
          <w:sz w:val="32"/>
          <w:szCs w:val="28"/>
          <w:highlight w:val="none"/>
        </w:rPr>
        <w:t>四、投标文件的递交</w:t>
      </w:r>
      <w:bookmarkEnd w:id="40"/>
      <w:bookmarkEnd w:id="41"/>
    </w:p>
    <w:bookmarkEnd w:id="39"/>
    <w:p>
      <w:pPr>
        <w:pStyle w:val="5"/>
        <w:keepNext w:val="0"/>
        <w:keepLines w:val="0"/>
        <w:numPr>
          <w:ilvl w:val="0"/>
          <w:numId w:val="15"/>
        </w:numPr>
        <w:spacing w:line="500" w:lineRule="exact"/>
        <w:ind w:firstLine="562" w:firstLineChars="200"/>
        <w:rPr>
          <w:rFonts w:ascii="宋体" w:hAnsi="宋体" w:cs="宋体"/>
          <w:color w:val="auto"/>
          <w:szCs w:val="28"/>
          <w:highlight w:val="none"/>
        </w:rPr>
      </w:pPr>
      <w:bookmarkStart w:id="42" w:name="_Toc3685"/>
      <w:r>
        <w:rPr>
          <w:rFonts w:hint="eastAsia" w:ascii="宋体" w:hAnsi="宋体" w:cs="宋体"/>
          <w:color w:val="auto"/>
          <w:szCs w:val="28"/>
          <w:highlight w:val="none"/>
        </w:rPr>
        <w:t>投标文件递交</w:t>
      </w:r>
      <w:bookmarkEnd w:id="42"/>
    </w:p>
    <w:p>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 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1.2逾期送达或者未按照招标文件要求密封的投标文件，采购代理机构应当拒收。</w:t>
      </w:r>
    </w:p>
    <w:p>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1.3代理机构不接受邮寄的投标文件。</w:t>
      </w:r>
    </w:p>
    <w:p>
      <w:pPr>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 无论供应商中标与否，其投标文件恕不退还。</w:t>
      </w:r>
    </w:p>
    <w:p>
      <w:pPr>
        <w:pStyle w:val="5"/>
        <w:keepNext w:val="0"/>
        <w:keepLines w:val="0"/>
        <w:numPr>
          <w:ilvl w:val="0"/>
          <w:numId w:val="15"/>
        </w:numPr>
        <w:spacing w:line="500" w:lineRule="exact"/>
        <w:ind w:firstLine="562" w:firstLineChars="200"/>
        <w:rPr>
          <w:rFonts w:ascii="宋体" w:hAnsi="宋体" w:cs="宋体"/>
          <w:color w:val="auto"/>
          <w:szCs w:val="28"/>
          <w:highlight w:val="none"/>
        </w:rPr>
      </w:pPr>
      <w:bookmarkStart w:id="43" w:name="_Toc12741"/>
      <w:r>
        <w:rPr>
          <w:rFonts w:hint="eastAsia" w:ascii="宋体" w:hAnsi="宋体" w:cs="宋体"/>
          <w:color w:val="auto"/>
          <w:szCs w:val="28"/>
          <w:highlight w:val="none"/>
        </w:rPr>
        <w:t>投标文件的修改和撤回</w:t>
      </w:r>
      <w:bookmarkEnd w:id="43"/>
    </w:p>
    <w:p>
      <w:p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2.1 供应商可以在投标截止时间前，对所递交的投标文件进行补充、修改或者撤回，并以书面形式通知采购代理机构（或采购人)。</w:t>
      </w:r>
    </w:p>
    <w:p>
      <w:p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2.2 供应商撤回投标的要求应由供应商法定代表人或供应商代表签署，补充、修改投标文件的书面材料，应当按照招标文件要求签署、盖章、密封，作为投标文件的组成部分，在投标截止时间前密封送达开标地点，同时应在封套上标明“修改投标文件(并注明项目编号)”字样。</w:t>
      </w:r>
    </w:p>
    <w:p>
      <w:p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2.3 在投标截止时间之后，供应商不得对其投标文件进行补充、修改或撤回。</w:t>
      </w:r>
    </w:p>
    <w:p>
      <w:pPr>
        <w:widowControl/>
        <w:spacing w:before="159" w:beforeLines="50" w:after="159" w:afterLines="50" w:line="500" w:lineRule="exact"/>
        <w:jc w:val="center"/>
        <w:outlineLvl w:val="1"/>
        <w:rPr>
          <w:rFonts w:ascii="宋体" w:hAnsi="宋体" w:cs="宋体"/>
          <w:b/>
          <w:bCs/>
          <w:color w:val="auto"/>
          <w:kern w:val="0"/>
          <w:sz w:val="32"/>
          <w:szCs w:val="28"/>
          <w:highlight w:val="none"/>
        </w:rPr>
      </w:pPr>
      <w:bookmarkStart w:id="44" w:name="_Toc27066"/>
      <w:bookmarkStart w:id="45" w:name="_Toc27823"/>
      <w:bookmarkStart w:id="46" w:name="_Toc14415"/>
      <w:r>
        <w:rPr>
          <w:rFonts w:hint="eastAsia" w:ascii="宋体" w:hAnsi="宋体" w:cs="宋体"/>
          <w:b/>
          <w:bCs/>
          <w:color w:val="auto"/>
          <w:kern w:val="0"/>
          <w:sz w:val="32"/>
          <w:szCs w:val="28"/>
          <w:highlight w:val="none"/>
        </w:rPr>
        <w:t>五、 开标、评审、定标</w:t>
      </w:r>
      <w:bookmarkEnd w:id="44"/>
      <w:bookmarkEnd w:id="45"/>
      <w:bookmarkEnd w:id="46"/>
    </w:p>
    <w:p>
      <w:pPr>
        <w:pStyle w:val="5"/>
        <w:keepNext w:val="0"/>
        <w:keepLines w:val="0"/>
        <w:numPr>
          <w:ilvl w:val="0"/>
          <w:numId w:val="16"/>
        </w:numPr>
        <w:spacing w:line="500" w:lineRule="exact"/>
        <w:ind w:firstLine="562"/>
        <w:rPr>
          <w:rFonts w:ascii="宋体" w:hAnsi="宋体" w:cs="宋体"/>
          <w:color w:val="auto"/>
          <w:szCs w:val="28"/>
          <w:highlight w:val="none"/>
        </w:rPr>
      </w:pPr>
      <w:bookmarkStart w:id="47" w:name="_Toc27216"/>
      <w:r>
        <w:rPr>
          <w:rFonts w:hint="eastAsia" w:ascii="宋体" w:hAnsi="宋体" w:cs="宋体"/>
          <w:color w:val="auto"/>
          <w:szCs w:val="28"/>
          <w:highlight w:val="none"/>
        </w:rPr>
        <w:t>开标</w:t>
      </w:r>
      <w:bookmarkEnd w:id="47"/>
    </w:p>
    <w:p>
      <w:pPr>
        <w:widowControl/>
        <w:tabs>
          <w:tab w:val="left" w:pos="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1.1 采购代理机构按招标公告中规定的时间和地点接收供应商递交的投标文件，主持开标会议，邀请供应商参加，评标委员会成员不得参加开标活动。</w:t>
      </w:r>
    </w:p>
    <w:p>
      <w:pPr>
        <w:widowControl/>
        <w:tabs>
          <w:tab w:val="left" w:pos="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1.2开标时，由供应商或者其推选的代表检查投标文件的密封情况；经确认无误后，由采购代理机构工作人员当众拆封，宣布供应商名称、投标价格和招标文件规定的需要宣布的其他内容。代理机构指定专人负责将供应商的名称、投标项目名称、投标价格等进行记录，并存档备案；所有投标唱标完毕，如供应商代表对宣读的“报价一览表”上的内容有异议的，应在获得开标会议主持人同意后当场提出。如确实属于唱标人员宣读错误，经供应商代表核实后，当场予以更正，不属于唱标人员宣读错误的，以单独密封的报价一览表为准。</w:t>
      </w:r>
    </w:p>
    <w:p>
      <w:pPr>
        <w:widowControl/>
        <w:tabs>
          <w:tab w:val="left" w:pos="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1.3开标时，投标文件中出现下列情况，修正原则为：</w:t>
      </w:r>
    </w:p>
    <w:p>
      <w:pPr>
        <w:numPr>
          <w:ilvl w:val="0"/>
          <w:numId w:val="17"/>
        </w:numPr>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投标文件中报价一览表（报价表）内容与投标文件中相应内容不一致的，以报价一览表（报价表）为准；</w:t>
      </w:r>
    </w:p>
    <w:p>
      <w:pPr>
        <w:numPr>
          <w:ilvl w:val="0"/>
          <w:numId w:val="17"/>
        </w:numPr>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大写金额和小写金额不一致的，以大写金额为准；</w:t>
      </w:r>
    </w:p>
    <w:p>
      <w:pPr>
        <w:numPr>
          <w:ilvl w:val="0"/>
          <w:numId w:val="17"/>
        </w:numPr>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单价金额小数点或者百分比有明显错位的，以报价一览表的总价为准，并修改单价；</w:t>
      </w:r>
    </w:p>
    <w:p>
      <w:pPr>
        <w:numPr>
          <w:ilvl w:val="0"/>
          <w:numId w:val="17"/>
        </w:numPr>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总价金额与按单价汇总金额不一致的，以单价金额计算结果为准；报价金额精确到小数点后两位，不进行四舍五入；  </w:t>
      </w:r>
    </w:p>
    <w:p>
      <w:pPr>
        <w:numPr>
          <w:ilvl w:val="0"/>
          <w:numId w:val="17"/>
        </w:numPr>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投标文件正本与副本不一致的，以正本为准；</w:t>
      </w:r>
    </w:p>
    <w:p>
      <w:pPr>
        <w:numPr>
          <w:ilvl w:val="0"/>
          <w:numId w:val="17"/>
        </w:numPr>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投标文件单独密封递交的报价一览表与正本不一致的，以单独密封递交的报价一览表为准；</w:t>
      </w:r>
    </w:p>
    <w:p>
      <w:pPr>
        <w:spacing w:line="5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同时出现两种以上不一致的，按照前款规定的顺序修正。修正后的报价按照《政府采购货物和服务招标投标管理办法》第五十一条第二款的规定经供应商确认后产生约束力，供应商不确认的，其投标无效。</w:t>
      </w:r>
    </w:p>
    <w:p>
      <w:pPr>
        <w:pStyle w:val="5"/>
        <w:keepNext w:val="0"/>
        <w:keepLines w:val="0"/>
        <w:numPr>
          <w:ilvl w:val="0"/>
          <w:numId w:val="16"/>
        </w:numPr>
        <w:spacing w:line="500" w:lineRule="exact"/>
        <w:ind w:firstLine="562"/>
        <w:rPr>
          <w:rFonts w:ascii="宋体" w:hAnsi="宋体" w:cs="宋体"/>
          <w:color w:val="auto"/>
          <w:szCs w:val="28"/>
          <w:highlight w:val="none"/>
        </w:rPr>
      </w:pPr>
      <w:bookmarkStart w:id="48" w:name="_Toc358364344"/>
      <w:bookmarkStart w:id="49" w:name="_Toc380336750"/>
      <w:bookmarkStart w:id="50" w:name="_Toc801"/>
      <w:bookmarkStart w:id="51" w:name="_Toc20569"/>
      <w:r>
        <w:rPr>
          <w:rFonts w:hint="eastAsia" w:ascii="宋体" w:hAnsi="宋体" w:cs="宋体"/>
          <w:color w:val="auto"/>
          <w:szCs w:val="28"/>
          <w:highlight w:val="none"/>
        </w:rPr>
        <w:t>评标委员会</w:t>
      </w:r>
      <w:bookmarkEnd w:id="48"/>
      <w:bookmarkEnd w:id="49"/>
      <w:bookmarkEnd w:id="50"/>
      <w:bookmarkEnd w:id="51"/>
    </w:p>
    <w:p>
      <w:pPr>
        <w:widowControl/>
        <w:spacing w:line="460" w:lineRule="exact"/>
        <w:ind w:firstLine="420" w:firstLineChars="175"/>
        <w:jc w:val="left"/>
        <w:rPr>
          <w:rFonts w:ascii="宋体" w:hAnsi="宋体" w:cs="宋体"/>
          <w:color w:val="auto"/>
          <w:sz w:val="24"/>
          <w:szCs w:val="24"/>
          <w:highlight w:val="none"/>
        </w:rPr>
      </w:pPr>
      <w:r>
        <w:rPr>
          <w:rFonts w:hint="eastAsia" w:ascii="宋体" w:hAnsi="宋体" w:cs="宋体"/>
          <w:color w:val="auto"/>
          <w:kern w:val="0"/>
          <w:sz w:val="24"/>
          <w:szCs w:val="24"/>
          <w:highlight w:val="none"/>
        </w:rPr>
        <w:t>2.1</w:t>
      </w:r>
      <w:r>
        <w:rPr>
          <w:rFonts w:hint="eastAsia" w:ascii="宋体" w:hAnsi="宋体" w:cs="宋体"/>
          <w:color w:val="auto"/>
          <w:sz w:val="24"/>
          <w:szCs w:val="24"/>
          <w:highlight w:val="none"/>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2.1.1遵纪守法，客观、公正、认真负责地履行职责，审查投标文件是否符合招标文件的要求，并做出评价；</w:t>
      </w:r>
    </w:p>
    <w:p>
      <w:pPr>
        <w:spacing w:line="360" w:lineRule="auto"/>
        <w:ind w:left="420"/>
        <w:jc w:val="left"/>
        <w:rPr>
          <w:rFonts w:ascii="宋体" w:hAnsi="宋体" w:cs="宋体"/>
          <w:color w:val="auto"/>
          <w:sz w:val="24"/>
          <w:szCs w:val="24"/>
          <w:highlight w:val="none"/>
        </w:rPr>
      </w:pPr>
      <w:r>
        <w:rPr>
          <w:rFonts w:hint="eastAsia" w:ascii="宋体" w:hAnsi="宋体" w:cs="宋体"/>
          <w:color w:val="auto"/>
          <w:sz w:val="24"/>
          <w:szCs w:val="24"/>
          <w:highlight w:val="none"/>
        </w:rPr>
        <w:t>2.1.2要求供应商对投标文件有关事项作出解释或澄清；</w:t>
      </w:r>
    </w:p>
    <w:p>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2.1.3按照招标文件的要求和评审办法进行评标，推荐中标候选单位名单，对评审意见承担个人责任；</w:t>
      </w:r>
    </w:p>
    <w:p>
      <w:pPr>
        <w:spacing w:line="360" w:lineRule="auto"/>
        <w:ind w:left="420"/>
        <w:jc w:val="left"/>
        <w:rPr>
          <w:rFonts w:ascii="宋体" w:hAnsi="宋体" w:cs="宋体"/>
          <w:color w:val="auto"/>
          <w:sz w:val="24"/>
          <w:szCs w:val="24"/>
          <w:highlight w:val="none"/>
        </w:rPr>
      </w:pPr>
      <w:r>
        <w:rPr>
          <w:rFonts w:hint="eastAsia" w:ascii="宋体" w:hAnsi="宋体" w:cs="宋体"/>
          <w:color w:val="auto"/>
          <w:sz w:val="24"/>
          <w:szCs w:val="24"/>
          <w:highlight w:val="none"/>
        </w:rPr>
        <w:t>2.1.4对评标过程和结果以及供应商的商业秘密保密；</w:t>
      </w:r>
    </w:p>
    <w:p>
      <w:pPr>
        <w:spacing w:line="360" w:lineRule="auto"/>
        <w:ind w:left="420"/>
        <w:jc w:val="left"/>
        <w:rPr>
          <w:rFonts w:ascii="宋体" w:hAnsi="宋体" w:cs="宋体"/>
          <w:color w:val="auto"/>
          <w:sz w:val="24"/>
          <w:szCs w:val="24"/>
          <w:highlight w:val="none"/>
        </w:rPr>
      </w:pPr>
      <w:r>
        <w:rPr>
          <w:rFonts w:hint="eastAsia" w:ascii="宋体" w:hAnsi="宋体" w:cs="宋体"/>
          <w:color w:val="auto"/>
          <w:sz w:val="24"/>
          <w:szCs w:val="24"/>
          <w:highlight w:val="none"/>
        </w:rPr>
        <w:t>2.1.5参与评标结果报告的起草；</w:t>
      </w:r>
    </w:p>
    <w:p>
      <w:pPr>
        <w:spacing w:line="360" w:lineRule="auto"/>
        <w:ind w:left="420"/>
        <w:jc w:val="left"/>
        <w:rPr>
          <w:rFonts w:ascii="宋体" w:hAnsi="宋体" w:cs="宋体"/>
          <w:color w:val="auto"/>
          <w:sz w:val="24"/>
          <w:szCs w:val="24"/>
          <w:highlight w:val="none"/>
        </w:rPr>
      </w:pPr>
      <w:r>
        <w:rPr>
          <w:rFonts w:hint="eastAsia" w:ascii="宋体" w:hAnsi="宋体" w:cs="宋体"/>
          <w:color w:val="auto"/>
          <w:sz w:val="24"/>
          <w:szCs w:val="24"/>
          <w:highlight w:val="none"/>
        </w:rPr>
        <w:t>2.1.6配合采购人、代理机构答复供应商提出的质疑；</w:t>
      </w:r>
    </w:p>
    <w:p>
      <w:pPr>
        <w:spacing w:line="360" w:lineRule="auto"/>
        <w:ind w:left="420"/>
        <w:jc w:val="left"/>
        <w:rPr>
          <w:rFonts w:ascii="宋体" w:hAnsi="宋体" w:cs="宋体"/>
          <w:color w:val="auto"/>
          <w:kern w:val="0"/>
          <w:sz w:val="24"/>
          <w:szCs w:val="24"/>
          <w:highlight w:val="none"/>
        </w:rPr>
      </w:pPr>
      <w:r>
        <w:rPr>
          <w:rFonts w:hint="eastAsia" w:ascii="宋体" w:hAnsi="宋体" w:cs="宋体"/>
          <w:color w:val="auto"/>
          <w:sz w:val="24"/>
          <w:szCs w:val="24"/>
          <w:highlight w:val="none"/>
        </w:rPr>
        <w:t>2.1.7配合财政部门处理投诉工作；</w:t>
      </w:r>
    </w:p>
    <w:p>
      <w:pPr>
        <w:pStyle w:val="5"/>
        <w:numPr>
          <w:ilvl w:val="0"/>
          <w:numId w:val="16"/>
        </w:numPr>
        <w:spacing w:line="500" w:lineRule="exact"/>
        <w:ind w:firstLine="562"/>
        <w:rPr>
          <w:rFonts w:ascii="宋体" w:hAnsi="宋体" w:cs="宋体"/>
          <w:color w:val="auto"/>
          <w:szCs w:val="28"/>
          <w:highlight w:val="none"/>
        </w:rPr>
      </w:pPr>
      <w:bookmarkStart w:id="52" w:name="_Toc386129876"/>
      <w:bookmarkStart w:id="53" w:name="_Toc27940"/>
      <w:bookmarkStart w:id="54" w:name="_Toc385958808"/>
      <w:bookmarkStart w:id="55" w:name="_Toc28085"/>
      <w:r>
        <w:rPr>
          <w:rFonts w:hint="eastAsia" w:ascii="宋体" w:hAnsi="宋体" w:cs="宋体"/>
          <w:color w:val="auto"/>
          <w:szCs w:val="28"/>
          <w:highlight w:val="none"/>
        </w:rPr>
        <w:t>投标文件初审</w:t>
      </w:r>
      <w:bookmarkEnd w:id="52"/>
      <w:bookmarkEnd w:id="53"/>
      <w:bookmarkEnd w:id="54"/>
      <w:bookmarkEnd w:id="55"/>
    </w:p>
    <w:p>
      <w:pPr>
        <w:overflowPunct w:val="0"/>
        <w:adjustRightInd w:val="0"/>
        <w:snapToGrid w:val="0"/>
        <w:spacing w:line="500" w:lineRule="exact"/>
        <w:ind w:left="42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3.1 供应商的资格性审查</w:t>
      </w:r>
    </w:p>
    <w:p>
      <w:pPr>
        <w:overflowPunct w:val="0"/>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依据法律法规和招标文件的规定，由采购人或代理机构对供应商的资格证明文件进行审查，以确保供应商是否具备相应资格，资格审查内容详见供应商须知前附表。</w:t>
      </w:r>
    </w:p>
    <w:p>
      <w:pPr>
        <w:overflowPunct w:val="0"/>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 投标文件符合性审查</w:t>
      </w:r>
    </w:p>
    <w:p>
      <w:pPr>
        <w:pStyle w:val="15"/>
        <w:snapToGrid w:val="0"/>
        <w:spacing w:line="360" w:lineRule="auto"/>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评标委员会应当对符合资格的供应商的投标文件进行符合性审查，以确定其是否满足招标文件的实质性要求。符合性审查内容详见供应商须知前附表。</w:t>
      </w:r>
    </w:p>
    <w:p>
      <w:pPr>
        <w:overflowPunct w:val="0"/>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3.3有下列情形之一的，视为供应商串通投标，其投标无效：</w:t>
      </w:r>
    </w:p>
    <w:p>
      <w:pPr>
        <w:pStyle w:val="25"/>
        <w:spacing w:after="210" w:afterAutospacing="0" w:line="27" w:lineRule="atLeast"/>
        <w:jc w:val="both"/>
        <w:rPr>
          <w:color w:val="auto"/>
          <w:highlight w:val="none"/>
        </w:rPr>
      </w:pPr>
      <w:r>
        <w:rPr>
          <w:rFonts w:hint="eastAsia"/>
          <w:color w:val="auto"/>
          <w:highlight w:val="none"/>
        </w:rPr>
        <w:t>　　（一）不同供应商的投标文件由同一单位或者个人编制；</w:t>
      </w:r>
    </w:p>
    <w:p>
      <w:pPr>
        <w:pStyle w:val="25"/>
        <w:spacing w:after="210" w:afterAutospacing="0" w:line="27" w:lineRule="atLeast"/>
        <w:jc w:val="both"/>
        <w:rPr>
          <w:color w:val="auto"/>
          <w:highlight w:val="none"/>
        </w:rPr>
      </w:pPr>
      <w:r>
        <w:rPr>
          <w:rFonts w:hint="eastAsia"/>
          <w:color w:val="auto"/>
          <w:highlight w:val="none"/>
        </w:rPr>
        <w:t>　　（二）不同供应商委托同一单位或者个人办理投标事宜；</w:t>
      </w:r>
    </w:p>
    <w:p>
      <w:pPr>
        <w:pStyle w:val="25"/>
        <w:spacing w:after="210" w:afterAutospacing="0" w:line="27" w:lineRule="atLeast"/>
        <w:jc w:val="both"/>
        <w:rPr>
          <w:color w:val="auto"/>
          <w:highlight w:val="none"/>
        </w:rPr>
      </w:pPr>
      <w:r>
        <w:rPr>
          <w:rFonts w:hint="eastAsia"/>
          <w:color w:val="auto"/>
          <w:highlight w:val="none"/>
        </w:rPr>
        <w:t>　　（三）不同供应商的投标文件载明的项目管理成员或者联系人员为同一人；</w:t>
      </w:r>
    </w:p>
    <w:p>
      <w:pPr>
        <w:pStyle w:val="25"/>
        <w:spacing w:after="210" w:afterAutospacing="0" w:line="27" w:lineRule="atLeast"/>
        <w:jc w:val="both"/>
        <w:rPr>
          <w:color w:val="auto"/>
          <w:highlight w:val="none"/>
        </w:rPr>
      </w:pPr>
      <w:r>
        <w:rPr>
          <w:rFonts w:hint="eastAsia"/>
          <w:color w:val="auto"/>
          <w:highlight w:val="none"/>
        </w:rPr>
        <w:t>　　（四）不同供应商的投标文件异常一致或者投标报价呈规律性差异；</w:t>
      </w:r>
    </w:p>
    <w:p>
      <w:pPr>
        <w:pStyle w:val="25"/>
        <w:spacing w:after="210" w:afterAutospacing="0" w:line="27" w:lineRule="atLeast"/>
        <w:jc w:val="both"/>
        <w:rPr>
          <w:color w:val="auto"/>
          <w:highlight w:val="none"/>
        </w:rPr>
      </w:pPr>
      <w:r>
        <w:rPr>
          <w:rFonts w:hint="eastAsia"/>
          <w:color w:val="auto"/>
          <w:highlight w:val="none"/>
        </w:rPr>
        <w:t>　　（五）不同供应商的投标文件相互混装；</w:t>
      </w:r>
    </w:p>
    <w:p>
      <w:pPr>
        <w:overflowPunct w:val="0"/>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（六）不同供应商的投标保证金从同一单位或者个人的账户转出。</w:t>
      </w:r>
    </w:p>
    <w:p>
      <w:pPr>
        <w:tabs>
          <w:tab w:val="left" w:pos="0"/>
        </w:tabs>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3.4对通过审查的，被认为其投标文件完整、合格，投标有效，可进入下阶段的评标。</w:t>
      </w:r>
    </w:p>
    <w:p>
      <w:pPr>
        <w:pStyle w:val="5"/>
        <w:numPr>
          <w:ilvl w:val="0"/>
          <w:numId w:val="16"/>
        </w:numPr>
        <w:spacing w:line="500" w:lineRule="exact"/>
        <w:ind w:firstLine="562"/>
        <w:rPr>
          <w:rFonts w:ascii="宋体" w:hAnsi="宋体" w:cs="宋体"/>
          <w:color w:val="auto"/>
          <w:szCs w:val="28"/>
          <w:highlight w:val="none"/>
        </w:rPr>
      </w:pPr>
      <w:bookmarkStart w:id="56" w:name="_Toc17705"/>
      <w:r>
        <w:rPr>
          <w:rFonts w:hint="eastAsia" w:ascii="宋体" w:hAnsi="宋体" w:cs="宋体"/>
          <w:color w:val="auto"/>
          <w:szCs w:val="28"/>
          <w:highlight w:val="none"/>
        </w:rPr>
        <w:t>投标文件澄清</w:t>
      </w:r>
      <w:bookmarkEnd w:id="56"/>
    </w:p>
    <w:p>
      <w:pPr>
        <w:overflowPunct w:val="0"/>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 在评标期间,采购代理机构可根据评标委员会对其投标文件有疑义不清楚的内容，要求供应商对其投标文件进行澄清。</w:t>
      </w:r>
    </w:p>
    <w:p>
      <w:pPr>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4.2 供应商必须按照评标委员会通知的内容和时间作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4.3 评标委员会认为供应商的报价明显低于</w:t>
      </w:r>
      <w:r>
        <w:rPr>
          <w:rFonts w:hint="eastAsia" w:ascii="宋体" w:hAnsi="宋体" w:cs="宋体"/>
          <w:color w:val="auto"/>
          <w:sz w:val="24"/>
          <w:szCs w:val="24"/>
          <w:highlight w:val="none"/>
        </w:rPr>
        <w:t>其他通过符合性审查供应商的报价，有可能影响产品质量或者不能诚信履约的，将要求该供应商在评标现场合理的时间内提供书面说明，必要时提交相关证明材料；供应商不能证明其报价合理性的，评标委员会应当将其作为无效投标处理。</w:t>
      </w:r>
    </w:p>
    <w:p>
      <w:pPr>
        <w:pStyle w:val="5"/>
        <w:numPr>
          <w:ilvl w:val="0"/>
          <w:numId w:val="16"/>
        </w:numPr>
        <w:spacing w:line="500" w:lineRule="exact"/>
        <w:ind w:firstLine="562"/>
        <w:rPr>
          <w:rFonts w:ascii="宋体" w:hAnsi="宋体" w:cs="宋体"/>
          <w:color w:val="auto"/>
          <w:szCs w:val="28"/>
          <w:highlight w:val="none"/>
        </w:rPr>
      </w:pPr>
      <w:bookmarkStart w:id="57" w:name="_Toc8353"/>
      <w:r>
        <w:rPr>
          <w:rFonts w:hint="eastAsia" w:ascii="宋体" w:hAnsi="宋体" w:cs="宋体"/>
          <w:color w:val="auto"/>
          <w:szCs w:val="28"/>
          <w:highlight w:val="none"/>
        </w:rPr>
        <w:t>评标</w:t>
      </w:r>
      <w:bookmarkEnd w:id="57"/>
    </w:p>
    <w:p>
      <w:p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5.1评标委员会有权对在开标、评标过程中出现的一切问题，根据《中华人民共和国政府采购法》及实施条例和《政府采购货物和服务招标投标管理办法》的条款，本着公开、公平、公正的原则进行处理。</w:t>
      </w:r>
    </w:p>
    <w:p>
      <w:p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5.2采用综合评分法：采取逐项分步评审方式，每一步评审不符合者，不进入下一步评审，全部评审合格的供应商由评标委员会按照公开招标文件中第四部分评分标准规定的各项因素进行比较、自主打分、综合评审。评标委员会将评审得分汇总后，按评标总得分由高到低汇总排序，推荐1～3名中标候选人；若有两个或两个以上供应商得分相同，供应商名次按报价得分高低排序；得分且投标报价相同的，按技术指标优劣顺序排列，并填报评标报告。</w:t>
      </w:r>
    </w:p>
    <w:p>
      <w:p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根据《政府采购货物和服务招标投标管理办法》相关规定，单一产品采购项目提供相同品牌产品或非单一产品采购项目多家供应商提供的核心产品品牌完全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spacing w:line="500" w:lineRule="exact"/>
        <w:ind w:firstLine="480" w:firstLineChars="200"/>
        <w:jc w:val="left"/>
        <w:rPr>
          <w:rFonts w:ascii="宋体" w:hAnsi="宋体" w:cs="宋体"/>
          <w:color w:val="auto"/>
          <w:sz w:val="28"/>
          <w:szCs w:val="28"/>
          <w:highlight w:val="none"/>
        </w:rPr>
      </w:pPr>
      <w:r>
        <w:rPr>
          <w:rFonts w:hint="eastAsia" w:ascii="宋体" w:hAnsi="宋体" w:cs="宋体"/>
          <w:color w:val="auto"/>
          <w:sz w:val="24"/>
          <w:szCs w:val="24"/>
          <w:highlight w:val="none"/>
        </w:rPr>
        <w:t>5.3评标委员会只对实质上响应招标文件的投标进行评价和比较；评审应严格按照招标文件的要求和条件进行；具体评审原则和中标条件详见招标文件第四部分“评标办法”。</w:t>
      </w:r>
    </w:p>
    <w:p>
      <w:pPr>
        <w:pStyle w:val="5"/>
        <w:numPr>
          <w:ilvl w:val="0"/>
          <w:numId w:val="16"/>
        </w:numPr>
        <w:spacing w:line="500" w:lineRule="exact"/>
        <w:ind w:firstLine="562"/>
        <w:rPr>
          <w:rFonts w:ascii="宋体" w:hAnsi="宋体" w:cs="宋体"/>
          <w:color w:val="auto"/>
          <w:szCs w:val="28"/>
          <w:highlight w:val="none"/>
        </w:rPr>
      </w:pPr>
      <w:bookmarkStart w:id="58" w:name="_Toc12947"/>
      <w:r>
        <w:rPr>
          <w:rFonts w:hint="eastAsia" w:ascii="宋体" w:hAnsi="宋体" w:cs="宋体"/>
          <w:color w:val="auto"/>
          <w:szCs w:val="28"/>
          <w:highlight w:val="none"/>
        </w:rPr>
        <w:t>定标</w:t>
      </w:r>
      <w:bookmarkEnd w:id="58"/>
    </w:p>
    <w:p>
      <w:p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6.1代理机构在评标结束后1个工作日内将评标报告送达采购单位，采购单位在收到评标报告后4个工作日内，按照评标报告中推荐的中标候选人顺序确认第一中标候选人为中标单位，同时书面复函代理机构；</w:t>
      </w:r>
    </w:p>
    <w:p>
      <w:pPr>
        <w:spacing w:line="5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6.2代理机构收到采购单位“定标复函”后1个工作日内，在财政部门指定的政府采购信息媒体上发布公告，并向中标人发出“中标通知书”。</w:t>
      </w:r>
    </w:p>
    <w:p>
      <w:pPr>
        <w:widowControl/>
        <w:spacing w:before="159" w:beforeLines="50" w:after="159" w:afterLines="50" w:line="500" w:lineRule="exact"/>
        <w:jc w:val="center"/>
        <w:outlineLvl w:val="1"/>
        <w:rPr>
          <w:rFonts w:ascii="宋体" w:hAnsi="宋体" w:cs="宋体"/>
          <w:b/>
          <w:bCs/>
          <w:color w:val="auto"/>
          <w:kern w:val="0"/>
          <w:sz w:val="32"/>
          <w:szCs w:val="28"/>
          <w:highlight w:val="none"/>
        </w:rPr>
      </w:pPr>
      <w:bookmarkStart w:id="59" w:name="_Toc19972"/>
      <w:bookmarkStart w:id="60" w:name="_Toc25308"/>
      <w:bookmarkStart w:id="61" w:name="_Toc19679"/>
      <w:r>
        <w:rPr>
          <w:rFonts w:hint="eastAsia" w:ascii="宋体" w:hAnsi="宋体" w:cs="宋体"/>
          <w:b/>
          <w:bCs/>
          <w:color w:val="auto"/>
          <w:kern w:val="0"/>
          <w:sz w:val="32"/>
          <w:szCs w:val="28"/>
          <w:highlight w:val="none"/>
        </w:rPr>
        <w:t>六、签订合同</w:t>
      </w:r>
      <w:bookmarkEnd w:id="59"/>
      <w:bookmarkEnd w:id="60"/>
      <w:bookmarkEnd w:id="61"/>
    </w:p>
    <w:p>
      <w:pPr>
        <w:pStyle w:val="9"/>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采购人与中标、成交供应商应当在中标、成交通知书发出之日起三十日内，按照采购文件确定的事项签订政府采购合同。</w:t>
      </w:r>
    </w:p>
    <w:p>
      <w:pPr>
        <w:widowControl/>
        <w:spacing w:before="159" w:beforeLines="50" w:after="159" w:afterLines="50" w:line="500" w:lineRule="exact"/>
        <w:jc w:val="center"/>
        <w:outlineLvl w:val="1"/>
        <w:rPr>
          <w:rFonts w:ascii="宋体" w:hAnsi="宋体" w:cs="宋体"/>
          <w:b/>
          <w:bCs/>
          <w:color w:val="auto"/>
          <w:kern w:val="0"/>
          <w:sz w:val="32"/>
          <w:szCs w:val="28"/>
          <w:highlight w:val="none"/>
        </w:rPr>
      </w:pPr>
      <w:bookmarkStart w:id="62" w:name="_Toc16775"/>
      <w:r>
        <w:rPr>
          <w:rFonts w:hint="eastAsia" w:ascii="宋体" w:hAnsi="宋体" w:cs="宋体"/>
          <w:b/>
          <w:bCs/>
          <w:color w:val="auto"/>
          <w:kern w:val="0"/>
          <w:sz w:val="32"/>
          <w:szCs w:val="28"/>
          <w:highlight w:val="none"/>
        </w:rPr>
        <w:t>七、质疑和投诉</w:t>
      </w:r>
      <w:bookmarkEnd w:id="62"/>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质疑或投诉的接收和处理应当按照《中华人民共和国政府采购法》及其实施条例、《政府采购质疑和投诉办法》、《财政部关于加强政府采购供应商投诉受理审查工作的通知》等的相关规定办理。</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1）对采购文件提出质疑的，为收到采购文件之日或者采购文件公告期限届满之日；</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2）对采购过程提出质疑的，为各采购程序环节结束之日；</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3）对中标或者成交结果提出质疑的，为中标或者成交结果公告期限届满之日。</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2、供应商应当在法定质疑期内一次性提出针对同一采购程序环节的质疑。</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、质疑函应当包括下列主要内容：</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1）供应商的姓名或者名称、地址、邮编、联系人及联系电话；</w:t>
      </w:r>
    </w:p>
    <w:p>
      <w:pPr>
        <w:widowControl/>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  2）质疑项目的名称、编号；</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3）具体、明确的质疑事项和与质疑事项相关的请求；</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4）事实依据；</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5）必要的法律依据；</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6）提出质疑的日期。</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代理人提出质疑和投诉，应当提交供应商签署的授权委托书。</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6、 质疑函接收方式：由自然人本人或法定代表人或者其授权代表携带书面原件及身份证明原件到现场递交，否则不予受理 。 </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7、质疑受理部门：陕西卓佲项目管理有限公司。</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质疑受理电话：029-88440695。</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8、提交质疑函地点：西安市雁塔区科技路10号华奥大厦A座20层2002室。</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9、本次采购活动中，采购代理机构对质疑函回复的书面文件的送达方式为现场取件。</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如所质疑的问题比较复杂，采购人或者采购代理机构在规定的答复时间内无法回复，应事先告知提出质疑的供应商，同时向同级政府采购监督管理部门报告。</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10、质疑供应商对采购人、采购代理机构的答复不满意，或者采购人、采购代理机构未在规定的时间内作出答复的，可以在答复期满后15个工作日内向采购人的同级政府采购监督管理部门投诉。</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11、质疑函应当使用中文。质疑函范本详见财政部制定的范本即招标文件附件六。</w:t>
      </w:r>
    </w:p>
    <w:p>
      <w:pPr>
        <w:rPr>
          <w:rFonts w:ascii="宋体" w:hAnsi="宋体" w:cs="宋体"/>
          <w:color w:val="auto"/>
          <w:highlight w:val="none"/>
        </w:rPr>
      </w:pPr>
    </w:p>
    <w:p>
      <w:pPr>
        <w:pStyle w:val="3"/>
        <w:pageBreakBefore/>
        <w:numPr>
          <w:ilvl w:val="0"/>
          <w:numId w:val="18"/>
        </w:numPr>
        <w:spacing w:before="319" w:beforeLines="100" w:after="319" w:afterLines="100" w:line="500" w:lineRule="exact"/>
        <w:rPr>
          <w:rFonts w:ascii="宋体" w:hAnsi="宋体" w:cs="宋体"/>
          <w:color w:val="auto"/>
          <w:sz w:val="36"/>
          <w:szCs w:val="36"/>
          <w:highlight w:val="none"/>
        </w:rPr>
      </w:pPr>
      <w:bookmarkStart w:id="63" w:name="_Toc3298"/>
      <w:bookmarkEnd w:id="63"/>
      <w:r>
        <w:rPr>
          <w:rFonts w:hint="eastAsia" w:ascii="宋体" w:hAnsi="宋体" w:cs="宋体"/>
          <w:color w:val="auto"/>
          <w:sz w:val="36"/>
          <w:szCs w:val="36"/>
          <w:highlight w:val="none"/>
        </w:rPr>
        <w:t xml:space="preserve">  </w:t>
      </w:r>
      <w:bookmarkStart w:id="64" w:name="_Toc1684"/>
      <w:r>
        <w:rPr>
          <w:rFonts w:hint="eastAsia" w:ascii="宋体" w:hAnsi="宋体" w:cs="宋体"/>
          <w:color w:val="auto"/>
          <w:sz w:val="36"/>
          <w:szCs w:val="36"/>
          <w:highlight w:val="none"/>
        </w:rPr>
        <w:t>评标方法</w:t>
      </w:r>
      <w:bookmarkEnd w:id="64"/>
    </w:p>
    <w:tbl>
      <w:tblPr>
        <w:tblStyle w:val="30"/>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709"/>
        <w:gridCol w:w="4565"/>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34"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评分因素</w:t>
            </w:r>
          </w:p>
        </w:tc>
        <w:tc>
          <w:tcPr>
            <w:tcW w:w="709"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分值</w:t>
            </w:r>
          </w:p>
        </w:tc>
        <w:tc>
          <w:tcPr>
            <w:tcW w:w="4565"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评分标准</w:t>
            </w:r>
          </w:p>
        </w:tc>
        <w:tc>
          <w:tcPr>
            <w:tcW w:w="1588"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675"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134"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报价</w:t>
            </w:r>
          </w:p>
        </w:tc>
        <w:tc>
          <w:tcPr>
            <w:tcW w:w="709"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4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供应商的价格分值统一按下列公式计算：投标报价得分＝（评标基准价/投标报价）×30。评标基准价是指满足招标文件要求且投标价格最低的投标报价。</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1588"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政策性优惠详见评审标准备注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75"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134"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技术指标和配置</w:t>
            </w:r>
          </w:p>
        </w:tc>
        <w:tc>
          <w:tcPr>
            <w:tcW w:w="709" w:type="dxa"/>
            <w:vMerge w:val="restart"/>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4565" w:type="dxa"/>
            <w:vMerge w:val="restart"/>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投标人提供所投产品的主要的技术指标（参数）的相应的证明材料（包括但不限于产品检测报告、官网和功能截图等技术支持性文件（资料），并经评审专家审定方可得分。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完全符合、响应招标文件要求，没有负偏离的计2</w:t>
            </w:r>
            <w:r>
              <w:rPr>
                <w:rFonts w:ascii="宋体" w:hAnsi="宋体" w:cs="宋体"/>
                <w:color w:val="auto"/>
                <w:kern w:val="0"/>
                <w:szCs w:val="21"/>
                <w:highlight w:val="none"/>
              </w:rPr>
              <w:t>5</w:t>
            </w:r>
            <w:r>
              <w:rPr>
                <w:rFonts w:hint="eastAsia" w:ascii="宋体" w:hAnsi="宋体" w:cs="宋体"/>
                <w:color w:val="auto"/>
                <w:kern w:val="0"/>
                <w:szCs w:val="21"/>
                <w:highlight w:val="none"/>
              </w:rPr>
              <w:t>分；“▲”号项参数负偏离一项扣2分，非“▲”号项参数负偏离一项扣1分，扣完为止。</w:t>
            </w:r>
          </w:p>
        </w:tc>
        <w:tc>
          <w:tcPr>
            <w:tcW w:w="1588" w:type="dxa"/>
            <w:vMerge w:val="restart"/>
            <w:vAlign w:val="center"/>
          </w:tcPr>
          <w:p>
            <w:pPr>
              <w:widowControl/>
              <w:jc w:val="left"/>
              <w:rPr>
                <w:rFonts w:ascii="宋体" w:hAnsi="宋体" w:cs="宋体"/>
                <w:color w:val="auto"/>
                <w:kern w:val="0"/>
                <w:szCs w:val="21"/>
                <w:highlight w:val="none"/>
              </w:rPr>
            </w:pPr>
            <w:r>
              <w:rPr>
                <w:rFonts w:hint="eastAsia" w:ascii="宋体" w:hAnsi="宋体" w:cs="宋体"/>
                <w:color w:val="auto"/>
                <w:szCs w:val="21"/>
                <w:highlight w:val="none"/>
              </w:rPr>
              <w:t>“▲”项需提供相应的证明材料（包括不限于检测报告、官网截图、软件著作权登记证书等），未提供视为负偏离。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75" w:type="dxa"/>
            <w:vMerge w:val="continue"/>
            <w:vAlign w:val="center"/>
          </w:tcPr>
          <w:p>
            <w:pPr>
              <w:widowControl/>
              <w:jc w:val="center"/>
              <w:rPr>
                <w:rFonts w:ascii="宋体" w:hAnsi="宋体" w:cs="宋体"/>
                <w:color w:val="auto"/>
                <w:kern w:val="0"/>
                <w:szCs w:val="21"/>
                <w:highlight w:val="none"/>
              </w:rPr>
            </w:pPr>
          </w:p>
        </w:tc>
        <w:tc>
          <w:tcPr>
            <w:tcW w:w="1134" w:type="dxa"/>
            <w:vMerge w:val="continue"/>
            <w:vAlign w:val="center"/>
          </w:tcPr>
          <w:p>
            <w:pPr>
              <w:widowControl/>
              <w:jc w:val="center"/>
              <w:rPr>
                <w:rFonts w:ascii="宋体" w:hAnsi="宋体" w:cs="宋体"/>
                <w:color w:val="auto"/>
                <w:kern w:val="0"/>
                <w:szCs w:val="21"/>
                <w:highlight w:val="none"/>
              </w:rPr>
            </w:pPr>
          </w:p>
        </w:tc>
        <w:tc>
          <w:tcPr>
            <w:tcW w:w="709" w:type="dxa"/>
            <w:vMerge w:val="continue"/>
            <w:vAlign w:val="center"/>
          </w:tcPr>
          <w:p>
            <w:pPr>
              <w:widowControl/>
              <w:jc w:val="center"/>
              <w:rPr>
                <w:rFonts w:ascii="宋体" w:hAnsi="宋体" w:cs="宋体"/>
                <w:color w:val="auto"/>
                <w:kern w:val="0"/>
                <w:szCs w:val="21"/>
                <w:highlight w:val="none"/>
              </w:rPr>
            </w:pPr>
          </w:p>
        </w:tc>
        <w:tc>
          <w:tcPr>
            <w:tcW w:w="4565" w:type="dxa"/>
            <w:vMerge w:val="continue"/>
            <w:vAlign w:val="center"/>
          </w:tcPr>
          <w:p>
            <w:pPr>
              <w:widowControl/>
              <w:jc w:val="left"/>
              <w:rPr>
                <w:rFonts w:ascii="宋体" w:hAnsi="宋体" w:cs="宋体"/>
                <w:color w:val="auto"/>
                <w:kern w:val="0"/>
                <w:szCs w:val="21"/>
                <w:highlight w:val="none"/>
              </w:rPr>
            </w:pPr>
          </w:p>
        </w:tc>
        <w:tc>
          <w:tcPr>
            <w:tcW w:w="1588" w:type="dxa"/>
            <w:vMerge w:val="continue"/>
            <w:vAlign w:val="center"/>
          </w:tcPr>
          <w:p>
            <w:pPr>
              <w:widowControl/>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75"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134"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质量保证</w:t>
            </w:r>
          </w:p>
        </w:tc>
        <w:tc>
          <w:tcPr>
            <w:tcW w:w="709"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4565" w:type="dxa"/>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供应商所提供产品及配件货源渠道合法，提供投标产品云平台资源管理系统、教学视频资源平台主机、高清录播主机、录播软件系统、云管理服务器、学生终端、学生机虚拟化软件授权、智慧黑板、教师备授课系统、OPS电脑提供来源渠道合法的证明文件（包括但不限于销售协议、代理协议、原厂授权等）每提供一个得0.5分，最高得5分。</w:t>
            </w:r>
          </w:p>
        </w:tc>
        <w:tc>
          <w:tcPr>
            <w:tcW w:w="1588" w:type="dxa"/>
            <w:vAlign w:val="center"/>
          </w:tcPr>
          <w:p>
            <w:pPr>
              <w:widowControl/>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75"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134"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技术方案</w:t>
            </w:r>
          </w:p>
        </w:tc>
        <w:tc>
          <w:tcPr>
            <w:tcW w:w="709" w:type="dxa"/>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4565"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根据供应商提供的技术方案包含产品选型合理性、模块功能完善性、产品的兼容性及可扩展性、产品设计规范的先进性</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产品性能的安全可靠性、技术方案的可行性，有学校应用场景，符合当前教育信息化发展方向，方案制定内容齐全，各类措施健全，完全满足采购需求并符合本项目实施特点的</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分；以上方面中每缺少一方面内容扣1分；每有一处内容与实际需求不符或不满足要求或与本项目需求不匹配或直接套用其他项目内容的扣1分，扣完为止。</w:t>
            </w:r>
          </w:p>
        </w:tc>
        <w:tc>
          <w:tcPr>
            <w:tcW w:w="1588" w:type="dxa"/>
            <w:vAlign w:val="center"/>
          </w:tcPr>
          <w:p>
            <w:pPr>
              <w:widowControl/>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675"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134"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现场演示</w:t>
            </w:r>
          </w:p>
        </w:tc>
        <w:tc>
          <w:tcPr>
            <w:tcW w:w="709"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4565" w:type="dxa"/>
            <w:vAlign w:val="center"/>
          </w:tcPr>
          <w:p>
            <w:pP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rPr>
              <w:t>供应商现场提供视频演示，</w:t>
            </w:r>
            <w:r>
              <w:rPr>
                <w:rFonts w:hint="eastAsia" w:ascii="宋体" w:hAnsi="宋体" w:cs="宋体"/>
                <w:color w:val="auto"/>
                <w:kern w:val="0"/>
                <w:szCs w:val="21"/>
                <w:highlight w:val="none"/>
                <w:lang w:val="zh-CN"/>
              </w:rPr>
              <w:t>演示时间不得超过10分钟，演示项完全满足相应技术参数的得该项后相应分数，不演示或演示不成功不计分，最高计</w:t>
            </w:r>
            <w:r>
              <w:rPr>
                <w:rFonts w:hint="eastAsia" w:ascii="宋体" w:hAnsi="宋体" w:cs="宋体"/>
                <w:color w:val="auto"/>
                <w:kern w:val="0"/>
                <w:szCs w:val="21"/>
                <w:highlight w:val="none"/>
              </w:rPr>
              <w:t>1</w:t>
            </w:r>
            <w:r>
              <w:rPr>
                <w:rFonts w:ascii="宋体" w:hAnsi="宋体" w:cs="宋体"/>
                <w:color w:val="auto"/>
                <w:kern w:val="0"/>
                <w:szCs w:val="21"/>
                <w:highlight w:val="none"/>
              </w:rPr>
              <w:t>6</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p>
          <w:p>
            <w:pPr>
              <w:rPr>
                <w:rFonts w:ascii="宋体" w:hAnsi="宋体" w:cs="宋体"/>
                <w:b/>
                <w:bCs/>
                <w:kern w:val="0"/>
                <w:szCs w:val="21"/>
                <w:lang w:val="zh-CN"/>
              </w:rPr>
            </w:pPr>
            <w:r>
              <w:rPr>
                <w:rFonts w:hint="eastAsia" w:ascii="宋体" w:hAnsi="宋体" w:cs="宋体"/>
                <w:b/>
                <w:bCs/>
                <w:kern w:val="0"/>
                <w:szCs w:val="21"/>
              </w:rPr>
              <w:t>云平台资源管理系统：</w:t>
            </w:r>
          </w:p>
          <w:p>
            <w:pPr>
              <w:rPr>
                <w:rFonts w:ascii="宋体" w:hAnsi="宋体" w:cs="宋体"/>
                <w:color w:val="auto"/>
                <w:kern w:val="0"/>
                <w:szCs w:val="21"/>
              </w:rPr>
            </w:pPr>
            <w:r>
              <w:rPr>
                <w:rFonts w:hint="eastAsia" w:ascii="宋体" w:hAnsi="宋体" w:cs="宋体"/>
                <w:color w:val="auto"/>
                <w:kern w:val="0"/>
                <w:szCs w:val="21"/>
              </w:rPr>
              <w:t>1、提供专业微课录制软件，支持直接从平台下载微课录制软件并安装于笔记本电脑中。微课视频录制完毕后支持一键上传到平台，或下载到本地电脑保存。（</w:t>
            </w:r>
            <w:r>
              <w:rPr>
                <w:rFonts w:ascii="宋体" w:hAnsi="宋体" w:cs="宋体"/>
                <w:color w:val="auto"/>
                <w:kern w:val="0"/>
                <w:szCs w:val="21"/>
              </w:rPr>
              <w:t>2</w:t>
            </w:r>
            <w:r>
              <w:rPr>
                <w:rFonts w:hint="eastAsia" w:ascii="宋体" w:hAnsi="宋体" w:cs="宋体"/>
                <w:color w:val="auto"/>
                <w:kern w:val="0"/>
                <w:szCs w:val="21"/>
              </w:rPr>
              <w:t>分）</w:t>
            </w:r>
          </w:p>
          <w:p>
            <w:pPr>
              <w:rPr>
                <w:rFonts w:ascii="宋体" w:hAnsi="宋体" w:cs="宋体"/>
                <w:color w:val="auto"/>
                <w:kern w:val="0"/>
                <w:szCs w:val="21"/>
              </w:rPr>
            </w:pPr>
            <w:r>
              <w:rPr>
                <w:rFonts w:hint="eastAsia" w:ascii="宋体" w:hAnsi="宋体" w:cs="宋体"/>
                <w:color w:val="auto"/>
                <w:kern w:val="0"/>
                <w:szCs w:val="21"/>
              </w:rPr>
              <w:t>2、微课录制软件需满足包括教师头像、实物展台、课件PPT在内的三路视频源切换及组合布局录制，支持课件与老师画中画模式。投标现场提供视频文件演示。（</w:t>
            </w:r>
            <w:r>
              <w:rPr>
                <w:rFonts w:ascii="宋体" w:hAnsi="宋体" w:cs="宋体"/>
                <w:color w:val="auto"/>
                <w:kern w:val="0"/>
                <w:szCs w:val="21"/>
              </w:rPr>
              <w:t>2</w:t>
            </w:r>
            <w:r>
              <w:rPr>
                <w:rFonts w:hint="eastAsia" w:ascii="宋体" w:hAnsi="宋体" w:cs="宋体"/>
                <w:color w:val="auto"/>
                <w:kern w:val="0"/>
                <w:szCs w:val="21"/>
              </w:rPr>
              <w:t>分）</w:t>
            </w:r>
          </w:p>
          <w:p>
            <w:pPr>
              <w:widowControl/>
              <w:jc w:val="left"/>
              <w:rPr>
                <w:rFonts w:ascii="宋体" w:hAnsi="宋体" w:cs="宋体"/>
                <w:b/>
                <w:bCs/>
                <w:color w:val="auto"/>
                <w:kern w:val="0"/>
                <w:szCs w:val="21"/>
              </w:rPr>
            </w:pPr>
            <w:r>
              <w:rPr>
                <w:rFonts w:hint="eastAsia" w:ascii="宋体" w:hAnsi="宋体" w:cs="宋体"/>
                <w:b/>
                <w:bCs/>
                <w:color w:val="auto"/>
                <w:kern w:val="0"/>
                <w:szCs w:val="21"/>
              </w:rPr>
              <w:t>录播软件系统：</w:t>
            </w:r>
          </w:p>
          <w:p>
            <w:pPr>
              <w:rPr>
                <w:rFonts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互动通讯录管理：支持查询互动云系统的通讯录数据，查询内容包括所有已在互动云系统注册的录播账号、录播昵称。支持分级筛选查询互动录播设备。支持“关键字”检索功能，通过录播账号、昵称快速查找到互动录播设备。（1分）</w:t>
            </w:r>
          </w:p>
          <w:p>
            <w:pPr>
              <w:rPr>
                <w:rFonts w:ascii="宋体" w:hAnsi="宋体" w:cs="宋体"/>
                <w:color w:val="auto"/>
                <w:kern w:val="0"/>
                <w:szCs w:val="21"/>
                <w:lang w:val="zh-CN"/>
              </w:rPr>
            </w:pPr>
            <w:r>
              <w:rPr>
                <w:rFonts w:hint="eastAsia" w:ascii="宋体" w:hAnsi="宋体" w:cs="宋体"/>
                <w:color w:val="auto"/>
                <w:kern w:val="0"/>
                <w:szCs w:val="21"/>
              </w:rPr>
              <w:t>2、为保证良好的互动画面，录播主机应具备双流互动功能,双向互动时,互动双方具备将教学场景及教学资源画面以两路独立HDMI信号分别同时环出显示。（</w:t>
            </w:r>
            <w:r>
              <w:rPr>
                <w:rFonts w:ascii="宋体" w:hAnsi="宋体" w:cs="宋体"/>
                <w:color w:val="auto"/>
                <w:kern w:val="0"/>
                <w:szCs w:val="21"/>
              </w:rPr>
              <w:t>1</w:t>
            </w:r>
            <w:r>
              <w:rPr>
                <w:rFonts w:hint="eastAsia" w:ascii="宋体" w:hAnsi="宋体" w:cs="宋体"/>
                <w:color w:val="auto"/>
                <w:kern w:val="0"/>
                <w:szCs w:val="21"/>
              </w:rPr>
              <w:t>分）</w:t>
            </w:r>
          </w:p>
          <w:p>
            <w:pPr>
              <w:rPr>
                <w:rFonts w:ascii="宋体" w:hAnsi="宋体" w:cs="宋体"/>
                <w:b/>
                <w:bCs/>
                <w:color w:val="auto"/>
                <w:kern w:val="0"/>
                <w:szCs w:val="21"/>
              </w:rPr>
            </w:pPr>
            <w:r>
              <w:rPr>
                <w:rFonts w:hint="eastAsia" w:ascii="宋体" w:hAnsi="宋体" w:cs="宋体"/>
                <w:b/>
                <w:bCs/>
                <w:color w:val="auto"/>
                <w:kern w:val="0"/>
                <w:szCs w:val="21"/>
              </w:rPr>
              <w:t>学生机虚拟化软件授权：</w:t>
            </w:r>
          </w:p>
          <w:p>
            <w:pPr>
              <w:rPr>
                <w:rFonts w:ascii="宋体" w:hAnsi="宋体" w:cs="宋体"/>
                <w:color w:val="auto"/>
                <w:kern w:val="0"/>
                <w:szCs w:val="21"/>
                <w:lang w:val="zh-CN"/>
              </w:rPr>
            </w:pPr>
            <w:r>
              <w:rPr>
                <w:rFonts w:ascii="宋体" w:hAnsi="宋体"/>
                <w:color w:val="auto"/>
                <w:szCs w:val="21"/>
              </w:rPr>
              <w:t>1</w:t>
            </w:r>
            <w:r>
              <w:rPr>
                <w:rFonts w:hint="eastAsia" w:ascii="宋体" w:hAnsi="宋体"/>
                <w:color w:val="auto"/>
                <w:szCs w:val="21"/>
              </w:rPr>
              <w:t>、在Web界面中可以实时监控云终端和服务器的运行状态。包括云终端的离线/在线数量，桌面离线/在线数量以及服务器的CPU使用率，内存使用率，网络流量，存储使用率等运行状态信息，管理员可以查看终端3-10天活跃度；（1分）</w:t>
            </w:r>
          </w:p>
          <w:p>
            <w:pPr>
              <w:rPr>
                <w:rFonts w:ascii="宋体" w:hAnsi="宋体" w:cs="宋体"/>
                <w:color w:val="auto"/>
                <w:kern w:val="0"/>
                <w:szCs w:val="21"/>
                <w:lang w:val="zh-CN"/>
              </w:rPr>
            </w:pPr>
            <w:r>
              <w:rPr>
                <w:rFonts w:ascii="宋体" w:hAnsi="宋体"/>
                <w:color w:val="auto"/>
                <w:szCs w:val="21"/>
              </w:rPr>
              <w:t>2</w:t>
            </w:r>
            <w:r>
              <w:rPr>
                <w:rFonts w:hint="eastAsia" w:ascii="宋体" w:hAnsi="宋体"/>
                <w:color w:val="auto"/>
                <w:szCs w:val="21"/>
              </w:rPr>
              <w:t>、系统支持带外远程协助和带内远程协助，即平台既能够在虚拟化层进行远程协助，也能够在操作系统层进行远程协助；（</w:t>
            </w:r>
            <w:r>
              <w:rPr>
                <w:rFonts w:ascii="宋体" w:hAnsi="宋体"/>
                <w:color w:val="auto"/>
                <w:szCs w:val="21"/>
              </w:rPr>
              <w:t>1</w:t>
            </w:r>
            <w:r>
              <w:rPr>
                <w:rFonts w:hint="eastAsia" w:ascii="宋体" w:hAnsi="宋体"/>
                <w:color w:val="auto"/>
                <w:szCs w:val="21"/>
              </w:rPr>
              <w:t>分）</w:t>
            </w:r>
          </w:p>
          <w:p>
            <w:pPr>
              <w:rPr>
                <w:rFonts w:ascii="宋体" w:hAnsi="宋体"/>
                <w:color w:val="auto"/>
                <w:szCs w:val="21"/>
              </w:rPr>
            </w:pPr>
            <w:r>
              <w:rPr>
                <w:rFonts w:ascii="宋体" w:hAnsi="宋体"/>
                <w:color w:val="auto"/>
                <w:szCs w:val="21"/>
              </w:rPr>
              <w:t>3</w:t>
            </w:r>
            <w:r>
              <w:rPr>
                <w:rFonts w:hint="eastAsia" w:ascii="宋体" w:hAnsi="宋体"/>
                <w:color w:val="auto"/>
                <w:szCs w:val="21"/>
              </w:rPr>
              <w:t>、支持群组功能，管理员可以对管控的客户端通过分组进行操作，并且可以针对不同的群组指定不同的安全管控策略；（1分）</w:t>
            </w:r>
          </w:p>
          <w:p>
            <w:pPr>
              <w:pStyle w:val="2"/>
              <w:rPr>
                <w:color w:val="auto"/>
                <w:sz w:val="21"/>
                <w:szCs w:val="21"/>
              </w:rPr>
            </w:pPr>
            <w:r>
              <w:rPr>
                <w:rFonts w:ascii="宋体" w:hAnsi="宋体"/>
                <w:color w:val="auto"/>
                <w:sz w:val="21"/>
                <w:szCs w:val="21"/>
              </w:rPr>
              <w:t>4</w:t>
            </w:r>
            <w:r>
              <w:rPr>
                <w:rFonts w:hint="eastAsia" w:ascii="宋体" w:hAnsi="宋体"/>
                <w:color w:val="auto"/>
                <w:sz w:val="21"/>
                <w:szCs w:val="21"/>
              </w:rPr>
              <w:t>、提供多种安全管控策略，包括进行黑名单，禁止使用一些非标或者影响安全的软件，提供安全网关重定向功能，可以在服务器端为每个流桌面配置安全网关地址，可以用来限制用户上internet或者局域网，可以对USB存储，外置光驱，内置光驱，USB打印机，USB摄像头，串口，网口等接入设备控制进行管控，可以通过屏幕截图和用户上网记录对用户的行为进行审计，当终端离线后，管控策略也能生效。</w:t>
            </w:r>
            <w:r>
              <w:rPr>
                <w:rFonts w:hint="eastAsia"/>
                <w:color w:val="auto"/>
                <w:sz w:val="21"/>
                <w:szCs w:val="21"/>
              </w:rPr>
              <w:t xml:space="preserve"> （1分）</w:t>
            </w:r>
          </w:p>
          <w:p>
            <w:pPr>
              <w:rPr>
                <w:rFonts w:ascii="宋体" w:hAnsi="宋体" w:cs="宋体"/>
                <w:b/>
                <w:bCs/>
                <w:color w:val="auto"/>
                <w:kern w:val="0"/>
                <w:szCs w:val="21"/>
                <w:lang w:val="zh-CN"/>
              </w:rPr>
            </w:pPr>
            <w:r>
              <w:rPr>
                <w:rFonts w:hint="eastAsia" w:ascii="宋体" w:hAnsi="宋体" w:cs="宋体"/>
                <w:b/>
                <w:bCs/>
                <w:color w:val="auto"/>
                <w:kern w:val="0"/>
                <w:szCs w:val="21"/>
                <w:lang w:val="zh-CN"/>
              </w:rPr>
              <w:t>智慧黑板：</w:t>
            </w:r>
          </w:p>
          <w:p>
            <w:pPr>
              <w:widowControl/>
              <w:jc w:val="left"/>
              <w:rPr>
                <w:rFonts w:ascii="宋体" w:hAnsi="宋体" w:cs="宋体"/>
                <w:color w:val="auto"/>
                <w:kern w:val="0"/>
                <w:szCs w:val="21"/>
              </w:rPr>
            </w:pPr>
            <w:r>
              <w:rPr>
                <w:rFonts w:hint="eastAsia" w:ascii="宋体" w:hAnsi="宋体" w:cs="宋体"/>
                <w:color w:val="auto"/>
                <w:kern w:val="0"/>
                <w:szCs w:val="21"/>
              </w:rPr>
              <w:t>1、支持半屏模式，将Windows显示画面上半部分下拉到显示屏的下半部分显示，此时依然可以正常触控操作Windows系统，有效规避整机安装高度较高时Windows显示画面顶部难以操作到的问题，提高教学效率；点击非Windows显示画面区域，即可退出该模式，无需其他设置。（1分）</w:t>
            </w:r>
          </w:p>
          <w:p>
            <w:pPr>
              <w:widowControl/>
              <w:jc w:val="left"/>
              <w:rPr>
                <w:rFonts w:ascii="宋体" w:hAnsi="宋体" w:cs="宋体"/>
                <w:color w:val="auto"/>
                <w:kern w:val="0"/>
                <w:szCs w:val="21"/>
              </w:rPr>
            </w:pPr>
            <w:r>
              <w:rPr>
                <w:rFonts w:hint="eastAsia" w:ascii="宋体" w:hAnsi="宋体" w:cs="宋体"/>
                <w:color w:val="auto"/>
                <w:kern w:val="0"/>
                <w:szCs w:val="21"/>
              </w:rPr>
              <w:t>2、具备智能手势识别功能，在任意信号源通道下可识别五指上、下、左、右方向手势滑动并调用响应功能，支持将各手势滑动方向自定义设置为无操作、熄屏、批注、桌面、半屏模式。（</w:t>
            </w:r>
            <w:r>
              <w:rPr>
                <w:rFonts w:ascii="宋体" w:hAnsi="宋体" w:cs="宋体"/>
                <w:color w:val="auto"/>
                <w:kern w:val="0"/>
                <w:szCs w:val="21"/>
              </w:rPr>
              <w:t>1</w:t>
            </w:r>
            <w:r>
              <w:rPr>
                <w:rFonts w:hint="eastAsia" w:ascii="宋体" w:hAnsi="宋体" w:cs="宋体"/>
                <w:color w:val="auto"/>
                <w:kern w:val="0"/>
                <w:szCs w:val="21"/>
              </w:rPr>
              <w:t>分）</w:t>
            </w:r>
          </w:p>
          <w:p>
            <w:pPr>
              <w:widowControl/>
              <w:jc w:val="left"/>
              <w:rPr>
                <w:rFonts w:ascii="宋体" w:hAnsi="宋体" w:cs="宋体"/>
                <w:b/>
                <w:bCs/>
                <w:color w:val="auto"/>
                <w:kern w:val="0"/>
                <w:szCs w:val="21"/>
              </w:rPr>
            </w:pPr>
            <w:r>
              <w:rPr>
                <w:rFonts w:hint="eastAsia" w:ascii="宋体" w:hAnsi="宋体" w:cs="宋体"/>
                <w:b/>
                <w:bCs/>
                <w:color w:val="auto"/>
                <w:szCs w:val="21"/>
              </w:rPr>
              <w:t>教师备授课系统：</w:t>
            </w:r>
          </w:p>
          <w:p>
            <w:pPr>
              <w:widowControl/>
              <w:jc w:val="left"/>
              <w:rPr>
                <w:rFonts w:ascii="宋体" w:hAnsi="宋体" w:cs="宋体"/>
                <w:color w:val="auto"/>
                <w:kern w:val="0"/>
                <w:szCs w:val="21"/>
              </w:rPr>
            </w:pPr>
            <w:r>
              <w:rPr>
                <w:rFonts w:hint="eastAsia" w:ascii="宋体" w:hAnsi="宋体" w:cs="宋体"/>
                <w:color w:val="auto"/>
                <w:kern w:val="0"/>
                <w:szCs w:val="21"/>
              </w:rPr>
              <w:t>1. 提供在线云课堂功能，无需额外安装部署直播软件，可实现语音直播、课件同步、互动工具等远程教学功能。（</w:t>
            </w:r>
            <w:r>
              <w:rPr>
                <w:rFonts w:ascii="宋体" w:hAnsi="宋体" w:cs="宋体"/>
                <w:color w:val="auto"/>
                <w:kern w:val="0"/>
                <w:szCs w:val="21"/>
              </w:rPr>
              <w:t>2</w:t>
            </w:r>
            <w:r>
              <w:rPr>
                <w:rFonts w:hint="eastAsia" w:ascii="宋体" w:hAnsi="宋体" w:cs="宋体"/>
                <w:color w:val="auto"/>
                <w:kern w:val="0"/>
                <w:szCs w:val="21"/>
              </w:rPr>
              <w:t>分）</w:t>
            </w:r>
          </w:p>
          <w:p>
            <w:pPr>
              <w:rPr>
                <w:rFonts w:ascii="宋体" w:hAnsi="宋体" w:cs="宋体"/>
                <w:color w:val="auto"/>
                <w:kern w:val="0"/>
                <w:szCs w:val="21"/>
              </w:rPr>
            </w:pPr>
            <w:r>
              <w:rPr>
                <w:rFonts w:hint="eastAsia" w:ascii="宋体" w:hAnsi="宋体" w:cs="宋体"/>
                <w:color w:val="auto"/>
                <w:kern w:val="0"/>
                <w:szCs w:val="21"/>
              </w:rPr>
              <w:t>2.AI智能纠错：软件内置的AI智能语义分析模块，可对输入的英文文本的拼写、句型、语法进行错误检查，并支持一键纠错。（</w:t>
            </w:r>
            <w:r>
              <w:rPr>
                <w:rFonts w:ascii="宋体" w:hAnsi="宋体" w:cs="宋体"/>
                <w:color w:val="auto"/>
                <w:kern w:val="0"/>
                <w:szCs w:val="21"/>
              </w:rPr>
              <w:t>1</w:t>
            </w:r>
            <w:r>
              <w:rPr>
                <w:rFonts w:hint="eastAsia" w:ascii="宋体" w:hAnsi="宋体" w:cs="宋体"/>
                <w:color w:val="auto"/>
                <w:kern w:val="0"/>
                <w:szCs w:val="21"/>
              </w:rPr>
              <w:t>分）</w:t>
            </w:r>
          </w:p>
          <w:p>
            <w:pPr>
              <w:widowControl/>
              <w:jc w:val="left"/>
              <w:rPr>
                <w:rFonts w:ascii="宋体" w:hAnsi="宋体" w:cs="宋体"/>
                <w:b/>
                <w:bCs/>
                <w:color w:val="auto"/>
                <w:kern w:val="0"/>
                <w:szCs w:val="21"/>
              </w:rPr>
            </w:pPr>
            <w:r>
              <w:rPr>
                <w:rFonts w:ascii="宋体" w:hAnsi="宋体" w:cs="宋体"/>
                <w:b/>
                <w:bCs/>
                <w:color w:val="auto"/>
                <w:kern w:val="0"/>
                <w:szCs w:val="21"/>
              </w:rPr>
              <w:t>OPS</w:t>
            </w:r>
            <w:r>
              <w:rPr>
                <w:rFonts w:hint="eastAsia" w:ascii="宋体" w:hAnsi="宋体" w:cs="宋体"/>
                <w:b/>
                <w:bCs/>
                <w:color w:val="auto"/>
                <w:kern w:val="0"/>
                <w:szCs w:val="21"/>
              </w:rPr>
              <w:t>电脑：</w:t>
            </w:r>
          </w:p>
          <w:p>
            <w:pPr>
              <w:widowControl/>
              <w:jc w:val="left"/>
              <w:rPr>
                <w:rFonts w:ascii="宋体" w:hAnsi="宋体" w:cs="宋体"/>
                <w:color w:val="auto"/>
                <w:kern w:val="0"/>
                <w:szCs w:val="21"/>
                <w:highlight w:val="none"/>
              </w:rPr>
            </w:pPr>
            <w:r>
              <w:rPr>
                <w:rFonts w:hint="eastAsia" w:ascii="宋体" w:hAnsi="宋体" w:cs="宋体"/>
                <w:color w:val="auto"/>
                <w:kern w:val="0"/>
                <w:szCs w:val="21"/>
              </w:rPr>
              <w:t>1.采用按压式卡扣，无需工具就可快速拆卸电脑模块。具有标准PC防盗锁孔。（1分）</w:t>
            </w:r>
          </w:p>
        </w:tc>
        <w:tc>
          <w:tcPr>
            <w:tcW w:w="1588" w:type="dxa"/>
            <w:vAlign w:val="center"/>
          </w:tcPr>
          <w:p>
            <w:pPr>
              <w:widowControl/>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75"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134"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实施方案</w:t>
            </w:r>
          </w:p>
        </w:tc>
        <w:tc>
          <w:tcPr>
            <w:tcW w:w="709" w:type="dxa"/>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4565"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具有完整的项目实施方案，包括</w:t>
            </w:r>
            <w:r>
              <w:rPr>
                <w:rFonts w:hint="eastAsia" w:ascii="宋体" w:hAnsi="宋体" w:cs="宋体"/>
                <w:color w:val="auto"/>
                <w:szCs w:val="21"/>
                <w:highlight w:val="none"/>
              </w:rPr>
              <w:t>项目总体实施方案、</w:t>
            </w:r>
            <w:r>
              <w:rPr>
                <w:rFonts w:hint="eastAsia" w:ascii="宋体" w:hAnsi="宋体" w:cs="宋体"/>
                <w:color w:val="auto"/>
                <w:kern w:val="0"/>
                <w:szCs w:val="21"/>
                <w:highlight w:val="none"/>
              </w:rPr>
              <w:t>项目供货方案、</w:t>
            </w:r>
            <w:r>
              <w:rPr>
                <w:rFonts w:hint="eastAsia" w:ascii="宋体" w:hAnsi="宋体" w:cs="宋体"/>
                <w:color w:val="auto"/>
                <w:szCs w:val="21"/>
                <w:highlight w:val="none"/>
              </w:rPr>
              <w:t>项目组织及协调方案、系统安装调试方案、项目验收方案</w:t>
            </w:r>
            <w:r>
              <w:rPr>
                <w:rFonts w:hint="eastAsia" w:ascii="宋体" w:hAnsi="宋体" w:cs="宋体"/>
                <w:color w:val="auto"/>
                <w:kern w:val="0"/>
                <w:szCs w:val="21"/>
                <w:highlight w:val="none"/>
              </w:rPr>
              <w:t>内容。</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方案制定内容齐全，各类措施健全，完全满足采购需求并符合本项目实施特点的5分；以上方面中每缺少一方面内容扣1分；每有一处内容与实际需求不符或不满足要求或与本项目需求不匹配或直接套用其他项目内容的扣1分，扣完为止。</w:t>
            </w:r>
          </w:p>
        </w:tc>
        <w:tc>
          <w:tcPr>
            <w:tcW w:w="1588" w:type="dxa"/>
            <w:vAlign w:val="center"/>
          </w:tcPr>
          <w:p>
            <w:pPr>
              <w:widowControl/>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售后服务</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4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投标人提供完善的售后服务方案，包括</w:t>
            </w:r>
            <w:r>
              <w:rPr>
                <w:rFonts w:hint="eastAsia" w:ascii="宋体" w:hAnsi="宋体" w:cs="宋体"/>
                <w:color w:val="auto"/>
                <w:szCs w:val="21"/>
                <w:highlight w:val="none"/>
              </w:rPr>
              <w:t>售后服务承诺及保障措施、售后服务人员配置及响应计划、故障处理及应急预案、</w:t>
            </w:r>
            <w:r>
              <w:rPr>
                <w:rFonts w:hint="eastAsia" w:ascii="宋体" w:hAnsi="宋体" w:cs="宋体"/>
                <w:color w:val="auto"/>
                <w:kern w:val="0"/>
                <w:szCs w:val="21"/>
                <w:highlight w:val="none"/>
              </w:rPr>
              <w:t>质量保证期限及质量保证的范围承诺、本地化售后方案，售后服务方案完整且具有符合实际需求的得5分，每缺少一项或某一项不完整、或不符合实际需求的扣1分，扣完为止。</w:t>
            </w:r>
          </w:p>
        </w:tc>
        <w:tc>
          <w:tcPr>
            <w:tcW w:w="158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培训方案</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4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根据供应商提供完善的培训方案，包括培训目标、培训对象及内容、培训计划、培训组织安排。培训方案完整且具有符合实际需求的得4分，每缺少一项或某一项不完整、或不符合实际需求的扣</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分，扣完为止。</w:t>
            </w:r>
          </w:p>
        </w:tc>
        <w:tc>
          <w:tcPr>
            <w:tcW w:w="158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业绩</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4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评标委员会根据供应商提供的201</w:t>
            </w:r>
            <w:r>
              <w:rPr>
                <w:rFonts w:ascii="宋体" w:hAnsi="宋体" w:cs="宋体"/>
                <w:color w:val="auto"/>
                <w:kern w:val="0"/>
                <w:szCs w:val="21"/>
                <w:highlight w:val="none"/>
              </w:rPr>
              <w:t>9</w:t>
            </w:r>
            <w:r>
              <w:rPr>
                <w:rFonts w:hint="eastAsia" w:ascii="宋体" w:hAnsi="宋体" w:cs="宋体"/>
                <w:color w:val="auto"/>
                <w:kern w:val="0"/>
                <w:szCs w:val="21"/>
                <w:highlight w:val="none"/>
              </w:rPr>
              <w:t>年</w:t>
            </w:r>
            <w:r>
              <w:rPr>
                <w:rFonts w:ascii="宋体" w:hAnsi="宋体" w:cs="宋体"/>
                <w:color w:val="auto"/>
                <w:kern w:val="0"/>
                <w:szCs w:val="21"/>
                <w:highlight w:val="none"/>
              </w:rPr>
              <w:t>6</w:t>
            </w:r>
            <w:r>
              <w:rPr>
                <w:rFonts w:hint="eastAsia" w:ascii="宋体" w:hAnsi="宋体" w:cs="宋体"/>
                <w:color w:val="auto"/>
                <w:kern w:val="0"/>
                <w:szCs w:val="21"/>
                <w:highlight w:val="none"/>
              </w:rPr>
              <w:t>月1日至今所投同类业绩（以合同签订日期为准，仅限供应商本身，提供完整合</w:t>
            </w:r>
            <w:bookmarkStart w:id="147" w:name="_GoBack"/>
            <w:bookmarkEnd w:id="147"/>
            <w:r>
              <w:rPr>
                <w:rFonts w:hint="eastAsia" w:ascii="宋体" w:hAnsi="宋体" w:cs="宋体"/>
                <w:color w:val="auto"/>
                <w:kern w:val="0"/>
                <w:szCs w:val="21"/>
                <w:highlight w:val="none"/>
              </w:rPr>
              <w:t>同），每份计1分，最高计3分。</w:t>
            </w:r>
          </w:p>
        </w:tc>
        <w:tc>
          <w:tcPr>
            <w:tcW w:w="158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现场提供原件备查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节能环保产品</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4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供应商所投产品中每有一项经国家认证机构认定为节能产品的得0.5分，每有一项为环境标志产品的得0.5分，供应商所投产品中每有一项产品即为节能产品又是环境标志产品得1分（产品不重复计分，如某一产品得到1分，不能再计节能或环境标志产品的0.5分），最多得</w:t>
            </w:r>
            <w:r>
              <w:rPr>
                <w:rFonts w:ascii="宋体" w:hAnsi="宋体" w:cs="宋体"/>
                <w:color w:val="auto"/>
                <w:kern w:val="0"/>
                <w:szCs w:val="21"/>
                <w:highlight w:val="none"/>
              </w:rPr>
              <w:t>1</w:t>
            </w:r>
            <w:r>
              <w:rPr>
                <w:rFonts w:hint="eastAsia" w:ascii="宋体" w:hAnsi="宋体" w:cs="宋体"/>
                <w:color w:val="auto"/>
                <w:kern w:val="0"/>
                <w:szCs w:val="21"/>
                <w:highlight w:val="none"/>
              </w:rPr>
              <w:t>分。</w:t>
            </w:r>
          </w:p>
        </w:tc>
        <w:tc>
          <w:tcPr>
            <w:tcW w:w="158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以国家确定的认证机构出具的、处于有效期内的节能产品、环境标志产品认证证书为准。</w:t>
            </w:r>
          </w:p>
        </w:tc>
      </w:tr>
    </w:tbl>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评审标准备注： </w:t>
      </w:r>
    </w:p>
    <w:p>
      <w:pPr>
        <w:spacing w:line="360" w:lineRule="auto"/>
        <w:ind w:firstLine="482" w:firstLineChars="200"/>
        <w:rPr>
          <w:rFonts w:ascii="宋体" w:hAnsi="宋体" w:cs="宋体"/>
          <w:b/>
          <w:bCs/>
          <w:color w:val="auto"/>
          <w:sz w:val="24"/>
          <w:highlight w:val="none"/>
        </w:rPr>
      </w:pPr>
      <w:bookmarkStart w:id="65" w:name="_Toc2536"/>
      <w:bookmarkStart w:id="66" w:name="_Toc6835"/>
      <w:bookmarkStart w:id="67" w:name="_Toc15647"/>
      <w:r>
        <w:rPr>
          <w:rFonts w:hint="eastAsia" w:ascii="宋体" w:hAnsi="宋体" w:cs="宋体"/>
          <w:b/>
          <w:bCs/>
          <w:color w:val="auto"/>
          <w:sz w:val="24"/>
          <w:highlight w:val="none"/>
        </w:rPr>
        <w:t>1.对于非专门面向中小企业的项目、残疾人福利性单位的项目，对小型和微型企业、残疾人福利性单位产品的价格给予6%的扣除，用扣除后的价格参与评审，残疾人福利性单位属于小型、微型企业的，不重复享受政策；</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关于政府采购支持监狱企业发展有关问题的通知》（财库[2014]68号）的规定，对监狱企业给予6%的价格扣除，用扣除后的价格参与评审（提供由省级以上监狱管理局、戒毒管理局（含新疆生产建设兵团）出具的属于监狱企业的证明文件）。</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3.节能环保产品以节能产品、环境标志产品认证证书为准</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4.技术参数正偏离须在技术响应表中注明正偏离的理由和佐证材料的页码；</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5.评审指标出现漏项的最低得分为零分。</w:t>
      </w:r>
    </w:p>
    <w:p>
      <w:pPr>
        <w:pStyle w:val="3"/>
        <w:pageBreakBefore/>
        <w:numPr>
          <w:ilvl w:val="0"/>
          <w:numId w:val="18"/>
        </w:numPr>
        <w:spacing w:before="319" w:beforeLines="100" w:after="319" w:afterLines="100" w:line="500" w:lineRule="exact"/>
        <w:rPr>
          <w:rFonts w:ascii="宋体" w:hAnsi="宋体" w:cs="宋体"/>
          <w:color w:val="auto"/>
          <w:sz w:val="36"/>
          <w:szCs w:val="36"/>
          <w:highlight w:val="none"/>
        </w:rPr>
      </w:pPr>
      <w:r>
        <w:rPr>
          <w:rFonts w:hint="eastAsia" w:ascii="宋体" w:hAnsi="宋体" w:cs="宋体"/>
          <w:color w:val="auto"/>
          <w:sz w:val="36"/>
          <w:szCs w:val="36"/>
          <w:highlight w:val="none"/>
        </w:rPr>
        <w:t xml:space="preserve">  </w:t>
      </w:r>
      <w:bookmarkStart w:id="68" w:name="_Toc26190"/>
      <w:r>
        <w:rPr>
          <w:rFonts w:hint="eastAsia" w:ascii="宋体" w:hAnsi="宋体" w:cs="宋体"/>
          <w:color w:val="auto"/>
          <w:sz w:val="36"/>
          <w:szCs w:val="36"/>
          <w:highlight w:val="none"/>
        </w:rPr>
        <w:t>采购要求</w:t>
      </w:r>
      <w:bookmarkEnd w:id="68"/>
    </w:p>
    <w:p>
      <w:pPr>
        <w:rPr>
          <w:b/>
          <w:bCs/>
          <w:color w:val="auto"/>
          <w:highlight w:val="none"/>
        </w:rPr>
      </w:pPr>
      <w:r>
        <w:rPr>
          <w:rFonts w:hint="eastAsia"/>
          <w:b/>
          <w:bCs/>
          <w:color w:val="auto"/>
          <w:highlight w:val="none"/>
        </w:rPr>
        <w:t>（1）精品录播教室</w:t>
      </w:r>
    </w:p>
    <w:tbl>
      <w:tblPr>
        <w:tblStyle w:val="30"/>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00"/>
        <w:gridCol w:w="1067"/>
        <w:gridCol w:w="5820"/>
        <w:gridCol w:w="709"/>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00" w:type="dxa"/>
            <w:shd w:val="clear" w:color="auto" w:fill="FFFFFF"/>
            <w:noWrap/>
            <w:vAlign w:val="center"/>
          </w:tcPr>
          <w:p>
            <w:pPr>
              <w:widowControl/>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067" w:type="dxa"/>
            <w:shd w:val="clear" w:color="auto" w:fill="FFFFFF"/>
            <w:noWrap/>
            <w:vAlign w:val="center"/>
          </w:tcPr>
          <w:p>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名称</w:t>
            </w:r>
          </w:p>
        </w:tc>
        <w:tc>
          <w:tcPr>
            <w:tcW w:w="5820" w:type="dxa"/>
            <w:shd w:val="clear" w:color="auto" w:fill="FFFFFF"/>
            <w:noWrap/>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技术指标</w:t>
            </w:r>
          </w:p>
        </w:tc>
        <w:tc>
          <w:tcPr>
            <w:tcW w:w="709" w:type="dxa"/>
            <w:shd w:val="clear" w:color="auto" w:fill="FFFFFF"/>
            <w:noWrap/>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59" w:type="dxa"/>
            <w:shd w:val="clear" w:color="auto" w:fill="FFFFFF"/>
            <w:noWrap/>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云平台资源管理系统</w:t>
            </w:r>
          </w:p>
        </w:tc>
        <w:tc>
          <w:tcPr>
            <w:tcW w:w="5820" w:type="dxa"/>
            <w:shd w:val="clear" w:color="auto" w:fill="FFFFFF"/>
            <w:vAlign w:val="center"/>
          </w:tcPr>
          <w:p>
            <w:pPr>
              <w:widowControl/>
              <w:numPr>
                <w:ilvl w:val="0"/>
                <w:numId w:val="20"/>
              </w:numPr>
              <w:jc w:val="left"/>
              <w:rPr>
                <w:rFonts w:ascii="宋体" w:hAnsi="宋体" w:cs="宋体"/>
                <w:color w:val="auto"/>
                <w:kern w:val="0"/>
                <w:szCs w:val="21"/>
                <w:highlight w:val="none"/>
              </w:rPr>
            </w:pPr>
            <w:r>
              <w:rPr>
                <w:rFonts w:hint="eastAsia" w:ascii="宋体" w:hAnsi="宋体" w:cs="宋体"/>
                <w:color w:val="auto"/>
                <w:kern w:val="0"/>
                <w:szCs w:val="21"/>
                <w:highlight w:val="none"/>
              </w:rPr>
              <w:t>信息管理系统</w:t>
            </w:r>
          </w:p>
          <w:p>
            <w:pPr>
              <w:widowControl/>
              <w:jc w:val="left"/>
              <w:rPr>
                <w:color w:val="auto"/>
                <w:szCs w:val="21"/>
                <w:highlight w:val="none"/>
              </w:rPr>
            </w:pPr>
            <w:r>
              <w:rPr>
                <w:rFonts w:hint="eastAsia" w:ascii="宋体" w:hAnsi="宋体" w:cs="宋体"/>
                <w:color w:val="auto"/>
                <w:kern w:val="0"/>
                <w:szCs w:val="21"/>
                <w:highlight w:val="none"/>
              </w:rPr>
              <w:t>（1）录播管理：支持把录播设备接入平台，实现自动转码、无缝直播点播，并具备直播和点播功能。支持对录播进行远程关机、休眠唤醒、启动录制等操作。</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（2）多级平台对接：支持校平台与上级区平台进行对接，校平台资源可像区平台提交，并能参加区平台组织的活动。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（3）录制预约：平台支持用户远程进行在线录课预约，可实现单个或批量预约；可直接导入课表实现预约；支持预约信息的申请和审核管理。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▲（4）资源颗粒度管理：支持视频资源多维度分类，如按年级、学科等分类管理，支持用户自定义分类类型。并支持根据关注度、用户推荐度和点击热度的不同维度在平台呈现。</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（5）视频专辑：支持用户可灵活创建各种视频专辑，并自定义专辑类型，可将一同类型的视频进行归类，便于视频的归整和便捷查询。</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（6）公告发布：平台首页提供公告模块，支持通过平台发布校务公告、活动通知、行政公告、直播通知、紧急通告等多种类型公告。公告支持按定义的类型进行归类查询，支持用户自定义公告类型。</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▲（7）自动转码功能：支持视频下载、上传、编辑、管理。可实现所有主流视频文件格式自动转码，包括asf、mpg、rmvb、mov、rm、avi、3gp、wmv、flv、mp4等，可设置下载及观看权限。</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虚拟切片：支持视频自动划分知识点和教学环节片段，且不破坏视频原来的完整性。知识点与教学环节目录支持在全屏状态下呈现，支持快速点击跳转到相应节点播放，支持片段循环播放。支持对上传的视频添加和修改“知识点”和“教学环节”。</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▲（9）教学行为分析：支持弗兰德斯教学行为分析法（S-T），平台根据跟踪数据生成S-T曲线图，帮助用户进行教学技能提升和评估。S-T行为数据支持后期在线编辑修改，便于教师进行错误修正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（10）文件检索：支持关键字搜索功能，用户可直接在资源管理平台的页面搜索框输入关键字，对某个视频标题、知识点和教学环节进行搜索。</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（11）一键置灰：支持平台肤色一键置灰功能，切合特殊纪念日氛围。</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2.直播点播系统</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（1）基于flash+html5技术，无需安装插件即可进行跨平台（Windows、Linux、IOS）视频点播观看。</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（2）支持流媒体转发服务，平台支持不少于150点以上高清直播功能。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（3）集群技术：支持直播集群技术，以支持系统的横向拓展，随系统应用规模的拓展逐渐增加转发服务器以支持更大规模直播。</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（4）多码率支持：要求转发时支持标清、高清两种清晰度设置，点播视频时可根据网络情况在播放器窗口进行高标清切换观看。</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（5）支持直播权限及密码设置，让直播信息更加安全。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（6）支持上传教案、课件等视频附件，附件可与视频进行绑定。支持word、excel、ppt、PDF、jpeg等格式。用户在点播视频时下载附件。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（7）提供视频转发分享功能，支持二维码分享和一键转发分享至新浪微博、QQ、微信等社交平台中。</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3.微课管理系统</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（1）提供微课管理模块，支持自定义微课时长限制，在规定时长内的视频上传平台后自动归类到微课模块当中，并支持按学段、学科进行自动归类整理。</w:t>
            </w:r>
            <w:r>
              <w:rPr>
                <w:rFonts w:hint="eastAsia" w:ascii="宋体" w:hAnsi="宋体" w:cs="宋体"/>
                <w:color w:val="auto"/>
                <w:kern w:val="0"/>
                <w:szCs w:val="21"/>
                <w:highlight w:val="none"/>
              </w:rPr>
              <w:br w:type="textWrapping"/>
            </w:r>
            <w:r>
              <w:rPr>
                <w:rFonts w:hint="eastAsia" w:ascii="宋体" w:hAnsi="宋体" w:cs="宋体"/>
                <w:b/>
                <w:bCs/>
                <w:color w:val="auto"/>
                <w:kern w:val="0"/>
                <w:szCs w:val="21"/>
                <w:highlight w:val="none"/>
              </w:rPr>
              <w:t>（2）提供专业微课录制软件，支持直接从平台下载微课录制软件并安装于笔记本电脑中。微课视频录制完毕后支持一键上传到平台，或下载到本地电脑保存。（投标现场提供视频文件演示）。</w:t>
            </w:r>
            <w:r>
              <w:rPr>
                <w:rFonts w:hint="eastAsia" w:ascii="宋体" w:hAnsi="宋体" w:cs="宋体"/>
                <w:color w:val="auto"/>
                <w:kern w:val="0"/>
                <w:szCs w:val="21"/>
                <w:highlight w:val="none"/>
              </w:rPr>
              <w:br w:type="textWrapping"/>
            </w:r>
            <w:r>
              <w:rPr>
                <w:rFonts w:hint="eastAsia" w:ascii="宋体" w:hAnsi="宋体" w:cs="宋体"/>
                <w:b/>
                <w:bCs/>
                <w:color w:val="auto"/>
                <w:kern w:val="0"/>
                <w:szCs w:val="21"/>
                <w:highlight w:val="none"/>
              </w:rPr>
              <w:t>（3）微课录制软件需满足包括教师头像、实物展台、课件PPT在内的三路视频源切换及组合布局录制，支持课件与老师画中画模式。（投标现场提供视频文件演示）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（4）支持PPT课件导入、课件批注，在微课录制的同时支持PPT分页预览，并进行切换录制。</w:t>
            </w:r>
          </w:p>
        </w:tc>
        <w:tc>
          <w:tcPr>
            <w:tcW w:w="70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5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教学视频资源平台主机</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设备高度：≤1U</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硬件架构：嵌入式ARM架构设计，无需进行复杂的系统环境、软件安装作。</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系统支持：Linux系统</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数据库支持：MYSQL</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存储容量：4TB SATA 7.2k 3.5in</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网络连接：RJ45千兆网口</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通讯接口：支持两个以上USB2.0接口</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支持Rst设备一键复位功能</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采用安全电压不大于DC36V供电，节能环保，采用无风扇设计，低噪音。</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支持流媒体转发、直播、点播功能，单台主机支持不少于100点转发直播、支持大规模点播。</w:t>
            </w:r>
          </w:p>
          <w:p>
            <w:pPr>
              <w:widowControl/>
              <w:jc w:val="left"/>
              <w:rPr>
                <w:color w:val="auto"/>
                <w:szCs w:val="21"/>
                <w:highlight w:val="none"/>
              </w:rPr>
            </w:pP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所投产品通过权威机构CCC认证，提供证书复印件</w:t>
            </w:r>
          </w:p>
        </w:tc>
        <w:tc>
          <w:tcPr>
            <w:tcW w:w="70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5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高清录播主机</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 xml:space="preserve"> 1U标准机架式外观设计，便于机柜安装。</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考虑设备稳定性，要求采用嵌入式ARM架构设计，Linux操作系统，高度集成多种功能应用，包括管理、导播、录制、直播、点播等功能。</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录播主机内置互动功能，支持标准H.323协议和SIP协议，要求无须视频会议终端和MCU即可实现2台录播主机之间的音视频在线互动。</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内置音频处理功能，支持EQ均衡调节、回声抑制、增益调节、幻象供电及音频采样率和比特率设置。支持对音频输入输出通道进行音量调节，支持对音频输出通道进行静音设置。</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内置跟踪功能，无需额外配置跟踪主机即可实现智能图像识别跟踪分析与处理功能。</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支持7路1080P高清视频输入，包括5路3G-SDI高清摄像机信号、1路HDMI信号和1路VGA信号。支持CVBS、S-video、YPbPr信号源的兼容接入。</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支持2路HDMI画面的输出，每个HDMI输出口的输出信号支持自定义选择本地导播画面或录制效果画面输出。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采用AAC音频编码技术，支持2路XLR平衡音频输入、2路Line in、1路Line out、1路耳机监听输出。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 xml:space="preserve"> 采用标准H.264视频编码技术，录播主机应支持电影模式和资源模式多流同步录制。支持网络多流和本地SDI多流两种录制模式。</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内置至少2T存储硬盘，支持MP4视频封装格式。</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支持4个USB2.0，支持U盘/移动硬盘同步录制、视频拷贝；支持鼠标键盘的本地导播操作；</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支持本地导播功能，可直接在录播主机接入鼠标、键盘、显示器进行导播操作，保证导播具有较好的实时性和流畅性。</w:t>
            </w:r>
          </w:p>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高清录播主机支持通过一条标准SDI线连接高清云台摄像机，即可实现视频传输、供电和云台控制功能。</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支持与资源平台无缝对接，实现视频自动上传功能。当录播主机处于休眠状态时，平台自动远程唤醒录播主机，使录播主机通过FTP方式进行录制视频文件的自动上传至平台。</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具有嵌入式低功耗环保优势，整机正常工作状态下功耗不超过55W。采用无风扇散热设计，低噪音不影响正常授课。</w:t>
            </w:r>
          </w:p>
          <w:p>
            <w:pPr>
              <w:widowControl/>
              <w:jc w:val="left"/>
              <w:rPr>
                <w:color w:val="auto"/>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所投录播主机通过CCC认证，提供证书复印件。</w:t>
            </w:r>
          </w:p>
        </w:tc>
        <w:tc>
          <w:tcPr>
            <w:tcW w:w="70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5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录播软件系统</w:t>
            </w:r>
          </w:p>
        </w:tc>
        <w:tc>
          <w:tcPr>
            <w:tcW w:w="5820" w:type="dxa"/>
            <w:shd w:val="clear" w:color="auto" w:fill="FFFFFF"/>
            <w:vAlign w:val="center"/>
          </w:tcPr>
          <w:p>
            <w:pPr>
              <w:widowControl/>
              <w:jc w:val="left"/>
              <w:rPr>
                <w:color w:val="auto"/>
                <w:szCs w:val="21"/>
                <w:highlight w:val="none"/>
              </w:rPr>
            </w:pPr>
            <w:r>
              <w:rPr>
                <w:rFonts w:hint="eastAsia" w:ascii="宋体" w:hAnsi="宋体" w:cs="宋体"/>
                <w:color w:val="auto"/>
                <w:kern w:val="0"/>
                <w:szCs w:val="21"/>
                <w:highlight w:val="none"/>
              </w:rPr>
              <w:t>流媒体管理软件：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支持B/S架构设计，能够方便教师使用IE、360、chrome等主流浏览器通过网络直接访问录播主机进行管理。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支持录制、暂停、停止等基本功能操作。</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支持全自动、半自动、手动三种录制模式，支持录制过程中实时切换录制模式。</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支持导播管理、系统参数管理、用户管理、录制管理、网络参数管理。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支持三种上电模式，包括关机模式、休眠模式和工作模式。</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支持中英文双语版本切换，适合不同用户的应用需求。</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支持系统软件版本管理，包括软件版本查询，在线升级与系统授权。支持查询录播主机的设备型号、版本信息、机身号和设备运行的实时CPU温度。</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录播跟踪一体化设计，录播内置跟踪功能，无需额外配置跟踪主机。采用图像识别主动跟踪技术，有较强的防干扰性，跟踪系统应不影响教师正常的教学，教师和学生无需佩戴任何辅助设备，也无需在座椅安装辅助设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▲9</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支持多种逻辑跟踪技术，支持自定义教师、学生的画面布局，支持学生起立回答问题时切换为“学生特写画面”或者“教师与学生双分屏互动画面”。支持VGA信号自动检测跟踪，支持自定义VGA保留时间。</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▲10</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10个以上任意区域主动屏蔽功能，比如主动屏蔽掉教师观摩区、窗户窗帘、教室门口、大屏液晶电视等易干扰跟踪效果的地方，所屏蔽的地方系统将不对其进行图像分析跟踪运算，以避免这些地方干扰整体的跟踪效果。</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硬盘管理：支持硬盘格式化功能，支持对设备异常断电、宕机造成的损坏视频文件进行修复。</w:t>
            </w:r>
            <w:r>
              <w:rPr>
                <w:rFonts w:hint="eastAsia" w:ascii="宋体" w:hAnsi="宋体" w:cs="宋体"/>
                <w:color w:val="auto"/>
                <w:kern w:val="0"/>
                <w:szCs w:val="21"/>
                <w:highlight w:val="none"/>
              </w:rPr>
              <w:br w:type="textWrapping"/>
            </w:r>
            <w:r>
              <w:rPr>
                <w:rFonts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w:t>
            </w:r>
            <w:r>
              <w:rPr>
                <w:rFonts w:ascii="宋体" w:hAnsi="宋体" w:cs="宋体"/>
                <w:b/>
                <w:bCs/>
                <w:color w:val="auto"/>
                <w:kern w:val="0"/>
                <w:szCs w:val="21"/>
                <w:highlight w:val="none"/>
              </w:rPr>
              <w:t>互动通讯录管理：支持查询</w:t>
            </w:r>
            <w:r>
              <w:rPr>
                <w:rFonts w:hint="eastAsia" w:ascii="宋体" w:hAnsi="宋体" w:cs="宋体"/>
                <w:b/>
                <w:bCs/>
                <w:color w:val="auto"/>
                <w:kern w:val="0"/>
                <w:szCs w:val="21"/>
                <w:highlight w:val="none"/>
              </w:rPr>
              <w:t>互动云系统的通讯录数据，查询内容包括所有已在互动云系统注册的录播账号、录播昵称。支持分级筛选查询互动录播设备。支持“关键字”检索功能，通过录播账号、昵称快速查找到互动录播设备。（投标现场提供视频文件演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短号管理：支持对每台录播设备自动分配纯数字短号，可以通过短号直接呼叫录播设备创建互动。</w:t>
            </w:r>
            <w:r>
              <w:rPr>
                <w:rFonts w:hint="eastAsia" w:ascii="宋体" w:hAnsi="宋体" w:cs="宋体"/>
                <w:color w:val="auto"/>
                <w:kern w:val="0"/>
                <w:szCs w:val="21"/>
                <w:highlight w:val="none"/>
              </w:rPr>
              <w:br w:type="textWrapping"/>
            </w:r>
            <w:r>
              <w:rPr>
                <w:rFonts w:hint="eastAsia" w:ascii="宋体" w:hAnsi="宋体" w:cs="宋体"/>
                <w:b/>
                <w:bCs/>
                <w:color w:val="auto"/>
                <w:kern w:val="0"/>
                <w:szCs w:val="21"/>
                <w:highlight w:val="none"/>
              </w:rPr>
              <w:t>14</w:t>
            </w:r>
            <w:r>
              <w:rPr>
                <w:rFonts w:hint="eastAsia" w:ascii="宋体" w:hAnsi="宋体" w:cs="宋体"/>
                <w:b/>
                <w:bCs/>
                <w:color w:val="auto"/>
                <w:kern w:val="0"/>
                <w:szCs w:val="21"/>
                <w:highlight w:val="none"/>
                <w:lang w:val="en-US" w:eastAsia="zh-CN"/>
              </w:rPr>
              <w:t>.</w:t>
            </w:r>
            <w:r>
              <w:rPr>
                <w:rFonts w:hint="eastAsia" w:ascii="宋体" w:hAnsi="宋体" w:cs="宋体"/>
                <w:b/>
                <w:bCs/>
                <w:color w:val="auto"/>
                <w:kern w:val="0"/>
                <w:szCs w:val="21"/>
                <w:highlight w:val="none"/>
              </w:rPr>
              <w:t>为保证良好的互动画面，录播主机应具备双流互动功能,双向互动时,互动双方具备将教学场景及教学资源画面以两路独立HDMI信号分别同时环出显示。（投标现场提供视频文件演示）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流媒体直播软件：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支持录播一键开启“直播”功能。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支持网络直播参数设置、直播码流设置与TS直播参数设置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支持主码流、子码流双码流直播功能，主、子码流可设不同的分辨率与码流。</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支持自定义直播分辨率、码流大小，以适应不同网络环境下保持直播的流畅性。提供超清（1080P/4Mbps）、高清（720P/2Mbps）、标清（960*540/1Mbps）等多种直播分辨率与码流可选。</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支持HTTP、RTMP、RTSP多种直播视频流协议，支持TCP和UDP传输协议。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支持RTMP推流功能，除录播向资源平台实现FTP推流上传外，至少额外支持大于等于3路RTMP推流功能，实现与第三方平台和系统的推流对接。</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支持VLC缓冲设置功能，可精确到毫秒，缓冲时间阈值280~500ms可设。</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流媒体导播软件：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提供所有接入摄像机画面和1路教师电脑画面预览窗口，支持视频画面任意切换。</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支持可选布局模式，包括双分屏、三分屏、画中画等。支持自定义布局方式，支持多个视频图层自由叠加组合，支持叠加纯色图层，自定义布局时可随意拖拉画面窗口。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应具有鼠标快速定位功能，通过鼠标点击快速居中画面区域，通过鼠标滚轮可以调节云台摄像机的焦距。</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提供转场特效，包括渐变、缩放、切换等。支持在添加LOGO、字幕功能，支持通过鼠标直接拖拽设置LOGO和字幕在画面的显示位置。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支持快速调用预设的字幕内容，支持实时添加字幕，支持通过辅助软件远程实时添加字幕，字幕颜色、字幕描边、字幕背景可设。支持字幕和背景的透明度设置功能。支持字幕滚动和固定位置两种显示方式。</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流媒体点播软件：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为方便资源管理，系统需支持对录制视频按标题、主持人、时间、时长进行排序；可按照主题、主讲人进行分组展示；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 xml:space="preserve">支持高、低双码流录制功能，支持自定义录制分辨率、帧率和码流，码流512kbps到40Mbps可设。支持对视频文件进行点播回放，支持拖拽播放进度条播放；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录制文件支持分割技术，当录制的课程时间较长时，可按照用户设定的文件时长自动分割录制成多个视频文件。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支持对资源模式和电影模式同步多流录制的视频进行管理和点播，点播分辨率达1080P；</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支持查询视频文件的分辨率、帧率和码流；</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支持录像文件和对应PPT课件下载；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支持对视频进行手动FTP上传。</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在线互动：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支持RTSP、H.323视频传输协议。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支持预设互动数据，包括互动对象的名称、IP、协议方式等。支持预设10个互动录播教室信息，支持互动课室数据的批量导入和导出功能。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支持快速选择远程互动录播教室并“一键式”连接开启点对点互动。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录播模式和互动模式两种工作模式。互动模式下，支持通过导播画面实时监视远端互动录播教室学生画面，支持实时预览传到远端互动录播教室的最终互动画面。互动画面支持实时进行本地教师信号、学生信号、电脑信号以及远端信号的自由组合布局。</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支持网络检测功能，支持UDP测试和带宽扫描两种测试方式，实时检测与远端互动设备的丢包数、网速情况。支持启动网络自适应功能。</w:t>
            </w:r>
          </w:p>
        </w:tc>
        <w:tc>
          <w:tcPr>
            <w:tcW w:w="70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5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高清摄像机</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视频输出接口：HDMI*1、SDI*2，同步输出图像</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传感器类型：CMOS、1/2.7英寸</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传感器像素：总像素：220万，有效像素：212万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镜头焦距：20倍光学变焦、16倍数字变焦</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采用了2D和基于运动估计的3D降噪算法</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水平视场角：60.7° ~ 3.36°，垂直视场角：34.1° ~ 1.89°</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水平转动范围：±170°，垂直转动范围：-30° ~ +120°，水平转动速度范围：1.0° ~ 94.2°/s，垂直转动速度范围：1.0° ~ 74.8°/s</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支持水平、垂直翻转</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9</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预置位数量：245</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10</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网络接口：RJ45</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音频接口：Line In,3.5mm</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通讯接口：RS232、RS422</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支持的协议类型：VISCA</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编码技术：视频H.264，音频AAC</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电源支持：DC12V、PoE、PoC</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要求摄像机与录播主机为同一品牌</w:t>
            </w:r>
          </w:p>
        </w:tc>
        <w:tc>
          <w:tcPr>
            <w:tcW w:w="70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5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高清摄像机管理软件</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摄像机管理软件采用B/S架构，支持通用浏览器直接访问进行管理。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支持网络参数设置与修改，支持一键恢复默认参数。</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支持曝光模式设置功能，包括自动、手动。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支持抗闪烁频率、动态范围、光圈、快门参数设置。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支持自动白平衡设置功能，红、蓝增益可调范围0~200。</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支持噪声抑制设置功能，支持2D、3D降噪。</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支持摄像机图像质量调节功能，包括亮度、对比度、色调、饱和度。</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支持摄像机控制功能，包括云台控制、预置位设置与调用、焦距调节等。</w:t>
            </w:r>
          </w:p>
        </w:tc>
        <w:tc>
          <w:tcPr>
            <w:tcW w:w="70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5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定位分析仪</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扫描方式：逐行扫描</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输出帧率：30fps</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 xml:space="preserve">摄像元件：1/3 "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有效像素：1920（H）×1080（V）</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最低照度：0.3Lux</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通讯方式：RJ-45，支持POE供电</w:t>
            </w:r>
          </w:p>
        </w:tc>
        <w:tc>
          <w:tcPr>
            <w:tcW w:w="70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5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定位分析软件</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采用B/S架构设计，支持通用浏览器进行远程访问进行管理；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采用图像识别定位分析技术，智能识别教学行为，根据预设的跟踪分析逻辑触发跟踪信号，与录播主机进行跟踪数据对接；</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支持两种跟踪模式：紧跟模式、“特写”与“全景”切换跟踪模式。</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支持多个区域屏蔽功能，避免屏蔽区域内的干扰，提高系统识别效果；</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支持检测区域设置，对指定区域进行跟踪分析，支持同时划分多个检测区域。</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具有“模糊防抖”功能，避免人员小幅度活动时引起的摄像机画面抖动现象；</w:t>
            </w:r>
          </w:p>
        </w:tc>
        <w:tc>
          <w:tcPr>
            <w:tcW w:w="70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5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数字音频矩阵</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音频输入/输出通道（MIC/LINE）：12路输入/8路输出，支持选择多种电平的音源输入，支持幻像供电功能。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矩阵功能:输入多路信号并将其按用户设定比例进行混合，分配到多个输出通道中。</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转换器类型 24bit;采样率 48K</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频率响应 20~20KHZ</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模/数动态范围（A-计权） 114dB</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要求与录播主机为同一品牌。</w:t>
            </w:r>
          </w:p>
        </w:tc>
        <w:tc>
          <w:tcPr>
            <w:tcW w:w="70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5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数字音频处理软件</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采用C/S或B/S软件架构设计，支持对音频处理矩阵进行管理。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AGC自动增益控制:自动提升和压缩话筒音量，使之以恒定的电平输出。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AVC回声消除:全新的自适应式回声消除功能，无需人工调试。</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AFC反馈啸叫消除:采用自适应处理的方式对现场扩声系统的啸叫进行有效的消除。</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 xml:space="preserve"> ANC自动噪声消除:自动噪声消除根据环境的声场变化自动进行噪声消除。</w:t>
            </w:r>
          </w:p>
        </w:tc>
        <w:tc>
          <w:tcPr>
            <w:tcW w:w="70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5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采访话筒（指向性）</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单体：背极式驻极体</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指向性：超心型</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频率响应：40Hz—16kHz</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低频衰减：内置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灵敏度：-29dB±3dB（1dB=1V/Pa at 1kHz）</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输出抗阻：500Ω±20%（at 1kHz）</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最大声压级：</w:t>
            </w:r>
            <w:r>
              <w:rPr>
                <w:rFonts w:ascii="宋体" w:hAnsi="宋体" w:cs="宋体"/>
                <w:color w:val="auto"/>
                <w:kern w:val="0"/>
                <w:sz w:val="20"/>
                <w:szCs w:val="20"/>
                <w:highlight w:val="none"/>
              </w:rPr>
              <w:t>≥</w:t>
            </w:r>
            <w:r>
              <w:rPr>
                <w:rFonts w:hint="eastAsia" w:ascii="宋体" w:hAnsi="宋体" w:cs="宋体"/>
                <w:color w:val="auto"/>
                <w:kern w:val="0"/>
                <w:szCs w:val="21"/>
                <w:highlight w:val="none"/>
              </w:rPr>
              <w:t>130dB（T.H.D≤1% at 1kHz）</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信噪比：</w:t>
            </w:r>
            <w:r>
              <w:rPr>
                <w:rFonts w:ascii="宋体" w:hAnsi="宋体" w:cs="宋体"/>
                <w:color w:val="auto"/>
                <w:kern w:val="0"/>
                <w:sz w:val="20"/>
                <w:szCs w:val="20"/>
                <w:highlight w:val="none"/>
              </w:rPr>
              <w:t>≥</w:t>
            </w:r>
            <w:r>
              <w:rPr>
                <w:rFonts w:hint="eastAsia" w:ascii="宋体" w:hAnsi="宋体" w:cs="宋体"/>
                <w:color w:val="auto"/>
                <w:kern w:val="0"/>
                <w:szCs w:val="21"/>
                <w:highlight w:val="none"/>
              </w:rPr>
              <w:t>70dB（1KHz at 1Pa）</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9</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动态范围：106dB（1kHz at Max SPL）</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10</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使用电源：48V 幻象电源（48V DC），2mA</w:t>
            </w:r>
          </w:p>
        </w:tc>
        <w:tc>
          <w:tcPr>
            <w:tcW w:w="70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65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录制面板</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在讲台上镶嵌式安装方式；</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控制接口：RS232</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信号指示灯：支持</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支持一键式系统电源开关控制。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一键式录制、停止、锁定电脑信号；</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支持本地录播全自动的开启、关闭控制。该功能同时支持录播模式和互动模式。</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支持通过面板一键发起与远端设备互动连接；</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支持通过交互控制面板切换互动画面的信号源，并传输到听课室，包括本地老师信号、学生信号、电脑信号、远端课室画面。</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9</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支持对各画面的自由布局控制，包括单画面全屏、双分屏、三分屏、四分屏、画中画，并传输到听课室。</w:t>
            </w:r>
          </w:p>
        </w:tc>
        <w:tc>
          <w:tcPr>
            <w:tcW w:w="70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5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电源管理器</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 xml:space="preserve">向录播视频系统、音频系统、显示系统提供统一的、至少八路电源管理；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支持对录播系统控制功能，实现通过录制面板一键启动录播系统相关设备的电源；</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支持录播系统的远程集中统一控制，实现录播主机远程开关机；</w:t>
            </w:r>
          </w:p>
        </w:tc>
        <w:tc>
          <w:tcPr>
            <w:tcW w:w="70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59" w:type="dxa"/>
            <w:shd w:val="clear" w:color="auto" w:fill="FFFFFF"/>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学生工作站</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1.cpu英特尔 酷睿i5 8代系列；</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2.内存容量：≥4GB DDR3 1600MHz。</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3.硬盘容量：≥1TB。</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4.光驱类型：DVD-RW。</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5.产品类型：商用台式机。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6.显卡类型：集显音频系统：集成5.1声卡；有线网卡：1000Mbps以太网卡。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7.显示器：≥20英寸宽屏液晶显示器。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8.键鼠：防水键盘、抗菌鼠标。</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5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交互式智能平板</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1、整机采用一体设计，外部无任何可见内部功能模块连接线。整机采用全金属外壳设计，边角采用弧形设计，表面无尖锐边缘或凸起。</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2、整机屏幕边缘采用金属圆角包边防护，整机背板采用金属材质，有效屏蔽内部电路器件辐射；防潮耐盐雾蚀锈，适应多种教学环境。</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3、整机屏幕采用≥70英寸液晶显示器。</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4、整机采用UHD超高清LED液晶屏，显示比例16:9，分辨率3840×2160。</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5、侧置输入接口具备2路HDMI、1路RS232、1路USB接口；</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6、侧置输出接口具备1路音频输出、1路触控USB输出；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7、前置输入接口3路USB接口（包含1路Type-C、2路USB）。</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8、嵌入式系统下可自动进行文件分类。</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▲9、钢化玻璃表面硬度≥9H。。</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10、采用红外触控方式，支持Windows系统中进行20点或以上触控，支持Android系统中进行10点或以上触控。</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11、从内部Android通道切换到内部PC通道后，触摸框在1s内达到可触控状态。</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12、从内部PC通道切换到外部通道后，触摸框在3s内达到可触控状态。</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13、前置USB接口支持Android系统、Windows系统读取外接移动存储设备。</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14、部署单根网线可实现Android、Windows双系统有线网络连通。</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▲15、嵌入式系统版本不低于Android11.0，内存不低于2GB，存储空间不低于8GB。</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16、智能亮度调节：整机能感应并自动调节屏幕亮度来达到在不同光照环境下的不同亮度显示效果，此功能可自行开启或关闭。</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▲17、整机具备不少于1路前置Typec接口，外接电脑设备通过标准TypeC线连接至整机TypeC口，可直接调用整机内置的摄像头、麦克风、扬声器，在外接电脑即可拍摄教室画面。</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▲18、整机具有减滤蓝光功能，可通过前置物理功能按键一键启用减滤蓝光模式，让师生视力健康得到保障。</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▲19、整机内置非独立外扩展的摄像头，支持二维码扫码识别，方便用户使用在线资源，可拍摄不低于1300万像素的照片，支持远程巡课等应用，为保证摄像头稳定性，不接受外接摄像头。</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二、白板软件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 具备安卓版本电子白板软件，并支持屏幕左右两侧桌面小工具的调用；安卓白板软件支持注、擦除、翻页、更改背景颜色、清空、保存文件等功能；</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 可在安卓操作系统下，能对U 盘读取到的课件文件进行自动归类，可快速分类查找office 文档、音乐、视频、图片等文件；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 教学软件功能</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 为了降低老师使用负担及学习成本，增强软件易用性，软件上的大多数按钮和图标都配有中文标识（不是鼠标移上去才显示的方式），以方便用户迅速、直观地理解按钮或图标的含义。</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 互动展示功能：可以结合交互一体机,组成一个交互式的协作会议或教学环境，配备的笔可代替粉笔，在交互一体机软件中书写、绘图。</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 页面扩展和漫游：白板软件支持手指左右滑动可以翻页、手指拖拽页面可实现页面扩展和漫游。</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 擦除功能：支持圈中擦除、清屏、手势擦除等多种擦除功能；</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 支持老师个人手机号免费注册账号，老师可选择使用账号密码登陆软件，也可通过USB key进行身份快速识别登录，同时也可以使用手机微信扫描快速登录。（为满足不同场景登录教学软件的需求，需提供三种登录方式：账号输入登录、微信扫码登录、USB key插入登录）。</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 文件功能：可以导出为PPT文件格式；点击文件，可直接打开；无需再次打开白板软件；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 安卓白板具备下拉式板中板功能，不受其它功能操作影响，便于教师书写提纲。</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▲11. 图片快速编辑：为方便老师备课时快速处理图片素材，白板软件自带图片边缘处理功能，在白板软件中对导入的图片进行快速背景去除，处理后的图片主体边缘光滑，可导出保存成图片格式。</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12. 地球教学工具：为方便老师教学，提供星球模型，自带太阳系九大行星模型，支持2D/3D切换，地球模型中包含人口分布等模型，帮助老师快速调用。</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13.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▲14. 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15. 提供柱状图、扇形图、折线图等互动图表，每类图表预置不少于5种样式，支持图表文字、背景、透明度设置；柱状图、折线图可一键转置互换坐标轴类别；图表支持三维模式旋转展示，生动形象。</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▲16. 为方便老师随时随地快速查看分享课件，白板软件具有手机app支持，老师可在手机白板app中快速接收分享课件并进行查看预览，在预览课件的同时，手机与大屏即使不在同一局域网，仍然可对大屏课件进行实时控制，翻页跳页等。</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17. 手机白板app可以上传手机相册中的照片和视频到资料夹，且支持调用系统相机拍摄照片并直接上传。教师可以在备课端选择资源插入课件。移动平台支持在线预览、下载资料夹中的图片和视频。</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18. PPT标注和保存：可在PPT软件中批注并保存，保存的文档不改变原文档属性，非图片格式。</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19. 多学科题库：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 微课视频：提供涵盖小学、初中、高中超过2000个微课程视频，每个学段的微课视频内容应不少于三个主要学科。微课内容可在线点播，下载至课件播放。微课视频支持视频关键帧打点标记，播放过程中可一键跳转至标记位置，同时支持一键对视频内容进行截图插入课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21. 支持离线备课：离线情况下，调用离线缓存的资源、添加使用文本、形状、表格元素；支持课件备课完成后存储于本地，网络连接后可同步至云端。</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三、教师移动端软件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 作业布置：教师可在APP端轻松布置和检查作业，作业类型包括图片、音视频、作业通知等。</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 家校沟通：教师和家长间可以便捷的进行语音、文本和图片形式的会话聊天。用户可以指定联系人或群组发起会话聊天，还可以在对创建各种讨论组。</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 班级通知：教师可以将学生在学校的学习情况进行通知发布，并可以选择可查看的班级。</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 班级打卡通知：支持教师在手机客户端布置打卡任务，并可在发布任务中添加语音、视频、链接等。</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 班级成绩发布：支持手机客户端与教育云平台的消息互通，教师通过平台发布学生成绩、班级通知</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 邀请家长：实现教师可通过链接、短信等方式给家长推送邀请通知，邀请家长入班。</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 登录互动课堂：支持通过移动端扫码的方式登录PC教师端，免去输入密码。</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 生成学生智能报告：教师可选择时间段，生成这段时间内的学生报告评语，可以让教师查看到更系统的学生认知。</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教师发展管理软件（需与设备为同一生产厂家）：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 支持管理者在网页中登录账号查看学校教师备授课情况。</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 可以根据数据自动分析，同比显示周、月总情况。</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 具备自动排名的功能，根据老师备授课情况、家校互通情况进行排名，针对性激励老师。</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 学校可通过网页平台建设校本资源库，老师可以上传白板课件，分享给全校老师。1、教案数据：支持查看全校教案总数、教师课件总数、校本教案及校本课件总数。同时支持按本周、本月、自定义时间段查看教案/课件制作数量的排行，查看全校教师的教案，校本教案/课件/胶囊，方便进行教案及校本教案/课件/胶囊检查，让管理者总览全校教案/课件/胶囊编写制作情况。</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课件制作数据：支持按本周、本月、自定义时间查看全校教师课件制作的数据排行，教师榜单支持按照课件数、上传校本课件数、校本课件上传量进行排序。课件数据支持按学科对比，方便总览全校课件制作情况。</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为学校提供教研全流程管理服务，包含教学计划、教学设计、校本资源、集体备课、听课评课、班级氛围的流程管理和数据分析，方便学校统筹管理教学、掌握教研活动进展，收集数据反馈和评价，了解全校教师的教学教研产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7、学校目标与计划：可以在系统中录入学校教学计划，计划可以和教案的课时数相关联，方便管理者掌握学校教学进度。</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8、教研组计划：以不同学科不同年级教研组为单位，可以在系统中录入教研组教学计划，计划可以和教案的课时数相关联，方便教研组管理教学进度。</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5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推拉黑板</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1、外形尺寸：4000mm×1350mm；</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 产品结构：内外双层结构，支持电子白板或一体机偏一侧或居中安装方式,根据所配电子白板适当调整；</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3、边框：外框铝型材正面尺寸≥68mm，壁厚≥1.2mm,工业铝型材。耐腐蚀、耐磨性达到GB/T5237-2008标准。内框铝型材正面尺寸≥50mm,壁厚1.0mm，香槟色工业铝型材，耐腐蚀、耐磨性；</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4、书写板面：采用厚度为0.30mm高档墨绿色金属烤漆书写板，表面细致光洁，书写流畅，抗撞击、磨损、刮擦、不褪色，使用寿命10年以上；</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5、采用环保型双组份聚氨酯胶水，自动化流水线覆板作业，确保粘接牢固板面平整，甲醛释放量≤0.2mg/L，符合GB/T 28231-2011《书写板安全卫生要求》；</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6、夹层：采用高密度聚苯乙烯板做夹层，厚度≥20mm，面层平整，无折痕，不变形，吸音强且环保，书写无噪音；</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7、背板：采用高档优质镀锌板，厚度≥0.27mm，板面平整，镀层牢固、光滑而均匀；</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8、外框四角与绿板四角采用ABS工程塑料，模具一次成型，抗冲击力强；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9、整套书写板的两端装置固定挡板，并设有滑动缓冲胶垫，缓解滑动发出的噪音以及强烈碰撞造成的损坏。配置带拉手的高档锌合金镶嵌式钩锁；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10、滑轨与外框整体成型，具备独立、隐形的特点。滑轮采用隐形安装、传动，不露一根螺钉。滑轮后置，隔离滑轮与粉笔灰的接触面，杜绝长期使用后，因粉笔灰沉积导致书写板推拉困难，杜绝滑轮脱轨。</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5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交换机</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24口千兆</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5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视频展台</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1.硬件参数：无锐角无利边设计，有效防止师生碰伤、划伤。</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2.壁挂式安装，防盗防破坏。</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3.采用USB高速接口，单根USB线实现供电、高清数据传输需求。</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4.采用800W像素自动对焦摄像头，可拍摄A4画幅。</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5.解析度：中间≥1600线，四周≥1400线。</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6.为保证兼容性及稳定性，视频展台需与智慧黑板为同一品牌。</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软件参数：</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1.支持对展台实时画面进行放大、缩小、旋转、自适应、冻结画面等操作。</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2.支持展台画面实时批注，预设多种笔划粗细及颜色供选择，且支持对展台画面联同批注内容进行同步缩放、移动。</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3.支持展台画面拍照截图并进行多图预览，可对任一图片进行全屏显示。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4.老师可在一体机或电脑上选择延时拍照功能，支持5秒或10秒延时模式，预留充足时间以便调整拍摄内容。</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5.可选择图像、文本或动态三种情景模式，适应不同展示内容。</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6.具备图像增强功能，可自动裁剪背景并增强文字显示，使文档画面更清晰。</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7.支持故障自动检测，在软件无法出现展台拍摄画面时，自动出现检测链接，帮助用户检测“无画面”的原因，并给出引导性解决方案。可判断硬件连接、显卡驱动、摄像头占用、软件版本等问题。</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8.支持二维码扫码功能：打开扫一扫功能后，将书本上的二维码放入扫描框内即可自动扫描，并进入系统浏览器获取二维码的链接内容，帮助老师快速获取电子教学资源。</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5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00" w:type="dxa"/>
            <w:shd w:val="clear" w:color="auto" w:fill="FFFFFF"/>
            <w:noWrap/>
            <w:vAlign w:val="center"/>
          </w:tcPr>
          <w:p>
            <w:pPr>
              <w:pStyle w:val="94"/>
              <w:widowControl/>
              <w:numPr>
                <w:ilvl w:val="0"/>
                <w:numId w:val="19"/>
              </w:numPr>
              <w:ind w:firstLineChars="0"/>
              <w:jc w:val="center"/>
              <w:rPr>
                <w:rFonts w:ascii="宋体" w:hAnsi="宋体" w:cs="宋体"/>
                <w:color w:val="auto"/>
                <w:kern w:val="0"/>
                <w:szCs w:val="21"/>
                <w:highlight w:val="none"/>
              </w:rPr>
            </w:pPr>
          </w:p>
        </w:tc>
        <w:tc>
          <w:tcPr>
            <w:tcW w:w="1067"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辅材及安装</w:t>
            </w:r>
          </w:p>
        </w:tc>
        <w:tc>
          <w:tcPr>
            <w:tcW w:w="582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主要技术参数：符合国家标准的铜线，负载满足要求，电源线、水晶头、6类网线：符合国家标准，满足传输要求；电源插座符合国家标准，满足连接需求；线缆、管材等辅材，均要求用知名品牌优质材料。施工依照综合布线标准设计要具有高扩展性、灵活性、先进性、可管理性。</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5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bl>
    <w:p>
      <w:pPr>
        <w:rPr>
          <w:color w:val="auto"/>
          <w:highlight w:val="none"/>
        </w:rPr>
      </w:pPr>
    </w:p>
    <w:p>
      <w:pPr>
        <w:widowControl/>
        <w:jc w:val="left"/>
        <w:rPr>
          <w:b/>
          <w:bCs/>
          <w:color w:val="auto"/>
          <w:highlight w:val="none"/>
        </w:rPr>
      </w:pPr>
      <w:r>
        <w:rPr>
          <w:rFonts w:hint="eastAsia"/>
          <w:b/>
          <w:bCs/>
          <w:color w:val="auto"/>
          <w:highlight w:val="none"/>
        </w:rPr>
        <w:t>（2）云计算机教室</w:t>
      </w:r>
    </w:p>
    <w:tbl>
      <w:tblPr>
        <w:tblStyle w:val="30"/>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88"/>
        <w:gridCol w:w="1100"/>
        <w:gridCol w:w="5875"/>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588" w:type="dxa"/>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00" w:type="dxa"/>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5875" w:type="dxa"/>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主要技术指标</w:t>
            </w:r>
          </w:p>
        </w:tc>
        <w:tc>
          <w:tcPr>
            <w:tcW w:w="709" w:type="dxa"/>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709" w:type="dxa"/>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云管理服务器</w:t>
            </w:r>
          </w:p>
        </w:tc>
        <w:tc>
          <w:tcPr>
            <w:tcW w:w="5875" w:type="dxa"/>
            <w:shd w:val="clear" w:color="auto" w:fill="FFFFFF"/>
          </w:tcPr>
          <w:p>
            <w:pPr>
              <w:widowControl/>
              <w:rPr>
                <w:rFonts w:ascii="宋体" w:hAnsi="宋体" w:cs="宋体"/>
                <w:color w:val="auto"/>
                <w:kern w:val="0"/>
                <w:szCs w:val="21"/>
                <w:highlight w:val="none"/>
              </w:rPr>
            </w:pPr>
            <w:r>
              <w:rPr>
                <w:rFonts w:ascii="宋体" w:hAnsi="宋体" w:cs="宋体"/>
                <w:color w:val="auto"/>
                <w:kern w:val="0"/>
                <w:szCs w:val="21"/>
                <w:highlight w:val="none"/>
              </w:rPr>
              <w:t xml:space="preserve">1、机型:国产自主品牌，                                                            </w:t>
            </w:r>
          </w:p>
          <w:p>
            <w:pPr>
              <w:widowControl/>
              <w:rPr>
                <w:rFonts w:ascii="宋体" w:hAnsi="宋体" w:cs="宋体"/>
                <w:color w:val="auto"/>
                <w:kern w:val="0"/>
                <w:szCs w:val="21"/>
                <w:highlight w:val="none"/>
              </w:rPr>
            </w:pPr>
            <w:r>
              <w:rPr>
                <w:rFonts w:ascii="宋体" w:hAnsi="宋体" w:cs="宋体"/>
                <w:color w:val="auto"/>
                <w:kern w:val="0"/>
                <w:szCs w:val="21"/>
                <w:highlight w:val="none"/>
              </w:rPr>
              <w:t xml:space="preserve">2、处理器:配置不低于Intel Xeon E-2224G系列；                            </w:t>
            </w:r>
          </w:p>
          <w:p>
            <w:pPr>
              <w:widowControl/>
              <w:rPr>
                <w:rFonts w:ascii="宋体" w:hAnsi="宋体" w:cs="宋体"/>
                <w:color w:val="auto"/>
                <w:kern w:val="0"/>
                <w:szCs w:val="21"/>
                <w:highlight w:val="none"/>
              </w:rPr>
            </w:pPr>
            <w:r>
              <w:rPr>
                <w:rFonts w:ascii="宋体" w:hAnsi="宋体" w:cs="宋体"/>
                <w:color w:val="auto"/>
                <w:kern w:val="0"/>
                <w:szCs w:val="21"/>
                <w:highlight w:val="none"/>
              </w:rPr>
              <w:t xml:space="preserve">3、内存:不少于16GB ECC DDR4 2400MHz内存，                                         </w:t>
            </w:r>
          </w:p>
          <w:p>
            <w:pPr>
              <w:widowControl/>
              <w:rPr>
                <w:rFonts w:ascii="宋体" w:hAnsi="宋体" w:cs="宋体"/>
                <w:color w:val="auto"/>
                <w:kern w:val="0"/>
                <w:szCs w:val="21"/>
                <w:highlight w:val="none"/>
              </w:rPr>
            </w:pPr>
            <w:r>
              <w:rPr>
                <w:rFonts w:ascii="宋体" w:hAnsi="宋体" w:cs="宋体"/>
                <w:color w:val="auto"/>
                <w:kern w:val="0"/>
                <w:szCs w:val="21"/>
                <w:highlight w:val="none"/>
              </w:rPr>
              <w:t xml:space="preserve">4、网络:2×1000M自适应以太网卡； </w:t>
            </w:r>
          </w:p>
          <w:p>
            <w:pPr>
              <w:widowControl/>
              <w:rPr>
                <w:rFonts w:ascii="宋体" w:hAnsi="宋体" w:cs="宋体"/>
                <w:color w:val="auto"/>
                <w:kern w:val="0"/>
                <w:szCs w:val="21"/>
                <w:highlight w:val="none"/>
              </w:rPr>
            </w:pPr>
            <w:r>
              <w:rPr>
                <w:rFonts w:ascii="宋体" w:hAnsi="宋体" w:cs="宋体"/>
                <w:color w:val="auto"/>
                <w:kern w:val="0"/>
                <w:szCs w:val="21"/>
                <w:highlight w:val="none"/>
              </w:rPr>
              <w:t>5、硬盘:不少于1块2T 机械盘,1块240GB SSD；</w:t>
            </w:r>
          </w:p>
          <w:p>
            <w:pPr>
              <w:widowControl/>
              <w:rPr>
                <w:rFonts w:ascii="宋体" w:hAnsi="宋体" w:cs="宋体"/>
                <w:color w:val="auto"/>
                <w:kern w:val="0"/>
                <w:szCs w:val="21"/>
                <w:highlight w:val="none"/>
              </w:rPr>
            </w:pPr>
            <w:r>
              <w:rPr>
                <w:rFonts w:ascii="宋体" w:hAnsi="宋体" w:cs="宋体"/>
                <w:color w:val="auto"/>
                <w:kern w:val="0"/>
                <w:szCs w:val="21"/>
                <w:highlight w:val="none"/>
              </w:rPr>
              <w:t>6、电源：配置单个电源；</w:t>
            </w:r>
          </w:p>
          <w:p>
            <w:pPr>
              <w:widowControl/>
              <w:rPr>
                <w:rFonts w:ascii="宋体" w:hAnsi="宋体" w:cs="宋体"/>
                <w:color w:val="auto"/>
                <w:kern w:val="0"/>
                <w:szCs w:val="21"/>
                <w:highlight w:val="none"/>
              </w:rPr>
            </w:pPr>
            <w:r>
              <w:rPr>
                <w:rFonts w:ascii="宋体" w:hAnsi="宋体" w:cs="宋体"/>
                <w:color w:val="auto"/>
                <w:kern w:val="0"/>
                <w:szCs w:val="21"/>
                <w:highlight w:val="none"/>
              </w:rPr>
              <w:t>内置虚拟化系统软件</w:t>
            </w:r>
          </w:p>
          <w:p>
            <w:pPr>
              <w:widowControl/>
              <w:rPr>
                <w:rFonts w:ascii="宋体" w:hAnsi="宋体" w:cs="宋体"/>
                <w:color w:val="auto"/>
                <w:kern w:val="0"/>
                <w:szCs w:val="21"/>
                <w:highlight w:val="none"/>
              </w:rPr>
            </w:pPr>
            <w:r>
              <w:rPr>
                <w:rFonts w:ascii="宋体" w:hAnsi="宋体" w:cs="宋体"/>
                <w:color w:val="auto"/>
                <w:kern w:val="0"/>
                <w:szCs w:val="21"/>
                <w:highlight w:val="none"/>
              </w:rPr>
              <w:t>1. 为方便管理员了解整个系统的运行状态、排查故障，提供中文Web界面，监控服务器的CPU、内存、网</w:t>
            </w:r>
            <w:r>
              <w:rPr>
                <w:rFonts w:hint="eastAsia" w:ascii="宋体" w:hAnsi="宋体" w:cs="宋体"/>
                <w:color w:val="auto"/>
                <w:kern w:val="0"/>
                <w:szCs w:val="21"/>
                <w:highlight w:val="none"/>
              </w:rPr>
              <w:t>络等运行状态，并提供服务器</w:t>
            </w:r>
            <w:r>
              <w:rPr>
                <w:rFonts w:ascii="宋体" w:hAnsi="宋体" w:cs="宋体"/>
                <w:color w:val="auto"/>
                <w:kern w:val="0"/>
                <w:szCs w:val="21"/>
                <w:highlight w:val="none"/>
              </w:rPr>
              <w:t xml:space="preserve">CPU、硬盘、网卡信息的查看、和系统授权管理； 一台服务器支持500台终端同时流畅运行 AutoCAD、3DMax、视频制作、图像处理等大型软件。 </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 xml:space="preserve">2. 为了便于维护和后续系统扩展，系统具有远程维护的功能，包括远程开关机、远程重启、发送指令等，云桌面平台需采用标准桌面镜像格式（IMG，VHD）和标准硬盘分区格式（NTFS等）。 </w:t>
            </w:r>
          </w:p>
          <w:p>
            <w:pPr>
              <w:widowControl/>
              <w:rPr>
                <w:rFonts w:ascii="宋体" w:hAnsi="宋体" w:cs="宋体"/>
                <w:color w:val="auto"/>
                <w:kern w:val="0"/>
                <w:szCs w:val="21"/>
                <w:highlight w:val="none"/>
              </w:rPr>
            </w:pPr>
            <w:r>
              <w:rPr>
                <w:rFonts w:ascii="宋体" w:hAnsi="宋体" w:cs="宋体"/>
                <w:color w:val="auto"/>
                <w:kern w:val="0"/>
                <w:szCs w:val="21"/>
                <w:highlight w:val="none"/>
              </w:rPr>
              <w:t xml:space="preserve">3. 为减轻管理员运维难度，当用户使用上有问题时，可以在管理后台选中终端进行远程协助，不需要跑到现场去解决问题，另外管理员在创建桌面时可以选择是否开启远程桌面功能。 </w:t>
            </w:r>
          </w:p>
          <w:p>
            <w:pPr>
              <w:widowControl/>
              <w:rPr>
                <w:rFonts w:ascii="宋体" w:hAnsi="宋体" w:cs="宋体"/>
                <w:color w:val="auto"/>
                <w:kern w:val="0"/>
                <w:szCs w:val="21"/>
                <w:highlight w:val="none"/>
              </w:rPr>
            </w:pPr>
            <w:r>
              <w:rPr>
                <w:rFonts w:ascii="宋体" w:hAnsi="宋体" w:cs="宋体"/>
                <w:color w:val="auto"/>
                <w:kern w:val="0"/>
                <w:szCs w:val="21"/>
                <w:highlight w:val="none"/>
              </w:rPr>
              <w:t xml:space="preserve">4. 支持管理员创建镜像的时候对镜像统一管理，支持树桩形式多级部署，支持对镜像母盘的修改和已创建镜像的升级。 </w:t>
            </w:r>
          </w:p>
          <w:p>
            <w:pPr>
              <w:widowControl/>
              <w:rPr>
                <w:rFonts w:ascii="宋体" w:hAnsi="宋体" w:cs="宋体"/>
                <w:color w:val="auto"/>
                <w:kern w:val="0"/>
                <w:szCs w:val="21"/>
                <w:highlight w:val="none"/>
              </w:rPr>
            </w:pPr>
            <w:r>
              <w:rPr>
                <w:rFonts w:ascii="宋体" w:hAnsi="宋体" w:cs="宋体"/>
                <w:color w:val="auto"/>
                <w:kern w:val="0"/>
                <w:szCs w:val="21"/>
                <w:highlight w:val="none"/>
              </w:rPr>
              <w:t>5. 为方便管理员对不同部门或者使用人员的分类，云桌面系统支持分组的功能，可以自定义分组名称，给终端加入群组、移除群组。</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学生终端</w:t>
            </w:r>
          </w:p>
        </w:tc>
        <w:tc>
          <w:tcPr>
            <w:tcW w:w="5875" w:type="dxa"/>
            <w:shd w:val="clear" w:color="auto" w:fill="FFFFFF"/>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1.为简化管理维护，本次提供产品必须为X86架构云终端设备（非PC）。</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2.处理器Intel系列 酷睿I3主频≥2.0GHz；</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3.内存容量不低于8GB DDR4内存；提供M.2接口硬盘不少于256G SSD的硬盘存储空间。</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4.显卡不得低于Intel HD Graphics 650；</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▲5.配置不少于6个USB接口（其中至少2个USB3.0）、1个千兆网口、1个VGA接口和1个HDMI接口、1对音频输入输出接口。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6.21.5寸液晶屏a-Si TFT-LCD（解析度：1920×1080）                                         7.内置130万摄像头，内置音箱。</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键鼠</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USB有线连接薄膜式键盘，人体工程学104键，USB有线光电鼠，3键+滚轮</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教师机</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i5-9500 8G 256GSSD DVDRW 1T 2G 独立显卡 23寸显示器 </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管理及教学软件</w:t>
            </w:r>
          </w:p>
        </w:tc>
        <w:tc>
          <w:tcPr>
            <w:tcW w:w="5875" w:type="dxa"/>
            <w:shd w:val="clear" w:color="auto" w:fill="FFFFFF"/>
          </w:tcPr>
          <w:p>
            <w:pPr>
              <w:widowControl/>
              <w:rPr>
                <w:rFonts w:ascii="宋体" w:hAnsi="宋体"/>
                <w:color w:val="auto"/>
                <w:szCs w:val="21"/>
                <w:highlight w:val="none"/>
              </w:rPr>
            </w:pPr>
            <w:r>
              <w:rPr>
                <w:rFonts w:hint="eastAsia" w:ascii="宋体" w:hAnsi="宋体"/>
                <w:color w:val="auto"/>
                <w:szCs w:val="21"/>
                <w:highlight w:val="none"/>
              </w:rPr>
              <w:t xml:space="preserve">1、在虚拟机开机、关机过程中，用户可完整看到虚拟机开机和关机过程，提供类似于PC一样的体验； </w:t>
            </w:r>
            <w:r>
              <w:rPr>
                <w:rFonts w:hint="eastAsia" w:ascii="宋体" w:hAnsi="宋体"/>
                <w:color w:val="auto"/>
                <w:szCs w:val="21"/>
                <w:highlight w:val="none"/>
              </w:rPr>
              <w:br w:type="textWrapping"/>
            </w:r>
            <w:r>
              <w:rPr>
                <w:rFonts w:hint="eastAsia" w:ascii="宋体" w:hAnsi="宋体"/>
                <w:color w:val="auto"/>
                <w:szCs w:val="21"/>
                <w:highlight w:val="none"/>
              </w:rPr>
              <w:t>2、提供用户自助维护通道。当虚拟桌面登录出现异常时，用户可通过此维护通道自行维护解决部分虚拟桌面登录使用问题；</w:t>
            </w:r>
          </w:p>
          <w:p>
            <w:pPr>
              <w:widowControl/>
              <w:jc w:val="left"/>
              <w:rPr>
                <w:rFonts w:ascii="宋体" w:hAnsi="宋体"/>
                <w:color w:val="auto"/>
                <w:szCs w:val="21"/>
                <w:highlight w:val="none"/>
              </w:rPr>
            </w:pPr>
            <w:r>
              <w:rPr>
                <w:rFonts w:hint="eastAsia" w:ascii="宋体" w:hAnsi="宋体"/>
                <w:color w:val="auto"/>
                <w:szCs w:val="21"/>
                <w:highlight w:val="none"/>
              </w:rPr>
              <w:t xml:space="preserve">3.支持集群化部署，资源弹性可扩展，采用超融合架构，分布式存储，支持多数据副本；为方便管理老师根据需求变化扩容存储，管理平台支持手动选择是否安装存储、选择安装的服务器及存储大小，支持选择存储内文件副本数，为保障数据安全，默认副本数为2；当存储为集群时，单个节点故障不影响存储的使用； </w:t>
            </w:r>
            <w:r>
              <w:rPr>
                <w:rFonts w:hint="eastAsia" w:ascii="宋体" w:hAnsi="宋体"/>
                <w:color w:val="auto"/>
                <w:szCs w:val="21"/>
                <w:highlight w:val="none"/>
              </w:rPr>
              <w:br w:type="textWrapping"/>
            </w:r>
            <w:r>
              <w:rPr>
                <w:rFonts w:hint="eastAsia" w:ascii="宋体" w:hAnsi="宋体"/>
                <w:color w:val="auto"/>
                <w:szCs w:val="21"/>
                <w:highlight w:val="none"/>
              </w:rPr>
              <w:t xml:space="preserve">4.系统支持查看网络拓扑图绘制功能，可根据接入终端自动绘制网络拓扑图；                                                              5.为防止安全软件对端口的安全管理，系统支持网络端口可在web界面进行配置调整； </w:t>
            </w:r>
            <w:r>
              <w:rPr>
                <w:rFonts w:hint="eastAsia" w:ascii="宋体" w:hAnsi="宋体"/>
                <w:color w:val="auto"/>
                <w:szCs w:val="21"/>
                <w:highlight w:val="none"/>
              </w:rPr>
              <w:br w:type="textWrapping"/>
            </w:r>
            <w:r>
              <w:rPr>
                <w:rFonts w:hint="eastAsia" w:ascii="宋体" w:hAnsi="宋体"/>
                <w:color w:val="auto"/>
                <w:szCs w:val="21"/>
                <w:highlight w:val="none"/>
              </w:rPr>
              <w:t xml:space="preserve">▲6.管理系统支持根据不同区域的网络环境，创建不同的虚拟网络类型，包括创建 access 网络和 trunk网络，以满足桌面网络建设和教学需求； </w:t>
            </w:r>
            <w:r>
              <w:rPr>
                <w:rFonts w:hint="eastAsia" w:ascii="宋体" w:hAnsi="宋体"/>
                <w:color w:val="auto"/>
                <w:szCs w:val="21"/>
                <w:highlight w:val="none"/>
              </w:rPr>
              <w:br w:type="textWrapping"/>
            </w:r>
            <w:r>
              <w:rPr>
                <w:rFonts w:hint="eastAsia" w:ascii="宋体" w:hAnsi="宋体"/>
                <w:color w:val="auto"/>
                <w:szCs w:val="21"/>
                <w:highlight w:val="none"/>
              </w:rPr>
              <w:t>7、系统支持网络监控功能，管理员在Web界面可以查看各个终端与云服务器之间的网络状态，以便管理员了解整体网络负载情况；</w:t>
            </w:r>
          </w:p>
          <w:p>
            <w:pPr>
              <w:widowControl/>
              <w:rPr>
                <w:rFonts w:ascii="宋体" w:hAnsi="宋体"/>
                <w:color w:val="auto"/>
                <w:szCs w:val="21"/>
                <w:highlight w:val="none"/>
              </w:rPr>
            </w:pPr>
            <w:r>
              <w:rPr>
                <w:rFonts w:hint="eastAsia" w:ascii="宋体" w:hAnsi="宋体"/>
                <w:color w:val="auto"/>
                <w:szCs w:val="21"/>
                <w:highlight w:val="none"/>
              </w:rPr>
              <w:t>▲8、支持中文 Web 界面，便于管理员和教师进行管理系统的维护和使用，支持通过 web 管理平台能够监控服务器、性能监控、虚机 CPU 运行状态监控</w:t>
            </w:r>
          </w:p>
          <w:p>
            <w:pPr>
              <w:widowControl/>
              <w:rPr>
                <w:rFonts w:ascii="宋体" w:hAnsi="宋体"/>
                <w:color w:val="auto"/>
                <w:szCs w:val="21"/>
                <w:highlight w:val="none"/>
              </w:rPr>
            </w:pPr>
            <w:r>
              <w:rPr>
                <w:rFonts w:hint="eastAsia" w:ascii="宋体" w:hAnsi="宋体"/>
                <w:color w:val="auto"/>
                <w:szCs w:val="21"/>
                <w:highlight w:val="none"/>
              </w:rPr>
              <w:t>▲9、支持虚拟机故障恢复功能，故障虚拟机可以通过备份恢复，也可以恢复到新的虚拟机。当故障虚拟机恢复到新的虚拟机时，故障虚拟机的数据盘自动挂载到新的虚拟机中；支持虚拟机回收功能，虚拟机被误删除时，管理员可以从虚拟机回收站中将虚拟机恢复</w:t>
            </w:r>
          </w:p>
          <w:p>
            <w:pPr>
              <w:widowControl/>
              <w:rPr>
                <w:rFonts w:ascii="宋体" w:hAnsi="宋体"/>
                <w:color w:val="auto"/>
                <w:szCs w:val="21"/>
                <w:highlight w:val="none"/>
              </w:rPr>
            </w:pPr>
            <w:r>
              <w:rPr>
                <w:rFonts w:hint="eastAsia" w:ascii="宋体" w:hAnsi="宋体"/>
                <w:color w:val="auto"/>
                <w:szCs w:val="21"/>
                <w:highlight w:val="none"/>
              </w:rPr>
              <w:t>▲10、虚拟化软件同时提供教学桌面和办公桌面两种桌面模式，教学桌面可用于培训、会议、教学等场景，可根据需要创建不同点数的虚拟教室，创建时可设置教室名、教室号并选择教室网络；办公桌面可用于办公、研发、虚拟服务器等场景，为保证管理界面简洁性，办公功能默认不开启且相应管理界面不显示，手动开启功能后自动加载相应的管理界面；</w:t>
            </w:r>
          </w:p>
          <w:p>
            <w:pPr>
              <w:widowControl/>
              <w:rPr>
                <w:color w:val="auto"/>
                <w:szCs w:val="21"/>
                <w:highlight w:val="none"/>
              </w:rPr>
            </w:pPr>
            <w:r>
              <w:rPr>
                <w:rFonts w:hint="eastAsia" w:ascii="宋体" w:hAnsi="宋体"/>
                <w:color w:val="auto"/>
                <w:szCs w:val="21"/>
                <w:highlight w:val="none"/>
              </w:rPr>
              <w:t>▲11、为避免教学事故，支持离线教学演示，即当服务器故障时，教师端可以继续广播自己屏幕进行授课；</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学生机虚拟化软件授权</w:t>
            </w:r>
          </w:p>
        </w:tc>
        <w:tc>
          <w:tcPr>
            <w:tcW w:w="5875" w:type="dxa"/>
            <w:shd w:val="clear" w:color="auto" w:fill="FFFFFF"/>
          </w:tcPr>
          <w:p>
            <w:pPr>
              <w:widowControl/>
              <w:rPr>
                <w:color w:val="auto"/>
                <w:szCs w:val="21"/>
                <w:highlight w:val="none"/>
              </w:rPr>
            </w:pPr>
            <w:r>
              <w:rPr>
                <w:rFonts w:hint="eastAsia" w:ascii="宋体" w:hAnsi="宋体"/>
                <w:color w:val="auto"/>
                <w:szCs w:val="21"/>
                <w:highlight w:val="none"/>
              </w:rPr>
              <w:t xml:space="preserve">▲1．平台具有B/S架构WEB管理模式，在Web控制管理界面中至少包含镜像管理、桌面管理、快照管理、终端管理、用户管理等功能模块，以便高效能管理; </w:t>
            </w:r>
            <w:r>
              <w:rPr>
                <w:rFonts w:hint="eastAsia" w:ascii="宋体" w:hAnsi="宋体"/>
                <w:color w:val="auto"/>
                <w:szCs w:val="21"/>
                <w:highlight w:val="none"/>
              </w:rPr>
              <w:br w:type="textWrapping"/>
            </w:r>
            <w:r>
              <w:rPr>
                <w:rFonts w:hint="eastAsia" w:ascii="宋体" w:hAnsi="宋体"/>
                <w:b/>
                <w:bCs/>
                <w:color w:val="auto"/>
                <w:szCs w:val="21"/>
                <w:highlight w:val="none"/>
              </w:rPr>
              <w:t>2．在Web界面中可以实时监控云终端和服务器的运行状态。包括云终端的离线/在线数量，桌面离线/在线数量以及服务器的CPU使用率，内存使用率，网络流量，存储使用率等运行状态信息，管理员可以查看终端3-10天活跃度; （投标</w:t>
            </w:r>
            <w:r>
              <w:rPr>
                <w:rFonts w:ascii="宋体" w:hAnsi="宋体"/>
                <w:b/>
                <w:bCs/>
                <w:color w:val="auto"/>
                <w:szCs w:val="21"/>
                <w:highlight w:val="none"/>
              </w:rPr>
              <w:t>现场提供功能的视频文件演示</w:t>
            </w:r>
            <w:r>
              <w:rPr>
                <w:rFonts w:hint="eastAsia" w:ascii="宋体" w:hAnsi="宋体"/>
                <w:b/>
                <w:bCs/>
                <w:color w:val="auto"/>
                <w:szCs w:val="21"/>
                <w:highlight w:val="none"/>
              </w:rPr>
              <w:t>）</w:t>
            </w:r>
            <w:r>
              <w:rPr>
                <w:rFonts w:hint="eastAsia" w:ascii="宋体" w:hAnsi="宋体"/>
                <w:color w:val="auto"/>
                <w:szCs w:val="21"/>
                <w:highlight w:val="none"/>
              </w:rPr>
              <w:br w:type="textWrapping"/>
            </w:r>
            <w:r>
              <w:rPr>
                <w:rFonts w:hint="eastAsia" w:ascii="宋体" w:hAnsi="宋体"/>
                <w:color w:val="auto"/>
                <w:szCs w:val="21"/>
                <w:highlight w:val="none"/>
              </w:rPr>
              <w:t>3．软件支持跨公网（非VPN方式）对云终端进行桌面镜像推送，对云终端、云桌面、用户、云盘进行远程集中管理；</w:t>
            </w:r>
            <w:r>
              <w:rPr>
                <w:rFonts w:hint="eastAsia" w:ascii="宋体" w:hAnsi="宋体"/>
                <w:color w:val="auto"/>
                <w:szCs w:val="21"/>
                <w:highlight w:val="none"/>
              </w:rPr>
              <w:br w:type="textWrapping"/>
            </w:r>
            <w:r>
              <w:rPr>
                <w:rFonts w:hint="eastAsia" w:ascii="宋体" w:hAnsi="宋体"/>
                <w:color w:val="auto"/>
                <w:szCs w:val="21"/>
                <w:highlight w:val="none"/>
              </w:rPr>
              <w:t xml:space="preserve">4．为了方便管理员下发文件资料和减少发送次数，系统具有同时对多个客户端进行批量文件发送功能，并且支持文件离线，管理员无需关注终端是否在线，只需要进行一次操作，终端自动下载文件资料，管理员可以通过平台查看下载进度，文件下载完毕后，有弹窗进行提示; </w:t>
            </w:r>
            <w:r>
              <w:rPr>
                <w:rFonts w:hint="eastAsia" w:ascii="宋体" w:hAnsi="宋体"/>
                <w:color w:val="auto"/>
                <w:szCs w:val="21"/>
                <w:highlight w:val="none"/>
              </w:rPr>
              <w:br w:type="textWrapping"/>
            </w:r>
            <w:r>
              <w:rPr>
                <w:rFonts w:hint="eastAsia" w:ascii="宋体" w:hAnsi="宋体"/>
                <w:b/>
                <w:bCs/>
                <w:color w:val="auto"/>
                <w:szCs w:val="21"/>
                <w:highlight w:val="none"/>
              </w:rPr>
              <w:t>5．系统支持带外远程协助和带内远程协助，即平台既能够在虚拟化层进行远程协助，也能够在操作系统层进行远程协助; （投标</w:t>
            </w:r>
            <w:r>
              <w:rPr>
                <w:rFonts w:ascii="宋体" w:hAnsi="宋体"/>
                <w:b/>
                <w:bCs/>
                <w:color w:val="auto"/>
                <w:szCs w:val="21"/>
                <w:highlight w:val="none"/>
              </w:rPr>
              <w:t>现场提供功能的视频文件演示</w:t>
            </w:r>
            <w:r>
              <w:rPr>
                <w:rFonts w:hint="eastAsia" w:ascii="宋体" w:hAnsi="宋体"/>
                <w:b/>
                <w:bCs/>
                <w:color w:val="auto"/>
                <w:szCs w:val="21"/>
                <w:highlight w:val="none"/>
              </w:rPr>
              <w:t>）</w:t>
            </w:r>
            <w:r>
              <w:rPr>
                <w:rFonts w:hint="eastAsia" w:ascii="宋体" w:hAnsi="宋体"/>
                <w:color w:val="auto"/>
                <w:szCs w:val="21"/>
                <w:highlight w:val="none"/>
              </w:rPr>
              <w:br w:type="textWrapping"/>
            </w:r>
            <w:r>
              <w:rPr>
                <w:rFonts w:hint="eastAsia" w:ascii="宋体" w:hAnsi="宋体"/>
                <w:color w:val="auto"/>
                <w:szCs w:val="21"/>
                <w:highlight w:val="none"/>
              </w:rPr>
              <w:t>6．支持对终端进行单个或批量进行信息备注，以便于管理员快速进行终端定位；</w:t>
            </w:r>
            <w:r>
              <w:rPr>
                <w:rFonts w:hint="eastAsia" w:ascii="宋体" w:hAnsi="宋体"/>
                <w:color w:val="auto"/>
                <w:szCs w:val="21"/>
                <w:highlight w:val="none"/>
              </w:rPr>
              <w:br w:type="textWrapping"/>
            </w:r>
            <w:r>
              <w:rPr>
                <w:rFonts w:hint="eastAsia" w:ascii="宋体" w:hAnsi="宋体"/>
                <w:color w:val="auto"/>
                <w:szCs w:val="21"/>
                <w:highlight w:val="none"/>
              </w:rPr>
              <w:t>7．为了便于管理员对终端的使用情况进行统计，系统具有批量统计终端管的在线时长功能，可以统计终端注册后使用的情况；</w:t>
            </w:r>
            <w:r>
              <w:rPr>
                <w:rFonts w:hint="eastAsia" w:ascii="宋体" w:hAnsi="宋体"/>
                <w:color w:val="auto"/>
                <w:szCs w:val="21"/>
                <w:highlight w:val="none"/>
              </w:rPr>
              <w:br w:type="textWrapping"/>
            </w:r>
            <w:r>
              <w:rPr>
                <w:rFonts w:hint="eastAsia" w:ascii="宋体" w:hAnsi="宋体"/>
                <w:color w:val="auto"/>
                <w:szCs w:val="21"/>
                <w:highlight w:val="none"/>
              </w:rPr>
              <w:t xml:space="preserve">8．支持打印机设置信息的备份和恢复，用户可以在终端上手动备份和恢复打印机设置信息，当终端镜像出现故障后，用户可以进行打印机配置信息的备份，在进行桌面还原后，可以手动恢复配置信息，无需二次进行打印机信息配置; </w:t>
            </w:r>
            <w:r>
              <w:rPr>
                <w:rFonts w:hint="eastAsia" w:ascii="宋体" w:hAnsi="宋体"/>
                <w:color w:val="auto"/>
                <w:szCs w:val="21"/>
                <w:highlight w:val="none"/>
              </w:rPr>
              <w:br w:type="textWrapping"/>
            </w:r>
            <w:r>
              <w:rPr>
                <w:rFonts w:hint="eastAsia" w:ascii="宋体" w:hAnsi="宋体"/>
                <w:color w:val="auto"/>
                <w:szCs w:val="21"/>
                <w:highlight w:val="none"/>
              </w:rPr>
              <w:t xml:space="preserve">9．支持给终端挂载本地磁盘进行数据的临时存储，用户可以自主的进行本地数据盘的备份和还原，无需管理员进行任何操作; </w:t>
            </w:r>
            <w:r>
              <w:rPr>
                <w:rFonts w:hint="eastAsia" w:ascii="宋体" w:hAnsi="宋体"/>
                <w:color w:val="auto"/>
                <w:szCs w:val="21"/>
                <w:highlight w:val="none"/>
              </w:rPr>
              <w:br w:type="textWrapping"/>
            </w:r>
            <w:r>
              <w:rPr>
                <w:rFonts w:hint="eastAsia" w:ascii="宋体" w:hAnsi="宋体"/>
                <w:color w:val="auto"/>
                <w:szCs w:val="21"/>
                <w:highlight w:val="none"/>
              </w:rPr>
              <w:t xml:space="preserve">10．系统支持自定义桌面背景，管理员可以对终端桌面统一进行壁纸的更换，可以将办公制度制作成壁纸提示用户; </w:t>
            </w:r>
            <w:r>
              <w:rPr>
                <w:rFonts w:hint="eastAsia" w:ascii="宋体" w:hAnsi="宋体"/>
                <w:color w:val="auto"/>
                <w:szCs w:val="21"/>
                <w:highlight w:val="none"/>
              </w:rPr>
              <w:br w:type="textWrapping"/>
            </w:r>
            <w:r>
              <w:rPr>
                <w:rFonts w:hint="eastAsia" w:ascii="宋体" w:hAnsi="宋体"/>
                <w:color w:val="auto"/>
                <w:szCs w:val="21"/>
                <w:highlight w:val="none"/>
              </w:rPr>
              <w:t xml:space="preserve">11．系统支持操作系统镜像统一管理功能，制作桌面镜像必须使用云桌面系统管理的操作系统镜像; </w:t>
            </w:r>
            <w:r>
              <w:rPr>
                <w:rFonts w:hint="eastAsia" w:ascii="宋体" w:hAnsi="宋体"/>
                <w:color w:val="auto"/>
                <w:szCs w:val="21"/>
                <w:highlight w:val="none"/>
              </w:rPr>
              <w:br w:type="textWrapping"/>
            </w:r>
            <w:r>
              <w:rPr>
                <w:rFonts w:hint="eastAsia" w:ascii="宋体" w:hAnsi="宋体"/>
                <w:b/>
                <w:bCs/>
                <w:color w:val="auto"/>
                <w:szCs w:val="21"/>
                <w:highlight w:val="none"/>
              </w:rPr>
              <w:t>12．支持群组功能，管理员可以对管控的客户端通过分组进行操作，并且可以针对不同的群组指定不同的安全管控策略；（投标</w:t>
            </w:r>
            <w:r>
              <w:rPr>
                <w:rFonts w:ascii="宋体" w:hAnsi="宋体"/>
                <w:b/>
                <w:bCs/>
                <w:color w:val="auto"/>
                <w:szCs w:val="21"/>
                <w:highlight w:val="none"/>
              </w:rPr>
              <w:t>现场提供功能的视频文件演示</w:t>
            </w:r>
            <w:r>
              <w:rPr>
                <w:rFonts w:hint="eastAsia" w:ascii="宋体" w:hAnsi="宋体"/>
                <w:b/>
                <w:bCs/>
                <w:color w:val="auto"/>
                <w:szCs w:val="21"/>
                <w:highlight w:val="none"/>
              </w:rPr>
              <w:t>）</w:t>
            </w:r>
            <w:r>
              <w:rPr>
                <w:rFonts w:hint="eastAsia" w:ascii="宋体" w:hAnsi="宋体"/>
                <w:color w:val="auto"/>
                <w:szCs w:val="21"/>
                <w:highlight w:val="none"/>
              </w:rPr>
              <w:br w:type="textWrapping"/>
            </w:r>
            <w:r>
              <w:rPr>
                <w:rFonts w:hint="eastAsia" w:ascii="宋体" w:hAnsi="宋体"/>
                <w:color w:val="auto"/>
                <w:szCs w:val="21"/>
                <w:highlight w:val="none"/>
              </w:rPr>
              <w:t xml:space="preserve">13．兼容用户原有的网络安全认证系统，并且可以在终端初始化界面进行802.1x认证登录界面; </w:t>
            </w:r>
            <w:r>
              <w:rPr>
                <w:rFonts w:hint="eastAsia" w:ascii="宋体" w:hAnsi="宋体"/>
                <w:color w:val="auto"/>
                <w:szCs w:val="21"/>
                <w:highlight w:val="none"/>
              </w:rPr>
              <w:br w:type="textWrapping"/>
            </w:r>
            <w:r>
              <w:rPr>
                <w:rFonts w:hint="eastAsia" w:ascii="宋体" w:hAnsi="宋体"/>
                <w:color w:val="auto"/>
                <w:szCs w:val="21"/>
                <w:highlight w:val="none"/>
              </w:rPr>
              <w:t xml:space="preserve">▲14．平台具有对管理员进行分权分域功能，即可以对管理员权限管辖范围进行划分，实现域管理员只能对组织内的云终端，桌面，镜像等进行操作，各域管理员组织互不可见，管理员权限划分基于角色的权限管（RBAC），可以通过控制界面创建管理员，给管理员分配权限，并且权限颗粒度要和具体功能相关; </w:t>
            </w:r>
            <w:r>
              <w:rPr>
                <w:rFonts w:hint="eastAsia" w:ascii="宋体" w:hAnsi="宋体"/>
                <w:color w:val="auto"/>
                <w:szCs w:val="21"/>
                <w:highlight w:val="none"/>
              </w:rPr>
              <w:br w:type="textWrapping"/>
            </w:r>
            <w:r>
              <w:rPr>
                <w:rFonts w:ascii="宋体" w:hAnsi="宋体"/>
                <w:b/>
                <w:bCs/>
                <w:color w:val="auto"/>
                <w:szCs w:val="21"/>
                <w:highlight w:val="none"/>
              </w:rPr>
              <w:t>15．提供多种安全管控策略，包括进行黑名单，禁止使用一些非标或者影响安全的软件，提供安全网关重定向功能，可以在服务器端为每个流桌面配置安全网关地址，可以用来限制用户上internet或者局域网，可以对USB存储，外置光驱，内置光驱，USB打印机，USB摄像头，串口，网口等接入设备控制进行管控，可以通过屏幕截图和用户上网记录对用户的行为进行审计，当终端离线后，管控策略也能生效；（投标现场提供功能的视频文件演示</w:t>
            </w:r>
            <w:r>
              <w:rPr>
                <w:rFonts w:hint="eastAsia" w:ascii="宋体" w:hAnsi="宋体"/>
                <w:b/>
                <w:bCs/>
                <w:color w:val="auto"/>
                <w:szCs w:val="21"/>
                <w:highlight w:val="none"/>
              </w:rPr>
              <w:t>）</w:t>
            </w:r>
            <w:r>
              <w:rPr>
                <w:rFonts w:hint="eastAsia" w:ascii="宋体" w:hAnsi="宋体"/>
                <w:color w:val="auto"/>
                <w:szCs w:val="21"/>
                <w:highlight w:val="none"/>
              </w:rPr>
              <w:br w:type="textWrapping"/>
            </w:r>
            <w:r>
              <w:rPr>
                <w:rFonts w:hint="eastAsia" w:ascii="宋体" w:hAnsi="宋体"/>
                <w:color w:val="auto"/>
                <w:szCs w:val="21"/>
                <w:highlight w:val="none"/>
              </w:rPr>
              <w:t xml:space="preserve">16．支持按照单次，周，月来触发终端远程开关机，桌面切换和运行自定义命令，支持多种任务组合使用，支持设置任务的前置操作; </w:t>
            </w:r>
            <w:r>
              <w:rPr>
                <w:rFonts w:hint="eastAsia" w:ascii="宋体" w:hAnsi="宋体"/>
                <w:color w:val="auto"/>
                <w:szCs w:val="21"/>
                <w:highlight w:val="none"/>
              </w:rPr>
              <w:br w:type="textWrapping"/>
            </w:r>
            <w:r>
              <w:rPr>
                <w:rFonts w:hint="eastAsia" w:ascii="宋体" w:hAnsi="宋体"/>
                <w:color w:val="auto"/>
                <w:szCs w:val="21"/>
                <w:highlight w:val="none"/>
              </w:rPr>
              <w:t xml:space="preserve">17．支持管理员在Web界面可以查看各个终端的CPU，内存，硬盘的使用情况; </w:t>
            </w:r>
            <w:r>
              <w:rPr>
                <w:rFonts w:hint="eastAsia" w:ascii="宋体" w:hAnsi="宋体"/>
                <w:color w:val="auto"/>
                <w:szCs w:val="21"/>
                <w:highlight w:val="none"/>
              </w:rPr>
              <w:br w:type="textWrapping"/>
            </w:r>
            <w:r>
              <w:rPr>
                <w:rFonts w:hint="eastAsia" w:ascii="宋体" w:hAnsi="宋体"/>
                <w:color w:val="auto"/>
                <w:szCs w:val="21"/>
                <w:highlight w:val="none"/>
              </w:rPr>
              <w:t xml:space="preserve">18．支持在进行系统还原时，用户在开启保存个性化界面后，其“我的照片、我的视频、我的文档、我的音乐、下载”等文件夹可以被保存而不被还原; </w:t>
            </w:r>
            <w:r>
              <w:rPr>
                <w:rFonts w:hint="eastAsia" w:ascii="宋体" w:hAnsi="宋体"/>
                <w:color w:val="auto"/>
                <w:szCs w:val="21"/>
                <w:highlight w:val="none"/>
              </w:rPr>
              <w:br w:type="textWrapping"/>
            </w:r>
            <w:r>
              <w:rPr>
                <w:rFonts w:hint="eastAsia" w:ascii="宋体" w:hAnsi="宋体"/>
                <w:color w:val="auto"/>
                <w:szCs w:val="21"/>
                <w:highlight w:val="none"/>
              </w:rPr>
              <w:t xml:space="preserve">▲19．支持桌面漫游，即用户可以在任意终端访问自己的个性化桌面，实现桌面“漫游”，而不是将云盘数据进行漫游使用; </w:t>
            </w:r>
            <w:r>
              <w:rPr>
                <w:rFonts w:hint="eastAsia" w:ascii="宋体" w:hAnsi="宋体"/>
                <w:color w:val="auto"/>
                <w:szCs w:val="21"/>
                <w:highlight w:val="none"/>
              </w:rPr>
              <w:br w:type="textWrapping"/>
            </w:r>
            <w:r>
              <w:rPr>
                <w:rFonts w:hint="eastAsia" w:ascii="宋体" w:hAnsi="宋体"/>
                <w:color w:val="auto"/>
                <w:szCs w:val="21"/>
                <w:highlight w:val="none"/>
              </w:rPr>
              <w:t xml:space="preserve">20．系统可以支持1080p视频播放，以及图形图像处理软件(如photoshop，3Dmax，AutoCAD等)的重运算能力; </w:t>
            </w:r>
            <w:r>
              <w:rPr>
                <w:rFonts w:hint="eastAsia" w:ascii="宋体" w:hAnsi="宋体"/>
                <w:color w:val="auto"/>
                <w:szCs w:val="21"/>
                <w:highlight w:val="none"/>
              </w:rPr>
              <w:br w:type="textWrapping"/>
            </w:r>
            <w:r>
              <w:rPr>
                <w:rFonts w:hint="eastAsia" w:ascii="宋体" w:hAnsi="宋体"/>
                <w:color w:val="auto"/>
                <w:szCs w:val="21"/>
                <w:highlight w:val="none"/>
              </w:rPr>
              <w:t xml:space="preserve">21．云终端支持多套桌面镜像缓存技术，即同一客户端可以缓存多套桌面镜像。可以由管理端指定镜像启动，也可以由用户自行选择镜像启动; </w:t>
            </w:r>
            <w:r>
              <w:rPr>
                <w:rFonts w:hint="eastAsia" w:ascii="宋体" w:hAnsi="宋体"/>
                <w:color w:val="auto"/>
                <w:szCs w:val="21"/>
                <w:highlight w:val="none"/>
              </w:rPr>
              <w:br w:type="textWrapping"/>
            </w:r>
            <w:r>
              <w:rPr>
                <w:rFonts w:hint="eastAsia" w:ascii="宋体" w:hAnsi="宋体"/>
                <w:color w:val="auto"/>
                <w:szCs w:val="21"/>
                <w:highlight w:val="none"/>
              </w:rPr>
              <w:t>22．支持利旧，即满足将原有PC作为客户端，可充分调用原有的PC的硬件资源，保证用户的前期投资不浪费；</w:t>
            </w:r>
            <w:r>
              <w:rPr>
                <w:rFonts w:hint="eastAsia" w:ascii="宋体" w:hAnsi="宋体"/>
                <w:color w:val="auto"/>
                <w:szCs w:val="21"/>
                <w:highlight w:val="none"/>
              </w:rPr>
              <w:br w:type="textWrapping"/>
            </w:r>
            <w:r>
              <w:rPr>
                <w:rFonts w:hint="eastAsia" w:ascii="宋体" w:hAnsi="宋体"/>
                <w:color w:val="auto"/>
                <w:szCs w:val="21"/>
                <w:highlight w:val="none"/>
              </w:rPr>
              <w:t xml:space="preserve">23．支持硬件差异隔离，即不同批次/型号的云终端可以共享一套桌面镜像，无需配套多个镜像; </w:t>
            </w:r>
            <w:r>
              <w:rPr>
                <w:rFonts w:hint="eastAsia" w:ascii="宋体" w:hAnsi="宋体"/>
                <w:color w:val="auto"/>
                <w:szCs w:val="21"/>
                <w:highlight w:val="none"/>
              </w:rPr>
              <w:br w:type="textWrapping"/>
            </w:r>
            <w:r>
              <w:rPr>
                <w:rFonts w:hint="eastAsia" w:ascii="宋体" w:hAnsi="宋体"/>
                <w:color w:val="auto"/>
                <w:szCs w:val="21"/>
                <w:highlight w:val="none"/>
              </w:rPr>
              <w:t xml:space="preserve">24．桌面部署过程中，管理员不仅能够从控制台看到每台终端的部署进度（百分比），也可以在云终端界面看到桌面的部署情况。 </w:t>
            </w:r>
            <w:r>
              <w:rPr>
                <w:rFonts w:hint="eastAsia" w:ascii="宋体" w:hAnsi="宋体"/>
                <w:color w:val="auto"/>
                <w:szCs w:val="21"/>
                <w:highlight w:val="none"/>
              </w:rPr>
              <w:br w:type="textWrapping"/>
            </w:r>
            <w:r>
              <w:rPr>
                <w:rFonts w:hint="eastAsia" w:ascii="宋体" w:hAnsi="宋体"/>
                <w:color w:val="auto"/>
                <w:szCs w:val="21"/>
                <w:highlight w:val="none"/>
              </w:rPr>
              <w:t xml:space="preserve">25．为了避免由于网络故障导致无法使用，平台应支持当网络中断时，终端可正常运行无任何影响；不需要通过ghost等方式在本地硬盘安装操作系统，保证断网、服务器故障时终端系统仍然可用; </w:t>
            </w:r>
            <w:r>
              <w:rPr>
                <w:rFonts w:hint="eastAsia" w:ascii="宋体" w:hAnsi="宋体"/>
                <w:color w:val="auto"/>
                <w:szCs w:val="21"/>
                <w:highlight w:val="none"/>
              </w:rPr>
              <w:br w:type="textWrapping"/>
            </w:r>
            <w:r>
              <w:rPr>
                <w:rFonts w:hint="eastAsia" w:ascii="宋体" w:hAnsi="宋体"/>
                <w:color w:val="auto"/>
                <w:szCs w:val="21"/>
                <w:highlight w:val="none"/>
              </w:rPr>
              <w:t>26．支持以树桩形式进行多级部署，最高权限可以对所有的终端进行查看操作，各级管理员只能操作自己权限范围内终端，且不同管理员之间的终端互不可见；</w:t>
            </w:r>
            <w:r>
              <w:rPr>
                <w:rFonts w:hint="eastAsia" w:ascii="宋体" w:hAnsi="宋体"/>
                <w:color w:val="auto"/>
                <w:szCs w:val="21"/>
                <w:highlight w:val="none"/>
              </w:rPr>
              <w:br w:type="textWrapping"/>
            </w:r>
            <w:r>
              <w:rPr>
                <w:rFonts w:hint="eastAsia" w:ascii="宋体" w:hAnsi="宋体"/>
                <w:color w:val="auto"/>
                <w:szCs w:val="21"/>
                <w:highlight w:val="none"/>
              </w:rPr>
              <w:t xml:space="preserve">▲27．支持多台服务器组成集群进行使用，为所有服务器提供一个可视化视觉平台，支持在集群间进行镜像同步，即任意一个节点中的镜像均可同步到集群中所有节点中进行使用; </w:t>
            </w:r>
            <w:r>
              <w:rPr>
                <w:rFonts w:hint="eastAsia" w:ascii="宋体" w:hAnsi="宋体"/>
                <w:color w:val="auto"/>
                <w:szCs w:val="21"/>
                <w:highlight w:val="none"/>
              </w:rPr>
              <w:br w:type="textWrapping"/>
            </w:r>
            <w:r>
              <w:rPr>
                <w:rFonts w:hint="eastAsia" w:ascii="宋体" w:hAnsi="宋体"/>
                <w:color w:val="auto"/>
                <w:szCs w:val="21"/>
                <w:highlight w:val="none"/>
              </w:rPr>
              <w:t xml:space="preserve">28．桌面虚拟化平台提供应用软件市场，管理员可以通过控制台管理应用市场中的软件，支持向客户端推送应用市场中的软件等功能; </w:t>
            </w:r>
            <w:r>
              <w:rPr>
                <w:rFonts w:hint="eastAsia" w:ascii="宋体" w:hAnsi="宋体"/>
                <w:color w:val="auto"/>
                <w:szCs w:val="21"/>
                <w:highlight w:val="none"/>
              </w:rPr>
              <w:br w:type="textWrapping"/>
            </w:r>
            <w:r>
              <w:rPr>
                <w:rFonts w:hint="eastAsia" w:ascii="宋体" w:hAnsi="宋体"/>
                <w:color w:val="auto"/>
                <w:szCs w:val="21"/>
                <w:highlight w:val="none"/>
              </w:rPr>
              <w:t>29．提供多种还原策略，至少包括立即还原，重启还原，周期还原；</w:t>
            </w:r>
            <w:r>
              <w:rPr>
                <w:rFonts w:hint="eastAsia" w:ascii="宋体" w:hAnsi="宋体"/>
                <w:color w:val="auto"/>
                <w:szCs w:val="21"/>
                <w:highlight w:val="none"/>
              </w:rPr>
              <w:br w:type="textWrapping"/>
            </w:r>
            <w:r>
              <w:rPr>
                <w:rFonts w:hint="eastAsia" w:ascii="宋体" w:hAnsi="宋体"/>
                <w:color w:val="auto"/>
                <w:szCs w:val="21"/>
                <w:highlight w:val="none"/>
              </w:rPr>
              <w:t>▲</w:t>
            </w:r>
            <w:r>
              <w:rPr>
                <w:rFonts w:ascii="宋体" w:hAnsi="宋体"/>
                <w:b w:val="0"/>
                <w:bCs w:val="0"/>
                <w:color w:val="auto"/>
                <w:szCs w:val="21"/>
                <w:highlight w:val="none"/>
              </w:rPr>
              <w:t>30．支持桌面快照功能，管理员可以从控制台为桌面打快照，用户也可以在终端给桌面打快照</w:t>
            </w:r>
            <w:r>
              <w:rPr>
                <w:rFonts w:hint="eastAsia" w:ascii="宋体" w:hAnsi="宋体"/>
                <w:color w:val="auto"/>
                <w:szCs w:val="21"/>
                <w:highlight w:val="none"/>
              </w:rPr>
              <w:br w:type="textWrapping"/>
            </w:r>
            <w:r>
              <w:rPr>
                <w:rFonts w:hint="eastAsia" w:ascii="宋体" w:hAnsi="宋体"/>
                <w:color w:val="auto"/>
                <w:szCs w:val="21"/>
                <w:highlight w:val="none"/>
              </w:rPr>
              <w:t xml:space="preserve">31．支持网卡复用，服务器上无需每个教室一个单独的网卡，同一个网卡可以同时支持一个或多个教室同时网络访问需求; </w:t>
            </w:r>
            <w:r>
              <w:rPr>
                <w:rFonts w:hint="eastAsia" w:ascii="宋体" w:hAnsi="宋体"/>
                <w:color w:val="auto"/>
                <w:szCs w:val="21"/>
                <w:highlight w:val="none"/>
              </w:rPr>
              <w:br w:type="textWrapping"/>
            </w:r>
            <w:r>
              <w:rPr>
                <w:rFonts w:hint="eastAsia" w:ascii="宋体" w:hAnsi="宋体"/>
                <w:color w:val="auto"/>
                <w:szCs w:val="21"/>
                <w:highlight w:val="none"/>
              </w:rPr>
              <w:t xml:space="preserve">32．为方便教师和学生存放文件或素材，提供教师和学生作业空间，支持空间容量的设置以及使用情况的统计，可针对每名教师或每个班级设置不同的云盘空间容量；支持文件夹上传，并支持一键导出教师和学生作业空间文件；支持教师和班级信息管理，包括教师和学生名单及其账号、密码，支持通过excel文件批量导入教师/班级/学生账号信息，支持编辑班级任课教师；支持学年结束，年级信息一键升级 </w:t>
            </w:r>
            <w:r>
              <w:rPr>
                <w:rFonts w:hint="eastAsia" w:ascii="宋体" w:hAnsi="宋体"/>
                <w:color w:val="auto"/>
                <w:szCs w:val="21"/>
                <w:highlight w:val="none"/>
              </w:rPr>
              <w:br w:type="textWrapping"/>
            </w:r>
            <w:r>
              <w:rPr>
                <w:rFonts w:hint="eastAsia" w:ascii="宋体" w:hAnsi="宋体"/>
                <w:color w:val="auto"/>
                <w:szCs w:val="21"/>
                <w:highlight w:val="none"/>
              </w:rPr>
              <w:t>33．为方便作业管理，作业空间支持教师在线布置作业、编辑已布置的作业，并可设置学生提交作业的截止时间；学生在截止时间内，并且教师未批改时，可重复提交作业；</w:t>
            </w:r>
            <w:r>
              <w:rPr>
                <w:rFonts w:hint="eastAsia" w:ascii="宋体" w:hAnsi="宋体"/>
                <w:color w:val="auto"/>
                <w:szCs w:val="21"/>
                <w:highlight w:val="none"/>
              </w:rPr>
              <w:br w:type="textWrapping"/>
            </w:r>
            <w:r>
              <w:rPr>
                <w:rFonts w:hint="eastAsia" w:ascii="宋体" w:hAnsi="宋体"/>
                <w:color w:val="auto"/>
                <w:szCs w:val="21"/>
                <w:highlight w:val="none"/>
              </w:rPr>
              <w:t xml:space="preserve">34．为加强师生互动，作业空间支持教师设置优秀作业，师生可对优秀作业进行评论，同时支持统计学生作业成绩； </w:t>
            </w:r>
            <w:r>
              <w:rPr>
                <w:rFonts w:hint="eastAsia" w:ascii="宋体" w:hAnsi="宋体"/>
                <w:color w:val="auto"/>
                <w:szCs w:val="21"/>
                <w:highlight w:val="none"/>
              </w:rPr>
              <w:br w:type="textWrapping"/>
            </w:r>
            <w:r>
              <w:rPr>
                <w:rFonts w:hint="eastAsia" w:ascii="宋体" w:hAnsi="宋体"/>
                <w:color w:val="auto"/>
                <w:szCs w:val="21"/>
                <w:highlight w:val="none"/>
              </w:rPr>
              <w:t>35．支持虚拟机回收功能，如果虚拟机被误删除了，管理员可以从虚拟机回收站中将虚拟机恢复；</w:t>
            </w:r>
            <w:r>
              <w:rPr>
                <w:rFonts w:hint="eastAsia" w:ascii="宋体" w:hAnsi="宋体"/>
                <w:color w:val="auto"/>
                <w:szCs w:val="21"/>
                <w:highlight w:val="none"/>
              </w:rPr>
              <w:br w:type="textWrapping"/>
            </w:r>
            <w:r>
              <w:rPr>
                <w:rFonts w:hint="eastAsia" w:ascii="宋体" w:hAnsi="宋体"/>
                <w:color w:val="auto"/>
                <w:szCs w:val="21"/>
                <w:highlight w:val="none"/>
              </w:rPr>
              <w:t>36．提供生产厂商能源管理体系认证证书（ISO50001）复印件。</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60</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24口交换机</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24*10/100/1000 Base-T 以太网端口4*100/1000 Base-X </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48口交换机H3C</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48*10/100/1000Base-T以太网端口4*100/1000 Base-X</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视频展台</w:t>
            </w:r>
          </w:p>
        </w:tc>
        <w:tc>
          <w:tcPr>
            <w:tcW w:w="5875" w:type="dxa"/>
            <w:shd w:val="clear" w:color="auto" w:fill="FFFFFF"/>
          </w:tcPr>
          <w:p>
            <w:pPr>
              <w:widowControl/>
              <w:jc w:val="left"/>
              <w:rPr>
                <w:color w:val="auto"/>
                <w:szCs w:val="21"/>
                <w:highlight w:val="none"/>
              </w:rPr>
            </w:pPr>
            <w:r>
              <w:rPr>
                <w:rFonts w:hint="eastAsia"/>
                <w:color w:val="auto"/>
                <w:szCs w:val="21"/>
                <w:highlight w:val="none"/>
              </w:rPr>
              <w:t>1.硬件参数：无锐角无利边设计，有效防止师生碰伤、划伤。</w:t>
            </w:r>
          </w:p>
          <w:p>
            <w:pPr>
              <w:widowControl/>
              <w:jc w:val="left"/>
              <w:rPr>
                <w:color w:val="auto"/>
                <w:szCs w:val="21"/>
                <w:highlight w:val="none"/>
              </w:rPr>
            </w:pPr>
            <w:r>
              <w:rPr>
                <w:rFonts w:hint="eastAsia"/>
                <w:color w:val="auto"/>
                <w:szCs w:val="21"/>
                <w:highlight w:val="none"/>
              </w:rPr>
              <w:t>2.壁挂式安装，防盗防破坏。</w:t>
            </w:r>
          </w:p>
          <w:p>
            <w:pPr>
              <w:widowControl/>
              <w:jc w:val="left"/>
              <w:rPr>
                <w:color w:val="auto"/>
                <w:szCs w:val="21"/>
                <w:highlight w:val="none"/>
              </w:rPr>
            </w:pPr>
            <w:r>
              <w:rPr>
                <w:rFonts w:hint="eastAsia"/>
                <w:color w:val="auto"/>
                <w:szCs w:val="21"/>
                <w:highlight w:val="none"/>
              </w:rPr>
              <w:t>3.采用USB高速接口，单根USB线实现供电、高清数据传输需求。</w:t>
            </w:r>
          </w:p>
          <w:p>
            <w:pPr>
              <w:widowControl/>
              <w:jc w:val="left"/>
              <w:rPr>
                <w:color w:val="auto"/>
                <w:szCs w:val="21"/>
                <w:highlight w:val="none"/>
              </w:rPr>
            </w:pPr>
            <w:r>
              <w:rPr>
                <w:rFonts w:hint="eastAsia"/>
                <w:color w:val="auto"/>
                <w:szCs w:val="21"/>
                <w:highlight w:val="none"/>
              </w:rPr>
              <w:t>4.采用800W像素自动对焦摄像头，可拍摄A4画幅。</w:t>
            </w:r>
          </w:p>
          <w:p>
            <w:pPr>
              <w:widowControl/>
              <w:jc w:val="left"/>
              <w:rPr>
                <w:color w:val="auto"/>
                <w:szCs w:val="21"/>
                <w:highlight w:val="none"/>
              </w:rPr>
            </w:pPr>
            <w:r>
              <w:rPr>
                <w:rFonts w:hint="eastAsia"/>
                <w:color w:val="auto"/>
                <w:szCs w:val="21"/>
                <w:highlight w:val="none"/>
              </w:rPr>
              <w:t>5.解析度：中间≥1600线，四周≥1400线。</w:t>
            </w:r>
          </w:p>
          <w:p>
            <w:pPr>
              <w:widowControl/>
              <w:jc w:val="left"/>
              <w:rPr>
                <w:color w:val="auto"/>
                <w:szCs w:val="21"/>
                <w:highlight w:val="none"/>
              </w:rPr>
            </w:pPr>
            <w:r>
              <w:rPr>
                <w:rFonts w:hint="eastAsia"/>
                <w:color w:val="auto"/>
                <w:szCs w:val="21"/>
                <w:highlight w:val="none"/>
              </w:rPr>
              <w:t>6.为保证兼容性及稳定性，视频展台需与智慧黑板为同一品牌。</w:t>
            </w:r>
          </w:p>
          <w:p>
            <w:pPr>
              <w:widowControl/>
              <w:jc w:val="left"/>
              <w:rPr>
                <w:color w:val="auto"/>
                <w:szCs w:val="21"/>
                <w:highlight w:val="none"/>
              </w:rPr>
            </w:pPr>
            <w:r>
              <w:rPr>
                <w:rFonts w:hint="eastAsia"/>
                <w:color w:val="auto"/>
                <w:szCs w:val="21"/>
                <w:highlight w:val="none"/>
              </w:rPr>
              <w:t>软件参数：</w:t>
            </w:r>
          </w:p>
          <w:p>
            <w:pPr>
              <w:widowControl/>
              <w:jc w:val="left"/>
              <w:rPr>
                <w:color w:val="auto"/>
                <w:szCs w:val="21"/>
                <w:highlight w:val="none"/>
              </w:rPr>
            </w:pPr>
            <w:r>
              <w:rPr>
                <w:rFonts w:hint="eastAsia"/>
                <w:color w:val="auto"/>
                <w:szCs w:val="21"/>
                <w:highlight w:val="none"/>
              </w:rPr>
              <w:t>1.支持对展台实时画面进行放大、缩小、旋转、自适应、冻结画面等操作。</w:t>
            </w:r>
          </w:p>
          <w:p>
            <w:pPr>
              <w:widowControl/>
              <w:jc w:val="left"/>
              <w:rPr>
                <w:color w:val="auto"/>
                <w:szCs w:val="21"/>
                <w:highlight w:val="none"/>
              </w:rPr>
            </w:pPr>
            <w:r>
              <w:rPr>
                <w:rFonts w:hint="eastAsia"/>
                <w:color w:val="auto"/>
                <w:szCs w:val="21"/>
                <w:highlight w:val="none"/>
              </w:rPr>
              <w:t>2.支持展台画面实时批注，预设多种笔划粗细及颜色供选择，且支持对展台画面联同批注内容进行同步缩放、移动。</w:t>
            </w:r>
          </w:p>
          <w:p>
            <w:pPr>
              <w:widowControl/>
              <w:jc w:val="left"/>
              <w:rPr>
                <w:color w:val="auto"/>
                <w:szCs w:val="21"/>
                <w:highlight w:val="none"/>
              </w:rPr>
            </w:pPr>
            <w:r>
              <w:rPr>
                <w:rFonts w:hint="eastAsia"/>
                <w:color w:val="auto"/>
                <w:szCs w:val="21"/>
                <w:highlight w:val="none"/>
              </w:rPr>
              <w:t>3.支持展台画面拍照截图并进行多图预览，可对任一图片进行全屏显示。</w:t>
            </w:r>
          </w:p>
          <w:p>
            <w:pPr>
              <w:widowControl/>
              <w:jc w:val="left"/>
              <w:rPr>
                <w:color w:val="auto"/>
                <w:szCs w:val="21"/>
                <w:highlight w:val="none"/>
              </w:rPr>
            </w:pPr>
            <w:r>
              <w:rPr>
                <w:rFonts w:hint="eastAsia"/>
                <w:color w:val="auto"/>
                <w:szCs w:val="21"/>
                <w:highlight w:val="none"/>
              </w:rPr>
              <w:t>4.老师可在一体机或电脑上选择延时拍照功能，支持5秒或10秒延时模式，预留充足时间以便调整拍摄内容。</w:t>
            </w:r>
          </w:p>
          <w:p>
            <w:pPr>
              <w:widowControl/>
              <w:jc w:val="left"/>
              <w:rPr>
                <w:color w:val="auto"/>
                <w:szCs w:val="21"/>
                <w:highlight w:val="none"/>
              </w:rPr>
            </w:pPr>
            <w:r>
              <w:rPr>
                <w:rFonts w:hint="eastAsia"/>
                <w:color w:val="auto"/>
                <w:szCs w:val="21"/>
                <w:highlight w:val="none"/>
              </w:rPr>
              <w:t>5.可选择图像、文本或动态三种情景模式，适应不同展示内容。</w:t>
            </w:r>
          </w:p>
          <w:p>
            <w:pPr>
              <w:widowControl/>
              <w:jc w:val="left"/>
              <w:rPr>
                <w:color w:val="auto"/>
                <w:szCs w:val="21"/>
                <w:highlight w:val="none"/>
              </w:rPr>
            </w:pPr>
            <w:r>
              <w:rPr>
                <w:rFonts w:hint="eastAsia"/>
                <w:color w:val="auto"/>
                <w:szCs w:val="21"/>
                <w:highlight w:val="none"/>
              </w:rPr>
              <w:t>6.具备图像增强功能，可自动裁剪背景并增强文字显示，使文档画面更清晰。</w:t>
            </w:r>
          </w:p>
          <w:p>
            <w:pPr>
              <w:widowControl/>
              <w:jc w:val="left"/>
              <w:rPr>
                <w:color w:val="auto"/>
                <w:szCs w:val="21"/>
                <w:highlight w:val="none"/>
              </w:rPr>
            </w:pPr>
            <w:r>
              <w:rPr>
                <w:rFonts w:hint="eastAsia"/>
                <w:color w:val="auto"/>
                <w:szCs w:val="21"/>
                <w:highlight w:val="none"/>
              </w:rPr>
              <w:t>7.支持故障自动检测，在软件无法出现展台拍摄画面时，自动出现检测链接，帮助用户检测“无画面”的原因，并给出引导性解决方案。可判断硬件连接、显卡驱动、摄像头占用、软件版本等问题。</w:t>
            </w:r>
          </w:p>
          <w:p>
            <w:pPr>
              <w:widowControl/>
              <w:jc w:val="left"/>
              <w:rPr>
                <w:color w:val="auto"/>
                <w:szCs w:val="21"/>
                <w:highlight w:val="none"/>
              </w:rPr>
            </w:pPr>
            <w:r>
              <w:rPr>
                <w:rFonts w:hint="eastAsia"/>
                <w:color w:val="auto"/>
                <w:szCs w:val="21"/>
                <w:highlight w:val="none"/>
              </w:rPr>
              <w:t>8.支持二维码扫码功能：打开扫一扫功能后，将书本上的二维码放入扫描框内即可自动扫描，并进入系统浏览器获取二维码的链接内容，帮助老师快速获取电子教学资源。</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交互式智能平板</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1、整机采用一体设计，外部无任何可见内部功能模块连接线。整机采用全金属外壳设计，边角采用弧形设计，表面无尖锐边缘或凸起。</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2、整机屏幕边缘采用金属圆角包边防护，整机背板采用金属材质，有效屏蔽内部电路器件辐射；防潮耐盐雾蚀锈，适应多种教学环境。</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3、整机屏幕采用≥70英寸液晶显示器。</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4、整机采用UHD超高清LED液晶屏，显示比例16:9，分辨率3840×2160。</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5、侧置输入接口具备2路HDMI、1路RS232、1路USB接口；</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6、侧置输出接口具备1路音频输出、1路触控USB输出；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7、前置输入接口3路USB接口（包含1路Type-C、2路USB）。</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8、嵌入式系统下可自动进行文件分类。</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▲9、钢化玻璃表面硬度≥9H。</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10、采用红外触控方式，支持Windows系统中进行20点或以上触控，支持Android系统中进行10点或以上触控。</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11、从内部Android通道切换到内部PC通道后，触摸框在1s内达到可触控状态。</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12、从内部PC通道切换到外部通道后，触摸框在3s内达到可触控状态。</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13、前置USB接口支持Android系统、Windows系统读取外接移动存储设备。</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14、部署单根网线可实现Android、Windows双系统有线网络连通。</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▲15、嵌入式系统版本不低于Android11.0，内存不低于2GB，存储空间不低于8GB。</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16、智能亮度调节：整机能感应并自动调节屏幕亮度来达到在不同光照环境下的不同亮度显示效果，此功能可自行开启或关闭。</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▲17、整机具备不少于1路前置Typec接口，外接电脑设备通过标准TypeC线连接至整机TypeC口，可直接调用整机内置的摄像头、麦克风、扬声器，在外接电脑即可拍摄教室画面。</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▲18、整机具有减滤蓝光功能，可通过前置物理功能按键一键启用减滤蓝光模式，让师生视力健康得到保障。</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▲19、整机内置非独立外扩展的摄像头，支持二维码扫码识别，方便用户使用在线资源，可拍摄不低于1300万像素的照片，支持远程巡课等应用，为保证摄像头稳定性，不接受外接摄像头。</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二、白板软件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 具备安卓版本电子白板软件，并支持屏幕左右两侧桌面小工具的调用；安卓白板软件支持注、擦除、翻页、更改背景颜色、清空、保存文件等功能；</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 可在安卓操作系统下，能对U 盘读取到的课件文件进行自动归类，可快速分类查找office 文档、音乐、视频、图片等文件；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 教学软件功能</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 为了降低老师使用负担及学习成本，增强软件易用性，软件上的大多数按钮和图标都配有中文标识（不是鼠标移上去才显示的方式），以方便用户迅速、直观地理解按钮或图标的含义。</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 互动展示功能：可以结合交互一体机,组成一个交互式的协作会议或教学环境，配备的笔可代替粉笔，在交互一体机软件中书写、绘图。</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 页面扩展和漫游：白板软件支持手指左右滑动可以翻页、手指拖拽页面可实现页面扩展和漫游。</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 擦除功能：支持圈中擦除、清屏、手势擦除等多种擦除功能；</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 支持老师个人手机号免费注册账号，老师可选择使用账号密码登陆软件，也可通过USB key进行身份快速识别登录，同时也可以使用手机微信扫描快速登录。（为满足不同场景登录教学软件的需求，需提供三种登录方式：账号输入登录、微信扫码登录、USB key插入登录）。</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 文件功能：可以导出为PPT文件格式；点击文件，可直接打开；无需再次打开白板软件；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 安卓白板具备下拉式板中板功能，不受其它功能操作影响，便于教师书写提纲。</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▲11. 图片快速编辑：为方便老师备课时快速处理图片素材，白板软件自带图片边缘处理功能，在白板软件中对导入的图片进行快速背景去除，处理后的图片主体边缘光滑，可导出保存成图片格式。</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12. 地球教学工具：为方便老师教学，提供星球模型，自带太阳系九大行星模型，支持2D/3D切换，地球模型中包含人口分布等模型，帮助老师快速调用。</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13.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▲14. 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15. 提供柱状图、扇形图、折线图等互动图表，每类图表预置不少于5种样式，支持图表文字、背景、透明度设置；柱状图、折线图可一键转置互换坐标轴类别；图表支持三维模式旋转展示，生动形象。</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▲16. 为方便老师随时随地快速查看分享课件，白板软件具有手机app支持，老师可在手机白板app中快速接收分享课件并进行查看预览，在预览课件的同时，手机与大屏即使不在同一局域网，仍然可对大屏课件进行实时控制，翻页跳页等。</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17. 手机白板app可以上传手机相册中的照片和视频到资料夹，且支持调用系统相机拍摄照片并直接上传。教师可以在备课端选择资源插入课件。移动平台支持在线预览、下载资料夹中的图片和视频。</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18. PPT标注和保存：可在PPT软件中批注并保存，保存的文档不改变原文档属性，非图片格式。</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19. 多学科题库：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 微课视频：提供涵盖小学、初中、高中超过2000个微课程视频，每个学段的微课视频内容应不少于三个主要学科。微课内容可在线点播，下载至课件播放。微课视频支持视频关键帧打点标记，播放过程中可一键跳转至标记位置，同时支持一键对视频内容进行截图插入课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21. 支持离线备课：离线情况下，调用离线缓存的资源、添加使用文本、形状、表格元素；支持课件备课完成后存储于本地，网络连接后可同步至云端。</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三、教师移动端软件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 作业布置：教师可在APP端轻松布置和检查作业，作业类型包括图片、音视频、作业通知等。</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 家校沟通：教师和家长间可以便捷的进行语音、文本和图片形式的会话聊天。用户可以指定联系人或群组发起会话聊天，还可以在对创建各种讨论组。</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 班级通知：教师可以将学生在学校的学习情况进行通知发布，并可以选择可查看的班级。</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 班级打卡通知：支持教师在手机客户端布置打卡任务，并可在发布任务中添加语音、视频、链接等。</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 班级成绩发布：支持手机客户端与教育云平台的消息互通，教师通过平台发布学生成绩、班级通知</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 邀请家长：实现教师可通过链接、短信等方式给家长推送邀请通知，邀请家长入班。</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 登录互动课堂：支持通过移动端扫码的方式登录PC教师端，免去输入密码。</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 生成学生智能报告：教师可选择时间段，生成这段时间内的学生报告评语，可以让教师查看到更系统的学生认知。</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教师发展管理软件（需与设备为同一生产厂家）：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 支持管理者在网页中登录账号查看学校教师备授课情况。</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 可以根据数据自动分析，同比显示周、月总情况。</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 具备自动排名的功能，根据老师备授课情况、家校互通情况进行排名，针对性激励老师。</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 学校可通过网页平台建设校本资源库，老师可以上传白板课件，分享给全校老师。1、教案数据：支持查看全校教案总数、教师课件总数、校本教案及校本课件总数。同时支持按本周、本月、自定义时间段查看教案/课件制作数量的排行，查看全校教师的教案，校本教案/课件/胶囊，方便进行教案及校本教案/课件/胶囊检查，让管理者总览全校教案/课件/胶囊编写制作情况。</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课件制作数据：支持按本周、本月、自定义时间查看全校教师课件制作的数据排行，教师榜单支持按照课件数、上传校本课件数、校本课件上传量进行排序。课件数据支持按学科对比，方便总览全校课件制作情况。</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为学校提供教研全流程管理服务，包含教学计划、教学设计、校本资源、集体备课、听课评课、班级氛围的流程管理和数据分析，方便学校统筹管理教学、掌握教研活动进展，收集数据反馈和评价，了解全校教师的教学教研产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7、学校目标与计划：可以在系统中录入学校教学计划，计划可以和教案的课时数相关联，方便管理者掌握学校教学进度。</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8、教研组计划：以不同学科不同年级教研组为单位，可以在系统中录入教研组教学计划，计划可以和教案的课时数相关联，方便教研组管理教学进度。</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推拉黑板</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1、外形尺寸：4000mm×1350mm；</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 产品结构：内外双层结构，支持电子白板或一体机偏一侧或居中安装方式,根据所配电子白板适当调整；</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3、边框：外框铝型材正面尺寸≥68mm，壁厚≥1.2mm,香槟色工业铝型材。耐腐蚀、耐磨性达到GB/T5237-2008标准。内框铝型材正面尺寸≥50mm,壁厚1.0mm，工业铝型材，耐腐蚀、耐磨性；</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4、书写板面：采用厚度为0.30mm高档墨绿色金属烤漆书写板，表面细致光洁，书写流畅，抗撞击、磨损、刮擦、不褪色，使用寿命10年以上；</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5、采用环保型双组份聚氨酯胶水，自动化流水线覆板作业，确保粘接牢固板面平整，甲醛释放量≤0.2mg/L，符合GB/T 28231-2011《书写板安全卫生要求》；</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6、夹层：采用高密度聚苯乙烯板做夹层，厚度≥20mm，面层平整，无折痕，不变形，吸音强且环保，书写无噪音；</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7、背板：采用高档优质镀锌板，厚度≥0.27mm，板面平整，镀层牢固、光滑而均匀；</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8、外框四角与绿板四角采用ABS工程塑料，模具一次成型，抗冲击力强；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9、整套书写板的两端装置固定挡板，并设有滑动缓冲胶垫，缓解滑动发出的噪音以及强烈碰撞造成的损坏。配置带拉手的高档锌合金镶嵌式钩锁；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10、滑轨与外框整体成型，具备独立、隐形的特点。滑轮采用隐形安装、传动，不露一根螺钉。滑轮后置，隔离滑轮与粉笔灰的接触面，杜绝长期使用后，因粉笔灰沉积导致书写板推拉困难，杜绝滑轮脱轨。</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学生桌</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钢木结构1200×600×750mm，台面≥25mm实木颗粒板，四边≥1.8mm厚pVc封边，桌体30方钢架内置≥0.8mm厚钢网片焊接而成，表面磷化喷塑处理，含键盘托，内设内部走线槽。</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学生凳</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钢木结构340x240x450mm</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教师桌</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钢木结构1600×700×750mm，台面25mm实木颗粒板，四边≥1.8mm厚pVc封边，桌体30方钢架内置≥0.8mm厚钢网片焊接而成，表面磷化喷塑处理，含键盘托，内设内部走线槽，桌内放置活动柜，主机托</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教师椅</w:t>
            </w:r>
          </w:p>
        </w:tc>
        <w:tc>
          <w:tcPr>
            <w:tcW w:w="5875" w:type="dxa"/>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升降扶手网布转椅</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网线</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六类非屏蔽双绞线导体采用高纯度无氧铜，确保信号以最佳品质传输外被采用环保PVC胶料,美观</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耐磨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环保</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有效延长使用时间超高密度线芯绞距，确保信息传输的稳定性低密度阻燃聚氯乙烯十字芯架隔，保持理想的线对平衡，提供了极佳的近端串扰性能。</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机柜</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22U标准网络机柜</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textAlignment w:val="center"/>
              <w:rPr>
                <w:rFonts w:ascii="宋体" w:hAnsi="宋体"/>
                <w:color w:val="auto"/>
                <w:szCs w:val="21"/>
                <w:highlight w:val="none"/>
              </w:rPr>
            </w:pPr>
            <w:r>
              <w:rPr>
                <w:rFonts w:hint="eastAsia" w:ascii="宋体" w:hAnsi="宋体"/>
                <w:color w:val="auto"/>
                <w:szCs w:val="21"/>
                <w:highlight w:val="none"/>
              </w:rPr>
              <w:t>防静电地板</w:t>
            </w:r>
          </w:p>
        </w:tc>
        <w:tc>
          <w:tcPr>
            <w:tcW w:w="5875" w:type="dxa"/>
            <w:shd w:val="clear" w:color="auto" w:fill="FFFFFF"/>
            <w:vAlign w:val="center"/>
          </w:tcPr>
          <w:p>
            <w:pPr>
              <w:rPr>
                <w:rFonts w:ascii="宋体" w:hAnsi="宋体"/>
                <w:color w:val="auto"/>
                <w:szCs w:val="21"/>
                <w:highlight w:val="none"/>
              </w:rPr>
            </w:pPr>
            <w:r>
              <w:rPr>
                <w:rFonts w:hint="eastAsia" w:ascii="宋体" w:hAnsi="宋体"/>
                <w:color w:val="auto"/>
                <w:szCs w:val="21"/>
                <w:highlight w:val="none"/>
              </w:rPr>
              <w:t>规格：600×600×35mm，承重力：500-2000kg，材质：全钢基材，贴面：PVC贴面，组成：全钢外壳结构，发泡水泥填充， PVC贴面，底面采用ST14拉伸板，表面选用SPCC硬质钢材，四周导电嵌条镀边。支座使用钢板压成型，丝杆高度可任意调节，横梁选用方管制作。</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textAlignment w:val="center"/>
              <w:rPr>
                <w:rFonts w:ascii="宋体" w:hAnsi="宋体"/>
                <w:color w:val="auto"/>
                <w:szCs w:val="21"/>
                <w:highlight w:val="none"/>
              </w:rPr>
            </w:pPr>
            <w:r>
              <w:rPr>
                <w:rFonts w:hint="eastAsia" w:ascii="宋体" w:hAnsi="宋体"/>
                <w:color w:val="auto"/>
                <w:szCs w:val="21"/>
                <w:highlight w:val="none"/>
              </w:rPr>
              <w:t>音响</w:t>
            </w:r>
          </w:p>
        </w:tc>
        <w:tc>
          <w:tcPr>
            <w:tcW w:w="5875" w:type="dxa"/>
            <w:shd w:val="clear" w:color="auto" w:fill="FFFFFF"/>
            <w:vAlign w:val="center"/>
          </w:tcPr>
          <w:p>
            <w:pPr>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0W</w:t>
            </w:r>
            <w:r>
              <w:rPr>
                <w:rFonts w:hint="eastAsia" w:ascii="宋体" w:hAnsi="宋体"/>
                <w:color w:val="auto"/>
                <w:szCs w:val="21"/>
                <w:highlight w:val="none"/>
              </w:rPr>
              <w:t>无源音箱4只，鹅颈有线话筒1支;8欧姆 2*200W功放一台</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textAlignment w:val="center"/>
              <w:rPr>
                <w:rFonts w:ascii="宋体" w:hAnsi="宋体"/>
                <w:color w:val="auto"/>
                <w:szCs w:val="21"/>
                <w:highlight w:val="none"/>
              </w:rPr>
            </w:pPr>
            <w:r>
              <w:rPr>
                <w:rFonts w:hint="eastAsia" w:ascii="宋体" w:hAnsi="宋体"/>
                <w:color w:val="auto"/>
                <w:szCs w:val="21"/>
                <w:highlight w:val="none"/>
              </w:rPr>
              <w:t>稳压电源</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30KVA,输入电压280-430V输出电压380V±3%相数三相频率50~60H z调整时间＜0.5秒（输入电压变化10%时）额定输出电流40A环境温度-5℃~40℃温升&lt;60℃相对湿度低于90%波形失真无附加失真效率＞90%耐压符合部颁标准负载功率因素≥0.8</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textAlignment w:val="center"/>
              <w:rPr>
                <w:rFonts w:ascii="宋体" w:hAnsi="宋体"/>
                <w:color w:val="auto"/>
                <w:szCs w:val="21"/>
                <w:highlight w:val="none"/>
              </w:rPr>
            </w:pPr>
            <w:r>
              <w:rPr>
                <w:rFonts w:hint="eastAsia" w:ascii="宋体" w:hAnsi="宋体"/>
                <w:color w:val="auto"/>
                <w:szCs w:val="21"/>
                <w:highlight w:val="none"/>
              </w:rPr>
              <w:t>耳机</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头戴耳机，音频接口，3.5毫米音频接口</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textAlignment w:val="center"/>
              <w:rPr>
                <w:rFonts w:ascii="宋体" w:hAnsi="宋体"/>
                <w:color w:val="auto"/>
                <w:szCs w:val="21"/>
                <w:highlight w:val="none"/>
              </w:rPr>
            </w:pPr>
            <w:r>
              <w:rPr>
                <w:rFonts w:hint="eastAsia" w:ascii="宋体" w:hAnsi="宋体"/>
                <w:color w:val="auto"/>
                <w:szCs w:val="21"/>
                <w:highlight w:val="none"/>
              </w:rPr>
              <w:t>旧静电地板拆除</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旧静电地板拆除及清运出学校</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textAlignment w:val="center"/>
              <w:rPr>
                <w:rFonts w:ascii="宋体" w:hAnsi="宋体"/>
                <w:color w:val="auto"/>
                <w:szCs w:val="21"/>
                <w:highlight w:val="none"/>
              </w:rPr>
            </w:pPr>
            <w:r>
              <w:rPr>
                <w:rFonts w:hint="eastAsia" w:ascii="宋体" w:hAnsi="宋体"/>
                <w:color w:val="auto"/>
                <w:szCs w:val="21"/>
                <w:highlight w:val="none"/>
              </w:rPr>
              <w:t>窗帘</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加厚遮光窗帘</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shd w:val="clear" w:color="auto" w:fill="FFFFFF"/>
            <w:vAlign w:val="center"/>
          </w:tcPr>
          <w:p>
            <w:pPr>
              <w:pStyle w:val="94"/>
              <w:widowControl/>
              <w:numPr>
                <w:ilvl w:val="0"/>
                <w:numId w:val="21"/>
              </w:numPr>
              <w:ind w:firstLineChars="0"/>
              <w:jc w:val="center"/>
              <w:rPr>
                <w:rFonts w:ascii="宋体" w:hAnsi="宋体" w:cs="宋体"/>
                <w:color w:val="auto"/>
                <w:kern w:val="0"/>
                <w:szCs w:val="21"/>
                <w:highlight w:val="none"/>
              </w:rPr>
            </w:pPr>
          </w:p>
        </w:tc>
        <w:tc>
          <w:tcPr>
            <w:tcW w:w="1100" w:type="dxa"/>
            <w:shd w:val="clear" w:color="auto" w:fill="FFFFFF"/>
            <w:vAlign w:val="center"/>
          </w:tcPr>
          <w:p>
            <w:pPr>
              <w:widowControl/>
              <w:jc w:val="center"/>
              <w:textAlignment w:val="center"/>
              <w:rPr>
                <w:rFonts w:ascii="宋体" w:hAnsi="宋体"/>
                <w:color w:val="auto"/>
                <w:szCs w:val="21"/>
                <w:highlight w:val="none"/>
              </w:rPr>
            </w:pPr>
            <w:r>
              <w:rPr>
                <w:rFonts w:hint="eastAsia" w:ascii="宋体" w:hAnsi="宋体"/>
                <w:color w:val="auto"/>
                <w:szCs w:val="21"/>
                <w:highlight w:val="none"/>
              </w:rPr>
              <w:t>布线施工</w:t>
            </w:r>
          </w:p>
        </w:tc>
        <w:tc>
          <w:tcPr>
            <w:tcW w:w="5875"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网络综合布线，电源线，音频线缆等辅材辅料及设备安装及调试</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 w:type="dxa"/>
            <w:shd w:val="clear" w:color="auto" w:fill="FFFFFF"/>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r>
    </w:tbl>
    <w:p>
      <w:pPr>
        <w:pStyle w:val="2"/>
        <w:rPr>
          <w:color w:val="auto"/>
          <w:highlight w:val="none"/>
        </w:rPr>
      </w:pPr>
    </w:p>
    <w:p>
      <w:pPr>
        <w:widowControl/>
        <w:jc w:val="left"/>
        <w:rPr>
          <w:b/>
          <w:bCs/>
          <w:color w:val="auto"/>
          <w:highlight w:val="none"/>
        </w:rPr>
      </w:pPr>
      <w:r>
        <w:rPr>
          <w:rFonts w:hint="eastAsia"/>
          <w:b/>
          <w:bCs/>
          <w:color w:val="auto"/>
          <w:highlight w:val="none"/>
        </w:rPr>
        <w:t>（3）智慧黑板</w:t>
      </w:r>
    </w:p>
    <w:tbl>
      <w:tblPr>
        <w:tblStyle w:val="30"/>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37"/>
        <w:gridCol w:w="1088"/>
        <w:gridCol w:w="5881"/>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37" w:type="dxa"/>
            <w:shd w:val="clear" w:color="auto" w:fill="FFFFFF"/>
            <w:vAlign w:val="center"/>
          </w:tcPr>
          <w:p>
            <w:pPr>
              <w:tabs>
                <w:tab w:val="left" w:pos="1500"/>
              </w:tabs>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序号</w:t>
            </w:r>
          </w:p>
        </w:tc>
        <w:tc>
          <w:tcPr>
            <w:tcW w:w="1088" w:type="dxa"/>
            <w:shd w:val="clear" w:color="auto" w:fill="FFFFFF"/>
            <w:vAlign w:val="center"/>
          </w:tcPr>
          <w:p>
            <w:pPr>
              <w:tabs>
                <w:tab w:val="left" w:pos="1500"/>
              </w:tabs>
              <w:adjustRightInd w:val="0"/>
              <w:spacing w:line="0" w:lineRule="atLeast"/>
              <w:rPr>
                <w:rFonts w:ascii="宋体" w:hAnsi="宋体"/>
                <w:bCs/>
                <w:color w:val="auto"/>
                <w:szCs w:val="21"/>
                <w:highlight w:val="none"/>
              </w:rPr>
            </w:pPr>
            <w:r>
              <w:rPr>
                <w:rFonts w:hint="eastAsia" w:ascii="宋体" w:hAnsi="宋体"/>
                <w:bCs/>
                <w:color w:val="auto"/>
                <w:szCs w:val="21"/>
                <w:highlight w:val="none"/>
              </w:rPr>
              <w:t>名称</w:t>
            </w:r>
          </w:p>
        </w:tc>
        <w:tc>
          <w:tcPr>
            <w:tcW w:w="5881" w:type="dxa"/>
            <w:shd w:val="clear" w:color="auto" w:fill="FFFFFF"/>
            <w:vAlign w:val="center"/>
          </w:tcPr>
          <w:p>
            <w:pPr>
              <w:tabs>
                <w:tab w:val="left" w:pos="1500"/>
              </w:tabs>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主要技术参数要求</w:t>
            </w:r>
          </w:p>
        </w:tc>
        <w:tc>
          <w:tcPr>
            <w:tcW w:w="709" w:type="dxa"/>
            <w:shd w:val="clear" w:color="auto" w:fill="FFFFFF"/>
          </w:tcPr>
          <w:p>
            <w:pPr>
              <w:tabs>
                <w:tab w:val="left" w:pos="1500"/>
              </w:tabs>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数量</w:t>
            </w:r>
          </w:p>
        </w:tc>
        <w:tc>
          <w:tcPr>
            <w:tcW w:w="709" w:type="dxa"/>
            <w:shd w:val="clear" w:color="auto" w:fill="FFFFFF"/>
          </w:tcPr>
          <w:p>
            <w:pPr>
              <w:tabs>
                <w:tab w:val="left" w:pos="1500"/>
              </w:tabs>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37" w:type="dxa"/>
            <w:shd w:val="clear" w:color="auto" w:fill="FFFFFF"/>
            <w:vAlign w:val="center"/>
          </w:tcPr>
          <w:p>
            <w:pPr>
              <w:pStyle w:val="75"/>
              <w:numPr>
                <w:ilvl w:val="0"/>
                <w:numId w:val="22"/>
              </w:numPr>
              <w:adjustRightInd w:val="0"/>
              <w:snapToGrid w:val="0"/>
              <w:spacing w:line="0" w:lineRule="atLeast"/>
              <w:ind w:firstLineChars="0"/>
              <w:jc w:val="center"/>
              <w:rPr>
                <w:rFonts w:ascii="宋体" w:hAnsi="宋体" w:cs="宋体"/>
                <w:bCs/>
                <w:color w:val="auto"/>
                <w:szCs w:val="21"/>
                <w:highlight w:val="none"/>
              </w:rPr>
            </w:pPr>
          </w:p>
        </w:tc>
        <w:tc>
          <w:tcPr>
            <w:tcW w:w="1088" w:type="dxa"/>
            <w:shd w:val="clear" w:color="auto" w:fill="FFFFFF"/>
            <w:vAlign w:val="center"/>
          </w:tcPr>
          <w:p>
            <w:pPr>
              <w:pStyle w:val="75"/>
              <w:adjustRightInd w:val="0"/>
              <w:snapToGrid w:val="0"/>
              <w:spacing w:line="0" w:lineRule="atLeast"/>
              <w:ind w:firstLine="0" w:firstLineChars="0"/>
              <w:jc w:val="left"/>
              <w:rPr>
                <w:rFonts w:ascii="宋体" w:hAnsi="宋体" w:cs="宋体"/>
                <w:bCs/>
                <w:color w:val="auto"/>
                <w:szCs w:val="21"/>
                <w:highlight w:val="none"/>
              </w:rPr>
            </w:pPr>
            <w:r>
              <w:rPr>
                <w:rFonts w:hint="eastAsia" w:ascii="宋体" w:hAnsi="宋体" w:cs="宋体"/>
                <w:bCs/>
                <w:color w:val="auto"/>
                <w:szCs w:val="21"/>
                <w:highlight w:val="none"/>
              </w:rPr>
              <w:t>智慧黑板</w:t>
            </w:r>
          </w:p>
        </w:tc>
        <w:tc>
          <w:tcPr>
            <w:tcW w:w="5881"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一、整体设计</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整机采用全金属外壳，三拼接平面一体化设计，屏幕边缘采用金属圆角包边防护，整机背板采用金属材质。无推拉式结构，外部无任何可见内部功能模块连接线。主副屏过度平滑并在同一平面，中间无单独边框阻隔。</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▲2、整机外观尺寸≥4200×1200×90，整机均支持普通粉笔直接书写。</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3、屏幕采用≥86英寸 UHD超高清LED 液晶屏，显示比例16:9，屏幕图像分辨率≥3840*2160。整机采用全金属外壳设计，有效屏蔽内部电路器件辐射；防潮耐盐雾蚀锈，适应多种教学环境。</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4、接口：侧置输入接口具备1路HDMI、1路RS232；侧置输出接口具备1路音频输出、1路触控输出USB；前置输入接口具备1路TypeC、2路USB。</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5、采用电容触控技术，支持Windows系统中进行20点或以上触控；支持在Android系统中进行10点或以上触控。</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▲6、嵌入式系统版本不低于Android9.0，内存≥2GB，存储空间≥8GB。</w:t>
            </w:r>
          </w:p>
          <w:p>
            <w:pPr>
              <w:spacing w:line="0" w:lineRule="atLeast"/>
              <w:rPr>
                <w:rFonts w:ascii="宋体" w:hAnsi="宋体" w:cs="宋体"/>
                <w:color w:val="auto"/>
                <w:kern w:val="0"/>
                <w:szCs w:val="21"/>
                <w:highlight w:val="none"/>
              </w:rPr>
            </w:pPr>
            <w:r>
              <w:rPr>
                <w:rFonts w:hint="eastAsia" w:ascii="宋体" w:hAnsi="宋体" w:cs="宋体"/>
                <w:color w:val="auto"/>
                <w:kern w:val="0"/>
                <w:szCs w:val="21"/>
                <w:highlight w:val="none"/>
              </w:rPr>
              <w:t>▲7、屏幕钢化玻璃厚度≤3mm，钢化玻璃表面硬度≥9H。</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8、前置USB接口支持Android系统、Windows系统 读取外接移动存储设备</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▲9、整机内置2.1声道音响，前朝向（避免中高音损失）15W中高音扬声器2个，后朝向20W低音扬声器1个，额定总功率50W</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10、三合一电源按键，同一电源物理按键完成Android系统和Windows系统的开机、节能熄屏、关机操作；关机状态下轻按按键开机；开机状态下轻按按键实现节能熄屏/唤醒，长按按键实现关机。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▲11、支持智能U盘锁功能，整机可设置触摸及按键锁定，锁定后无法随意自由操作，需要使用时插入USB key可解锁。支持自定义开机通道，用户可设置默认通道，开机自动进入无需手动切换。</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12、整机采用左右双侧边栏虚拟按键设计，通过侧边栏可调用音量+/-、亮度+/-、批注、主页。</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13、支持传屏功能，可以将外部电脑的屏幕画面通过无线方式传输到整机上显示。整机内置无线网络模块，PC模块无任何外接或转接天线、网卡可同时实现Wi-Fi无线上网连接和AP无线热点发射Wi-Fi和AP热点均支持双频2.4G &amp; 5G ，满足IEEE 802.11 a/b/g/n/ac标准。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14、整机内置非独立的高清摄像头，支持远程巡课等应用。</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对角角度≥120度，像素≥800万。</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15、整机内置摄像头、麦克风，无外接线材连接，无可见模块化拼接，未占用整机设备端口。</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16、外接电脑设备连接整机且触摸信号连通时，外接电脑设备可直接读取整机前置USB接口的移动存储设备数据，连接整机前置USB接口的翻页笔、无线键鼠等外接设备可直接使用于外接电脑，无需重复部署。</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17、整机无需外接无线网卡，在Windows系统下可实现WiFi无线上网连接、AP无线热点发射、BT蓝牙连接功能。</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18、黑暗环境自动节能：当整机处于黑暗环境中并无人操作，一分钟后整机将可以自动进入熄屏模式。</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19、整机支持蓝牙Bluetooth 4.2标准，能连接外部蓝牙音箱播放音频，也能接收外部手机通过蓝牙发送的文件。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20、整机无需外接无线网卡，在Windows系统下接入无线网络，切换到嵌入式Android系统下可直接实现无线上网功能，不需手动重复设置。</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21、部署单根网线可实现Android、Windows双系统有线网络联通。</w:t>
            </w:r>
          </w:p>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22、支持半屏模式，将Windows显示画面上半部分下拉到显示屏的下半部分显示，此时依然可以正常触控操作Windows系统，有效规避整机安装高度较高时Windows显示画面顶部难以操作到的问题，提高教学效率；点击非Windows显示画面区域，即可退出该模式，无需其他设置。（投标现场提供视频文件演示）</w:t>
            </w:r>
          </w:p>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23、具备智能手势识别功能，在任意信号源通道下可识别五指上、下、左、右方向手势滑动并调用响应功能，支持将各手势滑动方向自定义设置为无操作、熄屏、批注、桌面、半屏模式。（投标现场提供视频文件演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24、支持通过Type-C接口U盘进行文件传输，兼容手机充电。屏幕显示灰度分辨等级达到256及以上灰阶</w:t>
            </w:r>
          </w:p>
        </w:tc>
        <w:tc>
          <w:tcPr>
            <w:tcW w:w="709" w:type="dxa"/>
            <w:shd w:val="clear" w:color="auto" w:fill="FFFFFF"/>
            <w:vAlign w:val="center"/>
          </w:tcPr>
          <w:p>
            <w:pPr>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25</w:t>
            </w:r>
          </w:p>
        </w:tc>
        <w:tc>
          <w:tcPr>
            <w:tcW w:w="709" w:type="dxa"/>
            <w:shd w:val="clear" w:color="auto" w:fill="FFFFFF"/>
            <w:vAlign w:val="center"/>
          </w:tcPr>
          <w:p>
            <w:pPr>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37" w:type="dxa"/>
            <w:shd w:val="clear" w:color="auto" w:fill="FFFFFF"/>
            <w:vAlign w:val="center"/>
          </w:tcPr>
          <w:p>
            <w:pPr>
              <w:numPr>
                <w:ilvl w:val="0"/>
                <w:numId w:val="22"/>
              </w:numPr>
              <w:adjustRightInd w:val="0"/>
              <w:spacing w:line="0" w:lineRule="atLeast"/>
              <w:jc w:val="center"/>
              <w:rPr>
                <w:rFonts w:ascii="宋体" w:hAnsi="宋体"/>
                <w:bCs/>
                <w:color w:val="auto"/>
                <w:szCs w:val="21"/>
                <w:highlight w:val="none"/>
              </w:rPr>
            </w:pPr>
          </w:p>
        </w:tc>
        <w:tc>
          <w:tcPr>
            <w:tcW w:w="1088" w:type="dxa"/>
            <w:shd w:val="clear" w:color="auto" w:fill="FFFFFF"/>
            <w:vAlign w:val="center"/>
          </w:tcPr>
          <w:p>
            <w:pPr>
              <w:pStyle w:val="75"/>
              <w:adjustRightInd w:val="0"/>
              <w:snapToGrid w:val="0"/>
              <w:spacing w:line="0" w:lineRule="atLeast"/>
              <w:ind w:firstLine="0" w:firstLineChars="0"/>
              <w:jc w:val="left"/>
              <w:rPr>
                <w:rFonts w:ascii="宋体" w:hAnsi="宋体" w:cs="宋体"/>
                <w:bCs/>
                <w:color w:val="auto"/>
                <w:szCs w:val="21"/>
                <w:highlight w:val="none"/>
              </w:rPr>
            </w:pPr>
            <w:r>
              <w:rPr>
                <w:rFonts w:hint="eastAsia" w:ascii="宋体" w:hAnsi="宋体" w:cs="宋体"/>
                <w:color w:val="auto"/>
                <w:szCs w:val="21"/>
                <w:highlight w:val="none"/>
              </w:rPr>
              <w:t>教师备授课系统</w:t>
            </w:r>
          </w:p>
        </w:tc>
        <w:tc>
          <w:tcPr>
            <w:tcW w:w="5881"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1.备授课一体化，具有备课模式及授课模式，且操作界面根据备课和授课使用场景不同而区别设计，符合用户使用需求。</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▲2.为使用方全体教师配备个人账号，形成一体的信息化教学账号体系；根据教师账号信息将教师云空间匹配至对应学校、学科校本资源库。</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▲3.支持通过数字账号、微信二维码、硬件密钥方式登录教师个人账号。</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4.提供白板软件手机APP版，方便老师随时随地查看课件。</w:t>
            </w:r>
            <w:r>
              <w:rPr>
                <w:rFonts w:hint="eastAsia" w:ascii="宋体" w:hAnsi="宋体" w:cs="宋体"/>
                <w:color w:val="auto"/>
                <w:kern w:val="0"/>
                <w:szCs w:val="21"/>
                <w:highlight w:val="none"/>
              </w:rPr>
              <w:br w:type="textWrapping"/>
            </w:r>
            <w:r>
              <w:rPr>
                <w:rFonts w:hint="eastAsia" w:ascii="宋体" w:hAnsi="宋体" w:cs="宋体"/>
                <w:b/>
                <w:bCs/>
                <w:color w:val="auto"/>
                <w:kern w:val="0"/>
                <w:szCs w:val="21"/>
                <w:highlight w:val="none"/>
              </w:rPr>
              <w:t>5.提供在线云课堂功能，无需额外安装部署直播软件，可实现语音直播、课件同步、互动工具等远程教学功能。（投标现场提供视频文件演示）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▲6.教师可一键生成云课堂课程海报，学生扫描课程海报微信二维码即可加入直播课堂，无需额外安装APP。</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▲7.为老师提供可扩展，易于学校管理，安全可靠的云存储空间，根据教师使用时长与教学资料制作频率提供可扩展升级至不小于200G的个人云空间。</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8.互动教学课件支持定向精准分享：分享者可将互动课件、课件组精准推送至指定接收方账号云空间，接收方可在云空间接收并打开分享课件；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▲9.支持快速录制胶囊式微课，微课可录制保存音频和课件的互动操作。</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▲10.系统后台自动统计胶囊式微课的观看次数，便于教师做教研管理。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11.支持课件内嵌图片、音视频等多媒体文件，兼容以下格式：mp3\wav\wma\ogg\aac\mp4\rmvb\wmv\avi\rm\3gp\mkv\flv\mov\png\bmp\jpg\jpeg\gif\svg\swf\ppt\pptx。</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12.具备云端静默推送下载功能，无需用户手动下载即可实现应用的在线升级，升级具有信息验证机制，确保教学秩序不受干扰。</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13.板中板：支持授课过程中调用板中板辅助教学，可进行批注、加页及背景色切换；板中板支持插入图片、音视频素材进行独立讲解，不影响课件主画面。</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14.提供多种翻页按键布局，翻页按键可分布于屏幕单侧或左右两侧，支持上下翻页、课件页面预览及页面非线性跳转。</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15.汉字生字卡：支持在田字格上手写输入汉字并自动识别为印刷体，可展示该汉字的部首、读音、笔画顺序、笔画数量等。</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16.内置专用美术画板工具，提供铅笔、毛笔、油画笔等笔触，具备符合绘画调色教学需求的模拟调色盘，可选择不同颜色混合调色，便于学生理解调色合成过程。</w:t>
            </w:r>
            <w:r>
              <w:rPr>
                <w:rFonts w:hint="eastAsia" w:ascii="宋体" w:hAnsi="宋体" w:cs="宋体"/>
                <w:color w:val="auto"/>
                <w:kern w:val="0"/>
                <w:szCs w:val="21"/>
                <w:highlight w:val="none"/>
              </w:rPr>
              <w:br w:type="textWrapping"/>
            </w:r>
            <w:r>
              <w:rPr>
                <w:rFonts w:hint="eastAsia" w:ascii="宋体" w:hAnsi="宋体" w:cs="宋体"/>
                <w:b/>
                <w:bCs/>
                <w:color w:val="auto"/>
                <w:kern w:val="0"/>
                <w:szCs w:val="21"/>
                <w:highlight w:val="none"/>
              </w:rPr>
              <w:t>17.AI智能纠错：软件内置的AI智能语义分析模块，可对输入的英文文本的拼写、句型、语法进行错误检查，并支持一键纠错。（投标现场提供视频文件演示）</w:t>
            </w:r>
          </w:p>
          <w:p>
            <w:pPr>
              <w:widowControl/>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▲18.配置英语学科听写工具，不少于5000个英语单词，支持自定义选择单词。自定义听写频率和次数，一键生成听写卡；授课模式支持一键开启听写朗读。。</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19.提供古诗词、古文教学资源：包含原文、翻译、背景介绍、作者介绍、原文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20.多学科课件库：提供涵盖语文、数学、英语全部教学章节的不少于2000份的交互式课件。课件支持直接预览并下载，预览时支持拖动课堂活动、形状、几何、文本等元素；下载时课件可同步至教师个人云课件存储空间；课件支持教师在线评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▲21.为保证软件稳定性，需与智慧黑板为同一品牌。</w:t>
            </w:r>
          </w:p>
        </w:tc>
        <w:tc>
          <w:tcPr>
            <w:tcW w:w="709" w:type="dxa"/>
            <w:shd w:val="clear" w:color="auto" w:fill="FFFFFF"/>
            <w:vAlign w:val="center"/>
          </w:tcPr>
          <w:p>
            <w:pPr>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25</w:t>
            </w:r>
          </w:p>
        </w:tc>
        <w:tc>
          <w:tcPr>
            <w:tcW w:w="709" w:type="dxa"/>
            <w:shd w:val="clear" w:color="auto" w:fill="FFFFFF"/>
            <w:vAlign w:val="center"/>
          </w:tcPr>
          <w:p>
            <w:pPr>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37" w:type="dxa"/>
            <w:shd w:val="clear" w:color="auto" w:fill="FFFFFF"/>
            <w:vAlign w:val="center"/>
          </w:tcPr>
          <w:p>
            <w:pPr>
              <w:numPr>
                <w:ilvl w:val="0"/>
                <w:numId w:val="22"/>
              </w:numPr>
              <w:adjustRightInd w:val="0"/>
              <w:spacing w:line="0" w:lineRule="atLeast"/>
              <w:jc w:val="center"/>
              <w:rPr>
                <w:rFonts w:ascii="宋体" w:hAnsi="宋体"/>
                <w:bCs/>
                <w:color w:val="auto"/>
                <w:szCs w:val="21"/>
                <w:highlight w:val="none"/>
              </w:rPr>
            </w:pPr>
          </w:p>
        </w:tc>
        <w:tc>
          <w:tcPr>
            <w:tcW w:w="1088" w:type="dxa"/>
            <w:shd w:val="clear" w:color="auto" w:fill="FFFFFF"/>
            <w:vAlign w:val="center"/>
          </w:tcPr>
          <w:p>
            <w:pPr>
              <w:adjustRightInd w:val="0"/>
              <w:spacing w:line="0" w:lineRule="atLeast"/>
              <w:rPr>
                <w:rFonts w:ascii="宋体" w:hAnsi="宋体"/>
                <w:bCs/>
                <w:color w:val="auto"/>
                <w:szCs w:val="21"/>
                <w:highlight w:val="none"/>
              </w:rPr>
            </w:pPr>
            <w:r>
              <w:rPr>
                <w:rFonts w:hint="eastAsia" w:ascii="宋体" w:hAnsi="宋体"/>
                <w:bCs/>
                <w:color w:val="auto"/>
                <w:szCs w:val="21"/>
                <w:highlight w:val="none"/>
              </w:rPr>
              <w:t>OPS电脑</w:t>
            </w:r>
          </w:p>
        </w:tc>
        <w:tc>
          <w:tcPr>
            <w:tcW w:w="5881"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搭载Intel 8代酷睿 i</w:t>
            </w:r>
            <w:r>
              <w:rPr>
                <w:rFonts w:hint="eastAsia" w:ascii="宋体" w:hAnsi="宋体" w:cs="宋体"/>
                <w:color w:val="auto"/>
                <w:kern w:val="0"/>
                <w:szCs w:val="21"/>
                <w:highlight w:val="none"/>
              </w:rPr>
              <w:t>5或以上配置</w:t>
            </w:r>
            <w:r>
              <w:rPr>
                <w:rFonts w:ascii="宋体" w:hAnsi="宋体" w:cs="宋体"/>
                <w:color w:val="auto"/>
                <w:kern w:val="0"/>
                <w:szCs w:val="21"/>
                <w:highlight w:val="none"/>
              </w:rPr>
              <w:t>CPU</w:t>
            </w:r>
            <w:r>
              <w:rPr>
                <w:rFonts w:hint="eastAsia" w:ascii="宋体" w:hAnsi="宋体" w:cs="宋体"/>
                <w:color w:val="auto"/>
                <w:kern w:val="0"/>
                <w:szCs w:val="21"/>
                <w:highlight w:val="none"/>
              </w:rPr>
              <w:t>。内存：8GB DDR4笔记本内存或以上配置。硬盘：256GB SSD固态硬盘或以上配置。</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2、采用抽拉内置式模块化电脑，抽拉内置式，PC模块可插入整机，可实现无单独接线的插拔。</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3、和整机的连接采用万兆级接口，传输速率≥10Gbps。连接接口针脚数≤40pin，尺寸≤28.1mm*5.3mm。</w:t>
            </w:r>
          </w:p>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4、采用按压式卡扣，无需工具就可快速拆卸电脑模块。具有标准PC防盗锁孔。（投标现场提供视频文件演示）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5、具有独立非外扩展的视频输出接口：≥1路HDMI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具有独立非外扩展的电脑USB接口：≥3路USB。</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具有标准PC防盗锁孔。</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4、电脑模块CPU≥i5，内存≥8G DDR4；硬盘≥256G固态硬盘。</w:t>
            </w:r>
          </w:p>
        </w:tc>
        <w:tc>
          <w:tcPr>
            <w:tcW w:w="709" w:type="dxa"/>
            <w:shd w:val="clear" w:color="auto" w:fill="FFFFFF"/>
            <w:vAlign w:val="center"/>
          </w:tcPr>
          <w:p>
            <w:pPr>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25</w:t>
            </w:r>
          </w:p>
        </w:tc>
        <w:tc>
          <w:tcPr>
            <w:tcW w:w="709" w:type="dxa"/>
            <w:shd w:val="clear" w:color="auto" w:fill="FFFFFF"/>
            <w:vAlign w:val="center"/>
          </w:tcPr>
          <w:p>
            <w:pPr>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37" w:type="dxa"/>
            <w:shd w:val="clear" w:color="auto" w:fill="FFFFFF"/>
            <w:vAlign w:val="center"/>
          </w:tcPr>
          <w:p>
            <w:pPr>
              <w:numPr>
                <w:ilvl w:val="0"/>
                <w:numId w:val="22"/>
              </w:numPr>
              <w:adjustRightInd w:val="0"/>
              <w:spacing w:line="0" w:lineRule="atLeast"/>
              <w:jc w:val="center"/>
              <w:rPr>
                <w:rFonts w:ascii="宋体" w:hAnsi="宋体"/>
                <w:bCs/>
                <w:color w:val="auto"/>
                <w:szCs w:val="21"/>
                <w:highlight w:val="none"/>
              </w:rPr>
            </w:pPr>
          </w:p>
        </w:tc>
        <w:tc>
          <w:tcPr>
            <w:tcW w:w="1088" w:type="dxa"/>
            <w:shd w:val="clear" w:color="auto" w:fill="FFFFFF"/>
            <w:vAlign w:val="center"/>
          </w:tcPr>
          <w:p>
            <w:pPr>
              <w:adjustRightInd w:val="0"/>
              <w:spacing w:line="0" w:lineRule="atLeast"/>
              <w:rPr>
                <w:rFonts w:ascii="宋体" w:hAnsi="宋体"/>
                <w:bCs/>
                <w:color w:val="auto"/>
                <w:szCs w:val="21"/>
                <w:highlight w:val="none"/>
              </w:rPr>
            </w:pPr>
            <w:r>
              <w:rPr>
                <w:rFonts w:hint="eastAsia" w:ascii="宋体" w:hAnsi="宋体" w:cs="宋体"/>
                <w:color w:val="auto"/>
                <w:szCs w:val="21"/>
                <w:highlight w:val="none"/>
              </w:rPr>
              <w:t>学生行为评价软件</w:t>
            </w:r>
          </w:p>
        </w:tc>
        <w:tc>
          <w:tcPr>
            <w:tcW w:w="5881"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1.学生行为评价系统集成学校管理、教师管理、课堂表现评价、家校互联互通功能，所有功能同一软件平台的同一账户实现。</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2.兼容多平台系统，可在PC、Web、安卓、iOS等系统使用，且各终端数据互通，教师可多场景下对学生进行管理与评价。</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3.移动端支持教师/家长双重身份无缝切换，软件内可直接切换账户类型，无需安装多个APP应用或退出账号重新登录。</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4.支持通过数字账号、微信二维码、硬件密钥方式登录教师个人账号。</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二、教师管理中心</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5.支持汇总查看校内的班级评价排名，可以列表形式查看班主任、班级学生数、家长数、班级代码等信息。</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6.支持创建新班级，可批量添加学生，同时支持将已有班级的学生与家长快速导入新班级。</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三、课堂表现评价</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7.支持按学生或小组的首字母、总分、表扬分数、待改进分数等维度进行排序，方便老师快速找到需要评价的学生或小组。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8.学生成长统计档案支持导出excel格式的班级学生评价分数，也可以单个学生的形式导出pdf格式的成长档案。</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▲9.系统支持通过教师日常点评数据及专业心理测试，对学生能力进行分析，分析维度包括专注力、行为习惯、理解力、探索性、表达能力、组织能力等，并对各个能力维度进行能力解释、得分量化、潜力分析。</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10.教师可通过多终端对学生、小组及班级进行行为量化评价、文字点评、图片点评。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11.具备桌面光荣榜功能，可显示班级得分前列的学生信息、小组信息榜单；可隐藏光荣榜，不占用桌面显示。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12.支持查看所有班级、小组、学生的评价得分，PC授课端界面提供不少于3种风格皮肤，适合不同学段使用。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13.家校互联系统</w:t>
            </w:r>
            <w:r>
              <w:rPr>
                <w:rFonts w:hint="eastAsia" w:ascii="宋体" w:hAnsi="宋体" w:cs="宋体"/>
                <w:color w:val="auto"/>
                <w:kern w:val="0"/>
                <w:szCs w:val="21"/>
                <w:highlight w:val="none"/>
              </w:rPr>
              <w:br w:type="textWrapping"/>
            </w:r>
            <w:r>
              <w:rPr>
                <w:rFonts w:hint="eastAsia" w:ascii="宋体" w:hAnsi="宋体" w:cs="Segoe UI Symbol"/>
                <w:color w:val="auto"/>
                <w:szCs w:val="21"/>
                <w:highlight w:val="none"/>
              </w:rPr>
              <w:t>▲</w:t>
            </w:r>
            <w:r>
              <w:rPr>
                <w:rFonts w:hint="eastAsia" w:ascii="宋体" w:hAnsi="宋体" w:cs="宋体"/>
                <w:color w:val="auto"/>
                <w:kern w:val="0"/>
                <w:szCs w:val="21"/>
                <w:highlight w:val="none"/>
              </w:rPr>
              <w:t>14.系统根据学生日常行为评价情况，通过AI学生能力模型进行智能分析，为每个学生生成定制化评语，评语可支持教师二次编辑修改并推送至家长端。</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15.支持教师以文本、图片形式点评学生在校表现，相关情况及时通报家长。</w:t>
            </w:r>
            <w:r>
              <w:rPr>
                <w:rFonts w:hint="eastAsia" w:ascii="宋体" w:hAnsi="宋体" w:cs="宋体"/>
                <w:color w:val="auto"/>
                <w:kern w:val="0"/>
                <w:szCs w:val="21"/>
                <w:highlight w:val="none"/>
              </w:rPr>
              <w:br w:type="textWrapping"/>
            </w:r>
            <w:r>
              <w:rPr>
                <w:rFonts w:hint="eastAsia" w:ascii="宋体" w:hAnsi="宋体" w:cs="Segoe UI Symbol"/>
                <w:color w:val="auto"/>
                <w:szCs w:val="21"/>
                <w:highlight w:val="none"/>
              </w:rPr>
              <w:t>▲</w:t>
            </w:r>
            <w:r>
              <w:rPr>
                <w:rFonts w:hint="eastAsia" w:ascii="宋体" w:hAnsi="宋体" w:cs="宋体"/>
                <w:color w:val="auto"/>
                <w:kern w:val="0"/>
                <w:szCs w:val="21"/>
                <w:highlight w:val="none"/>
              </w:rPr>
              <w:t>16.为保证软件稳定性，需与智慧黑板为同一品牌。</w:t>
            </w:r>
          </w:p>
        </w:tc>
        <w:tc>
          <w:tcPr>
            <w:tcW w:w="709" w:type="dxa"/>
            <w:shd w:val="clear" w:color="auto" w:fill="FFFFFF"/>
            <w:vAlign w:val="center"/>
          </w:tcPr>
          <w:p>
            <w:pPr>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25</w:t>
            </w:r>
          </w:p>
        </w:tc>
        <w:tc>
          <w:tcPr>
            <w:tcW w:w="709" w:type="dxa"/>
            <w:shd w:val="clear" w:color="auto" w:fill="FFFFFF"/>
            <w:vAlign w:val="center"/>
          </w:tcPr>
          <w:p>
            <w:pPr>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37" w:type="dxa"/>
            <w:shd w:val="clear" w:color="auto" w:fill="FFFFFF"/>
            <w:vAlign w:val="center"/>
          </w:tcPr>
          <w:p>
            <w:pPr>
              <w:numPr>
                <w:ilvl w:val="0"/>
                <w:numId w:val="22"/>
              </w:numPr>
              <w:adjustRightInd w:val="0"/>
              <w:spacing w:line="0" w:lineRule="atLeast"/>
              <w:jc w:val="center"/>
              <w:rPr>
                <w:rFonts w:ascii="宋体" w:hAnsi="宋体"/>
                <w:bCs/>
                <w:color w:val="auto"/>
                <w:szCs w:val="21"/>
                <w:highlight w:val="none"/>
              </w:rPr>
            </w:pPr>
          </w:p>
        </w:tc>
        <w:tc>
          <w:tcPr>
            <w:tcW w:w="1088" w:type="dxa"/>
            <w:shd w:val="clear" w:color="auto" w:fill="FFFFFF"/>
            <w:vAlign w:val="center"/>
          </w:tcPr>
          <w:p>
            <w:pPr>
              <w:adjustRightInd w:val="0"/>
              <w:spacing w:line="0" w:lineRule="atLeast"/>
              <w:rPr>
                <w:rFonts w:ascii="宋体" w:hAnsi="宋体"/>
                <w:bCs/>
                <w:color w:val="auto"/>
                <w:szCs w:val="21"/>
                <w:highlight w:val="none"/>
              </w:rPr>
            </w:pPr>
            <w:r>
              <w:rPr>
                <w:rFonts w:hint="eastAsia" w:ascii="宋体" w:hAnsi="宋体" w:cs="宋体"/>
                <w:color w:val="auto"/>
                <w:szCs w:val="21"/>
                <w:highlight w:val="none"/>
              </w:rPr>
              <w:t>信息化数据中心</w:t>
            </w:r>
          </w:p>
        </w:tc>
        <w:tc>
          <w:tcPr>
            <w:tcW w:w="5881"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1.信息化指数：通过多维度分析学校的信息化教学应用情况，综合评估出信息化指数，并与月均值、全省均值进行对比，方便管理者快速了解信息化教学进展。</w:t>
            </w:r>
          </w:p>
          <w:p>
            <w:pPr>
              <w:widowControl/>
              <w:jc w:val="left"/>
              <w:rPr>
                <w:rFonts w:ascii="宋体" w:hAnsi="宋体" w:cs="宋体"/>
                <w:color w:val="auto"/>
                <w:kern w:val="0"/>
                <w:szCs w:val="21"/>
                <w:highlight w:val="none"/>
              </w:rPr>
            </w:pPr>
            <w:r>
              <w:rPr>
                <w:rFonts w:hint="eastAsia" w:ascii="宋体" w:hAnsi="宋体" w:cs="Segoe UI Symbol"/>
                <w:color w:val="auto"/>
                <w:szCs w:val="21"/>
                <w:highlight w:val="none"/>
              </w:rPr>
              <w:t>▲</w:t>
            </w:r>
            <w:r>
              <w:rPr>
                <w:rFonts w:hint="eastAsia" w:ascii="宋体" w:hAnsi="宋体" w:cs="宋体"/>
                <w:color w:val="auto"/>
                <w:kern w:val="0"/>
                <w:szCs w:val="21"/>
                <w:highlight w:val="none"/>
              </w:rPr>
              <w:t>2.信息化数据雷达图：将信息化教学数据分五个维度进行评估，分别为课件制作、听课评课、师生互动、互动教学、家校沟通，并与全省均值对比，学校信息化教学情况一目了然。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提升实力：一键分析学校信息化教学的待提升项，并将本校信息化教学数值与省最高值进行对比，方便学校了解自身情况和实际差距；同时可通过管理端督促教师开展信息化教学活动，并为管理者预测督促后可提升的指标，督促信息将通过短信触达教师，保证督促效果。</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4.学校通知：管理员可根据组织架构信息，自由选定教师发送学校通知。发送后，管理员可实时查阅教师已读、未读情况。通知的发送、接收都可在微信小程序中完成，方便随时随地进行通知的查阅和管理。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5.组织架构：管理员可自定义构建部门，亦可将教师导入相应的部门，方便进行分组管理。支持管理者在移动端审核教师入校，方便快速处理教师的申请。</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6.教研结构：支持管理者按照学段-学科-年级快速创建教师的教研组织结构，方便教师信息的分类管理。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7.人员管理：支持管理员通过多种方式邀请教师入校，包含直接导入教师、链接邀请入校、二维码邀请入校。支持以姓名、手机号快速搜索教师，同时支持导出学校教师名单。</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8.申请入校：教师输入学校账号以及入校验证信息完成入校申请，管理员审核申请后即可入校；</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9.信息管理：支持修改管理员、教师的账户信息。</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班级管理：支持查看校内每个班级的班主任、班级人数，查看每位学生的课堂行为点评，了解每位学生情况，便捷进行班级管理。</w:t>
            </w:r>
          </w:p>
          <w:p>
            <w:pPr>
              <w:widowControl/>
              <w:jc w:val="left"/>
              <w:rPr>
                <w:rFonts w:ascii="宋体" w:hAnsi="宋体" w:cs="宋体"/>
                <w:color w:val="auto"/>
                <w:kern w:val="0"/>
                <w:szCs w:val="21"/>
                <w:highlight w:val="none"/>
              </w:rPr>
            </w:pPr>
            <w:r>
              <w:rPr>
                <w:rFonts w:hint="eastAsia" w:ascii="宋体" w:hAnsi="宋体" w:cs="Segoe UI Symbol"/>
                <w:color w:val="auto"/>
                <w:szCs w:val="21"/>
                <w:highlight w:val="none"/>
              </w:rPr>
              <w:t>▲</w:t>
            </w:r>
            <w:r>
              <w:rPr>
                <w:rFonts w:hint="eastAsia" w:ascii="宋体" w:hAnsi="宋体" w:cs="宋体"/>
                <w:color w:val="auto"/>
                <w:kern w:val="0"/>
                <w:szCs w:val="21"/>
                <w:highlight w:val="none"/>
              </w:rPr>
              <w:t>10.为学校提供教研全流程管理服务，包含教学计划、教学设计、校本资源、集体备课、听课评课、班级氛围的流程管理和数据分析，方便学校统筹管理教学、掌握教研活动进展，收集数据反馈和评价，了解全校教师的教学教研产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11.学校目标与计划：可以在系统中录入学校教学计划，计划可以和教案的课时数相关联，方便管理者掌握学校教学进度。</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12.教研组计划：以不同学科不同年级教研组为单位，可以在系统中录入教研组教学计划，计划可以和教案的课时数相关联，方便教研组管理教学进度。</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13.教学设计管理：支持管理者查看全校教师制作的课件数，教案数和胶囊数，以及教师上传到校本的课件数，教案数和胶囊数，通过详情还可查看教师具体制作的教案详情，上传的校本资源详情，点击对应的资源可以预览查看文件。</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14.校本资源管理：可统一审核发布、移动/删除教师上传至校本库的课件、教案、胶囊及多媒体等资源。其中多媒体资源类型与格式包括：文档：doc,docx,pdf,ppt,pptx,xlsx,xls；图片：bmp,jpg,png,jpeg,gif</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15.视频：mp4,mov,webm；音频：wav,mp3,ogg</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16.搭建目录框架：校本资源库提供学科目录模板/教材目录模板，便于管理者快速搭建校本资源目录框架，以文件夹的形式进行分组，方便各年级学科的资源管理。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17.权限设置：支持以文件夹的维度进行权限设置，设置某个文件夹仅有权限的部门或者老师可见，同时支持按文件夹的维度进行支持课件的批量移动、删除、重命名，</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18.资源搜索：支持树形结构目录，便于资源分类及快速查找，支持全局资源搜索，按年级、学科筛选资源，支持查找资源后快速定位到当前资源文件夹。</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19.查看及预览：支持查看资源文件夹的创建者，资源的上传作者，更新时间、校本容量等数据。校本资源支持在线预览，方便资源的审核和检查。</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20.资源管理：管理员可对校本资源进行分类移动，删除或重命名，资源目录支持同级拖拽移动。</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22.备课应用：在交互式备授课软件中，支持获取校本资源到本地查看，也可选择插入校本资源库中的多媒体资源，实现校内资源的共建共享。</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23.课程评价记录：支持查看以课程维度的评价记录，包括课件名称，授课老师，所属学科，本节课的评课人数，总评价平均分及授课时间，通过点击操作“详情”可查看具体评价情况，支持管理员删除评价记录。</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24.集备研讨：参备成员可通过评论,对在线对教案/课件进行批注，发表观点，通过评论/批注回复，评论点赞等功能营造浓厚的研讨氛围，评论/批注消息支持实时提醒，评论支持图片的上传。</w:t>
            </w:r>
          </w:p>
        </w:tc>
        <w:tc>
          <w:tcPr>
            <w:tcW w:w="709" w:type="dxa"/>
            <w:shd w:val="clear" w:color="auto" w:fill="FFFFFF"/>
            <w:vAlign w:val="center"/>
          </w:tcPr>
          <w:p>
            <w:pPr>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25</w:t>
            </w:r>
          </w:p>
        </w:tc>
        <w:tc>
          <w:tcPr>
            <w:tcW w:w="709" w:type="dxa"/>
            <w:shd w:val="clear" w:color="auto" w:fill="FFFFFF"/>
            <w:vAlign w:val="center"/>
          </w:tcPr>
          <w:p>
            <w:pPr>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637" w:type="dxa"/>
            <w:shd w:val="clear" w:color="auto" w:fill="FFFFFF"/>
            <w:vAlign w:val="center"/>
          </w:tcPr>
          <w:p>
            <w:pPr>
              <w:numPr>
                <w:ilvl w:val="0"/>
                <w:numId w:val="22"/>
              </w:numPr>
              <w:adjustRightInd w:val="0"/>
              <w:spacing w:line="0" w:lineRule="atLeast"/>
              <w:jc w:val="center"/>
              <w:rPr>
                <w:rFonts w:ascii="宋体" w:hAnsi="宋体"/>
                <w:bCs/>
                <w:color w:val="auto"/>
                <w:szCs w:val="21"/>
                <w:highlight w:val="none"/>
              </w:rPr>
            </w:pPr>
          </w:p>
        </w:tc>
        <w:tc>
          <w:tcPr>
            <w:tcW w:w="1088" w:type="dxa"/>
            <w:shd w:val="clear" w:color="auto" w:fill="FFFFFF"/>
            <w:vAlign w:val="center"/>
          </w:tcPr>
          <w:p>
            <w:pPr>
              <w:adjustRightInd w:val="0"/>
              <w:spacing w:line="0" w:lineRule="atLeast"/>
              <w:rPr>
                <w:rFonts w:ascii="宋体" w:hAnsi="宋体"/>
                <w:bCs/>
                <w:color w:val="auto"/>
                <w:szCs w:val="21"/>
                <w:highlight w:val="none"/>
              </w:rPr>
            </w:pPr>
            <w:r>
              <w:rPr>
                <w:rFonts w:hint="eastAsia" w:ascii="宋体" w:hAnsi="宋体"/>
                <w:bCs/>
                <w:color w:val="auto"/>
                <w:szCs w:val="21"/>
                <w:highlight w:val="none"/>
              </w:rPr>
              <w:t>视频展台</w:t>
            </w:r>
          </w:p>
        </w:tc>
        <w:tc>
          <w:tcPr>
            <w:tcW w:w="5881" w:type="dxa"/>
            <w:shd w:val="clear" w:color="auto" w:fill="FFFFFF"/>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1.硬件参数：无锐角无利边设计，有效防止师生碰伤、划伤。</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2.壁挂式安装，防盗防破坏。</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3.采用USB高速接口，单根USB线实现供电、高清数据传输需求。</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4.采用800W像素自动对焦摄像头，可拍摄A4画幅。</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5.解析度：中间≥1600线，四周≥1400线。</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6.为保证兼容性及稳定性，视频展台需与智慧黑板为同一品牌。</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软件参数：</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1.支持对展台实时画面进行放大、缩小、旋转、自适应、冻结画面等操作。</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2.支持展台画面实时批注，预设多种笔划粗细及颜色供选择，且支持对展台画面联同批注内容进行同步缩放、移动。</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3.支持展台画面拍照截图并进行多图预览，可对任一图片进行全屏显示。</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4.老师可在一体机或电脑上选择延时拍照功能，支持5秒或10秒延时模式，预留充足时间以便调整拍摄内容。</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5.可选择图像、文本或动态三种情景模式，适应不同展示内容。</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6.具备图像增强功能，可自动裁剪背景并增强文字显示，使文档画面更清晰。</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7.支持故障自动检测，在软件无法出现展台拍摄画面时，自动出现检测链接，帮助用户检测“无画面”的原因，并给出引导性解决方案。可判断硬件连接、显卡驱动、摄像头占用、软件版本等问题。</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8.支持二维码扫码功能：打开扫一扫功能后，将书本上的二维码放入扫描框内即可自动扫描，并进入系统浏览器获取二维码的链接内容，帮助老师快速获取电子教学资源。</w:t>
            </w:r>
          </w:p>
        </w:tc>
        <w:tc>
          <w:tcPr>
            <w:tcW w:w="709" w:type="dxa"/>
            <w:shd w:val="clear" w:color="auto" w:fill="FFFFFF"/>
            <w:vAlign w:val="center"/>
          </w:tcPr>
          <w:p>
            <w:pPr>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25</w:t>
            </w:r>
          </w:p>
        </w:tc>
        <w:tc>
          <w:tcPr>
            <w:tcW w:w="709" w:type="dxa"/>
            <w:shd w:val="clear" w:color="auto" w:fill="FFFFFF"/>
            <w:vAlign w:val="center"/>
          </w:tcPr>
          <w:p>
            <w:pPr>
              <w:adjustRightInd w:val="0"/>
              <w:spacing w:line="0" w:lineRule="atLeast"/>
              <w:jc w:val="center"/>
              <w:rPr>
                <w:rFonts w:ascii="宋体" w:hAnsi="宋体"/>
                <w:bCs/>
                <w:color w:val="auto"/>
                <w:szCs w:val="21"/>
                <w:highlight w:val="none"/>
              </w:rPr>
            </w:pPr>
            <w:r>
              <w:rPr>
                <w:rFonts w:hint="eastAsia" w:ascii="宋体" w:hAnsi="宋体"/>
                <w:bCs/>
                <w:color w:val="auto"/>
                <w:szCs w:val="21"/>
                <w:highlight w:val="none"/>
              </w:rPr>
              <w:t>套</w:t>
            </w:r>
          </w:p>
        </w:tc>
      </w:tr>
    </w:tbl>
    <w:p>
      <w:pPr>
        <w:jc w:val="center"/>
        <w:rPr>
          <w:rFonts w:ascii="等线" w:hAnsi="等线" w:eastAsia="等线" w:cs="等线"/>
          <w:color w:val="auto"/>
          <w:sz w:val="32"/>
          <w:szCs w:val="32"/>
          <w:highlight w:val="none"/>
        </w:rPr>
        <w:sectPr>
          <w:headerReference r:id="rId9" w:type="default"/>
          <w:footerReference r:id="rId10" w:type="default"/>
          <w:pgSz w:w="11906" w:h="16838"/>
          <w:pgMar w:top="1440" w:right="1803" w:bottom="1440" w:left="1803" w:header="851" w:footer="992" w:gutter="0"/>
          <w:cols w:space="720" w:num="1"/>
          <w:docGrid w:type="lines" w:linePitch="319" w:charSpace="0"/>
        </w:sectPr>
      </w:pPr>
    </w:p>
    <w:p>
      <w:pPr>
        <w:pStyle w:val="2"/>
        <w:rPr>
          <w:color w:val="auto"/>
          <w:highlight w:val="none"/>
        </w:rPr>
      </w:pPr>
    </w:p>
    <w:p>
      <w:pPr>
        <w:keepNext/>
        <w:keepLines/>
        <w:tabs>
          <w:tab w:val="left" w:pos="2410"/>
          <w:tab w:val="center" w:pos="4212"/>
        </w:tabs>
        <w:spacing w:line="360" w:lineRule="auto"/>
        <w:ind w:firstLine="723" w:firstLineChars="200"/>
        <w:jc w:val="center"/>
        <w:outlineLvl w:val="0"/>
        <w:rPr>
          <w:rFonts w:ascii="宋体" w:hAnsi="宋体" w:cs="宋体"/>
          <w:b/>
          <w:bCs/>
          <w:color w:val="auto"/>
          <w:sz w:val="36"/>
          <w:szCs w:val="36"/>
          <w:highlight w:val="none"/>
        </w:rPr>
      </w:pPr>
      <w:bookmarkStart w:id="69" w:name="_Toc12975"/>
      <w:r>
        <w:rPr>
          <w:rFonts w:hint="eastAsia" w:ascii="宋体" w:hAnsi="宋体" w:cs="宋体"/>
          <w:b/>
          <w:bCs/>
          <w:color w:val="auto"/>
          <w:sz w:val="36"/>
          <w:szCs w:val="36"/>
          <w:highlight w:val="none"/>
        </w:rPr>
        <w:t>第六部分  合同条款</w:t>
      </w:r>
      <w:bookmarkEnd w:id="69"/>
    </w:p>
    <w:p>
      <w:pPr>
        <w:kinsoku w:val="0"/>
        <w:spacing w:line="4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甲方：西安市远东第一中学</w:t>
      </w:r>
    </w:p>
    <w:p>
      <w:pPr>
        <w:kinsoku w:val="0"/>
        <w:spacing w:line="4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pPr>
        <w:kinsoku w:val="0"/>
        <w:spacing w:line="4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根据《中华人民共和国政府采购法》、《中华人民共和国民法典》等法律法规，甲方通过公开招标，选定乙方为中标单位。甲、乙双方在平等基础上协商一致，达成如下合同条款：</w:t>
      </w:r>
    </w:p>
    <w:p>
      <w:pPr>
        <w:kinsoku w:val="0"/>
        <w:spacing w:line="40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b/>
          <w:color w:val="auto"/>
          <w:sz w:val="24"/>
          <w:highlight w:val="none"/>
        </w:rPr>
        <w:t>合同内容</w:t>
      </w:r>
    </w:p>
    <w:tbl>
      <w:tblPr>
        <w:tblStyle w:val="30"/>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620" w:type="dxa"/>
            <w:vAlign w:val="center"/>
          </w:tcPr>
          <w:p>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设备名称</w:t>
            </w:r>
          </w:p>
        </w:tc>
        <w:tc>
          <w:tcPr>
            <w:tcW w:w="1260" w:type="dxa"/>
            <w:vAlign w:val="center"/>
          </w:tcPr>
          <w:p>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型号</w:t>
            </w:r>
          </w:p>
        </w:tc>
        <w:tc>
          <w:tcPr>
            <w:tcW w:w="900" w:type="dxa"/>
            <w:vAlign w:val="center"/>
          </w:tcPr>
          <w:p>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900" w:type="dxa"/>
            <w:vAlign w:val="center"/>
          </w:tcPr>
          <w:p>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900" w:type="dxa"/>
            <w:vAlign w:val="center"/>
          </w:tcPr>
          <w:p>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894" w:type="dxa"/>
            <w:vAlign w:val="center"/>
          </w:tcPr>
          <w:p>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总价</w:t>
            </w:r>
          </w:p>
        </w:tc>
        <w:tc>
          <w:tcPr>
            <w:tcW w:w="839" w:type="dxa"/>
            <w:vAlign w:val="center"/>
          </w:tcPr>
          <w:p>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620" w:type="dxa"/>
            <w:vAlign w:val="center"/>
          </w:tcPr>
          <w:p>
            <w:pPr>
              <w:adjustRightInd w:val="0"/>
              <w:snapToGrid w:val="0"/>
              <w:jc w:val="center"/>
              <w:rPr>
                <w:rFonts w:ascii="宋体" w:hAnsi="宋体" w:cs="宋体"/>
                <w:color w:val="auto"/>
                <w:szCs w:val="21"/>
                <w:highlight w:val="none"/>
              </w:rPr>
            </w:pPr>
          </w:p>
        </w:tc>
        <w:tc>
          <w:tcPr>
            <w:tcW w:w="1260" w:type="dxa"/>
            <w:vAlign w:val="center"/>
          </w:tcPr>
          <w:p>
            <w:pPr>
              <w:spacing w:line="400" w:lineRule="exact"/>
              <w:jc w:val="center"/>
              <w:rPr>
                <w:rFonts w:ascii="宋体" w:hAnsi="宋体" w:cs="宋体"/>
                <w:color w:val="auto"/>
                <w:szCs w:val="21"/>
                <w:highlight w:val="none"/>
              </w:rPr>
            </w:pPr>
          </w:p>
        </w:tc>
        <w:tc>
          <w:tcPr>
            <w:tcW w:w="900" w:type="dxa"/>
            <w:vAlign w:val="center"/>
          </w:tcPr>
          <w:p>
            <w:pPr>
              <w:spacing w:line="400" w:lineRule="exact"/>
              <w:jc w:val="center"/>
              <w:rPr>
                <w:rFonts w:ascii="宋体" w:hAnsi="宋体" w:cs="宋体"/>
                <w:color w:val="auto"/>
                <w:szCs w:val="21"/>
                <w:highlight w:val="none"/>
              </w:rPr>
            </w:pPr>
          </w:p>
        </w:tc>
        <w:tc>
          <w:tcPr>
            <w:tcW w:w="900" w:type="dxa"/>
            <w:vAlign w:val="center"/>
          </w:tcPr>
          <w:p>
            <w:pPr>
              <w:adjustRightInd w:val="0"/>
              <w:snapToGrid w:val="0"/>
              <w:jc w:val="center"/>
              <w:rPr>
                <w:rFonts w:ascii="宋体" w:hAnsi="宋体" w:cs="宋体"/>
                <w:color w:val="auto"/>
                <w:szCs w:val="21"/>
                <w:highlight w:val="none"/>
              </w:rPr>
            </w:pPr>
          </w:p>
        </w:tc>
        <w:tc>
          <w:tcPr>
            <w:tcW w:w="900" w:type="dxa"/>
            <w:vAlign w:val="center"/>
          </w:tcPr>
          <w:p>
            <w:pPr>
              <w:autoSpaceDN w:val="0"/>
              <w:jc w:val="center"/>
              <w:textAlignment w:val="center"/>
              <w:rPr>
                <w:rFonts w:ascii="宋体" w:hAnsi="宋体" w:cs="宋体"/>
                <w:color w:val="auto"/>
                <w:szCs w:val="21"/>
                <w:highlight w:val="none"/>
              </w:rPr>
            </w:pPr>
          </w:p>
        </w:tc>
        <w:tc>
          <w:tcPr>
            <w:tcW w:w="894" w:type="dxa"/>
            <w:vAlign w:val="center"/>
          </w:tcPr>
          <w:p>
            <w:pPr>
              <w:autoSpaceDN w:val="0"/>
              <w:jc w:val="center"/>
              <w:textAlignment w:val="center"/>
              <w:rPr>
                <w:rFonts w:ascii="宋体" w:hAnsi="宋体" w:cs="宋体"/>
                <w:color w:val="auto"/>
                <w:szCs w:val="21"/>
                <w:highlight w:val="none"/>
              </w:rPr>
            </w:pPr>
          </w:p>
        </w:tc>
        <w:tc>
          <w:tcPr>
            <w:tcW w:w="839" w:type="dxa"/>
            <w:vAlign w:val="center"/>
          </w:tcPr>
          <w:p>
            <w:pPr>
              <w:autoSpaceDN w:val="0"/>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auto"/>
                <w:szCs w:val="21"/>
                <w:highlight w:val="none"/>
              </w:rPr>
            </w:pPr>
          </w:p>
        </w:tc>
        <w:tc>
          <w:tcPr>
            <w:tcW w:w="1620" w:type="dxa"/>
            <w:vAlign w:val="center"/>
          </w:tcPr>
          <w:p>
            <w:pPr>
              <w:adjustRightInd w:val="0"/>
              <w:snapToGrid w:val="0"/>
              <w:jc w:val="center"/>
              <w:rPr>
                <w:rFonts w:ascii="宋体" w:hAnsi="宋体" w:cs="宋体"/>
                <w:color w:val="auto"/>
                <w:szCs w:val="21"/>
                <w:highlight w:val="none"/>
              </w:rPr>
            </w:pPr>
          </w:p>
        </w:tc>
        <w:tc>
          <w:tcPr>
            <w:tcW w:w="1260" w:type="dxa"/>
            <w:vAlign w:val="center"/>
          </w:tcPr>
          <w:p>
            <w:pPr>
              <w:spacing w:line="400" w:lineRule="exact"/>
              <w:jc w:val="center"/>
              <w:rPr>
                <w:rFonts w:ascii="宋体" w:hAnsi="宋体" w:cs="宋体"/>
                <w:color w:val="auto"/>
                <w:szCs w:val="21"/>
                <w:highlight w:val="none"/>
              </w:rPr>
            </w:pPr>
          </w:p>
        </w:tc>
        <w:tc>
          <w:tcPr>
            <w:tcW w:w="900" w:type="dxa"/>
            <w:vAlign w:val="center"/>
          </w:tcPr>
          <w:p>
            <w:pPr>
              <w:spacing w:line="400" w:lineRule="exact"/>
              <w:jc w:val="center"/>
              <w:rPr>
                <w:rFonts w:ascii="宋体" w:hAnsi="宋体" w:cs="宋体"/>
                <w:color w:val="auto"/>
                <w:szCs w:val="21"/>
                <w:highlight w:val="none"/>
              </w:rPr>
            </w:pPr>
          </w:p>
        </w:tc>
        <w:tc>
          <w:tcPr>
            <w:tcW w:w="900" w:type="dxa"/>
            <w:vAlign w:val="center"/>
          </w:tcPr>
          <w:p>
            <w:pPr>
              <w:adjustRightInd w:val="0"/>
              <w:snapToGrid w:val="0"/>
              <w:jc w:val="center"/>
              <w:rPr>
                <w:rFonts w:ascii="宋体" w:hAnsi="宋体" w:cs="宋体"/>
                <w:color w:val="auto"/>
                <w:szCs w:val="21"/>
                <w:highlight w:val="none"/>
              </w:rPr>
            </w:pPr>
          </w:p>
        </w:tc>
        <w:tc>
          <w:tcPr>
            <w:tcW w:w="900" w:type="dxa"/>
            <w:vAlign w:val="center"/>
          </w:tcPr>
          <w:p>
            <w:pPr>
              <w:autoSpaceDN w:val="0"/>
              <w:jc w:val="center"/>
              <w:textAlignment w:val="center"/>
              <w:rPr>
                <w:rFonts w:ascii="宋体" w:hAnsi="宋体" w:cs="宋体"/>
                <w:color w:val="auto"/>
                <w:szCs w:val="21"/>
                <w:highlight w:val="none"/>
              </w:rPr>
            </w:pPr>
          </w:p>
        </w:tc>
        <w:tc>
          <w:tcPr>
            <w:tcW w:w="894" w:type="dxa"/>
            <w:vAlign w:val="center"/>
          </w:tcPr>
          <w:p>
            <w:pPr>
              <w:autoSpaceDN w:val="0"/>
              <w:jc w:val="center"/>
              <w:textAlignment w:val="center"/>
              <w:rPr>
                <w:rFonts w:ascii="宋体" w:hAnsi="宋体" w:cs="宋体"/>
                <w:color w:val="auto"/>
                <w:szCs w:val="21"/>
                <w:highlight w:val="none"/>
              </w:rPr>
            </w:pPr>
          </w:p>
        </w:tc>
        <w:tc>
          <w:tcPr>
            <w:tcW w:w="839" w:type="dxa"/>
            <w:vAlign w:val="center"/>
          </w:tcPr>
          <w:p>
            <w:pPr>
              <w:autoSpaceDN w:val="0"/>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cs="宋体"/>
                <w:color w:val="auto"/>
                <w:szCs w:val="21"/>
                <w:highlight w:val="none"/>
              </w:rPr>
            </w:pPr>
          </w:p>
        </w:tc>
        <w:tc>
          <w:tcPr>
            <w:tcW w:w="1620" w:type="dxa"/>
            <w:vAlign w:val="center"/>
          </w:tcPr>
          <w:p>
            <w:pPr>
              <w:adjustRightInd w:val="0"/>
              <w:snapToGrid w:val="0"/>
              <w:jc w:val="center"/>
              <w:rPr>
                <w:rFonts w:ascii="宋体" w:hAnsi="宋体" w:cs="宋体"/>
                <w:color w:val="auto"/>
                <w:szCs w:val="21"/>
                <w:highlight w:val="none"/>
              </w:rPr>
            </w:pPr>
          </w:p>
        </w:tc>
        <w:tc>
          <w:tcPr>
            <w:tcW w:w="1260" w:type="dxa"/>
            <w:vAlign w:val="center"/>
          </w:tcPr>
          <w:p>
            <w:pPr>
              <w:jc w:val="center"/>
              <w:rPr>
                <w:rFonts w:ascii="宋体" w:hAnsi="宋体" w:cs="宋体"/>
                <w:color w:val="auto"/>
                <w:szCs w:val="21"/>
                <w:highlight w:val="none"/>
              </w:rPr>
            </w:pPr>
          </w:p>
        </w:tc>
        <w:tc>
          <w:tcPr>
            <w:tcW w:w="900" w:type="dxa"/>
            <w:vAlign w:val="center"/>
          </w:tcPr>
          <w:p>
            <w:pPr>
              <w:spacing w:line="400" w:lineRule="exact"/>
              <w:jc w:val="center"/>
              <w:rPr>
                <w:rFonts w:ascii="宋体" w:hAnsi="宋体" w:cs="宋体"/>
                <w:color w:val="auto"/>
                <w:szCs w:val="21"/>
                <w:highlight w:val="none"/>
              </w:rPr>
            </w:pPr>
          </w:p>
        </w:tc>
        <w:tc>
          <w:tcPr>
            <w:tcW w:w="900" w:type="dxa"/>
            <w:vAlign w:val="center"/>
          </w:tcPr>
          <w:p>
            <w:pPr>
              <w:adjustRightInd w:val="0"/>
              <w:snapToGrid w:val="0"/>
              <w:jc w:val="center"/>
              <w:rPr>
                <w:rFonts w:ascii="宋体" w:hAnsi="宋体" w:cs="宋体"/>
                <w:color w:val="auto"/>
                <w:szCs w:val="21"/>
                <w:highlight w:val="none"/>
              </w:rPr>
            </w:pPr>
          </w:p>
        </w:tc>
        <w:tc>
          <w:tcPr>
            <w:tcW w:w="900" w:type="dxa"/>
            <w:vAlign w:val="center"/>
          </w:tcPr>
          <w:p>
            <w:pPr>
              <w:autoSpaceDN w:val="0"/>
              <w:jc w:val="center"/>
              <w:textAlignment w:val="center"/>
              <w:rPr>
                <w:rFonts w:ascii="宋体" w:hAnsi="宋体" w:cs="宋体"/>
                <w:color w:val="auto"/>
                <w:szCs w:val="21"/>
                <w:highlight w:val="none"/>
              </w:rPr>
            </w:pPr>
          </w:p>
        </w:tc>
        <w:tc>
          <w:tcPr>
            <w:tcW w:w="894" w:type="dxa"/>
            <w:vAlign w:val="center"/>
          </w:tcPr>
          <w:p>
            <w:pPr>
              <w:autoSpaceDN w:val="0"/>
              <w:jc w:val="center"/>
              <w:textAlignment w:val="center"/>
              <w:rPr>
                <w:rFonts w:ascii="宋体" w:hAnsi="宋体" w:cs="宋体"/>
                <w:color w:val="auto"/>
                <w:szCs w:val="21"/>
                <w:highlight w:val="none"/>
              </w:rPr>
            </w:pPr>
          </w:p>
        </w:tc>
        <w:tc>
          <w:tcPr>
            <w:tcW w:w="839" w:type="dxa"/>
            <w:vAlign w:val="center"/>
          </w:tcPr>
          <w:p>
            <w:pPr>
              <w:autoSpaceDN w:val="0"/>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adjustRightInd w:val="0"/>
              <w:snapToGrid w:val="0"/>
              <w:jc w:val="center"/>
              <w:rPr>
                <w:rFonts w:ascii="宋体" w:hAnsi="宋体" w:cs="宋体"/>
                <w:b/>
                <w:color w:val="auto"/>
                <w:sz w:val="24"/>
                <w:highlight w:val="none"/>
              </w:rPr>
            </w:pPr>
            <w:r>
              <w:rPr>
                <w:rFonts w:hint="eastAsia" w:ascii="宋体" w:hAnsi="宋体" w:cs="宋体"/>
                <w:b/>
                <w:color w:val="auto"/>
                <w:sz w:val="24"/>
                <w:highlight w:val="none"/>
              </w:rPr>
              <w:t>总计（人民币/元）</w:t>
            </w:r>
          </w:p>
        </w:tc>
        <w:tc>
          <w:tcPr>
            <w:tcW w:w="5693" w:type="dxa"/>
            <w:gridSpan w:val="6"/>
            <w:vAlign w:val="center"/>
          </w:tcPr>
          <w:p>
            <w:pPr>
              <w:adjustRightInd w:val="0"/>
              <w:snapToGrid w:val="0"/>
              <w:rPr>
                <w:rFonts w:ascii="宋体" w:hAnsi="宋体" w:cs="宋体"/>
                <w:b/>
                <w:color w:val="auto"/>
                <w:sz w:val="24"/>
                <w:highlight w:val="none"/>
              </w:rPr>
            </w:pPr>
            <w:r>
              <w:rPr>
                <w:rFonts w:hint="eastAsia" w:ascii="宋体" w:hAnsi="宋体" w:cs="宋体"/>
                <w:b/>
                <w:color w:val="auto"/>
                <w:sz w:val="24"/>
                <w:highlight w:val="none"/>
              </w:rPr>
              <w:t>¥：       （大写）</w:t>
            </w:r>
          </w:p>
        </w:tc>
      </w:tr>
    </w:tbl>
    <w:p>
      <w:pPr>
        <w:pStyle w:val="2"/>
        <w:spacing w:before="2" w:line="364" w:lineRule="auto"/>
        <w:ind w:right="200" w:firstLine="480"/>
        <w:rPr>
          <w:rFonts w:ascii="宋体" w:hAnsi="宋体" w:cs="宋体"/>
          <w:color w:val="auto"/>
          <w:kern w:val="2"/>
          <w:szCs w:val="22"/>
          <w:highlight w:val="none"/>
        </w:rPr>
      </w:pPr>
      <w:r>
        <w:rPr>
          <w:rFonts w:hint="eastAsia" w:ascii="宋体" w:hAnsi="宋体" w:cs="宋体"/>
          <w:color w:val="auto"/>
          <w:kern w:val="2"/>
          <w:szCs w:val="22"/>
          <w:highlight w:val="none"/>
        </w:rPr>
        <w:t>乙方负责按合同中确定内容进行服务；按时完成甲方西安市远东第一中学</w:t>
      </w:r>
      <w:r>
        <w:rPr>
          <w:rFonts w:hint="eastAsia" w:ascii="宋体" w:hAnsi="宋体" w:cs="宋体"/>
          <w:color w:val="auto"/>
          <w:kern w:val="2"/>
          <w:szCs w:val="22"/>
          <w:highlight w:val="none"/>
          <w:lang w:eastAsia="zh-CN"/>
        </w:rPr>
        <w:t>校园信息化设备采购项目</w:t>
      </w:r>
      <w:r>
        <w:rPr>
          <w:rFonts w:hint="eastAsia" w:ascii="宋体" w:hAnsi="宋体" w:cs="宋体"/>
          <w:color w:val="auto"/>
          <w:kern w:val="2"/>
          <w:szCs w:val="22"/>
          <w:highlight w:val="none"/>
        </w:rPr>
        <w:t>工作，达到甲方要求；负责为甲方培训操作、维护人员，做好售后服务工作。</w:t>
      </w:r>
    </w:p>
    <w:p>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二、合同价格</w:t>
      </w:r>
    </w:p>
    <w:p>
      <w:pPr>
        <w:kinsoku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合同总价：人民币大写：</w:t>
      </w:r>
      <w:r>
        <w:rPr>
          <w:rFonts w:hint="eastAsia" w:ascii="宋体" w:hAnsi="宋体" w:cs="宋体"/>
          <w:b/>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pPr>
        <w:kinsoku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合同总价包括：技术培训费、人工费、税金及国家按现行税收政策征收的一切税费等</w:t>
      </w:r>
      <w:r>
        <w:rPr>
          <w:rFonts w:hint="eastAsia" w:ascii="宋体" w:hAnsi="宋体" w:cs="宋体"/>
          <w:color w:val="auto"/>
          <w:sz w:val="24"/>
          <w:szCs w:val="24"/>
          <w:highlight w:val="none"/>
        </w:rPr>
        <w:t>。</w:t>
      </w:r>
      <w:r>
        <w:rPr>
          <w:rFonts w:hint="eastAsia" w:ascii="宋体" w:hAnsi="宋体" w:cs="宋体"/>
          <w:color w:val="auto"/>
          <w:sz w:val="24"/>
          <w:highlight w:val="none"/>
        </w:rPr>
        <w:t>合同总价不可变更，不受市场价变化的影响，不受实际数量变化的影响。</w:t>
      </w:r>
    </w:p>
    <w:p>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三、交货条件</w:t>
      </w:r>
    </w:p>
    <w:p>
      <w:pPr>
        <w:spacing w:line="40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1、交货</w:t>
      </w:r>
      <w:r>
        <w:rPr>
          <w:rFonts w:hint="eastAsia" w:ascii="宋体" w:hAnsi="宋体" w:cs="宋体"/>
          <w:color w:val="auto"/>
          <w:sz w:val="24"/>
          <w:szCs w:val="24"/>
          <w:highlight w:val="none"/>
        </w:rPr>
        <w:t>条件</w:t>
      </w:r>
      <w:r>
        <w:rPr>
          <w:rFonts w:hint="eastAsia" w:ascii="宋体" w:hAnsi="宋体" w:cs="宋体"/>
          <w:color w:val="auto"/>
          <w:sz w:val="24"/>
          <w:szCs w:val="24"/>
          <w:highlight w:val="none"/>
          <w:lang w:val="zh-CN"/>
        </w:rPr>
        <w:t>：乙方负责按合同中确定内容进行服务；按时完成甲方西安市远东第一中学校园信息化设备采购项目工作，达到甲方要求；负责为甲方培训操作、维护人员，做好售后服务工作。交付的货物、服务与投标文件、招标文件等所指明的，或者与本合同所指明的内容相一致。</w:t>
      </w:r>
    </w:p>
    <w:p>
      <w:pPr>
        <w:spacing w:line="40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2、交货日期：</w:t>
      </w:r>
    </w:p>
    <w:p>
      <w:pPr>
        <w:spacing w:line="400" w:lineRule="exact"/>
        <w:ind w:firstLine="482" w:firstLineChars="200"/>
        <w:rPr>
          <w:rFonts w:ascii="宋体" w:hAnsi="宋体" w:cs="宋体"/>
          <w:b/>
          <w:color w:val="auto"/>
          <w:sz w:val="24"/>
          <w:szCs w:val="24"/>
          <w:highlight w:val="none"/>
        </w:rPr>
      </w:pPr>
      <w:r>
        <w:rPr>
          <w:rFonts w:hint="eastAsia" w:cs="宋体"/>
          <w:b/>
          <w:color w:val="auto"/>
          <w:sz w:val="24"/>
          <w:szCs w:val="24"/>
          <w:highlight w:val="none"/>
        </w:rPr>
        <w:t>四、</w:t>
      </w:r>
      <w:r>
        <w:rPr>
          <w:rFonts w:hint="eastAsia" w:ascii="宋体" w:hAnsi="宋体" w:cs="宋体"/>
          <w:b/>
          <w:color w:val="auto"/>
          <w:sz w:val="24"/>
          <w:szCs w:val="24"/>
          <w:highlight w:val="none"/>
        </w:rPr>
        <w:t>付款方式</w:t>
      </w:r>
    </w:p>
    <w:p>
      <w:pPr>
        <w:tabs>
          <w:tab w:val="left" w:pos="14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（1）全部产品安装调试完毕并验收合格后，30日内，甲方向乙方支付合同总价95%的价款。</w:t>
      </w:r>
    </w:p>
    <w:p>
      <w:pPr>
        <w:tabs>
          <w:tab w:val="left" w:pos="14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（2）留合同总价的5%在质保期满一年后一次付清。</w:t>
      </w:r>
    </w:p>
    <w:p>
      <w:pPr>
        <w:tabs>
          <w:tab w:val="left" w:pos="144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（3）结算方式：银行转账。</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（4）结算单位：由采购人负责结算，乙方开具合同总价数的全额发票交采购人。</w:t>
      </w:r>
    </w:p>
    <w:p>
      <w:pPr>
        <w:tabs>
          <w:tab w:val="left" w:pos="840"/>
        </w:tabs>
        <w:spacing w:line="360" w:lineRule="auto"/>
        <w:ind w:firstLine="422" w:firstLineChars="175"/>
        <w:rPr>
          <w:rFonts w:ascii="宋体" w:hAnsi="宋体"/>
          <w:b/>
          <w:color w:val="auto"/>
          <w:sz w:val="24"/>
          <w:highlight w:val="none"/>
        </w:rPr>
      </w:pPr>
      <w:r>
        <w:rPr>
          <w:rFonts w:hint="eastAsia" w:ascii="宋体" w:hAnsi="宋体"/>
          <w:b/>
          <w:color w:val="auto"/>
          <w:sz w:val="24"/>
          <w:highlight w:val="none"/>
        </w:rPr>
        <w:t>五、双方的权利和义务</w:t>
      </w:r>
    </w:p>
    <w:p>
      <w:pPr>
        <w:tabs>
          <w:tab w:val="left" w:pos="840"/>
        </w:tabs>
        <w:spacing w:line="360" w:lineRule="auto"/>
        <w:ind w:firstLine="420" w:firstLineChars="175"/>
        <w:rPr>
          <w:rFonts w:hAnsi="宋体"/>
          <w:color w:val="auto"/>
          <w:sz w:val="24"/>
          <w:highlight w:val="none"/>
        </w:rPr>
      </w:pPr>
      <w:r>
        <w:rPr>
          <w:rFonts w:hint="eastAsia" w:hAnsi="宋体"/>
          <w:color w:val="auto"/>
          <w:sz w:val="24"/>
          <w:highlight w:val="none"/>
        </w:rPr>
        <w:t>1、甲方责任</w:t>
      </w:r>
    </w:p>
    <w:p>
      <w:pPr>
        <w:tabs>
          <w:tab w:val="left" w:pos="840"/>
        </w:tabs>
        <w:spacing w:line="360" w:lineRule="auto"/>
        <w:ind w:firstLine="420" w:firstLineChars="175"/>
        <w:rPr>
          <w:rFonts w:hAnsi="宋体"/>
          <w:color w:val="auto"/>
          <w:sz w:val="24"/>
          <w:highlight w:val="none"/>
        </w:rPr>
      </w:pPr>
      <w:r>
        <w:rPr>
          <w:rFonts w:hint="eastAsia" w:hAnsi="宋体"/>
          <w:color w:val="auto"/>
          <w:sz w:val="24"/>
          <w:highlight w:val="none"/>
        </w:rPr>
        <w:t>负责核准、认定本项目相关技术资料文档；监督、参与项目执行的整个过程为乙方提供必要的工作条件，并提供产品及服务所必需的运行环境；按照合同约定支付合同款项。</w:t>
      </w:r>
    </w:p>
    <w:p>
      <w:pPr>
        <w:tabs>
          <w:tab w:val="left" w:pos="840"/>
        </w:tabs>
        <w:spacing w:line="360" w:lineRule="auto"/>
        <w:ind w:firstLine="420" w:firstLineChars="175"/>
        <w:rPr>
          <w:rFonts w:hAnsi="宋体"/>
          <w:color w:val="auto"/>
          <w:sz w:val="24"/>
          <w:highlight w:val="none"/>
        </w:rPr>
      </w:pPr>
      <w:r>
        <w:rPr>
          <w:rFonts w:hint="eastAsia" w:hAnsi="宋体"/>
          <w:color w:val="auto"/>
          <w:sz w:val="24"/>
          <w:highlight w:val="none"/>
        </w:rPr>
        <w:t>2、乙方责任</w:t>
      </w:r>
    </w:p>
    <w:p>
      <w:pPr>
        <w:tabs>
          <w:tab w:val="left" w:pos="840"/>
        </w:tabs>
        <w:spacing w:line="360" w:lineRule="auto"/>
        <w:ind w:firstLine="420" w:firstLineChars="175"/>
        <w:rPr>
          <w:color w:val="auto"/>
          <w:highlight w:val="none"/>
        </w:rPr>
      </w:pPr>
      <w:r>
        <w:rPr>
          <w:rFonts w:hint="eastAsia" w:hAnsi="宋体"/>
          <w:color w:val="auto"/>
          <w:sz w:val="24"/>
          <w:highlight w:val="none"/>
        </w:rPr>
        <w:t>项目的交接；按时完成本合同所涉及产品及服务项目的验收工作；协助配合甲方完成西安市远东第一中学</w:t>
      </w:r>
      <w:r>
        <w:rPr>
          <w:rFonts w:hint="eastAsia" w:hAnsi="宋体"/>
          <w:color w:val="auto"/>
          <w:sz w:val="24"/>
          <w:highlight w:val="none"/>
          <w:lang w:eastAsia="zh-CN"/>
        </w:rPr>
        <w:t>校园信息化设备采购项目</w:t>
      </w:r>
      <w:r>
        <w:rPr>
          <w:rFonts w:hint="eastAsia" w:hAnsi="宋体"/>
          <w:color w:val="auto"/>
          <w:sz w:val="24"/>
          <w:highlight w:val="none"/>
        </w:rPr>
        <w:t>；做好整个项目的售后服务技术支持工作。</w:t>
      </w:r>
    </w:p>
    <w:p>
      <w:pPr>
        <w:tabs>
          <w:tab w:val="left" w:pos="840"/>
        </w:tabs>
        <w:spacing w:line="360" w:lineRule="auto"/>
        <w:ind w:firstLine="422" w:firstLineChars="175"/>
        <w:rPr>
          <w:rFonts w:ascii="宋体" w:hAnsi="宋体"/>
          <w:b/>
          <w:color w:val="auto"/>
          <w:sz w:val="24"/>
          <w:highlight w:val="none"/>
        </w:rPr>
      </w:pPr>
      <w:r>
        <w:rPr>
          <w:rFonts w:hint="eastAsia"/>
          <w:b/>
          <w:color w:val="auto"/>
          <w:sz w:val="24"/>
          <w:highlight w:val="none"/>
        </w:rPr>
        <w:t>六</w:t>
      </w:r>
      <w:r>
        <w:rPr>
          <w:rFonts w:hint="eastAsia" w:ascii="宋体" w:hAnsi="宋体"/>
          <w:b/>
          <w:color w:val="auto"/>
          <w:sz w:val="24"/>
          <w:highlight w:val="none"/>
        </w:rPr>
        <w:t>、质量保证</w:t>
      </w:r>
    </w:p>
    <w:p>
      <w:pPr>
        <w:pStyle w:val="2"/>
        <w:spacing w:before="172" w:line="374" w:lineRule="auto"/>
        <w:ind w:firstLine="420" w:firstLineChars="175"/>
        <w:rPr>
          <w:rFonts w:ascii="宋体" w:hAnsi="宋体" w:cs="宋体"/>
          <w:color w:val="auto"/>
          <w:szCs w:val="22"/>
          <w:highlight w:val="none"/>
          <w:lang w:val="zh-CN" w:bidi="zh-CN"/>
        </w:rPr>
      </w:pPr>
      <w:r>
        <w:rPr>
          <w:rFonts w:hint="eastAsia" w:ascii="宋体" w:hAnsi="宋体" w:cs="宋体"/>
          <w:color w:val="auto"/>
          <w:szCs w:val="22"/>
          <w:highlight w:val="none"/>
          <w:lang w:val="zh-CN" w:bidi="zh-CN"/>
        </w:rPr>
        <w:t>1、本次西安市远东第一中学校园信息化设备采购项目应符合国家有关规范， 确保达到最佳状态。</w:t>
      </w:r>
    </w:p>
    <w:p>
      <w:pPr>
        <w:pStyle w:val="2"/>
        <w:spacing w:before="1" w:line="374" w:lineRule="auto"/>
        <w:ind w:firstLine="420" w:firstLineChars="175"/>
        <w:rPr>
          <w:rFonts w:ascii="宋体" w:hAnsi="宋体" w:cs="宋体"/>
          <w:color w:val="auto"/>
          <w:szCs w:val="22"/>
          <w:highlight w:val="none"/>
          <w:lang w:val="zh-CN" w:bidi="zh-CN"/>
        </w:rPr>
      </w:pPr>
      <w:r>
        <w:rPr>
          <w:rFonts w:hint="eastAsia" w:ascii="宋体" w:hAnsi="宋体" w:cs="宋体"/>
          <w:color w:val="auto"/>
          <w:szCs w:val="22"/>
          <w:highlight w:val="none"/>
          <w:lang w:val="zh-CN" w:bidi="zh-CN"/>
        </w:rPr>
        <w:t>2、成交供应商应根据服务方案规范及质量要求进行服务工作，并在质保期内、外应对由于产品设计、工艺或材料的缺陷而产生的质量问题负责，采购人在服务过程中起到配合、监督及管理的作用。</w:t>
      </w:r>
    </w:p>
    <w:p>
      <w:pPr>
        <w:pStyle w:val="2"/>
        <w:tabs>
          <w:tab w:val="left" w:pos="7560"/>
        </w:tabs>
        <w:spacing w:before="1" w:line="374" w:lineRule="auto"/>
        <w:ind w:firstLine="420" w:firstLineChars="175"/>
        <w:rPr>
          <w:rFonts w:ascii="宋体" w:hAnsi="宋体" w:cs="宋体"/>
          <w:color w:val="auto"/>
          <w:szCs w:val="22"/>
          <w:highlight w:val="none"/>
          <w:lang w:val="zh-CN" w:bidi="zh-CN"/>
        </w:rPr>
      </w:pPr>
      <w:r>
        <w:rPr>
          <w:rFonts w:hint="eastAsia" w:ascii="宋体" w:hAnsi="宋体" w:cs="宋体"/>
          <w:color w:val="auto"/>
          <w:szCs w:val="22"/>
          <w:highlight w:val="none"/>
          <w:lang w:val="zh-CN" w:bidi="zh-CN"/>
        </w:rPr>
        <w:t>3、在质保期内，如果发现服务范围、内容和服务质量等存在与合同中任何一项不符，采购人应在最短时间内，以书面形式向成交供应商提出索赔，同时通告采购代理机构。</w:t>
      </w:r>
    </w:p>
    <w:p>
      <w:pPr>
        <w:spacing w:before="1"/>
        <w:ind w:firstLine="422" w:firstLineChars="175"/>
        <w:rPr>
          <w:rFonts w:ascii="宋体" w:hAnsi="宋体" w:cs="宋体"/>
          <w:b/>
          <w:color w:val="auto"/>
          <w:sz w:val="24"/>
          <w:highlight w:val="none"/>
          <w:lang w:bidi="zh-CN"/>
        </w:rPr>
      </w:pPr>
      <w:r>
        <w:rPr>
          <w:rFonts w:hint="eastAsia" w:ascii="宋体" w:hAnsi="宋体" w:cs="宋体"/>
          <w:b/>
          <w:color w:val="auto"/>
          <w:sz w:val="24"/>
          <w:highlight w:val="none"/>
          <w:lang w:bidi="zh-CN"/>
        </w:rPr>
        <w:t>七、售后服务</w:t>
      </w:r>
    </w:p>
    <w:p>
      <w:pPr>
        <w:adjustRightInd w:val="0"/>
        <w:snapToGrid w:val="0"/>
        <w:spacing w:line="440" w:lineRule="exact"/>
        <w:ind w:firstLine="420" w:firstLineChars="175"/>
        <w:rPr>
          <w:rFonts w:ascii="宋体" w:hAnsi="宋体" w:cs="宋体"/>
          <w:color w:val="auto"/>
          <w:sz w:val="24"/>
          <w:highlight w:val="none"/>
          <w:lang w:val="zh-CN" w:bidi="zh-CN"/>
        </w:rPr>
      </w:pPr>
      <w:r>
        <w:rPr>
          <w:rFonts w:hint="eastAsia" w:ascii="宋体" w:hAnsi="宋体" w:cs="宋体"/>
          <w:color w:val="auto"/>
          <w:sz w:val="24"/>
          <w:highlight w:val="none"/>
          <w:lang w:val="zh-CN" w:bidi="zh-CN"/>
        </w:rPr>
        <w:t>以招标文件、投标文件、中标单位澄清表（函）为准。</w:t>
      </w:r>
    </w:p>
    <w:p>
      <w:pPr>
        <w:adjustRightInd w:val="0"/>
        <w:snapToGrid w:val="0"/>
        <w:spacing w:line="440" w:lineRule="exact"/>
        <w:ind w:firstLine="420" w:firstLineChars="175"/>
        <w:rPr>
          <w:rFonts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①属于保修范围和内容的项目，承包人应在接到维修通知后， 15 天内派人维修。发生紧急抢修事故（如上水管跑水、爆裂，供电设施漏、断电等），承包人应在接到事故通知后 24 小时内到达事故现场并于 72 小时内完成应急维修。</w:t>
      </w:r>
    </w:p>
    <w:p>
      <w:pPr>
        <w:pStyle w:val="2"/>
        <w:spacing w:before="1" w:line="374" w:lineRule="auto"/>
        <w:ind w:firstLine="422" w:firstLineChars="175"/>
        <w:rPr>
          <w:rFonts w:ascii="宋体" w:hAnsi="宋体" w:cs="宋体"/>
          <w:b/>
          <w:bCs/>
          <w:color w:val="auto"/>
          <w:szCs w:val="22"/>
          <w:highlight w:val="none"/>
          <w:lang w:val="zh-CN" w:bidi="zh-CN"/>
        </w:rPr>
      </w:pPr>
      <w:r>
        <w:rPr>
          <w:rFonts w:hint="eastAsia" w:ascii="宋体" w:hAnsi="宋体" w:cs="宋体"/>
          <w:b/>
          <w:bCs/>
          <w:color w:val="auto"/>
          <w:szCs w:val="22"/>
          <w:highlight w:val="none"/>
          <w:lang w:bidi="zh-CN"/>
        </w:rPr>
        <w:t>八</w:t>
      </w:r>
      <w:r>
        <w:rPr>
          <w:rFonts w:hint="eastAsia" w:ascii="宋体" w:hAnsi="宋体" w:cs="宋体"/>
          <w:b/>
          <w:bCs/>
          <w:color w:val="auto"/>
          <w:szCs w:val="22"/>
          <w:highlight w:val="none"/>
          <w:lang w:val="zh-CN" w:bidi="zh-CN"/>
        </w:rPr>
        <w:t>、违约责任</w:t>
      </w:r>
    </w:p>
    <w:p>
      <w:pPr>
        <w:pStyle w:val="2"/>
        <w:spacing w:before="1" w:line="374" w:lineRule="auto"/>
        <w:ind w:firstLine="420" w:firstLineChars="175"/>
        <w:rPr>
          <w:rFonts w:ascii="宋体" w:hAnsi="宋体" w:cs="宋体"/>
          <w:color w:val="auto"/>
          <w:szCs w:val="22"/>
          <w:highlight w:val="none"/>
          <w:lang w:bidi="zh-CN"/>
        </w:rPr>
      </w:pPr>
      <w:r>
        <w:rPr>
          <w:rFonts w:hint="eastAsia" w:ascii="宋体" w:hAnsi="宋体" w:cs="宋体"/>
          <w:color w:val="auto"/>
          <w:szCs w:val="22"/>
          <w:highlight w:val="none"/>
          <w:lang w:val="zh-CN" w:bidi="zh-CN"/>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pPr>
        <w:pStyle w:val="2"/>
        <w:spacing w:before="1" w:line="374" w:lineRule="auto"/>
        <w:ind w:firstLine="422" w:firstLineChars="175"/>
        <w:rPr>
          <w:rFonts w:ascii="宋体" w:hAnsi="宋体" w:cs="宋体"/>
          <w:b/>
          <w:bCs/>
          <w:color w:val="auto"/>
          <w:szCs w:val="22"/>
          <w:highlight w:val="none"/>
          <w:lang w:val="zh-CN" w:bidi="zh-CN"/>
        </w:rPr>
      </w:pPr>
      <w:r>
        <w:rPr>
          <w:rFonts w:hint="eastAsia" w:ascii="宋体" w:hAnsi="宋体" w:cs="宋体"/>
          <w:b/>
          <w:bCs/>
          <w:color w:val="auto"/>
          <w:szCs w:val="22"/>
          <w:highlight w:val="none"/>
          <w:lang w:bidi="zh-CN"/>
        </w:rPr>
        <w:t>九</w:t>
      </w:r>
      <w:r>
        <w:rPr>
          <w:rFonts w:hint="eastAsia" w:ascii="宋体" w:hAnsi="宋体" w:cs="宋体"/>
          <w:b/>
          <w:bCs/>
          <w:color w:val="auto"/>
          <w:szCs w:val="22"/>
          <w:highlight w:val="none"/>
          <w:lang w:val="zh-CN" w:bidi="zh-CN"/>
        </w:rPr>
        <w:t>、验收</w:t>
      </w:r>
    </w:p>
    <w:p>
      <w:pPr>
        <w:pStyle w:val="2"/>
        <w:spacing w:before="1" w:line="374" w:lineRule="auto"/>
        <w:ind w:firstLine="420" w:firstLineChars="175"/>
        <w:rPr>
          <w:rFonts w:ascii="宋体" w:hAnsi="宋体" w:cs="宋体"/>
          <w:color w:val="auto"/>
          <w:szCs w:val="22"/>
          <w:highlight w:val="none"/>
          <w:lang w:val="zh-CN" w:bidi="zh-CN"/>
        </w:rPr>
      </w:pPr>
      <w:r>
        <w:rPr>
          <w:rFonts w:hint="eastAsia" w:ascii="宋体" w:hAnsi="宋体" w:cs="宋体"/>
          <w:color w:val="auto"/>
          <w:szCs w:val="22"/>
          <w:highlight w:val="none"/>
          <w:lang w:val="zh-CN" w:bidi="zh-CN"/>
        </w:rPr>
        <w:t>验收：验收须以合同、招标文件、投标文件、澄清、及国家相应的标准、规范等为依据进行验收。</w:t>
      </w:r>
    </w:p>
    <w:p>
      <w:pPr>
        <w:pStyle w:val="2"/>
        <w:spacing w:before="1" w:line="374" w:lineRule="auto"/>
        <w:ind w:firstLine="422" w:firstLineChars="175"/>
        <w:rPr>
          <w:rFonts w:ascii="宋体" w:hAnsi="宋体" w:cs="宋体"/>
          <w:b/>
          <w:bCs/>
          <w:color w:val="auto"/>
          <w:szCs w:val="22"/>
          <w:highlight w:val="none"/>
          <w:lang w:val="zh-CN" w:bidi="zh-CN"/>
        </w:rPr>
      </w:pPr>
      <w:r>
        <w:rPr>
          <w:rFonts w:hint="eastAsia" w:ascii="宋体" w:hAnsi="宋体" w:cs="宋体"/>
          <w:b/>
          <w:bCs/>
          <w:color w:val="auto"/>
          <w:szCs w:val="22"/>
          <w:highlight w:val="none"/>
          <w:lang w:val="zh-CN" w:bidi="zh-CN"/>
        </w:rPr>
        <w:t>十、合同争议解决的方式</w:t>
      </w:r>
    </w:p>
    <w:p>
      <w:pPr>
        <w:pStyle w:val="2"/>
        <w:spacing w:before="1" w:line="374" w:lineRule="auto"/>
        <w:ind w:firstLine="420" w:firstLineChars="175"/>
        <w:rPr>
          <w:rFonts w:ascii="宋体" w:hAnsi="宋体" w:cs="宋体"/>
          <w:color w:val="auto"/>
          <w:szCs w:val="22"/>
          <w:highlight w:val="none"/>
          <w:lang w:val="zh-CN" w:bidi="zh-CN"/>
        </w:rPr>
      </w:pPr>
      <w:r>
        <w:rPr>
          <w:rFonts w:hint="eastAsia" w:ascii="宋体" w:hAnsi="宋体" w:cs="宋体"/>
          <w:color w:val="auto"/>
          <w:szCs w:val="22"/>
          <w:highlight w:val="none"/>
          <w:lang w:val="zh-CN" w:bidi="zh-CN"/>
        </w:rPr>
        <w:t>合同执行中发生争议的，当事人双方应协商解决，协商达不成一致时，可向人民法院提请诉讼。</w:t>
      </w:r>
    </w:p>
    <w:p>
      <w:pPr>
        <w:pStyle w:val="2"/>
        <w:spacing w:before="1" w:line="374" w:lineRule="auto"/>
        <w:ind w:firstLine="482" w:firstLineChars="200"/>
        <w:rPr>
          <w:rFonts w:ascii="宋体" w:hAnsi="宋体" w:cs="宋体"/>
          <w:b/>
          <w:bCs/>
          <w:color w:val="auto"/>
          <w:szCs w:val="22"/>
          <w:highlight w:val="none"/>
          <w:lang w:val="zh-CN" w:bidi="zh-CN"/>
        </w:rPr>
      </w:pPr>
      <w:r>
        <w:rPr>
          <w:rFonts w:hint="eastAsia" w:ascii="宋体" w:hAnsi="宋体" w:cs="宋体"/>
          <w:b/>
          <w:bCs/>
          <w:color w:val="auto"/>
          <w:szCs w:val="22"/>
          <w:highlight w:val="none"/>
          <w:lang w:val="zh-CN" w:bidi="zh-CN"/>
        </w:rPr>
        <w:t>十</w:t>
      </w:r>
      <w:r>
        <w:rPr>
          <w:rFonts w:hint="eastAsia" w:ascii="宋体" w:hAnsi="宋体" w:cs="宋体"/>
          <w:b/>
          <w:bCs/>
          <w:color w:val="auto"/>
          <w:szCs w:val="22"/>
          <w:highlight w:val="none"/>
          <w:lang w:bidi="zh-CN"/>
        </w:rPr>
        <w:t>一</w:t>
      </w:r>
      <w:r>
        <w:rPr>
          <w:rFonts w:hint="eastAsia" w:ascii="宋体" w:hAnsi="宋体" w:cs="宋体"/>
          <w:b/>
          <w:bCs/>
          <w:color w:val="auto"/>
          <w:szCs w:val="22"/>
          <w:highlight w:val="none"/>
          <w:lang w:val="zh-CN" w:bidi="zh-CN"/>
        </w:rPr>
        <w:t>、其他事项</w:t>
      </w:r>
    </w:p>
    <w:p>
      <w:pPr>
        <w:pStyle w:val="2"/>
        <w:spacing w:before="1" w:line="374" w:lineRule="auto"/>
        <w:ind w:firstLine="480" w:firstLineChars="200"/>
        <w:rPr>
          <w:rFonts w:ascii="宋体" w:hAnsi="宋体" w:cs="宋体"/>
          <w:color w:val="auto"/>
          <w:szCs w:val="22"/>
          <w:highlight w:val="none"/>
          <w:lang w:val="zh-CN" w:bidi="zh-CN"/>
        </w:rPr>
      </w:pPr>
      <w:bookmarkStart w:id="70" w:name="第四章__竞争性磋商内容及服务要求"/>
      <w:bookmarkEnd w:id="70"/>
      <w:bookmarkStart w:id="71" w:name="_bookmark3"/>
      <w:bookmarkEnd w:id="71"/>
      <w:r>
        <w:rPr>
          <w:rFonts w:hint="eastAsia" w:ascii="宋体" w:hAnsi="宋体" w:cs="宋体"/>
          <w:color w:val="auto"/>
          <w:szCs w:val="22"/>
          <w:highlight w:val="none"/>
          <w:lang w:bidi="zh-CN"/>
        </w:rPr>
        <w:t>1、</w:t>
      </w:r>
      <w:r>
        <w:rPr>
          <w:rFonts w:hint="eastAsia" w:ascii="宋体" w:hAnsi="宋体" w:cs="宋体"/>
          <w:color w:val="auto"/>
          <w:szCs w:val="22"/>
          <w:highlight w:val="none"/>
          <w:lang w:val="zh-CN" w:bidi="zh-CN"/>
        </w:rPr>
        <w:t>本合同乙方在任何情况下都不得全部或部分转让其应履行的合同义务，乙方不得将本合同分包给他人。</w:t>
      </w:r>
    </w:p>
    <w:p>
      <w:pPr>
        <w:pStyle w:val="2"/>
        <w:spacing w:before="1" w:line="374" w:lineRule="auto"/>
        <w:ind w:firstLine="480" w:firstLineChars="200"/>
        <w:rPr>
          <w:rFonts w:ascii="宋体" w:hAnsi="宋体" w:cs="宋体"/>
          <w:color w:val="auto"/>
          <w:szCs w:val="22"/>
          <w:highlight w:val="none"/>
          <w:lang w:val="zh-CN" w:bidi="zh-CN"/>
        </w:rPr>
      </w:pPr>
      <w:r>
        <w:rPr>
          <w:rFonts w:hint="eastAsia" w:ascii="宋体" w:hAnsi="宋体" w:cs="宋体"/>
          <w:color w:val="auto"/>
          <w:szCs w:val="22"/>
          <w:highlight w:val="none"/>
          <w:lang w:bidi="zh-CN"/>
        </w:rPr>
        <w:t>2、</w:t>
      </w:r>
      <w:r>
        <w:rPr>
          <w:rFonts w:hint="eastAsia" w:ascii="宋体" w:hAnsi="宋体" w:cs="宋体"/>
          <w:color w:val="auto"/>
          <w:szCs w:val="22"/>
          <w:highlight w:val="none"/>
          <w:lang w:val="zh-CN" w:bidi="zh-CN"/>
        </w:rPr>
        <w:t>在执行本合同的过程中，所有经双方签署确认的文件（包括会议纪要、补充合同、合同修改书、往来信函等）均为本合同的有效组成部分，其生效日期为双方签字盖章或确认之日期。</w:t>
      </w:r>
    </w:p>
    <w:p>
      <w:pPr>
        <w:pStyle w:val="2"/>
        <w:spacing w:before="1" w:line="374" w:lineRule="auto"/>
        <w:ind w:firstLine="480" w:firstLineChars="200"/>
        <w:rPr>
          <w:rFonts w:ascii="宋体" w:hAnsi="宋体" w:cs="宋体"/>
          <w:color w:val="auto"/>
          <w:szCs w:val="22"/>
          <w:highlight w:val="none"/>
          <w:lang w:val="zh-CN" w:bidi="zh-CN"/>
        </w:rPr>
      </w:pPr>
      <w:r>
        <w:rPr>
          <w:rFonts w:hint="eastAsia" w:ascii="宋体" w:hAnsi="宋体" w:cs="宋体"/>
          <w:color w:val="auto"/>
          <w:szCs w:val="22"/>
          <w:highlight w:val="none"/>
          <w:lang w:bidi="zh-CN"/>
        </w:rPr>
        <w:t>3、</w:t>
      </w:r>
      <w:r>
        <w:rPr>
          <w:rFonts w:hint="eastAsia" w:ascii="宋体" w:hAnsi="宋体" w:cs="宋体"/>
          <w:color w:val="auto"/>
          <w:szCs w:val="22"/>
          <w:highlight w:val="none"/>
          <w:lang w:val="zh-CN" w:bidi="zh-CN"/>
        </w:rPr>
        <w:t>合</w:t>
      </w:r>
      <w:r>
        <w:rPr>
          <w:rFonts w:ascii="宋体" w:hAnsi="宋体" w:cs="宋体"/>
          <w:color w:val="auto"/>
          <w:szCs w:val="22"/>
          <w:highlight w:val="none"/>
          <w:lang w:val="zh-CN" w:bidi="zh-CN"/>
        </w:rPr>
        <w:t>同一式</w:t>
      </w:r>
      <w:r>
        <w:rPr>
          <w:rFonts w:hint="eastAsia" w:ascii="宋体" w:hAnsi="宋体" w:cs="宋体"/>
          <w:color w:val="auto"/>
          <w:szCs w:val="22"/>
          <w:highlight w:val="none"/>
          <w:lang w:bidi="zh-CN"/>
        </w:rPr>
        <w:t>捌</w:t>
      </w:r>
      <w:r>
        <w:rPr>
          <w:rFonts w:ascii="宋体" w:hAnsi="宋体" w:cs="宋体"/>
          <w:color w:val="auto"/>
          <w:szCs w:val="22"/>
          <w:highlight w:val="none"/>
          <w:lang w:val="zh-CN" w:bidi="zh-CN"/>
        </w:rPr>
        <w:t>份，采购人</w:t>
      </w:r>
      <w:r>
        <w:rPr>
          <w:rFonts w:hint="eastAsia" w:ascii="宋体" w:hAnsi="宋体" w:cs="宋体"/>
          <w:color w:val="auto"/>
          <w:szCs w:val="22"/>
          <w:highlight w:val="none"/>
          <w:lang w:val="zh-CN" w:bidi="zh-CN"/>
        </w:rPr>
        <w:t>肆</w:t>
      </w:r>
      <w:r>
        <w:rPr>
          <w:rFonts w:ascii="宋体" w:hAnsi="宋体" w:cs="宋体"/>
          <w:color w:val="auto"/>
          <w:szCs w:val="22"/>
          <w:highlight w:val="none"/>
          <w:lang w:val="zh-CN" w:bidi="zh-CN"/>
        </w:rPr>
        <w:t>份，中标供应商</w:t>
      </w:r>
      <w:r>
        <w:rPr>
          <w:rFonts w:hint="eastAsia" w:ascii="宋体" w:hAnsi="宋体" w:cs="宋体"/>
          <w:color w:val="auto"/>
          <w:szCs w:val="22"/>
          <w:highlight w:val="none"/>
          <w:lang w:val="zh-CN" w:bidi="zh-CN"/>
        </w:rPr>
        <w:t>贰份</w:t>
      </w:r>
      <w:r>
        <w:rPr>
          <w:rFonts w:ascii="宋体" w:hAnsi="宋体" w:cs="宋体"/>
          <w:color w:val="auto"/>
          <w:szCs w:val="22"/>
          <w:highlight w:val="none"/>
          <w:lang w:val="zh-CN" w:bidi="zh-CN"/>
        </w:rPr>
        <w:t>、</w:t>
      </w:r>
      <w:r>
        <w:rPr>
          <w:rFonts w:hint="eastAsia" w:ascii="宋体" w:hAnsi="宋体" w:cs="宋体"/>
          <w:color w:val="auto"/>
          <w:szCs w:val="22"/>
          <w:highlight w:val="none"/>
          <w:lang w:val="zh-CN" w:bidi="zh-CN"/>
        </w:rPr>
        <w:t>招标代理机构壹</w:t>
      </w:r>
      <w:r>
        <w:rPr>
          <w:rFonts w:ascii="宋体" w:hAnsi="宋体" w:cs="宋体"/>
          <w:color w:val="auto"/>
          <w:szCs w:val="22"/>
          <w:highlight w:val="none"/>
          <w:lang w:val="zh-CN" w:bidi="zh-CN"/>
        </w:rPr>
        <w:t>份；政府采购监管机构备案一份</w:t>
      </w:r>
    </w:p>
    <w:p>
      <w:pPr>
        <w:pStyle w:val="2"/>
        <w:spacing w:before="1" w:line="374" w:lineRule="auto"/>
        <w:ind w:firstLine="480" w:firstLineChars="200"/>
        <w:rPr>
          <w:rFonts w:ascii="宋体" w:hAnsi="宋体" w:cs="宋体"/>
          <w:color w:val="auto"/>
          <w:szCs w:val="22"/>
          <w:highlight w:val="none"/>
          <w:lang w:val="zh-CN" w:bidi="zh-CN"/>
        </w:rPr>
      </w:pPr>
      <w:r>
        <w:rPr>
          <w:rFonts w:hint="eastAsia" w:ascii="宋体" w:hAnsi="宋体" w:cs="宋体"/>
          <w:color w:val="auto"/>
          <w:szCs w:val="22"/>
          <w:highlight w:val="none"/>
          <w:lang w:bidi="zh-CN"/>
        </w:rPr>
        <w:t>4、</w:t>
      </w:r>
      <w:r>
        <w:rPr>
          <w:rFonts w:hint="eastAsia" w:ascii="宋体" w:hAnsi="宋体" w:cs="宋体"/>
          <w:color w:val="auto"/>
          <w:szCs w:val="22"/>
          <w:highlight w:val="none"/>
          <w:lang w:val="zh-CN" w:bidi="zh-CN"/>
        </w:rPr>
        <w:t>合同经双方授权代表签字、盖章后生效，生效日以签字日期为准。</w:t>
      </w:r>
    </w:p>
    <w:p>
      <w:pPr>
        <w:pStyle w:val="2"/>
        <w:spacing w:before="1" w:line="374" w:lineRule="auto"/>
        <w:ind w:firstLine="480" w:firstLineChars="200"/>
        <w:rPr>
          <w:rFonts w:ascii="宋体" w:hAnsi="宋体" w:cs="宋体"/>
          <w:color w:val="auto"/>
          <w:szCs w:val="22"/>
          <w:highlight w:val="none"/>
          <w:lang w:val="zh-CN" w:bidi="zh-CN"/>
        </w:rPr>
      </w:pPr>
      <w:r>
        <w:rPr>
          <w:rFonts w:hint="eastAsia" w:ascii="宋体" w:hAnsi="宋体" w:cs="宋体"/>
          <w:color w:val="auto"/>
          <w:szCs w:val="22"/>
          <w:highlight w:val="none"/>
          <w:lang w:bidi="zh-CN"/>
        </w:rPr>
        <w:t>5、</w:t>
      </w:r>
      <w:r>
        <w:rPr>
          <w:rFonts w:hint="eastAsia" w:ascii="宋体" w:hAnsi="宋体" w:cs="宋体"/>
          <w:color w:val="auto"/>
          <w:szCs w:val="22"/>
          <w:highlight w:val="none"/>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2"/>
        <w:spacing w:before="1" w:line="374" w:lineRule="auto"/>
        <w:ind w:firstLine="480" w:firstLineChars="200"/>
        <w:rPr>
          <w:rFonts w:ascii="宋体" w:hAnsi="宋体" w:cs="宋体"/>
          <w:color w:val="auto"/>
          <w:szCs w:val="22"/>
          <w:highlight w:val="none"/>
          <w:lang w:val="zh-CN" w:bidi="zh-CN"/>
        </w:rPr>
      </w:pPr>
      <w:r>
        <w:rPr>
          <w:rFonts w:hint="eastAsia" w:ascii="宋体" w:hAnsi="宋体" w:cs="宋体"/>
          <w:color w:val="auto"/>
          <w:szCs w:val="22"/>
          <w:highlight w:val="none"/>
          <w:lang w:bidi="zh-CN"/>
        </w:rPr>
        <w:t>6、</w:t>
      </w:r>
      <w:r>
        <w:rPr>
          <w:rFonts w:hint="eastAsia" w:ascii="宋体" w:hAnsi="宋体" w:cs="宋体"/>
          <w:color w:val="auto"/>
          <w:szCs w:val="22"/>
          <w:highlight w:val="none"/>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2"/>
        <w:spacing w:before="1" w:line="374" w:lineRule="auto"/>
        <w:ind w:firstLine="480" w:firstLineChars="200"/>
        <w:rPr>
          <w:rFonts w:ascii="宋体" w:hAnsi="宋体" w:cs="宋体"/>
          <w:color w:val="auto"/>
          <w:szCs w:val="22"/>
          <w:highlight w:val="none"/>
          <w:lang w:val="zh-CN" w:bidi="zh-CN"/>
        </w:rPr>
      </w:pPr>
      <w:r>
        <w:rPr>
          <w:rFonts w:hint="eastAsia" w:ascii="宋体" w:hAnsi="宋体" w:cs="宋体"/>
          <w:color w:val="auto"/>
          <w:szCs w:val="22"/>
          <w:highlight w:val="none"/>
          <w:lang w:bidi="zh-CN"/>
        </w:rPr>
        <w:t>7、</w:t>
      </w:r>
      <w:r>
        <w:rPr>
          <w:rFonts w:hint="eastAsia" w:ascii="宋体" w:hAnsi="宋体" w:cs="宋体"/>
          <w:color w:val="auto"/>
          <w:szCs w:val="22"/>
          <w:highlight w:val="none"/>
          <w:lang w:val="zh-CN" w:bidi="zh-CN"/>
        </w:rPr>
        <w:t>未详尽之处双方协商解决。</w:t>
      </w:r>
    </w:p>
    <w:tbl>
      <w:tblPr>
        <w:tblStyle w:val="30"/>
        <w:tblW w:w="97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0"/>
        <w:gridCol w:w="51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4590"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甲  方</w:t>
            </w:r>
          </w:p>
        </w:tc>
        <w:tc>
          <w:tcPr>
            <w:tcW w:w="5129"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jc w:val="center"/>
        </w:trPr>
        <w:tc>
          <w:tcPr>
            <w:tcW w:w="4590"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西安市远东第一中学（盖章）</w:t>
            </w:r>
          </w:p>
        </w:tc>
        <w:tc>
          <w:tcPr>
            <w:tcW w:w="5129" w:type="dxa"/>
            <w:vAlign w:val="center"/>
          </w:tcPr>
          <w:p>
            <w:pPr>
              <w:jc w:val="right"/>
              <w:rPr>
                <w:rFonts w:ascii="宋体" w:hAnsi="宋体" w:cs="宋体"/>
                <w:color w:val="auto"/>
                <w:szCs w:val="21"/>
                <w:highlight w:val="none"/>
              </w:rPr>
            </w:pPr>
            <w:r>
              <w:rPr>
                <w:rFonts w:hint="eastAsia" w:ascii="宋体" w:hAnsi="宋体" w:cs="宋体"/>
                <w:snapToGrid w:val="0"/>
                <w:color w:val="auto"/>
                <w:sz w:val="24"/>
                <w:szCs w:val="24"/>
                <w:highlight w:val="none"/>
              </w:rPr>
              <w:t xml:space="preserve">   </w:t>
            </w:r>
            <w:r>
              <w:rPr>
                <w:rFonts w:hint="eastAsia" w:ascii="宋体" w:hAnsi="宋体" w:cs="宋体"/>
                <w:color w:val="auto"/>
                <w:sz w:val="24"/>
                <w:szCs w:val="24"/>
                <w:highlight w:val="none"/>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tc>
        <w:tc>
          <w:tcPr>
            <w:tcW w:w="512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邮编：</w:t>
            </w:r>
          </w:p>
        </w:tc>
        <w:tc>
          <w:tcPr>
            <w:tcW w:w="512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c>
          <w:tcPr>
            <w:tcW w:w="512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被授权代表：（签字）</w:t>
            </w:r>
          </w:p>
        </w:tc>
        <w:tc>
          <w:tcPr>
            <w:tcW w:w="512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c>
          <w:tcPr>
            <w:tcW w:w="512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c>
          <w:tcPr>
            <w:tcW w:w="512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c>
          <w:tcPr>
            <w:tcW w:w="5129"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账户名称：</w:t>
            </w:r>
          </w:p>
        </w:tc>
        <w:tc>
          <w:tcPr>
            <w:tcW w:w="5129" w:type="dxa"/>
            <w:tcBorders>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4590"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账号:  </w:t>
            </w:r>
          </w:p>
        </w:tc>
        <w:tc>
          <w:tcPr>
            <w:tcW w:w="5129" w:type="dxa"/>
            <w:tcBorders>
              <w:top w:val="single" w:color="auto" w:sz="4" w:space="0"/>
              <w:bottom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账号: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rPr>
                <w:rFonts w:ascii="宋体" w:hAnsi="宋体" w:cs="宋体"/>
                <w:color w:val="auto"/>
                <w:sz w:val="24"/>
                <w:highlight w:val="none"/>
                <w:lang w:val="zh-CN" w:bidi="zh-CN"/>
              </w:rPr>
            </w:pPr>
            <w:bookmarkStart w:id="72" w:name="_Toc30893"/>
            <w:r>
              <w:rPr>
                <w:rFonts w:hint="eastAsia" w:ascii="宋体" w:hAnsi="宋体" w:cs="Tahoma"/>
                <w:b/>
                <w:color w:val="auto"/>
                <w:sz w:val="24"/>
                <w:highlight w:val="none"/>
              </w:rPr>
              <w:t>陕西</w:t>
            </w:r>
            <w:r>
              <w:rPr>
                <w:rFonts w:hint="eastAsia" w:cs="Tahoma"/>
                <w:b/>
                <w:color w:val="auto"/>
                <w:sz w:val="24"/>
                <w:highlight w:val="none"/>
              </w:rPr>
              <w:t>卓佲项目管理有限公司</w:t>
            </w:r>
            <w:r>
              <w:rPr>
                <w:rFonts w:hint="eastAsia" w:ascii="宋体" w:hAnsi="宋体" w:cs="宋体"/>
                <w:color w:val="auto"/>
                <w:sz w:val="24"/>
                <w:highlight w:val="none"/>
              </w:rPr>
              <w:t>（盖章）</w:t>
            </w:r>
            <w:bookmarkEnd w:id="7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color w:val="auto"/>
                <w:sz w:val="24"/>
                <w:highlight w:val="none"/>
                <w:lang w:val="zh-CN" w:bidi="zh-CN"/>
              </w:rPr>
            </w:pPr>
            <w:r>
              <w:rPr>
                <w:rFonts w:hint="eastAsia" w:ascii="宋体" w:hAnsi="宋体" w:cs="宋体"/>
                <w:color w:val="auto"/>
                <w:sz w:val="24"/>
                <w:highlight w:val="none"/>
              </w:rPr>
              <w:t>地址：西安市雁塔区科技路10号华奥大厦A座20层2002室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color w:val="auto"/>
                <w:sz w:val="24"/>
                <w:highlight w:val="none"/>
                <w:lang w:bidi="zh-CN"/>
              </w:rPr>
            </w:pPr>
            <w:r>
              <w:rPr>
                <w:rFonts w:hint="eastAsia" w:ascii="宋体" w:hAnsi="宋体" w:cs="宋体"/>
                <w:color w:val="auto"/>
                <w:sz w:val="24"/>
                <w:highlight w:val="none"/>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color w:val="auto"/>
                <w:sz w:val="24"/>
                <w:highlight w:val="none"/>
                <w:lang w:bidi="zh-CN"/>
              </w:rPr>
            </w:pPr>
            <w:r>
              <w:rPr>
                <w:rFonts w:hint="eastAsia" w:ascii="宋体" w:hAnsi="宋体" w:cs="宋体"/>
                <w:color w:val="auto"/>
                <w:sz w:val="24"/>
                <w:highlight w:val="none"/>
              </w:rPr>
              <w:t>电话：029-88440695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9719" w:type="dxa"/>
            <w:gridSpan w:val="2"/>
            <w:tcBorders>
              <w:top w:val="single" w:color="auto" w:sz="4" w:space="0"/>
              <w:bottom w:val="single" w:color="auto" w:sz="4" w:space="0"/>
            </w:tcBorders>
            <w:vAlign w:val="center"/>
          </w:tcPr>
          <w:p>
            <w:pPr>
              <w:spacing w:line="360" w:lineRule="auto"/>
              <w:rPr>
                <w:rFonts w:ascii="宋体" w:hAnsi="宋体" w:cs="宋体"/>
                <w:color w:val="auto"/>
                <w:sz w:val="24"/>
                <w:highlight w:val="none"/>
                <w:lang w:val="zh-CN" w:bidi="zh-CN"/>
              </w:rPr>
            </w:pPr>
            <w:r>
              <w:rPr>
                <w:rFonts w:hint="eastAsia" w:ascii="宋体" w:hAnsi="宋体" w:cs="宋体"/>
                <w:color w:val="auto"/>
                <w:sz w:val="24"/>
                <w:highlight w:val="none"/>
              </w:rPr>
              <w:t xml:space="preserve">传真： </w:t>
            </w:r>
            <w:r>
              <w:rPr>
                <w:rFonts w:ascii="宋体" w:hAnsi="宋体" w:cs="Helvetica"/>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9719" w:type="dxa"/>
            <w:gridSpan w:val="2"/>
            <w:tcBorders>
              <w:top w:val="single" w:color="auto" w:sz="4" w:space="0"/>
            </w:tcBorders>
            <w:vAlign w:val="center"/>
          </w:tcPr>
          <w:p>
            <w:pPr>
              <w:spacing w:line="360" w:lineRule="auto"/>
              <w:ind w:firstLine="5760" w:firstLineChars="2400"/>
              <w:rPr>
                <w:rFonts w:ascii="宋体" w:hAnsi="宋体" w:cs="宋体"/>
                <w:color w:val="auto"/>
                <w:sz w:val="24"/>
                <w:highlight w:val="none"/>
                <w:lang w:val="zh-CN" w:bidi="zh-CN"/>
              </w:rPr>
            </w:pPr>
            <w:r>
              <w:rPr>
                <w:rFonts w:hint="eastAsia" w:ascii="宋体" w:hAnsi="宋体" w:cs="宋体"/>
                <w:color w:val="auto"/>
                <w:sz w:val="24"/>
                <w:highlight w:val="none"/>
              </w:rPr>
              <w:t>日期：     年   月   日</w:t>
            </w:r>
          </w:p>
        </w:tc>
      </w:tr>
    </w:tbl>
    <w:p>
      <w:pPr>
        <w:pStyle w:val="3"/>
        <w:keepNext w:val="0"/>
        <w:pageBreakBefore/>
        <w:spacing w:before="319" w:beforeLines="100" w:after="478" w:afterLines="150" w:line="500" w:lineRule="exact"/>
        <w:rPr>
          <w:rFonts w:ascii="宋体" w:hAnsi="宋体" w:cs="宋体"/>
          <w:color w:val="auto"/>
          <w:highlight w:val="none"/>
        </w:rPr>
      </w:pPr>
      <w:bookmarkStart w:id="73" w:name="_Toc2234"/>
      <w:bookmarkStart w:id="74" w:name="_Toc25166"/>
      <w:r>
        <w:rPr>
          <w:rFonts w:hint="eastAsia" w:ascii="宋体" w:hAnsi="宋体" w:cs="宋体"/>
          <w:color w:val="auto"/>
          <w:sz w:val="36"/>
          <w:szCs w:val="36"/>
          <w:highlight w:val="none"/>
        </w:rPr>
        <w:t>第七部分  投标文件格式</w:t>
      </w:r>
      <w:bookmarkEnd w:id="73"/>
      <w:bookmarkEnd w:id="74"/>
    </w:p>
    <w:p>
      <w:pPr>
        <w:adjustRightInd w:val="0"/>
        <w:snapToGrid w:val="0"/>
        <w:spacing w:line="360" w:lineRule="auto"/>
        <w:jc w:val="left"/>
        <w:rPr>
          <w:rFonts w:ascii="宋体" w:hAnsi="宋体" w:cs="宋体"/>
          <w:b/>
          <w:color w:val="auto"/>
          <w:w w:val="120"/>
          <w:sz w:val="28"/>
          <w:szCs w:val="28"/>
          <w:highlight w:val="none"/>
        </w:rPr>
      </w:pPr>
    </w:p>
    <w:p>
      <w:pPr>
        <w:adjustRightInd w:val="0"/>
        <w:snapToGrid w:val="0"/>
        <w:spacing w:line="360" w:lineRule="auto"/>
        <w:jc w:val="left"/>
        <w:rPr>
          <w:rFonts w:ascii="宋体" w:hAnsi="宋体" w:cs="宋体"/>
          <w:b/>
          <w:color w:val="auto"/>
          <w:w w:val="120"/>
          <w:sz w:val="28"/>
          <w:szCs w:val="28"/>
          <w:highlight w:val="none"/>
        </w:rPr>
      </w:pPr>
      <w:r>
        <w:rPr>
          <w:rFonts w:hint="eastAsia" w:ascii="宋体" w:hAnsi="宋体" w:cs="宋体"/>
          <w:b/>
          <w:color w:val="auto"/>
          <w:w w:val="120"/>
          <w:sz w:val="28"/>
          <w:szCs w:val="28"/>
          <w:highlight w:val="none"/>
        </w:rPr>
        <w:t>项目编号：ZMZB2022YDYZ-125      （正本或副本）</w:t>
      </w:r>
    </w:p>
    <w:p>
      <w:pPr>
        <w:rPr>
          <w:color w:val="auto"/>
          <w:highlight w:val="none"/>
        </w:rPr>
      </w:pPr>
    </w:p>
    <w:p>
      <w:pPr>
        <w:pStyle w:val="9"/>
        <w:rPr>
          <w:rFonts w:ascii="宋体" w:hAnsi="宋体" w:cs="宋体"/>
          <w:color w:val="auto"/>
          <w:highlight w:val="none"/>
        </w:rPr>
      </w:pPr>
    </w:p>
    <w:p>
      <w:pPr>
        <w:adjustRightInd w:val="0"/>
        <w:snapToGrid w:val="0"/>
        <w:spacing w:line="360" w:lineRule="auto"/>
        <w:jc w:val="center"/>
        <w:rPr>
          <w:rFonts w:ascii="宋体" w:hAnsi="宋体" w:cs="宋体"/>
          <w:b/>
          <w:color w:val="auto"/>
          <w:sz w:val="56"/>
          <w:szCs w:val="56"/>
          <w:highlight w:val="none"/>
        </w:rPr>
      </w:pPr>
    </w:p>
    <w:p>
      <w:pPr>
        <w:adjustRightInd w:val="0"/>
        <w:snapToGrid w:val="0"/>
        <w:spacing w:line="360" w:lineRule="auto"/>
        <w:jc w:val="center"/>
        <w:rPr>
          <w:rFonts w:ascii="宋体" w:hAnsi="宋体" w:cs="宋体"/>
          <w:b/>
          <w:color w:val="auto"/>
          <w:sz w:val="56"/>
          <w:szCs w:val="56"/>
          <w:highlight w:val="none"/>
        </w:rPr>
      </w:pPr>
      <w:r>
        <w:rPr>
          <w:rFonts w:hint="eastAsia" w:ascii="宋体" w:hAnsi="宋体" w:cs="宋体"/>
          <w:b/>
          <w:color w:val="auto"/>
          <w:sz w:val="56"/>
          <w:szCs w:val="56"/>
          <w:highlight w:val="none"/>
        </w:rPr>
        <w:t>西安市远东第一中学</w:t>
      </w:r>
    </w:p>
    <w:p>
      <w:pPr>
        <w:adjustRightInd w:val="0"/>
        <w:snapToGrid w:val="0"/>
        <w:spacing w:line="360" w:lineRule="auto"/>
        <w:jc w:val="center"/>
        <w:rPr>
          <w:rFonts w:hint="eastAsia" w:ascii="宋体" w:hAnsi="宋体" w:eastAsia="宋体" w:cs="宋体"/>
          <w:b/>
          <w:color w:val="auto"/>
          <w:sz w:val="56"/>
          <w:szCs w:val="56"/>
          <w:highlight w:val="none"/>
          <w:lang w:eastAsia="zh-CN"/>
        </w:rPr>
      </w:pPr>
      <w:r>
        <w:rPr>
          <w:rFonts w:hint="eastAsia" w:ascii="宋体" w:hAnsi="宋体" w:cs="宋体"/>
          <w:b/>
          <w:color w:val="auto"/>
          <w:sz w:val="56"/>
          <w:szCs w:val="56"/>
          <w:highlight w:val="none"/>
          <w:lang w:eastAsia="zh-CN"/>
        </w:rPr>
        <w:t>校园信息化设备采购项目</w:t>
      </w:r>
    </w:p>
    <w:p>
      <w:pPr>
        <w:snapToGrid w:val="0"/>
        <w:spacing w:line="480" w:lineRule="auto"/>
        <w:ind w:firstLine="2891" w:firstLineChars="400"/>
        <w:rPr>
          <w:rFonts w:ascii="宋体" w:hAnsi="宋体" w:cs="宋体"/>
          <w:b/>
          <w:bCs/>
          <w:color w:val="auto"/>
          <w:sz w:val="72"/>
          <w:szCs w:val="72"/>
          <w:highlight w:val="none"/>
        </w:rPr>
      </w:pPr>
    </w:p>
    <w:p>
      <w:pPr>
        <w:snapToGrid w:val="0"/>
        <w:spacing w:line="480" w:lineRule="auto"/>
        <w:ind w:firstLine="2891" w:firstLineChars="400"/>
        <w:rPr>
          <w:rFonts w:ascii="宋体" w:hAnsi="宋体" w:cs="宋体"/>
          <w:b/>
          <w:bCs/>
          <w:color w:val="auto"/>
          <w:sz w:val="72"/>
          <w:szCs w:val="72"/>
          <w:highlight w:val="none"/>
        </w:rPr>
      </w:pPr>
      <w:r>
        <w:rPr>
          <w:rFonts w:hint="eastAsia" w:ascii="宋体" w:hAnsi="宋体" w:cs="宋体"/>
          <w:b/>
          <w:bCs/>
          <w:color w:val="auto"/>
          <w:sz w:val="72"/>
          <w:szCs w:val="72"/>
          <w:highlight w:val="none"/>
        </w:rPr>
        <w:t>投标文件</w:t>
      </w:r>
    </w:p>
    <w:p>
      <w:pPr>
        <w:rPr>
          <w:color w:val="auto"/>
          <w:highlight w:val="none"/>
          <w:lang w:val="zh-CN"/>
        </w:rPr>
      </w:pPr>
    </w:p>
    <w:p>
      <w:pPr>
        <w:snapToGrid w:val="0"/>
        <w:spacing w:line="480" w:lineRule="auto"/>
        <w:jc w:val="left"/>
        <w:rPr>
          <w:rFonts w:ascii="宋体" w:hAnsi="宋体" w:cs="宋体"/>
          <w:color w:val="auto"/>
          <w:sz w:val="32"/>
          <w:szCs w:val="32"/>
          <w:highlight w:val="none"/>
          <w:lang w:val="zh-CN"/>
        </w:rPr>
      </w:pPr>
    </w:p>
    <w:p>
      <w:pPr>
        <w:snapToGrid w:val="0"/>
        <w:spacing w:line="480" w:lineRule="auto"/>
        <w:jc w:val="left"/>
        <w:rPr>
          <w:rFonts w:ascii="宋体" w:hAnsi="宋体" w:cs="宋体"/>
          <w:color w:val="auto"/>
          <w:sz w:val="32"/>
          <w:szCs w:val="32"/>
          <w:highlight w:val="none"/>
        </w:rPr>
      </w:pPr>
      <w:r>
        <w:rPr>
          <w:rFonts w:hint="eastAsia" w:ascii="宋体" w:hAnsi="宋体" w:cs="宋体"/>
          <w:color w:val="auto"/>
          <w:sz w:val="32"/>
          <w:szCs w:val="32"/>
          <w:highlight w:val="none"/>
          <w:lang w:val="zh-CN"/>
        </w:rPr>
        <w:t>供应商（单位名称）：</w:t>
      </w:r>
      <w:r>
        <w:rPr>
          <w:rFonts w:hint="eastAsia" w:ascii="宋体" w:hAnsi="宋体" w:cs="宋体"/>
          <w:color w:val="auto"/>
          <w:sz w:val="32"/>
          <w:szCs w:val="32"/>
          <w:highlight w:val="none"/>
        </w:rPr>
        <w:t>___________</w:t>
      </w:r>
    </w:p>
    <w:p>
      <w:pPr>
        <w:snapToGrid w:val="0"/>
        <w:spacing w:line="480" w:lineRule="auto"/>
        <w:jc w:val="left"/>
        <w:rPr>
          <w:rFonts w:ascii="宋体" w:hAnsi="宋体" w:cs="宋体"/>
          <w:color w:val="auto"/>
          <w:sz w:val="32"/>
          <w:szCs w:val="32"/>
          <w:highlight w:val="none"/>
          <w:u w:val="single"/>
        </w:rPr>
      </w:pPr>
      <w:r>
        <w:rPr>
          <w:rFonts w:hint="eastAsia" w:ascii="宋体" w:hAnsi="宋体" w:cs="宋体"/>
          <w:color w:val="auto"/>
          <w:sz w:val="32"/>
          <w:szCs w:val="32"/>
          <w:highlight w:val="none"/>
        </w:rPr>
        <w:t>日  期</w:t>
      </w:r>
      <w:r>
        <w:rPr>
          <w:rFonts w:hint="eastAsia" w:ascii="宋体" w:hAnsi="宋体" w:cs="宋体"/>
          <w:color w:val="auto"/>
          <w:sz w:val="32"/>
          <w:szCs w:val="32"/>
          <w:highlight w:val="none"/>
          <w:lang w:val="zh-CN"/>
        </w:rPr>
        <w:t>：</w:t>
      </w:r>
      <w:r>
        <w:rPr>
          <w:rFonts w:hint="eastAsia" w:ascii="宋体" w:hAnsi="宋体" w:cs="宋体"/>
          <w:color w:val="auto"/>
          <w:sz w:val="32"/>
          <w:szCs w:val="32"/>
          <w:highlight w:val="none"/>
        </w:rPr>
        <w:t>__________________</w:t>
      </w:r>
    </w:p>
    <w:p>
      <w:pPr>
        <w:pageBreakBefore/>
        <w:spacing w:before="319" w:beforeLines="100" w:after="478" w:afterLines="150" w:line="500" w:lineRule="exact"/>
        <w:ind w:firstLine="723" w:firstLineChars="200"/>
        <w:jc w:val="center"/>
        <w:rPr>
          <w:rFonts w:ascii="宋体" w:hAnsi="宋体" w:cs="宋体"/>
          <w:b/>
          <w:color w:val="auto"/>
          <w:sz w:val="50"/>
          <w:highlight w:val="none"/>
        </w:rPr>
      </w:pPr>
      <w:r>
        <w:rPr>
          <w:rFonts w:hint="eastAsia" w:ascii="宋体" w:hAnsi="宋体" w:cs="宋体"/>
          <w:b/>
          <w:color w:val="auto"/>
          <w:sz w:val="36"/>
          <w:szCs w:val="36"/>
          <w:highlight w:val="none"/>
        </w:rPr>
        <w:t>目 录</w:t>
      </w:r>
    </w:p>
    <w:p>
      <w:pPr>
        <w:pStyle w:val="15"/>
        <w:snapToGrid w:val="0"/>
        <w:spacing w:line="480" w:lineRule="auto"/>
        <w:ind w:firstLine="562" w:firstLineChars="200"/>
        <w:jc w:val="left"/>
        <w:rPr>
          <w:rFonts w:hAnsi="宋体" w:cs="宋体"/>
          <w:b/>
          <w:bCs/>
          <w:color w:val="auto"/>
          <w:sz w:val="28"/>
          <w:szCs w:val="28"/>
          <w:highlight w:val="none"/>
        </w:rPr>
      </w:pPr>
      <w:r>
        <w:rPr>
          <w:rFonts w:hint="eastAsia" w:hAnsi="宋体" w:cs="宋体"/>
          <w:b/>
          <w:bCs/>
          <w:color w:val="auto"/>
          <w:sz w:val="28"/>
          <w:szCs w:val="28"/>
          <w:highlight w:val="none"/>
        </w:rPr>
        <w:t>第一部分   投标函</w:t>
      </w:r>
    </w:p>
    <w:p>
      <w:pPr>
        <w:snapToGrid w:val="0"/>
        <w:spacing w:line="480" w:lineRule="auto"/>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第二部分   报价一览表</w:t>
      </w:r>
    </w:p>
    <w:p>
      <w:pPr>
        <w:pStyle w:val="15"/>
        <w:snapToGrid w:val="0"/>
        <w:spacing w:line="480" w:lineRule="auto"/>
        <w:ind w:firstLine="562" w:firstLineChars="200"/>
        <w:jc w:val="left"/>
        <w:rPr>
          <w:rFonts w:hAnsi="宋体" w:cs="宋体"/>
          <w:b/>
          <w:color w:val="auto"/>
          <w:kern w:val="0"/>
          <w:sz w:val="28"/>
          <w:szCs w:val="28"/>
          <w:highlight w:val="none"/>
        </w:rPr>
      </w:pPr>
      <w:r>
        <w:rPr>
          <w:rFonts w:hint="eastAsia" w:hAnsi="宋体" w:cs="宋体"/>
          <w:b/>
          <w:bCs/>
          <w:color w:val="auto"/>
          <w:sz w:val="28"/>
          <w:szCs w:val="28"/>
          <w:highlight w:val="none"/>
        </w:rPr>
        <w:t xml:space="preserve">第三部分   </w:t>
      </w:r>
      <w:r>
        <w:rPr>
          <w:rFonts w:hint="eastAsia" w:hAnsi="宋体" w:cs="宋体"/>
          <w:b/>
          <w:color w:val="auto"/>
          <w:kern w:val="0"/>
          <w:sz w:val="28"/>
          <w:szCs w:val="28"/>
          <w:highlight w:val="none"/>
        </w:rPr>
        <w:t>商务及技术响应说明</w:t>
      </w:r>
    </w:p>
    <w:p>
      <w:pPr>
        <w:pStyle w:val="15"/>
        <w:snapToGrid w:val="0"/>
        <w:spacing w:line="480" w:lineRule="auto"/>
        <w:ind w:firstLine="562" w:firstLineChars="200"/>
        <w:jc w:val="left"/>
        <w:rPr>
          <w:rFonts w:hAnsi="宋体" w:cs="宋体"/>
          <w:b/>
          <w:bCs/>
          <w:color w:val="auto"/>
          <w:sz w:val="28"/>
          <w:szCs w:val="28"/>
          <w:highlight w:val="none"/>
        </w:rPr>
      </w:pPr>
      <w:r>
        <w:rPr>
          <w:rFonts w:hint="eastAsia" w:hAnsi="宋体" w:cs="宋体"/>
          <w:b/>
          <w:bCs/>
          <w:color w:val="auto"/>
          <w:sz w:val="28"/>
          <w:szCs w:val="28"/>
          <w:highlight w:val="none"/>
        </w:rPr>
        <w:t xml:space="preserve">第四部分   </w:t>
      </w:r>
      <w:r>
        <w:rPr>
          <w:rFonts w:hint="eastAsia" w:hAnsi="宋体" w:cs="宋体"/>
          <w:b/>
          <w:color w:val="auto"/>
          <w:sz w:val="28"/>
          <w:szCs w:val="28"/>
          <w:highlight w:val="none"/>
        </w:rPr>
        <w:t>供应商资格要求</w:t>
      </w:r>
    </w:p>
    <w:p>
      <w:pPr>
        <w:pStyle w:val="15"/>
        <w:snapToGrid w:val="0"/>
        <w:spacing w:line="480" w:lineRule="auto"/>
        <w:ind w:firstLine="562" w:firstLineChars="200"/>
        <w:jc w:val="left"/>
        <w:rPr>
          <w:rFonts w:hAnsi="宋体" w:cs="宋体"/>
          <w:b/>
          <w:color w:val="auto"/>
          <w:sz w:val="28"/>
          <w:szCs w:val="28"/>
          <w:highlight w:val="none"/>
        </w:rPr>
      </w:pPr>
      <w:r>
        <w:rPr>
          <w:rFonts w:hint="eastAsia" w:hAnsi="宋体" w:cs="宋体"/>
          <w:b/>
          <w:color w:val="auto"/>
          <w:sz w:val="28"/>
          <w:szCs w:val="28"/>
          <w:highlight w:val="none"/>
        </w:rPr>
        <w:t>第五部分   技术与服务方案</w:t>
      </w:r>
    </w:p>
    <w:p>
      <w:pPr>
        <w:snapToGrid w:val="0"/>
        <w:spacing w:line="480" w:lineRule="auto"/>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第六部分   服务承诺</w:t>
      </w:r>
    </w:p>
    <w:p>
      <w:pPr>
        <w:snapToGrid w:val="0"/>
        <w:spacing w:line="480" w:lineRule="auto"/>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第七部分   业绩一览表</w:t>
      </w:r>
    </w:p>
    <w:p>
      <w:pPr>
        <w:snapToGrid w:val="0"/>
        <w:spacing w:line="480" w:lineRule="auto"/>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第八部分   供应商认为有必要说明的其他问题</w:t>
      </w:r>
    </w:p>
    <w:p>
      <w:pPr>
        <w:rPr>
          <w:rFonts w:ascii="宋体" w:hAnsi="宋体" w:cs="宋体"/>
          <w:color w:val="auto"/>
          <w:highlight w:val="none"/>
        </w:rPr>
      </w:pPr>
    </w:p>
    <w:p>
      <w:pPr>
        <w:pStyle w:val="4"/>
        <w:pageBreakBefore/>
        <w:spacing w:before="319" w:beforeLines="100" w:after="478" w:afterLines="150" w:line="500" w:lineRule="exact"/>
        <w:jc w:val="center"/>
        <w:rPr>
          <w:rFonts w:ascii="宋体" w:hAnsi="宋体" w:cs="宋体"/>
          <w:color w:val="auto"/>
          <w:sz w:val="36"/>
          <w:szCs w:val="36"/>
          <w:highlight w:val="none"/>
        </w:rPr>
      </w:pPr>
      <w:bookmarkStart w:id="75" w:name="_Toc20184"/>
      <w:r>
        <w:rPr>
          <w:rFonts w:hint="eastAsia" w:ascii="宋体" w:hAnsi="宋体" w:cs="宋体"/>
          <w:color w:val="auto"/>
          <w:sz w:val="36"/>
          <w:szCs w:val="36"/>
          <w:highlight w:val="none"/>
        </w:rPr>
        <w:t>第一部分  投标函</w:t>
      </w:r>
      <w:bookmarkEnd w:id="65"/>
      <w:bookmarkEnd w:id="75"/>
    </w:p>
    <w:p>
      <w:pPr>
        <w:adjustRightInd w:val="0"/>
        <w:snapToGrid w:val="0"/>
        <w:spacing w:line="276" w:lineRule="auto"/>
        <w:jc w:val="left"/>
        <w:rPr>
          <w:rFonts w:ascii="宋体" w:hAnsi="宋体" w:cs="宋体"/>
          <w:bCs/>
          <w:color w:val="auto"/>
          <w:sz w:val="28"/>
          <w:szCs w:val="28"/>
          <w:highlight w:val="none"/>
        </w:rPr>
      </w:pPr>
      <w:r>
        <w:rPr>
          <w:rFonts w:hint="eastAsia" w:ascii="宋体" w:hAnsi="宋体" w:cs="宋体"/>
          <w:b/>
          <w:bCs/>
          <w:color w:val="auto"/>
          <w:sz w:val="28"/>
          <w:szCs w:val="28"/>
          <w:highlight w:val="none"/>
        </w:rPr>
        <w:t>陕西卓佲项目管理有限公司</w:t>
      </w:r>
      <w:r>
        <w:rPr>
          <w:rFonts w:hint="eastAsia" w:ascii="宋体" w:hAnsi="宋体" w:cs="宋体"/>
          <w:bCs/>
          <w:color w:val="auto"/>
          <w:sz w:val="28"/>
          <w:szCs w:val="28"/>
          <w:highlight w:val="none"/>
        </w:rPr>
        <w:t>：</w:t>
      </w:r>
    </w:p>
    <w:p>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我单位收到编号为： </w:t>
      </w:r>
      <w:r>
        <w:rPr>
          <w:rFonts w:hint="eastAsia" w:ascii="宋体" w:hAnsi="宋体" w:cs="宋体"/>
          <w:color w:val="auto"/>
          <w:sz w:val="24"/>
          <w:szCs w:val="24"/>
          <w:highlight w:val="none"/>
          <w:u w:val="single"/>
        </w:rPr>
        <w:t>ZMZB2022YDYZ-125</w:t>
      </w:r>
      <w:r>
        <w:rPr>
          <w:rFonts w:hint="eastAsia" w:ascii="宋体" w:hAnsi="宋体" w:cs="宋体"/>
          <w:color w:val="auto"/>
          <w:sz w:val="24"/>
          <w:szCs w:val="24"/>
          <w:highlight w:val="none"/>
        </w:rPr>
        <w:t xml:space="preserve"> 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2、我方提交的投标文件正本______份、副本_______份，电子文档_____份、报价一览表_____份。</w:t>
      </w:r>
    </w:p>
    <w:p>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3、我们已详细阅读了招标文件，完全理解并同意放弃提出含糊不清和误解问题的权力。</w:t>
      </w:r>
    </w:p>
    <w:p>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4、如果我方在投标后到规定的投标有效期内撤回投标文件及承诺，我们自愿承担不利后果。</w:t>
      </w:r>
    </w:p>
    <w:p>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5、同意向贵方提供贵方可能要求的、与本次投标有关的任何证据资料。</w:t>
      </w:r>
    </w:p>
    <w:p>
      <w:pPr>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6、我方承诺投标有效期为开标后________日历日内有效。</w:t>
      </w:r>
    </w:p>
    <w:p>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7、所有关于本次投标的函电，请按下列地址联系：</w:t>
      </w:r>
    </w:p>
    <w:p>
      <w:pPr>
        <w:adjustRightInd w:val="0"/>
        <w:snapToGrid w:val="0"/>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供应商（单位名称及公章）：</w:t>
      </w:r>
      <w:r>
        <w:rPr>
          <w:rFonts w:hint="eastAsia" w:ascii="宋体" w:hAnsi="宋体" w:cs="宋体"/>
          <w:color w:val="auto"/>
          <w:sz w:val="24"/>
          <w:highlight w:val="none"/>
        </w:rPr>
        <w:t>____________________</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法定代表人或被授权人（签字或盖章）：</w:t>
      </w:r>
      <w:r>
        <w:rPr>
          <w:rFonts w:hint="eastAsia" w:ascii="宋体" w:hAnsi="宋体" w:cs="宋体"/>
          <w:color w:val="auto"/>
          <w:sz w:val="24"/>
          <w:highlight w:val="none"/>
        </w:rPr>
        <w:t>____________________</w:t>
      </w:r>
    </w:p>
    <w:p>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highlight w:val="none"/>
        </w:rPr>
        <w:t>____________________</w:t>
      </w:r>
    </w:p>
    <w:p>
      <w:pPr>
        <w:adjustRightInd w:val="0"/>
        <w:snapToGrid w:val="0"/>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开户银行：</w:t>
      </w:r>
      <w:r>
        <w:rPr>
          <w:rFonts w:hint="eastAsia" w:ascii="宋体" w:hAnsi="宋体" w:cs="宋体"/>
          <w:color w:val="auto"/>
          <w:sz w:val="24"/>
          <w:highlight w:val="none"/>
        </w:rPr>
        <w:t>____________________</w:t>
      </w:r>
    </w:p>
    <w:p>
      <w:pPr>
        <w:adjustRightInd w:val="0"/>
        <w:snapToGrid w:val="0"/>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帐    号：</w:t>
      </w:r>
      <w:r>
        <w:rPr>
          <w:rFonts w:hint="eastAsia" w:ascii="宋体" w:hAnsi="宋体" w:cs="宋体"/>
          <w:color w:val="auto"/>
          <w:sz w:val="24"/>
          <w:highlight w:val="none"/>
        </w:rPr>
        <w:t>____________________</w:t>
      </w:r>
    </w:p>
    <w:p>
      <w:pPr>
        <w:adjustRightInd w:val="0"/>
        <w:snapToGrid w:val="0"/>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电    话：</w:t>
      </w:r>
      <w:r>
        <w:rPr>
          <w:rFonts w:hint="eastAsia" w:ascii="宋体" w:hAnsi="宋体" w:cs="宋体"/>
          <w:color w:val="auto"/>
          <w:sz w:val="24"/>
          <w:highlight w:val="none"/>
        </w:rPr>
        <w:t>____________________</w:t>
      </w:r>
    </w:p>
    <w:p>
      <w:pPr>
        <w:adjustRightInd w:val="0"/>
        <w:snapToGrid w:val="0"/>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传    真：</w:t>
      </w:r>
      <w:r>
        <w:rPr>
          <w:rFonts w:hint="eastAsia" w:ascii="宋体" w:hAnsi="宋体" w:cs="宋体"/>
          <w:color w:val="auto"/>
          <w:sz w:val="24"/>
          <w:highlight w:val="none"/>
        </w:rPr>
        <w:t>____________________</w:t>
      </w:r>
    </w:p>
    <w:p>
      <w:pPr>
        <w:adjustRightInd w:val="0"/>
        <w:snapToGrid w:val="0"/>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邮    编：</w:t>
      </w:r>
      <w:r>
        <w:rPr>
          <w:rFonts w:hint="eastAsia" w:ascii="宋体" w:hAnsi="宋体" w:cs="宋体"/>
          <w:color w:val="auto"/>
          <w:sz w:val="24"/>
          <w:highlight w:val="none"/>
        </w:rPr>
        <w:t>____________________</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日    期： </w:t>
      </w:r>
      <w:r>
        <w:rPr>
          <w:rFonts w:hint="eastAsia" w:ascii="宋体" w:hAnsi="宋体" w:cs="宋体"/>
          <w:color w:val="auto"/>
          <w:sz w:val="24"/>
          <w:highlight w:val="none"/>
        </w:rPr>
        <w:t>_____</w:t>
      </w:r>
      <w:r>
        <w:rPr>
          <w:rFonts w:hint="eastAsia" w:ascii="宋体" w:hAnsi="宋体" w:cs="宋体"/>
          <w:color w:val="auto"/>
          <w:sz w:val="24"/>
          <w:szCs w:val="24"/>
          <w:highlight w:val="none"/>
        </w:rPr>
        <w:t xml:space="preserve"> 年 </w:t>
      </w:r>
      <w:r>
        <w:rPr>
          <w:rFonts w:hint="eastAsia" w:ascii="宋体" w:hAnsi="宋体" w:cs="宋体"/>
          <w:color w:val="auto"/>
          <w:sz w:val="24"/>
          <w:highlight w:val="none"/>
        </w:rPr>
        <w:t>_____</w:t>
      </w:r>
      <w:r>
        <w:rPr>
          <w:rFonts w:hint="eastAsia" w:ascii="宋体" w:hAnsi="宋体" w:cs="宋体"/>
          <w:color w:val="auto"/>
          <w:sz w:val="24"/>
          <w:szCs w:val="24"/>
          <w:highlight w:val="none"/>
        </w:rPr>
        <w:t xml:space="preserve">  月</w:t>
      </w:r>
      <w:r>
        <w:rPr>
          <w:rFonts w:hint="eastAsia" w:ascii="宋体" w:hAnsi="宋体" w:cs="宋体"/>
          <w:color w:val="auto"/>
          <w:sz w:val="24"/>
          <w:highlight w:val="none"/>
        </w:rPr>
        <w:t>_____</w:t>
      </w:r>
      <w:r>
        <w:rPr>
          <w:rFonts w:hint="eastAsia" w:ascii="宋体" w:hAnsi="宋体" w:cs="宋体"/>
          <w:color w:val="auto"/>
          <w:sz w:val="24"/>
          <w:szCs w:val="24"/>
          <w:highlight w:val="none"/>
        </w:rPr>
        <w:t xml:space="preserve"> 日</w:t>
      </w:r>
    </w:p>
    <w:p>
      <w:pPr>
        <w:pStyle w:val="4"/>
        <w:numPr>
          <w:ilvl w:val="0"/>
          <w:numId w:val="23"/>
        </w:numPr>
        <w:spacing w:before="319" w:beforeLines="100" w:after="478" w:afterLines="150" w:line="500" w:lineRule="exact"/>
        <w:jc w:val="center"/>
        <w:rPr>
          <w:rFonts w:ascii="宋体" w:hAnsi="宋体" w:cs="宋体"/>
          <w:color w:val="auto"/>
          <w:sz w:val="36"/>
          <w:szCs w:val="36"/>
          <w:highlight w:val="none"/>
        </w:rPr>
        <w:sectPr>
          <w:pgSz w:w="11906" w:h="16838"/>
          <w:pgMar w:top="1440" w:right="1803" w:bottom="1440" w:left="1803" w:header="851" w:footer="992" w:gutter="0"/>
          <w:cols w:space="720" w:num="1"/>
          <w:docGrid w:type="lines" w:linePitch="319" w:charSpace="0"/>
        </w:sectPr>
      </w:pPr>
      <w:bookmarkStart w:id="76" w:name="_Toc28494"/>
    </w:p>
    <w:p>
      <w:pPr>
        <w:pStyle w:val="4"/>
        <w:numPr>
          <w:ilvl w:val="0"/>
          <w:numId w:val="23"/>
        </w:numPr>
        <w:spacing w:before="319" w:beforeLines="100" w:after="478" w:afterLines="150" w:line="50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 xml:space="preserve">  </w:t>
      </w:r>
      <w:bookmarkEnd w:id="76"/>
      <w:bookmarkStart w:id="77" w:name="_Toc15787"/>
      <w:r>
        <w:rPr>
          <w:rFonts w:hint="eastAsia" w:ascii="宋体" w:hAnsi="宋体" w:cs="宋体"/>
          <w:color w:val="auto"/>
          <w:sz w:val="36"/>
          <w:szCs w:val="36"/>
          <w:highlight w:val="none"/>
        </w:rPr>
        <w:t>报价一览表</w:t>
      </w:r>
      <w:bookmarkEnd w:id="77"/>
    </w:p>
    <w:p>
      <w:pPr>
        <w:kinsoku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项目名称：西安市远东第一中学</w:t>
      </w:r>
      <w:r>
        <w:rPr>
          <w:rFonts w:hint="eastAsia" w:ascii="宋体" w:hAnsi="宋体" w:cs="宋体"/>
          <w:color w:val="auto"/>
          <w:sz w:val="24"/>
          <w:szCs w:val="24"/>
          <w:highlight w:val="none"/>
          <w:lang w:eastAsia="zh-CN"/>
        </w:rPr>
        <w:t>校园信息化设备采购项目</w:t>
      </w:r>
      <w:r>
        <w:rPr>
          <w:rFonts w:hint="eastAsia" w:ascii="宋体" w:hAnsi="宋体" w:cs="宋体"/>
          <w:color w:val="auto"/>
          <w:sz w:val="24"/>
          <w:szCs w:val="24"/>
          <w:highlight w:val="none"/>
        </w:rPr>
        <w:t xml:space="preserve">                      </w:t>
      </w:r>
    </w:p>
    <w:p>
      <w:pPr>
        <w:rPr>
          <w:rFonts w:ascii="宋体" w:hAnsi="宋体" w:cs="宋体"/>
          <w:color w:val="auto"/>
          <w:highlight w:val="none"/>
        </w:rPr>
      </w:pPr>
      <w:r>
        <w:rPr>
          <w:rFonts w:hint="eastAsia" w:ascii="宋体" w:hAnsi="宋体" w:cs="宋体"/>
          <w:color w:val="auto"/>
          <w:sz w:val="24"/>
          <w:szCs w:val="24"/>
          <w:highlight w:val="none"/>
        </w:rPr>
        <w:t xml:space="preserve">单  位：元    </w:t>
      </w:r>
      <w:r>
        <w:rPr>
          <w:rFonts w:hint="eastAsia" w:ascii="宋体" w:hAnsi="宋体" w:cs="宋体"/>
          <w:color w:val="auto"/>
          <w:sz w:val="28"/>
          <w:szCs w:val="28"/>
          <w:highlight w:val="none"/>
        </w:rPr>
        <w:t xml:space="preserve">             </w:t>
      </w:r>
    </w:p>
    <w:tbl>
      <w:tblPr>
        <w:tblStyle w:val="30"/>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1978"/>
        <w:gridCol w:w="2086"/>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2980" w:type="dxa"/>
            <w:tcBorders>
              <w:tl2br w:val="single" w:color="auto" w:sz="4" w:space="0"/>
            </w:tcBorders>
            <w:vAlign w:val="center"/>
          </w:tcPr>
          <w:p>
            <w:pPr>
              <w:kinsoku w:val="0"/>
              <w:spacing w:line="360" w:lineRule="auto"/>
              <w:jc w:val="center"/>
              <w:rPr>
                <w:rFonts w:ascii="宋体" w:cs="宋体"/>
                <w:color w:val="auto"/>
                <w:sz w:val="24"/>
                <w:szCs w:val="24"/>
                <w:highlight w:val="none"/>
              </w:rPr>
            </w:pPr>
            <w:r>
              <w:rPr>
                <w:rFonts w:hint="eastAsia" w:ascii="宋体" w:cs="宋体"/>
                <w:color w:val="auto"/>
                <w:sz w:val="24"/>
                <w:szCs w:val="24"/>
                <w:highlight w:val="none"/>
              </w:rPr>
              <w:t xml:space="preserve">       报价内容</w:t>
            </w:r>
          </w:p>
          <w:p>
            <w:pPr>
              <w:kinsoku w:val="0"/>
              <w:spacing w:line="360" w:lineRule="auto"/>
              <w:jc w:val="center"/>
              <w:rPr>
                <w:rFonts w:ascii="宋体" w:cs="宋体"/>
                <w:color w:val="auto"/>
                <w:sz w:val="24"/>
                <w:szCs w:val="24"/>
                <w:highlight w:val="none"/>
              </w:rPr>
            </w:pPr>
          </w:p>
          <w:p>
            <w:pPr>
              <w:kinsoku w:val="0"/>
              <w:spacing w:line="360" w:lineRule="auto"/>
              <w:rPr>
                <w:rFonts w:ascii="宋体" w:cs="宋体"/>
                <w:color w:val="auto"/>
                <w:szCs w:val="21"/>
                <w:highlight w:val="none"/>
              </w:rPr>
            </w:pPr>
            <w:r>
              <w:rPr>
                <w:rFonts w:hint="eastAsia" w:ascii="宋体" w:cs="宋体"/>
                <w:color w:val="auto"/>
                <w:sz w:val="24"/>
                <w:szCs w:val="24"/>
                <w:highlight w:val="none"/>
              </w:rPr>
              <w:t>投标内容</w:t>
            </w:r>
          </w:p>
        </w:tc>
        <w:tc>
          <w:tcPr>
            <w:tcW w:w="1978" w:type="dxa"/>
            <w:vAlign w:val="center"/>
          </w:tcPr>
          <w:p>
            <w:pPr>
              <w:kinsoku w:val="0"/>
              <w:spacing w:line="360" w:lineRule="auto"/>
              <w:jc w:val="center"/>
              <w:rPr>
                <w:rFonts w:ascii="宋体" w:cs="宋体"/>
                <w:color w:val="auto"/>
                <w:sz w:val="24"/>
                <w:szCs w:val="24"/>
                <w:highlight w:val="none"/>
              </w:rPr>
            </w:pPr>
            <w:r>
              <w:rPr>
                <w:rFonts w:hint="eastAsia" w:ascii="宋体" w:cs="宋体"/>
                <w:color w:val="auto"/>
                <w:sz w:val="24"/>
                <w:szCs w:val="24"/>
                <w:highlight w:val="none"/>
              </w:rPr>
              <w:t>投标总报价</w:t>
            </w:r>
          </w:p>
          <w:p>
            <w:pPr>
              <w:kinsoku w:val="0"/>
              <w:spacing w:line="360" w:lineRule="auto"/>
              <w:jc w:val="center"/>
              <w:rPr>
                <w:rFonts w:ascii="宋体" w:cs="宋体"/>
                <w:color w:val="auto"/>
                <w:sz w:val="24"/>
                <w:szCs w:val="24"/>
                <w:highlight w:val="none"/>
              </w:rPr>
            </w:pPr>
            <w:r>
              <w:rPr>
                <w:rFonts w:hint="eastAsia" w:ascii="宋体" w:cs="宋体"/>
                <w:color w:val="auto"/>
                <w:sz w:val="24"/>
                <w:szCs w:val="24"/>
                <w:highlight w:val="none"/>
              </w:rPr>
              <w:t>（元）</w:t>
            </w:r>
          </w:p>
        </w:tc>
        <w:tc>
          <w:tcPr>
            <w:tcW w:w="2086" w:type="dxa"/>
            <w:vAlign w:val="center"/>
          </w:tcPr>
          <w:p>
            <w:pPr>
              <w:kinsoku w:val="0"/>
              <w:spacing w:line="360" w:lineRule="auto"/>
              <w:jc w:val="center"/>
              <w:rPr>
                <w:rFonts w:ascii="宋体" w:cs="宋体"/>
                <w:color w:val="auto"/>
                <w:sz w:val="24"/>
                <w:szCs w:val="24"/>
                <w:highlight w:val="none"/>
              </w:rPr>
            </w:pPr>
            <w:r>
              <w:rPr>
                <w:rFonts w:hint="eastAsia" w:ascii="宋体" w:cs="宋体"/>
                <w:color w:val="auto"/>
                <w:sz w:val="24"/>
                <w:szCs w:val="24"/>
                <w:highlight w:val="none"/>
              </w:rPr>
              <w:t>交货期</w:t>
            </w:r>
          </w:p>
        </w:tc>
        <w:tc>
          <w:tcPr>
            <w:tcW w:w="1916" w:type="dxa"/>
            <w:vAlign w:val="center"/>
          </w:tcPr>
          <w:p>
            <w:pPr>
              <w:kinsoku w:val="0"/>
              <w:spacing w:line="360" w:lineRule="auto"/>
              <w:jc w:val="center"/>
              <w:rPr>
                <w:rFonts w:ascii="宋体" w:cs="宋体"/>
                <w:color w:val="auto"/>
                <w:sz w:val="24"/>
                <w:szCs w:val="24"/>
                <w:highlight w:val="none"/>
              </w:rPr>
            </w:pPr>
            <w:r>
              <w:rPr>
                <w:rFonts w:hint="eastAsia" w:ascii="宋体" w:cs="宋体"/>
                <w:color w:val="auto"/>
                <w:sz w:val="24"/>
                <w:szCs w:val="24"/>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2980" w:type="dxa"/>
            <w:vAlign w:val="center"/>
          </w:tcPr>
          <w:p>
            <w:pPr>
              <w:kinsoku w:val="0"/>
              <w:spacing w:line="480" w:lineRule="auto"/>
              <w:jc w:val="left"/>
              <w:rPr>
                <w:rFonts w:hint="eastAsia" w:ascii="宋体" w:eastAsia="宋体" w:cs="宋体"/>
                <w:color w:val="auto"/>
                <w:szCs w:val="21"/>
                <w:highlight w:val="none"/>
                <w:lang w:eastAsia="zh-CN"/>
              </w:rPr>
            </w:pPr>
            <w:r>
              <w:rPr>
                <w:rFonts w:hint="eastAsia" w:ascii="宋体" w:cs="宋体"/>
                <w:color w:val="auto"/>
                <w:szCs w:val="21"/>
                <w:highlight w:val="none"/>
              </w:rPr>
              <w:t>西安市远东第一中学</w:t>
            </w:r>
            <w:r>
              <w:rPr>
                <w:rFonts w:hint="eastAsia" w:ascii="宋体" w:cs="宋体"/>
                <w:color w:val="auto"/>
                <w:szCs w:val="21"/>
                <w:highlight w:val="none"/>
                <w:lang w:eastAsia="zh-CN"/>
              </w:rPr>
              <w:t>校园信息化设备采购项目</w:t>
            </w:r>
          </w:p>
        </w:tc>
        <w:tc>
          <w:tcPr>
            <w:tcW w:w="1978" w:type="dxa"/>
            <w:vAlign w:val="center"/>
          </w:tcPr>
          <w:p>
            <w:pPr>
              <w:kinsoku w:val="0"/>
              <w:spacing w:line="480" w:lineRule="auto"/>
              <w:jc w:val="left"/>
              <w:rPr>
                <w:rFonts w:ascii="宋体" w:cs="宋体"/>
                <w:color w:val="auto"/>
                <w:szCs w:val="21"/>
                <w:highlight w:val="none"/>
              </w:rPr>
            </w:pPr>
          </w:p>
        </w:tc>
        <w:tc>
          <w:tcPr>
            <w:tcW w:w="2086" w:type="dxa"/>
            <w:vAlign w:val="center"/>
          </w:tcPr>
          <w:p>
            <w:pPr>
              <w:kinsoku w:val="0"/>
              <w:spacing w:line="480" w:lineRule="auto"/>
              <w:jc w:val="left"/>
              <w:rPr>
                <w:rFonts w:ascii="宋体" w:cs="宋体"/>
                <w:color w:val="auto"/>
                <w:szCs w:val="21"/>
                <w:highlight w:val="none"/>
              </w:rPr>
            </w:pPr>
          </w:p>
        </w:tc>
        <w:tc>
          <w:tcPr>
            <w:tcW w:w="1916" w:type="dxa"/>
            <w:vAlign w:val="center"/>
          </w:tcPr>
          <w:p>
            <w:pPr>
              <w:kinsoku w:val="0"/>
              <w:spacing w:line="480" w:lineRule="auto"/>
              <w:ind w:firstLine="420" w:firstLineChars="200"/>
              <w:jc w:val="left"/>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960" w:type="dxa"/>
            <w:gridSpan w:val="4"/>
            <w:vAlign w:val="center"/>
          </w:tcPr>
          <w:p>
            <w:pPr>
              <w:kinsoku w:val="0"/>
              <w:spacing w:line="480" w:lineRule="auto"/>
              <w:jc w:val="left"/>
              <w:rPr>
                <w:rFonts w:ascii="宋体" w:cs="宋体"/>
                <w:color w:val="auto"/>
                <w:szCs w:val="21"/>
                <w:highlight w:val="none"/>
              </w:rPr>
            </w:pPr>
            <w:r>
              <w:rPr>
                <w:rFonts w:hint="eastAsia" w:ascii="宋体" w:cs="宋体"/>
                <w:color w:val="auto"/>
                <w:szCs w:val="21"/>
                <w:highlight w:val="none"/>
              </w:rPr>
              <w:t>投标总报价：（大写）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（小写）¥</w:t>
            </w:r>
            <w:r>
              <w:rPr>
                <w:rFonts w:hint="eastAsia" w:ascii="宋体" w:cs="宋体"/>
                <w:color w:val="auto"/>
                <w:szCs w:val="21"/>
                <w:highlight w:val="none"/>
                <w:u w:val="single"/>
              </w:rPr>
              <w:t xml:space="preserve">          </w:t>
            </w:r>
            <w:r>
              <w:rPr>
                <w:rFonts w:hint="eastAsia" w:ascii="宋体" w:cs="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8960" w:type="dxa"/>
            <w:gridSpan w:val="4"/>
            <w:vAlign w:val="center"/>
          </w:tcPr>
          <w:p>
            <w:pPr>
              <w:kinsoku w:val="0"/>
              <w:spacing w:line="480" w:lineRule="auto"/>
              <w:jc w:val="left"/>
              <w:rPr>
                <w:rFonts w:ascii="宋体" w:cs="宋体"/>
                <w:color w:val="auto"/>
                <w:szCs w:val="21"/>
                <w:highlight w:val="none"/>
              </w:rPr>
            </w:pPr>
            <w:r>
              <w:rPr>
                <w:rFonts w:hint="eastAsia" w:ascii="宋体" w:cs="宋体"/>
                <w:color w:val="auto"/>
                <w:highlight w:val="none"/>
              </w:rPr>
              <w:t>备注：表内报价内容以元为单位，精确到小数点后两位；</w:t>
            </w:r>
          </w:p>
        </w:tc>
      </w:tr>
    </w:tbl>
    <w:p>
      <w:pPr>
        <w:widowControl/>
        <w:tabs>
          <w:tab w:val="left" w:pos="4000"/>
        </w:tabs>
        <w:snapToGrid w:val="0"/>
        <w:spacing w:line="300" w:lineRule="auto"/>
        <w:jc w:val="left"/>
        <w:rPr>
          <w:rFonts w:ascii="宋体" w:hAnsi="宋体" w:cs="宋体"/>
          <w:b/>
          <w:bCs/>
          <w:color w:val="auto"/>
          <w:spacing w:val="20"/>
          <w:kern w:val="0"/>
          <w:sz w:val="28"/>
          <w:szCs w:val="28"/>
          <w:highlight w:val="none"/>
        </w:rPr>
      </w:pPr>
    </w:p>
    <w:p>
      <w:pPr>
        <w:widowControl/>
        <w:tabs>
          <w:tab w:val="left" w:pos="4000"/>
        </w:tabs>
        <w:snapToGrid w:val="0"/>
        <w:spacing w:line="300" w:lineRule="auto"/>
        <w:jc w:val="left"/>
        <w:rPr>
          <w:rFonts w:ascii="宋体" w:hAnsi="宋体" w:cs="宋体"/>
          <w:b/>
          <w:bCs/>
          <w:color w:val="auto"/>
          <w:spacing w:val="20"/>
          <w:kern w:val="0"/>
          <w:sz w:val="28"/>
          <w:szCs w:val="28"/>
          <w:highlight w:val="none"/>
        </w:rPr>
      </w:pPr>
      <w:r>
        <w:rPr>
          <w:rFonts w:hint="eastAsia" w:ascii="宋体" w:hAnsi="宋体" w:cs="宋体"/>
          <w:b/>
          <w:bCs/>
          <w:color w:val="auto"/>
          <w:spacing w:val="20"/>
          <w:kern w:val="0"/>
          <w:sz w:val="28"/>
          <w:szCs w:val="28"/>
          <w:highlight w:val="none"/>
        </w:rPr>
        <w:t>注：此表再制作一份原件单独密封递交，供唱标时使用。</w:t>
      </w:r>
    </w:p>
    <w:p>
      <w:pPr>
        <w:widowControl/>
        <w:tabs>
          <w:tab w:val="left" w:pos="4000"/>
        </w:tabs>
        <w:snapToGrid w:val="0"/>
        <w:spacing w:line="300" w:lineRule="auto"/>
        <w:jc w:val="left"/>
        <w:rPr>
          <w:rFonts w:ascii="宋体" w:hAnsi="宋体" w:cs="宋体"/>
          <w:b/>
          <w:bCs/>
          <w:color w:val="auto"/>
          <w:spacing w:val="20"/>
          <w:kern w:val="0"/>
          <w:sz w:val="28"/>
          <w:szCs w:val="28"/>
          <w:highlight w:val="none"/>
        </w:rPr>
      </w:pPr>
      <w:r>
        <w:rPr>
          <w:rFonts w:hint="eastAsia" w:ascii="宋体" w:hAnsi="宋体" w:cs="宋体"/>
          <w:b/>
          <w:bCs/>
          <w:color w:val="auto"/>
          <w:spacing w:val="20"/>
          <w:kern w:val="0"/>
          <w:sz w:val="28"/>
          <w:szCs w:val="28"/>
          <w:highlight w:val="none"/>
        </w:rPr>
        <w:t xml:space="preserve">    请写明大写、小写。</w:t>
      </w:r>
    </w:p>
    <w:p>
      <w:pPr>
        <w:adjustRightInd w:val="0"/>
        <w:snapToGrid w:val="0"/>
        <w:spacing w:line="480" w:lineRule="auto"/>
        <w:jc w:val="left"/>
        <w:rPr>
          <w:rFonts w:ascii="宋体" w:hAnsi="宋体" w:cs="宋体"/>
          <w:color w:val="auto"/>
          <w:sz w:val="28"/>
          <w:szCs w:val="28"/>
          <w:highlight w:val="none"/>
        </w:rPr>
      </w:pPr>
    </w:p>
    <w:p>
      <w:pPr>
        <w:adjustRightInd w:val="0"/>
        <w:snapToGrid w:val="0"/>
        <w:spacing w:line="480" w:lineRule="auto"/>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供应商（单位名称及公章）：</w:t>
      </w:r>
      <w:r>
        <w:rPr>
          <w:rFonts w:hint="eastAsia" w:ascii="宋体" w:hAnsi="宋体" w:cs="宋体"/>
          <w:color w:val="auto"/>
          <w:sz w:val="24"/>
          <w:highlight w:val="none"/>
        </w:rPr>
        <w:t>____________________</w:t>
      </w:r>
    </w:p>
    <w:p>
      <w:pPr>
        <w:adjustRightInd w:val="0"/>
        <w:snapToGrid w:val="0"/>
        <w:spacing w:line="480" w:lineRule="auto"/>
        <w:rPr>
          <w:rFonts w:ascii="宋体" w:hAnsi="宋体" w:cs="宋体"/>
          <w:color w:val="auto"/>
          <w:sz w:val="28"/>
          <w:szCs w:val="28"/>
          <w:highlight w:val="none"/>
        </w:rPr>
      </w:pPr>
      <w:r>
        <w:rPr>
          <w:rFonts w:hint="eastAsia" w:ascii="宋体" w:hAnsi="宋体" w:cs="宋体"/>
          <w:color w:val="auto"/>
          <w:sz w:val="28"/>
          <w:szCs w:val="28"/>
          <w:highlight w:val="none"/>
        </w:rPr>
        <w:t>法定代表人或被授权人（签字或盖章）：</w:t>
      </w:r>
      <w:r>
        <w:rPr>
          <w:rFonts w:hint="eastAsia" w:ascii="宋体" w:hAnsi="宋体" w:cs="宋体"/>
          <w:color w:val="auto"/>
          <w:sz w:val="24"/>
          <w:highlight w:val="none"/>
        </w:rPr>
        <w:t>____________________</w:t>
      </w:r>
    </w:p>
    <w:p>
      <w:pPr>
        <w:adjustRightInd w:val="0"/>
        <w:snapToGrid w:val="0"/>
        <w:spacing w:line="480" w:lineRule="auto"/>
        <w:rPr>
          <w:rFonts w:ascii="宋体" w:hAnsi="宋体" w:cs="宋体"/>
          <w:b/>
          <w:color w:val="auto"/>
          <w:sz w:val="32"/>
          <w:highlight w:val="none"/>
        </w:rPr>
        <w:sectPr>
          <w:pgSz w:w="11906" w:h="16838"/>
          <w:pgMar w:top="1440" w:right="1803" w:bottom="1440" w:left="1803" w:header="851" w:footer="992" w:gutter="0"/>
          <w:cols w:space="720" w:num="1"/>
          <w:docGrid w:type="lines" w:linePitch="319" w:charSpace="0"/>
        </w:sectPr>
      </w:pPr>
      <w:r>
        <w:rPr>
          <w:rFonts w:hint="eastAsia" w:ascii="宋体" w:hAnsi="宋体" w:cs="宋体"/>
          <w:color w:val="auto"/>
          <w:sz w:val="28"/>
          <w:szCs w:val="28"/>
          <w:highlight w:val="none"/>
        </w:rPr>
        <w:t xml:space="preserve">日    期：  </w:t>
      </w:r>
      <w:r>
        <w:rPr>
          <w:rFonts w:hint="eastAsia" w:ascii="宋体" w:hAnsi="宋体" w:cs="宋体"/>
          <w:color w:val="auto"/>
          <w:sz w:val="24"/>
          <w:highlight w:val="none"/>
        </w:rPr>
        <w:t>_____</w:t>
      </w:r>
      <w:r>
        <w:rPr>
          <w:rFonts w:hint="eastAsia" w:ascii="宋体" w:hAnsi="宋体" w:cs="宋体"/>
          <w:color w:val="auto"/>
          <w:sz w:val="28"/>
          <w:szCs w:val="28"/>
          <w:highlight w:val="none"/>
        </w:rPr>
        <w:t>年</w:t>
      </w:r>
      <w:r>
        <w:rPr>
          <w:rFonts w:hint="eastAsia" w:ascii="宋体" w:hAnsi="宋体" w:cs="宋体"/>
          <w:color w:val="auto"/>
          <w:sz w:val="24"/>
          <w:highlight w:val="none"/>
        </w:rPr>
        <w:t>_____</w:t>
      </w:r>
      <w:r>
        <w:rPr>
          <w:rFonts w:hint="eastAsia" w:ascii="宋体" w:hAnsi="宋体" w:cs="宋体"/>
          <w:color w:val="auto"/>
          <w:sz w:val="28"/>
          <w:szCs w:val="28"/>
          <w:highlight w:val="none"/>
        </w:rPr>
        <w:t xml:space="preserve">  月</w:t>
      </w:r>
      <w:r>
        <w:rPr>
          <w:rFonts w:hint="eastAsia" w:ascii="宋体" w:hAnsi="宋体" w:cs="宋体"/>
          <w:color w:val="auto"/>
          <w:sz w:val="24"/>
          <w:highlight w:val="none"/>
        </w:rPr>
        <w:t>_____</w:t>
      </w:r>
    </w:p>
    <w:p>
      <w:pPr>
        <w:pStyle w:val="9"/>
        <w:ind w:firstLine="0"/>
        <w:jc w:val="center"/>
        <w:rPr>
          <w:rFonts w:ascii="宋体" w:hAnsi="宋体" w:cs="宋体"/>
          <w:b/>
          <w:bCs/>
          <w:color w:val="auto"/>
          <w:sz w:val="36"/>
          <w:szCs w:val="36"/>
          <w:highlight w:val="none"/>
        </w:rPr>
      </w:pPr>
      <w:bookmarkStart w:id="78" w:name="_Toc3356"/>
      <w:bookmarkStart w:id="79" w:name="_Toc10126"/>
      <w:bookmarkStart w:id="80" w:name="_Toc9034"/>
      <w:r>
        <w:rPr>
          <w:rFonts w:hint="eastAsia" w:ascii="宋体" w:hAnsi="宋体" w:cs="宋体"/>
          <w:b/>
          <w:bCs/>
          <w:color w:val="auto"/>
          <w:sz w:val="36"/>
          <w:szCs w:val="36"/>
          <w:highlight w:val="none"/>
        </w:rPr>
        <w:t>分项报价表</w:t>
      </w:r>
    </w:p>
    <w:p>
      <w:pPr>
        <w:spacing w:after="12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项目名称：西安市远东第一中学</w:t>
      </w:r>
      <w:r>
        <w:rPr>
          <w:rFonts w:hint="eastAsia" w:ascii="宋体" w:hAnsi="宋体" w:cs="宋体"/>
          <w:color w:val="auto"/>
          <w:sz w:val="24"/>
          <w:szCs w:val="24"/>
          <w:highlight w:val="none"/>
          <w:lang w:eastAsia="zh-CN"/>
        </w:rPr>
        <w:t>校园信息化设备采购项目</w:t>
      </w:r>
    </w:p>
    <w:p>
      <w:pPr>
        <w:spacing w:after="120"/>
        <w:jc w:val="left"/>
        <w:rPr>
          <w:rFonts w:ascii="宋体" w:hAnsi="宋体" w:cs="宋体"/>
          <w:color w:val="auto"/>
          <w:sz w:val="24"/>
          <w:szCs w:val="24"/>
          <w:highlight w:val="none"/>
        </w:rPr>
      </w:pPr>
      <w:r>
        <w:rPr>
          <w:rFonts w:hint="eastAsia" w:ascii="宋体" w:hAnsi="宋体" w:cs="宋体"/>
          <w:color w:val="auto"/>
          <w:sz w:val="24"/>
          <w:szCs w:val="24"/>
          <w:highlight w:val="none"/>
        </w:rPr>
        <w:t>项目编号： ZMZB2022YDYZ-125</w:t>
      </w:r>
    </w:p>
    <w:tbl>
      <w:tblPr>
        <w:tblStyle w:val="30"/>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jc w:val="left"/>
              <w:rPr>
                <w:rFonts w:ascii="宋体" w:cs="宋体"/>
                <w:color w:val="auto"/>
                <w:sz w:val="22"/>
                <w:highlight w:val="none"/>
              </w:rPr>
            </w:pPr>
            <w:r>
              <w:rPr>
                <w:rFonts w:hint="eastAsia" w:ascii="宋体" w:cs="宋体"/>
                <w:color w:val="auto"/>
                <w:sz w:val="22"/>
                <w:highlight w:val="none"/>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ascii="宋体" w:cs="宋体"/>
                <w:color w:val="auto"/>
                <w:sz w:val="22"/>
                <w:highlight w:val="none"/>
              </w:rPr>
            </w:pPr>
            <w:r>
              <w:rPr>
                <w:rFonts w:hint="eastAsia" w:ascii="宋体" w:cs="宋体"/>
                <w:color w:val="auto"/>
                <w:sz w:val="22"/>
                <w:highlight w:val="none"/>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color w:val="auto"/>
                <w:sz w:val="22"/>
                <w:highlight w:val="none"/>
              </w:rPr>
            </w:pPr>
            <w:r>
              <w:rPr>
                <w:rFonts w:hint="eastAsia" w:ascii="宋体" w:cs="宋体"/>
                <w:color w:val="auto"/>
                <w:sz w:val="22"/>
                <w:highlight w:val="none"/>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color w:val="auto"/>
                <w:sz w:val="22"/>
                <w:highlight w:val="none"/>
              </w:rPr>
            </w:pPr>
            <w:r>
              <w:rPr>
                <w:rFonts w:hint="eastAsia" w:ascii="宋体" w:cs="宋体"/>
                <w:color w:val="auto"/>
                <w:sz w:val="22"/>
                <w:highlight w:val="none"/>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color w:val="auto"/>
                <w:sz w:val="22"/>
                <w:highlight w:val="none"/>
              </w:rPr>
            </w:pPr>
            <w:r>
              <w:rPr>
                <w:rFonts w:hint="eastAsia" w:ascii="宋体" w:cs="宋体"/>
                <w:color w:val="auto"/>
                <w:sz w:val="22"/>
                <w:highlight w:val="none"/>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ascii="宋体" w:cs="宋体"/>
                <w:color w:val="auto"/>
                <w:sz w:val="22"/>
                <w:highlight w:val="none"/>
              </w:rPr>
            </w:pPr>
            <w:r>
              <w:rPr>
                <w:rFonts w:hint="eastAsia" w:ascii="宋体" w:cs="宋体"/>
                <w:color w:val="auto"/>
                <w:sz w:val="22"/>
                <w:highlight w:val="none"/>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color w:val="auto"/>
                <w:sz w:val="22"/>
                <w:highlight w:val="none"/>
              </w:rPr>
            </w:pPr>
            <w:r>
              <w:rPr>
                <w:rFonts w:hint="eastAsia" w:ascii="宋体" w:cs="宋体"/>
                <w:color w:val="auto"/>
                <w:sz w:val="22"/>
                <w:highlight w:val="none"/>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color w:val="auto"/>
                <w:sz w:val="22"/>
                <w:highlight w:val="none"/>
              </w:rPr>
            </w:pPr>
            <w:r>
              <w:rPr>
                <w:rFonts w:hint="eastAsia" w:ascii="宋体" w:cs="宋体"/>
                <w:color w:val="auto"/>
                <w:sz w:val="22"/>
                <w:highlight w:val="none"/>
              </w:rPr>
              <w:t>单价</w:t>
            </w:r>
          </w:p>
          <w:p>
            <w:pPr>
              <w:spacing w:after="120"/>
              <w:jc w:val="center"/>
              <w:rPr>
                <w:rFonts w:ascii="宋体" w:cs="宋体"/>
                <w:bCs/>
                <w:color w:val="auto"/>
                <w:sz w:val="22"/>
                <w:highlight w:val="none"/>
              </w:rPr>
            </w:pPr>
            <w:r>
              <w:rPr>
                <w:rFonts w:hint="eastAsia" w:ascii="宋体" w:cs="宋体"/>
                <w:color w:val="auto"/>
                <w:sz w:val="22"/>
                <w:highlight w:val="none"/>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bCs/>
                <w:color w:val="auto"/>
                <w:sz w:val="22"/>
                <w:highlight w:val="none"/>
              </w:rPr>
            </w:pPr>
            <w:r>
              <w:rPr>
                <w:rFonts w:hint="eastAsia" w:ascii="宋体" w:cs="宋体"/>
                <w:bCs/>
                <w:color w:val="auto"/>
                <w:sz w:val="22"/>
                <w:highlight w:val="none"/>
              </w:rPr>
              <w:t>总价</w:t>
            </w:r>
          </w:p>
          <w:p>
            <w:pPr>
              <w:spacing w:after="120"/>
              <w:jc w:val="center"/>
              <w:rPr>
                <w:rFonts w:ascii="宋体" w:cs="宋体"/>
                <w:bCs/>
                <w:color w:val="auto"/>
                <w:sz w:val="22"/>
                <w:highlight w:val="none"/>
              </w:rPr>
            </w:pPr>
            <w:r>
              <w:rPr>
                <w:rFonts w:hint="eastAsia" w:ascii="宋体" w:cs="宋体"/>
                <w:bCs/>
                <w:color w:val="auto"/>
                <w:sz w:val="22"/>
                <w:highlight w:val="none"/>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color w:val="auto"/>
                <w:highlight w:val="none"/>
              </w:rPr>
            </w:p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ascii="宋体" w:cs="宋体"/>
                <w:color w:val="auto"/>
                <w:sz w:val="22"/>
                <w:highlight w:val="none"/>
              </w:rPr>
            </w:pPr>
            <w:r>
              <w:rPr>
                <w:rFonts w:hint="eastAsia" w:ascii="宋体" w:cs="宋体"/>
                <w:color w:val="auto"/>
                <w:sz w:val="22"/>
                <w:highlight w:val="none"/>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color w:val="auto"/>
                <w:sz w:val="22"/>
                <w:highlight w:val="none"/>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ascii="宋体" w:cs="宋体"/>
                <w:color w:val="auto"/>
                <w:sz w:val="22"/>
                <w:highlight w:val="none"/>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ascii="宋体" w:cs="宋体"/>
                <w:color w:val="auto"/>
                <w:sz w:val="22"/>
                <w:highlight w:val="none"/>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color w:val="auto"/>
                <w:sz w:val="22"/>
                <w:highlight w:val="none"/>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color w:val="auto"/>
                <w:sz w:val="22"/>
                <w:highlight w:val="none"/>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color w:val="auto"/>
                <w:sz w:val="22"/>
                <w:highlight w:val="none"/>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color w:val="auto"/>
                <w:sz w:val="22"/>
                <w:highlight w:val="none"/>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pPr>
              <w:rPr>
                <w:color w:val="auto"/>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color w:val="auto"/>
                <w:sz w:val="22"/>
                <w:highlight w:val="none"/>
              </w:rPr>
            </w:pPr>
            <w:r>
              <w:rPr>
                <w:rFonts w:hint="eastAsia" w:ascii="宋体" w:cs="宋体"/>
                <w:color w:val="auto"/>
                <w:sz w:val="22"/>
                <w:highlight w:val="none"/>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color w:val="auto"/>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color w:val="auto"/>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pPr>
              <w:rPr>
                <w:color w:val="auto"/>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color w:val="auto"/>
                <w:sz w:val="22"/>
                <w:highlight w:val="none"/>
              </w:rPr>
            </w:pPr>
            <w:r>
              <w:rPr>
                <w:rFonts w:hint="eastAsia" w:ascii="宋体" w:cs="宋体"/>
                <w:color w:val="auto"/>
                <w:sz w:val="22"/>
                <w:highlight w:val="none"/>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color w:val="auto"/>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color w:val="auto"/>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color w:val="auto"/>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color w:val="auto"/>
                <w:sz w:val="22"/>
                <w:highlight w:val="none"/>
              </w:rPr>
            </w:pPr>
            <w:r>
              <w:rPr>
                <w:rFonts w:hint="eastAsia" w:ascii="宋体" w:cs="宋体"/>
                <w:color w:val="auto"/>
                <w:sz w:val="22"/>
                <w:highlight w:val="none"/>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color w:val="auto"/>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pPr>
              <w:rPr>
                <w:color w:val="auto"/>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b/>
                <w:color w:val="auto"/>
                <w:sz w:val="22"/>
                <w:highlight w:val="none"/>
              </w:rPr>
            </w:pPr>
            <w:r>
              <w:rPr>
                <w:rFonts w:hint="eastAsia" w:ascii="宋体" w:cs="宋体"/>
                <w:color w:val="auto"/>
                <w:sz w:val="22"/>
                <w:highlight w:val="none"/>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color w:val="auto"/>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pPr>
              <w:rPr>
                <w:color w:val="auto"/>
                <w:highlight w:val="none"/>
              </w:rPr>
            </w:p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color w:val="auto"/>
                <w:sz w:val="22"/>
                <w:highlight w:val="none"/>
              </w:rPr>
            </w:pPr>
            <w:r>
              <w:rPr>
                <w:rFonts w:hint="eastAsia" w:ascii="宋体" w:cs="宋体"/>
                <w:color w:val="auto"/>
                <w:sz w:val="22"/>
                <w:highlight w:val="none"/>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r>
              <w:rPr>
                <w:rFonts w:hint="eastAsia" w:ascii="宋体" w:cs="宋体"/>
                <w:color w:val="auto"/>
                <w:sz w:val="22"/>
                <w:highlight w:val="none"/>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color w:val="auto"/>
                <w:sz w:val="22"/>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color w:val="auto"/>
                <w:sz w:val="22"/>
                <w:highlight w:val="none"/>
              </w:rPr>
            </w:pPr>
            <w:r>
              <w:rPr>
                <w:rFonts w:hint="eastAsia" w:ascii="宋体" w:cs="宋体"/>
                <w:color w:val="auto"/>
                <w:sz w:val="22"/>
                <w:highlight w:val="none"/>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color w:val="auto"/>
                <w:sz w:val="22"/>
                <w:highlight w:val="none"/>
              </w:rPr>
            </w:pPr>
            <w:r>
              <w:rPr>
                <w:rFonts w:hint="eastAsia" w:ascii="宋体" w:cs="宋体"/>
                <w:color w:val="auto"/>
                <w:sz w:val="22"/>
                <w:highlight w:val="none"/>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color w:val="auto"/>
                <w:sz w:val="22"/>
                <w:highlight w:val="none"/>
              </w:rPr>
            </w:pPr>
            <w:r>
              <w:rPr>
                <w:rFonts w:hint="eastAsia" w:ascii="宋体" w:cs="宋体"/>
                <w:color w:val="auto"/>
                <w:sz w:val="22"/>
                <w:highlight w:val="none"/>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color w:val="auto"/>
                <w:sz w:val="22"/>
                <w:highlight w:val="none"/>
              </w:rPr>
            </w:pPr>
            <w:r>
              <w:rPr>
                <w:rFonts w:hint="eastAsia" w:ascii="宋体" w:cs="宋体"/>
                <w:color w:val="auto"/>
                <w:sz w:val="22"/>
                <w:highlight w:val="none"/>
              </w:rPr>
              <w:t>……</w:t>
            </w: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color w:val="auto"/>
                <w:sz w:val="22"/>
                <w:highlight w:val="none"/>
              </w:rPr>
            </w:pPr>
            <w:r>
              <w:rPr>
                <w:rFonts w:hint="eastAsia" w:ascii="宋体" w:cs="宋体"/>
                <w:color w:val="auto"/>
                <w:sz w:val="22"/>
                <w:highlight w:val="none"/>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left"/>
              <w:rPr>
                <w:rFonts w:ascii="宋体" w:cs="宋体"/>
                <w:color w:val="auto"/>
                <w:sz w:val="22"/>
                <w:highlight w:val="none"/>
              </w:rPr>
            </w:pPr>
            <w:r>
              <w:rPr>
                <w:rFonts w:hint="eastAsia" w:ascii="宋体" w:cs="宋体"/>
                <w:color w:val="auto"/>
                <w:sz w:val="22"/>
                <w:highlight w:val="none"/>
              </w:rPr>
              <w:t>大写：</w:t>
            </w:r>
            <w:r>
              <w:rPr>
                <w:rFonts w:hint="eastAsia" w:ascii="宋体" w:cs="宋体"/>
                <w:color w:val="auto"/>
                <w:sz w:val="22"/>
                <w:highlight w:val="none"/>
                <w:u w:val="single"/>
              </w:rPr>
              <w:t xml:space="preserve">                  </w:t>
            </w:r>
            <w:r>
              <w:rPr>
                <w:rFonts w:hint="eastAsia" w:ascii="宋体" w:cs="宋体"/>
                <w:color w:val="auto"/>
                <w:sz w:val="22"/>
                <w:highlight w:val="none"/>
              </w:rPr>
              <w:t xml:space="preserve"> 小写：</w:t>
            </w:r>
            <w:r>
              <w:rPr>
                <w:rFonts w:hint="eastAsia" w:ascii="宋体" w:cs="宋体"/>
                <w:color w:val="auto"/>
                <w:sz w:val="22"/>
                <w:highlight w:val="none"/>
                <w:u w:val="single"/>
              </w:rPr>
              <w:t xml:space="preserve">    </w:t>
            </w:r>
            <w:r>
              <w:rPr>
                <w:rFonts w:hint="eastAsia" w:ascii="宋体" w:cs="宋体"/>
                <w:color w:val="auto"/>
                <w:sz w:val="22"/>
                <w:highlight w:val="none"/>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color w:val="auto"/>
                <w:sz w:val="22"/>
                <w:highlight w:val="none"/>
              </w:rPr>
            </w:pPr>
            <w:r>
              <w:rPr>
                <w:rFonts w:hint="eastAsia" w:ascii="宋体" w:cs="宋体"/>
                <w:color w:val="auto"/>
                <w:sz w:val="22"/>
                <w:highlight w:val="none"/>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color w:val="auto"/>
                <w:sz w:val="22"/>
                <w:highlight w:val="none"/>
              </w:rPr>
            </w:pPr>
            <w:r>
              <w:rPr>
                <w:rFonts w:hint="eastAsia" w:ascii="宋体" w:cs="宋体"/>
                <w:color w:val="auto"/>
                <w:spacing w:val="-6"/>
                <w:sz w:val="22"/>
                <w:highlight w:val="none"/>
              </w:rPr>
              <w:t>保留小数点后两位。</w:t>
            </w:r>
          </w:p>
        </w:tc>
      </w:tr>
    </w:tbl>
    <w:p>
      <w:pPr>
        <w:adjustRightInd w:val="0"/>
        <w:snapToGrid w:val="0"/>
        <w:spacing w:line="480" w:lineRule="auto"/>
        <w:jc w:val="left"/>
        <w:rPr>
          <w:rFonts w:ascii="宋体" w:hAnsi="宋体" w:cs="宋体"/>
          <w:color w:val="auto"/>
          <w:sz w:val="28"/>
          <w:szCs w:val="28"/>
          <w:highlight w:val="none"/>
        </w:rPr>
      </w:pPr>
    </w:p>
    <w:p>
      <w:pPr>
        <w:adjustRightInd w:val="0"/>
        <w:snapToGrid w:val="0"/>
        <w:spacing w:line="480" w:lineRule="auto"/>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供应商（单位名称及公章）：</w:t>
      </w:r>
      <w:r>
        <w:rPr>
          <w:rFonts w:hint="eastAsia" w:ascii="宋体" w:hAnsi="宋体" w:cs="宋体"/>
          <w:color w:val="auto"/>
          <w:sz w:val="24"/>
          <w:highlight w:val="none"/>
        </w:rPr>
        <w:t>____________________</w:t>
      </w:r>
    </w:p>
    <w:p>
      <w:pPr>
        <w:adjustRightInd w:val="0"/>
        <w:snapToGrid w:val="0"/>
        <w:spacing w:line="480" w:lineRule="auto"/>
        <w:rPr>
          <w:rFonts w:ascii="宋体" w:hAnsi="宋体" w:cs="宋体"/>
          <w:color w:val="auto"/>
          <w:sz w:val="28"/>
          <w:szCs w:val="28"/>
          <w:highlight w:val="none"/>
        </w:rPr>
      </w:pPr>
      <w:r>
        <w:rPr>
          <w:rFonts w:hint="eastAsia" w:ascii="宋体" w:hAnsi="宋体" w:cs="宋体"/>
          <w:color w:val="auto"/>
          <w:sz w:val="28"/>
          <w:szCs w:val="28"/>
          <w:highlight w:val="none"/>
        </w:rPr>
        <w:t>法定代表人或被授权人（签字或盖章）：</w:t>
      </w:r>
      <w:r>
        <w:rPr>
          <w:rFonts w:hint="eastAsia" w:ascii="宋体" w:hAnsi="宋体" w:cs="宋体"/>
          <w:color w:val="auto"/>
          <w:sz w:val="24"/>
          <w:highlight w:val="none"/>
        </w:rPr>
        <w:t>____________________</w:t>
      </w:r>
    </w:p>
    <w:p>
      <w:pPr>
        <w:adjustRightInd w:val="0"/>
        <w:snapToGrid w:val="0"/>
        <w:spacing w:line="480" w:lineRule="auto"/>
        <w:rPr>
          <w:rFonts w:ascii="宋体" w:hAnsi="宋体" w:cs="宋体"/>
          <w:b/>
          <w:color w:val="auto"/>
          <w:sz w:val="32"/>
          <w:highlight w:val="none"/>
        </w:rPr>
        <w:sectPr>
          <w:pgSz w:w="11906" w:h="16838"/>
          <w:pgMar w:top="1440" w:right="1803" w:bottom="1440" w:left="1803" w:header="851" w:footer="992" w:gutter="0"/>
          <w:cols w:space="720" w:num="1"/>
          <w:docGrid w:type="lines" w:linePitch="319" w:charSpace="0"/>
        </w:sectPr>
      </w:pPr>
      <w:r>
        <w:rPr>
          <w:rFonts w:hint="eastAsia" w:ascii="宋体" w:hAnsi="宋体" w:cs="宋体"/>
          <w:color w:val="auto"/>
          <w:sz w:val="28"/>
          <w:szCs w:val="28"/>
          <w:highlight w:val="none"/>
        </w:rPr>
        <w:t xml:space="preserve">日    期：  </w:t>
      </w:r>
      <w:r>
        <w:rPr>
          <w:rFonts w:hint="eastAsia" w:ascii="宋体" w:hAnsi="宋体" w:cs="宋体"/>
          <w:color w:val="auto"/>
          <w:sz w:val="24"/>
          <w:highlight w:val="none"/>
        </w:rPr>
        <w:t>_________</w:t>
      </w:r>
    </w:p>
    <w:p>
      <w:pPr>
        <w:pStyle w:val="4"/>
        <w:jc w:val="center"/>
        <w:rPr>
          <w:rFonts w:ascii="宋体" w:hAnsi="宋体" w:cs="宋体"/>
          <w:color w:val="auto"/>
          <w:highlight w:val="none"/>
        </w:rPr>
      </w:pPr>
      <w:bookmarkStart w:id="81" w:name="_Toc15835"/>
      <w:r>
        <w:rPr>
          <w:rFonts w:hint="eastAsia" w:ascii="宋体" w:hAnsi="宋体" w:cs="宋体"/>
          <w:color w:val="auto"/>
          <w:highlight w:val="none"/>
        </w:rPr>
        <w:t>第三部分</w:t>
      </w:r>
      <w:bookmarkEnd w:id="78"/>
      <w:r>
        <w:rPr>
          <w:rFonts w:hint="eastAsia" w:ascii="宋体" w:hAnsi="宋体" w:cs="宋体"/>
          <w:color w:val="auto"/>
          <w:sz w:val="36"/>
          <w:szCs w:val="36"/>
          <w:highlight w:val="none"/>
        </w:rPr>
        <w:t xml:space="preserve">  </w:t>
      </w:r>
      <w:r>
        <w:rPr>
          <w:rFonts w:hint="eastAsia" w:ascii="宋体" w:hAnsi="宋体" w:cs="宋体"/>
          <w:color w:val="auto"/>
          <w:highlight w:val="none"/>
        </w:rPr>
        <w:t>商务及技术响应说明</w:t>
      </w:r>
      <w:bookmarkEnd w:id="81"/>
    </w:p>
    <w:p>
      <w:pPr>
        <w:pStyle w:val="9"/>
        <w:ind w:firstLine="0"/>
        <w:rPr>
          <w:rFonts w:ascii="宋体" w:hAnsi="宋体" w:cs="宋体"/>
          <w:color w:val="auto"/>
          <w:highlight w:val="none"/>
        </w:rPr>
      </w:pPr>
    </w:p>
    <w:p>
      <w:pPr>
        <w:jc w:val="center"/>
        <w:rPr>
          <w:rFonts w:ascii="宋体" w:hAnsi="宋体" w:cs="宋体"/>
          <w:b/>
          <w:bCs/>
          <w:color w:val="auto"/>
          <w:sz w:val="28"/>
          <w:szCs w:val="32"/>
          <w:highlight w:val="none"/>
        </w:rPr>
      </w:pPr>
      <w:r>
        <w:rPr>
          <w:rFonts w:hint="eastAsia" w:ascii="宋体" w:hAnsi="宋体" w:cs="宋体"/>
          <w:b/>
          <w:bCs/>
          <w:color w:val="auto"/>
          <w:sz w:val="28"/>
          <w:szCs w:val="32"/>
          <w:highlight w:val="none"/>
        </w:rPr>
        <w:t>商务偏离表</w:t>
      </w:r>
    </w:p>
    <w:tbl>
      <w:tblPr>
        <w:tblStyle w:val="3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vAlign w:val="center"/>
          </w:tcPr>
          <w:p>
            <w:pPr>
              <w:pStyle w:val="15"/>
              <w:spacing w:line="360" w:lineRule="auto"/>
              <w:jc w:val="center"/>
              <w:rPr>
                <w:rFonts w:hAnsi="宋体" w:cs="宋体"/>
                <w:color w:val="auto"/>
                <w:sz w:val="24"/>
                <w:szCs w:val="24"/>
                <w:highlight w:val="none"/>
              </w:rPr>
            </w:pPr>
            <w:r>
              <w:rPr>
                <w:rFonts w:hint="eastAsia" w:hAnsi="宋体" w:cs="宋体"/>
                <w:color w:val="auto"/>
                <w:sz w:val="24"/>
                <w:szCs w:val="24"/>
                <w:highlight w:val="none"/>
              </w:rPr>
              <w:t>序号</w:t>
            </w:r>
          </w:p>
        </w:tc>
        <w:tc>
          <w:tcPr>
            <w:tcW w:w="1521" w:type="dxa"/>
            <w:vAlign w:val="center"/>
          </w:tcPr>
          <w:p>
            <w:pPr>
              <w:pStyle w:val="15"/>
              <w:spacing w:line="360" w:lineRule="auto"/>
              <w:jc w:val="center"/>
              <w:rPr>
                <w:rFonts w:hAnsi="宋体" w:cs="宋体"/>
                <w:color w:val="auto"/>
                <w:sz w:val="24"/>
                <w:szCs w:val="24"/>
                <w:highlight w:val="none"/>
              </w:rPr>
            </w:pPr>
            <w:r>
              <w:rPr>
                <w:rFonts w:hint="eastAsia" w:hAnsi="宋体" w:cs="宋体"/>
                <w:color w:val="auto"/>
                <w:sz w:val="24"/>
                <w:szCs w:val="24"/>
                <w:highlight w:val="none"/>
              </w:rPr>
              <w:t>商务条款</w:t>
            </w:r>
          </w:p>
        </w:tc>
        <w:tc>
          <w:tcPr>
            <w:tcW w:w="1600" w:type="dxa"/>
            <w:vAlign w:val="center"/>
          </w:tcPr>
          <w:p>
            <w:pPr>
              <w:pStyle w:val="15"/>
              <w:spacing w:line="360" w:lineRule="auto"/>
              <w:jc w:val="center"/>
              <w:rPr>
                <w:rFonts w:hAnsi="宋体" w:cs="宋体"/>
                <w:color w:val="auto"/>
                <w:sz w:val="24"/>
                <w:szCs w:val="24"/>
                <w:highlight w:val="none"/>
              </w:rPr>
            </w:pPr>
            <w:r>
              <w:rPr>
                <w:rFonts w:hint="eastAsia" w:hAnsi="宋体" w:cs="宋体"/>
                <w:color w:val="auto"/>
                <w:sz w:val="24"/>
                <w:szCs w:val="24"/>
                <w:highlight w:val="none"/>
              </w:rPr>
              <w:t>商务要求</w:t>
            </w:r>
          </w:p>
          <w:p>
            <w:pPr>
              <w:pStyle w:val="15"/>
              <w:spacing w:line="360" w:lineRule="auto"/>
              <w:jc w:val="center"/>
              <w:rPr>
                <w:rFonts w:hAnsi="宋体" w:cs="宋体"/>
                <w:color w:val="auto"/>
                <w:sz w:val="24"/>
                <w:szCs w:val="24"/>
                <w:highlight w:val="none"/>
              </w:rPr>
            </w:pPr>
            <w:r>
              <w:rPr>
                <w:rFonts w:hint="eastAsia" w:hAnsi="宋体" w:cs="宋体"/>
                <w:color w:val="auto"/>
                <w:sz w:val="24"/>
                <w:szCs w:val="24"/>
                <w:highlight w:val="none"/>
              </w:rPr>
              <w:t>内容</w:t>
            </w:r>
          </w:p>
        </w:tc>
        <w:tc>
          <w:tcPr>
            <w:tcW w:w="1938" w:type="dxa"/>
            <w:vAlign w:val="center"/>
          </w:tcPr>
          <w:p>
            <w:pPr>
              <w:pStyle w:val="15"/>
              <w:spacing w:line="360" w:lineRule="auto"/>
              <w:jc w:val="center"/>
              <w:rPr>
                <w:rFonts w:hAnsi="宋体" w:cs="宋体"/>
                <w:color w:val="auto"/>
                <w:sz w:val="24"/>
                <w:szCs w:val="24"/>
                <w:highlight w:val="none"/>
              </w:rPr>
            </w:pPr>
            <w:r>
              <w:rPr>
                <w:rFonts w:hint="eastAsia" w:hAnsi="宋体" w:cs="宋体"/>
                <w:color w:val="auto"/>
                <w:sz w:val="24"/>
                <w:szCs w:val="24"/>
                <w:highlight w:val="none"/>
              </w:rPr>
              <w:t>投标文件</w:t>
            </w:r>
          </w:p>
          <w:p>
            <w:pPr>
              <w:pStyle w:val="15"/>
              <w:spacing w:line="360" w:lineRule="auto"/>
              <w:jc w:val="center"/>
              <w:rPr>
                <w:rFonts w:hAnsi="宋体" w:cs="宋体"/>
                <w:color w:val="auto"/>
                <w:sz w:val="24"/>
                <w:szCs w:val="24"/>
                <w:highlight w:val="none"/>
              </w:rPr>
            </w:pPr>
            <w:r>
              <w:rPr>
                <w:rFonts w:hint="eastAsia" w:hAnsi="宋体" w:cs="宋体"/>
                <w:color w:val="auto"/>
                <w:sz w:val="24"/>
                <w:szCs w:val="24"/>
                <w:highlight w:val="none"/>
              </w:rPr>
              <w:t>响应商务内容</w:t>
            </w:r>
          </w:p>
        </w:tc>
        <w:tc>
          <w:tcPr>
            <w:tcW w:w="1410" w:type="dxa"/>
            <w:vAlign w:val="center"/>
          </w:tcPr>
          <w:p>
            <w:pPr>
              <w:pStyle w:val="15"/>
              <w:spacing w:line="360" w:lineRule="auto"/>
              <w:jc w:val="center"/>
              <w:rPr>
                <w:rFonts w:hAnsi="宋体" w:cs="宋体"/>
                <w:color w:val="auto"/>
                <w:sz w:val="24"/>
                <w:szCs w:val="24"/>
                <w:highlight w:val="none"/>
              </w:rPr>
            </w:pPr>
            <w:r>
              <w:rPr>
                <w:rFonts w:hint="eastAsia" w:hAnsi="宋体" w:cs="宋体"/>
                <w:color w:val="auto"/>
                <w:sz w:val="24"/>
                <w:szCs w:val="24"/>
                <w:highlight w:val="none"/>
              </w:rPr>
              <w:t>偏离情况</w:t>
            </w:r>
          </w:p>
        </w:tc>
        <w:tc>
          <w:tcPr>
            <w:tcW w:w="1356" w:type="dxa"/>
            <w:vAlign w:val="center"/>
          </w:tcPr>
          <w:p>
            <w:pPr>
              <w:pStyle w:val="15"/>
              <w:spacing w:line="360" w:lineRule="auto"/>
              <w:jc w:val="center"/>
              <w:rPr>
                <w:rFonts w:hAnsi="宋体" w:cs="宋体"/>
                <w:color w:val="auto"/>
                <w:sz w:val="24"/>
                <w:szCs w:val="24"/>
                <w:highlight w:val="none"/>
              </w:rPr>
            </w:pPr>
            <w:r>
              <w:rPr>
                <w:rFonts w:hint="eastAsia" w:hAnsi="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color w:val="auto"/>
                <w:sz w:val="24"/>
                <w:szCs w:val="24"/>
                <w:highlight w:val="none"/>
              </w:rPr>
            </w:pPr>
          </w:p>
        </w:tc>
        <w:tc>
          <w:tcPr>
            <w:tcW w:w="1521" w:type="dxa"/>
          </w:tcPr>
          <w:p>
            <w:pPr>
              <w:pStyle w:val="15"/>
              <w:spacing w:line="480" w:lineRule="auto"/>
              <w:ind w:firstLine="480" w:firstLineChars="200"/>
              <w:jc w:val="left"/>
              <w:rPr>
                <w:rFonts w:hAnsi="宋体" w:cs="宋体"/>
                <w:color w:val="auto"/>
                <w:sz w:val="24"/>
                <w:szCs w:val="24"/>
                <w:highlight w:val="none"/>
              </w:rPr>
            </w:pPr>
          </w:p>
        </w:tc>
        <w:tc>
          <w:tcPr>
            <w:tcW w:w="1600" w:type="dxa"/>
            <w:vAlign w:val="center"/>
          </w:tcPr>
          <w:p>
            <w:pPr>
              <w:pStyle w:val="15"/>
              <w:spacing w:line="480" w:lineRule="auto"/>
              <w:ind w:firstLine="480" w:firstLineChars="200"/>
              <w:jc w:val="left"/>
              <w:rPr>
                <w:rFonts w:hAnsi="宋体" w:cs="宋体"/>
                <w:color w:val="auto"/>
                <w:sz w:val="24"/>
                <w:szCs w:val="24"/>
                <w:highlight w:val="none"/>
              </w:rPr>
            </w:pPr>
          </w:p>
        </w:tc>
        <w:tc>
          <w:tcPr>
            <w:tcW w:w="1938" w:type="dxa"/>
            <w:vAlign w:val="center"/>
          </w:tcPr>
          <w:p>
            <w:pPr>
              <w:pStyle w:val="15"/>
              <w:spacing w:line="480" w:lineRule="auto"/>
              <w:ind w:firstLine="480" w:firstLineChars="200"/>
              <w:jc w:val="left"/>
              <w:rPr>
                <w:rFonts w:hAnsi="宋体" w:cs="宋体"/>
                <w:color w:val="auto"/>
                <w:sz w:val="24"/>
                <w:szCs w:val="24"/>
                <w:highlight w:val="none"/>
              </w:rPr>
            </w:pPr>
          </w:p>
        </w:tc>
        <w:tc>
          <w:tcPr>
            <w:tcW w:w="1410" w:type="dxa"/>
            <w:vAlign w:val="center"/>
          </w:tcPr>
          <w:p>
            <w:pPr>
              <w:pStyle w:val="15"/>
              <w:spacing w:line="480" w:lineRule="auto"/>
              <w:ind w:firstLine="480" w:firstLineChars="200"/>
              <w:jc w:val="left"/>
              <w:rPr>
                <w:rFonts w:hAnsi="宋体" w:cs="宋体"/>
                <w:color w:val="auto"/>
                <w:sz w:val="24"/>
                <w:szCs w:val="24"/>
                <w:highlight w:val="none"/>
              </w:rPr>
            </w:pPr>
          </w:p>
        </w:tc>
        <w:tc>
          <w:tcPr>
            <w:tcW w:w="1356" w:type="dxa"/>
            <w:vAlign w:val="center"/>
          </w:tcPr>
          <w:p>
            <w:pPr>
              <w:pStyle w:val="15"/>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color w:val="auto"/>
                <w:sz w:val="24"/>
                <w:szCs w:val="24"/>
                <w:highlight w:val="none"/>
              </w:rPr>
            </w:pPr>
          </w:p>
        </w:tc>
        <w:tc>
          <w:tcPr>
            <w:tcW w:w="1521" w:type="dxa"/>
          </w:tcPr>
          <w:p>
            <w:pPr>
              <w:pStyle w:val="15"/>
              <w:spacing w:line="480" w:lineRule="auto"/>
              <w:ind w:firstLine="480" w:firstLineChars="200"/>
              <w:jc w:val="left"/>
              <w:rPr>
                <w:rFonts w:hAnsi="宋体" w:cs="宋体"/>
                <w:color w:val="auto"/>
                <w:sz w:val="24"/>
                <w:szCs w:val="24"/>
                <w:highlight w:val="none"/>
              </w:rPr>
            </w:pPr>
          </w:p>
        </w:tc>
        <w:tc>
          <w:tcPr>
            <w:tcW w:w="1600" w:type="dxa"/>
          </w:tcPr>
          <w:p>
            <w:pPr>
              <w:pStyle w:val="15"/>
              <w:spacing w:line="480" w:lineRule="auto"/>
              <w:ind w:firstLine="480" w:firstLineChars="200"/>
              <w:jc w:val="left"/>
              <w:rPr>
                <w:rFonts w:hAnsi="宋体" w:cs="宋体"/>
                <w:color w:val="auto"/>
                <w:sz w:val="24"/>
                <w:szCs w:val="24"/>
                <w:highlight w:val="none"/>
              </w:rPr>
            </w:pPr>
          </w:p>
        </w:tc>
        <w:tc>
          <w:tcPr>
            <w:tcW w:w="1938" w:type="dxa"/>
          </w:tcPr>
          <w:p>
            <w:pPr>
              <w:pStyle w:val="15"/>
              <w:spacing w:line="480" w:lineRule="auto"/>
              <w:ind w:firstLine="480" w:firstLineChars="200"/>
              <w:jc w:val="left"/>
              <w:rPr>
                <w:rFonts w:hAnsi="宋体" w:cs="宋体"/>
                <w:color w:val="auto"/>
                <w:sz w:val="24"/>
                <w:szCs w:val="24"/>
                <w:highlight w:val="none"/>
              </w:rPr>
            </w:pPr>
          </w:p>
        </w:tc>
        <w:tc>
          <w:tcPr>
            <w:tcW w:w="1410" w:type="dxa"/>
          </w:tcPr>
          <w:p>
            <w:pPr>
              <w:pStyle w:val="15"/>
              <w:spacing w:line="480" w:lineRule="auto"/>
              <w:ind w:firstLine="480" w:firstLineChars="200"/>
              <w:jc w:val="left"/>
              <w:rPr>
                <w:rFonts w:hAnsi="宋体" w:cs="宋体"/>
                <w:color w:val="auto"/>
                <w:sz w:val="24"/>
                <w:szCs w:val="24"/>
                <w:highlight w:val="none"/>
              </w:rPr>
            </w:pPr>
          </w:p>
        </w:tc>
        <w:tc>
          <w:tcPr>
            <w:tcW w:w="1356" w:type="dxa"/>
          </w:tcPr>
          <w:p>
            <w:pPr>
              <w:pStyle w:val="15"/>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color w:val="auto"/>
                <w:sz w:val="24"/>
                <w:szCs w:val="24"/>
                <w:highlight w:val="none"/>
              </w:rPr>
            </w:pPr>
          </w:p>
        </w:tc>
        <w:tc>
          <w:tcPr>
            <w:tcW w:w="1521" w:type="dxa"/>
          </w:tcPr>
          <w:p>
            <w:pPr>
              <w:pStyle w:val="15"/>
              <w:spacing w:line="480" w:lineRule="auto"/>
              <w:ind w:firstLine="480" w:firstLineChars="200"/>
              <w:jc w:val="left"/>
              <w:rPr>
                <w:rFonts w:hAnsi="宋体" w:cs="宋体"/>
                <w:color w:val="auto"/>
                <w:sz w:val="24"/>
                <w:szCs w:val="24"/>
                <w:highlight w:val="none"/>
              </w:rPr>
            </w:pPr>
          </w:p>
        </w:tc>
        <w:tc>
          <w:tcPr>
            <w:tcW w:w="1600" w:type="dxa"/>
          </w:tcPr>
          <w:p>
            <w:pPr>
              <w:pStyle w:val="15"/>
              <w:spacing w:line="480" w:lineRule="auto"/>
              <w:ind w:firstLine="480" w:firstLineChars="200"/>
              <w:jc w:val="left"/>
              <w:rPr>
                <w:rFonts w:hAnsi="宋体" w:cs="宋体"/>
                <w:color w:val="auto"/>
                <w:sz w:val="24"/>
                <w:szCs w:val="24"/>
                <w:highlight w:val="none"/>
              </w:rPr>
            </w:pPr>
          </w:p>
        </w:tc>
        <w:tc>
          <w:tcPr>
            <w:tcW w:w="1938" w:type="dxa"/>
          </w:tcPr>
          <w:p>
            <w:pPr>
              <w:pStyle w:val="15"/>
              <w:spacing w:line="480" w:lineRule="auto"/>
              <w:ind w:firstLine="480" w:firstLineChars="200"/>
              <w:jc w:val="left"/>
              <w:rPr>
                <w:rFonts w:hAnsi="宋体" w:cs="宋体"/>
                <w:color w:val="auto"/>
                <w:sz w:val="24"/>
                <w:szCs w:val="24"/>
                <w:highlight w:val="none"/>
              </w:rPr>
            </w:pPr>
          </w:p>
        </w:tc>
        <w:tc>
          <w:tcPr>
            <w:tcW w:w="1410" w:type="dxa"/>
          </w:tcPr>
          <w:p>
            <w:pPr>
              <w:pStyle w:val="15"/>
              <w:spacing w:line="480" w:lineRule="auto"/>
              <w:ind w:firstLine="480" w:firstLineChars="200"/>
              <w:jc w:val="left"/>
              <w:rPr>
                <w:rFonts w:hAnsi="宋体" w:cs="宋体"/>
                <w:color w:val="auto"/>
                <w:sz w:val="24"/>
                <w:szCs w:val="24"/>
                <w:highlight w:val="none"/>
              </w:rPr>
            </w:pPr>
          </w:p>
        </w:tc>
        <w:tc>
          <w:tcPr>
            <w:tcW w:w="1356" w:type="dxa"/>
          </w:tcPr>
          <w:p>
            <w:pPr>
              <w:pStyle w:val="15"/>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color w:val="auto"/>
                <w:sz w:val="24"/>
                <w:szCs w:val="24"/>
                <w:highlight w:val="none"/>
              </w:rPr>
            </w:pPr>
          </w:p>
        </w:tc>
        <w:tc>
          <w:tcPr>
            <w:tcW w:w="1521" w:type="dxa"/>
          </w:tcPr>
          <w:p>
            <w:pPr>
              <w:pStyle w:val="15"/>
              <w:spacing w:line="480" w:lineRule="auto"/>
              <w:ind w:firstLine="480" w:firstLineChars="200"/>
              <w:jc w:val="left"/>
              <w:rPr>
                <w:rFonts w:hAnsi="宋体" w:cs="宋体"/>
                <w:color w:val="auto"/>
                <w:sz w:val="24"/>
                <w:szCs w:val="24"/>
                <w:highlight w:val="none"/>
              </w:rPr>
            </w:pPr>
          </w:p>
        </w:tc>
        <w:tc>
          <w:tcPr>
            <w:tcW w:w="1600" w:type="dxa"/>
          </w:tcPr>
          <w:p>
            <w:pPr>
              <w:pStyle w:val="15"/>
              <w:spacing w:line="480" w:lineRule="auto"/>
              <w:ind w:firstLine="480" w:firstLineChars="200"/>
              <w:jc w:val="left"/>
              <w:rPr>
                <w:rFonts w:hAnsi="宋体" w:cs="宋体"/>
                <w:color w:val="auto"/>
                <w:sz w:val="24"/>
                <w:szCs w:val="24"/>
                <w:highlight w:val="none"/>
              </w:rPr>
            </w:pPr>
          </w:p>
        </w:tc>
        <w:tc>
          <w:tcPr>
            <w:tcW w:w="1938" w:type="dxa"/>
          </w:tcPr>
          <w:p>
            <w:pPr>
              <w:pStyle w:val="15"/>
              <w:spacing w:line="480" w:lineRule="auto"/>
              <w:ind w:firstLine="480" w:firstLineChars="200"/>
              <w:jc w:val="left"/>
              <w:rPr>
                <w:rFonts w:hAnsi="宋体" w:cs="宋体"/>
                <w:color w:val="auto"/>
                <w:sz w:val="24"/>
                <w:szCs w:val="24"/>
                <w:highlight w:val="none"/>
              </w:rPr>
            </w:pPr>
          </w:p>
        </w:tc>
        <w:tc>
          <w:tcPr>
            <w:tcW w:w="1410" w:type="dxa"/>
          </w:tcPr>
          <w:p>
            <w:pPr>
              <w:pStyle w:val="15"/>
              <w:spacing w:line="480" w:lineRule="auto"/>
              <w:ind w:firstLine="480" w:firstLineChars="200"/>
              <w:jc w:val="left"/>
              <w:rPr>
                <w:rFonts w:hAnsi="宋体" w:cs="宋体"/>
                <w:color w:val="auto"/>
                <w:sz w:val="24"/>
                <w:szCs w:val="24"/>
                <w:highlight w:val="none"/>
              </w:rPr>
            </w:pPr>
          </w:p>
        </w:tc>
        <w:tc>
          <w:tcPr>
            <w:tcW w:w="1356" w:type="dxa"/>
          </w:tcPr>
          <w:p>
            <w:pPr>
              <w:pStyle w:val="15"/>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color w:val="auto"/>
                <w:sz w:val="24"/>
                <w:szCs w:val="24"/>
                <w:highlight w:val="none"/>
              </w:rPr>
            </w:pPr>
          </w:p>
        </w:tc>
        <w:tc>
          <w:tcPr>
            <w:tcW w:w="1521" w:type="dxa"/>
          </w:tcPr>
          <w:p>
            <w:pPr>
              <w:pStyle w:val="15"/>
              <w:spacing w:line="480" w:lineRule="auto"/>
              <w:ind w:firstLine="480" w:firstLineChars="200"/>
              <w:jc w:val="left"/>
              <w:rPr>
                <w:rFonts w:hAnsi="宋体" w:cs="宋体"/>
                <w:color w:val="auto"/>
                <w:sz w:val="24"/>
                <w:szCs w:val="24"/>
                <w:highlight w:val="none"/>
              </w:rPr>
            </w:pPr>
          </w:p>
        </w:tc>
        <w:tc>
          <w:tcPr>
            <w:tcW w:w="1600" w:type="dxa"/>
          </w:tcPr>
          <w:p>
            <w:pPr>
              <w:pStyle w:val="15"/>
              <w:spacing w:line="480" w:lineRule="auto"/>
              <w:ind w:firstLine="480" w:firstLineChars="200"/>
              <w:jc w:val="left"/>
              <w:rPr>
                <w:rFonts w:hAnsi="宋体" w:cs="宋体"/>
                <w:color w:val="auto"/>
                <w:sz w:val="24"/>
                <w:szCs w:val="24"/>
                <w:highlight w:val="none"/>
              </w:rPr>
            </w:pPr>
          </w:p>
        </w:tc>
        <w:tc>
          <w:tcPr>
            <w:tcW w:w="1938" w:type="dxa"/>
          </w:tcPr>
          <w:p>
            <w:pPr>
              <w:pStyle w:val="15"/>
              <w:spacing w:line="480" w:lineRule="auto"/>
              <w:ind w:firstLine="480" w:firstLineChars="200"/>
              <w:jc w:val="left"/>
              <w:rPr>
                <w:rFonts w:hAnsi="宋体" w:cs="宋体"/>
                <w:color w:val="auto"/>
                <w:sz w:val="24"/>
                <w:szCs w:val="24"/>
                <w:highlight w:val="none"/>
              </w:rPr>
            </w:pPr>
          </w:p>
        </w:tc>
        <w:tc>
          <w:tcPr>
            <w:tcW w:w="1410" w:type="dxa"/>
          </w:tcPr>
          <w:p>
            <w:pPr>
              <w:pStyle w:val="15"/>
              <w:spacing w:line="480" w:lineRule="auto"/>
              <w:ind w:firstLine="480" w:firstLineChars="200"/>
              <w:jc w:val="left"/>
              <w:rPr>
                <w:rFonts w:hAnsi="宋体" w:cs="宋体"/>
                <w:color w:val="auto"/>
                <w:sz w:val="24"/>
                <w:szCs w:val="24"/>
                <w:highlight w:val="none"/>
              </w:rPr>
            </w:pPr>
          </w:p>
        </w:tc>
        <w:tc>
          <w:tcPr>
            <w:tcW w:w="1356" w:type="dxa"/>
          </w:tcPr>
          <w:p>
            <w:pPr>
              <w:pStyle w:val="15"/>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color w:val="auto"/>
                <w:sz w:val="24"/>
                <w:szCs w:val="24"/>
                <w:highlight w:val="none"/>
              </w:rPr>
            </w:pPr>
          </w:p>
        </w:tc>
        <w:tc>
          <w:tcPr>
            <w:tcW w:w="1521" w:type="dxa"/>
          </w:tcPr>
          <w:p>
            <w:pPr>
              <w:pStyle w:val="15"/>
              <w:spacing w:line="480" w:lineRule="auto"/>
              <w:ind w:firstLine="480" w:firstLineChars="200"/>
              <w:jc w:val="left"/>
              <w:rPr>
                <w:rFonts w:hAnsi="宋体" w:cs="宋体"/>
                <w:color w:val="auto"/>
                <w:sz w:val="24"/>
                <w:szCs w:val="24"/>
                <w:highlight w:val="none"/>
              </w:rPr>
            </w:pPr>
          </w:p>
        </w:tc>
        <w:tc>
          <w:tcPr>
            <w:tcW w:w="1600" w:type="dxa"/>
          </w:tcPr>
          <w:p>
            <w:pPr>
              <w:pStyle w:val="15"/>
              <w:spacing w:line="480" w:lineRule="auto"/>
              <w:ind w:firstLine="480" w:firstLineChars="200"/>
              <w:jc w:val="left"/>
              <w:rPr>
                <w:rFonts w:hAnsi="宋体" w:cs="宋体"/>
                <w:color w:val="auto"/>
                <w:sz w:val="24"/>
                <w:szCs w:val="24"/>
                <w:highlight w:val="none"/>
              </w:rPr>
            </w:pPr>
          </w:p>
        </w:tc>
        <w:tc>
          <w:tcPr>
            <w:tcW w:w="1938" w:type="dxa"/>
          </w:tcPr>
          <w:p>
            <w:pPr>
              <w:pStyle w:val="15"/>
              <w:spacing w:line="480" w:lineRule="auto"/>
              <w:ind w:firstLine="480" w:firstLineChars="200"/>
              <w:jc w:val="left"/>
              <w:rPr>
                <w:rFonts w:hAnsi="宋体" w:cs="宋体"/>
                <w:color w:val="auto"/>
                <w:sz w:val="24"/>
                <w:szCs w:val="24"/>
                <w:highlight w:val="none"/>
              </w:rPr>
            </w:pPr>
          </w:p>
        </w:tc>
        <w:tc>
          <w:tcPr>
            <w:tcW w:w="1410" w:type="dxa"/>
          </w:tcPr>
          <w:p>
            <w:pPr>
              <w:pStyle w:val="15"/>
              <w:spacing w:line="480" w:lineRule="auto"/>
              <w:ind w:firstLine="480" w:firstLineChars="200"/>
              <w:jc w:val="left"/>
              <w:rPr>
                <w:rFonts w:hAnsi="宋体" w:cs="宋体"/>
                <w:color w:val="auto"/>
                <w:sz w:val="24"/>
                <w:szCs w:val="24"/>
                <w:highlight w:val="none"/>
              </w:rPr>
            </w:pPr>
          </w:p>
        </w:tc>
        <w:tc>
          <w:tcPr>
            <w:tcW w:w="1356" w:type="dxa"/>
          </w:tcPr>
          <w:p>
            <w:pPr>
              <w:pStyle w:val="15"/>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color w:val="auto"/>
                <w:sz w:val="24"/>
                <w:szCs w:val="24"/>
                <w:highlight w:val="none"/>
              </w:rPr>
            </w:pPr>
          </w:p>
        </w:tc>
        <w:tc>
          <w:tcPr>
            <w:tcW w:w="1521" w:type="dxa"/>
          </w:tcPr>
          <w:p>
            <w:pPr>
              <w:pStyle w:val="15"/>
              <w:spacing w:line="480" w:lineRule="auto"/>
              <w:ind w:firstLine="480" w:firstLineChars="200"/>
              <w:jc w:val="left"/>
              <w:rPr>
                <w:rFonts w:hAnsi="宋体" w:cs="宋体"/>
                <w:color w:val="auto"/>
                <w:sz w:val="24"/>
                <w:szCs w:val="24"/>
                <w:highlight w:val="none"/>
              </w:rPr>
            </w:pPr>
          </w:p>
        </w:tc>
        <w:tc>
          <w:tcPr>
            <w:tcW w:w="1600" w:type="dxa"/>
          </w:tcPr>
          <w:p>
            <w:pPr>
              <w:pStyle w:val="15"/>
              <w:spacing w:line="480" w:lineRule="auto"/>
              <w:ind w:firstLine="480" w:firstLineChars="200"/>
              <w:jc w:val="left"/>
              <w:rPr>
                <w:rFonts w:hAnsi="宋体" w:cs="宋体"/>
                <w:color w:val="auto"/>
                <w:sz w:val="24"/>
                <w:szCs w:val="24"/>
                <w:highlight w:val="none"/>
              </w:rPr>
            </w:pPr>
          </w:p>
        </w:tc>
        <w:tc>
          <w:tcPr>
            <w:tcW w:w="1938" w:type="dxa"/>
          </w:tcPr>
          <w:p>
            <w:pPr>
              <w:pStyle w:val="15"/>
              <w:spacing w:line="480" w:lineRule="auto"/>
              <w:ind w:firstLine="480" w:firstLineChars="200"/>
              <w:jc w:val="left"/>
              <w:rPr>
                <w:rFonts w:hAnsi="宋体" w:cs="宋体"/>
                <w:color w:val="auto"/>
                <w:sz w:val="24"/>
                <w:szCs w:val="24"/>
                <w:highlight w:val="none"/>
              </w:rPr>
            </w:pPr>
          </w:p>
        </w:tc>
        <w:tc>
          <w:tcPr>
            <w:tcW w:w="1410" w:type="dxa"/>
          </w:tcPr>
          <w:p>
            <w:pPr>
              <w:pStyle w:val="15"/>
              <w:spacing w:line="480" w:lineRule="auto"/>
              <w:ind w:firstLine="480" w:firstLineChars="200"/>
              <w:jc w:val="left"/>
              <w:rPr>
                <w:rFonts w:hAnsi="宋体" w:cs="宋体"/>
                <w:color w:val="auto"/>
                <w:sz w:val="24"/>
                <w:szCs w:val="24"/>
                <w:highlight w:val="none"/>
              </w:rPr>
            </w:pPr>
          </w:p>
        </w:tc>
        <w:tc>
          <w:tcPr>
            <w:tcW w:w="1356" w:type="dxa"/>
          </w:tcPr>
          <w:p>
            <w:pPr>
              <w:pStyle w:val="15"/>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3" w:type="dxa"/>
          </w:tcPr>
          <w:p>
            <w:pPr>
              <w:pStyle w:val="15"/>
              <w:spacing w:line="480" w:lineRule="auto"/>
              <w:jc w:val="left"/>
              <w:rPr>
                <w:rFonts w:hAnsi="宋体" w:cs="宋体"/>
                <w:color w:val="auto"/>
                <w:sz w:val="24"/>
                <w:szCs w:val="24"/>
                <w:highlight w:val="none"/>
              </w:rPr>
            </w:pPr>
          </w:p>
        </w:tc>
        <w:tc>
          <w:tcPr>
            <w:tcW w:w="1521" w:type="dxa"/>
          </w:tcPr>
          <w:p>
            <w:pPr>
              <w:pStyle w:val="15"/>
              <w:spacing w:line="480" w:lineRule="auto"/>
              <w:jc w:val="left"/>
              <w:rPr>
                <w:rFonts w:hAnsi="宋体" w:cs="宋体"/>
                <w:color w:val="auto"/>
                <w:sz w:val="24"/>
                <w:szCs w:val="24"/>
                <w:highlight w:val="none"/>
              </w:rPr>
            </w:pPr>
          </w:p>
        </w:tc>
        <w:tc>
          <w:tcPr>
            <w:tcW w:w="1600" w:type="dxa"/>
          </w:tcPr>
          <w:p>
            <w:pPr>
              <w:pStyle w:val="15"/>
              <w:spacing w:line="480" w:lineRule="auto"/>
              <w:ind w:firstLine="480" w:firstLineChars="200"/>
              <w:jc w:val="left"/>
              <w:rPr>
                <w:rFonts w:hAnsi="宋体" w:cs="宋体"/>
                <w:color w:val="auto"/>
                <w:sz w:val="24"/>
                <w:szCs w:val="24"/>
                <w:highlight w:val="none"/>
              </w:rPr>
            </w:pPr>
          </w:p>
        </w:tc>
        <w:tc>
          <w:tcPr>
            <w:tcW w:w="1938" w:type="dxa"/>
          </w:tcPr>
          <w:p>
            <w:pPr>
              <w:pStyle w:val="15"/>
              <w:spacing w:line="480" w:lineRule="auto"/>
              <w:ind w:firstLine="480" w:firstLineChars="200"/>
              <w:jc w:val="left"/>
              <w:rPr>
                <w:rFonts w:hAnsi="宋体" w:cs="宋体"/>
                <w:color w:val="auto"/>
                <w:sz w:val="24"/>
                <w:szCs w:val="24"/>
                <w:highlight w:val="none"/>
              </w:rPr>
            </w:pPr>
          </w:p>
        </w:tc>
        <w:tc>
          <w:tcPr>
            <w:tcW w:w="1410" w:type="dxa"/>
          </w:tcPr>
          <w:p>
            <w:pPr>
              <w:pStyle w:val="15"/>
              <w:spacing w:line="480" w:lineRule="auto"/>
              <w:ind w:firstLine="480" w:firstLineChars="200"/>
              <w:jc w:val="left"/>
              <w:rPr>
                <w:rFonts w:hAnsi="宋体" w:cs="宋体"/>
                <w:color w:val="auto"/>
                <w:sz w:val="24"/>
                <w:szCs w:val="24"/>
                <w:highlight w:val="none"/>
              </w:rPr>
            </w:pPr>
          </w:p>
        </w:tc>
        <w:tc>
          <w:tcPr>
            <w:tcW w:w="1356" w:type="dxa"/>
          </w:tcPr>
          <w:p>
            <w:pPr>
              <w:pStyle w:val="15"/>
              <w:spacing w:line="480" w:lineRule="auto"/>
              <w:ind w:firstLine="480" w:firstLineChars="200"/>
              <w:jc w:val="left"/>
              <w:rPr>
                <w:rFonts w:hAnsi="宋体" w:cs="宋体"/>
                <w:color w:val="auto"/>
                <w:sz w:val="24"/>
                <w:szCs w:val="24"/>
                <w:highlight w:val="none"/>
              </w:rPr>
            </w:pPr>
          </w:p>
        </w:tc>
      </w:tr>
    </w:tbl>
    <w:p>
      <w:pPr>
        <w:pStyle w:val="9"/>
        <w:numPr>
          <w:ilvl w:val="0"/>
          <w:numId w:val="24"/>
        </w:num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本表须按“供应商须知前附表”中所列商务条款进行比较和响应；</w:t>
      </w:r>
    </w:p>
    <w:p>
      <w:pPr>
        <w:pStyle w:val="9"/>
        <w:numPr>
          <w:ilvl w:val="0"/>
          <w:numId w:val="24"/>
        </w:num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该表必须按照招标文件要求逐条如实填写，根据情况在“偏离情况”项填写正偏离或负偏离或无偏离，在“说明”项填写正偏离或负偏离原因。</w:t>
      </w:r>
    </w:p>
    <w:p>
      <w:pPr>
        <w:pStyle w:val="9"/>
        <w:numPr>
          <w:ilvl w:val="0"/>
          <w:numId w:val="24"/>
        </w:num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该表可扩展。</w:t>
      </w:r>
    </w:p>
    <w:p>
      <w:pPr>
        <w:pStyle w:val="9"/>
        <w:spacing w:line="360" w:lineRule="auto"/>
        <w:ind w:left="140" w:firstLine="0"/>
        <w:rPr>
          <w:rFonts w:ascii="宋体" w:hAnsi="宋体" w:cs="宋体"/>
          <w:b/>
          <w:bCs/>
          <w:color w:val="auto"/>
          <w:sz w:val="28"/>
          <w:szCs w:val="28"/>
          <w:highlight w:val="none"/>
        </w:rPr>
      </w:pPr>
      <w:r>
        <w:rPr>
          <w:rFonts w:hint="eastAsia" w:ascii="宋体" w:hAnsi="宋体" w:cs="宋体"/>
          <w:b/>
          <w:bCs/>
          <w:color w:val="auto"/>
          <w:sz w:val="24"/>
          <w:szCs w:val="24"/>
          <w:highlight w:val="none"/>
        </w:rPr>
        <w:t>商务条款不允许负偏离；</w:t>
      </w:r>
    </w:p>
    <w:p>
      <w:pPr>
        <w:pStyle w:val="9"/>
        <w:ind w:firstLine="0"/>
        <w:rPr>
          <w:rFonts w:ascii="宋体" w:hAnsi="宋体" w:cs="宋体"/>
          <w:color w:val="auto"/>
          <w:sz w:val="28"/>
          <w:szCs w:val="28"/>
          <w:highlight w:val="none"/>
        </w:rPr>
      </w:pPr>
    </w:p>
    <w:p>
      <w:pPr>
        <w:adjustRightInd w:val="0"/>
        <w:snapToGrid w:val="0"/>
        <w:spacing w:line="48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供应商（单位名称及公章）：</w:t>
      </w:r>
      <w:r>
        <w:rPr>
          <w:rFonts w:hint="eastAsia" w:ascii="宋体" w:hAnsi="宋体" w:cs="宋体"/>
          <w:color w:val="auto"/>
          <w:sz w:val="28"/>
          <w:szCs w:val="28"/>
          <w:highlight w:val="none"/>
        </w:rPr>
        <w:t>______________________</w:t>
      </w:r>
    </w:p>
    <w:p>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法定代表人或被授权人（签字或盖章）：</w:t>
      </w:r>
      <w:r>
        <w:rPr>
          <w:rFonts w:hint="eastAsia" w:ascii="宋体" w:hAnsi="宋体" w:cs="宋体"/>
          <w:color w:val="auto"/>
          <w:sz w:val="28"/>
          <w:szCs w:val="28"/>
          <w:highlight w:val="none"/>
        </w:rPr>
        <w:t>______________________</w:t>
      </w:r>
    </w:p>
    <w:p>
      <w:pPr>
        <w:adjustRightInd w:val="0"/>
        <w:snapToGrid w:val="0"/>
        <w:spacing w:line="480" w:lineRule="auto"/>
        <w:rPr>
          <w:rFonts w:ascii="宋体" w:hAnsi="宋体" w:cs="宋体"/>
          <w:color w:val="auto"/>
          <w:sz w:val="28"/>
          <w:szCs w:val="28"/>
          <w:highlight w:val="none"/>
        </w:rPr>
        <w:sectPr>
          <w:headerReference r:id="rId11" w:type="default"/>
          <w:footerReference r:id="rId12" w:type="default"/>
          <w:pgSz w:w="11906" w:h="16838"/>
          <w:pgMar w:top="1440" w:right="1803" w:bottom="1440" w:left="1803" w:header="851" w:footer="992" w:gutter="0"/>
          <w:cols w:space="720" w:num="1"/>
          <w:docGrid w:type="lines" w:linePitch="319" w:charSpace="0"/>
        </w:sectPr>
      </w:pPr>
      <w:r>
        <w:rPr>
          <w:rFonts w:hint="eastAsia" w:ascii="宋体" w:hAnsi="宋体" w:cs="宋体"/>
          <w:color w:val="auto"/>
          <w:sz w:val="24"/>
          <w:szCs w:val="24"/>
          <w:highlight w:val="none"/>
        </w:rPr>
        <w:t xml:space="preserve">日    期： </w:t>
      </w:r>
      <w:r>
        <w:rPr>
          <w:rFonts w:hint="eastAsia" w:ascii="宋体" w:hAnsi="宋体" w:cs="宋体"/>
          <w:color w:val="auto"/>
          <w:sz w:val="28"/>
          <w:szCs w:val="28"/>
          <w:highlight w:val="none"/>
        </w:rPr>
        <w:t>_____</w:t>
      </w:r>
      <w:r>
        <w:rPr>
          <w:rFonts w:hint="eastAsia" w:ascii="宋体" w:hAnsi="宋体" w:cs="宋体"/>
          <w:color w:val="auto"/>
          <w:sz w:val="24"/>
          <w:szCs w:val="24"/>
          <w:highlight w:val="none"/>
        </w:rPr>
        <w:t>年</w:t>
      </w:r>
      <w:r>
        <w:rPr>
          <w:rFonts w:hint="eastAsia" w:ascii="宋体" w:hAnsi="宋体" w:cs="宋体"/>
          <w:color w:val="auto"/>
          <w:sz w:val="28"/>
          <w:szCs w:val="28"/>
          <w:highlight w:val="none"/>
        </w:rPr>
        <w:t>_____</w:t>
      </w:r>
      <w:r>
        <w:rPr>
          <w:rFonts w:hint="eastAsia" w:ascii="宋体" w:hAnsi="宋体" w:cs="宋体"/>
          <w:color w:val="auto"/>
          <w:sz w:val="24"/>
          <w:szCs w:val="24"/>
          <w:highlight w:val="none"/>
        </w:rPr>
        <w:t xml:space="preserve"> 月</w:t>
      </w:r>
      <w:r>
        <w:rPr>
          <w:rFonts w:hint="eastAsia" w:ascii="宋体" w:hAnsi="宋体" w:cs="宋体"/>
          <w:color w:val="auto"/>
          <w:sz w:val="28"/>
          <w:szCs w:val="28"/>
          <w:highlight w:val="none"/>
        </w:rPr>
        <w:t>_____</w:t>
      </w:r>
    </w:p>
    <w:p>
      <w:pPr>
        <w:jc w:val="center"/>
        <w:rPr>
          <w:rFonts w:ascii="宋体" w:hAnsi="宋体" w:cs="宋体"/>
          <w:b/>
          <w:bCs/>
          <w:color w:val="auto"/>
          <w:sz w:val="28"/>
          <w:szCs w:val="32"/>
          <w:highlight w:val="none"/>
        </w:rPr>
      </w:pPr>
      <w:r>
        <w:rPr>
          <w:rFonts w:hint="eastAsia" w:ascii="宋体" w:hAnsi="宋体" w:cs="宋体"/>
          <w:b/>
          <w:bCs/>
          <w:color w:val="auto"/>
          <w:sz w:val="28"/>
          <w:szCs w:val="32"/>
          <w:highlight w:val="none"/>
        </w:rPr>
        <w:t>技术偏离表</w:t>
      </w:r>
    </w:p>
    <w:p>
      <w:pPr>
        <w:pStyle w:val="9"/>
        <w:ind w:firstLine="0"/>
        <w:rPr>
          <w:rFonts w:ascii="宋体" w:hAnsi="宋体" w:cs="宋体"/>
          <w:color w:val="auto"/>
          <w:highlight w:val="none"/>
        </w:rPr>
      </w:pPr>
    </w:p>
    <w:p>
      <w:pPr>
        <w:rPr>
          <w:rFonts w:ascii="宋体" w:hAnsi="宋体" w:cs="宋体"/>
          <w:color w:val="auto"/>
          <w:sz w:val="24"/>
          <w:szCs w:val="24"/>
          <w:highlight w:val="none"/>
        </w:rPr>
      </w:pPr>
    </w:p>
    <w:tbl>
      <w:tblPr>
        <w:tblStyle w:val="3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vAlign w:val="center"/>
          </w:tcPr>
          <w:p>
            <w:pPr>
              <w:pStyle w:val="15"/>
              <w:spacing w:line="360" w:lineRule="auto"/>
              <w:jc w:val="center"/>
              <w:rPr>
                <w:rFonts w:hAnsi="宋体" w:cs="宋体"/>
                <w:color w:val="auto"/>
                <w:sz w:val="24"/>
                <w:szCs w:val="24"/>
                <w:highlight w:val="none"/>
              </w:rPr>
            </w:pPr>
            <w:r>
              <w:rPr>
                <w:rFonts w:hint="eastAsia" w:hAnsi="宋体" w:cs="宋体"/>
                <w:color w:val="auto"/>
                <w:sz w:val="24"/>
                <w:szCs w:val="24"/>
                <w:highlight w:val="none"/>
              </w:rPr>
              <w:t>序号</w:t>
            </w:r>
          </w:p>
        </w:tc>
        <w:tc>
          <w:tcPr>
            <w:tcW w:w="1521" w:type="dxa"/>
            <w:vAlign w:val="center"/>
          </w:tcPr>
          <w:p>
            <w:pPr>
              <w:pStyle w:val="15"/>
              <w:spacing w:line="360" w:lineRule="auto"/>
              <w:jc w:val="center"/>
              <w:rPr>
                <w:rFonts w:hAnsi="宋体" w:cs="宋体"/>
                <w:color w:val="auto"/>
                <w:sz w:val="24"/>
                <w:szCs w:val="24"/>
                <w:highlight w:val="none"/>
              </w:rPr>
            </w:pPr>
            <w:r>
              <w:rPr>
                <w:rFonts w:hint="eastAsia" w:hAnsi="宋体" w:cs="宋体"/>
                <w:color w:val="auto"/>
                <w:sz w:val="24"/>
                <w:highlight w:val="none"/>
              </w:rPr>
              <w:t>产品名称</w:t>
            </w:r>
          </w:p>
        </w:tc>
        <w:tc>
          <w:tcPr>
            <w:tcW w:w="1600" w:type="dxa"/>
            <w:vAlign w:val="center"/>
          </w:tcPr>
          <w:p>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标书要求</w:t>
            </w:r>
          </w:p>
          <w:p>
            <w:pPr>
              <w:spacing w:line="500" w:lineRule="exact"/>
              <w:jc w:val="center"/>
              <w:rPr>
                <w:rFonts w:ascii="宋体" w:hAnsi="宋体" w:cs="宋体"/>
                <w:color w:val="auto"/>
                <w:sz w:val="24"/>
                <w:szCs w:val="24"/>
                <w:highlight w:val="none"/>
              </w:rPr>
            </w:pPr>
            <w:r>
              <w:rPr>
                <w:rFonts w:hint="eastAsia" w:ascii="宋体" w:hAnsi="宋体" w:cs="宋体"/>
                <w:color w:val="auto"/>
                <w:sz w:val="24"/>
                <w:highlight w:val="none"/>
              </w:rPr>
              <w:t>技术指标</w:t>
            </w:r>
          </w:p>
        </w:tc>
        <w:tc>
          <w:tcPr>
            <w:tcW w:w="1938" w:type="dxa"/>
            <w:vAlign w:val="center"/>
          </w:tcPr>
          <w:p>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投标产品</w:t>
            </w:r>
          </w:p>
          <w:p>
            <w:pPr>
              <w:spacing w:line="500" w:lineRule="exact"/>
              <w:jc w:val="center"/>
              <w:rPr>
                <w:rFonts w:ascii="宋体" w:hAnsi="宋体" w:cs="宋体"/>
                <w:color w:val="auto"/>
                <w:sz w:val="24"/>
                <w:szCs w:val="24"/>
                <w:highlight w:val="none"/>
              </w:rPr>
            </w:pPr>
            <w:r>
              <w:rPr>
                <w:rFonts w:hint="eastAsia" w:ascii="宋体" w:hAnsi="宋体" w:cs="宋体"/>
                <w:color w:val="auto"/>
                <w:sz w:val="24"/>
                <w:highlight w:val="none"/>
              </w:rPr>
              <w:t>技术指标</w:t>
            </w:r>
          </w:p>
        </w:tc>
        <w:tc>
          <w:tcPr>
            <w:tcW w:w="1410" w:type="dxa"/>
            <w:vAlign w:val="center"/>
          </w:tcPr>
          <w:p>
            <w:pPr>
              <w:spacing w:line="500" w:lineRule="exact"/>
              <w:jc w:val="center"/>
              <w:rPr>
                <w:rFonts w:ascii="宋体" w:hAnsi="宋体" w:cs="宋体"/>
                <w:color w:val="auto"/>
                <w:sz w:val="24"/>
                <w:szCs w:val="24"/>
                <w:highlight w:val="none"/>
              </w:rPr>
            </w:pPr>
            <w:r>
              <w:rPr>
                <w:rFonts w:hint="eastAsia" w:ascii="宋体" w:hAnsi="宋体" w:cs="宋体"/>
                <w:color w:val="auto"/>
                <w:sz w:val="24"/>
                <w:highlight w:val="none"/>
              </w:rPr>
              <w:t>偏离情况</w:t>
            </w:r>
          </w:p>
        </w:tc>
        <w:tc>
          <w:tcPr>
            <w:tcW w:w="1356" w:type="dxa"/>
            <w:vAlign w:val="center"/>
          </w:tcPr>
          <w:p>
            <w:pPr>
              <w:pStyle w:val="15"/>
              <w:spacing w:line="360" w:lineRule="auto"/>
              <w:jc w:val="center"/>
              <w:rPr>
                <w:rFonts w:hAnsi="宋体" w:cs="宋体"/>
                <w:color w:val="auto"/>
                <w:sz w:val="24"/>
                <w:szCs w:val="24"/>
                <w:highlight w:val="none"/>
              </w:rPr>
            </w:pPr>
            <w:r>
              <w:rPr>
                <w:rFonts w:hint="eastAsia" w:hAnsi="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color w:val="auto"/>
                <w:sz w:val="24"/>
                <w:szCs w:val="24"/>
                <w:highlight w:val="none"/>
              </w:rPr>
            </w:pPr>
          </w:p>
        </w:tc>
        <w:tc>
          <w:tcPr>
            <w:tcW w:w="1521" w:type="dxa"/>
          </w:tcPr>
          <w:p>
            <w:pPr>
              <w:pStyle w:val="15"/>
              <w:spacing w:line="480" w:lineRule="auto"/>
              <w:ind w:firstLine="480" w:firstLineChars="200"/>
              <w:jc w:val="left"/>
              <w:rPr>
                <w:rFonts w:hAnsi="宋体" w:cs="宋体"/>
                <w:color w:val="auto"/>
                <w:sz w:val="24"/>
                <w:szCs w:val="24"/>
                <w:highlight w:val="none"/>
              </w:rPr>
            </w:pPr>
          </w:p>
        </w:tc>
        <w:tc>
          <w:tcPr>
            <w:tcW w:w="1600" w:type="dxa"/>
            <w:vAlign w:val="center"/>
          </w:tcPr>
          <w:p>
            <w:pPr>
              <w:pStyle w:val="15"/>
              <w:spacing w:line="480" w:lineRule="auto"/>
              <w:ind w:firstLine="480" w:firstLineChars="200"/>
              <w:jc w:val="left"/>
              <w:rPr>
                <w:rFonts w:hAnsi="宋体" w:cs="宋体"/>
                <w:color w:val="auto"/>
                <w:sz w:val="24"/>
                <w:szCs w:val="24"/>
                <w:highlight w:val="none"/>
              </w:rPr>
            </w:pPr>
          </w:p>
        </w:tc>
        <w:tc>
          <w:tcPr>
            <w:tcW w:w="1938" w:type="dxa"/>
            <w:vAlign w:val="center"/>
          </w:tcPr>
          <w:p>
            <w:pPr>
              <w:pStyle w:val="15"/>
              <w:spacing w:line="480" w:lineRule="auto"/>
              <w:ind w:firstLine="480" w:firstLineChars="200"/>
              <w:jc w:val="left"/>
              <w:rPr>
                <w:rFonts w:hAnsi="宋体" w:cs="宋体"/>
                <w:color w:val="auto"/>
                <w:sz w:val="24"/>
                <w:szCs w:val="24"/>
                <w:highlight w:val="none"/>
              </w:rPr>
            </w:pPr>
          </w:p>
        </w:tc>
        <w:tc>
          <w:tcPr>
            <w:tcW w:w="1410" w:type="dxa"/>
            <w:vAlign w:val="center"/>
          </w:tcPr>
          <w:p>
            <w:pPr>
              <w:pStyle w:val="15"/>
              <w:spacing w:line="480" w:lineRule="auto"/>
              <w:ind w:firstLine="480" w:firstLineChars="200"/>
              <w:jc w:val="left"/>
              <w:rPr>
                <w:rFonts w:hAnsi="宋体" w:cs="宋体"/>
                <w:color w:val="auto"/>
                <w:sz w:val="24"/>
                <w:szCs w:val="24"/>
                <w:highlight w:val="none"/>
              </w:rPr>
            </w:pPr>
          </w:p>
        </w:tc>
        <w:tc>
          <w:tcPr>
            <w:tcW w:w="1356" w:type="dxa"/>
            <w:vAlign w:val="center"/>
          </w:tcPr>
          <w:p>
            <w:pPr>
              <w:pStyle w:val="15"/>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color w:val="auto"/>
                <w:sz w:val="24"/>
                <w:szCs w:val="24"/>
                <w:highlight w:val="none"/>
              </w:rPr>
            </w:pPr>
          </w:p>
        </w:tc>
        <w:tc>
          <w:tcPr>
            <w:tcW w:w="1521" w:type="dxa"/>
          </w:tcPr>
          <w:p>
            <w:pPr>
              <w:pStyle w:val="15"/>
              <w:spacing w:line="480" w:lineRule="auto"/>
              <w:ind w:firstLine="480" w:firstLineChars="200"/>
              <w:jc w:val="left"/>
              <w:rPr>
                <w:rFonts w:hAnsi="宋体" w:cs="宋体"/>
                <w:color w:val="auto"/>
                <w:sz w:val="24"/>
                <w:szCs w:val="24"/>
                <w:highlight w:val="none"/>
              </w:rPr>
            </w:pPr>
          </w:p>
        </w:tc>
        <w:tc>
          <w:tcPr>
            <w:tcW w:w="1600" w:type="dxa"/>
          </w:tcPr>
          <w:p>
            <w:pPr>
              <w:pStyle w:val="15"/>
              <w:spacing w:line="480" w:lineRule="auto"/>
              <w:ind w:firstLine="480" w:firstLineChars="200"/>
              <w:jc w:val="left"/>
              <w:rPr>
                <w:rFonts w:hAnsi="宋体" w:cs="宋体"/>
                <w:color w:val="auto"/>
                <w:sz w:val="24"/>
                <w:szCs w:val="24"/>
                <w:highlight w:val="none"/>
              </w:rPr>
            </w:pPr>
          </w:p>
        </w:tc>
        <w:tc>
          <w:tcPr>
            <w:tcW w:w="1938" w:type="dxa"/>
          </w:tcPr>
          <w:p>
            <w:pPr>
              <w:pStyle w:val="15"/>
              <w:spacing w:line="480" w:lineRule="auto"/>
              <w:ind w:firstLine="480" w:firstLineChars="200"/>
              <w:jc w:val="left"/>
              <w:rPr>
                <w:rFonts w:hAnsi="宋体" w:cs="宋体"/>
                <w:color w:val="auto"/>
                <w:sz w:val="24"/>
                <w:szCs w:val="24"/>
                <w:highlight w:val="none"/>
              </w:rPr>
            </w:pPr>
          </w:p>
        </w:tc>
        <w:tc>
          <w:tcPr>
            <w:tcW w:w="1410" w:type="dxa"/>
          </w:tcPr>
          <w:p>
            <w:pPr>
              <w:pStyle w:val="15"/>
              <w:spacing w:line="480" w:lineRule="auto"/>
              <w:ind w:firstLine="480" w:firstLineChars="200"/>
              <w:jc w:val="left"/>
              <w:rPr>
                <w:rFonts w:hAnsi="宋体" w:cs="宋体"/>
                <w:color w:val="auto"/>
                <w:sz w:val="24"/>
                <w:szCs w:val="24"/>
                <w:highlight w:val="none"/>
              </w:rPr>
            </w:pPr>
          </w:p>
        </w:tc>
        <w:tc>
          <w:tcPr>
            <w:tcW w:w="1356" w:type="dxa"/>
          </w:tcPr>
          <w:p>
            <w:pPr>
              <w:pStyle w:val="15"/>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color w:val="auto"/>
                <w:sz w:val="24"/>
                <w:szCs w:val="24"/>
                <w:highlight w:val="none"/>
              </w:rPr>
            </w:pPr>
          </w:p>
        </w:tc>
        <w:tc>
          <w:tcPr>
            <w:tcW w:w="1521" w:type="dxa"/>
          </w:tcPr>
          <w:p>
            <w:pPr>
              <w:pStyle w:val="15"/>
              <w:spacing w:line="480" w:lineRule="auto"/>
              <w:ind w:firstLine="480" w:firstLineChars="200"/>
              <w:jc w:val="left"/>
              <w:rPr>
                <w:rFonts w:hAnsi="宋体" w:cs="宋体"/>
                <w:color w:val="auto"/>
                <w:sz w:val="24"/>
                <w:szCs w:val="24"/>
                <w:highlight w:val="none"/>
              </w:rPr>
            </w:pPr>
          </w:p>
        </w:tc>
        <w:tc>
          <w:tcPr>
            <w:tcW w:w="1600" w:type="dxa"/>
          </w:tcPr>
          <w:p>
            <w:pPr>
              <w:pStyle w:val="15"/>
              <w:spacing w:line="480" w:lineRule="auto"/>
              <w:ind w:firstLine="480" w:firstLineChars="200"/>
              <w:jc w:val="left"/>
              <w:rPr>
                <w:rFonts w:hAnsi="宋体" w:cs="宋体"/>
                <w:color w:val="auto"/>
                <w:sz w:val="24"/>
                <w:szCs w:val="24"/>
                <w:highlight w:val="none"/>
              </w:rPr>
            </w:pPr>
          </w:p>
        </w:tc>
        <w:tc>
          <w:tcPr>
            <w:tcW w:w="1938" w:type="dxa"/>
          </w:tcPr>
          <w:p>
            <w:pPr>
              <w:pStyle w:val="15"/>
              <w:spacing w:line="480" w:lineRule="auto"/>
              <w:ind w:firstLine="480" w:firstLineChars="200"/>
              <w:jc w:val="left"/>
              <w:rPr>
                <w:rFonts w:hAnsi="宋体" w:cs="宋体"/>
                <w:color w:val="auto"/>
                <w:sz w:val="24"/>
                <w:szCs w:val="24"/>
                <w:highlight w:val="none"/>
              </w:rPr>
            </w:pPr>
          </w:p>
        </w:tc>
        <w:tc>
          <w:tcPr>
            <w:tcW w:w="1410" w:type="dxa"/>
          </w:tcPr>
          <w:p>
            <w:pPr>
              <w:pStyle w:val="15"/>
              <w:spacing w:line="480" w:lineRule="auto"/>
              <w:ind w:firstLine="480" w:firstLineChars="200"/>
              <w:jc w:val="left"/>
              <w:rPr>
                <w:rFonts w:hAnsi="宋体" w:cs="宋体"/>
                <w:color w:val="auto"/>
                <w:sz w:val="24"/>
                <w:szCs w:val="24"/>
                <w:highlight w:val="none"/>
              </w:rPr>
            </w:pPr>
          </w:p>
        </w:tc>
        <w:tc>
          <w:tcPr>
            <w:tcW w:w="1356" w:type="dxa"/>
          </w:tcPr>
          <w:p>
            <w:pPr>
              <w:pStyle w:val="15"/>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color w:val="auto"/>
                <w:sz w:val="24"/>
                <w:szCs w:val="24"/>
                <w:highlight w:val="none"/>
              </w:rPr>
            </w:pPr>
          </w:p>
        </w:tc>
        <w:tc>
          <w:tcPr>
            <w:tcW w:w="1521" w:type="dxa"/>
          </w:tcPr>
          <w:p>
            <w:pPr>
              <w:pStyle w:val="15"/>
              <w:spacing w:line="480" w:lineRule="auto"/>
              <w:ind w:firstLine="480" w:firstLineChars="200"/>
              <w:jc w:val="left"/>
              <w:rPr>
                <w:rFonts w:hAnsi="宋体" w:cs="宋体"/>
                <w:color w:val="auto"/>
                <w:sz w:val="24"/>
                <w:szCs w:val="24"/>
                <w:highlight w:val="none"/>
              </w:rPr>
            </w:pPr>
          </w:p>
        </w:tc>
        <w:tc>
          <w:tcPr>
            <w:tcW w:w="1600" w:type="dxa"/>
          </w:tcPr>
          <w:p>
            <w:pPr>
              <w:pStyle w:val="15"/>
              <w:spacing w:line="480" w:lineRule="auto"/>
              <w:ind w:firstLine="480" w:firstLineChars="200"/>
              <w:jc w:val="left"/>
              <w:rPr>
                <w:rFonts w:hAnsi="宋体" w:cs="宋体"/>
                <w:color w:val="auto"/>
                <w:sz w:val="24"/>
                <w:szCs w:val="24"/>
                <w:highlight w:val="none"/>
              </w:rPr>
            </w:pPr>
          </w:p>
        </w:tc>
        <w:tc>
          <w:tcPr>
            <w:tcW w:w="1938" w:type="dxa"/>
          </w:tcPr>
          <w:p>
            <w:pPr>
              <w:pStyle w:val="15"/>
              <w:spacing w:line="480" w:lineRule="auto"/>
              <w:ind w:firstLine="480" w:firstLineChars="200"/>
              <w:jc w:val="left"/>
              <w:rPr>
                <w:rFonts w:hAnsi="宋体" w:cs="宋体"/>
                <w:color w:val="auto"/>
                <w:sz w:val="24"/>
                <w:szCs w:val="24"/>
                <w:highlight w:val="none"/>
              </w:rPr>
            </w:pPr>
          </w:p>
        </w:tc>
        <w:tc>
          <w:tcPr>
            <w:tcW w:w="1410" w:type="dxa"/>
          </w:tcPr>
          <w:p>
            <w:pPr>
              <w:pStyle w:val="15"/>
              <w:spacing w:line="480" w:lineRule="auto"/>
              <w:ind w:firstLine="480" w:firstLineChars="200"/>
              <w:jc w:val="left"/>
              <w:rPr>
                <w:rFonts w:hAnsi="宋体" w:cs="宋体"/>
                <w:color w:val="auto"/>
                <w:sz w:val="24"/>
                <w:szCs w:val="24"/>
                <w:highlight w:val="none"/>
              </w:rPr>
            </w:pPr>
          </w:p>
        </w:tc>
        <w:tc>
          <w:tcPr>
            <w:tcW w:w="1356" w:type="dxa"/>
          </w:tcPr>
          <w:p>
            <w:pPr>
              <w:pStyle w:val="15"/>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color w:val="auto"/>
                <w:sz w:val="24"/>
                <w:szCs w:val="24"/>
                <w:highlight w:val="none"/>
              </w:rPr>
            </w:pPr>
          </w:p>
        </w:tc>
        <w:tc>
          <w:tcPr>
            <w:tcW w:w="1521" w:type="dxa"/>
          </w:tcPr>
          <w:p>
            <w:pPr>
              <w:pStyle w:val="15"/>
              <w:spacing w:line="480" w:lineRule="auto"/>
              <w:ind w:firstLine="480" w:firstLineChars="200"/>
              <w:jc w:val="left"/>
              <w:rPr>
                <w:rFonts w:hAnsi="宋体" w:cs="宋体"/>
                <w:color w:val="auto"/>
                <w:sz w:val="24"/>
                <w:szCs w:val="24"/>
                <w:highlight w:val="none"/>
              </w:rPr>
            </w:pPr>
          </w:p>
        </w:tc>
        <w:tc>
          <w:tcPr>
            <w:tcW w:w="1600" w:type="dxa"/>
          </w:tcPr>
          <w:p>
            <w:pPr>
              <w:pStyle w:val="15"/>
              <w:spacing w:line="480" w:lineRule="auto"/>
              <w:ind w:firstLine="480" w:firstLineChars="200"/>
              <w:jc w:val="left"/>
              <w:rPr>
                <w:rFonts w:hAnsi="宋体" w:cs="宋体"/>
                <w:color w:val="auto"/>
                <w:sz w:val="24"/>
                <w:szCs w:val="24"/>
                <w:highlight w:val="none"/>
              </w:rPr>
            </w:pPr>
          </w:p>
        </w:tc>
        <w:tc>
          <w:tcPr>
            <w:tcW w:w="1938" w:type="dxa"/>
          </w:tcPr>
          <w:p>
            <w:pPr>
              <w:pStyle w:val="15"/>
              <w:spacing w:line="480" w:lineRule="auto"/>
              <w:ind w:firstLine="480" w:firstLineChars="200"/>
              <w:jc w:val="left"/>
              <w:rPr>
                <w:rFonts w:hAnsi="宋体" w:cs="宋体"/>
                <w:color w:val="auto"/>
                <w:sz w:val="24"/>
                <w:szCs w:val="24"/>
                <w:highlight w:val="none"/>
              </w:rPr>
            </w:pPr>
          </w:p>
        </w:tc>
        <w:tc>
          <w:tcPr>
            <w:tcW w:w="1410" w:type="dxa"/>
          </w:tcPr>
          <w:p>
            <w:pPr>
              <w:pStyle w:val="15"/>
              <w:spacing w:line="480" w:lineRule="auto"/>
              <w:ind w:firstLine="480" w:firstLineChars="200"/>
              <w:jc w:val="left"/>
              <w:rPr>
                <w:rFonts w:hAnsi="宋体" w:cs="宋体"/>
                <w:color w:val="auto"/>
                <w:sz w:val="24"/>
                <w:szCs w:val="24"/>
                <w:highlight w:val="none"/>
              </w:rPr>
            </w:pPr>
          </w:p>
        </w:tc>
        <w:tc>
          <w:tcPr>
            <w:tcW w:w="1356" w:type="dxa"/>
          </w:tcPr>
          <w:p>
            <w:pPr>
              <w:pStyle w:val="15"/>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color w:val="auto"/>
                <w:sz w:val="24"/>
                <w:szCs w:val="24"/>
                <w:highlight w:val="none"/>
              </w:rPr>
            </w:pPr>
          </w:p>
        </w:tc>
        <w:tc>
          <w:tcPr>
            <w:tcW w:w="1521" w:type="dxa"/>
          </w:tcPr>
          <w:p>
            <w:pPr>
              <w:pStyle w:val="15"/>
              <w:spacing w:line="480" w:lineRule="auto"/>
              <w:ind w:firstLine="480" w:firstLineChars="200"/>
              <w:jc w:val="left"/>
              <w:rPr>
                <w:rFonts w:hAnsi="宋体" w:cs="宋体"/>
                <w:color w:val="auto"/>
                <w:sz w:val="24"/>
                <w:szCs w:val="24"/>
                <w:highlight w:val="none"/>
              </w:rPr>
            </w:pPr>
          </w:p>
        </w:tc>
        <w:tc>
          <w:tcPr>
            <w:tcW w:w="1600" w:type="dxa"/>
          </w:tcPr>
          <w:p>
            <w:pPr>
              <w:pStyle w:val="15"/>
              <w:spacing w:line="480" w:lineRule="auto"/>
              <w:ind w:firstLine="480" w:firstLineChars="200"/>
              <w:jc w:val="left"/>
              <w:rPr>
                <w:rFonts w:hAnsi="宋体" w:cs="宋体"/>
                <w:color w:val="auto"/>
                <w:sz w:val="24"/>
                <w:szCs w:val="24"/>
                <w:highlight w:val="none"/>
              </w:rPr>
            </w:pPr>
          </w:p>
        </w:tc>
        <w:tc>
          <w:tcPr>
            <w:tcW w:w="1938" w:type="dxa"/>
          </w:tcPr>
          <w:p>
            <w:pPr>
              <w:pStyle w:val="15"/>
              <w:spacing w:line="480" w:lineRule="auto"/>
              <w:ind w:firstLine="480" w:firstLineChars="200"/>
              <w:jc w:val="left"/>
              <w:rPr>
                <w:rFonts w:hAnsi="宋体" w:cs="宋体"/>
                <w:color w:val="auto"/>
                <w:sz w:val="24"/>
                <w:szCs w:val="24"/>
                <w:highlight w:val="none"/>
              </w:rPr>
            </w:pPr>
          </w:p>
        </w:tc>
        <w:tc>
          <w:tcPr>
            <w:tcW w:w="1410" w:type="dxa"/>
          </w:tcPr>
          <w:p>
            <w:pPr>
              <w:pStyle w:val="15"/>
              <w:spacing w:line="480" w:lineRule="auto"/>
              <w:ind w:firstLine="480" w:firstLineChars="200"/>
              <w:jc w:val="left"/>
              <w:rPr>
                <w:rFonts w:hAnsi="宋体" w:cs="宋体"/>
                <w:color w:val="auto"/>
                <w:sz w:val="24"/>
                <w:szCs w:val="24"/>
                <w:highlight w:val="none"/>
              </w:rPr>
            </w:pPr>
          </w:p>
        </w:tc>
        <w:tc>
          <w:tcPr>
            <w:tcW w:w="1356" w:type="dxa"/>
          </w:tcPr>
          <w:p>
            <w:pPr>
              <w:pStyle w:val="15"/>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5"/>
              <w:spacing w:line="480" w:lineRule="auto"/>
              <w:ind w:firstLine="480" w:firstLineChars="200"/>
              <w:jc w:val="left"/>
              <w:rPr>
                <w:rFonts w:hAnsi="宋体" w:cs="宋体"/>
                <w:color w:val="auto"/>
                <w:sz w:val="24"/>
                <w:szCs w:val="24"/>
                <w:highlight w:val="none"/>
              </w:rPr>
            </w:pPr>
          </w:p>
        </w:tc>
        <w:tc>
          <w:tcPr>
            <w:tcW w:w="1521" w:type="dxa"/>
          </w:tcPr>
          <w:p>
            <w:pPr>
              <w:pStyle w:val="15"/>
              <w:spacing w:line="480" w:lineRule="auto"/>
              <w:ind w:firstLine="480" w:firstLineChars="200"/>
              <w:jc w:val="left"/>
              <w:rPr>
                <w:rFonts w:hAnsi="宋体" w:cs="宋体"/>
                <w:color w:val="auto"/>
                <w:sz w:val="24"/>
                <w:szCs w:val="24"/>
                <w:highlight w:val="none"/>
              </w:rPr>
            </w:pPr>
          </w:p>
        </w:tc>
        <w:tc>
          <w:tcPr>
            <w:tcW w:w="1600" w:type="dxa"/>
          </w:tcPr>
          <w:p>
            <w:pPr>
              <w:pStyle w:val="15"/>
              <w:spacing w:line="480" w:lineRule="auto"/>
              <w:ind w:firstLine="480" w:firstLineChars="200"/>
              <w:jc w:val="left"/>
              <w:rPr>
                <w:rFonts w:hAnsi="宋体" w:cs="宋体"/>
                <w:color w:val="auto"/>
                <w:sz w:val="24"/>
                <w:szCs w:val="24"/>
                <w:highlight w:val="none"/>
              </w:rPr>
            </w:pPr>
          </w:p>
        </w:tc>
        <w:tc>
          <w:tcPr>
            <w:tcW w:w="1938" w:type="dxa"/>
          </w:tcPr>
          <w:p>
            <w:pPr>
              <w:pStyle w:val="15"/>
              <w:spacing w:line="480" w:lineRule="auto"/>
              <w:ind w:firstLine="480" w:firstLineChars="200"/>
              <w:jc w:val="left"/>
              <w:rPr>
                <w:rFonts w:hAnsi="宋体" w:cs="宋体"/>
                <w:color w:val="auto"/>
                <w:sz w:val="24"/>
                <w:szCs w:val="24"/>
                <w:highlight w:val="none"/>
              </w:rPr>
            </w:pPr>
          </w:p>
        </w:tc>
        <w:tc>
          <w:tcPr>
            <w:tcW w:w="1410" w:type="dxa"/>
          </w:tcPr>
          <w:p>
            <w:pPr>
              <w:pStyle w:val="15"/>
              <w:spacing w:line="480" w:lineRule="auto"/>
              <w:ind w:firstLine="480" w:firstLineChars="200"/>
              <w:jc w:val="left"/>
              <w:rPr>
                <w:rFonts w:hAnsi="宋体" w:cs="宋体"/>
                <w:color w:val="auto"/>
                <w:sz w:val="24"/>
                <w:szCs w:val="24"/>
                <w:highlight w:val="none"/>
              </w:rPr>
            </w:pPr>
          </w:p>
        </w:tc>
        <w:tc>
          <w:tcPr>
            <w:tcW w:w="1356" w:type="dxa"/>
          </w:tcPr>
          <w:p>
            <w:pPr>
              <w:pStyle w:val="15"/>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3" w:type="dxa"/>
          </w:tcPr>
          <w:p>
            <w:pPr>
              <w:pStyle w:val="15"/>
              <w:spacing w:line="480" w:lineRule="auto"/>
              <w:jc w:val="left"/>
              <w:rPr>
                <w:rFonts w:hAnsi="宋体" w:cs="宋体"/>
                <w:color w:val="auto"/>
                <w:sz w:val="24"/>
                <w:szCs w:val="24"/>
                <w:highlight w:val="none"/>
              </w:rPr>
            </w:pPr>
          </w:p>
        </w:tc>
        <w:tc>
          <w:tcPr>
            <w:tcW w:w="1521" w:type="dxa"/>
          </w:tcPr>
          <w:p>
            <w:pPr>
              <w:pStyle w:val="15"/>
              <w:spacing w:line="480" w:lineRule="auto"/>
              <w:jc w:val="left"/>
              <w:rPr>
                <w:rFonts w:hAnsi="宋体" w:cs="宋体"/>
                <w:color w:val="auto"/>
                <w:sz w:val="24"/>
                <w:szCs w:val="24"/>
                <w:highlight w:val="none"/>
              </w:rPr>
            </w:pPr>
          </w:p>
        </w:tc>
        <w:tc>
          <w:tcPr>
            <w:tcW w:w="1600" w:type="dxa"/>
          </w:tcPr>
          <w:p>
            <w:pPr>
              <w:pStyle w:val="15"/>
              <w:spacing w:line="480" w:lineRule="auto"/>
              <w:ind w:firstLine="480" w:firstLineChars="200"/>
              <w:jc w:val="left"/>
              <w:rPr>
                <w:rFonts w:hAnsi="宋体" w:cs="宋体"/>
                <w:color w:val="auto"/>
                <w:sz w:val="24"/>
                <w:szCs w:val="24"/>
                <w:highlight w:val="none"/>
              </w:rPr>
            </w:pPr>
          </w:p>
        </w:tc>
        <w:tc>
          <w:tcPr>
            <w:tcW w:w="1938" w:type="dxa"/>
          </w:tcPr>
          <w:p>
            <w:pPr>
              <w:pStyle w:val="15"/>
              <w:spacing w:line="480" w:lineRule="auto"/>
              <w:ind w:firstLine="480" w:firstLineChars="200"/>
              <w:jc w:val="left"/>
              <w:rPr>
                <w:rFonts w:hAnsi="宋体" w:cs="宋体"/>
                <w:color w:val="auto"/>
                <w:sz w:val="24"/>
                <w:szCs w:val="24"/>
                <w:highlight w:val="none"/>
              </w:rPr>
            </w:pPr>
          </w:p>
        </w:tc>
        <w:tc>
          <w:tcPr>
            <w:tcW w:w="1410" w:type="dxa"/>
          </w:tcPr>
          <w:p>
            <w:pPr>
              <w:pStyle w:val="15"/>
              <w:spacing w:line="480" w:lineRule="auto"/>
              <w:ind w:firstLine="480" w:firstLineChars="200"/>
              <w:jc w:val="left"/>
              <w:rPr>
                <w:rFonts w:hAnsi="宋体" w:cs="宋体"/>
                <w:color w:val="auto"/>
                <w:sz w:val="24"/>
                <w:szCs w:val="24"/>
                <w:highlight w:val="none"/>
              </w:rPr>
            </w:pPr>
          </w:p>
        </w:tc>
        <w:tc>
          <w:tcPr>
            <w:tcW w:w="1356" w:type="dxa"/>
          </w:tcPr>
          <w:p>
            <w:pPr>
              <w:pStyle w:val="15"/>
              <w:spacing w:line="480" w:lineRule="auto"/>
              <w:ind w:firstLine="480" w:firstLineChars="200"/>
              <w:jc w:val="left"/>
              <w:rPr>
                <w:rFonts w:hAnsi="宋体" w:cs="宋体"/>
                <w:color w:val="auto"/>
                <w:sz w:val="24"/>
                <w:szCs w:val="24"/>
                <w:highlight w:val="none"/>
              </w:rPr>
            </w:pPr>
          </w:p>
        </w:tc>
      </w:tr>
    </w:tbl>
    <w:p>
      <w:pPr>
        <w:pStyle w:val="9"/>
        <w:spacing w:line="360" w:lineRule="auto"/>
        <w:ind w:left="140" w:firstLine="0"/>
        <w:rPr>
          <w:rFonts w:ascii="宋体" w:hAnsi="宋体" w:cs="宋体"/>
          <w:b/>
          <w:bCs/>
          <w:color w:val="auto"/>
          <w:sz w:val="24"/>
          <w:szCs w:val="24"/>
          <w:highlight w:val="none"/>
        </w:rPr>
      </w:pPr>
      <w:r>
        <w:rPr>
          <w:rFonts w:hint="eastAsia" w:ascii="宋体" w:hAnsi="宋体" w:cs="宋体"/>
          <w:b/>
          <w:bCs/>
          <w:color w:val="auto"/>
          <w:sz w:val="24"/>
          <w:szCs w:val="24"/>
          <w:highlight w:val="none"/>
        </w:rPr>
        <w:t>1、本表须按“第五部分采购要求”中所列技术要求进行比较和响应；</w:t>
      </w:r>
    </w:p>
    <w:p>
      <w:pPr>
        <w:pStyle w:val="9"/>
        <w:spacing w:line="360" w:lineRule="auto"/>
        <w:ind w:left="140" w:firstLine="0"/>
        <w:rPr>
          <w:rFonts w:ascii="宋体" w:hAnsi="宋体" w:cs="宋体"/>
          <w:color w:val="auto"/>
          <w:sz w:val="24"/>
          <w:szCs w:val="24"/>
          <w:highlight w:val="none"/>
        </w:rPr>
      </w:pPr>
      <w:r>
        <w:rPr>
          <w:rFonts w:hint="eastAsia" w:ascii="宋体" w:hAnsi="宋体" w:cs="宋体"/>
          <w:b/>
          <w:bCs/>
          <w:color w:val="auto"/>
          <w:sz w:val="24"/>
          <w:szCs w:val="24"/>
          <w:highlight w:val="none"/>
        </w:rPr>
        <w:t>2、该表必须按照招标文件要求逐条如实填写，根据情况在“偏离情况”项填写正偏离或负偏离或无偏离，在“说明”项填写正偏离或负偏离原因。</w:t>
      </w:r>
    </w:p>
    <w:p>
      <w:pPr>
        <w:pStyle w:val="9"/>
        <w:spacing w:line="360" w:lineRule="auto"/>
        <w:ind w:left="140" w:firstLine="0"/>
        <w:rPr>
          <w:rFonts w:ascii="宋体" w:hAnsi="宋体" w:cs="宋体"/>
          <w:color w:val="auto"/>
          <w:sz w:val="24"/>
          <w:szCs w:val="24"/>
          <w:highlight w:val="none"/>
        </w:rPr>
      </w:pPr>
      <w:r>
        <w:rPr>
          <w:rFonts w:hint="eastAsia" w:ascii="宋体" w:hAnsi="宋体" w:cs="宋体"/>
          <w:b/>
          <w:bCs/>
          <w:color w:val="auto"/>
          <w:sz w:val="24"/>
          <w:szCs w:val="24"/>
          <w:highlight w:val="none"/>
        </w:rPr>
        <w:t>3、该表可扩展。</w:t>
      </w:r>
    </w:p>
    <w:p>
      <w:pPr>
        <w:pStyle w:val="9"/>
        <w:ind w:firstLine="0"/>
        <w:rPr>
          <w:rFonts w:ascii="宋体" w:hAnsi="宋体" w:cs="宋体"/>
          <w:color w:val="auto"/>
          <w:sz w:val="28"/>
          <w:szCs w:val="28"/>
          <w:highlight w:val="none"/>
        </w:rPr>
      </w:pPr>
    </w:p>
    <w:p>
      <w:pPr>
        <w:adjustRightInd w:val="0"/>
        <w:snapToGrid w:val="0"/>
        <w:spacing w:line="48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供应商（单位名称及公章）：</w:t>
      </w:r>
      <w:r>
        <w:rPr>
          <w:rFonts w:hint="eastAsia" w:ascii="宋体" w:hAnsi="宋体" w:cs="宋体"/>
          <w:color w:val="auto"/>
          <w:sz w:val="28"/>
          <w:szCs w:val="28"/>
          <w:highlight w:val="none"/>
        </w:rPr>
        <w:t>______________________</w:t>
      </w:r>
    </w:p>
    <w:p>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法定代表人或被授权人（签字或盖章）：</w:t>
      </w:r>
      <w:r>
        <w:rPr>
          <w:rFonts w:hint="eastAsia" w:ascii="宋体" w:hAnsi="宋体" w:cs="宋体"/>
          <w:color w:val="auto"/>
          <w:sz w:val="28"/>
          <w:szCs w:val="28"/>
          <w:highlight w:val="none"/>
        </w:rPr>
        <w:t>______________________</w:t>
      </w:r>
    </w:p>
    <w:p>
      <w:pPr>
        <w:adjustRightInd w:val="0"/>
        <w:snapToGrid w:val="0"/>
        <w:spacing w:line="480" w:lineRule="auto"/>
        <w:rPr>
          <w:rFonts w:ascii="宋体" w:hAnsi="宋体" w:cs="宋体"/>
          <w:color w:val="auto"/>
          <w:sz w:val="28"/>
          <w:szCs w:val="28"/>
          <w:highlight w:val="none"/>
        </w:rPr>
        <w:sectPr>
          <w:pgSz w:w="11906" w:h="16838"/>
          <w:pgMar w:top="1440" w:right="1803" w:bottom="1440" w:left="1803" w:header="851" w:footer="992" w:gutter="0"/>
          <w:cols w:space="720" w:num="1"/>
          <w:docGrid w:type="lines" w:linePitch="319" w:charSpace="0"/>
        </w:sectPr>
      </w:pPr>
      <w:r>
        <w:rPr>
          <w:rFonts w:hint="eastAsia" w:ascii="宋体" w:hAnsi="宋体" w:cs="宋体"/>
          <w:color w:val="auto"/>
          <w:sz w:val="24"/>
          <w:szCs w:val="24"/>
          <w:highlight w:val="none"/>
        </w:rPr>
        <w:t xml:space="preserve">日    期： </w:t>
      </w:r>
      <w:r>
        <w:rPr>
          <w:rFonts w:hint="eastAsia" w:ascii="宋体" w:hAnsi="宋体" w:cs="宋体"/>
          <w:color w:val="auto"/>
          <w:sz w:val="28"/>
          <w:szCs w:val="28"/>
          <w:highlight w:val="none"/>
        </w:rPr>
        <w:t>_____</w:t>
      </w:r>
      <w:r>
        <w:rPr>
          <w:rFonts w:hint="eastAsia" w:ascii="宋体" w:hAnsi="宋体" w:cs="宋体"/>
          <w:color w:val="auto"/>
          <w:sz w:val="24"/>
          <w:szCs w:val="24"/>
          <w:highlight w:val="none"/>
        </w:rPr>
        <w:t>年</w:t>
      </w:r>
      <w:r>
        <w:rPr>
          <w:rFonts w:hint="eastAsia" w:ascii="宋体" w:hAnsi="宋体" w:cs="宋体"/>
          <w:color w:val="auto"/>
          <w:sz w:val="28"/>
          <w:szCs w:val="28"/>
          <w:highlight w:val="none"/>
        </w:rPr>
        <w:t>_____</w:t>
      </w:r>
      <w:r>
        <w:rPr>
          <w:rFonts w:hint="eastAsia" w:ascii="宋体" w:hAnsi="宋体" w:cs="宋体"/>
          <w:color w:val="auto"/>
          <w:sz w:val="24"/>
          <w:szCs w:val="24"/>
          <w:highlight w:val="none"/>
        </w:rPr>
        <w:t xml:space="preserve"> 月</w:t>
      </w:r>
      <w:r>
        <w:rPr>
          <w:rFonts w:hint="eastAsia" w:ascii="宋体" w:hAnsi="宋体" w:cs="宋体"/>
          <w:color w:val="auto"/>
          <w:sz w:val="28"/>
          <w:szCs w:val="28"/>
          <w:highlight w:val="none"/>
        </w:rPr>
        <w:t>_____</w:t>
      </w:r>
    </w:p>
    <w:bookmarkEnd w:id="79"/>
    <w:bookmarkEnd w:id="80"/>
    <w:p>
      <w:pPr>
        <w:rPr>
          <w:rFonts w:ascii="宋体" w:hAnsi="宋体" w:cs="宋体"/>
          <w:color w:val="auto"/>
          <w:highlight w:val="none"/>
        </w:rPr>
      </w:pPr>
      <w:bookmarkStart w:id="82" w:name="OLE_LINK1"/>
      <w:bookmarkStart w:id="83" w:name="_Toc31390"/>
    </w:p>
    <w:bookmarkEnd w:id="82"/>
    <w:p>
      <w:pPr>
        <w:pStyle w:val="4"/>
        <w:jc w:val="center"/>
        <w:rPr>
          <w:rFonts w:ascii="宋体" w:hAnsi="宋体" w:cs="宋体"/>
          <w:color w:val="auto"/>
          <w:sz w:val="36"/>
          <w:szCs w:val="36"/>
          <w:highlight w:val="none"/>
        </w:rPr>
      </w:pPr>
      <w:bookmarkStart w:id="84" w:name="_Toc8621"/>
      <w:bookmarkStart w:id="85" w:name="_Toc6356"/>
      <w:bookmarkStart w:id="86" w:name="_Toc19443"/>
      <w:r>
        <w:rPr>
          <w:rFonts w:hint="eastAsia" w:ascii="宋体" w:hAnsi="宋体" w:cs="宋体"/>
          <w:color w:val="auto"/>
          <w:sz w:val="36"/>
          <w:szCs w:val="36"/>
          <w:highlight w:val="none"/>
        </w:rPr>
        <w:t>第四部分  供应商资格要求</w:t>
      </w:r>
      <w:bookmarkEnd w:id="84"/>
      <w:bookmarkEnd w:id="85"/>
      <w:bookmarkEnd w:id="86"/>
    </w:p>
    <w:p>
      <w:pPr>
        <w:rPr>
          <w:rFonts w:ascii="宋体" w:hAnsi="宋体" w:cs="宋体"/>
          <w:color w:val="auto"/>
          <w:highlight w:val="none"/>
        </w:rPr>
      </w:pPr>
    </w:p>
    <w:p>
      <w:pPr>
        <w:snapToGrid w:val="0"/>
        <w:spacing w:line="360" w:lineRule="auto"/>
        <w:ind w:right="-199" w:rightChars="-9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供应商根据招标文件公告资质要求内容附资质证明文件。</w:t>
      </w:r>
    </w:p>
    <w:p>
      <w:pPr>
        <w:pStyle w:val="2"/>
        <w:rPr>
          <w:rFonts w:ascii="宋体" w:hAnsi="宋体" w:cs="宋体"/>
          <w:color w:val="auto"/>
          <w:highlight w:val="none"/>
        </w:rPr>
        <w:sectPr>
          <w:headerReference r:id="rId13" w:type="default"/>
          <w:pgSz w:w="11906" w:h="16838"/>
          <w:pgMar w:top="1440" w:right="1803" w:bottom="1440" w:left="1803" w:header="851" w:footer="992" w:gutter="0"/>
          <w:cols w:space="720" w:num="1"/>
          <w:docGrid w:type="lines" w:linePitch="319" w:charSpace="0"/>
        </w:sectPr>
      </w:pPr>
      <w:r>
        <w:rPr>
          <w:rFonts w:hint="eastAsia" w:ascii="宋体" w:hAnsi="宋体" w:cs="宋体"/>
          <w:color w:val="auto"/>
          <w:highlight w:val="none"/>
        </w:rPr>
        <w:t xml:space="preserve">                       </w:t>
      </w:r>
    </w:p>
    <w:p>
      <w:pPr>
        <w:rPr>
          <w:rFonts w:ascii="宋体" w:hAnsi="宋体" w:cs="宋体"/>
          <w:color w:val="auto"/>
          <w:sz w:val="24"/>
          <w:szCs w:val="24"/>
          <w:highlight w:val="none"/>
        </w:rPr>
      </w:pPr>
      <w:r>
        <w:rPr>
          <w:rFonts w:hint="eastAsia" w:ascii="宋体" w:hAnsi="宋体" w:cs="宋体"/>
          <w:color w:val="auto"/>
          <w:sz w:val="24"/>
          <w:szCs w:val="24"/>
          <w:highlight w:val="none"/>
        </w:rPr>
        <w:t>（一）基本资格条件</w:t>
      </w:r>
    </w:p>
    <w:p>
      <w:pPr>
        <w:rPr>
          <w:rFonts w:ascii="宋体" w:hAnsi="宋体" w:cs="宋体"/>
          <w:color w:val="auto"/>
          <w:sz w:val="24"/>
          <w:szCs w:val="24"/>
          <w:highlight w:val="none"/>
        </w:rPr>
      </w:pPr>
    </w:p>
    <w:p>
      <w:pPr>
        <w:pStyle w:val="2"/>
        <w:rPr>
          <w:rFonts w:ascii="宋体" w:hAnsi="宋体" w:cs="宋体"/>
          <w:color w:val="auto"/>
          <w:sz w:val="32"/>
          <w:szCs w:val="32"/>
          <w:highlight w:val="none"/>
        </w:rPr>
      </w:pPr>
      <w:r>
        <w:rPr>
          <w:rFonts w:hint="eastAsia" w:ascii="宋体" w:hAnsi="宋体" w:cs="宋体"/>
          <w:color w:val="auto"/>
          <w:sz w:val="32"/>
          <w:szCs w:val="32"/>
          <w:highlight w:val="none"/>
        </w:rPr>
        <w:t>满足《中华人民共和国政府采购法》第二十二条规定的</w:t>
      </w:r>
    </w:p>
    <w:p>
      <w:pPr>
        <w:pStyle w:val="2"/>
        <w:jc w:val="center"/>
        <w:rPr>
          <w:rFonts w:ascii="宋体" w:hAnsi="宋体" w:cs="宋体"/>
          <w:color w:val="auto"/>
          <w:sz w:val="32"/>
          <w:szCs w:val="32"/>
          <w:highlight w:val="none"/>
        </w:rPr>
      </w:pPr>
      <w:r>
        <w:rPr>
          <w:rFonts w:hint="eastAsia" w:ascii="宋体" w:hAnsi="宋体" w:cs="宋体"/>
          <w:color w:val="auto"/>
          <w:sz w:val="32"/>
          <w:szCs w:val="32"/>
          <w:highlight w:val="none"/>
        </w:rPr>
        <w:t>资格承诺（格式）</w:t>
      </w:r>
    </w:p>
    <w:p>
      <w:pPr>
        <w:widowControl/>
        <w:snapToGrid w:val="0"/>
        <w:spacing w:line="48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(采购人名称）_______________________：</w:t>
      </w:r>
    </w:p>
    <w:p>
      <w:pPr>
        <w:widowControl/>
        <w:snapToGrid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我单位参与陕西卓佲项目管理有限公司组织________________________(项目名称)公开招标，我公司符合《中华人民共和国政府采购法》规定的供应商资格条件：</w:t>
      </w:r>
    </w:p>
    <w:p>
      <w:pPr>
        <w:numPr>
          <w:ilvl w:val="0"/>
          <w:numId w:val="25"/>
        </w:numPr>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具有独立承担民事责任的能力；</w:t>
      </w:r>
    </w:p>
    <w:p>
      <w:pPr>
        <w:numPr>
          <w:ilvl w:val="0"/>
          <w:numId w:val="25"/>
        </w:numPr>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具有良好的商业信誉和健全的财务会计制度；</w:t>
      </w:r>
    </w:p>
    <w:p>
      <w:pPr>
        <w:numPr>
          <w:ilvl w:val="0"/>
          <w:numId w:val="25"/>
        </w:numPr>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具有履行合同所必需的设备和专业技术能力；</w:t>
      </w:r>
    </w:p>
    <w:p>
      <w:pPr>
        <w:numPr>
          <w:ilvl w:val="0"/>
          <w:numId w:val="25"/>
        </w:numPr>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具有依法缴纳税收和社会保障资金的良好记录；</w:t>
      </w:r>
    </w:p>
    <w:p>
      <w:pPr>
        <w:numPr>
          <w:ilvl w:val="0"/>
          <w:numId w:val="25"/>
        </w:numPr>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参加此项采购活动前三年内，在经营活动中没有重大违法记录；</w:t>
      </w:r>
    </w:p>
    <w:p>
      <w:pPr>
        <w:numPr>
          <w:ilvl w:val="0"/>
          <w:numId w:val="25"/>
        </w:numPr>
        <w:spacing w:line="5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法律、行政法规规定的其他条件。</w:t>
      </w:r>
    </w:p>
    <w:p>
      <w:pPr>
        <w:pStyle w:val="2"/>
        <w:rPr>
          <w:rFonts w:ascii="宋体" w:hAnsi="宋体" w:cs="宋体"/>
          <w:color w:val="auto"/>
          <w:highlight w:val="none"/>
        </w:rPr>
      </w:pPr>
    </w:p>
    <w:p>
      <w:pPr>
        <w:widowControl/>
        <w:snapToGrid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我方对此声明负全部法律责任。</w:t>
      </w:r>
    </w:p>
    <w:p>
      <w:pPr>
        <w:pStyle w:val="15"/>
        <w:spacing w:line="500" w:lineRule="exact"/>
        <w:jc w:val="left"/>
        <w:rPr>
          <w:rFonts w:hAnsi="宋体" w:cs="宋体"/>
          <w:color w:val="auto"/>
          <w:sz w:val="24"/>
          <w:szCs w:val="24"/>
          <w:highlight w:val="none"/>
        </w:rPr>
      </w:pPr>
    </w:p>
    <w:p>
      <w:pPr>
        <w:pStyle w:val="15"/>
        <w:spacing w:line="480" w:lineRule="auto"/>
        <w:jc w:val="left"/>
        <w:rPr>
          <w:rFonts w:hAnsi="宋体" w:cs="宋体"/>
          <w:color w:val="auto"/>
          <w:sz w:val="24"/>
          <w:highlight w:val="none"/>
        </w:rPr>
      </w:pPr>
    </w:p>
    <w:p>
      <w:pPr>
        <w:pStyle w:val="15"/>
        <w:spacing w:line="480" w:lineRule="auto"/>
        <w:jc w:val="left"/>
        <w:rPr>
          <w:rFonts w:hAnsi="宋体" w:cs="宋体"/>
          <w:color w:val="auto"/>
          <w:sz w:val="24"/>
          <w:highlight w:val="none"/>
        </w:rPr>
      </w:pPr>
      <w:r>
        <w:rPr>
          <w:rFonts w:hint="eastAsia" w:hAnsi="宋体" w:cs="宋体"/>
          <w:color w:val="auto"/>
          <w:sz w:val="24"/>
          <w:highlight w:val="none"/>
        </w:rPr>
        <w:t>供应商（单位名称及公章）：</w:t>
      </w:r>
      <w:r>
        <w:rPr>
          <w:rFonts w:hint="eastAsia" w:hAnsi="宋体" w:cs="宋体"/>
          <w:color w:val="auto"/>
          <w:sz w:val="28"/>
          <w:szCs w:val="28"/>
          <w:highlight w:val="none"/>
        </w:rPr>
        <w:t>______________________</w:t>
      </w:r>
    </w:p>
    <w:p>
      <w:pPr>
        <w:pStyle w:val="15"/>
        <w:spacing w:line="480" w:lineRule="auto"/>
        <w:jc w:val="left"/>
        <w:rPr>
          <w:rFonts w:hAnsi="宋体" w:cs="宋体"/>
          <w:color w:val="auto"/>
          <w:sz w:val="24"/>
          <w:highlight w:val="none"/>
        </w:rPr>
      </w:pPr>
      <w:r>
        <w:rPr>
          <w:rFonts w:hint="eastAsia" w:hAnsi="宋体" w:cs="宋体"/>
          <w:color w:val="auto"/>
          <w:sz w:val="24"/>
          <w:highlight w:val="none"/>
        </w:rPr>
        <w:t>法定代表人或被授权人（签字或盖章）：</w:t>
      </w:r>
      <w:r>
        <w:rPr>
          <w:rFonts w:hint="eastAsia" w:hAnsi="宋体" w:cs="宋体"/>
          <w:color w:val="auto"/>
          <w:sz w:val="28"/>
          <w:szCs w:val="28"/>
          <w:highlight w:val="none"/>
        </w:rPr>
        <w:t>______________________</w:t>
      </w:r>
    </w:p>
    <w:p>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kern w:val="0"/>
          <w:sz w:val="24"/>
          <w:highlight w:val="none"/>
        </w:rPr>
        <w:t>日    期：</w:t>
      </w:r>
      <w:r>
        <w:rPr>
          <w:rFonts w:hint="eastAsia" w:ascii="宋体" w:hAnsi="宋体" w:cs="宋体"/>
          <w:color w:val="auto"/>
          <w:sz w:val="28"/>
          <w:szCs w:val="28"/>
          <w:highlight w:val="none"/>
        </w:rPr>
        <w:t>______________________</w:t>
      </w:r>
    </w:p>
    <w:p>
      <w:pPr>
        <w:spacing w:line="360" w:lineRule="auto"/>
        <w:rPr>
          <w:rFonts w:ascii="宋体" w:hAnsi="宋体" w:cs="宋体"/>
          <w:color w:val="auto"/>
          <w:sz w:val="24"/>
          <w:szCs w:val="24"/>
          <w:highlight w:val="none"/>
          <w:u w:val="single"/>
        </w:rPr>
      </w:pPr>
    </w:p>
    <w:p>
      <w:pPr>
        <w:spacing w:line="360" w:lineRule="auto"/>
        <w:rPr>
          <w:rFonts w:ascii="宋体" w:hAnsi="宋体" w:cs="宋体"/>
          <w:color w:val="auto"/>
          <w:sz w:val="24"/>
          <w:szCs w:val="24"/>
          <w:highlight w:val="none"/>
          <w:u w:val="single"/>
        </w:rPr>
      </w:pPr>
    </w:p>
    <w:p>
      <w:pPr>
        <w:spacing w:line="360" w:lineRule="auto"/>
        <w:rPr>
          <w:rFonts w:ascii="宋体" w:hAnsi="宋体" w:cs="宋体"/>
          <w:color w:val="auto"/>
          <w:sz w:val="24"/>
          <w:szCs w:val="24"/>
          <w:highlight w:val="none"/>
          <w:u w:val="single"/>
        </w:rPr>
      </w:pPr>
    </w:p>
    <w:p>
      <w:pPr>
        <w:spacing w:line="360" w:lineRule="auto"/>
        <w:rPr>
          <w:rFonts w:ascii="宋体" w:hAnsi="宋体" w:cs="宋体"/>
          <w:color w:val="auto"/>
          <w:sz w:val="24"/>
          <w:szCs w:val="24"/>
          <w:highlight w:val="none"/>
          <w:u w:val="single"/>
        </w:rPr>
      </w:pPr>
    </w:p>
    <w:p>
      <w:pPr>
        <w:spacing w:line="360" w:lineRule="auto"/>
        <w:rPr>
          <w:rFonts w:ascii="宋体" w:hAnsi="宋体" w:cs="宋体"/>
          <w:color w:val="auto"/>
          <w:sz w:val="24"/>
          <w:szCs w:val="24"/>
          <w:highlight w:val="none"/>
          <w:u w:val="single"/>
        </w:rPr>
      </w:pPr>
    </w:p>
    <w:p>
      <w:pPr>
        <w:spacing w:line="360" w:lineRule="auto"/>
        <w:rPr>
          <w:rFonts w:ascii="宋体" w:hAnsi="宋体" w:cs="宋体"/>
          <w:color w:val="auto"/>
          <w:sz w:val="28"/>
          <w:szCs w:val="32"/>
          <w:highlight w:val="none"/>
        </w:rPr>
      </w:pPr>
      <w:r>
        <w:rPr>
          <w:rFonts w:hint="eastAsia" w:ascii="宋体" w:hAnsi="宋体" w:cs="宋体"/>
          <w:color w:val="auto"/>
          <w:sz w:val="28"/>
          <w:szCs w:val="32"/>
          <w:highlight w:val="none"/>
        </w:rPr>
        <w:t>（二）特定资格条件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2、财务状况证明：</w:t>
      </w:r>
      <w:r>
        <w:rPr>
          <w:rFonts w:hint="eastAsia" w:ascii="宋体" w:hAnsi="宋体" w:cs="宋体"/>
          <w:color w:val="auto"/>
          <w:sz w:val="24"/>
          <w:highlight w:val="none"/>
        </w:rPr>
        <w:t>供应商提供2020年度或2021年度经审计完整的财务审计报告（成立时间至提交投标文件截止时间不足一年的可提供成立后任意时段的资产负债表），或其开标前三个月内银行出具的资信证明，或财政部门认可的政府采购专业担保机构出具的投标担保函</w:t>
      </w:r>
      <w:r>
        <w:rPr>
          <w:rFonts w:hint="eastAsia" w:ascii="宋体" w:hAnsi="宋体" w:cs="宋体"/>
          <w:color w:val="auto"/>
          <w:sz w:val="24"/>
          <w:szCs w:val="24"/>
          <w:highlight w:val="none"/>
        </w:rPr>
        <w:t>；</w:t>
      </w:r>
    </w:p>
    <w:p>
      <w:pPr>
        <w:keepNext/>
        <w:keepLines/>
        <w:spacing w:line="413" w:lineRule="auto"/>
        <w:jc w:val="center"/>
        <w:rPr>
          <w:rFonts w:ascii="宋体" w:hAnsi="宋体" w:cs="宋体"/>
          <w:color w:val="auto"/>
          <w:sz w:val="32"/>
          <w:szCs w:val="24"/>
          <w:highlight w:val="none"/>
        </w:rPr>
        <w:sectPr>
          <w:headerReference r:id="rId14" w:type="default"/>
          <w:pgSz w:w="11906" w:h="16838"/>
          <w:pgMar w:top="1440" w:right="1803" w:bottom="1440" w:left="1803" w:header="851" w:footer="992" w:gutter="0"/>
          <w:cols w:space="720" w:num="1"/>
          <w:docGrid w:type="lines" w:linePitch="319" w:charSpace="0"/>
        </w:sectPr>
      </w:pPr>
    </w:p>
    <w:p>
      <w:pPr>
        <w:keepNext/>
        <w:keepLines/>
        <w:spacing w:line="413" w:lineRule="auto"/>
        <w:jc w:val="center"/>
        <w:rPr>
          <w:rFonts w:ascii="宋体" w:hAnsi="宋体" w:cs="宋体"/>
          <w:color w:val="auto"/>
          <w:sz w:val="32"/>
          <w:szCs w:val="24"/>
          <w:highlight w:val="none"/>
        </w:rPr>
      </w:pPr>
      <w:r>
        <w:rPr>
          <w:rFonts w:hint="eastAsia" w:ascii="宋体" w:hAnsi="宋体" w:cs="宋体"/>
          <w:color w:val="auto"/>
          <w:sz w:val="32"/>
          <w:szCs w:val="24"/>
          <w:highlight w:val="none"/>
        </w:rPr>
        <w:t>3、履行合同所必需的设备和专业技术能力声明（格式）</w:t>
      </w:r>
    </w:p>
    <w:p>
      <w:pPr>
        <w:rPr>
          <w:rFonts w:ascii="宋体" w:hAnsi="宋体" w:cs="宋体"/>
          <w:color w:val="auto"/>
          <w:highlight w:val="none"/>
        </w:rPr>
      </w:pPr>
    </w:p>
    <w:p>
      <w:pPr>
        <w:widowControl/>
        <w:snapToGrid w:val="0"/>
        <w:spacing w:line="48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(采购人名称）_______________________：</w:t>
      </w:r>
    </w:p>
    <w:p>
      <w:pPr>
        <w:widowControl/>
        <w:snapToGrid w:val="0"/>
        <w:spacing w:line="480" w:lineRule="auto"/>
        <w:ind w:firstLine="720" w:firstLineChars="3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我单位参与陕西卓佲项目管理有限公司组织的____________________(项目名称)，我单位郑重声明：我方</w:t>
      </w:r>
      <w:r>
        <w:rPr>
          <w:rFonts w:hint="eastAsia" w:ascii="宋体" w:hAnsi="宋体" w:cs="宋体"/>
          <w:b/>
          <w:bCs/>
          <w:color w:val="auto"/>
          <w:sz w:val="24"/>
          <w:szCs w:val="24"/>
          <w:highlight w:val="none"/>
        </w:rPr>
        <w:t>具有履行合同所必需的设备和专业技术能力</w:t>
      </w:r>
      <w:r>
        <w:rPr>
          <w:rFonts w:hint="eastAsia" w:ascii="宋体" w:hAnsi="宋体" w:cs="宋体"/>
          <w:color w:val="auto"/>
          <w:kern w:val="0"/>
          <w:sz w:val="24"/>
          <w:szCs w:val="24"/>
          <w:highlight w:val="none"/>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pPr>
        <w:pStyle w:val="15"/>
        <w:spacing w:line="500" w:lineRule="exact"/>
        <w:jc w:val="left"/>
        <w:rPr>
          <w:rFonts w:hAnsi="宋体" w:cs="宋体"/>
          <w:color w:val="auto"/>
          <w:sz w:val="24"/>
          <w:szCs w:val="24"/>
          <w:highlight w:val="none"/>
        </w:rPr>
      </w:pPr>
    </w:p>
    <w:p>
      <w:pPr>
        <w:pStyle w:val="15"/>
        <w:spacing w:line="480" w:lineRule="auto"/>
        <w:jc w:val="left"/>
        <w:rPr>
          <w:rFonts w:hAnsi="宋体" w:cs="宋体"/>
          <w:color w:val="auto"/>
          <w:sz w:val="24"/>
          <w:highlight w:val="none"/>
        </w:rPr>
      </w:pPr>
    </w:p>
    <w:p>
      <w:pPr>
        <w:pStyle w:val="15"/>
        <w:spacing w:line="480" w:lineRule="auto"/>
        <w:jc w:val="left"/>
        <w:rPr>
          <w:rFonts w:hAnsi="宋体" w:cs="宋体"/>
          <w:color w:val="auto"/>
          <w:sz w:val="24"/>
          <w:highlight w:val="none"/>
        </w:rPr>
      </w:pPr>
      <w:r>
        <w:rPr>
          <w:rFonts w:hint="eastAsia" w:hAnsi="宋体" w:cs="宋体"/>
          <w:color w:val="auto"/>
          <w:sz w:val="24"/>
          <w:highlight w:val="none"/>
        </w:rPr>
        <w:t>供应商（单位名称及公章）：</w:t>
      </w:r>
      <w:r>
        <w:rPr>
          <w:rFonts w:hint="eastAsia" w:hAnsi="宋体" w:cs="宋体"/>
          <w:color w:val="auto"/>
          <w:sz w:val="28"/>
          <w:szCs w:val="28"/>
          <w:highlight w:val="none"/>
        </w:rPr>
        <w:t>______________________</w:t>
      </w:r>
    </w:p>
    <w:p>
      <w:pPr>
        <w:pStyle w:val="15"/>
        <w:spacing w:line="480" w:lineRule="auto"/>
        <w:jc w:val="left"/>
        <w:rPr>
          <w:rFonts w:hAnsi="宋体" w:cs="宋体"/>
          <w:color w:val="auto"/>
          <w:sz w:val="24"/>
          <w:highlight w:val="none"/>
        </w:rPr>
      </w:pPr>
      <w:r>
        <w:rPr>
          <w:rFonts w:hint="eastAsia" w:hAnsi="宋体" w:cs="宋体"/>
          <w:color w:val="auto"/>
          <w:sz w:val="24"/>
          <w:highlight w:val="none"/>
        </w:rPr>
        <w:t>法定代表人或被授权人（签字或盖章）：</w:t>
      </w:r>
      <w:r>
        <w:rPr>
          <w:rFonts w:hint="eastAsia" w:hAnsi="宋体" w:cs="宋体"/>
          <w:color w:val="auto"/>
          <w:sz w:val="28"/>
          <w:szCs w:val="28"/>
          <w:highlight w:val="none"/>
        </w:rPr>
        <w:t>______________________</w:t>
      </w:r>
    </w:p>
    <w:p>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kern w:val="0"/>
          <w:sz w:val="24"/>
          <w:highlight w:val="none"/>
        </w:rPr>
        <w:t>日    期：</w:t>
      </w:r>
      <w:r>
        <w:rPr>
          <w:rFonts w:hint="eastAsia" w:ascii="宋体" w:hAnsi="宋体" w:cs="宋体"/>
          <w:color w:val="auto"/>
          <w:sz w:val="28"/>
          <w:szCs w:val="28"/>
          <w:highlight w:val="none"/>
        </w:rPr>
        <w:t>______________________</w:t>
      </w:r>
    </w:p>
    <w:p>
      <w:pPr>
        <w:spacing w:line="360" w:lineRule="auto"/>
        <w:ind w:firstLine="480" w:firstLineChars="200"/>
        <w:rPr>
          <w:rFonts w:ascii="宋体" w:hAnsi="宋体" w:cs="宋体"/>
          <w:color w:val="auto"/>
          <w:sz w:val="24"/>
          <w:szCs w:val="24"/>
          <w:highlight w:val="none"/>
        </w:rPr>
        <w:sectPr>
          <w:pgSz w:w="11906" w:h="16838"/>
          <w:pgMar w:top="1440" w:right="1803" w:bottom="1440" w:left="1803" w:header="851" w:footer="992" w:gutter="0"/>
          <w:cols w:space="720" w:num="1"/>
          <w:docGrid w:type="lines" w:linePitch="319" w:charSpace="0"/>
        </w:sect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4、社会保障资金缴纳证明：提供2021年9月以来至少一个月的社会保障资金缴存单据或社保机构开具的社会保险参保缴费情况证明。依法不需要缴纳社会保障资金的供应商应提供相关文件证明；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5、税收缴纳证明：提供2021年9月以来至少一个月的纳税证明或完税证明，依法免税的单位应提供相关证明材料；</w:t>
      </w: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tabs>
          <w:tab w:val="left" w:pos="2850"/>
        </w:tabs>
        <w:jc w:val="left"/>
        <w:rPr>
          <w:rFonts w:ascii="宋体" w:hAnsi="宋体" w:cs="宋体"/>
          <w:color w:val="auto"/>
          <w:sz w:val="28"/>
          <w:szCs w:val="32"/>
          <w:highlight w:val="none"/>
        </w:rPr>
      </w:pPr>
      <w:r>
        <w:rPr>
          <w:rFonts w:hint="eastAsia" w:ascii="宋体" w:hAnsi="宋体" w:cs="宋体"/>
          <w:color w:val="auto"/>
          <w:sz w:val="28"/>
          <w:szCs w:val="32"/>
          <w:highlight w:val="none"/>
        </w:rPr>
        <w:tab/>
      </w:r>
    </w:p>
    <w:p>
      <w:pPr>
        <w:pStyle w:val="9"/>
        <w:rPr>
          <w:color w:val="auto"/>
          <w:highlight w:val="none"/>
        </w:rPr>
      </w:pPr>
    </w:p>
    <w:p>
      <w:pPr>
        <w:tabs>
          <w:tab w:val="left" w:pos="2235"/>
        </w:tabs>
        <w:jc w:val="left"/>
        <w:rPr>
          <w:rFonts w:ascii="宋体" w:hAnsi="宋体" w:cs="宋体"/>
          <w:color w:val="auto"/>
          <w:sz w:val="28"/>
          <w:szCs w:val="32"/>
          <w:highlight w:val="none"/>
        </w:rPr>
      </w:pPr>
      <w:r>
        <w:rPr>
          <w:rFonts w:hint="eastAsia" w:ascii="宋体" w:hAnsi="宋体" w:cs="宋体"/>
          <w:color w:val="auto"/>
          <w:sz w:val="28"/>
          <w:szCs w:val="32"/>
          <w:highlight w:val="none"/>
        </w:rPr>
        <w:tab/>
      </w:r>
    </w:p>
    <w:p>
      <w:pPr>
        <w:pStyle w:val="9"/>
        <w:rPr>
          <w:rFonts w:ascii="宋体" w:hAnsi="宋体" w:cs="宋体"/>
          <w:color w:val="auto"/>
          <w:sz w:val="28"/>
          <w:szCs w:val="32"/>
          <w:highlight w:val="none"/>
        </w:rPr>
      </w:pPr>
    </w:p>
    <w:p>
      <w:pPr>
        <w:pStyle w:val="15"/>
        <w:rPr>
          <w:rFonts w:hAnsi="宋体" w:cs="宋体"/>
          <w:color w:val="auto"/>
          <w:sz w:val="28"/>
          <w:szCs w:val="32"/>
          <w:highlight w:val="none"/>
        </w:rPr>
      </w:pPr>
    </w:p>
    <w:p>
      <w:pPr>
        <w:pStyle w:val="15"/>
        <w:rPr>
          <w:rFonts w:hAnsi="宋体" w:cs="宋体"/>
          <w:color w:val="auto"/>
          <w:sz w:val="28"/>
          <w:szCs w:val="32"/>
          <w:highlight w:val="none"/>
        </w:rPr>
      </w:pPr>
    </w:p>
    <w:p>
      <w:pPr>
        <w:pStyle w:val="15"/>
        <w:rPr>
          <w:rFonts w:hAnsi="宋体" w:cs="宋体"/>
          <w:color w:val="auto"/>
          <w:sz w:val="28"/>
          <w:szCs w:val="32"/>
          <w:highlight w:val="none"/>
        </w:rPr>
      </w:pPr>
    </w:p>
    <w:p>
      <w:pPr>
        <w:pStyle w:val="15"/>
        <w:rPr>
          <w:rFonts w:hAnsi="宋体" w:cs="宋体"/>
          <w:color w:val="auto"/>
          <w:sz w:val="28"/>
          <w:szCs w:val="32"/>
          <w:highlight w:val="none"/>
        </w:rPr>
      </w:pPr>
    </w:p>
    <w:p>
      <w:pPr>
        <w:pStyle w:val="15"/>
        <w:rPr>
          <w:rFonts w:hAnsi="宋体" w:cs="宋体"/>
          <w:color w:val="auto"/>
          <w:sz w:val="28"/>
          <w:szCs w:val="32"/>
          <w:highlight w:val="none"/>
        </w:rPr>
      </w:pPr>
    </w:p>
    <w:p>
      <w:pPr>
        <w:jc w:val="center"/>
        <w:rPr>
          <w:rFonts w:ascii="宋体" w:hAnsi="宋体" w:cs="宋体"/>
          <w:color w:val="auto"/>
          <w:sz w:val="28"/>
          <w:szCs w:val="32"/>
          <w:highlight w:val="none"/>
        </w:rPr>
      </w:pPr>
    </w:p>
    <w:p>
      <w:pPr>
        <w:keepNext/>
        <w:keepLines/>
        <w:spacing w:line="413" w:lineRule="auto"/>
        <w:jc w:val="center"/>
        <w:rPr>
          <w:rFonts w:ascii="宋体" w:hAnsi="宋体" w:cs="宋体"/>
          <w:color w:val="auto"/>
          <w:sz w:val="32"/>
          <w:szCs w:val="24"/>
          <w:highlight w:val="none"/>
        </w:rPr>
      </w:pPr>
      <w:r>
        <w:rPr>
          <w:rFonts w:hint="eastAsia" w:ascii="宋体" w:hAnsi="宋体" w:cs="宋体"/>
          <w:color w:val="auto"/>
          <w:sz w:val="32"/>
          <w:szCs w:val="24"/>
          <w:highlight w:val="none"/>
        </w:rPr>
        <w:t>6、无重大违法记录声明（格式）</w:t>
      </w:r>
    </w:p>
    <w:p>
      <w:pPr>
        <w:rPr>
          <w:rFonts w:ascii="宋体" w:hAnsi="宋体" w:cs="宋体"/>
          <w:color w:val="auto"/>
          <w:highlight w:val="none"/>
        </w:rPr>
      </w:pPr>
    </w:p>
    <w:p>
      <w:pPr>
        <w:widowControl/>
        <w:snapToGrid w:val="0"/>
        <w:spacing w:line="48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(采购人名称）_______________________：</w:t>
      </w:r>
    </w:p>
    <w:p>
      <w:pPr>
        <w:widowControl/>
        <w:snapToGrid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pPr>
        <w:pStyle w:val="15"/>
        <w:spacing w:line="500" w:lineRule="exact"/>
        <w:jc w:val="left"/>
        <w:rPr>
          <w:rFonts w:hAnsi="宋体" w:cs="宋体"/>
          <w:color w:val="auto"/>
          <w:sz w:val="24"/>
          <w:szCs w:val="24"/>
          <w:highlight w:val="none"/>
        </w:rPr>
      </w:pPr>
    </w:p>
    <w:p>
      <w:pPr>
        <w:pStyle w:val="15"/>
        <w:spacing w:line="480" w:lineRule="auto"/>
        <w:jc w:val="left"/>
        <w:rPr>
          <w:rFonts w:hAnsi="宋体" w:cs="宋体"/>
          <w:color w:val="auto"/>
          <w:sz w:val="24"/>
          <w:highlight w:val="none"/>
        </w:rPr>
      </w:pPr>
    </w:p>
    <w:p>
      <w:pPr>
        <w:pStyle w:val="15"/>
        <w:spacing w:line="480" w:lineRule="auto"/>
        <w:jc w:val="left"/>
        <w:rPr>
          <w:rFonts w:hAnsi="宋体" w:cs="宋体"/>
          <w:color w:val="auto"/>
          <w:sz w:val="24"/>
          <w:highlight w:val="none"/>
        </w:rPr>
      </w:pPr>
      <w:r>
        <w:rPr>
          <w:rFonts w:hint="eastAsia" w:hAnsi="宋体" w:cs="宋体"/>
          <w:color w:val="auto"/>
          <w:sz w:val="24"/>
          <w:highlight w:val="none"/>
        </w:rPr>
        <w:t>供应商（单位名称及公章）：</w:t>
      </w:r>
      <w:r>
        <w:rPr>
          <w:rFonts w:hint="eastAsia" w:hAnsi="宋体" w:cs="宋体"/>
          <w:color w:val="auto"/>
          <w:sz w:val="28"/>
          <w:szCs w:val="28"/>
          <w:highlight w:val="none"/>
        </w:rPr>
        <w:t>______________________</w:t>
      </w:r>
    </w:p>
    <w:p>
      <w:pPr>
        <w:pStyle w:val="15"/>
        <w:spacing w:line="480" w:lineRule="auto"/>
        <w:jc w:val="left"/>
        <w:rPr>
          <w:rFonts w:hAnsi="宋体" w:cs="宋体"/>
          <w:color w:val="auto"/>
          <w:sz w:val="24"/>
          <w:highlight w:val="none"/>
        </w:rPr>
      </w:pPr>
      <w:r>
        <w:rPr>
          <w:rFonts w:hint="eastAsia" w:hAnsi="宋体" w:cs="宋体"/>
          <w:color w:val="auto"/>
          <w:sz w:val="24"/>
          <w:highlight w:val="none"/>
        </w:rPr>
        <w:t>法定代表人或被授权人（签字或盖章）：</w:t>
      </w:r>
      <w:r>
        <w:rPr>
          <w:rFonts w:hint="eastAsia" w:hAnsi="宋体" w:cs="宋体"/>
          <w:color w:val="auto"/>
          <w:sz w:val="28"/>
          <w:szCs w:val="28"/>
          <w:highlight w:val="none"/>
        </w:rPr>
        <w:t>______________________</w:t>
      </w:r>
    </w:p>
    <w:p>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kern w:val="0"/>
          <w:sz w:val="24"/>
          <w:highlight w:val="none"/>
        </w:rPr>
        <w:t>日    期：</w:t>
      </w:r>
      <w:r>
        <w:rPr>
          <w:rFonts w:hint="eastAsia" w:ascii="宋体" w:hAnsi="宋体" w:cs="宋体"/>
          <w:color w:val="auto"/>
          <w:sz w:val="28"/>
          <w:szCs w:val="28"/>
          <w:highlight w:val="none"/>
        </w:rPr>
        <w:t>______________________</w:t>
      </w: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p>
    <w:p>
      <w:pPr>
        <w:jc w:val="center"/>
        <w:rPr>
          <w:rFonts w:ascii="宋体" w:hAnsi="宋体" w:cs="宋体"/>
          <w:color w:val="auto"/>
          <w:sz w:val="28"/>
          <w:szCs w:val="32"/>
          <w:highlight w:val="none"/>
        </w:rPr>
      </w:pPr>
      <w:r>
        <w:rPr>
          <w:rFonts w:hint="eastAsia" w:ascii="宋体" w:hAnsi="宋体" w:cs="宋体"/>
          <w:color w:val="auto"/>
          <w:sz w:val="28"/>
          <w:szCs w:val="32"/>
          <w:highlight w:val="none"/>
        </w:rPr>
        <w:t>7-1法定代表人证明书（格式）</w:t>
      </w:r>
    </w:p>
    <w:tbl>
      <w:tblPr>
        <w:tblStyle w:val="30"/>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hAnsi="宋体" w:cs="宋体"/>
                <w:color w:val="auto"/>
                <w:kern w:val="0"/>
                <w:highlight w:val="none"/>
              </w:rPr>
            </w:pPr>
            <w:r>
              <w:rPr>
                <w:rFonts w:hint="eastAsia" w:ascii="宋体" w:hAnsi="宋体" w:cs="宋体"/>
                <w:color w:val="auto"/>
                <w:kern w:val="0"/>
                <w:highlight w:val="none"/>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企</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业</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法</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人</w:t>
            </w:r>
          </w:p>
        </w:tc>
        <w:tc>
          <w:tcPr>
            <w:tcW w:w="2160" w:type="dxa"/>
            <w:vAlign w:val="center"/>
          </w:tcPr>
          <w:p>
            <w:pPr>
              <w:tabs>
                <w:tab w:val="left" w:pos="210"/>
              </w:tabs>
              <w:spacing w:line="360" w:lineRule="auto"/>
              <w:rPr>
                <w:rFonts w:ascii="宋体" w:hAnsi="宋体" w:cs="宋体"/>
                <w:color w:val="auto"/>
                <w:kern w:val="0"/>
                <w:highlight w:val="none"/>
              </w:rPr>
            </w:pPr>
            <w:r>
              <w:rPr>
                <w:rFonts w:hint="eastAsia" w:ascii="宋体" w:hAnsi="宋体" w:cs="宋体"/>
                <w:color w:val="auto"/>
                <w:kern w:val="0"/>
                <w:highlight w:val="none"/>
              </w:rPr>
              <w:t>企业名称</w:t>
            </w:r>
          </w:p>
        </w:tc>
        <w:tc>
          <w:tcPr>
            <w:tcW w:w="6656" w:type="dxa"/>
            <w:gridSpan w:val="4"/>
            <w:vAlign w:val="center"/>
          </w:tcPr>
          <w:p>
            <w:pPr>
              <w:tabs>
                <w:tab w:val="left" w:pos="210"/>
              </w:tabs>
              <w:spacing w:line="360" w:lineRule="auto"/>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auto"/>
                <w:kern w:val="0"/>
                <w:highlight w:val="none"/>
              </w:rPr>
            </w:pPr>
          </w:p>
        </w:tc>
        <w:tc>
          <w:tcPr>
            <w:tcW w:w="2160" w:type="dxa"/>
            <w:vAlign w:val="center"/>
          </w:tcPr>
          <w:p>
            <w:pPr>
              <w:tabs>
                <w:tab w:val="left" w:pos="210"/>
              </w:tabs>
              <w:spacing w:line="360" w:lineRule="auto"/>
              <w:rPr>
                <w:rFonts w:ascii="宋体" w:hAnsi="宋体" w:cs="宋体"/>
                <w:color w:val="auto"/>
                <w:kern w:val="0"/>
                <w:highlight w:val="none"/>
              </w:rPr>
            </w:pPr>
            <w:r>
              <w:rPr>
                <w:rFonts w:hint="eastAsia" w:ascii="宋体" w:hAnsi="宋体" w:cs="宋体"/>
                <w:color w:val="auto"/>
                <w:kern w:val="0"/>
                <w:highlight w:val="none"/>
              </w:rPr>
              <w:t>法定地址</w:t>
            </w:r>
          </w:p>
        </w:tc>
        <w:tc>
          <w:tcPr>
            <w:tcW w:w="6656" w:type="dxa"/>
            <w:gridSpan w:val="4"/>
            <w:vAlign w:val="center"/>
          </w:tcPr>
          <w:p>
            <w:pPr>
              <w:tabs>
                <w:tab w:val="left" w:pos="210"/>
              </w:tabs>
              <w:spacing w:line="360" w:lineRule="auto"/>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auto"/>
                <w:kern w:val="0"/>
                <w:highlight w:val="none"/>
              </w:rPr>
            </w:pPr>
          </w:p>
        </w:tc>
        <w:tc>
          <w:tcPr>
            <w:tcW w:w="2160" w:type="dxa"/>
            <w:vAlign w:val="center"/>
          </w:tcPr>
          <w:p>
            <w:pPr>
              <w:tabs>
                <w:tab w:val="left" w:pos="210"/>
              </w:tabs>
              <w:spacing w:line="360" w:lineRule="auto"/>
              <w:rPr>
                <w:rFonts w:ascii="宋体" w:hAnsi="宋体" w:cs="宋体"/>
                <w:color w:val="auto"/>
                <w:kern w:val="0"/>
                <w:highlight w:val="none"/>
              </w:rPr>
            </w:pPr>
            <w:r>
              <w:rPr>
                <w:rFonts w:hint="eastAsia" w:ascii="宋体" w:hAnsi="宋体" w:cs="宋体"/>
                <w:color w:val="auto"/>
                <w:kern w:val="0"/>
                <w:highlight w:val="none"/>
              </w:rPr>
              <w:t>邮政编码</w:t>
            </w:r>
          </w:p>
        </w:tc>
        <w:tc>
          <w:tcPr>
            <w:tcW w:w="6656" w:type="dxa"/>
            <w:gridSpan w:val="4"/>
            <w:vAlign w:val="center"/>
          </w:tcPr>
          <w:p>
            <w:pPr>
              <w:tabs>
                <w:tab w:val="left" w:pos="210"/>
              </w:tabs>
              <w:spacing w:line="360" w:lineRule="auto"/>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auto"/>
                <w:kern w:val="0"/>
                <w:highlight w:val="none"/>
              </w:rPr>
            </w:pPr>
          </w:p>
        </w:tc>
        <w:tc>
          <w:tcPr>
            <w:tcW w:w="2160" w:type="dxa"/>
            <w:vAlign w:val="center"/>
          </w:tcPr>
          <w:p>
            <w:pPr>
              <w:tabs>
                <w:tab w:val="left" w:pos="210"/>
              </w:tabs>
              <w:spacing w:line="360" w:lineRule="auto"/>
              <w:rPr>
                <w:rFonts w:ascii="宋体" w:hAnsi="宋体" w:cs="宋体"/>
                <w:color w:val="auto"/>
                <w:kern w:val="0"/>
                <w:highlight w:val="none"/>
              </w:rPr>
            </w:pPr>
            <w:r>
              <w:rPr>
                <w:rFonts w:hint="eastAsia" w:ascii="宋体" w:hAnsi="宋体" w:cs="宋体"/>
                <w:color w:val="auto"/>
                <w:kern w:val="0"/>
                <w:highlight w:val="none"/>
              </w:rPr>
              <w:t>工商登记机关</w:t>
            </w:r>
          </w:p>
        </w:tc>
        <w:tc>
          <w:tcPr>
            <w:tcW w:w="6656" w:type="dxa"/>
            <w:gridSpan w:val="4"/>
            <w:vAlign w:val="center"/>
          </w:tcPr>
          <w:p>
            <w:pPr>
              <w:tabs>
                <w:tab w:val="left" w:pos="210"/>
              </w:tabs>
              <w:spacing w:line="360" w:lineRule="auto"/>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auto"/>
                <w:kern w:val="0"/>
                <w:highlight w:val="none"/>
              </w:rPr>
            </w:pPr>
          </w:p>
        </w:tc>
        <w:tc>
          <w:tcPr>
            <w:tcW w:w="2160" w:type="dxa"/>
            <w:vAlign w:val="center"/>
          </w:tcPr>
          <w:p>
            <w:pPr>
              <w:tabs>
                <w:tab w:val="left" w:pos="210"/>
              </w:tabs>
              <w:spacing w:line="360" w:lineRule="auto"/>
              <w:rPr>
                <w:rFonts w:ascii="宋体" w:hAnsi="宋体" w:cs="宋体"/>
                <w:color w:val="auto"/>
                <w:kern w:val="0"/>
                <w:highlight w:val="none"/>
              </w:rPr>
            </w:pPr>
            <w:r>
              <w:rPr>
                <w:rFonts w:hint="eastAsia" w:ascii="宋体" w:hAnsi="宋体" w:cs="宋体"/>
                <w:color w:val="auto"/>
                <w:kern w:val="0"/>
                <w:highlight w:val="none"/>
              </w:rPr>
              <w:t>统一社会信用代码</w:t>
            </w:r>
          </w:p>
        </w:tc>
        <w:tc>
          <w:tcPr>
            <w:tcW w:w="6656" w:type="dxa"/>
            <w:gridSpan w:val="4"/>
            <w:vAlign w:val="center"/>
          </w:tcPr>
          <w:p>
            <w:pPr>
              <w:tabs>
                <w:tab w:val="left" w:pos="210"/>
              </w:tabs>
              <w:spacing w:line="360" w:lineRule="auto"/>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法</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定</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代</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表</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人</w:t>
            </w:r>
          </w:p>
        </w:tc>
        <w:tc>
          <w:tcPr>
            <w:tcW w:w="2160" w:type="dxa"/>
            <w:vAlign w:val="center"/>
          </w:tcPr>
          <w:p>
            <w:pPr>
              <w:tabs>
                <w:tab w:val="left" w:pos="210"/>
              </w:tabs>
              <w:spacing w:line="360" w:lineRule="auto"/>
              <w:rPr>
                <w:rFonts w:ascii="宋体" w:hAnsi="宋体" w:cs="宋体"/>
                <w:color w:val="auto"/>
                <w:kern w:val="0"/>
                <w:highlight w:val="none"/>
              </w:rPr>
            </w:pPr>
            <w:r>
              <w:rPr>
                <w:rFonts w:hint="eastAsia" w:ascii="宋体" w:hAnsi="宋体" w:cs="宋体"/>
                <w:color w:val="auto"/>
                <w:kern w:val="0"/>
                <w:highlight w:val="none"/>
              </w:rPr>
              <w:t>姓名</w:t>
            </w:r>
          </w:p>
        </w:tc>
        <w:tc>
          <w:tcPr>
            <w:tcW w:w="2340" w:type="dxa"/>
            <w:gridSpan w:val="2"/>
            <w:vAlign w:val="center"/>
          </w:tcPr>
          <w:p>
            <w:pPr>
              <w:tabs>
                <w:tab w:val="left" w:pos="210"/>
              </w:tabs>
              <w:spacing w:line="360" w:lineRule="auto"/>
              <w:ind w:firstLine="420" w:firstLineChars="200"/>
              <w:jc w:val="left"/>
              <w:rPr>
                <w:rFonts w:ascii="宋体" w:hAnsi="宋体" w:cs="宋体"/>
                <w:color w:val="auto"/>
                <w:kern w:val="0"/>
                <w:highlight w:val="none"/>
              </w:rPr>
            </w:pPr>
          </w:p>
        </w:tc>
        <w:tc>
          <w:tcPr>
            <w:tcW w:w="2156" w:type="dxa"/>
            <w:vAlign w:val="center"/>
          </w:tcPr>
          <w:p>
            <w:pPr>
              <w:tabs>
                <w:tab w:val="left" w:pos="210"/>
              </w:tabs>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性别</w:t>
            </w:r>
          </w:p>
        </w:tc>
        <w:tc>
          <w:tcPr>
            <w:tcW w:w="2160" w:type="dxa"/>
            <w:vAlign w:val="center"/>
          </w:tcPr>
          <w:p>
            <w:pPr>
              <w:tabs>
                <w:tab w:val="left" w:pos="210"/>
              </w:tabs>
              <w:spacing w:line="360" w:lineRule="auto"/>
              <w:ind w:firstLine="420" w:firstLineChars="200"/>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auto"/>
                <w:kern w:val="0"/>
                <w:highlight w:val="none"/>
              </w:rPr>
            </w:pPr>
          </w:p>
        </w:tc>
        <w:tc>
          <w:tcPr>
            <w:tcW w:w="2160" w:type="dxa"/>
            <w:vAlign w:val="center"/>
          </w:tcPr>
          <w:p>
            <w:pPr>
              <w:tabs>
                <w:tab w:val="left" w:pos="210"/>
              </w:tabs>
              <w:spacing w:line="360" w:lineRule="auto"/>
              <w:rPr>
                <w:rFonts w:ascii="宋体" w:hAnsi="宋体" w:cs="宋体"/>
                <w:color w:val="auto"/>
                <w:kern w:val="0"/>
                <w:highlight w:val="none"/>
              </w:rPr>
            </w:pPr>
            <w:r>
              <w:rPr>
                <w:rFonts w:hint="eastAsia" w:ascii="宋体" w:hAnsi="宋体" w:cs="宋体"/>
                <w:color w:val="auto"/>
                <w:kern w:val="0"/>
                <w:highlight w:val="none"/>
              </w:rPr>
              <w:t>职务</w:t>
            </w:r>
          </w:p>
        </w:tc>
        <w:tc>
          <w:tcPr>
            <w:tcW w:w="2340" w:type="dxa"/>
            <w:gridSpan w:val="2"/>
            <w:vAlign w:val="center"/>
          </w:tcPr>
          <w:p>
            <w:pPr>
              <w:tabs>
                <w:tab w:val="left" w:pos="210"/>
              </w:tabs>
              <w:spacing w:line="360" w:lineRule="auto"/>
              <w:jc w:val="left"/>
              <w:rPr>
                <w:rFonts w:ascii="宋体" w:hAnsi="宋体" w:cs="宋体"/>
                <w:color w:val="auto"/>
                <w:kern w:val="0"/>
                <w:highlight w:val="none"/>
              </w:rPr>
            </w:pPr>
          </w:p>
        </w:tc>
        <w:tc>
          <w:tcPr>
            <w:tcW w:w="2156" w:type="dxa"/>
            <w:vAlign w:val="center"/>
          </w:tcPr>
          <w:p>
            <w:pPr>
              <w:tabs>
                <w:tab w:val="left" w:pos="210"/>
              </w:tabs>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联系电话</w:t>
            </w:r>
          </w:p>
        </w:tc>
        <w:tc>
          <w:tcPr>
            <w:tcW w:w="2160" w:type="dxa"/>
            <w:vAlign w:val="center"/>
          </w:tcPr>
          <w:p>
            <w:pPr>
              <w:tabs>
                <w:tab w:val="left" w:pos="210"/>
              </w:tabs>
              <w:spacing w:line="360" w:lineRule="auto"/>
              <w:ind w:firstLine="420" w:firstLineChars="200"/>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auto"/>
                <w:kern w:val="0"/>
                <w:highlight w:val="none"/>
              </w:rPr>
            </w:pPr>
          </w:p>
        </w:tc>
        <w:tc>
          <w:tcPr>
            <w:tcW w:w="2160" w:type="dxa"/>
            <w:vAlign w:val="center"/>
          </w:tcPr>
          <w:p>
            <w:pPr>
              <w:tabs>
                <w:tab w:val="left" w:pos="210"/>
              </w:tabs>
              <w:spacing w:line="360" w:lineRule="auto"/>
              <w:rPr>
                <w:rFonts w:ascii="宋体" w:hAnsi="宋体" w:cs="宋体"/>
                <w:color w:val="auto"/>
                <w:kern w:val="0"/>
                <w:highlight w:val="none"/>
              </w:rPr>
            </w:pPr>
            <w:r>
              <w:rPr>
                <w:rFonts w:hint="eastAsia" w:ascii="宋体" w:hAnsi="宋体" w:cs="宋体"/>
                <w:color w:val="auto"/>
                <w:kern w:val="0"/>
                <w:highlight w:val="none"/>
              </w:rPr>
              <w:t>传真</w:t>
            </w:r>
          </w:p>
        </w:tc>
        <w:tc>
          <w:tcPr>
            <w:tcW w:w="6656" w:type="dxa"/>
            <w:gridSpan w:val="4"/>
            <w:vAlign w:val="center"/>
          </w:tcPr>
          <w:p>
            <w:pPr>
              <w:tabs>
                <w:tab w:val="left" w:pos="210"/>
              </w:tabs>
              <w:spacing w:line="360" w:lineRule="auto"/>
              <w:jc w:val="left"/>
              <w:rPr>
                <w:rFonts w:ascii="宋体"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法</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定</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代</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表</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人</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身</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份</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证</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复</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印</w:t>
            </w:r>
          </w:p>
          <w:p>
            <w:pPr>
              <w:tabs>
                <w:tab w:val="left" w:pos="210"/>
              </w:tabs>
              <w:spacing w:line="360" w:lineRule="auto"/>
              <w:jc w:val="center"/>
              <w:rPr>
                <w:rFonts w:ascii="宋体" w:hAnsi="宋体" w:cs="宋体"/>
                <w:color w:val="auto"/>
                <w:kern w:val="0"/>
                <w:highlight w:val="none"/>
              </w:rPr>
            </w:pPr>
            <w:r>
              <w:rPr>
                <w:rFonts w:hint="eastAsia" w:ascii="宋体" w:hAnsi="宋体" w:cs="宋体"/>
                <w:color w:val="auto"/>
                <w:kern w:val="0"/>
                <w:highlight w:val="none"/>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（正反面）</w:t>
            </w:r>
          </w:p>
        </w:tc>
        <w:tc>
          <w:tcPr>
            <w:tcW w:w="4500" w:type="dxa"/>
            <w:gridSpan w:val="3"/>
            <w:vAlign w:val="center"/>
          </w:tcPr>
          <w:p>
            <w:pPr>
              <w:tabs>
                <w:tab w:val="left" w:pos="210"/>
              </w:tabs>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color w:val="auto"/>
                <w:kern w:val="0"/>
                <w:highlight w:val="none"/>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color w:val="auto"/>
                <w:kern w:val="0"/>
                <w:highlight w:val="none"/>
              </w:rPr>
            </w:pPr>
          </w:p>
        </w:tc>
        <w:tc>
          <w:tcPr>
            <w:tcW w:w="4500" w:type="dxa"/>
            <w:gridSpan w:val="3"/>
            <w:vAlign w:val="bottom"/>
          </w:tcPr>
          <w:p>
            <w:pPr>
              <w:tabs>
                <w:tab w:val="left" w:pos="210"/>
              </w:tabs>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（公章）</w:t>
            </w:r>
          </w:p>
          <w:p>
            <w:pPr>
              <w:tabs>
                <w:tab w:val="left" w:pos="210"/>
              </w:tabs>
              <w:spacing w:line="360" w:lineRule="auto"/>
              <w:jc w:val="left"/>
              <w:rPr>
                <w:rFonts w:ascii="宋体" w:hAnsi="宋体" w:cs="宋体"/>
                <w:color w:val="auto"/>
                <w:kern w:val="0"/>
                <w:highlight w:val="none"/>
              </w:rPr>
            </w:pPr>
          </w:p>
          <w:p>
            <w:pPr>
              <w:tabs>
                <w:tab w:val="left" w:pos="210"/>
              </w:tabs>
              <w:spacing w:line="360" w:lineRule="auto"/>
              <w:jc w:val="left"/>
              <w:rPr>
                <w:rFonts w:ascii="宋体" w:hAnsi="宋体" w:cs="宋体"/>
                <w:color w:val="auto"/>
                <w:kern w:val="0"/>
                <w:highlight w:val="none"/>
              </w:rPr>
            </w:pPr>
          </w:p>
          <w:p>
            <w:pPr>
              <w:tabs>
                <w:tab w:val="left" w:pos="210"/>
              </w:tabs>
              <w:spacing w:line="360" w:lineRule="auto"/>
              <w:jc w:val="left"/>
              <w:rPr>
                <w:rFonts w:ascii="宋体" w:hAnsi="宋体" w:cs="宋体"/>
                <w:color w:val="auto"/>
                <w:kern w:val="0"/>
                <w:highlight w:val="none"/>
              </w:rPr>
            </w:pPr>
          </w:p>
          <w:p>
            <w:pPr>
              <w:adjustRightInd w:val="0"/>
              <w:snapToGrid w:val="0"/>
              <w:spacing w:line="480" w:lineRule="auto"/>
              <w:ind w:firstLine="480" w:firstLineChars="200"/>
              <w:jc w:val="right"/>
              <w:rPr>
                <w:rFonts w:ascii="宋体" w:hAnsi="宋体" w:cs="宋体"/>
                <w:color w:val="auto"/>
                <w:kern w:val="0"/>
                <w:highlight w:val="none"/>
              </w:rPr>
            </w:pPr>
            <w:r>
              <w:rPr>
                <w:rFonts w:hint="eastAsia" w:ascii="宋体" w:hAnsi="宋体" w:cs="宋体"/>
                <w:color w:val="auto"/>
                <w:sz w:val="24"/>
                <w:highlight w:val="none"/>
              </w:rPr>
              <w:t>_________年______月 _____日</w:t>
            </w:r>
          </w:p>
        </w:tc>
      </w:tr>
    </w:tbl>
    <w:p>
      <w:pPr>
        <w:pStyle w:val="15"/>
        <w:spacing w:line="500" w:lineRule="exact"/>
        <w:jc w:val="center"/>
        <w:rPr>
          <w:rFonts w:hAnsi="宋体" w:cs="宋体"/>
          <w:color w:val="auto"/>
          <w:sz w:val="24"/>
          <w:szCs w:val="24"/>
          <w:highlight w:val="none"/>
        </w:rPr>
      </w:pPr>
      <w:r>
        <w:rPr>
          <w:rFonts w:hint="eastAsia" w:hAnsi="宋体" w:cs="宋体"/>
          <w:b/>
          <w:color w:val="auto"/>
          <w:sz w:val="24"/>
          <w:szCs w:val="24"/>
          <w:highlight w:val="none"/>
        </w:rPr>
        <w:br w:type="page"/>
      </w:r>
      <w:r>
        <w:rPr>
          <w:rFonts w:hint="eastAsia" w:hAnsi="宋体" w:cs="宋体"/>
          <w:b/>
          <w:color w:val="auto"/>
          <w:sz w:val="24"/>
          <w:szCs w:val="24"/>
          <w:highlight w:val="none"/>
        </w:rPr>
        <w:t>7-2法定代表人授权书（格式）</w:t>
      </w:r>
    </w:p>
    <w:p>
      <w:pPr>
        <w:pStyle w:val="15"/>
        <w:spacing w:line="500" w:lineRule="exact"/>
        <w:jc w:val="left"/>
        <w:rPr>
          <w:rFonts w:hAnsi="宋体" w:cs="宋体"/>
          <w:color w:val="auto"/>
          <w:sz w:val="24"/>
          <w:szCs w:val="24"/>
          <w:highlight w:val="none"/>
        </w:rPr>
      </w:pPr>
      <w:r>
        <w:rPr>
          <w:rFonts w:hint="eastAsia" w:hAnsi="宋体" w:cs="宋体"/>
          <w:color w:val="auto"/>
          <w:sz w:val="24"/>
          <w:szCs w:val="24"/>
          <w:highlight w:val="none"/>
        </w:rPr>
        <w:t>陕西卓佲项目管理有限公司：</w:t>
      </w:r>
    </w:p>
    <w:p>
      <w:pPr>
        <w:tabs>
          <w:tab w:val="left" w:pos="8820"/>
        </w:tabs>
        <w:spacing w:line="360" w:lineRule="auto"/>
        <w:ind w:firstLine="570"/>
        <w:rPr>
          <w:rFonts w:ascii="宋体" w:hAnsi="宋体" w:cs="宋体"/>
          <w:color w:val="auto"/>
          <w:sz w:val="24"/>
          <w:highlight w:val="none"/>
          <w:u w:val="single"/>
        </w:rPr>
      </w:pPr>
      <w:r>
        <w:rPr>
          <w:rFonts w:hint="eastAsia" w:ascii="宋体" w:hAnsi="宋体" w:cs="宋体"/>
          <w:color w:val="auto"/>
          <w:sz w:val="24"/>
          <w:highlight w:val="none"/>
        </w:rPr>
        <w:t>本授权委托书声明：我</w:t>
      </w:r>
      <w:r>
        <w:rPr>
          <w:rFonts w:hint="eastAsia" w:ascii="宋体" w:hAnsi="宋体" w:cs="宋体"/>
          <w:color w:val="auto"/>
          <w:sz w:val="24"/>
          <w:highlight w:val="none"/>
          <w:u w:val="single"/>
        </w:rPr>
        <w:t xml:space="preserve">（法定代表人姓名）   </w:t>
      </w:r>
      <w:r>
        <w:rPr>
          <w:rFonts w:hint="eastAsia" w:ascii="宋体" w:hAnsi="宋体" w:cs="宋体"/>
          <w:color w:val="auto"/>
          <w:sz w:val="24"/>
          <w:highlight w:val="none"/>
        </w:rPr>
        <w:t>系注册于</w:t>
      </w:r>
      <w:r>
        <w:rPr>
          <w:rFonts w:hint="eastAsia" w:ascii="宋体" w:hAnsi="宋体" w:cs="宋体"/>
          <w:color w:val="auto"/>
          <w:sz w:val="24"/>
          <w:highlight w:val="none"/>
          <w:u w:val="single"/>
        </w:rPr>
        <w:t xml:space="preserve">  （供应商地址）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（供应商名称）  </w:t>
      </w:r>
      <w:r>
        <w:rPr>
          <w:rFonts w:hint="eastAsia" w:ascii="宋体" w:hAnsi="宋体" w:cs="宋体"/>
          <w:color w:val="auto"/>
          <w:sz w:val="24"/>
          <w:highlight w:val="none"/>
        </w:rPr>
        <w:t>的法定代表人，现代表公司授权</w:t>
      </w:r>
      <w:r>
        <w:rPr>
          <w:rFonts w:hint="eastAsia" w:ascii="宋体" w:hAnsi="宋体" w:cs="宋体"/>
          <w:color w:val="auto"/>
          <w:sz w:val="24"/>
          <w:highlight w:val="none"/>
          <w:u w:val="single"/>
        </w:rPr>
        <w:t xml:space="preserve">（被授权人的姓名、职务）   </w:t>
      </w:r>
      <w:r>
        <w:rPr>
          <w:rFonts w:hint="eastAsia" w:ascii="宋体" w:hAnsi="宋体" w:cs="宋体"/>
          <w:color w:val="auto"/>
          <w:sz w:val="24"/>
          <w:highlight w:val="none"/>
        </w:rPr>
        <w:t>为我公司合法代理人，代表本公司参加</w:t>
      </w:r>
      <w:r>
        <w:rPr>
          <w:rFonts w:hint="eastAsia" w:ascii="宋体" w:hAnsi="宋体" w:cs="宋体"/>
          <w:color w:val="auto"/>
          <w:sz w:val="24"/>
          <w:highlight w:val="none"/>
          <w:u w:val="single"/>
        </w:rPr>
        <w:t xml:space="preserve">  （项目名称） （项目编号）</w:t>
      </w:r>
      <w:r>
        <w:rPr>
          <w:rFonts w:hint="eastAsia" w:ascii="宋体" w:hAnsi="宋体" w:cs="宋体"/>
          <w:color w:val="auto"/>
          <w:sz w:val="24"/>
          <w:highlight w:val="none"/>
        </w:rPr>
        <w:t>的采购活动。以我方名义全权处理该项目有关招标、签订合同以及执行合同等一切事宜。</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highlight w:val="none"/>
        </w:rPr>
        <w:t>本授权书自投标文件递交截止之日起生效，有效期与投标文件有效期一致，特此声明。</w:t>
      </w:r>
    </w:p>
    <w:p>
      <w:pPr>
        <w:pStyle w:val="15"/>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供应商（单位名称及公章）：</w:t>
      </w:r>
      <w:r>
        <w:rPr>
          <w:rFonts w:hint="eastAsia" w:hAnsi="宋体" w:cs="宋体"/>
          <w:color w:val="auto"/>
          <w:sz w:val="28"/>
          <w:szCs w:val="28"/>
          <w:highlight w:val="none"/>
        </w:rPr>
        <w:t>__________________</w:t>
      </w:r>
    </w:p>
    <w:p>
      <w:pPr>
        <w:pStyle w:val="15"/>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 xml:space="preserve">法定代表人（签字或盖章）： </w:t>
      </w:r>
      <w:r>
        <w:rPr>
          <w:rFonts w:hint="eastAsia" w:hAnsi="宋体" w:cs="宋体"/>
          <w:color w:val="auto"/>
          <w:sz w:val="28"/>
          <w:szCs w:val="28"/>
          <w:highlight w:val="none"/>
        </w:rPr>
        <w:t>__________________</w:t>
      </w:r>
    </w:p>
    <w:p>
      <w:pPr>
        <w:pStyle w:val="15"/>
        <w:spacing w:line="500" w:lineRule="exact"/>
        <w:ind w:firstLine="480" w:firstLineChars="200"/>
        <w:jc w:val="left"/>
        <w:rPr>
          <w:rFonts w:hAnsi="宋体" w:cs="宋体"/>
          <w:color w:val="auto"/>
          <w:sz w:val="24"/>
          <w:szCs w:val="24"/>
          <w:highlight w:val="none"/>
          <w:u w:val="single"/>
        </w:rPr>
      </w:pPr>
      <w:r>
        <w:rPr>
          <w:rFonts w:hint="eastAsia" w:hAnsi="宋体" w:cs="宋体"/>
          <w:color w:val="auto"/>
          <w:sz w:val="24"/>
          <w:szCs w:val="24"/>
          <w:highlight w:val="none"/>
        </w:rPr>
        <w:t>被授权人：</w:t>
      </w:r>
      <w:r>
        <w:rPr>
          <w:rFonts w:hint="eastAsia" w:hAnsi="宋体" w:cs="宋体"/>
          <w:color w:val="auto"/>
          <w:sz w:val="28"/>
          <w:szCs w:val="28"/>
          <w:highlight w:val="none"/>
        </w:rPr>
        <w:t>_____________</w:t>
      </w:r>
      <w:r>
        <w:rPr>
          <w:rFonts w:hint="eastAsia" w:hAnsi="宋体" w:cs="宋体"/>
          <w:color w:val="auto"/>
          <w:sz w:val="24"/>
          <w:szCs w:val="24"/>
          <w:highlight w:val="none"/>
        </w:rPr>
        <w:t>性别：</w:t>
      </w:r>
      <w:r>
        <w:rPr>
          <w:rFonts w:hint="eastAsia" w:hAnsi="宋体" w:cs="宋体"/>
          <w:color w:val="auto"/>
          <w:sz w:val="28"/>
          <w:szCs w:val="28"/>
          <w:highlight w:val="none"/>
        </w:rPr>
        <w:t>____________</w:t>
      </w:r>
      <w:r>
        <w:rPr>
          <w:rFonts w:hint="eastAsia" w:hAnsi="宋体" w:cs="宋体"/>
          <w:color w:val="auto"/>
          <w:sz w:val="24"/>
          <w:szCs w:val="24"/>
          <w:highlight w:val="none"/>
        </w:rPr>
        <w:t>职务：</w:t>
      </w:r>
      <w:r>
        <w:rPr>
          <w:rFonts w:hint="eastAsia" w:hAnsi="宋体" w:cs="宋体"/>
          <w:color w:val="auto"/>
          <w:sz w:val="28"/>
          <w:szCs w:val="28"/>
          <w:highlight w:val="none"/>
        </w:rPr>
        <w:t>_________</w:t>
      </w:r>
    </w:p>
    <w:p>
      <w:pPr>
        <w:pStyle w:val="15"/>
        <w:spacing w:line="500" w:lineRule="exact"/>
        <w:ind w:firstLine="480" w:firstLineChars="200"/>
        <w:jc w:val="left"/>
        <w:rPr>
          <w:rFonts w:hAnsi="宋体" w:cs="宋体"/>
          <w:color w:val="auto"/>
          <w:sz w:val="24"/>
          <w:szCs w:val="24"/>
          <w:highlight w:val="none"/>
          <w:u w:val="single"/>
        </w:rPr>
      </w:pPr>
      <w:r>
        <w:rPr>
          <w:rFonts w:hint="eastAsia" w:hAnsi="宋体" w:cs="宋体"/>
          <w:color w:val="auto"/>
          <w:sz w:val="24"/>
          <w:szCs w:val="24"/>
          <w:highlight w:val="none"/>
        </w:rPr>
        <w:t xml:space="preserve">联系地址：  </w:t>
      </w:r>
      <w:r>
        <w:rPr>
          <w:rFonts w:hint="eastAsia" w:hAnsi="宋体" w:cs="宋体"/>
          <w:color w:val="auto"/>
          <w:sz w:val="28"/>
          <w:szCs w:val="28"/>
          <w:highlight w:val="none"/>
        </w:rPr>
        <w:t>________________</w:t>
      </w:r>
    </w:p>
    <w:p>
      <w:pPr>
        <w:pStyle w:val="15"/>
        <w:spacing w:line="500" w:lineRule="exact"/>
        <w:ind w:firstLine="480" w:firstLineChars="200"/>
        <w:jc w:val="left"/>
        <w:rPr>
          <w:rFonts w:hAnsi="宋体" w:cs="宋体"/>
          <w:color w:val="auto"/>
          <w:sz w:val="24"/>
          <w:szCs w:val="24"/>
          <w:highlight w:val="none"/>
          <w:u w:val="single"/>
        </w:rPr>
      </w:pPr>
      <w:r>
        <w:rPr>
          <w:rFonts w:hint="eastAsia" w:hAnsi="宋体" w:cs="宋体"/>
          <w:color w:val="auto"/>
          <w:sz w:val="24"/>
          <w:szCs w:val="24"/>
          <w:highlight w:val="none"/>
        </w:rPr>
        <w:t>联系电话：</w:t>
      </w:r>
      <w:r>
        <w:rPr>
          <w:rFonts w:hint="eastAsia" w:hAnsi="宋体" w:cs="宋体"/>
          <w:color w:val="auto"/>
          <w:sz w:val="28"/>
          <w:szCs w:val="28"/>
          <w:highlight w:val="none"/>
        </w:rPr>
        <w:t>________________</w:t>
      </w:r>
    </w:p>
    <w:p>
      <w:pPr>
        <w:pStyle w:val="15"/>
        <w:spacing w:line="5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法定代表人及被授权人身份证复印件/扫描件</w:t>
      </w:r>
    </w:p>
    <w:tbl>
      <w:tblPr>
        <w:tblStyle w:val="30"/>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5"/>
              <w:spacing w:line="500" w:lineRule="exact"/>
              <w:jc w:val="left"/>
              <w:rPr>
                <w:rFonts w:hAnsi="宋体" w:cs="宋体"/>
                <w:color w:val="auto"/>
                <w:sz w:val="24"/>
                <w:szCs w:val="24"/>
                <w:highlight w:val="none"/>
                <w:shd w:val="pct10" w:color="auto" w:fill="FFFFFF"/>
              </w:rPr>
            </w:pPr>
            <w:r>
              <w:rPr>
                <w:rFonts w:hint="eastAsia" w:hAnsi="宋体" w:cs="宋体"/>
                <w:color w:val="auto"/>
                <w:sz w:val="24"/>
                <w:szCs w:val="24"/>
                <w:highlight w:val="none"/>
                <w:shd w:val="pct10" w:color="auto" w:fill="FFFFFF"/>
              </w:rPr>
              <w:t>法定代表人身份证复印件（正反面）</w:t>
            </w:r>
          </w:p>
          <w:p>
            <w:pPr>
              <w:pStyle w:val="15"/>
              <w:spacing w:line="500" w:lineRule="exact"/>
              <w:jc w:val="left"/>
              <w:rPr>
                <w:rFonts w:hAnsi="宋体" w:cs="宋体"/>
                <w:color w:val="auto"/>
                <w:sz w:val="24"/>
                <w:szCs w:val="24"/>
                <w:highlight w:val="none"/>
                <w:shd w:val="pct10" w:color="auto" w:fill="FFFFFF"/>
              </w:rPr>
            </w:pPr>
          </w:p>
        </w:tc>
        <w:tc>
          <w:tcPr>
            <w:tcW w:w="4546" w:type="dxa"/>
            <w:shd w:val="clear" w:color="auto" w:fill="D9D9D9"/>
            <w:vAlign w:val="center"/>
          </w:tcPr>
          <w:p>
            <w:pPr>
              <w:pStyle w:val="15"/>
              <w:spacing w:line="500" w:lineRule="exact"/>
              <w:ind w:firstLine="480" w:firstLineChars="200"/>
              <w:jc w:val="left"/>
              <w:rPr>
                <w:rFonts w:hAnsi="宋体" w:cs="宋体"/>
                <w:color w:val="auto"/>
                <w:sz w:val="24"/>
                <w:szCs w:val="24"/>
                <w:highlight w:val="none"/>
                <w:shd w:val="pct10" w:color="auto" w:fill="FFFFFF"/>
              </w:rPr>
            </w:pPr>
            <w:r>
              <w:rPr>
                <w:rFonts w:hint="eastAsia" w:hAnsi="宋体" w:cs="宋体"/>
                <w:color w:val="auto"/>
                <w:sz w:val="24"/>
                <w:szCs w:val="24"/>
                <w:highlight w:val="none"/>
                <w:shd w:val="pct10" w:color="auto" w:fill="FFFFFF"/>
              </w:rPr>
              <w:t>被授权人身份证复印件（正反面）</w:t>
            </w:r>
          </w:p>
          <w:p>
            <w:pPr>
              <w:pStyle w:val="15"/>
              <w:spacing w:line="500" w:lineRule="exact"/>
              <w:ind w:firstLine="480" w:firstLineChars="200"/>
              <w:jc w:val="left"/>
              <w:rPr>
                <w:rFonts w:hAnsi="宋体" w:cs="宋体"/>
                <w:color w:val="auto"/>
                <w:sz w:val="24"/>
                <w:szCs w:val="24"/>
                <w:highlight w:val="none"/>
                <w:shd w:val="pct10" w:color="auto" w:fill="FFFFFF"/>
              </w:rPr>
            </w:pPr>
          </w:p>
        </w:tc>
      </w:tr>
    </w:tbl>
    <w:p>
      <w:pPr>
        <w:pStyle w:val="4"/>
        <w:spacing w:before="319" w:beforeLines="100" w:after="478" w:afterLines="150" w:line="500" w:lineRule="exact"/>
        <w:rPr>
          <w:rFonts w:ascii="宋体" w:hAnsi="宋体" w:cs="宋体"/>
          <w:color w:val="auto"/>
          <w:sz w:val="36"/>
          <w:szCs w:val="36"/>
          <w:highlight w:val="none"/>
        </w:rPr>
        <w:sectPr>
          <w:pgSz w:w="11906" w:h="16838"/>
          <w:pgMar w:top="1440" w:right="1803" w:bottom="1440" w:left="1803" w:header="851" w:footer="992" w:gutter="0"/>
          <w:cols w:space="720" w:num="1"/>
          <w:docGrid w:type="lines" w:linePitch="319" w:charSpace="0"/>
        </w:sectPr>
      </w:pPr>
      <w:bookmarkStart w:id="87" w:name="_Toc12851"/>
      <w:bookmarkStart w:id="88" w:name="_Toc9172"/>
      <w:bookmarkStart w:id="89" w:name="_Toc1803"/>
    </w:p>
    <w:bookmarkEnd w:id="87"/>
    <w:bookmarkEnd w:id="88"/>
    <w:p>
      <w:pPr>
        <w:widowControl/>
        <w:spacing w:line="360" w:lineRule="auto"/>
        <w:ind w:left="840"/>
        <w:jc w:val="center"/>
        <w:rPr>
          <w:rFonts w:ascii="宋体" w:hAnsi="宋体" w:cs="宋体"/>
          <w:color w:val="auto"/>
          <w:sz w:val="32"/>
          <w:szCs w:val="32"/>
          <w:highlight w:val="none"/>
        </w:rPr>
      </w:pPr>
      <w:bookmarkStart w:id="90" w:name="_Toc19138"/>
      <w:bookmarkStart w:id="91" w:name="_Toc23165"/>
      <w:bookmarkStart w:id="92" w:name="_Toc18964"/>
      <w:r>
        <w:rPr>
          <w:rFonts w:hint="eastAsia" w:ascii="宋体" w:hAnsi="宋体" w:cs="宋体"/>
          <w:color w:val="auto"/>
          <w:sz w:val="32"/>
          <w:szCs w:val="32"/>
          <w:highlight w:val="none"/>
        </w:rPr>
        <w:t>8、本项目不接受联合体</w:t>
      </w:r>
    </w:p>
    <w:p>
      <w:pPr>
        <w:pStyle w:val="9"/>
        <w:ind w:left="420" w:leftChars="200" w:firstLine="0"/>
        <w:rPr>
          <w:rFonts w:ascii="宋体" w:hAnsi="宋体" w:cs="宋体"/>
          <w:color w:val="auto"/>
          <w:highlight w:val="none"/>
        </w:rPr>
      </w:pPr>
    </w:p>
    <w:p>
      <w:pPr>
        <w:pStyle w:val="29"/>
        <w:rPr>
          <w:rFonts w:ascii="宋体" w:hAnsi="宋体" w:cs="宋体"/>
          <w:color w:val="auto"/>
          <w:highlight w:val="none"/>
        </w:rPr>
      </w:pPr>
    </w:p>
    <w:p>
      <w:pPr>
        <w:widowControl/>
        <w:snapToGrid w:val="0"/>
        <w:spacing w:line="48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(采购人名称）_______________________：</w:t>
      </w:r>
    </w:p>
    <w:p>
      <w:pPr>
        <w:widowControl/>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我单位参与陕西卓佲项目管理有限公司组织的____________________(项目名称)，我单位郑重声明：我方非联合体，如有虚假，承担相应责任。</w:t>
      </w:r>
    </w:p>
    <w:p>
      <w:pPr>
        <w:widowControl/>
        <w:spacing w:line="36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pPr>
        <w:rPr>
          <w:rFonts w:ascii="宋体" w:hAnsi="宋体" w:cs="宋体"/>
          <w:color w:val="auto"/>
          <w:highlight w:val="none"/>
        </w:rPr>
      </w:pPr>
    </w:p>
    <w:p>
      <w:pPr>
        <w:pStyle w:val="9"/>
        <w:rPr>
          <w:rFonts w:ascii="宋体" w:hAnsi="宋体" w:cs="宋体"/>
          <w:color w:val="auto"/>
          <w:sz w:val="24"/>
          <w:szCs w:val="24"/>
          <w:highlight w:val="none"/>
        </w:rPr>
      </w:pPr>
    </w:p>
    <w:p>
      <w:pPr>
        <w:pStyle w:val="9"/>
        <w:rPr>
          <w:rFonts w:ascii="宋体" w:hAnsi="宋体" w:cs="宋体"/>
          <w:color w:val="auto"/>
          <w:sz w:val="24"/>
          <w:szCs w:val="24"/>
          <w:highlight w:val="none"/>
        </w:rPr>
      </w:pPr>
    </w:p>
    <w:p>
      <w:pPr>
        <w:pStyle w:val="9"/>
        <w:rPr>
          <w:rFonts w:ascii="宋体" w:hAnsi="宋体" w:cs="宋体"/>
          <w:color w:val="auto"/>
          <w:sz w:val="24"/>
          <w:szCs w:val="24"/>
          <w:highlight w:val="none"/>
        </w:rPr>
      </w:pPr>
    </w:p>
    <w:p>
      <w:pPr>
        <w:pStyle w:val="9"/>
        <w:rPr>
          <w:rFonts w:ascii="宋体" w:hAnsi="宋体" w:cs="宋体"/>
          <w:color w:val="auto"/>
          <w:sz w:val="24"/>
          <w:szCs w:val="24"/>
          <w:highlight w:val="none"/>
        </w:rPr>
      </w:pPr>
    </w:p>
    <w:p>
      <w:pPr>
        <w:pStyle w:val="9"/>
        <w:rPr>
          <w:rFonts w:ascii="宋体" w:hAnsi="宋体" w:cs="宋体"/>
          <w:color w:val="auto"/>
          <w:sz w:val="24"/>
          <w:szCs w:val="24"/>
          <w:highlight w:val="none"/>
        </w:rPr>
      </w:pPr>
    </w:p>
    <w:p>
      <w:pPr>
        <w:pStyle w:val="9"/>
        <w:rPr>
          <w:rFonts w:ascii="宋体" w:hAnsi="宋体" w:cs="宋体"/>
          <w:color w:val="auto"/>
          <w:sz w:val="24"/>
          <w:szCs w:val="24"/>
          <w:highlight w:val="none"/>
        </w:rPr>
      </w:pPr>
    </w:p>
    <w:p>
      <w:pPr>
        <w:pStyle w:val="15"/>
        <w:spacing w:line="480" w:lineRule="auto"/>
        <w:jc w:val="left"/>
        <w:rPr>
          <w:rFonts w:hAnsi="宋体" w:cs="宋体"/>
          <w:color w:val="auto"/>
          <w:sz w:val="24"/>
          <w:highlight w:val="none"/>
        </w:rPr>
      </w:pPr>
      <w:r>
        <w:rPr>
          <w:rFonts w:hint="eastAsia" w:hAnsi="宋体" w:cs="宋体"/>
          <w:color w:val="auto"/>
          <w:sz w:val="24"/>
          <w:highlight w:val="none"/>
        </w:rPr>
        <w:t>供应商（单位名称及公章）：</w:t>
      </w:r>
      <w:r>
        <w:rPr>
          <w:rFonts w:hint="eastAsia" w:hAnsi="宋体" w:cs="宋体"/>
          <w:color w:val="auto"/>
          <w:sz w:val="28"/>
          <w:szCs w:val="28"/>
          <w:highlight w:val="none"/>
        </w:rPr>
        <w:t>______________________</w:t>
      </w:r>
    </w:p>
    <w:p>
      <w:pPr>
        <w:pStyle w:val="15"/>
        <w:spacing w:line="480" w:lineRule="auto"/>
        <w:jc w:val="left"/>
        <w:rPr>
          <w:rFonts w:hAnsi="宋体" w:cs="宋体"/>
          <w:color w:val="auto"/>
          <w:sz w:val="24"/>
          <w:highlight w:val="none"/>
        </w:rPr>
      </w:pPr>
      <w:r>
        <w:rPr>
          <w:rFonts w:hint="eastAsia" w:hAnsi="宋体" w:cs="宋体"/>
          <w:color w:val="auto"/>
          <w:sz w:val="24"/>
          <w:highlight w:val="none"/>
        </w:rPr>
        <w:t>法定代表人或被授权人（签字或盖章）：</w:t>
      </w:r>
      <w:r>
        <w:rPr>
          <w:rFonts w:hint="eastAsia" w:hAnsi="宋体" w:cs="宋体"/>
          <w:color w:val="auto"/>
          <w:sz w:val="28"/>
          <w:szCs w:val="28"/>
          <w:highlight w:val="none"/>
        </w:rPr>
        <w:t>______________________</w:t>
      </w:r>
    </w:p>
    <w:p>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kern w:val="0"/>
          <w:sz w:val="24"/>
          <w:highlight w:val="none"/>
        </w:rPr>
        <w:t>日    期：</w:t>
      </w:r>
      <w:r>
        <w:rPr>
          <w:rFonts w:hint="eastAsia" w:ascii="宋体" w:hAnsi="宋体" w:cs="宋体"/>
          <w:color w:val="auto"/>
          <w:sz w:val="28"/>
          <w:szCs w:val="28"/>
          <w:highlight w:val="none"/>
        </w:rPr>
        <w:t>______________________</w:t>
      </w:r>
    </w:p>
    <w:p>
      <w:pPr>
        <w:pStyle w:val="4"/>
        <w:tabs>
          <w:tab w:val="left" w:pos="2096"/>
          <w:tab w:val="center" w:pos="5024"/>
        </w:tabs>
        <w:spacing w:before="319" w:beforeLines="100" w:after="478" w:afterLines="150" w:line="500" w:lineRule="exact"/>
        <w:ind w:firstLine="1084" w:firstLineChars="300"/>
        <w:rPr>
          <w:rFonts w:ascii="宋体" w:hAnsi="宋体" w:cs="宋体"/>
          <w:color w:val="auto"/>
          <w:sz w:val="36"/>
          <w:szCs w:val="36"/>
          <w:highlight w:val="none"/>
        </w:rPr>
        <w:sectPr>
          <w:footerReference r:id="rId15" w:type="default"/>
          <w:pgSz w:w="11906" w:h="16838"/>
          <w:pgMar w:top="1440" w:right="1803" w:bottom="1440" w:left="1803" w:header="851" w:footer="992" w:gutter="0"/>
          <w:cols w:space="720" w:num="1"/>
          <w:docGrid w:type="lines" w:linePitch="319" w:charSpace="0"/>
        </w:sectPr>
      </w:pPr>
    </w:p>
    <w:p>
      <w:pPr>
        <w:pStyle w:val="4"/>
        <w:tabs>
          <w:tab w:val="left" w:pos="2096"/>
          <w:tab w:val="center" w:pos="5024"/>
        </w:tabs>
        <w:spacing w:before="319" w:beforeLines="100" w:after="478" w:afterLines="150" w:line="500" w:lineRule="exact"/>
        <w:jc w:val="center"/>
        <w:rPr>
          <w:rFonts w:ascii="宋体" w:hAnsi="宋体" w:cs="宋体"/>
          <w:color w:val="auto"/>
          <w:sz w:val="36"/>
          <w:szCs w:val="36"/>
          <w:highlight w:val="none"/>
        </w:rPr>
      </w:pPr>
      <w:bookmarkStart w:id="93" w:name="_Toc29607"/>
      <w:r>
        <w:rPr>
          <w:rFonts w:hint="eastAsia" w:ascii="宋体" w:hAnsi="宋体" w:cs="宋体"/>
          <w:color w:val="auto"/>
          <w:sz w:val="36"/>
          <w:szCs w:val="36"/>
          <w:highlight w:val="none"/>
        </w:rPr>
        <w:t xml:space="preserve">第五部分 </w:t>
      </w:r>
      <w:bookmarkEnd w:id="90"/>
      <w:bookmarkEnd w:id="91"/>
      <w:bookmarkEnd w:id="92"/>
      <w:r>
        <w:rPr>
          <w:rFonts w:hint="eastAsia" w:ascii="宋体" w:hAnsi="宋体" w:cs="宋体"/>
          <w:color w:val="auto"/>
          <w:sz w:val="36"/>
          <w:szCs w:val="36"/>
          <w:highlight w:val="none"/>
        </w:rPr>
        <w:t xml:space="preserve"> 技术与服务方案</w:t>
      </w:r>
      <w:bookmarkEnd w:id="93"/>
    </w:p>
    <w:p>
      <w:pPr>
        <w:rPr>
          <w:rFonts w:ascii="宋体" w:hAnsi="宋体" w:cs="宋体"/>
          <w:b/>
          <w:bCs/>
          <w:color w:val="auto"/>
          <w:sz w:val="20"/>
          <w:szCs w:val="20"/>
          <w:highlight w:val="none"/>
        </w:rPr>
      </w:pPr>
      <w:r>
        <w:rPr>
          <w:rFonts w:hint="eastAsia" w:ascii="宋体" w:hAnsi="宋体" w:cs="宋体"/>
          <w:b/>
          <w:bCs/>
          <w:color w:val="auto"/>
          <w:sz w:val="24"/>
          <w:szCs w:val="24"/>
          <w:highlight w:val="none"/>
        </w:rPr>
        <w:t>由供应商自行编写，无具体格式。</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adjustRightInd w:val="0"/>
        <w:snapToGrid w:val="0"/>
        <w:spacing w:line="480" w:lineRule="auto"/>
        <w:rPr>
          <w:rFonts w:ascii="宋体" w:hAnsi="宋体" w:cs="宋体"/>
          <w:color w:val="auto"/>
          <w:highlight w:val="none"/>
        </w:rPr>
        <w:sectPr>
          <w:pgSz w:w="11906" w:h="16838"/>
          <w:pgMar w:top="1440" w:right="1803" w:bottom="1440" w:left="1803" w:header="851" w:footer="992" w:gutter="0"/>
          <w:cols w:space="720" w:num="1"/>
          <w:docGrid w:type="lines" w:linePitch="319" w:charSpace="0"/>
        </w:sectPr>
      </w:pPr>
    </w:p>
    <w:bookmarkEnd w:id="89"/>
    <w:p>
      <w:pPr>
        <w:pStyle w:val="4"/>
        <w:spacing w:before="319" w:beforeLines="100" w:after="478" w:afterLines="150" w:line="500" w:lineRule="exact"/>
        <w:jc w:val="center"/>
        <w:rPr>
          <w:rFonts w:ascii="宋体" w:hAnsi="宋体" w:cs="宋体"/>
          <w:color w:val="auto"/>
          <w:sz w:val="36"/>
          <w:szCs w:val="36"/>
          <w:highlight w:val="none"/>
        </w:rPr>
      </w:pPr>
      <w:bookmarkStart w:id="94" w:name="_Toc27522"/>
      <w:bookmarkStart w:id="95" w:name="_Toc16328"/>
      <w:bookmarkStart w:id="96" w:name="_Toc26563"/>
      <w:bookmarkStart w:id="97" w:name="_Toc19655"/>
      <w:bookmarkStart w:id="98" w:name="_Toc10667"/>
      <w:r>
        <w:rPr>
          <w:rFonts w:hint="eastAsia" w:ascii="宋体" w:hAnsi="宋体" w:cs="宋体"/>
          <w:color w:val="auto"/>
          <w:sz w:val="36"/>
          <w:szCs w:val="36"/>
          <w:highlight w:val="none"/>
        </w:rPr>
        <w:t xml:space="preserve">第六部分  </w:t>
      </w:r>
      <w:bookmarkEnd w:id="94"/>
      <w:bookmarkEnd w:id="95"/>
      <w:bookmarkEnd w:id="96"/>
      <w:bookmarkStart w:id="99" w:name="_Toc21288"/>
      <w:bookmarkEnd w:id="99"/>
      <w:r>
        <w:rPr>
          <w:rFonts w:hint="eastAsia" w:ascii="宋体" w:hAnsi="宋体" w:cs="宋体"/>
          <w:color w:val="auto"/>
          <w:sz w:val="36"/>
          <w:szCs w:val="36"/>
          <w:highlight w:val="none"/>
        </w:rPr>
        <w:t>服务承诺</w:t>
      </w:r>
      <w:bookmarkEnd w:id="97"/>
    </w:p>
    <w:p>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服务承诺由供应商自行编写，无具体格式。</w:t>
      </w:r>
    </w:p>
    <w:p>
      <w:pPr>
        <w:pStyle w:val="4"/>
        <w:jc w:val="center"/>
        <w:rPr>
          <w:rFonts w:ascii="宋体" w:hAnsi="宋体" w:cs="宋体"/>
          <w:color w:val="auto"/>
          <w:sz w:val="36"/>
          <w:szCs w:val="36"/>
          <w:highlight w:val="none"/>
        </w:rPr>
      </w:pPr>
      <w:bookmarkStart w:id="100" w:name="_Toc3945"/>
      <w:r>
        <w:rPr>
          <w:rFonts w:hint="eastAsia" w:ascii="宋体" w:hAnsi="宋体" w:cs="宋体"/>
          <w:color w:val="auto"/>
          <w:sz w:val="36"/>
          <w:szCs w:val="36"/>
          <w:highlight w:val="none"/>
        </w:rPr>
        <w:br w:type="page"/>
      </w:r>
      <w:bookmarkStart w:id="101" w:name="_Toc2785"/>
      <w:bookmarkStart w:id="102" w:name="_Toc15906"/>
      <w:r>
        <w:rPr>
          <w:rFonts w:hint="eastAsia" w:ascii="宋体" w:hAnsi="宋体" w:cs="宋体"/>
          <w:color w:val="auto"/>
          <w:sz w:val="36"/>
          <w:szCs w:val="36"/>
          <w:highlight w:val="none"/>
        </w:rPr>
        <w:t>第七部分  业绩一览表</w:t>
      </w:r>
      <w:bookmarkEnd w:id="100"/>
      <w:bookmarkEnd w:id="101"/>
      <w:bookmarkEnd w:id="102"/>
    </w:p>
    <w:tbl>
      <w:tblPr>
        <w:tblStyle w:val="30"/>
        <w:tblW w:w="81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7"/>
        <w:gridCol w:w="1614"/>
        <w:gridCol w:w="1479"/>
        <w:gridCol w:w="1496"/>
        <w:gridCol w:w="1589"/>
        <w:gridCol w:w="11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6" w:hRule="atLeast"/>
          <w:jc w:val="center"/>
        </w:trPr>
        <w:tc>
          <w:tcPr>
            <w:tcW w:w="807" w:type="dxa"/>
            <w:tcBorders>
              <w:top w:val="single" w:color="auto" w:sz="4" w:space="0"/>
            </w:tcBorders>
            <w:vAlign w:val="center"/>
          </w:tcPr>
          <w:p>
            <w:pPr>
              <w:spacing w:line="400" w:lineRule="exact"/>
              <w:rPr>
                <w:rFonts w:ascii="宋体" w:hAnsi="宋体" w:cs="宋体"/>
                <w:color w:val="auto"/>
                <w:highlight w:val="none"/>
              </w:rPr>
            </w:pPr>
            <w:r>
              <w:rPr>
                <w:rFonts w:hint="eastAsia" w:ascii="宋体" w:hAnsi="宋体" w:cs="宋体"/>
                <w:color w:val="auto"/>
                <w:highlight w:val="none"/>
              </w:rPr>
              <w:t>年份</w:t>
            </w:r>
          </w:p>
        </w:tc>
        <w:tc>
          <w:tcPr>
            <w:tcW w:w="1614" w:type="dxa"/>
            <w:tcBorders>
              <w:top w:val="single" w:color="auto" w:sz="4" w:space="0"/>
            </w:tcBorders>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用户名称</w:t>
            </w:r>
          </w:p>
        </w:tc>
        <w:tc>
          <w:tcPr>
            <w:tcW w:w="1479" w:type="dxa"/>
            <w:tcBorders>
              <w:top w:val="single" w:color="auto" w:sz="4" w:space="0"/>
            </w:tcBorders>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项目名称</w:t>
            </w:r>
          </w:p>
        </w:tc>
        <w:tc>
          <w:tcPr>
            <w:tcW w:w="1496" w:type="dxa"/>
            <w:tcBorders>
              <w:top w:val="single" w:color="auto" w:sz="4" w:space="0"/>
            </w:tcBorders>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合同签订时间</w:t>
            </w:r>
          </w:p>
        </w:tc>
        <w:tc>
          <w:tcPr>
            <w:tcW w:w="1589" w:type="dxa"/>
            <w:tcBorders>
              <w:top w:val="single" w:color="auto" w:sz="4" w:space="0"/>
            </w:tcBorders>
            <w:vAlign w:val="center"/>
          </w:tcPr>
          <w:p>
            <w:pPr>
              <w:spacing w:line="400" w:lineRule="exact"/>
              <w:ind w:firstLine="105" w:firstLineChars="50"/>
              <w:rPr>
                <w:rFonts w:ascii="宋体" w:hAnsi="宋体" w:cs="宋体"/>
                <w:color w:val="auto"/>
                <w:highlight w:val="none"/>
              </w:rPr>
            </w:pPr>
            <w:r>
              <w:rPr>
                <w:rFonts w:hint="eastAsia" w:ascii="宋体" w:hAnsi="宋体" w:cs="宋体"/>
                <w:color w:val="auto"/>
                <w:highlight w:val="none"/>
              </w:rPr>
              <w:t>合同金额</w:t>
            </w:r>
          </w:p>
        </w:tc>
        <w:tc>
          <w:tcPr>
            <w:tcW w:w="1172" w:type="dxa"/>
            <w:tcBorders>
              <w:top w:val="single" w:color="auto" w:sz="4" w:space="0"/>
              <w:left w:val="single" w:color="auto" w:sz="4" w:space="0"/>
            </w:tcBorders>
            <w:vAlign w:val="center"/>
          </w:tcPr>
          <w:p>
            <w:pPr>
              <w:spacing w:line="400" w:lineRule="exact"/>
              <w:rPr>
                <w:rFonts w:ascii="宋体" w:hAnsi="宋体" w:cs="宋体"/>
                <w:color w:val="auto"/>
                <w:highlight w:val="none"/>
              </w:rPr>
            </w:pPr>
            <w:r>
              <w:rPr>
                <w:rFonts w:hint="eastAsia" w:ascii="宋体" w:hAnsi="宋体" w:cs="宋体"/>
                <w:color w:val="auto"/>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color w:val="auto"/>
                <w:highlight w:val="none"/>
              </w:rPr>
            </w:pPr>
          </w:p>
        </w:tc>
        <w:tc>
          <w:tcPr>
            <w:tcW w:w="1614" w:type="dxa"/>
            <w:vAlign w:val="center"/>
          </w:tcPr>
          <w:p>
            <w:pPr>
              <w:spacing w:line="400" w:lineRule="exact"/>
              <w:jc w:val="center"/>
              <w:rPr>
                <w:rFonts w:ascii="宋体" w:hAnsi="宋体" w:cs="宋体"/>
                <w:color w:val="auto"/>
                <w:highlight w:val="none"/>
              </w:rPr>
            </w:pPr>
          </w:p>
        </w:tc>
        <w:tc>
          <w:tcPr>
            <w:tcW w:w="1479" w:type="dxa"/>
            <w:vAlign w:val="center"/>
          </w:tcPr>
          <w:p>
            <w:pPr>
              <w:spacing w:line="400" w:lineRule="exact"/>
              <w:jc w:val="center"/>
              <w:rPr>
                <w:rFonts w:ascii="宋体" w:hAnsi="宋体" w:cs="宋体"/>
                <w:color w:val="auto"/>
                <w:highlight w:val="none"/>
              </w:rPr>
            </w:pPr>
          </w:p>
        </w:tc>
        <w:tc>
          <w:tcPr>
            <w:tcW w:w="1496" w:type="dxa"/>
            <w:vAlign w:val="center"/>
          </w:tcPr>
          <w:p>
            <w:pPr>
              <w:spacing w:line="400" w:lineRule="exact"/>
              <w:jc w:val="center"/>
              <w:rPr>
                <w:rFonts w:ascii="宋体" w:hAnsi="宋体" w:cs="宋体"/>
                <w:color w:val="auto"/>
                <w:highlight w:val="none"/>
              </w:rPr>
            </w:pPr>
          </w:p>
        </w:tc>
        <w:tc>
          <w:tcPr>
            <w:tcW w:w="1589" w:type="dxa"/>
            <w:vAlign w:val="center"/>
          </w:tcPr>
          <w:p>
            <w:pPr>
              <w:spacing w:line="400" w:lineRule="exact"/>
              <w:jc w:val="center"/>
              <w:rPr>
                <w:rFonts w:ascii="宋体" w:hAnsi="宋体" w:cs="宋体"/>
                <w:color w:val="auto"/>
                <w:highlight w:val="none"/>
              </w:rPr>
            </w:pPr>
          </w:p>
        </w:tc>
        <w:tc>
          <w:tcPr>
            <w:tcW w:w="1172" w:type="dxa"/>
            <w:tcBorders>
              <w:left w:val="single" w:color="auto" w:sz="4" w:space="0"/>
            </w:tcBorders>
            <w:vAlign w:val="center"/>
          </w:tcPr>
          <w:p>
            <w:pPr>
              <w:spacing w:line="40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color w:val="auto"/>
                <w:highlight w:val="none"/>
              </w:rPr>
            </w:pPr>
          </w:p>
        </w:tc>
        <w:tc>
          <w:tcPr>
            <w:tcW w:w="1614" w:type="dxa"/>
            <w:vAlign w:val="center"/>
          </w:tcPr>
          <w:p>
            <w:pPr>
              <w:spacing w:line="400" w:lineRule="exact"/>
              <w:jc w:val="center"/>
              <w:rPr>
                <w:rFonts w:ascii="宋体" w:hAnsi="宋体" w:cs="宋体"/>
                <w:color w:val="auto"/>
                <w:highlight w:val="none"/>
              </w:rPr>
            </w:pPr>
          </w:p>
        </w:tc>
        <w:tc>
          <w:tcPr>
            <w:tcW w:w="1479" w:type="dxa"/>
            <w:vAlign w:val="center"/>
          </w:tcPr>
          <w:p>
            <w:pPr>
              <w:spacing w:line="400" w:lineRule="exact"/>
              <w:jc w:val="center"/>
              <w:rPr>
                <w:rFonts w:ascii="宋体" w:hAnsi="宋体" w:cs="宋体"/>
                <w:color w:val="auto"/>
                <w:highlight w:val="none"/>
              </w:rPr>
            </w:pPr>
          </w:p>
        </w:tc>
        <w:tc>
          <w:tcPr>
            <w:tcW w:w="1496" w:type="dxa"/>
            <w:vAlign w:val="center"/>
          </w:tcPr>
          <w:p>
            <w:pPr>
              <w:spacing w:line="400" w:lineRule="exact"/>
              <w:jc w:val="center"/>
              <w:rPr>
                <w:rFonts w:ascii="宋体" w:hAnsi="宋体" w:cs="宋体"/>
                <w:color w:val="auto"/>
                <w:highlight w:val="none"/>
              </w:rPr>
            </w:pPr>
          </w:p>
        </w:tc>
        <w:tc>
          <w:tcPr>
            <w:tcW w:w="1589" w:type="dxa"/>
            <w:vAlign w:val="center"/>
          </w:tcPr>
          <w:p>
            <w:pPr>
              <w:spacing w:line="400" w:lineRule="exact"/>
              <w:jc w:val="center"/>
              <w:rPr>
                <w:rFonts w:ascii="宋体" w:hAnsi="宋体" w:cs="宋体"/>
                <w:color w:val="auto"/>
                <w:highlight w:val="none"/>
              </w:rPr>
            </w:pPr>
          </w:p>
        </w:tc>
        <w:tc>
          <w:tcPr>
            <w:tcW w:w="1172" w:type="dxa"/>
            <w:tcBorders>
              <w:left w:val="single" w:color="auto" w:sz="4" w:space="0"/>
            </w:tcBorders>
            <w:vAlign w:val="center"/>
          </w:tcPr>
          <w:p>
            <w:pPr>
              <w:spacing w:line="40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color w:val="auto"/>
                <w:highlight w:val="none"/>
              </w:rPr>
            </w:pPr>
          </w:p>
        </w:tc>
        <w:tc>
          <w:tcPr>
            <w:tcW w:w="1614" w:type="dxa"/>
            <w:vAlign w:val="center"/>
          </w:tcPr>
          <w:p>
            <w:pPr>
              <w:spacing w:line="400" w:lineRule="exact"/>
              <w:jc w:val="center"/>
              <w:rPr>
                <w:rFonts w:ascii="宋体" w:hAnsi="宋体" w:cs="宋体"/>
                <w:color w:val="auto"/>
                <w:highlight w:val="none"/>
              </w:rPr>
            </w:pPr>
          </w:p>
        </w:tc>
        <w:tc>
          <w:tcPr>
            <w:tcW w:w="1479" w:type="dxa"/>
            <w:vAlign w:val="center"/>
          </w:tcPr>
          <w:p>
            <w:pPr>
              <w:spacing w:line="400" w:lineRule="exact"/>
              <w:jc w:val="center"/>
              <w:rPr>
                <w:rFonts w:ascii="宋体" w:hAnsi="宋体" w:cs="宋体"/>
                <w:color w:val="auto"/>
                <w:highlight w:val="none"/>
              </w:rPr>
            </w:pPr>
          </w:p>
        </w:tc>
        <w:tc>
          <w:tcPr>
            <w:tcW w:w="1496" w:type="dxa"/>
            <w:vAlign w:val="center"/>
          </w:tcPr>
          <w:p>
            <w:pPr>
              <w:spacing w:line="400" w:lineRule="exact"/>
              <w:jc w:val="center"/>
              <w:rPr>
                <w:rFonts w:ascii="宋体" w:hAnsi="宋体" w:cs="宋体"/>
                <w:color w:val="auto"/>
                <w:highlight w:val="none"/>
              </w:rPr>
            </w:pPr>
          </w:p>
        </w:tc>
        <w:tc>
          <w:tcPr>
            <w:tcW w:w="1589" w:type="dxa"/>
            <w:vAlign w:val="center"/>
          </w:tcPr>
          <w:p>
            <w:pPr>
              <w:spacing w:line="400" w:lineRule="exact"/>
              <w:jc w:val="center"/>
              <w:rPr>
                <w:rFonts w:ascii="宋体" w:hAnsi="宋体" w:cs="宋体"/>
                <w:color w:val="auto"/>
                <w:highlight w:val="none"/>
              </w:rPr>
            </w:pPr>
          </w:p>
        </w:tc>
        <w:tc>
          <w:tcPr>
            <w:tcW w:w="1172" w:type="dxa"/>
            <w:tcBorders>
              <w:left w:val="single" w:color="auto" w:sz="4" w:space="0"/>
            </w:tcBorders>
            <w:vAlign w:val="center"/>
          </w:tcPr>
          <w:p>
            <w:pPr>
              <w:spacing w:line="40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jc w:val="center"/>
              <w:rPr>
                <w:rFonts w:ascii="宋体" w:hAnsi="宋体" w:cs="宋体"/>
                <w:color w:val="auto"/>
                <w:highlight w:val="none"/>
              </w:rPr>
            </w:pPr>
          </w:p>
        </w:tc>
        <w:tc>
          <w:tcPr>
            <w:tcW w:w="1614" w:type="dxa"/>
            <w:tcBorders>
              <w:right w:val="single" w:color="auto" w:sz="4" w:space="0"/>
            </w:tcBorders>
            <w:vAlign w:val="center"/>
          </w:tcPr>
          <w:p>
            <w:pPr>
              <w:spacing w:line="400" w:lineRule="exact"/>
              <w:jc w:val="center"/>
              <w:rPr>
                <w:rFonts w:ascii="宋体" w:hAnsi="宋体" w:cs="宋体"/>
                <w:color w:val="auto"/>
                <w:highlight w:val="none"/>
              </w:rPr>
            </w:pPr>
          </w:p>
        </w:tc>
        <w:tc>
          <w:tcPr>
            <w:tcW w:w="1479" w:type="dxa"/>
            <w:tcBorders>
              <w:left w:val="single" w:color="auto" w:sz="4" w:space="0"/>
            </w:tcBorders>
            <w:vAlign w:val="center"/>
          </w:tcPr>
          <w:p>
            <w:pPr>
              <w:spacing w:line="400" w:lineRule="exact"/>
              <w:jc w:val="center"/>
              <w:rPr>
                <w:rFonts w:ascii="宋体" w:hAnsi="宋体" w:cs="宋体"/>
                <w:color w:val="auto"/>
                <w:highlight w:val="none"/>
              </w:rPr>
            </w:pPr>
          </w:p>
        </w:tc>
        <w:tc>
          <w:tcPr>
            <w:tcW w:w="1496" w:type="dxa"/>
            <w:vAlign w:val="center"/>
          </w:tcPr>
          <w:p>
            <w:pPr>
              <w:spacing w:line="400" w:lineRule="exact"/>
              <w:jc w:val="center"/>
              <w:rPr>
                <w:rFonts w:ascii="宋体" w:hAnsi="宋体" w:cs="宋体"/>
                <w:color w:val="auto"/>
                <w:highlight w:val="none"/>
              </w:rPr>
            </w:pPr>
          </w:p>
        </w:tc>
        <w:tc>
          <w:tcPr>
            <w:tcW w:w="1589" w:type="dxa"/>
            <w:vAlign w:val="center"/>
          </w:tcPr>
          <w:p>
            <w:pPr>
              <w:spacing w:line="400" w:lineRule="exact"/>
              <w:jc w:val="center"/>
              <w:rPr>
                <w:rFonts w:ascii="宋体" w:hAnsi="宋体" w:cs="宋体"/>
                <w:color w:val="auto"/>
                <w:highlight w:val="none"/>
              </w:rPr>
            </w:pPr>
          </w:p>
        </w:tc>
        <w:tc>
          <w:tcPr>
            <w:tcW w:w="1172" w:type="dxa"/>
            <w:tcBorders>
              <w:left w:val="single" w:color="auto" w:sz="4" w:space="0"/>
            </w:tcBorders>
            <w:vAlign w:val="center"/>
          </w:tcPr>
          <w:p>
            <w:pPr>
              <w:spacing w:line="40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tcBorders>
              <w:right w:val="single" w:color="auto" w:sz="4" w:space="0"/>
            </w:tcBorders>
            <w:vAlign w:val="center"/>
          </w:tcPr>
          <w:p>
            <w:pPr>
              <w:spacing w:line="400" w:lineRule="exact"/>
              <w:rPr>
                <w:rFonts w:ascii="宋体" w:hAnsi="宋体" w:cs="宋体"/>
                <w:color w:val="auto"/>
                <w:highlight w:val="none"/>
              </w:rPr>
            </w:pPr>
          </w:p>
        </w:tc>
        <w:tc>
          <w:tcPr>
            <w:tcW w:w="1614" w:type="dxa"/>
            <w:tcBorders>
              <w:left w:val="single" w:color="auto" w:sz="4" w:space="0"/>
              <w:right w:val="single" w:color="auto" w:sz="4" w:space="0"/>
            </w:tcBorders>
            <w:vAlign w:val="center"/>
          </w:tcPr>
          <w:p>
            <w:pPr>
              <w:spacing w:line="400" w:lineRule="exact"/>
              <w:rPr>
                <w:rFonts w:ascii="宋体" w:hAnsi="宋体" w:cs="宋体"/>
                <w:color w:val="auto"/>
                <w:highlight w:val="none"/>
              </w:rPr>
            </w:pPr>
          </w:p>
        </w:tc>
        <w:tc>
          <w:tcPr>
            <w:tcW w:w="1479" w:type="dxa"/>
            <w:tcBorders>
              <w:left w:val="single" w:color="auto" w:sz="4" w:space="0"/>
              <w:right w:val="single" w:color="auto" w:sz="4" w:space="0"/>
            </w:tcBorders>
            <w:vAlign w:val="center"/>
          </w:tcPr>
          <w:p>
            <w:pPr>
              <w:spacing w:line="400" w:lineRule="exact"/>
              <w:rPr>
                <w:rFonts w:ascii="宋体" w:hAnsi="宋体" w:cs="宋体"/>
                <w:color w:val="auto"/>
                <w:highlight w:val="none"/>
              </w:rPr>
            </w:pPr>
          </w:p>
        </w:tc>
        <w:tc>
          <w:tcPr>
            <w:tcW w:w="1496" w:type="dxa"/>
            <w:tcBorders>
              <w:left w:val="single" w:color="auto" w:sz="4" w:space="0"/>
              <w:right w:val="single" w:color="auto" w:sz="4" w:space="0"/>
            </w:tcBorders>
            <w:vAlign w:val="center"/>
          </w:tcPr>
          <w:p>
            <w:pPr>
              <w:spacing w:line="400" w:lineRule="exact"/>
              <w:rPr>
                <w:rFonts w:ascii="宋体" w:hAnsi="宋体" w:cs="宋体"/>
                <w:color w:val="auto"/>
                <w:highlight w:val="none"/>
              </w:rPr>
            </w:pPr>
          </w:p>
        </w:tc>
        <w:tc>
          <w:tcPr>
            <w:tcW w:w="1589" w:type="dxa"/>
            <w:tcBorders>
              <w:left w:val="single" w:color="auto" w:sz="4" w:space="0"/>
              <w:right w:val="single" w:color="auto" w:sz="4" w:space="0"/>
            </w:tcBorders>
            <w:vAlign w:val="center"/>
          </w:tcPr>
          <w:p>
            <w:pPr>
              <w:spacing w:line="400" w:lineRule="exact"/>
              <w:rPr>
                <w:rFonts w:ascii="宋体" w:hAnsi="宋体" w:cs="宋体"/>
                <w:color w:val="auto"/>
                <w:highlight w:val="none"/>
              </w:rPr>
            </w:pPr>
          </w:p>
        </w:tc>
        <w:tc>
          <w:tcPr>
            <w:tcW w:w="1172" w:type="dxa"/>
            <w:tcBorders>
              <w:left w:val="single" w:color="auto" w:sz="4" w:space="0"/>
            </w:tcBorders>
            <w:vAlign w:val="center"/>
          </w:tcPr>
          <w:p>
            <w:pPr>
              <w:spacing w:line="40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1" w:hRule="atLeast"/>
          <w:jc w:val="center"/>
        </w:trPr>
        <w:tc>
          <w:tcPr>
            <w:tcW w:w="807" w:type="dxa"/>
            <w:vAlign w:val="center"/>
          </w:tcPr>
          <w:p>
            <w:pPr>
              <w:spacing w:line="400" w:lineRule="exact"/>
              <w:rPr>
                <w:rFonts w:ascii="宋体" w:hAnsi="宋体" w:cs="宋体"/>
                <w:color w:val="auto"/>
                <w:highlight w:val="none"/>
              </w:rPr>
            </w:pPr>
          </w:p>
        </w:tc>
        <w:tc>
          <w:tcPr>
            <w:tcW w:w="1614" w:type="dxa"/>
            <w:vAlign w:val="center"/>
          </w:tcPr>
          <w:p>
            <w:pPr>
              <w:spacing w:line="400" w:lineRule="exact"/>
              <w:rPr>
                <w:rFonts w:ascii="宋体" w:hAnsi="宋体" w:cs="宋体"/>
                <w:color w:val="auto"/>
                <w:highlight w:val="none"/>
              </w:rPr>
            </w:pPr>
          </w:p>
        </w:tc>
        <w:tc>
          <w:tcPr>
            <w:tcW w:w="1479" w:type="dxa"/>
            <w:vAlign w:val="center"/>
          </w:tcPr>
          <w:p>
            <w:pPr>
              <w:spacing w:line="400" w:lineRule="exact"/>
              <w:rPr>
                <w:rFonts w:ascii="宋体" w:hAnsi="宋体" w:cs="宋体"/>
                <w:color w:val="auto"/>
                <w:highlight w:val="none"/>
              </w:rPr>
            </w:pPr>
          </w:p>
        </w:tc>
        <w:tc>
          <w:tcPr>
            <w:tcW w:w="1496" w:type="dxa"/>
            <w:vAlign w:val="center"/>
          </w:tcPr>
          <w:p>
            <w:pPr>
              <w:spacing w:line="400" w:lineRule="exact"/>
              <w:rPr>
                <w:rFonts w:ascii="宋体" w:hAnsi="宋体" w:cs="宋体"/>
                <w:color w:val="auto"/>
                <w:highlight w:val="none"/>
              </w:rPr>
            </w:pPr>
          </w:p>
        </w:tc>
        <w:tc>
          <w:tcPr>
            <w:tcW w:w="1589" w:type="dxa"/>
            <w:tcBorders>
              <w:right w:val="single" w:color="auto" w:sz="4" w:space="0"/>
            </w:tcBorders>
            <w:vAlign w:val="center"/>
          </w:tcPr>
          <w:p>
            <w:pPr>
              <w:spacing w:line="400" w:lineRule="exact"/>
              <w:rPr>
                <w:rFonts w:ascii="宋体" w:hAnsi="宋体" w:cs="宋体"/>
                <w:color w:val="auto"/>
                <w:highlight w:val="none"/>
              </w:rPr>
            </w:pPr>
          </w:p>
        </w:tc>
        <w:tc>
          <w:tcPr>
            <w:tcW w:w="1172" w:type="dxa"/>
            <w:tcBorders>
              <w:left w:val="single" w:color="auto" w:sz="4" w:space="0"/>
            </w:tcBorders>
            <w:vAlign w:val="center"/>
          </w:tcPr>
          <w:p>
            <w:pPr>
              <w:spacing w:line="400" w:lineRule="exac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0" w:hRule="atLeast"/>
          <w:jc w:val="center"/>
        </w:trPr>
        <w:tc>
          <w:tcPr>
            <w:tcW w:w="807" w:type="dxa"/>
            <w:tcBorders>
              <w:bottom w:val="single" w:color="auto" w:sz="4" w:space="0"/>
            </w:tcBorders>
            <w:vAlign w:val="center"/>
          </w:tcPr>
          <w:p>
            <w:pPr>
              <w:spacing w:line="400" w:lineRule="exact"/>
              <w:jc w:val="center"/>
              <w:rPr>
                <w:rFonts w:ascii="宋体" w:hAnsi="宋体" w:cs="宋体"/>
                <w:color w:val="auto"/>
                <w:highlight w:val="none"/>
              </w:rPr>
            </w:pPr>
          </w:p>
        </w:tc>
        <w:tc>
          <w:tcPr>
            <w:tcW w:w="1614" w:type="dxa"/>
            <w:tcBorders>
              <w:bottom w:val="single" w:color="auto" w:sz="4" w:space="0"/>
            </w:tcBorders>
            <w:vAlign w:val="center"/>
          </w:tcPr>
          <w:p>
            <w:pPr>
              <w:spacing w:line="400" w:lineRule="exact"/>
              <w:jc w:val="center"/>
              <w:rPr>
                <w:rFonts w:ascii="宋体" w:hAnsi="宋体" w:cs="宋体"/>
                <w:color w:val="auto"/>
                <w:highlight w:val="none"/>
              </w:rPr>
            </w:pPr>
          </w:p>
        </w:tc>
        <w:tc>
          <w:tcPr>
            <w:tcW w:w="1479" w:type="dxa"/>
            <w:tcBorders>
              <w:bottom w:val="single" w:color="auto" w:sz="4" w:space="0"/>
            </w:tcBorders>
            <w:vAlign w:val="center"/>
          </w:tcPr>
          <w:p>
            <w:pPr>
              <w:spacing w:line="400" w:lineRule="exact"/>
              <w:jc w:val="center"/>
              <w:rPr>
                <w:rFonts w:ascii="宋体" w:hAnsi="宋体" w:cs="宋体"/>
                <w:color w:val="auto"/>
                <w:highlight w:val="none"/>
              </w:rPr>
            </w:pPr>
          </w:p>
        </w:tc>
        <w:tc>
          <w:tcPr>
            <w:tcW w:w="1496" w:type="dxa"/>
            <w:tcBorders>
              <w:bottom w:val="single" w:color="auto" w:sz="4" w:space="0"/>
            </w:tcBorders>
            <w:vAlign w:val="center"/>
          </w:tcPr>
          <w:p>
            <w:pPr>
              <w:spacing w:line="400" w:lineRule="exact"/>
              <w:jc w:val="center"/>
              <w:rPr>
                <w:rFonts w:ascii="宋体" w:hAnsi="宋体" w:cs="宋体"/>
                <w:color w:val="auto"/>
                <w:highlight w:val="none"/>
              </w:rPr>
            </w:pPr>
          </w:p>
        </w:tc>
        <w:tc>
          <w:tcPr>
            <w:tcW w:w="1589" w:type="dxa"/>
            <w:tcBorders>
              <w:bottom w:val="single" w:color="auto" w:sz="4" w:space="0"/>
              <w:right w:val="single" w:color="auto" w:sz="4" w:space="0"/>
            </w:tcBorders>
            <w:vAlign w:val="center"/>
          </w:tcPr>
          <w:p>
            <w:pPr>
              <w:spacing w:line="400" w:lineRule="exact"/>
              <w:jc w:val="center"/>
              <w:rPr>
                <w:rFonts w:ascii="宋体" w:hAnsi="宋体" w:cs="宋体"/>
                <w:color w:val="auto"/>
                <w:highlight w:val="none"/>
              </w:rPr>
            </w:pPr>
          </w:p>
        </w:tc>
        <w:tc>
          <w:tcPr>
            <w:tcW w:w="1172" w:type="dxa"/>
            <w:tcBorders>
              <w:left w:val="single" w:color="auto" w:sz="4" w:space="0"/>
              <w:bottom w:val="single" w:color="auto" w:sz="4" w:space="0"/>
            </w:tcBorders>
            <w:vAlign w:val="center"/>
          </w:tcPr>
          <w:p>
            <w:pPr>
              <w:spacing w:line="400" w:lineRule="exact"/>
              <w:jc w:val="center"/>
              <w:rPr>
                <w:rFonts w:ascii="宋体" w:hAnsi="宋体" w:cs="宋体"/>
                <w:color w:val="auto"/>
                <w:highlight w:val="none"/>
              </w:rPr>
            </w:pPr>
          </w:p>
        </w:tc>
      </w:tr>
    </w:tbl>
    <w:p>
      <w:pPr>
        <w:rPr>
          <w:rFonts w:ascii="宋体" w:hAnsi="宋体" w:cs="宋体"/>
          <w:color w:val="auto"/>
          <w:highlight w:val="none"/>
        </w:rPr>
      </w:pPr>
    </w:p>
    <w:p>
      <w:pPr>
        <w:spacing w:line="360" w:lineRule="auto"/>
        <w:ind w:left="360"/>
        <w:jc w:val="left"/>
        <w:rPr>
          <w:rFonts w:ascii="宋体" w:hAnsi="宋体" w:cs="宋体"/>
          <w:color w:val="auto"/>
          <w:sz w:val="24"/>
          <w:szCs w:val="24"/>
          <w:highlight w:val="none"/>
        </w:rPr>
      </w:pPr>
      <w:r>
        <w:rPr>
          <w:rFonts w:hint="eastAsia" w:ascii="宋体" w:hAnsi="宋体" w:cs="宋体"/>
          <w:color w:val="auto"/>
          <w:sz w:val="24"/>
          <w:szCs w:val="24"/>
          <w:highlight w:val="none"/>
        </w:rPr>
        <w:t>后附合同复印件</w:t>
      </w:r>
    </w:p>
    <w:p>
      <w:pPr>
        <w:adjustRightInd w:val="0"/>
        <w:snapToGrid w:val="0"/>
        <w:spacing w:line="480" w:lineRule="auto"/>
        <w:jc w:val="left"/>
        <w:rPr>
          <w:rFonts w:ascii="宋体" w:hAnsi="宋体" w:cs="宋体"/>
          <w:color w:val="auto"/>
          <w:sz w:val="24"/>
          <w:szCs w:val="24"/>
          <w:highlight w:val="none"/>
        </w:rPr>
      </w:pPr>
    </w:p>
    <w:p>
      <w:pPr>
        <w:adjustRightInd w:val="0"/>
        <w:snapToGrid w:val="0"/>
        <w:spacing w:line="48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供应商（单位名称及公章）：_________________________</w:t>
      </w:r>
    </w:p>
    <w:p>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法定代表人或被授权人（签字或盖章）：_____________________</w:t>
      </w:r>
    </w:p>
    <w:p>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日    期：_____年_____月_____日</w:t>
      </w:r>
    </w:p>
    <w:p>
      <w:pPr>
        <w:pStyle w:val="4"/>
        <w:numPr>
          <w:ilvl w:val="0"/>
          <w:numId w:val="26"/>
        </w:numPr>
        <w:spacing w:before="319" w:beforeLines="100" w:after="478" w:afterLines="150" w:line="500" w:lineRule="exact"/>
        <w:jc w:val="center"/>
        <w:rPr>
          <w:rFonts w:ascii="宋体" w:hAnsi="宋体" w:cs="宋体"/>
          <w:color w:val="auto"/>
          <w:sz w:val="36"/>
          <w:szCs w:val="36"/>
          <w:highlight w:val="none"/>
        </w:rPr>
      </w:pPr>
      <w:bookmarkStart w:id="103" w:name="_Toc19279"/>
      <w:r>
        <w:rPr>
          <w:rFonts w:hint="eastAsia" w:ascii="宋体" w:hAnsi="宋体" w:cs="宋体"/>
          <w:color w:val="auto"/>
          <w:sz w:val="36"/>
          <w:szCs w:val="36"/>
          <w:highlight w:val="none"/>
        </w:rPr>
        <w:br w:type="page"/>
      </w:r>
      <w:bookmarkStart w:id="104" w:name="_Toc31275"/>
      <w:r>
        <w:rPr>
          <w:rFonts w:hint="eastAsia" w:ascii="宋体" w:hAnsi="宋体" w:cs="宋体"/>
          <w:color w:val="auto"/>
          <w:sz w:val="36"/>
          <w:szCs w:val="36"/>
          <w:highlight w:val="none"/>
        </w:rPr>
        <w:t xml:space="preserve">  </w:t>
      </w:r>
      <w:bookmarkStart w:id="105" w:name="_Toc27538"/>
      <w:r>
        <w:rPr>
          <w:rFonts w:hint="eastAsia" w:ascii="宋体" w:hAnsi="宋体" w:cs="宋体"/>
          <w:color w:val="auto"/>
          <w:sz w:val="36"/>
          <w:szCs w:val="36"/>
          <w:highlight w:val="none"/>
        </w:rPr>
        <w:t>供应商认为有必要说明的其他问题</w:t>
      </w:r>
      <w:bookmarkEnd w:id="103"/>
      <w:bookmarkEnd w:id="104"/>
      <w:bookmarkEnd w:id="105"/>
    </w:p>
    <w:bookmarkEnd w:id="98"/>
    <w:p>
      <w:pPr>
        <w:adjustRightInd w:val="0"/>
        <w:spacing w:line="416" w:lineRule="atLeast"/>
        <w:jc w:val="center"/>
        <w:textAlignment w:val="baseline"/>
        <w:rPr>
          <w:rFonts w:ascii="宋体" w:hAnsi="宋体" w:cs="宋体"/>
          <w:color w:val="auto"/>
          <w:highlight w:val="none"/>
        </w:rPr>
      </w:pPr>
      <w:r>
        <w:rPr>
          <w:rFonts w:hint="eastAsia" w:ascii="宋体" w:hAnsi="宋体" w:cs="宋体"/>
          <w:color w:val="auto"/>
          <w:highlight w:val="none"/>
        </w:rPr>
        <w:br w:type="page"/>
      </w:r>
    </w:p>
    <w:p>
      <w:pPr>
        <w:pStyle w:val="4"/>
        <w:adjustRightInd w:val="0"/>
        <w:spacing w:line="416" w:lineRule="atLeast"/>
        <w:jc w:val="center"/>
        <w:textAlignment w:val="baseline"/>
        <w:rPr>
          <w:rFonts w:ascii="宋体" w:hAnsi="宋体" w:cs="宋体"/>
          <w:color w:val="auto"/>
          <w:highlight w:val="none"/>
        </w:rPr>
      </w:pPr>
      <w:bookmarkStart w:id="106" w:name="_Toc14253"/>
      <w:r>
        <w:rPr>
          <w:rFonts w:hint="eastAsia" w:ascii="宋体" w:hAnsi="宋体" w:cs="宋体"/>
          <w:color w:val="auto"/>
          <w:highlight w:val="none"/>
        </w:rPr>
        <w:t>附件一、封袋正面标识式样</w:t>
      </w:r>
      <w:bookmarkEnd w:id="83"/>
      <w:bookmarkEnd w:id="106"/>
    </w:p>
    <w:p>
      <w:pPr>
        <w:spacing w:line="460" w:lineRule="exact"/>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t>投标文件正本封袋正面标识式样</w:t>
      </w:r>
    </w:p>
    <w:p>
      <w:pPr>
        <w:spacing w:line="460" w:lineRule="exact"/>
        <w:ind w:firstLine="420" w:firstLineChars="200"/>
        <w:jc w:val="center"/>
        <w:rPr>
          <w:rFonts w:ascii="宋体" w:hAnsi="宋体" w:cs="宋体"/>
          <w:b/>
          <w:color w:val="auto"/>
          <w:sz w:val="24"/>
          <w:highlight w:val="none"/>
        </w:rPr>
      </w:pPr>
      <w:r>
        <w:rPr>
          <w:rFonts w:hint="eastAsia" w:ascii="宋体"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113030</wp:posOffset>
                </wp:positionV>
                <wp:extent cx="5847080" cy="2937510"/>
                <wp:effectExtent l="4445" t="4445" r="15875" b="10795"/>
                <wp:wrapNone/>
                <wp:docPr id="13" name="Text Box 3"/>
                <wp:cNvGraphicFramePr/>
                <a:graphic xmlns:a="http://schemas.openxmlformats.org/drawingml/2006/main">
                  <a:graphicData uri="http://schemas.microsoft.com/office/word/2010/wordprocessingShape">
                    <wps:wsp>
                      <wps:cNvSpPr txBox="1"/>
                      <wps:spPr>
                        <a:xfrm>
                          <a:off x="0" y="0"/>
                          <a:ext cx="5847080" cy="29375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致：陕西卓佲项目管理有限公司       项目编号：ZMZB2022YDYZ-125</w:t>
                            </w:r>
                          </w:p>
                          <w:p>
                            <w:pPr>
                              <w:rPr>
                                <w:rFonts w:hint="eastAsia" w:eastAsia="宋体"/>
                                <w:sz w:val="28"/>
                                <w:szCs w:val="28"/>
                                <w:lang w:eastAsia="zh-CN"/>
                              </w:rPr>
                            </w:pPr>
                            <w:r>
                              <w:rPr>
                                <w:rFonts w:hint="eastAsia"/>
                                <w:sz w:val="28"/>
                                <w:szCs w:val="28"/>
                              </w:rPr>
                              <w:t>项目名称：西安市远东第一中学</w:t>
                            </w:r>
                            <w:r>
                              <w:rPr>
                                <w:rFonts w:hint="eastAsia"/>
                                <w:sz w:val="28"/>
                                <w:szCs w:val="28"/>
                                <w:lang w:eastAsia="zh-CN"/>
                              </w:rPr>
                              <w:t>校园信息化设备采购项目</w:t>
                            </w:r>
                          </w:p>
                          <w:p>
                            <w:pPr>
                              <w:jc w:val="center"/>
                              <w:rPr>
                                <w:b/>
                                <w:sz w:val="44"/>
                                <w:szCs w:val="44"/>
                              </w:rPr>
                            </w:pPr>
                            <w:r>
                              <w:rPr>
                                <w:rFonts w:hint="eastAsia"/>
                                <w:b/>
                                <w:sz w:val="44"/>
                                <w:szCs w:val="44"/>
                              </w:rPr>
                              <w:t>投标文件（正本）</w:t>
                            </w:r>
                          </w:p>
                          <w:p>
                            <w:pPr>
                              <w:pStyle w:val="6"/>
                              <w:ind w:firstLine="3092" w:firstLineChars="1100"/>
                              <w:jc w:val="both"/>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7.55pt;margin-top:8.9pt;height:231.3pt;width:460.4pt;z-index:251662336;mso-width-relative:page;mso-height-relative:page;" fillcolor="#FFFFFF" filled="t" stroked="t" coordsize="21600,21600" o:gfxdata="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7vUYtkAAAAKAQAADwAAAAAAAAABACAAAAAiAAAAZHJzL2Rvd25yZXYueG1sUEsB&#10;AhQAFAAAAAgAh07iQPgGDdn0AQAABQQAAA4AAAAAAAAAAQAgAAAAKAEAAGRycy9lMm9Eb2MueG1s&#10;UEsFBgAAAAAGAAYAWQEAAI4FAAAAAA==&#10;">
                <v:fill on="t" focussize="0,0"/>
                <v:stroke color="#000000" joinstyle="miter"/>
                <v:imagedata o:title=""/>
                <o:lock v:ext="edit" aspectratio="f"/>
                <v:textbox>
                  <w:txbxContent>
                    <w:p>
                      <w:pPr>
                        <w:rPr>
                          <w:sz w:val="28"/>
                          <w:szCs w:val="28"/>
                        </w:rPr>
                      </w:pPr>
                      <w:r>
                        <w:rPr>
                          <w:rFonts w:hint="eastAsia"/>
                          <w:sz w:val="28"/>
                          <w:szCs w:val="28"/>
                        </w:rPr>
                        <w:t>致：陕西卓佲项目管理有限公司       项目编号：ZMZB2022YDYZ-125</w:t>
                      </w:r>
                    </w:p>
                    <w:p>
                      <w:pPr>
                        <w:rPr>
                          <w:rFonts w:hint="eastAsia" w:eastAsia="宋体"/>
                          <w:sz w:val="28"/>
                          <w:szCs w:val="28"/>
                          <w:lang w:eastAsia="zh-CN"/>
                        </w:rPr>
                      </w:pPr>
                      <w:r>
                        <w:rPr>
                          <w:rFonts w:hint="eastAsia"/>
                          <w:sz w:val="28"/>
                          <w:szCs w:val="28"/>
                        </w:rPr>
                        <w:t>项目名称：西安市远东第一中学</w:t>
                      </w:r>
                      <w:r>
                        <w:rPr>
                          <w:rFonts w:hint="eastAsia"/>
                          <w:sz w:val="28"/>
                          <w:szCs w:val="28"/>
                          <w:lang w:eastAsia="zh-CN"/>
                        </w:rPr>
                        <w:t>校园信息化设备采购项目</w:t>
                      </w:r>
                    </w:p>
                    <w:p>
                      <w:pPr>
                        <w:jc w:val="center"/>
                        <w:rPr>
                          <w:b/>
                          <w:sz w:val="44"/>
                          <w:szCs w:val="44"/>
                        </w:rPr>
                      </w:pPr>
                      <w:r>
                        <w:rPr>
                          <w:rFonts w:hint="eastAsia"/>
                          <w:b/>
                          <w:sz w:val="44"/>
                          <w:szCs w:val="44"/>
                        </w:rPr>
                        <w:t>投标文件（正本）</w:t>
                      </w:r>
                    </w:p>
                    <w:p>
                      <w:pPr>
                        <w:pStyle w:val="6"/>
                        <w:ind w:firstLine="3092" w:firstLineChars="1100"/>
                        <w:jc w:val="both"/>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pStyle w:val="9"/>
        <w:rPr>
          <w:rFonts w:ascii="宋体" w:hAnsi="宋体" w:cs="宋体"/>
          <w:color w:val="auto"/>
          <w:highlight w:val="none"/>
        </w:rPr>
      </w:pPr>
    </w:p>
    <w:p>
      <w:pPr>
        <w:spacing w:line="460" w:lineRule="exact"/>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t>投标文件副本封袋正面标识式样</w:t>
      </w:r>
    </w:p>
    <w:p>
      <w:pPr>
        <w:tabs>
          <w:tab w:val="left" w:pos="8280"/>
        </w:tabs>
        <w:spacing w:line="460" w:lineRule="exact"/>
        <w:ind w:firstLine="482" w:firstLineChars="200"/>
        <w:jc w:val="center"/>
        <w:rPr>
          <w:rFonts w:ascii="宋体" w:hAnsi="宋体" w:cs="宋体"/>
          <w:b/>
          <w:color w:val="auto"/>
          <w:sz w:val="24"/>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-314325</wp:posOffset>
                </wp:positionH>
                <wp:positionV relativeFrom="paragraph">
                  <wp:posOffset>100330</wp:posOffset>
                </wp:positionV>
                <wp:extent cx="5870575" cy="2741295"/>
                <wp:effectExtent l="4445" t="4445" r="11430" b="16510"/>
                <wp:wrapNone/>
                <wp:docPr id="6" name="Text Box 4"/>
                <wp:cNvGraphicFramePr/>
                <a:graphic xmlns:a="http://schemas.openxmlformats.org/drawingml/2006/main">
                  <a:graphicData uri="http://schemas.microsoft.com/office/word/2010/wordprocessingShape">
                    <wps:wsp>
                      <wps:cNvSpPr txBox="1"/>
                      <wps:spPr>
                        <a:xfrm>
                          <a:off x="0" y="0"/>
                          <a:ext cx="5825490" cy="27412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致：陕西卓佲项目管理有限公司        项目编号：ZMZB2022YDYZ-125</w:t>
                            </w:r>
                          </w:p>
                          <w:p>
                            <w:pPr>
                              <w:rPr>
                                <w:rFonts w:hint="eastAsia" w:eastAsia="宋体"/>
                                <w:sz w:val="28"/>
                                <w:szCs w:val="28"/>
                                <w:lang w:eastAsia="zh-CN"/>
                              </w:rPr>
                            </w:pPr>
                            <w:r>
                              <w:rPr>
                                <w:rFonts w:hint="eastAsia"/>
                                <w:sz w:val="28"/>
                                <w:szCs w:val="28"/>
                              </w:rPr>
                              <w:t>项目名称：西安市远东第一中学</w:t>
                            </w:r>
                            <w:r>
                              <w:rPr>
                                <w:rFonts w:hint="eastAsia"/>
                                <w:sz w:val="28"/>
                                <w:szCs w:val="28"/>
                                <w:lang w:eastAsia="zh-CN"/>
                              </w:rPr>
                              <w:t>校园信息化设备采购项目</w:t>
                            </w:r>
                          </w:p>
                          <w:p>
                            <w:pPr>
                              <w:pStyle w:val="2"/>
                              <w:ind w:firstLine="2650" w:firstLineChars="600"/>
                              <w:jc w:val="left"/>
                              <w:rPr>
                                <w:sz w:val="28"/>
                                <w:szCs w:val="28"/>
                              </w:rPr>
                            </w:pPr>
                            <w:r>
                              <w:rPr>
                                <w:rFonts w:hint="eastAsia"/>
                                <w:b/>
                                <w:color w:val="auto"/>
                                <w:sz w:val="44"/>
                                <w:szCs w:val="44"/>
                              </w:rPr>
                              <w:t>投标文件（副本）</w:t>
                            </w:r>
                          </w:p>
                          <w:p>
                            <w:pPr>
                              <w:pStyle w:val="6"/>
                              <w:ind w:firstLine="3092" w:firstLineChars="1100"/>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4" o:spid="_x0000_s1026" o:spt="202" type="#_x0000_t202" style="position:absolute;left:0pt;margin-left:-24.75pt;margin-top:7.9pt;height:215.85pt;width:462.25pt;z-index:251663360;mso-width-relative:page;mso-height-relative:page;" fillcolor="#FFFFFF" filled="t" stroked="t" coordsize="21600,21600" o:gfxdata="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Tt92QAAAAoBAAAPAAAAAAAAAAEAIAAAACIAAABkcnMvZG93bnJldi54bWxQSwECFAAU&#10;AAAACACHTuJA50jbn/ABAAAEBAAADgAAAAAAAAABACAAAAAoAQAAZHJzL2Uyb0RvYy54bWxQSwUG&#10;AAAAAAYABgBZAQAAigUAAAAA&#10;">
                <v:fill on="t" focussize="0,0"/>
                <v:stroke color="#000000" joinstyle="miter"/>
                <v:imagedata o:title=""/>
                <o:lock v:ext="edit" aspectratio="f"/>
                <v:textbox>
                  <w:txbxContent>
                    <w:p>
                      <w:pPr>
                        <w:rPr>
                          <w:sz w:val="28"/>
                          <w:szCs w:val="28"/>
                        </w:rPr>
                      </w:pPr>
                      <w:r>
                        <w:rPr>
                          <w:rFonts w:hint="eastAsia"/>
                          <w:sz w:val="28"/>
                          <w:szCs w:val="28"/>
                        </w:rPr>
                        <w:t>致：陕西卓佲项目管理有限公司        项目编号：ZMZB2022YDYZ-125</w:t>
                      </w:r>
                    </w:p>
                    <w:p>
                      <w:pPr>
                        <w:rPr>
                          <w:rFonts w:hint="eastAsia" w:eastAsia="宋体"/>
                          <w:sz w:val="28"/>
                          <w:szCs w:val="28"/>
                          <w:lang w:eastAsia="zh-CN"/>
                        </w:rPr>
                      </w:pPr>
                      <w:r>
                        <w:rPr>
                          <w:rFonts w:hint="eastAsia"/>
                          <w:sz w:val="28"/>
                          <w:szCs w:val="28"/>
                        </w:rPr>
                        <w:t>项目名称：西安市远东第一中学</w:t>
                      </w:r>
                      <w:r>
                        <w:rPr>
                          <w:rFonts w:hint="eastAsia"/>
                          <w:sz w:val="28"/>
                          <w:szCs w:val="28"/>
                          <w:lang w:eastAsia="zh-CN"/>
                        </w:rPr>
                        <w:t>校园信息化设备采购项目</w:t>
                      </w:r>
                    </w:p>
                    <w:p>
                      <w:pPr>
                        <w:pStyle w:val="2"/>
                        <w:ind w:firstLine="2650" w:firstLineChars="600"/>
                        <w:jc w:val="left"/>
                        <w:rPr>
                          <w:sz w:val="28"/>
                          <w:szCs w:val="28"/>
                        </w:rPr>
                      </w:pPr>
                      <w:r>
                        <w:rPr>
                          <w:rFonts w:hint="eastAsia"/>
                          <w:b/>
                          <w:color w:val="auto"/>
                          <w:sz w:val="44"/>
                          <w:szCs w:val="44"/>
                        </w:rPr>
                        <w:t>投标文件（副本）</w:t>
                      </w:r>
                    </w:p>
                    <w:p>
                      <w:pPr>
                        <w:pStyle w:val="6"/>
                        <w:ind w:firstLine="3092" w:firstLineChars="1100"/>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1004" w:firstLineChars="200"/>
        <w:jc w:val="center"/>
        <w:rPr>
          <w:rFonts w:ascii="宋体" w:hAnsi="宋体" w:cs="宋体"/>
          <w:b/>
          <w:color w:val="auto"/>
          <w:sz w:val="50"/>
          <w:highlight w:val="none"/>
        </w:rPr>
      </w:pPr>
    </w:p>
    <w:p>
      <w:pPr>
        <w:widowControl/>
        <w:spacing w:line="460" w:lineRule="exact"/>
        <w:ind w:firstLine="480" w:firstLineChars="200"/>
        <w:jc w:val="center"/>
        <w:rPr>
          <w:rFonts w:ascii="宋体" w:hAnsi="宋体" w:cs="宋体"/>
          <w:color w:val="auto"/>
          <w:sz w:val="24"/>
          <w:szCs w:val="28"/>
          <w:highlight w:val="none"/>
        </w:rPr>
        <w:sectPr>
          <w:footerReference r:id="rId16" w:type="default"/>
          <w:pgSz w:w="11906" w:h="16838"/>
          <w:pgMar w:top="1440" w:right="1803" w:bottom="1440" w:left="1803" w:header="851" w:footer="992" w:gutter="0"/>
          <w:cols w:space="720" w:num="1"/>
          <w:docGrid w:type="lines" w:linePitch="319" w:charSpace="0"/>
        </w:sectPr>
      </w:pPr>
    </w:p>
    <w:p>
      <w:pPr>
        <w:spacing w:line="460" w:lineRule="exact"/>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t>报价一览表封袋正面标识式样</w:t>
      </w:r>
    </w:p>
    <w:p>
      <w:pPr>
        <w:spacing w:line="460" w:lineRule="exact"/>
        <w:ind w:firstLine="420" w:firstLineChars="200"/>
        <w:jc w:val="center"/>
        <w:rPr>
          <w:rFonts w:ascii="宋体" w:hAnsi="宋体" w:cs="宋体"/>
          <w:b/>
          <w:color w:val="auto"/>
          <w:sz w:val="24"/>
          <w:highlight w:val="none"/>
        </w:rPr>
      </w:pPr>
      <w:r>
        <w:rPr>
          <w:rFonts w:hint="eastAsia" w:ascii="宋体" w:hAnsi="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-325755</wp:posOffset>
                </wp:positionH>
                <wp:positionV relativeFrom="paragraph">
                  <wp:posOffset>191135</wp:posOffset>
                </wp:positionV>
                <wp:extent cx="5760085" cy="2990215"/>
                <wp:effectExtent l="5080" t="4445" r="6985" b="15240"/>
                <wp:wrapNone/>
                <wp:docPr id="11" name="Text Box 3"/>
                <wp:cNvGraphicFramePr/>
                <a:graphic xmlns:a="http://schemas.openxmlformats.org/drawingml/2006/main">
                  <a:graphicData uri="http://schemas.microsoft.com/office/word/2010/wordprocessingShape">
                    <wps:wsp>
                      <wps:cNvSpPr txBox="1"/>
                      <wps:spPr>
                        <a:xfrm>
                          <a:off x="0" y="0"/>
                          <a:ext cx="5706745" cy="2990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致：陕西卓佲项目管理有限公司       项目编号：ZMZB2022YDYZ-125</w:t>
                            </w:r>
                          </w:p>
                          <w:p>
                            <w:pPr>
                              <w:rPr>
                                <w:rFonts w:hint="eastAsia" w:eastAsia="宋体"/>
                                <w:sz w:val="28"/>
                                <w:szCs w:val="28"/>
                                <w:lang w:eastAsia="zh-CN"/>
                              </w:rPr>
                            </w:pPr>
                            <w:r>
                              <w:rPr>
                                <w:rFonts w:hint="eastAsia"/>
                                <w:sz w:val="28"/>
                                <w:szCs w:val="28"/>
                              </w:rPr>
                              <w:t>项目名称：西安市远东第一中学</w:t>
                            </w:r>
                            <w:r>
                              <w:rPr>
                                <w:rFonts w:hint="eastAsia"/>
                                <w:sz w:val="28"/>
                                <w:szCs w:val="28"/>
                                <w:lang w:eastAsia="zh-CN"/>
                              </w:rPr>
                              <w:t>校园信息化设备采购项目</w:t>
                            </w:r>
                          </w:p>
                          <w:p>
                            <w:pPr>
                              <w:pStyle w:val="6"/>
                              <w:ind w:firstLine="3092" w:firstLineChars="700"/>
                              <w:jc w:val="both"/>
                              <w:rPr>
                                <w:rFonts w:hint="default"/>
                                <w:sz w:val="28"/>
                                <w:szCs w:val="28"/>
                              </w:rPr>
                            </w:pPr>
                            <w:r>
                              <w:rPr>
                                <w:sz w:val="44"/>
                                <w:szCs w:val="44"/>
                              </w:rPr>
                              <w:t>报价一览表</w:t>
                            </w:r>
                          </w:p>
                          <w:p>
                            <w:pPr>
                              <w:pStyle w:val="6"/>
                              <w:ind w:firstLine="2530" w:firstLineChars="900"/>
                              <w:jc w:val="both"/>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wps:txbx>
                      <wps:bodyPr wrap="square" upright="1"/>
                    </wps:wsp>
                  </a:graphicData>
                </a:graphic>
              </wp:anchor>
            </w:drawing>
          </mc:Choice>
          <mc:Fallback>
            <w:pict>
              <v:shape id="Text Box 3" o:spid="_x0000_s1026" o:spt="202" type="#_x0000_t202" style="position:absolute;left:0pt;margin-left:-25.65pt;margin-top:15.05pt;height:235.45pt;width:453.55pt;z-index:251664384;mso-width-relative:page;mso-height-relative:page;" fillcolor="#FFFFFF" filled="t" stroked="t" coordsize="21600,21600" o:gfxdata="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bAQ/tkAAAAKAQAADwAAAAAAAAABACAAAAAiAAAAZHJzL2Rvd25yZXYueG1sUEsBAhQA&#10;FAAAAAgAh07iQLh8p6XxAQAABQQAAA4AAAAAAAAAAQAgAAAAKAEAAGRycy9lMm9Eb2MueG1sUEsF&#10;BgAAAAAGAAYAWQEAAIsFAAAAAA==&#10;">
                <v:fill on="t" focussize="0,0"/>
                <v:stroke color="#000000" joinstyle="miter"/>
                <v:imagedata o:title=""/>
                <o:lock v:ext="edit" aspectratio="f"/>
                <v:textbox>
                  <w:txbxContent>
                    <w:p>
                      <w:pPr>
                        <w:rPr>
                          <w:sz w:val="28"/>
                          <w:szCs w:val="28"/>
                        </w:rPr>
                      </w:pPr>
                      <w:r>
                        <w:rPr>
                          <w:rFonts w:hint="eastAsia"/>
                          <w:sz w:val="28"/>
                          <w:szCs w:val="28"/>
                        </w:rPr>
                        <w:t>致：陕西卓佲项目管理有限公司       项目编号：ZMZB2022YDYZ-125</w:t>
                      </w:r>
                    </w:p>
                    <w:p>
                      <w:pPr>
                        <w:rPr>
                          <w:rFonts w:hint="eastAsia" w:eastAsia="宋体"/>
                          <w:sz w:val="28"/>
                          <w:szCs w:val="28"/>
                          <w:lang w:eastAsia="zh-CN"/>
                        </w:rPr>
                      </w:pPr>
                      <w:r>
                        <w:rPr>
                          <w:rFonts w:hint="eastAsia"/>
                          <w:sz w:val="28"/>
                          <w:szCs w:val="28"/>
                        </w:rPr>
                        <w:t>项目名称：西安市远东第一中学</w:t>
                      </w:r>
                      <w:r>
                        <w:rPr>
                          <w:rFonts w:hint="eastAsia"/>
                          <w:sz w:val="28"/>
                          <w:szCs w:val="28"/>
                          <w:lang w:eastAsia="zh-CN"/>
                        </w:rPr>
                        <w:t>校园信息化设备采购项目</w:t>
                      </w:r>
                    </w:p>
                    <w:p>
                      <w:pPr>
                        <w:pStyle w:val="6"/>
                        <w:ind w:firstLine="3092" w:firstLineChars="700"/>
                        <w:jc w:val="both"/>
                        <w:rPr>
                          <w:rFonts w:hint="default"/>
                          <w:sz w:val="28"/>
                          <w:szCs w:val="28"/>
                        </w:rPr>
                      </w:pPr>
                      <w:r>
                        <w:rPr>
                          <w:sz w:val="44"/>
                          <w:szCs w:val="44"/>
                        </w:rPr>
                        <w:t>报价一览表</w:t>
                      </w:r>
                    </w:p>
                    <w:p>
                      <w:pPr>
                        <w:pStyle w:val="6"/>
                        <w:ind w:firstLine="2530" w:firstLineChars="900"/>
                        <w:jc w:val="both"/>
                        <w:rPr>
                          <w:rFonts w:hint="default"/>
                          <w:sz w:val="28"/>
                          <w:szCs w:val="28"/>
                        </w:rPr>
                      </w:pPr>
                      <w:r>
                        <w:rPr>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ind w:firstLine="482" w:firstLineChars="200"/>
        <w:jc w:val="center"/>
        <w:rPr>
          <w:rFonts w:ascii="宋体" w:hAnsi="宋体" w:cs="宋体"/>
          <w:b/>
          <w:color w:val="auto"/>
          <w:sz w:val="24"/>
          <w:highlight w:val="none"/>
        </w:rPr>
      </w:pPr>
    </w:p>
    <w:p>
      <w:pPr>
        <w:spacing w:line="460" w:lineRule="exact"/>
        <w:jc w:val="center"/>
        <w:rPr>
          <w:rFonts w:ascii="宋体" w:hAnsi="宋体" w:cs="宋体"/>
          <w:b/>
          <w:color w:val="auto"/>
          <w:sz w:val="24"/>
          <w:highlight w:val="none"/>
        </w:rPr>
      </w:pPr>
    </w:p>
    <w:p>
      <w:pPr>
        <w:spacing w:line="460" w:lineRule="exact"/>
        <w:jc w:val="center"/>
        <w:rPr>
          <w:rFonts w:ascii="宋体" w:hAnsi="宋体" w:cs="宋体"/>
          <w:b/>
          <w:color w:val="auto"/>
          <w:sz w:val="24"/>
          <w:highlight w:val="none"/>
        </w:rPr>
      </w:pPr>
    </w:p>
    <w:p>
      <w:pPr>
        <w:spacing w:line="460" w:lineRule="exact"/>
        <w:jc w:val="center"/>
        <w:rPr>
          <w:rFonts w:ascii="宋体" w:hAnsi="宋体" w:cs="宋体"/>
          <w:b/>
          <w:color w:val="auto"/>
          <w:sz w:val="24"/>
          <w:highlight w:val="none"/>
        </w:rPr>
      </w:pPr>
    </w:p>
    <w:p>
      <w:pPr>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电子文档封袋正面标识式样</w:t>
      </w:r>
    </w:p>
    <w:p>
      <w:pPr>
        <w:tabs>
          <w:tab w:val="left" w:pos="8280"/>
        </w:tabs>
        <w:spacing w:line="460" w:lineRule="exact"/>
        <w:ind w:firstLine="420" w:firstLineChars="200"/>
        <w:jc w:val="center"/>
        <w:rPr>
          <w:rFonts w:ascii="宋体" w:hAnsi="宋体" w:cs="宋体"/>
          <w:b/>
          <w:color w:val="auto"/>
          <w:sz w:val="24"/>
          <w:highlight w:val="none"/>
        </w:rPr>
      </w:pPr>
      <w:r>
        <w:rPr>
          <w:rFonts w:hint="eastAsia" w:ascii="宋体" w:hAnsi="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-331470</wp:posOffset>
                </wp:positionH>
                <wp:positionV relativeFrom="paragraph">
                  <wp:posOffset>142240</wp:posOffset>
                </wp:positionV>
                <wp:extent cx="5796280" cy="3185795"/>
                <wp:effectExtent l="4445" t="4445" r="9525" b="10160"/>
                <wp:wrapNone/>
                <wp:docPr id="10" name="Text Box 3"/>
                <wp:cNvGraphicFramePr/>
                <a:graphic xmlns:a="http://schemas.openxmlformats.org/drawingml/2006/main">
                  <a:graphicData uri="http://schemas.microsoft.com/office/word/2010/wordprocessingShape">
                    <wps:wsp>
                      <wps:cNvSpPr txBox="1"/>
                      <wps:spPr>
                        <a:xfrm>
                          <a:off x="0" y="0"/>
                          <a:ext cx="5750560" cy="3185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致：陕西卓佲项目管理有限公司        项目编号：ZMZB2022YDYZ-125</w:t>
                            </w:r>
                          </w:p>
                          <w:p>
                            <w:pPr>
                              <w:rPr>
                                <w:rFonts w:hint="eastAsia" w:eastAsia="宋体"/>
                                <w:sz w:val="28"/>
                                <w:szCs w:val="28"/>
                                <w:lang w:eastAsia="zh-CN"/>
                              </w:rPr>
                            </w:pPr>
                            <w:r>
                              <w:rPr>
                                <w:rFonts w:hint="eastAsia"/>
                                <w:sz w:val="28"/>
                                <w:szCs w:val="28"/>
                              </w:rPr>
                              <w:t>项目名称：西安市远东第一中学</w:t>
                            </w:r>
                            <w:r>
                              <w:rPr>
                                <w:rFonts w:hint="eastAsia"/>
                                <w:sz w:val="28"/>
                                <w:szCs w:val="28"/>
                                <w:lang w:eastAsia="zh-CN"/>
                              </w:rPr>
                              <w:t>校园信息化设备采购项目</w:t>
                            </w:r>
                          </w:p>
                          <w:p>
                            <w:pPr>
                              <w:pStyle w:val="6"/>
                              <w:ind w:firstLine="3534" w:firstLineChars="800"/>
                              <w:jc w:val="both"/>
                              <w:rPr>
                                <w:rFonts w:hint="default"/>
                                <w:sz w:val="28"/>
                                <w:szCs w:val="28"/>
                              </w:rPr>
                            </w:pPr>
                            <w:r>
                              <w:rPr>
                                <w:sz w:val="44"/>
                                <w:szCs w:val="44"/>
                              </w:rPr>
                              <w:t>电子文档</w:t>
                            </w:r>
                          </w:p>
                          <w:p>
                            <w:pPr>
                              <w:ind w:firstLine="2800" w:firstLineChars="1000"/>
                              <w:rPr>
                                <w:sz w:val="28"/>
                                <w:szCs w:val="28"/>
                              </w:rPr>
                            </w:pPr>
                            <w:r>
                              <w:rPr>
                                <w:rFonts w:hint="eastAsia"/>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wps:txbx>
                      <wps:bodyPr wrap="square" upright="1"/>
                    </wps:wsp>
                  </a:graphicData>
                </a:graphic>
              </wp:anchor>
            </w:drawing>
          </mc:Choice>
          <mc:Fallback>
            <w:pict>
              <v:shape id="Text Box 3" o:spid="_x0000_s1026" o:spt="202" type="#_x0000_t202" style="position:absolute;left:0pt;margin-left:-26.1pt;margin-top:11.2pt;height:250.85pt;width:456.4pt;z-index:251665408;mso-width-relative:page;mso-height-relative:page;" fillcolor="#FFFFFF" filled="t" stroked="t" coordsize="21600,21600" o:gfxdata="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quHd2QAAAAoBAAAPAAAAAAAAAAEAIAAAACIAAABkcnMvZG93bnJldi54bWxQSwECFAAU&#10;AAAACACHTuJAgp50pPABAAAFBAAADgAAAAAAAAABACAAAAAoAQAAZHJzL2Uyb0RvYy54bWxQSwUG&#10;AAAAAAYABgBZAQAAigUAAAAA&#10;">
                <v:fill on="t" focussize="0,0"/>
                <v:stroke color="#000000" joinstyle="miter"/>
                <v:imagedata o:title=""/>
                <o:lock v:ext="edit" aspectratio="f"/>
                <v:textbox>
                  <w:txbxContent>
                    <w:p>
                      <w:pPr>
                        <w:rPr>
                          <w:sz w:val="28"/>
                          <w:szCs w:val="28"/>
                        </w:rPr>
                      </w:pPr>
                      <w:r>
                        <w:rPr>
                          <w:rFonts w:hint="eastAsia"/>
                          <w:sz w:val="28"/>
                          <w:szCs w:val="28"/>
                        </w:rPr>
                        <w:t>致：陕西卓佲项目管理有限公司        项目编号：ZMZB2022YDYZ-125</w:t>
                      </w:r>
                    </w:p>
                    <w:p>
                      <w:pPr>
                        <w:rPr>
                          <w:rFonts w:hint="eastAsia" w:eastAsia="宋体"/>
                          <w:sz w:val="28"/>
                          <w:szCs w:val="28"/>
                          <w:lang w:eastAsia="zh-CN"/>
                        </w:rPr>
                      </w:pPr>
                      <w:r>
                        <w:rPr>
                          <w:rFonts w:hint="eastAsia"/>
                          <w:sz w:val="28"/>
                          <w:szCs w:val="28"/>
                        </w:rPr>
                        <w:t>项目名称：西安市远东第一中学</w:t>
                      </w:r>
                      <w:r>
                        <w:rPr>
                          <w:rFonts w:hint="eastAsia"/>
                          <w:sz w:val="28"/>
                          <w:szCs w:val="28"/>
                          <w:lang w:eastAsia="zh-CN"/>
                        </w:rPr>
                        <w:t>校园信息化设备采购项目</w:t>
                      </w:r>
                    </w:p>
                    <w:p>
                      <w:pPr>
                        <w:pStyle w:val="6"/>
                        <w:ind w:firstLine="3534" w:firstLineChars="800"/>
                        <w:jc w:val="both"/>
                        <w:rPr>
                          <w:rFonts w:hint="default"/>
                          <w:sz w:val="28"/>
                          <w:szCs w:val="28"/>
                        </w:rPr>
                      </w:pPr>
                      <w:r>
                        <w:rPr>
                          <w:sz w:val="44"/>
                          <w:szCs w:val="44"/>
                        </w:rPr>
                        <w:t>电子文档</w:t>
                      </w:r>
                    </w:p>
                    <w:p>
                      <w:pPr>
                        <w:ind w:firstLine="2800" w:firstLineChars="1000"/>
                        <w:rPr>
                          <w:sz w:val="28"/>
                          <w:szCs w:val="28"/>
                        </w:rPr>
                      </w:pPr>
                      <w:r>
                        <w:rPr>
                          <w:rFonts w:hint="eastAsia"/>
                          <w:sz w:val="28"/>
                          <w:szCs w:val="28"/>
                        </w:rPr>
                        <w:t>（非开标会议不得启封）</w:t>
                      </w:r>
                    </w:p>
                    <w:p>
                      <w:pPr>
                        <w:rPr>
                          <w:sz w:val="28"/>
                          <w:szCs w:val="28"/>
                          <w:u w:val="single"/>
                        </w:rPr>
                      </w:pPr>
                      <w:r>
                        <w:rPr>
                          <w:rFonts w:hint="eastAsia"/>
                          <w:sz w:val="28"/>
                          <w:szCs w:val="28"/>
                        </w:rPr>
                        <w:t>供应商（公章）：</w:t>
                      </w:r>
                      <w:r>
                        <w:rPr>
                          <w:rFonts w:hint="eastAsia" w:ascii="宋体" w:hAnsi="宋体" w:cs="宋体"/>
                          <w:sz w:val="28"/>
                          <w:szCs w:val="28"/>
                        </w:rPr>
                        <w:t>______________________</w:t>
                      </w:r>
                    </w:p>
                    <w:p>
                      <w:pPr>
                        <w:adjustRightInd w:val="0"/>
                        <w:snapToGrid w:val="0"/>
                        <w:rPr>
                          <w:sz w:val="28"/>
                          <w:szCs w:val="28"/>
                          <w:u w:val="single"/>
                        </w:rPr>
                      </w:pPr>
                      <w:r>
                        <w:rPr>
                          <w:rFonts w:hint="eastAsia" w:ascii="宋体" w:hAnsi="宋体" w:cs="宋体"/>
                          <w:sz w:val="28"/>
                          <w:szCs w:val="28"/>
                        </w:rPr>
                        <w:t>法定代表人或被授权人（签字或盖章）：______________________</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v:textbox>
              </v:shape>
            </w:pict>
          </mc:Fallback>
        </mc:AlternateContent>
      </w: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420" w:firstLineChars="200"/>
        <w:jc w:val="center"/>
        <w:rPr>
          <w:rFonts w:ascii="宋体" w:hAnsi="宋体" w:cs="宋体"/>
          <w:color w:val="auto"/>
          <w:highlight w:val="none"/>
        </w:rPr>
      </w:pPr>
    </w:p>
    <w:p>
      <w:pPr>
        <w:ind w:firstLine="1004" w:firstLineChars="200"/>
        <w:jc w:val="center"/>
        <w:rPr>
          <w:rFonts w:ascii="宋体" w:hAnsi="宋体" w:cs="宋体"/>
          <w:b/>
          <w:color w:val="auto"/>
          <w:sz w:val="50"/>
          <w:highlight w:val="none"/>
        </w:rPr>
      </w:pPr>
    </w:p>
    <w:p>
      <w:pPr>
        <w:pageBreakBefore/>
        <w:spacing w:line="420" w:lineRule="auto"/>
        <w:jc w:val="center"/>
        <w:rPr>
          <w:rFonts w:ascii="宋体" w:hAnsi="宋体" w:cs="宋体"/>
          <w:b/>
          <w:bCs/>
          <w:color w:val="auto"/>
          <w:sz w:val="36"/>
          <w:szCs w:val="36"/>
          <w:highlight w:val="none"/>
        </w:rPr>
        <w:sectPr>
          <w:pgSz w:w="11906" w:h="16838"/>
          <w:pgMar w:top="1440" w:right="1803" w:bottom="1440" w:left="1803" w:header="851" w:footer="992" w:gutter="0"/>
          <w:cols w:space="720" w:num="1"/>
          <w:docGrid w:type="lines" w:linePitch="319" w:charSpace="0"/>
        </w:sectPr>
      </w:pPr>
    </w:p>
    <w:p>
      <w:pPr>
        <w:pStyle w:val="4"/>
        <w:adjustRightInd w:val="0"/>
        <w:spacing w:line="416" w:lineRule="atLeast"/>
        <w:textAlignment w:val="baseline"/>
        <w:rPr>
          <w:rFonts w:ascii="宋体" w:hAnsi="宋体" w:cs="宋体"/>
          <w:color w:val="auto"/>
          <w:highlight w:val="none"/>
        </w:rPr>
      </w:pPr>
      <w:bookmarkStart w:id="107" w:name="_Toc11632"/>
      <w:bookmarkStart w:id="108" w:name="_Toc20374"/>
      <w:bookmarkStart w:id="109" w:name="_Toc1641"/>
      <w:bookmarkStart w:id="110" w:name="_Toc20088"/>
      <w:bookmarkStart w:id="111" w:name="_Toc3008"/>
      <w:bookmarkStart w:id="112" w:name="_Toc30485"/>
      <w:bookmarkStart w:id="113" w:name="_Toc18633"/>
      <w:bookmarkStart w:id="114" w:name="_Toc8177"/>
      <w:bookmarkStart w:id="115" w:name="_Toc2630"/>
      <w:bookmarkStart w:id="116" w:name="_Toc2889"/>
      <w:bookmarkStart w:id="117" w:name="_Toc15467"/>
      <w:bookmarkStart w:id="118" w:name="_Toc30870"/>
      <w:bookmarkStart w:id="119" w:name="_Toc30536"/>
      <w:r>
        <w:rPr>
          <w:rFonts w:hint="eastAsia" w:ascii="宋体" w:hAnsi="宋体" w:cs="宋体"/>
          <w:color w:val="auto"/>
          <w:highlight w:val="none"/>
        </w:rPr>
        <w:t>附件二、中小企业</w:t>
      </w:r>
      <w:bookmarkEnd w:id="107"/>
      <w:bookmarkEnd w:id="108"/>
      <w:bookmarkEnd w:id="109"/>
      <w:bookmarkEnd w:id="110"/>
      <w:bookmarkEnd w:id="111"/>
      <w:bookmarkEnd w:id="112"/>
      <w:bookmarkEnd w:id="113"/>
      <w:bookmarkEnd w:id="114"/>
      <w:bookmarkEnd w:id="115"/>
      <w:r>
        <w:rPr>
          <w:rFonts w:hint="eastAsia" w:ascii="宋体" w:hAnsi="宋体" w:cs="宋体"/>
          <w:color w:val="auto"/>
          <w:highlight w:val="none"/>
        </w:rPr>
        <w:t>声明函（货物）</w:t>
      </w:r>
      <w:bookmarkEnd w:id="116"/>
    </w:p>
    <w:p>
      <w:pPr>
        <w:spacing w:line="360" w:lineRule="auto"/>
        <w:ind w:right="140" w:firstLine="641"/>
        <w:rPr>
          <w:rFonts w:ascii="宋体" w:hAnsi="宋体" w:cs="宋体"/>
          <w:color w:val="auto"/>
          <w:sz w:val="24"/>
          <w:szCs w:val="24"/>
          <w:highlight w:val="none"/>
        </w:rPr>
      </w:pPr>
      <w:bookmarkStart w:id="120" w:name="_Toc12531"/>
      <w:bookmarkStart w:id="121" w:name="_Toc10807"/>
      <w:bookmarkStart w:id="122" w:name="_Toc11896"/>
      <w:bookmarkStart w:id="123" w:name="_Toc32438"/>
      <w:bookmarkStart w:id="124" w:name="_Toc5814"/>
      <w:bookmarkStart w:id="125" w:name="_Toc6022"/>
      <w:bookmarkStart w:id="126" w:name="_Toc21117"/>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采购活动，提供的货物全部由符合政策要求的中小企业制造。相关企业（含联合体中的中小企业、签订分包意向协议的中小企业）的具体情况如下：</w:t>
      </w:r>
    </w:p>
    <w:p>
      <w:pPr>
        <w:pStyle w:val="2"/>
        <w:numPr>
          <w:ilvl w:val="0"/>
          <w:numId w:val="27"/>
        </w:numPr>
        <w:spacing w:line="360" w:lineRule="auto"/>
        <w:rPr>
          <w:rFonts w:ascii="宋体" w:hAnsi="宋体" w:cs="宋体"/>
          <w:color w:val="auto"/>
          <w:w w:val="97"/>
          <w:highlight w:val="non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（采购文件中明确的所属行业）            </w:t>
      </w:r>
    </w:p>
    <w:p>
      <w:pPr>
        <w:spacing w:line="360" w:lineRule="auto"/>
        <w:rPr>
          <w:rFonts w:ascii="宋体" w:hAnsi="宋体" w:cs="宋体"/>
          <w:color w:val="auto"/>
          <w:w w:val="97"/>
          <w:sz w:val="24"/>
          <w:szCs w:val="24"/>
          <w:highlight w:val="none"/>
          <w:u w:val="single"/>
        </w:rPr>
      </w:pPr>
      <w:r>
        <w:rPr>
          <w:rFonts w:hint="eastAsia" w:ascii="宋体" w:hAnsi="宋体" w:cs="宋体"/>
          <w:color w:val="auto"/>
          <w:w w:val="97"/>
          <w:sz w:val="24"/>
          <w:szCs w:val="24"/>
          <w:highlight w:val="none"/>
          <w:u w:val="single"/>
        </w:rPr>
        <w:t>行业；</w:t>
      </w:r>
      <w:r>
        <w:rPr>
          <w:rFonts w:hint="eastAsia" w:ascii="宋体" w:hAnsi="宋体" w:cs="宋体"/>
          <w:color w:val="auto"/>
          <w:w w:val="97"/>
          <w:sz w:val="24"/>
          <w:szCs w:val="24"/>
          <w:highlight w:val="none"/>
        </w:rPr>
        <w:t xml:space="preserve">制造商为 </w:t>
      </w:r>
      <w:r>
        <w:rPr>
          <w:rFonts w:hint="eastAsia" w:ascii="宋体" w:hAnsi="宋体" w:cs="宋体"/>
          <w:color w:val="auto"/>
          <w:w w:val="97"/>
          <w:sz w:val="24"/>
          <w:szCs w:val="24"/>
          <w:highlight w:val="none"/>
          <w:u w:val="single"/>
        </w:rPr>
        <w:t>（企业名称）      ，</w:t>
      </w:r>
      <w:r>
        <w:rPr>
          <w:rFonts w:hint="eastAsia" w:ascii="宋体" w:hAnsi="宋体" w:cs="宋体"/>
          <w:color w:val="auto"/>
          <w:w w:val="97"/>
          <w:sz w:val="24"/>
          <w:szCs w:val="24"/>
          <w:highlight w:val="none"/>
        </w:rPr>
        <w:t>从业人员</w:t>
      </w:r>
      <w:r>
        <w:rPr>
          <w:rFonts w:hint="eastAsia" w:ascii="宋体" w:hAnsi="宋体" w:cs="宋体"/>
          <w:color w:val="auto"/>
          <w:w w:val="97"/>
          <w:sz w:val="24"/>
          <w:szCs w:val="24"/>
          <w:highlight w:val="none"/>
          <w:u w:val="single"/>
        </w:rPr>
        <w:t xml:space="preserve">      </w:t>
      </w:r>
      <w:r>
        <w:rPr>
          <w:rFonts w:hint="eastAsia" w:ascii="宋体" w:hAnsi="宋体" w:cs="宋体"/>
          <w:color w:val="auto"/>
          <w:w w:val="97"/>
          <w:sz w:val="24"/>
          <w:szCs w:val="24"/>
          <w:highlight w:val="none"/>
        </w:rPr>
        <w:t>人，营业收入为</w:t>
      </w:r>
      <w:r>
        <w:rPr>
          <w:rFonts w:hint="eastAsia" w:ascii="宋体" w:hAnsi="宋体" w:cs="宋体"/>
          <w:color w:val="auto"/>
          <w:w w:val="97"/>
          <w:sz w:val="24"/>
          <w:szCs w:val="24"/>
          <w:highlight w:val="none"/>
          <w:u w:val="single"/>
        </w:rPr>
        <w:t xml:space="preserve">   </w:t>
      </w:r>
      <w:r>
        <w:rPr>
          <w:rFonts w:hint="eastAsia" w:ascii="宋体" w:hAnsi="宋体" w:cs="宋体"/>
          <w:color w:val="auto"/>
          <w:w w:val="97"/>
          <w:sz w:val="24"/>
          <w:szCs w:val="24"/>
          <w:highlight w:val="none"/>
        </w:rPr>
        <w:t>万元，资产总额为</w:t>
      </w:r>
      <w:r>
        <w:rPr>
          <w:rFonts w:hint="eastAsia" w:ascii="宋体" w:hAnsi="宋体" w:cs="宋体"/>
          <w:color w:val="auto"/>
          <w:w w:val="97"/>
          <w:sz w:val="24"/>
          <w:szCs w:val="24"/>
          <w:highlight w:val="none"/>
          <w:u w:val="single"/>
        </w:rPr>
        <w:t xml:space="preserve">     </w:t>
      </w:r>
      <w:r>
        <w:rPr>
          <w:rFonts w:hint="eastAsia" w:ascii="宋体" w:hAnsi="宋体" w:cs="宋体"/>
          <w:color w:val="auto"/>
          <w:w w:val="97"/>
          <w:sz w:val="24"/>
          <w:szCs w:val="24"/>
          <w:highlight w:val="none"/>
        </w:rPr>
        <w:t>万元</w:t>
      </w:r>
      <w:r>
        <w:rPr>
          <w:rFonts w:hint="eastAsia" w:ascii="宋体" w:hAnsi="宋体" w:cs="宋体"/>
          <w:color w:val="auto"/>
          <w:w w:val="97"/>
          <w:sz w:val="24"/>
          <w:szCs w:val="24"/>
          <w:highlight w:val="none"/>
          <w:vertAlign w:val="superscript"/>
        </w:rPr>
        <w:t>1</w:t>
      </w:r>
      <w:r>
        <w:rPr>
          <w:rFonts w:hint="eastAsia" w:ascii="宋体" w:hAnsi="宋体" w:cs="宋体"/>
          <w:color w:val="auto"/>
          <w:w w:val="97"/>
          <w:sz w:val="24"/>
          <w:szCs w:val="24"/>
          <w:highlight w:val="none"/>
        </w:rPr>
        <w:t>，属于</w:t>
      </w:r>
      <w:r>
        <w:rPr>
          <w:rFonts w:hint="eastAsia" w:ascii="宋体" w:hAnsi="宋体" w:cs="宋体"/>
          <w:color w:val="auto"/>
          <w:w w:val="97"/>
          <w:sz w:val="24"/>
          <w:szCs w:val="24"/>
          <w:highlight w:val="none"/>
          <w:u w:val="single"/>
        </w:rPr>
        <w:t>（中型企业、小型企业、微型企业）；</w:t>
      </w:r>
    </w:p>
    <w:p>
      <w:pPr>
        <w:pStyle w:val="2"/>
        <w:numPr>
          <w:ilvl w:val="0"/>
          <w:numId w:val="27"/>
        </w:numPr>
        <w:spacing w:line="360" w:lineRule="auto"/>
        <w:rPr>
          <w:rFonts w:ascii="宋体" w:hAnsi="宋体" w:cs="宋体"/>
          <w:color w:val="auto"/>
          <w:w w:val="97"/>
          <w:highlight w:val="none"/>
        </w:rPr>
      </w:pPr>
      <w:r>
        <w:rPr>
          <w:rFonts w:hint="eastAsia" w:ascii="宋体" w:hAnsi="宋体" w:cs="宋体"/>
          <w:color w:val="auto"/>
          <w:w w:val="97"/>
          <w:highlight w:val="none"/>
          <w:u w:val="single"/>
        </w:rPr>
        <w:t xml:space="preserve">    （标的名称）</w:t>
      </w:r>
      <w:r>
        <w:rPr>
          <w:rFonts w:hint="eastAsia" w:ascii="宋体" w:hAnsi="宋体" w:cs="宋体"/>
          <w:color w:val="auto"/>
          <w:w w:val="97"/>
          <w:highlight w:val="none"/>
        </w:rPr>
        <w:t xml:space="preserve"> ，属于</w:t>
      </w:r>
      <w:r>
        <w:rPr>
          <w:rFonts w:hint="eastAsia" w:ascii="宋体" w:hAnsi="宋体" w:cs="宋体"/>
          <w:color w:val="auto"/>
          <w:w w:val="97"/>
          <w:highlight w:val="none"/>
          <w:u w:val="single"/>
        </w:rPr>
        <w:t xml:space="preserve">                （采购文件中明确的所属行业）            </w:t>
      </w:r>
    </w:p>
    <w:p>
      <w:pPr>
        <w:spacing w:line="360" w:lineRule="auto"/>
        <w:rPr>
          <w:rFonts w:ascii="宋体" w:hAnsi="宋体" w:cs="宋体"/>
          <w:color w:val="auto"/>
          <w:w w:val="97"/>
          <w:sz w:val="24"/>
          <w:szCs w:val="24"/>
          <w:highlight w:val="none"/>
          <w:u w:val="single"/>
        </w:rPr>
      </w:pPr>
      <w:r>
        <w:rPr>
          <w:rFonts w:hint="eastAsia" w:ascii="宋体" w:hAnsi="宋体" w:cs="宋体"/>
          <w:color w:val="auto"/>
          <w:w w:val="97"/>
          <w:sz w:val="24"/>
          <w:szCs w:val="24"/>
          <w:highlight w:val="none"/>
          <w:u w:val="single"/>
        </w:rPr>
        <w:t>行业；</w:t>
      </w:r>
      <w:r>
        <w:rPr>
          <w:rFonts w:hint="eastAsia" w:ascii="宋体" w:hAnsi="宋体" w:cs="宋体"/>
          <w:color w:val="auto"/>
          <w:w w:val="97"/>
          <w:sz w:val="24"/>
          <w:szCs w:val="24"/>
          <w:highlight w:val="none"/>
        </w:rPr>
        <w:t xml:space="preserve">制造商为 </w:t>
      </w:r>
      <w:r>
        <w:rPr>
          <w:rFonts w:hint="eastAsia" w:ascii="宋体" w:hAnsi="宋体" w:cs="宋体"/>
          <w:color w:val="auto"/>
          <w:w w:val="97"/>
          <w:sz w:val="24"/>
          <w:szCs w:val="24"/>
          <w:highlight w:val="none"/>
          <w:u w:val="single"/>
        </w:rPr>
        <w:t>（企业名称）      ，</w:t>
      </w:r>
      <w:r>
        <w:rPr>
          <w:rFonts w:hint="eastAsia" w:ascii="宋体" w:hAnsi="宋体" w:cs="宋体"/>
          <w:color w:val="auto"/>
          <w:w w:val="97"/>
          <w:sz w:val="24"/>
          <w:szCs w:val="24"/>
          <w:highlight w:val="none"/>
        </w:rPr>
        <w:t>从业人员</w:t>
      </w:r>
      <w:r>
        <w:rPr>
          <w:rFonts w:hint="eastAsia" w:ascii="宋体" w:hAnsi="宋体" w:cs="宋体"/>
          <w:color w:val="auto"/>
          <w:w w:val="97"/>
          <w:sz w:val="24"/>
          <w:szCs w:val="24"/>
          <w:highlight w:val="none"/>
          <w:u w:val="single"/>
        </w:rPr>
        <w:t xml:space="preserve">      </w:t>
      </w:r>
      <w:r>
        <w:rPr>
          <w:rFonts w:hint="eastAsia" w:ascii="宋体" w:hAnsi="宋体" w:cs="宋体"/>
          <w:color w:val="auto"/>
          <w:w w:val="97"/>
          <w:sz w:val="24"/>
          <w:szCs w:val="24"/>
          <w:highlight w:val="none"/>
        </w:rPr>
        <w:t>人，营业收入为</w:t>
      </w:r>
      <w:r>
        <w:rPr>
          <w:rFonts w:hint="eastAsia" w:ascii="宋体" w:hAnsi="宋体" w:cs="宋体"/>
          <w:color w:val="auto"/>
          <w:w w:val="97"/>
          <w:sz w:val="24"/>
          <w:szCs w:val="24"/>
          <w:highlight w:val="none"/>
          <w:u w:val="single"/>
        </w:rPr>
        <w:t xml:space="preserve">   </w:t>
      </w:r>
      <w:r>
        <w:rPr>
          <w:rFonts w:hint="eastAsia" w:ascii="宋体" w:hAnsi="宋体" w:cs="宋体"/>
          <w:color w:val="auto"/>
          <w:w w:val="97"/>
          <w:sz w:val="24"/>
          <w:szCs w:val="24"/>
          <w:highlight w:val="none"/>
        </w:rPr>
        <w:t>万元，资产总额为</w:t>
      </w:r>
      <w:r>
        <w:rPr>
          <w:rFonts w:hint="eastAsia" w:ascii="宋体" w:hAnsi="宋体" w:cs="宋体"/>
          <w:color w:val="auto"/>
          <w:w w:val="97"/>
          <w:sz w:val="24"/>
          <w:szCs w:val="24"/>
          <w:highlight w:val="none"/>
          <w:u w:val="single"/>
        </w:rPr>
        <w:t xml:space="preserve">     </w:t>
      </w:r>
      <w:r>
        <w:rPr>
          <w:rFonts w:hint="eastAsia" w:ascii="宋体" w:hAnsi="宋体" w:cs="宋体"/>
          <w:color w:val="auto"/>
          <w:w w:val="97"/>
          <w:sz w:val="24"/>
          <w:szCs w:val="24"/>
          <w:highlight w:val="none"/>
        </w:rPr>
        <w:t>万元</w:t>
      </w:r>
      <w:r>
        <w:rPr>
          <w:rFonts w:hint="eastAsia" w:ascii="宋体" w:hAnsi="宋体" w:cs="宋体"/>
          <w:color w:val="auto"/>
          <w:w w:val="97"/>
          <w:sz w:val="24"/>
          <w:szCs w:val="24"/>
          <w:highlight w:val="none"/>
          <w:vertAlign w:val="superscript"/>
        </w:rPr>
        <w:t>1</w:t>
      </w:r>
      <w:r>
        <w:rPr>
          <w:rFonts w:hint="eastAsia" w:ascii="宋体" w:hAnsi="宋体" w:cs="宋体"/>
          <w:color w:val="auto"/>
          <w:w w:val="97"/>
          <w:sz w:val="24"/>
          <w:szCs w:val="24"/>
          <w:highlight w:val="none"/>
        </w:rPr>
        <w:t>，属于</w:t>
      </w:r>
      <w:r>
        <w:rPr>
          <w:rFonts w:hint="eastAsia" w:ascii="宋体" w:hAnsi="宋体" w:cs="宋体"/>
          <w:color w:val="auto"/>
          <w:w w:val="97"/>
          <w:sz w:val="24"/>
          <w:szCs w:val="24"/>
          <w:highlight w:val="none"/>
          <w:u w:val="single"/>
        </w:rPr>
        <w:t>（中型企业、小型企业、微型企业）；</w:t>
      </w:r>
    </w:p>
    <w:p>
      <w:pPr>
        <w:spacing w:line="360" w:lineRule="auto"/>
        <w:ind w:left="640"/>
        <w:rPr>
          <w:rFonts w:ascii="宋体" w:hAnsi="宋体" w:cs="宋体"/>
          <w:color w:val="auto"/>
          <w:sz w:val="24"/>
          <w:szCs w:val="24"/>
          <w:highlight w:val="none"/>
        </w:rPr>
      </w:pPr>
      <w:r>
        <w:rPr>
          <w:rFonts w:hint="eastAsia" w:ascii="宋体" w:hAnsi="宋体" w:cs="宋体"/>
          <w:color w:val="auto"/>
          <w:sz w:val="24"/>
          <w:szCs w:val="24"/>
          <w:highlight w:val="none"/>
        </w:rPr>
        <w:t>……</w:t>
      </w:r>
    </w:p>
    <w:p>
      <w:pPr>
        <w:spacing w:line="360" w:lineRule="auto"/>
        <w:ind w:right="160" w:firstLine="646"/>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pPr>
        <w:spacing w:line="360" w:lineRule="auto"/>
        <w:rPr>
          <w:rFonts w:ascii="宋体" w:hAnsi="宋体" w:cs="宋体"/>
          <w:color w:val="auto"/>
          <w:sz w:val="24"/>
          <w:szCs w:val="24"/>
          <w:highlight w:val="none"/>
        </w:rPr>
      </w:pPr>
    </w:p>
    <w:p>
      <w:pPr>
        <w:spacing w:line="360" w:lineRule="auto"/>
        <w:ind w:right="160" w:firstLine="646"/>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pPr>
        <w:spacing w:line="360" w:lineRule="auto"/>
        <w:rPr>
          <w:rFonts w:ascii="宋体" w:hAnsi="宋体" w:cs="宋体"/>
          <w:color w:val="auto"/>
          <w:sz w:val="24"/>
          <w:szCs w:val="24"/>
          <w:highlight w:val="none"/>
        </w:rPr>
      </w:pPr>
    </w:p>
    <w:p>
      <w:pPr>
        <w:spacing w:line="360" w:lineRule="auto"/>
        <w:ind w:left="3840" w:right="1900"/>
        <w:rPr>
          <w:rFonts w:ascii="宋体" w:hAnsi="宋体" w:cs="宋体"/>
          <w:color w:val="auto"/>
          <w:sz w:val="24"/>
          <w:szCs w:val="24"/>
          <w:highlight w:val="none"/>
        </w:rPr>
      </w:pPr>
      <w:r>
        <w:rPr>
          <w:rFonts w:hint="eastAsia" w:ascii="宋体" w:hAnsi="宋体" w:cs="宋体"/>
          <w:color w:val="auto"/>
          <w:sz w:val="24"/>
          <w:szCs w:val="24"/>
          <w:highlight w:val="none"/>
        </w:rPr>
        <w:t>企业名称（盖章）：日期：</w:t>
      </w:r>
    </w:p>
    <w:p>
      <w:pPr>
        <w:rPr>
          <w:rFonts w:ascii="宋体" w:hAnsi="宋体"/>
          <w:color w:val="auto"/>
          <w:sz w:val="18"/>
          <w:highlight w:val="none"/>
        </w:rPr>
      </w:pPr>
      <w:r>
        <w:rPr>
          <w:rFonts w:ascii="仿宋" w:hAnsi="仿宋" w:eastAsia="仿宋"/>
          <w:color w:val="auto"/>
          <w:sz w:val="32"/>
          <w:highlight w:val="none"/>
        </w:rPr>
        <w:drawing>
          <wp:anchor distT="0" distB="0" distL="114300" distR="114300" simplePos="0" relativeHeight="251660288"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2"/>
                    <a:stretch>
                      <a:fillRect/>
                    </a:stretch>
                  </pic:blipFill>
                  <pic:spPr>
                    <a:xfrm>
                      <a:off x="0" y="0"/>
                      <a:ext cx="1828800" cy="12700"/>
                    </a:xfrm>
                    <a:prstGeom prst="rect">
                      <a:avLst/>
                    </a:prstGeom>
                    <a:noFill/>
                    <a:ln>
                      <a:noFill/>
                    </a:ln>
                  </pic:spPr>
                </pic:pic>
              </a:graphicData>
            </a:graphic>
          </wp:anchor>
        </w:drawing>
      </w:r>
      <w:r>
        <w:rPr>
          <w:rFonts w:eastAsia="Times New Roman"/>
          <w:color w:val="auto"/>
          <w:sz w:val="23"/>
          <w:highlight w:val="none"/>
          <w:vertAlign w:val="superscript"/>
        </w:rPr>
        <w:t>1</w:t>
      </w:r>
      <w:r>
        <w:rPr>
          <w:rFonts w:ascii="宋体" w:hAnsi="宋体"/>
          <w:color w:val="auto"/>
          <w:sz w:val="18"/>
          <w:highlight w:val="none"/>
        </w:rPr>
        <w:t>从业人员、营业收入、资产总额填报上一年度数据，无上一年度数据的新成立企业可不填报。</w:t>
      </w:r>
    </w:p>
    <w:p>
      <w:pPr>
        <w:pStyle w:val="4"/>
        <w:rPr>
          <w:rFonts w:ascii="宋体" w:hAnsi="宋体" w:cs="宋体"/>
          <w:color w:val="auto"/>
          <w:highlight w:val="none"/>
        </w:rPr>
        <w:sectPr>
          <w:footerReference r:id="rId17" w:type="default"/>
          <w:pgSz w:w="11906" w:h="16838"/>
          <w:pgMar w:top="1440" w:right="1803" w:bottom="1440" w:left="1803" w:header="851" w:footer="992" w:gutter="0"/>
          <w:cols w:space="720" w:num="1"/>
          <w:docGrid w:type="lines" w:linePitch="319" w:charSpace="0"/>
        </w:sectPr>
      </w:pPr>
    </w:p>
    <w:p>
      <w:pPr>
        <w:pStyle w:val="4"/>
        <w:keepNext w:val="0"/>
        <w:keepLines w:val="0"/>
        <w:widowControl/>
        <w:spacing w:before="450" w:after="300" w:line="540" w:lineRule="atLeast"/>
        <w:jc w:val="center"/>
        <w:textAlignment w:val="baseline"/>
        <w:rPr>
          <w:rFonts w:ascii="微软雅黑" w:hAnsi="微软雅黑" w:eastAsia="微软雅黑" w:cs="微软雅黑"/>
          <w:color w:val="auto"/>
          <w:sz w:val="39"/>
          <w:szCs w:val="39"/>
          <w:highlight w:val="none"/>
        </w:rPr>
      </w:pPr>
      <w:bookmarkStart w:id="127" w:name="_Toc2332"/>
      <w:r>
        <w:rPr>
          <w:rFonts w:hint="eastAsia" w:ascii="微软雅黑" w:hAnsi="微软雅黑" w:eastAsia="微软雅黑" w:cs="微软雅黑"/>
          <w:color w:val="auto"/>
          <w:sz w:val="39"/>
          <w:szCs w:val="39"/>
          <w:highlight w:val="none"/>
          <w:shd w:val="clear" w:color="auto" w:fill="FFFFFF"/>
        </w:rPr>
        <w:t>关于印发中小企业划型标准规定的通知</w:t>
      </w:r>
    </w:p>
    <w:p>
      <w:pPr>
        <w:pStyle w:val="25"/>
        <w:rPr>
          <w:color w:val="auto"/>
          <w:highlight w:val="none"/>
        </w:rPr>
      </w:pPr>
      <w:r>
        <w:rPr>
          <w:rFonts w:hint="eastAsia"/>
          <w:color w:val="auto"/>
          <w:highlight w:val="none"/>
          <w:shd w:val="clear" w:color="auto" w:fill="FFFFFF"/>
        </w:rPr>
        <w:t>各省、自治区、直辖市人民政府，国务院各部委、各直属机构及有关单位：</w:t>
      </w:r>
      <w:r>
        <w:rPr>
          <w:rFonts w:hint="eastAsia"/>
          <w:color w:val="auto"/>
          <w:highlight w:val="none"/>
          <w:shd w:val="clear" w:color="auto" w:fill="FFFFFF"/>
        </w:rPr>
        <w:br w:type="textWrapping"/>
      </w:r>
      <w:r>
        <w:rPr>
          <w:rFonts w:hint="eastAsia"/>
          <w:color w:val="auto"/>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color w:val="auto"/>
          <w:highlight w:val="none"/>
          <w:shd w:val="clear" w:color="auto" w:fill="FFFFFF"/>
        </w:rPr>
        <w:br w:type="textWrapping"/>
      </w:r>
      <w:r>
        <w:rPr>
          <w:rFonts w:hint="eastAsia"/>
          <w:color w:val="auto"/>
          <w:highlight w:val="none"/>
          <w:shd w:val="clear" w:color="auto" w:fill="FFFFFF"/>
        </w:rPr>
        <w:t>　　　　　　　　　　　　　　　　　　　　　工业和信息化部　国家统计局</w:t>
      </w:r>
      <w:r>
        <w:rPr>
          <w:rFonts w:hint="eastAsia"/>
          <w:color w:val="auto"/>
          <w:highlight w:val="none"/>
          <w:shd w:val="clear" w:color="auto" w:fill="FFFFFF"/>
        </w:rPr>
        <w:br w:type="textWrapping"/>
      </w:r>
      <w:r>
        <w:rPr>
          <w:rFonts w:hint="eastAsia"/>
          <w:color w:val="auto"/>
          <w:highlight w:val="none"/>
          <w:shd w:val="clear" w:color="auto" w:fill="FFFFFF"/>
        </w:rPr>
        <w:t>　　　　　　　　　　　　　　　　　　　　国家发展和改革委员会　财政部</w:t>
      </w:r>
      <w:r>
        <w:rPr>
          <w:rFonts w:hint="eastAsia"/>
          <w:color w:val="auto"/>
          <w:highlight w:val="none"/>
          <w:shd w:val="clear" w:color="auto" w:fill="FFFFFF"/>
        </w:rPr>
        <w:br w:type="textWrapping"/>
      </w:r>
      <w:r>
        <w:rPr>
          <w:rFonts w:hint="eastAsia"/>
          <w:color w:val="auto"/>
          <w:highlight w:val="none"/>
          <w:shd w:val="clear" w:color="auto" w:fill="FFFFFF"/>
        </w:rPr>
        <w:t>　　　　　　　　　　　　　　　　　　　　　　　　二○一一年六月十八日</w:t>
      </w:r>
    </w:p>
    <w:p>
      <w:pPr>
        <w:pStyle w:val="25"/>
        <w:rPr>
          <w:color w:val="auto"/>
          <w:highlight w:val="none"/>
        </w:rPr>
      </w:pPr>
      <w:r>
        <w:rPr>
          <w:rFonts w:hint="eastAsia"/>
          <w:color w:val="auto"/>
          <w:highlight w:val="none"/>
          <w:shd w:val="clear" w:color="auto" w:fill="FFFFFF"/>
        </w:rPr>
        <w:t> </w:t>
      </w:r>
    </w:p>
    <w:p>
      <w:pPr>
        <w:pStyle w:val="25"/>
        <w:jc w:val="center"/>
        <w:rPr>
          <w:rStyle w:val="33"/>
          <w:color w:val="auto"/>
          <w:sz w:val="36"/>
          <w:szCs w:val="36"/>
          <w:highlight w:val="none"/>
          <w:shd w:val="clear" w:color="auto" w:fill="FFFFFF"/>
        </w:rPr>
      </w:pPr>
      <w:r>
        <w:rPr>
          <w:rStyle w:val="33"/>
          <w:rFonts w:hint="eastAsia"/>
          <w:color w:val="auto"/>
          <w:sz w:val="36"/>
          <w:szCs w:val="36"/>
          <w:highlight w:val="none"/>
          <w:shd w:val="clear" w:color="auto" w:fill="FFFFFF"/>
        </w:rPr>
        <w:t>中小企业划型标准规定</w:t>
      </w:r>
    </w:p>
    <w:p>
      <w:pPr>
        <w:rPr>
          <w:color w:val="auto"/>
          <w:highlight w:val="none"/>
        </w:rPr>
        <w:sectPr>
          <w:pgSz w:w="11906" w:h="16838"/>
          <w:pgMar w:top="1440" w:right="1803" w:bottom="1440" w:left="1803" w:header="851" w:footer="992" w:gutter="0"/>
          <w:cols w:space="720" w:num="1"/>
          <w:docGrid w:type="lines" w:linePitch="319" w:charSpace="0"/>
        </w:sectPr>
      </w:pPr>
      <w:r>
        <w:rPr>
          <w:rFonts w:hint="eastAsia" w:ascii="宋体" w:hAnsi="宋体" w:cs="宋体"/>
          <w:color w:val="auto"/>
          <w:sz w:val="24"/>
          <w:szCs w:val="24"/>
          <w:highlight w:val="none"/>
          <w:shd w:val="clear" w:color="auto" w:fill="FFFFFF"/>
        </w:rPr>
        <w:t>　　一、根据《中华人民共和国中小企业促进法》和《国务院关于进一步促进中小企业发展的若干意见》(国发〔2009〕36号)，制定本规定。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二、中小企业划分为中型、小型、微型三种类型，具体标准根据企业从业人员、营业收入、资产总额等指标，结合行业特点制定。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四、各行业划型标准为：</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五、企业类型的划分以统计部门的统计数据为依据。</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六、本规定适用于在中华人民共和国境内依法设立的各类所有制和各种组织形式的企业。个体工商户和本规定以外的行业，参照本规定进行划型。</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八、本规定由工业和信息化部、国家统计局会同有关部门根据《国民经济行业分类》修订情况和企业发展变化情况适时修订。</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九、本规定由工业和信息化部、国家统计局会同有关部门负责解释。</w:t>
      </w:r>
      <w:r>
        <w:rPr>
          <w:rFonts w:hint="eastAsia" w:ascii="宋体" w:hAnsi="宋体" w:cs="宋体"/>
          <w:color w:val="auto"/>
          <w:sz w:val="24"/>
          <w:szCs w:val="24"/>
          <w:highlight w:val="none"/>
          <w:shd w:val="clear" w:color="auto" w:fill="FFFFFF"/>
        </w:rPr>
        <w:br w:type="textWrapping"/>
      </w:r>
      <w:r>
        <w:rPr>
          <w:rFonts w:hint="eastAsia" w:ascii="宋体" w:hAnsi="宋体" w:cs="宋体"/>
          <w:color w:val="auto"/>
          <w:sz w:val="24"/>
          <w:szCs w:val="24"/>
          <w:highlight w:val="none"/>
          <w:shd w:val="clear" w:color="auto" w:fill="FFFFFF"/>
        </w:rPr>
        <w:t>　　十、本规定自发布之日起执行，原国家经贸委、原国家计委、财政部和国家统计局2003年颁布的《中小企业标准暂行规定》同时废止。</w:t>
      </w:r>
    </w:p>
    <w:p>
      <w:pPr>
        <w:pStyle w:val="4"/>
        <w:rPr>
          <w:rFonts w:ascii="宋体" w:hAnsi="宋体" w:cs="宋体"/>
          <w:color w:val="auto"/>
          <w:highlight w:val="none"/>
        </w:rPr>
      </w:pPr>
      <w:r>
        <w:rPr>
          <w:rFonts w:hint="eastAsia" w:ascii="宋体" w:hAnsi="宋体" w:cs="宋体"/>
          <w:color w:val="auto"/>
          <w:highlight w:val="none"/>
        </w:rPr>
        <w:t>附件三、残疾人福利性单位声明</w:t>
      </w:r>
      <w:bookmarkEnd w:id="120"/>
      <w:bookmarkEnd w:id="121"/>
      <w:bookmarkEnd w:id="122"/>
      <w:bookmarkEnd w:id="123"/>
      <w:bookmarkEnd w:id="124"/>
      <w:bookmarkEnd w:id="125"/>
      <w:bookmarkEnd w:id="126"/>
      <w:bookmarkEnd w:id="127"/>
    </w:p>
    <w:p>
      <w:pPr>
        <w:spacing w:line="588"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根据《三部门联合发布关于促进残疾人就业政府采购政策的通知》（财库〔2017〕141号）的规定，由供应商自行申明，并对申明真实性负责。如有虚假，将依法承担相应责任。</w:t>
      </w:r>
    </w:p>
    <w:p>
      <w:pPr>
        <w:rPr>
          <w:rFonts w:ascii="宋体" w:hAnsi="宋体" w:cs="宋体"/>
          <w:color w:val="auto"/>
          <w:highlight w:val="none"/>
        </w:rPr>
      </w:pPr>
    </w:p>
    <w:p>
      <w:pPr>
        <w:pStyle w:val="4"/>
        <w:rPr>
          <w:rFonts w:ascii="宋体" w:hAnsi="宋体" w:cs="宋体"/>
          <w:color w:val="auto"/>
          <w:highlight w:val="none"/>
        </w:rPr>
      </w:pPr>
      <w:bookmarkStart w:id="128" w:name="_Toc2723"/>
      <w:bookmarkStart w:id="129" w:name="_Toc3053"/>
      <w:bookmarkStart w:id="130" w:name="_Toc1115"/>
      <w:r>
        <w:rPr>
          <w:rFonts w:hint="eastAsia" w:ascii="宋体" w:hAnsi="宋体" w:cs="宋体"/>
          <w:color w:val="auto"/>
          <w:highlight w:val="none"/>
        </w:rPr>
        <w:t>附件四、监狱企业证明文件</w:t>
      </w:r>
      <w:bookmarkEnd w:id="117"/>
      <w:bookmarkEnd w:id="118"/>
      <w:bookmarkEnd w:id="119"/>
      <w:bookmarkEnd w:id="128"/>
      <w:bookmarkEnd w:id="129"/>
      <w:bookmarkEnd w:id="130"/>
    </w:p>
    <w:p>
      <w:pPr>
        <w:rPr>
          <w:rFonts w:ascii="宋体" w:hAnsi="宋体" w:cs="宋体"/>
          <w:color w:val="auto"/>
          <w:highlight w:val="none"/>
        </w:rPr>
      </w:pPr>
    </w:p>
    <w:p>
      <w:pPr>
        <w:snapToGrid w:val="0"/>
        <w:spacing w:line="360" w:lineRule="auto"/>
        <w:ind w:firstLine="504" w:firstLineChars="200"/>
        <w:jc w:val="left"/>
        <w:rPr>
          <w:rFonts w:ascii="宋体" w:hAnsi="宋体" w:cs="宋体"/>
          <w:b/>
          <w:bCs/>
          <w:color w:val="auto"/>
          <w:spacing w:val="48"/>
          <w:sz w:val="72"/>
          <w:szCs w:val="72"/>
          <w:highlight w:val="none"/>
        </w:rPr>
      </w:pPr>
      <w:r>
        <w:rPr>
          <w:rFonts w:hint="eastAsia" w:ascii="宋体" w:hAnsi="宋体" w:cs="宋体"/>
          <w:color w:val="auto"/>
          <w:spacing w:val="6"/>
          <w:sz w:val="24"/>
          <w:szCs w:val="24"/>
          <w:highlight w:val="none"/>
        </w:rPr>
        <w:t>说明：根据</w:t>
      </w:r>
      <w:r>
        <w:rPr>
          <w:rFonts w:hint="eastAsia" w:ascii="宋体" w:hAnsi="宋体" w:cs="宋体"/>
          <w:color w:val="auto"/>
          <w:sz w:val="24"/>
          <w:szCs w:val="24"/>
          <w:highlight w:val="none"/>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color w:val="auto"/>
          <w:highlight w:val="none"/>
        </w:rPr>
      </w:pPr>
      <w:bookmarkStart w:id="131" w:name="_Toc563"/>
      <w:bookmarkStart w:id="132" w:name="_Toc11969"/>
      <w:bookmarkStart w:id="133" w:name="_Toc3267"/>
      <w:bookmarkStart w:id="134" w:name="_Toc2126"/>
      <w:bookmarkStart w:id="135" w:name="_Toc13122"/>
      <w:bookmarkStart w:id="136" w:name="_Toc22629"/>
      <w:bookmarkStart w:id="137" w:name="_Toc13303"/>
      <w:r>
        <w:rPr>
          <w:rFonts w:hint="eastAsia" w:ascii="宋体" w:hAnsi="宋体" w:cs="宋体"/>
          <w:color w:val="auto"/>
          <w:highlight w:val="none"/>
        </w:rPr>
        <w:t>附件五、“节能产品”，“环境标志产品”证明材料</w:t>
      </w:r>
      <w:bookmarkEnd w:id="131"/>
      <w:bookmarkEnd w:id="132"/>
      <w:bookmarkEnd w:id="133"/>
      <w:bookmarkEnd w:id="134"/>
      <w:bookmarkEnd w:id="135"/>
      <w:bookmarkEnd w:id="136"/>
      <w:bookmarkEnd w:id="137"/>
    </w:p>
    <w:p>
      <w:pPr>
        <w:widowControl/>
        <w:spacing w:line="360" w:lineRule="auto"/>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2、未按照上述要求提供的，评审时不予以考虑。</w:t>
      </w:r>
    </w:p>
    <w:p>
      <w:pPr>
        <w:snapToGrid w:val="0"/>
        <w:spacing w:line="360" w:lineRule="auto"/>
        <w:ind w:firstLine="480" w:firstLineChars="200"/>
        <w:rPr>
          <w:rFonts w:ascii="宋体" w:hAnsi="宋体" w:cs="宋体"/>
          <w:color w:val="auto"/>
          <w:sz w:val="24"/>
          <w:szCs w:val="24"/>
          <w:highlight w:val="none"/>
        </w:rPr>
      </w:pPr>
    </w:p>
    <w:p>
      <w:pPr>
        <w:spacing w:line="588" w:lineRule="exact"/>
        <w:ind w:firstLine="504" w:firstLineChars="200"/>
        <w:rPr>
          <w:rFonts w:ascii="宋体" w:hAnsi="宋体" w:cs="宋体"/>
          <w:color w:val="auto"/>
          <w:spacing w:val="6"/>
          <w:sz w:val="24"/>
          <w:szCs w:val="24"/>
          <w:highlight w:val="none"/>
        </w:rPr>
      </w:pPr>
    </w:p>
    <w:p>
      <w:pPr>
        <w:pStyle w:val="4"/>
        <w:adjustRightInd w:val="0"/>
        <w:spacing w:line="416" w:lineRule="atLeast"/>
        <w:textAlignment w:val="baseline"/>
        <w:rPr>
          <w:rFonts w:ascii="宋体" w:hAnsi="宋体" w:cs="宋体"/>
          <w:color w:val="auto"/>
          <w:highlight w:val="none"/>
        </w:rPr>
        <w:sectPr>
          <w:pgSz w:w="11906" w:h="16838"/>
          <w:pgMar w:top="1440" w:right="1803" w:bottom="1440" w:left="1803" w:header="851" w:footer="992" w:gutter="0"/>
          <w:cols w:space="720" w:num="1"/>
          <w:docGrid w:type="lines" w:linePitch="319" w:charSpace="0"/>
        </w:sectPr>
      </w:pPr>
    </w:p>
    <w:p>
      <w:pPr>
        <w:pStyle w:val="4"/>
        <w:rPr>
          <w:rFonts w:ascii="宋体" w:hAnsi="宋体" w:cs="宋体"/>
          <w:color w:val="auto"/>
          <w:highlight w:val="none"/>
        </w:rPr>
      </w:pPr>
      <w:bookmarkStart w:id="138" w:name="_Toc4414"/>
      <w:bookmarkStart w:id="139" w:name="_Toc24855"/>
      <w:bookmarkStart w:id="140" w:name="_Toc24355"/>
      <w:bookmarkStart w:id="141" w:name="_Toc23799"/>
      <w:bookmarkStart w:id="142" w:name="_Toc26351"/>
      <w:bookmarkStart w:id="143" w:name="_Toc10027"/>
      <w:bookmarkStart w:id="144" w:name="_Toc5338"/>
      <w:bookmarkStart w:id="145" w:name="_Toc11924"/>
      <w:r>
        <w:rPr>
          <w:rFonts w:hint="eastAsia" w:ascii="宋体" w:hAnsi="宋体" w:cs="宋体"/>
          <w:color w:val="auto"/>
          <w:highlight w:val="none"/>
        </w:rPr>
        <w:t>附件六、质疑函范本</w:t>
      </w:r>
      <w:bookmarkEnd w:id="138"/>
      <w:bookmarkEnd w:id="139"/>
      <w:bookmarkEnd w:id="140"/>
      <w:bookmarkEnd w:id="141"/>
      <w:bookmarkEnd w:id="142"/>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一、质疑供应商基本信息</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质疑供应商：                                        </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地址：                          邮编：                                                   </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联系人：                      联系电话：                              </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授权代表：                                          </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联系电话：                                            </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地址：                         邮编：                                                </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二、质疑项目基本情况</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质疑项目的名称：            包号：                          </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质疑项目的编号：                    </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采购人名称：                                         </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采购文件获取日期：                                           </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三、质疑事项具体内容</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质疑事项1：                                         </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事实依据：                                          </w:t>
      </w:r>
    </w:p>
    <w:p>
      <w:pPr>
        <w:widowControl/>
        <w:spacing w:line="360" w:lineRule="auto"/>
        <w:ind w:left="420" w:leftChars="200"/>
        <w:rPr>
          <w:rFonts w:ascii="宋体" w:hAnsi="宋体" w:cs="宋体"/>
          <w:color w:val="auto"/>
          <w:sz w:val="24"/>
          <w:szCs w:val="24"/>
          <w:highlight w:val="none"/>
        </w:rPr>
      </w:pP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法律依据：                                          </w:t>
      </w:r>
    </w:p>
    <w:p>
      <w:pPr>
        <w:widowControl/>
        <w:spacing w:line="360" w:lineRule="auto"/>
        <w:ind w:left="420" w:leftChars="200"/>
        <w:rPr>
          <w:rFonts w:ascii="宋体" w:hAnsi="宋体" w:cs="宋体"/>
          <w:color w:val="auto"/>
          <w:sz w:val="24"/>
          <w:szCs w:val="24"/>
          <w:highlight w:val="none"/>
        </w:rPr>
      </w:pP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质疑事项2</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四、与质疑事项相关的质疑请求</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请求：                                               </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 xml:space="preserve">签字(签章)：                   公章：                      </w:t>
      </w:r>
    </w:p>
    <w:p>
      <w:pPr>
        <w:widowControl/>
        <w:spacing w:line="360" w:lineRule="auto"/>
        <w:ind w:left="420" w:leftChars="200"/>
        <w:rPr>
          <w:rFonts w:ascii="宋体" w:hAnsi="宋体" w:cs="宋体"/>
          <w:color w:val="auto"/>
          <w:highlight w:val="none"/>
        </w:rPr>
      </w:pPr>
      <w:r>
        <w:rPr>
          <w:rFonts w:hint="eastAsia" w:ascii="宋体" w:hAnsi="宋体" w:cs="宋体"/>
          <w:color w:val="auto"/>
          <w:sz w:val="24"/>
          <w:szCs w:val="24"/>
          <w:highlight w:val="none"/>
        </w:rPr>
        <w:t xml:space="preserve">日期：    </w:t>
      </w:r>
    </w:p>
    <w:p>
      <w:pPr>
        <w:widowControl/>
        <w:spacing w:line="360" w:lineRule="auto"/>
        <w:rPr>
          <w:rFonts w:ascii="宋体" w:hAnsi="宋体" w:cs="宋体"/>
          <w:color w:val="auto"/>
          <w:sz w:val="24"/>
          <w:szCs w:val="24"/>
          <w:highlight w:val="none"/>
        </w:rPr>
        <w:sectPr>
          <w:pgSz w:w="11906" w:h="16838"/>
          <w:pgMar w:top="1440" w:right="1803" w:bottom="1440" w:left="1803" w:header="851" w:footer="992" w:gutter="0"/>
          <w:cols w:space="720" w:num="1"/>
          <w:docGrid w:type="lines" w:linePitch="319" w:charSpace="0"/>
        </w:sectPr>
      </w:pP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质疑函制作说明：</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1.供应商提出质疑时，应提交质疑函和必要的证明材料。</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3.质疑供应商若对项目的某一分包进行质疑，质疑函中应列明具体分包号。</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4.质疑函的质疑事项应具体、明确，并有必要的事实依据和法律依据。</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5.质疑函的质疑请求应与质疑事项相关。</w:t>
      </w:r>
    </w:p>
    <w:p>
      <w:pPr>
        <w:widowControl/>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pStyle w:val="4"/>
        <w:adjustRightInd w:val="0"/>
        <w:spacing w:line="416" w:lineRule="atLeast"/>
        <w:jc w:val="both"/>
        <w:textAlignment w:val="baseline"/>
        <w:rPr>
          <w:rFonts w:ascii="宋体" w:hAnsi="宋体" w:cs="宋体"/>
          <w:color w:val="auto"/>
          <w:highlight w:val="none"/>
        </w:rPr>
        <w:sectPr>
          <w:pgSz w:w="11906" w:h="16838"/>
          <w:pgMar w:top="1440" w:right="1803" w:bottom="1440" w:left="1803" w:header="851" w:footer="992" w:gutter="0"/>
          <w:cols w:space="720" w:num="1"/>
          <w:docGrid w:type="lines" w:linePitch="319" w:charSpace="0"/>
        </w:sectPr>
      </w:pPr>
    </w:p>
    <w:bookmarkEnd w:id="143"/>
    <w:bookmarkEnd w:id="144"/>
    <w:bookmarkEnd w:id="145"/>
    <w:p>
      <w:pPr>
        <w:ind w:firstLine="819" w:firstLineChars="100"/>
        <w:jc w:val="left"/>
        <w:rPr>
          <w:rFonts w:ascii="宋体" w:hAnsi="宋体" w:cs="宋体"/>
          <w:b/>
          <w:color w:val="auto"/>
          <w:spacing w:val="48"/>
          <w:sz w:val="72"/>
          <w:szCs w:val="72"/>
          <w:highlight w:val="none"/>
        </w:rPr>
      </w:pPr>
      <w:r>
        <w:rPr>
          <w:rFonts w:hint="eastAsia" w:ascii="宋体" w:hAnsi="宋体" w:cs="宋体"/>
          <w:b/>
          <w:color w:val="auto"/>
          <w:spacing w:val="48"/>
          <w:sz w:val="72"/>
          <w:szCs w:val="72"/>
          <w:highlight w:val="none"/>
        </w:rPr>
        <w:t>公平       公正</w:t>
      </w:r>
    </w:p>
    <w:p>
      <w:pPr>
        <w:jc w:val="left"/>
        <w:rPr>
          <w:rFonts w:ascii="宋体" w:hAnsi="宋体" w:cs="宋体"/>
          <w:b/>
          <w:color w:val="auto"/>
          <w:spacing w:val="48"/>
          <w:sz w:val="72"/>
          <w:szCs w:val="72"/>
          <w:highlight w:val="none"/>
        </w:rPr>
      </w:pPr>
    </w:p>
    <w:p>
      <w:pPr>
        <w:rPr>
          <w:rFonts w:ascii="宋体" w:hAnsi="宋体" w:cs="宋体"/>
          <w:color w:val="auto"/>
          <w:spacing w:val="48"/>
          <w:sz w:val="72"/>
          <w:szCs w:val="72"/>
          <w:highlight w:val="none"/>
        </w:rPr>
      </w:pPr>
    </w:p>
    <w:p>
      <w:pPr>
        <w:rPr>
          <w:rFonts w:ascii="宋体" w:hAnsi="宋体" w:cs="宋体"/>
          <w:color w:val="auto"/>
          <w:highlight w:val="none"/>
        </w:rPr>
      </w:pPr>
    </w:p>
    <w:p>
      <w:pPr>
        <w:ind w:firstLine="819" w:firstLineChars="100"/>
        <w:rPr>
          <w:rFonts w:ascii="宋体" w:hAnsi="宋体" w:cs="宋体"/>
          <w:b/>
          <w:color w:val="auto"/>
          <w:spacing w:val="48"/>
          <w:sz w:val="72"/>
          <w:szCs w:val="72"/>
          <w:highlight w:val="none"/>
        </w:rPr>
      </w:pPr>
      <w:r>
        <w:rPr>
          <w:rFonts w:hint="eastAsia" w:ascii="宋体" w:hAnsi="宋体" w:cs="宋体"/>
          <w:b/>
          <w:color w:val="auto"/>
          <w:spacing w:val="48"/>
          <w:sz w:val="72"/>
          <w:szCs w:val="72"/>
          <w:highlight w:val="none"/>
        </w:rPr>
        <w:t>专业       高效</w:t>
      </w:r>
    </w:p>
    <w:p>
      <w:pPr>
        <w:rPr>
          <w:rFonts w:ascii="宋体" w:hAnsi="宋体" w:cs="宋体"/>
          <w:color w:val="auto"/>
          <w:spacing w:val="48"/>
          <w:sz w:val="72"/>
          <w:szCs w:val="72"/>
          <w:highlight w:val="none"/>
        </w:rPr>
      </w:pPr>
    </w:p>
    <w:p>
      <w:pPr>
        <w:rPr>
          <w:rFonts w:ascii="宋体" w:hAnsi="宋体" w:cs="宋体"/>
          <w:b/>
          <w:color w:val="auto"/>
          <w:spacing w:val="48"/>
          <w:sz w:val="72"/>
          <w:szCs w:val="72"/>
          <w:highlight w:val="none"/>
        </w:rPr>
      </w:pPr>
    </w:p>
    <w:p>
      <w:pPr>
        <w:rPr>
          <w:rFonts w:ascii="宋体" w:hAnsi="宋体" w:cs="宋体"/>
          <w:color w:val="auto"/>
          <w:spacing w:val="48"/>
          <w:sz w:val="72"/>
          <w:szCs w:val="72"/>
          <w:highlight w:val="none"/>
        </w:rPr>
      </w:pPr>
    </w:p>
    <w:p>
      <w:pPr>
        <w:rPr>
          <w:rFonts w:ascii="宋体" w:hAnsi="宋体" w:cs="宋体"/>
          <w:b/>
          <w:color w:val="auto"/>
          <w:spacing w:val="48"/>
          <w:sz w:val="72"/>
          <w:szCs w:val="72"/>
          <w:highlight w:val="none"/>
        </w:rPr>
      </w:pPr>
    </w:p>
    <w:p>
      <w:pPr>
        <w:rPr>
          <w:rFonts w:ascii="宋体" w:hAnsi="宋体" w:cs="宋体"/>
          <w:color w:val="auto"/>
          <w:spacing w:val="48"/>
          <w:sz w:val="72"/>
          <w:szCs w:val="72"/>
          <w:highlight w:val="none"/>
        </w:rPr>
      </w:pPr>
    </w:p>
    <w:p>
      <w:pPr>
        <w:rPr>
          <w:rFonts w:ascii="宋体" w:hAnsi="宋体" w:cs="宋体"/>
          <w:color w:val="auto"/>
          <w:highlight w:val="none"/>
        </w:rPr>
      </w:pPr>
    </w:p>
    <w:p>
      <w:pPr>
        <w:rPr>
          <w:rFonts w:ascii="宋体" w:hAnsi="宋体" w:cs="宋体"/>
          <w:b/>
          <w:color w:val="auto"/>
          <w:sz w:val="30"/>
          <w:szCs w:val="30"/>
          <w:highlight w:val="none"/>
        </w:rPr>
      </w:pPr>
    </w:p>
    <w:p>
      <w:pPr>
        <w:rPr>
          <w:rFonts w:ascii="宋体" w:hAnsi="宋体" w:cs="宋体"/>
          <w:b/>
          <w:color w:val="auto"/>
          <w:sz w:val="30"/>
          <w:szCs w:val="30"/>
          <w:highlight w:val="none"/>
        </w:rPr>
      </w:pPr>
      <w:r>
        <w:rPr>
          <w:rFonts w:hint="eastAsia" w:ascii="宋体" w:hAnsi="宋体" w:cs="宋体"/>
          <w:b/>
          <w:color w:val="auto"/>
          <w:sz w:val="30"/>
          <w:szCs w:val="30"/>
          <w:highlight w:val="none"/>
        </w:rPr>
        <w:t>企业名称：陕西卓佲项目管理有限公司</w:t>
      </w:r>
    </w:p>
    <w:p>
      <w:pPr>
        <w:rPr>
          <w:rFonts w:ascii="宋体" w:hAnsi="宋体" w:cs="宋体"/>
          <w:b/>
          <w:color w:val="auto"/>
          <w:sz w:val="30"/>
          <w:szCs w:val="30"/>
          <w:highlight w:val="none"/>
        </w:rPr>
      </w:pPr>
      <w:r>
        <w:rPr>
          <w:rFonts w:hint="eastAsia" w:ascii="宋体" w:hAnsi="宋体" w:cs="宋体"/>
          <w:b/>
          <w:color w:val="auto"/>
          <w:sz w:val="30"/>
          <w:szCs w:val="30"/>
          <w:highlight w:val="none"/>
        </w:rPr>
        <w:t>地址：西安市雁塔区科技路十号华奥大厦A座20层2002室</w:t>
      </w:r>
    </w:p>
    <w:p>
      <w:pPr>
        <w:rPr>
          <w:rFonts w:ascii="宋体" w:hAnsi="宋体" w:cs="宋体"/>
          <w:b/>
          <w:color w:val="auto"/>
          <w:sz w:val="30"/>
          <w:szCs w:val="30"/>
          <w:highlight w:val="none"/>
        </w:rPr>
      </w:pPr>
      <w:r>
        <w:rPr>
          <w:rFonts w:hint="eastAsia" w:ascii="宋体" w:hAnsi="宋体" w:cs="宋体"/>
          <w:b/>
          <w:color w:val="auto"/>
          <w:sz w:val="30"/>
          <w:szCs w:val="30"/>
          <w:highlight w:val="none"/>
        </w:rPr>
        <w:t>邮政编码：710065</w:t>
      </w:r>
    </w:p>
    <w:p>
      <w:pPr>
        <w:rPr>
          <w:rFonts w:ascii="宋体" w:hAnsi="宋体" w:cs="宋体"/>
          <w:b/>
          <w:color w:val="auto"/>
          <w:sz w:val="30"/>
          <w:szCs w:val="30"/>
          <w:highlight w:val="none"/>
        </w:rPr>
      </w:pPr>
      <w:r>
        <w:rPr>
          <w:rFonts w:hint="eastAsia" w:ascii="宋体" w:hAnsi="宋体" w:cs="宋体"/>
          <w:b/>
          <w:color w:val="auto"/>
          <w:sz w:val="30"/>
          <w:szCs w:val="30"/>
          <w:highlight w:val="none"/>
        </w:rPr>
        <w:t>电话：029-88440695</w:t>
      </w:r>
    </w:p>
    <w:p>
      <w:pPr>
        <w:rPr>
          <w:rFonts w:ascii="宋体" w:hAnsi="宋体" w:cs="宋体"/>
          <w:color w:val="auto"/>
          <w:highlight w:val="none"/>
        </w:rPr>
      </w:pPr>
      <w:r>
        <w:rPr>
          <w:rFonts w:hint="eastAsia" w:ascii="宋体" w:hAnsi="宋体" w:cs="宋体"/>
          <w:b/>
          <w:color w:val="auto"/>
          <w:sz w:val="30"/>
          <w:szCs w:val="30"/>
          <w:highlight w:val="none"/>
        </w:rPr>
        <w:t>传真：029-88440695</w:t>
      </w:r>
    </w:p>
    <w:p>
      <w:pPr>
        <w:rPr>
          <w:rFonts w:ascii="宋体" w:hAnsi="宋体" w:cs="宋体"/>
          <w:color w:val="auto"/>
          <w:highlight w:val="none"/>
        </w:rPr>
      </w:pPr>
    </w:p>
    <w:bookmarkEnd w:id="0"/>
    <w:bookmarkEnd w:id="66"/>
    <w:bookmarkEnd w:id="67"/>
    <w:p>
      <w:pPr>
        <w:rPr>
          <w:rFonts w:ascii="宋体" w:hAnsi="宋体" w:cs="宋体"/>
          <w:color w:val="auto"/>
          <w:highlight w:val="none"/>
        </w:rPr>
      </w:pPr>
    </w:p>
    <w:sectPr>
      <w:headerReference r:id="rId18" w:type="default"/>
      <w:footerReference r:id="rId19"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Corbel"/>
    <w:panose1 w:val="00000000000000000000"/>
    <w:charset w:val="00"/>
    <w:family w:val="auto"/>
    <w:pitch w:val="default"/>
    <w:sig w:usb0="00000000" w:usb1="00000000" w:usb2="0000001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orbel">
    <w:panose1 w:val="020B0503020204020204"/>
    <w:charset w:val="00"/>
    <w:family w:val="auto"/>
    <w:pitch w:val="default"/>
    <w:sig w:usb0="A00002EF" w:usb1="4000A44B" w:usb2="00000000" w:usb3="00000000" w:csb0="200001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hAns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rFonts w:ascii="宋体"/>
      </w:rPr>
      <w:tab/>
    </w:r>
    <w:r>
      <w:rPr>
        <w:rFonts w:ascii="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8426"/>
      </w:tabs>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77</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79</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84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84</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 xml:space="preserve">西安外国语大学长安校区中心机房改造项目                                                      </w:t>
    </w:r>
    <w:bookmarkStart w:id="146" w:name="OLE_LINK16"/>
    <w:r>
      <w:rPr>
        <w:rFonts w:hint="eastAsia" w:ascii="宋体" w:hAnsi="宋体" w:cs="宋体"/>
        <w:sz w:val="15"/>
        <w:szCs w:val="15"/>
        <w:u w:val="single"/>
      </w:rPr>
      <w:t>SXWZ2017ZB-XAWGY-02</w:t>
    </w:r>
    <w:bookmarkEnd w:id="146"/>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ED3FA"/>
    <w:multiLevelType w:val="singleLevel"/>
    <w:tmpl w:val="932ED3FA"/>
    <w:lvl w:ilvl="0" w:tentative="0">
      <w:start w:val="1"/>
      <w:numFmt w:val="decimal"/>
      <w:suff w:val="nothing"/>
      <w:lvlText w:val="（%1）"/>
      <w:lvlJc w:val="left"/>
    </w:lvl>
  </w:abstractNum>
  <w:abstractNum w:abstractNumId="1">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2">
    <w:nsid w:val="C435DD92"/>
    <w:multiLevelType w:val="singleLevel"/>
    <w:tmpl w:val="C435DD92"/>
    <w:lvl w:ilvl="0" w:tentative="0">
      <w:start w:val="2"/>
      <w:numFmt w:val="chineseCounting"/>
      <w:suff w:val="nothing"/>
      <w:lvlText w:val="%1、"/>
      <w:lvlJc w:val="left"/>
      <w:rPr>
        <w:rFonts w:hint="eastAsia"/>
      </w:rPr>
    </w:lvl>
  </w:abstractNum>
  <w:abstractNum w:abstractNumId="3">
    <w:nsid w:val="C99BDCD1"/>
    <w:multiLevelType w:val="singleLevel"/>
    <w:tmpl w:val="C99BDCD1"/>
    <w:lvl w:ilvl="0" w:tentative="0">
      <w:start w:val="1"/>
      <w:numFmt w:val="chineseCounting"/>
      <w:suff w:val="nothing"/>
      <w:lvlText w:val="（%1）"/>
      <w:lvlJc w:val="left"/>
      <w:rPr>
        <w:rFonts w:hint="eastAsia"/>
      </w:rPr>
    </w:lvl>
  </w:abstractNum>
  <w:abstractNum w:abstractNumId="4">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5">
    <w:nsid w:val="F20ECAEB"/>
    <w:multiLevelType w:val="singleLevel"/>
    <w:tmpl w:val="F20ECAEB"/>
    <w:lvl w:ilvl="0" w:tentative="0">
      <w:start w:val="4"/>
      <w:numFmt w:val="chineseCounting"/>
      <w:suff w:val="space"/>
      <w:lvlText w:val="第%1部分"/>
      <w:lvlJc w:val="left"/>
      <w:rPr>
        <w:rFonts w:hint="eastAsia"/>
      </w:rPr>
    </w:lvl>
  </w:abstractNum>
  <w:abstractNum w:abstractNumId="6">
    <w:nsid w:val="0EE9925E"/>
    <w:multiLevelType w:val="singleLevel"/>
    <w:tmpl w:val="0EE9925E"/>
    <w:lvl w:ilvl="0" w:tentative="0">
      <w:start w:val="1"/>
      <w:numFmt w:val="decimal"/>
      <w:suff w:val="nothing"/>
      <w:lvlText w:val="（%1）"/>
      <w:lvlJc w:val="left"/>
    </w:lvl>
  </w:abstractNum>
  <w:abstractNum w:abstractNumId="7">
    <w:nsid w:val="19B057FC"/>
    <w:multiLevelType w:val="singleLevel"/>
    <w:tmpl w:val="19B057FC"/>
    <w:lvl w:ilvl="0" w:tentative="0">
      <w:start w:val="1"/>
      <w:numFmt w:val="decimal"/>
      <w:suff w:val="nothing"/>
      <w:lvlText w:val="%1、"/>
      <w:lvlJc w:val="left"/>
      <w:pPr>
        <w:ind w:left="140" w:firstLine="0"/>
      </w:pPr>
    </w:lvl>
  </w:abstractNum>
  <w:abstractNum w:abstractNumId="8">
    <w:nsid w:val="368A06A9"/>
    <w:multiLevelType w:val="multilevel"/>
    <w:tmpl w:val="368A06A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BF30DE6"/>
    <w:multiLevelType w:val="multilevel"/>
    <w:tmpl w:val="3BF30DE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3E03BFE"/>
    <w:multiLevelType w:val="multilevel"/>
    <w:tmpl w:val="43E03B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12">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3">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14">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5">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6">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7">
    <w:nsid w:val="58BE6519"/>
    <w:multiLevelType w:val="singleLevel"/>
    <w:tmpl w:val="58BE6519"/>
    <w:lvl w:ilvl="0" w:tentative="0">
      <w:start w:val="1"/>
      <w:numFmt w:val="decimal"/>
      <w:suff w:val="nothing"/>
      <w:lvlText w:val="%1、"/>
      <w:lvlJc w:val="left"/>
      <w:pPr>
        <w:ind w:left="200" w:firstLine="420"/>
      </w:pPr>
      <w:rPr>
        <w:rFonts w:hint="default"/>
      </w:rPr>
    </w:lvl>
  </w:abstractNum>
  <w:abstractNum w:abstractNumId="18">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9">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20">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21">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22">
    <w:nsid w:val="5902B6A7"/>
    <w:multiLevelType w:val="singleLevel"/>
    <w:tmpl w:val="5902B6A7"/>
    <w:lvl w:ilvl="0" w:tentative="0">
      <w:start w:val="1"/>
      <w:numFmt w:val="decimal"/>
      <w:pStyle w:val="8"/>
      <w:lvlText w:val="%1."/>
      <w:lvlJc w:val="left"/>
      <w:pPr>
        <w:tabs>
          <w:tab w:val="left" w:pos="360"/>
        </w:tabs>
        <w:ind w:left="360" w:hanging="360"/>
      </w:pPr>
    </w:lvl>
  </w:abstractNum>
  <w:abstractNum w:abstractNumId="23">
    <w:nsid w:val="604094DA"/>
    <w:multiLevelType w:val="singleLevel"/>
    <w:tmpl w:val="604094DA"/>
    <w:lvl w:ilvl="0" w:tentative="0">
      <w:start w:val="1"/>
      <w:numFmt w:val="decimal"/>
      <w:suff w:val="space"/>
      <w:lvlText w:val="%1."/>
      <w:lvlJc w:val="left"/>
    </w:lvl>
  </w:abstractNum>
  <w:abstractNum w:abstractNumId="24">
    <w:nsid w:val="61F7CCE3"/>
    <w:multiLevelType w:val="singleLevel"/>
    <w:tmpl w:val="61F7CCE3"/>
    <w:lvl w:ilvl="0" w:tentative="0">
      <w:start w:val="2"/>
      <w:numFmt w:val="chineseCounting"/>
      <w:suff w:val="space"/>
      <w:lvlText w:val="第%1部分"/>
      <w:lvlJc w:val="left"/>
      <w:rPr>
        <w:rFonts w:hint="eastAsia"/>
      </w:rPr>
    </w:lvl>
  </w:abstractNum>
  <w:abstractNum w:abstractNumId="25">
    <w:nsid w:val="64402E50"/>
    <w:multiLevelType w:val="singleLevel"/>
    <w:tmpl w:val="64402E50"/>
    <w:lvl w:ilvl="0" w:tentative="0">
      <w:start w:val="8"/>
      <w:numFmt w:val="chineseCounting"/>
      <w:suff w:val="space"/>
      <w:lvlText w:val="第%1部分"/>
      <w:lvlJc w:val="left"/>
      <w:rPr>
        <w:rFonts w:hint="eastAsia"/>
      </w:rPr>
    </w:lvl>
  </w:abstractNum>
  <w:abstractNum w:abstractNumId="26">
    <w:nsid w:val="6E4E7D83"/>
    <w:multiLevelType w:val="multilevel"/>
    <w:tmpl w:val="6E4E7D8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0"/>
  </w:num>
  <w:num w:numId="3">
    <w:abstractNumId w:val="6"/>
  </w:num>
  <w:num w:numId="4">
    <w:abstractNumId w:val="3"/>
  </w:num>
  <w:num w:numId="5">
    <w:abstractNumId w:val="21"/>
  </w:num>
  <w:num w:numId="6">
    <w:abstractNumId w:val="4"/>
  </w:num>
  <w:num w:numId="7">
    <w:abstractNumId w:val="1"/>
  </w:num>
  <w:num w:numId="8">
    <w:abstractNumId w:val="14"/>
  </w:num>
  <w:num w:numId="9">
    <w:abstractNumId w:val="12"/>
  </w:num>
  <w:num w:numId="10">
    <w:abstractNumId w:val="2"/>
  </w:num>
  <w:num w:numId="11">
    <w:abstractNumId w:val="18"/>
  </w:num>
  <w:num w:numId="12">
    <w:abstractNumId w:val="19"/>
  </w:num>
  <w:num w:numId="13">
    <w:abstractNumId w:val="15"/>
  </w:num>
  <w:num w:numId="14">
    <w:abstractNumId w:val="13"/>
  </w:num>
  <w:num w:numId="15">
    <w:abstractNumId w:val="16"/>
  </w:num>
  <w:num w:numId="16">
    <w:abstractNumId w:val="17"/>
  </w:num>
  <w:num w:numId="17">
    <w:abstractNumId w:val="20"/>
  </w:num>
  <w:num w:numId="18">
    <w:abstractNumId w:val="5"/>
  </w:num>
  <w:num w:numId="19">
    <w:abstractNumId w:val="9"/>
  </w:num>
  <w:num w:numId="20">
    <w:abstractNumId w:val="10"/>
  </w:num>
  <w:num w:numId="21">
    <w:abstractNumId w:val="26"/>
  </w:num>
  <w:num w:numId="22">
    <w:abstractNumId w:val="8"/>
  </w:num>
  <w:num w:numId="23">
    <w:abstractNumId w:val="24"/>
  </w:num>
  <w:num w:numId="24">
    <w:abstractNumId w:val="7"/>
  </w:num>
  <w:num w:numId="25">
    <w:abstractNumId w:val="11"/>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TA0NjEzNzRiZjFlNmM3ZmM1ZDMxNzJjMjc3Y2MifQ=="/>
  </w:docVars>
  <w:rsids>
    <w:rsidRoot w:val="00172A27"/>
    <w:rsid w:val="00010D1C"/>
    <w:rsid w:val="00037E51"/>
    <w:rsid w:val="00042D40"/>
    <w:rsid w:val="00067B07"/>
    <w:rsid w:val="000743B6"/>
    <w:rsid w:val="00087B93"/>
    <w:rsid w:val="0009265D"/>
    <w:rsid w:val="000A3AD6"/>
    <w:rsid w:val="000A6804"/>
    <w:rsid w:val="000B3DD4"/>
    <w:rsid w:val="000C0895"/>
    <w:rsid w:val="000C673D"/>
    <w:rsid w:val="000C691C"/>
    <w:rsid w:val="000D5F35"/>
    <w:rsid w:val="000D7288"/>
    <w:rsid w:val="000E2734"/>
    <w:rsid w:val="000E5CB1"/>
    <w:rsid w:val="000F30A8"/>
    <w:rsid w:val="000F3806"/>
    <w:rsid w:val="00102202"/>
    <w:rsid w:val="0011607E"/>
    <w:rsid w:val="00122D04"/>
    <w:rsid w:val="00126C11"/>
    <w:rsid w:val="00140E4D"/>
    <w:rsid w:val="00152CAF"/>
    <w:rsid w:val="00167A28"/>
    <w:rsid w:val="0017037F"/>
    <w:rsid w:val="00172A27"/>
    <w:rsid w:val="00192A67"/>
    <w:rsid w:val="00195B2A"/>
    <w:rsid w:val="001A00DF"/>
    <w:rsid w:val="001A439C"/>
    <w:rsid w:val="001A6727"/>
    <w:rsid w:val="001B0BC1"/>
    <w:rsid w:val="001B1459"/>
    <w:rsid w:val="001B3264"/>
    <w:rsid w:val="001C2786"/>
    <w:rsid w:val="001D74E8"/>
    <w:rsid w:val="001D76B9"/>
    <w:rsid w:val="001E1FE3"/>
    <w:rsid w:val="001E5E5C"/>
    <w:rsid w:val="001E7BD1"/>
    <w:rsid w:val="001E7E49"/>
    <w:rsid w:val="001F403A"/>
    <w:rsid w:val="00205EEF"/>
    <w:rsid w:val="00221202"/>
    <w:rsid w:val="002331D3"/>
    <w:rsid w:val="00244E6C"/>
    <w:rsid w:val="00247C1D"/>
    <w:rsid w:val="0025657F"/>
    <w:rsid w:val="002647A7"/>
    <w:rsid w:val="0026628D"/>
    <w:rsid w:val="00274C97"/>
    <w:rsid w:val="002766DD"/>
    <w:rsid w:val="002863B0"/>
    <w:rsid w:val="00287CC7"/>
    <w:rsid w:val="00290135"/>
    <w:rsid w:val="00295F6C"/>
    <w:rsid w:val="0029755A"/>
    <w:rsid w:val="002A2AC6"/>
    <w:rsid w:val="002A5E9A"/>
    <w:rsid w:val="002C54CF"/>
    <w:rsid w:val="002D2909"/>
    <w:rsid w:val="002D4DA4"/>
    <w:rsid w:val="002D7A6D"/>
    <w:rsid w:val="002E07BF"/>
    <w:rsid w:val="002F6FCA"/>
    <w:rsid w:val="003146F7"/>
    <w:rsid w:val="00326800"/>
    <w:rsid w:val="003322AB"/>
    <w:rsid w:val="00332CAB"/>
    <w:rsid w:val="00337601"/>
    <w:rsid w:val="0035235D"/>
    <w:rsid w:val="00360C09"/>
    <w:rsid w:val="00376929"/>
    <w:rsid w:val="003929E2"/>
    <w:rsid w:val="00395491"/>
    <w:rsid w:val="003A2D46"/>
    <w:rsid w:val="003A3201"/>
    <w:rsid w:val="003B290E"/>
    <w:rsid w:val="003C2DEE"/>
    <w:rsid w:val="003C2E0B"/>
    <w:rsid w:val="003C67F2"/>
    <w:rsid w:val="003D37C1"/>
    <w:rsid w:val="003E1DDF"/>
    <w:rsid w:val="003E65D8"/>
    <w:rsid w:val="003E7B81"/>
    <w:rsid w:val="003F04B9"/>
    <w:rsid w:val="003F3D18"/>
    <w:rsid w:val="003F5518"/>
    <w:rsid w:val="003F64A7"/>
    <w:rsid w:val="00402272"/>
    <w:rsid w:val="004057C8"/>
    <w:rsid w:val="00435D6D"/>
    <w:rsid w:val="0043772D"/>
    <w:rsid w:val="004456E2"/>
    <w:rsid w:val="00450476"/>
    <w:rsid w:val="00480A2B"/>
    <w:rsid w:val="00482B14"/>
    <w:rsid w:val="004862AD"/>
    <w:rsid w:val="004A1B24"/>
    <w:rsid w:val="004A2796"/>
    <w:rsid w:val="004B0BF8"/>
    <w:rsid w:val="004C2AF8"/>
    <w:rsid w:val="004D70C5"/>
    <w:rsid w:val="004E4CF5"/>
    <w:rsid w:val="004E753C"/>
    <w:rsid w:val="00501EEF"/>
    <w:rsid w:val="0050491F"/>
    <w:rsid w:val="00513C7F"/>
    <w:rsid w:val="00517E36"/>
    <w:rsid w:val="00520C66"/>
    <w:rsid w:val="005217F8"/>
    <w:rsid w:val="00522064"/>
    <w:rsid w:val="00530399"/>
    <w:rsid w:val="00536870"/>
    <w:rsid w:val="00541724"/>
    <w:rsid w:val="00561B5B"/>
    <w:rsid w:val="005713B7"/>
    <w:rsid w:val="00571D17"/>
    <w:rsid w:val="00572154"/>
    <w:rsid w:val="00576A5F"/>
    <w:rsid w:val="005923E3"/>
    <w:rsid w:val="005B0E59"/>
    <w:rsid w:val="005B3960"/>
    <w:rsid w:val="005B7D7A"/>
    <w:rsid w:val="005C1A4E"/>
    <w:rsid w:val="005C7704"/>
    <w:rsid w:val="005D7A12"/>
    <w:rsid w:val="005E1A4A"/>
    <w:rsid w:val="005F0772"/>
    <w:rsid w:val="005F5307"/>
    <w:rsid w:val="0060689C"/>
    <w:rsid w:val="00613B65"/>
    <w:rsid w:val="00616F2D"/>
    <w:rsid w:val="006177A7"/>
    <w:rsid w:val="006258BB"/>
    <w:rsid w:val="00641FD9"/>
    <w:rsid w:val="0064434C"/>
    <w:rsid w:val="006472C5"/>
    <w:rsid w:val="0064781D"/>
    <w:rsid w:val="00662B94"/>
    <w:rsid w:val="006634A1"/>
    <w:rsid w:val="006657C9"/>
    <w:rsid w:val="0067149C"/>
    <w:rsid w:val="00680400"/>
    <w:rsid w:val="00681782"/>
    <w:rsid w:val="006849A6"/>
    <w:rsid w:val="00695476"/>
    <w:rsid w:val="00696FBA"/>
    <w:rsid w:val="006A0541"/>
    <w:rsid w:val="006A5684"/>
    <w:rsid w:val="006B535E"/>
    <w:rsid w:val="006C2460"/>
    <w:rsid w:val="006D761F"/>
    <w:rsid w:val="006E169C"/>
    <w:rsid w:val="006E46DF"/>
    <w:rsid w:val="006E7F0D"/>
    <w:rsid w:val="006E7F57"/>
    <w:rsid w:val="006F1FD6"/>
    <w:rsid w:val="007027C4"/>
    <w:rsid w:val="00711C0F"/>
    <w:rsid w:val="0071294E"/>
    <w:rsid w:val="007359DA"/>
    <w:rsid w:val="00736BCC"/>
    <w:rsid w:val="0074281E"/>
    <w:rsid w:val="00743051"/>
    <w:rsid w:val="007447C1"/>
    <w:rsid w:val="0074741C"/>
    <w:rsid w:val="00754F21"/>
    <w:rsid w:val="00770871"/>
    <w:rsid w:val="0077254B"/>
    <w:rsid w:val="00792491"/>
    <w:rsid w:val="007A3A90"/>
    <w:rsid w:val="007A4E4B"/>
    <w:rsid w:val="007A678E"/>
    <w:rsid w:val="007B5B95"/>
    <w:rsid w:val="007B5F39"/>
    <w:rsid w:val="007C08C3"/>
    <w:rsid w:val="007C2279"/>
    <w:rsid w:val="007C29DE"/>
    <w:rsid w:val="007D0BA4"/>
    <w:rsid w:val="007D15F9"/>
    <w:rsid w:val="007D308B"/>
    <w:rsid w:val="007E485E"/>
    <w:rsid w:val="00811783"/>
    <w:rsid w:val="00813B07"/>
    <w:rsid w:val="008168BC"/>
    <w:rsid w:val="00823C25"/>
    <w:rsid w:val="008259FA"/>
    <w:rsid w:val="00847A3B"/>
    <w:rsid w:val="008573C1"/>
    <w:rsid w:val="0086367E"/>
    <w:rsid w:val="00872924"/>
    <w:rsid w:val="00876C01"/>
    <w:rsid w:val="008866C0"/>
    <w:rsid w:val="00895737"/>
    <w:rsid w:val="008962A7"/>
    <w:rsid w:val="008A367A"/>
    <w:rsid w:val="008B3D72"/>
    <w:rsid w:val="008C650D"/>
    <w:rsid w:val="008D379A"/>
    <w:rsid w:val="008E0120"/>
    <w:rsid w:val="008E455E"/>
    <w:rsid w:val="008E7C81"/>
    <w:rsid w:val="008F5E34"/>
    <w:rsid w:val="008F6EFE"/>
    <w:rsid w:val="00900E76"/>
    <w:rsid w:val="009325F4"/>
    <w:rsid w:val="00934062"/>
    <w:rsid w:val="0093477B"/>
    <w:rsid w:val="00954CF1"/>
    <w:rsid w:val="00970225"/>
    <w:rsid w:val="00974409"/>
    <w:rsid w:val="00974733"/>
    <w:rsid w:val="00980469"/>
    <w:rsid w:val="009837F6"/>
    <w:rsid w:val="00986403"/>
    <w:rsid w:val="00987EB4"/>
    <w:rsid w:val="00992950"/>
    <w:rsid w:val="009B4326"/>
    <w:rsid w:val="009B6BFE"/>
    <w:rsid w:val="009C0319"/>
    <w:rsid w:val="009C319B"/>
    <w:rsid w:val="009C3D12"/>
    <w:rsid w:val="009E3BD2"/>
    <w:rsid w:val="009E7878"/>
    <w:rsid w:val="009F29DA"/>
    <w:rsid w:val="00A02D64"/>
    <w:rsid w:val="00A057C5"/>
    <w:rsid w:val="00A066C4"/>
    <w:rsid w:val="00A12A43"/>
    <w:rsid w:val="00A245C5"/>
    <w:rsid w:val="00A248F4"/>
    <w:rsid w:val="00A368E5"/>
    <w:rsid w:val="00A50E8F"/>
    <w:rsid w:val="00A51FDF"/>
    <w:rsid w:val="00A55ABC"/>
    <w:rsid w:val="00A62024"/>
    <w:rsid w:val="00A63494"/>
    <w:rsid w:val="00A73408"/>
    <w:rsid w:val="00A73B47"/>
    <w:rsid w:val="00A8343C"/>
    <w:rsid w:val="00A9028E"/>
    <w:rsid w:val="00A921BA"/>
    <w:rsid w:val="00A924AE"/>
    <w:rsid w:val="00AB0730"/>
    <w:rsid w:val="00AC0ACE"/>
    <w:rsid w:val="00AC33EA"/>
    <w:rsid w:val="00AC7625"/>
    <w:rsid w:val="00AD6709"/>
    <w:rsid w:val="00AE1E9D"/>
    <w:rsid w:val="00AF40F8"/>
    <w:rsid w:val="00B069F1"/>
    <w:rsid w:val="00B32079"/>
    <w:rsid w:val="00B356BE"/>
    <w:rsid w:val="00B420E2"/>
    <w:rsid w:val="00B51036"/>
    <w:rsid w:val="00B530E4"/>
    <w:rsid w:val="00B657CE"/>
    <w:rsid w:val="00B71E47"/>
    <w:rsid w:val="00B73E01"/>
    <w:rsid w:val="00B76303"/>
    <w:rsid w:val="00B76DB3"/>
    <w:rsid w:val="00BC044F"/>
    <w:rsid w:val="00BC1AB3"/>
    <w:rsid w:val="00BC6B73"/>
    <w:rsid w:val="00BD2757"/>
    <w:rsid w:val="00BD2877"/>
    <w:rsid w:val="00BF4AB5"/>
    <w:rsid w:val="00C003AB"/>
    <w:rsid w:val="00C01089"/>
    <w:rsid w:val="00C12CCF"/>
    <w:rsid w:val="00C21BE4"/>
    <w:rsid w:val="00C24C41"/>
    <w:rsid w:val="00C41E46"/>
    <w:rsid w:val="00C53048"/>
    <w:rsid w:val="00C5725C"/>
    <w:rsid w:val="00C7157F"/>
    <w:rsid w:val="00C72367"/>
    <w:rsid w:val="00C73C93"/>
    <w:rsid w:val="00C74D12"/>
    <w:rsid w:val="00C8216D"/>
    <w:rsid w:val="00C9521D"/>
    <w:rsid w:val="00C96F1D"/>
    <w:rsid w:val="00CA5BC4"/>
    <w:rsid w:val="00CB13A4"/>
    <w:rsid w:val="00CB53E0"/>
    <w:rsid w:val="00CC1096"/>
    <w:rsid w:val="00CE27E5"/>
    <w:rsid w:val="00CE5F46"/>
    <w:rsid w:val="00CE65B1"/>
    <w:rsid w:val="00CE797B"/>
    <w:rsid w:val="00CF14E5"/>
    <w:rsid w:val="00D01247"/>
    <w:rsid w:val="00D053E1"/>
    <w:rsid w:val="00D101F6"/>
    <w:rsid w:val="00D17C17"/>
    <w:rsid w:val="00D26918"/>
    <w:rsid w:val="00D33A75"/>
    <w:rsid w:val="00D47F0C"/>
    <w:rsid w:val="00D55097"/>
    <w:rsid w:val="00D574E4"/>
    <w:rsid w:val="00D576EF"/>
    <w:rsid w:val="00D60EC1"/>
    <w:rsid w:val="00D67E55"/>
    <w:rsid w:val="00D73573"/>
    <w:rsid w:val="00D80A61"/>
    <w:rsid w:val="00D90775"/>
    <w:rsid w:val="00D961C4"/>
    <w:rsid w:val="00DA4229"/>
    <w:rsid w:val="00DA5E01"/>
    <w:rsid w:val="00DB5A77"/>
    <w:rsid w:val="00DB6596"/>
    <w:rsid w:val="00DC1986"/>
    <w:rsid w:val="00DC7FB0"/>
    <w:rsid w:val="00DD0388"/>
    <w:rsid w:val="00DE7E5C"/>
    <w:rsid w:val="00DF3984"/>
    <w:rsid w:val="00E04145"/>
    <w:rsid w:val="00E07442"/>
    <w:rsid w:val="00E122B7"/>
    <w:rsid w:val="00E12838"/>
    <w:rsid w:val="00E13657"/>
    <w:rsid w:val="00E20E24"/>
    <w:rsid w:val="00E2372B"/>
    <w:rsid w:val="00E24AFE"/>
    <w:rsid w:val="00E2696A"/>
    <w:rsid w:val="00E27FDA"/>
    <w:rsid w:val="00E310F2"/>
    <w:rsid w:val="00E3370B"/>
    <w:rsid w:val="00E42FF4"/>
    <w:rsid w:val="00E448F4"/>
    <w:rsid w:val="00E55BD3"/>
    <w:rsid w:val="00E604D4"/>
    <w:rsid w:val="00E631A6"/>
    <w:rsid w:val="00E65904"/>
    <w:rsid w:val="00E71508"/>
    <w:rsid w:val="00E736A5"/>
    <w:rsid w:val="00E809CE"/>
    <w:rsid w:val="00E921E3"/>
    <w:rsid w:val="00E96FE9"/>
    <w:rsid w:val="00E9724B"/>
    <w:rsid w:val="00EA1ECE"/>
    <w:rsid w:val="00EB6716"/>
    <w:rsid w:val="00EC1E3D"/>
    <w:rsid w:val="00EC6E7A"/>
    <w:rsid w:val="00ED35D5"/>
    <w:rsid w:val="00EE2BA1"/>
    <w:rsid w:val="00EE2BEF"/>
    <w:rsid w:val="00EE7A3A"/>
    <w:rsid w:val="00F01B7A"/>
    <w:rsid w:val="00F15049"/>
    <w:rsid w:val="00F16A08"/>
    <w:rsid w:val="00F20B01"/>
    <w:rsid w:val="00F213BC"/>
    <w:rsid w:val="00F234ED"/>
    <w:rsid w:val="00F26B97"/>
    <w:rsid w:val="00F41A9D"/>
    <w:rsid w:val="00F55CEC"/>
    <w:rsid w:val="00F57027"/>
    <w:rsid w:val="00F57524"/>
    <w:rsid w:val="00F75245"/>
    <w:rsid w:val="00F9354D"/>
    <w:rsid w:val="00F94DCB"/>
    <w:rsid w:val="00FB05DA"/>
    <w:rsid w:val="00FB2FD1"/>
    <w:rsid w:val="00FC12C0"/>
    <w:rsid w:val="00FC3301"/>
    <w:rsid w:val="00FC468A"/>
    <w:rsid w:val="00FC6694"/>
    <w:rsid w:val="00FE167F"/>
    <w:rsid w:val="00FE2720"/>
    <w:rsid w:val="00FF1D7C"/>
    <w:rsid w:val="00FF2A69"/>
    <w:rsid w:val="00FF4B45"/>
    <w:rsid w:val="00FF4F56"/>
    <w:rsid w:val="01351C73"/>
    <w:rsid w:val="013A223F"/>
    <w:rsid w:val="013F2FCF"/>
    <w:rsid w:val="014C6453"/>
    <w:rsid w:val="01623C08"/>
    <w:rsid w:val="01752AFE"/>
    <w:rsid w:val="017840A9"/>
    <w:rsid w:val="01813926"/>
    <w:rsid w:val="01920D21"/>
    <w:rsid w:val="01987351"/>
    <w:rsid w:val="01B36AC8"/>
    <w:rsid w:val="01CC662B"/>
    <w:rsid w:val="01D9531E"/>
    <w:rsid w:val="01F90F7C"/>
    <w:rsid w:val="02064B47"/>
    <w:rsid w:val="02092073"/>
    <w:rsid w:val="02132B87"/>
    <w:rsid w:val="02264FBE"/>
    <w:rsid w:val="022B6D52"/>
    <w:rsid w:val="023E4F05"/>
    <w:rsid w:val="026E269C"/>
    <w:rsid w:val="02701597"/>
    <w:rsid w:val="0277484A"/>
    <w:rsid w:val="02854F8C"/>
    <w:rsid w:val="0299229B"/>
    <w:rsid w:val="029C5E74"/>
    <w:rsid w:val="029D1C8E"/>
    <w:rsid w:val="02AC5F33"/>
    <w:rsid w:val="02CE7259"/>
    <w:rsid w:val="02DB4DF7"/>
    <w:rsid w:val="02F8646C"/>
    <w:rsid w:val="030A0C9E"/>
    <w:rsid w:val="03205381"/>
    <w:rsid w:val="036A1C71"/>
    <w:rsid w:val="036F1D46"/>
    <w:rsid w:val="037F6424"/>
    <w:rsid w:val="03802F70"/>
    <w:rsid w:val="039614B8"/>
    <w:rsid w:val="03A62FDF"/>
    <w:rsid w:val="03AD7A96"/>
    <w:rsid w:val="03B43B3F"/>
    <w:rsid w:val="03BE46A4"/>
    <w:rsid w:val="03C25B44"/>
    <w:rsid w:val="03FA6DFF"/>
    <w:rsid w:val="041378F5"/>
    <w:rsid w:val="04201F87"/>
    <w:rsid w:val="04316655"/>
    <w:rsid w:val="04922828"/>
    <w:rsid w:val="04970E19"/>
    <w:rsid w:val="04AC6CA5"/>
    <w:rsid w:val="04B351C5"/>
    <w:rsid w:val="04BF5AD0"/>
    <w:rsid w:val="04C3210C"/>
    <w:rsid w:val="04E350F9"/>
    <w:rsid w:val="04E5250D"/>
    <w:rsid w:val="04F209CD"/>
    <w:rsid w:val="05276AF8"/>
    <w:rsid w:val="05290726"/>
    <w:rsid w:val="0535429B"/>
    <w:rsid w:val="05402991"/>
    <w:rsid w:val="054E1CE0"/>
    <w:rsid w:val="057A7F6E"/>
    <w:rsid w:val="058469D6"/>
    <w:rsid w:val="0589504E"/>
    <w:rsid w:val="058C1707"/>
    <w:rsid w:val="05AC0A53"/>
    <w:rsid w:val="05AE40A3"/>
    <w:rsid w:val="05E740AF"/>
    <w:rsid w:val="05EF0793"/>
    <w:rsid w:val="05F66E7E"/>
    <w:rsid w:val="05FC494C"/>
    <w:rsid w:val="06007989"/>
    <w:rsid w:val="060454DB"/>
    <w:rsid w:val="0618781F"/>
    <w:rsid w:val="062A4F87"/>
    <w:rsid w:val="065F130A"/>
    <w:rsid w:val="06610A08"/>
    <w:rsid w:val="06686B0C"/>
    <w:rsid w:val="066D1D57"/>
    <w:rsid w:val="068D7620"/>
    <w:rsid w:val="06926006"/>
    <w:rsid w:val="06937EB7"/>
    <w:rsid w:val="06BE30D0"/>
    <w:rsid w:val="06EF35C6"/>
    <w:rsid w:val="070D73CC"/>
    <w:rsid w:val="072653F5"/>
    <w:rsid w:val="072852D5"/>
    <w:rsid w:val="07806CC6"/>
    <w:rsid w:val="07996308"/>
    <w:rsid w:val="079B0B7D"/>
    <w:rsid w:val="079C7ECA"/>
    <w:rsid w:val="07A86445"/>
    <w:rsid w:val="07E654DD"/>
    <w:rsid w:val="07EC334E"/>
    <w:rsid w:val="08061DBD"/>
    <w:rsid w:val="080B471B"/>
    <w:rsid w:val="08186ED9"/>
    <w:rsid w:val="083512EB"/>
    <w:rsid w:val="085B6064"/>
    <w:rsid w:val="08667849"/>
    <w:rsid w:val="086F12F7"/>
    <w:rsid w:val="087D5CEF"/>
    <w:rsid w:val="08970B55"/>
    <w:rsid w:val="08B828C6"/>
    <w:rsid w:val="08D5284D"/>
    <w:rsid w:val="08D97EBA"/>
    <w:rsid w:val="08ED0768"/>
    <w:rsid w:val="090A42F6"/>
    <w:rsid w:val="090B1FA9"/>
    <w:rsid w:val="090D2C56"/>
    <w:rsid w:val="091F7003"/>
    <w:rsid w:val="09545334"/>
    <w:rsid w:val="09583F4A"/>
    <w:rsid w:val="095F037B"/>
    <w:rsid w:val="096A27B4"/>
    <w:rsid w:val="096E6A8F"/>
    <w:rsid w:val="099B5A1C"/>
    <w:rsid w:val="09A6526C"/>
    <w:rsid w:val="09E86A45"/>
    <w:rsid w:val="09EA213D"/>
    <w:rsid w:val="0A073DB5"/>
    <w:rsid w:val="0A08744C"/>
    <w:rsid w:val="0A0976BB"/>
    <w:rsid w:val="0A1608E8"/>
    <w:rsid w:val="0A1763FE"/>
    <w:rsid w:val="0A3E3F88"/>
    <w:rsid w:val="0A3E7542"/>
    <w:rsid w:val="0A4D39C2"/>
    <w:rsid w:val="0A583CC6"/>
    <w:rsid w:val="0A5E3784"/>
    <w:rsid w:val="0A672A35"/>
    <w:rsid w:val="0A726026"/>
    <w:rsid w:val="0A981C9A"/>
    <w:rsid w:val="0AA72862"/>
    <w:rsid w:val="0AA74B6E"/>
    <w:rsid w:val="0AAC240E"/>
    <w:rsid w:val="0ADF7AEC"/>
    <w:rsid w:val="0B167DBC"/>
    <w:rsid w:val="0B21105A"/>
    <w:rsid w:val="0B212724"/>
    <w:rsid w:val="0B2209A4"/>
    <w:rsid w:val="0B483C08"/>
    <w:rsid w:val="0B5D1A85"/>
    <w:rsid w:val="0B6251C3"/>
    <w:rsid w:val="0B756EDB"/>
    <w:rsid w:val="0B834CF3"/>
    <w:rsid w:val="0B986F9F"/>
    <w:rsid w:val="0BBE458A"/>
    <w:rsid w:val="0BC16D4D"/>
    <w:rsid w:val="0BCF5E37"/>
    <w:rsid w:val="0BD74A5E"/>
    <w:rsid w:val="0BD928E6"/>
    <w:rsid w:val="0BE03D2B"/>
    <w:rsid w:val="0BE92434"/>
    <w:rsid w:val="0C090444"/>
    <w:rsid w:val="0C11352E"/>
    <w:rsid w:val="0C1D7DEF"/>
    <w:rsid w:val="0C2413F5"/>
    <w:rsid w:val="0C2C1105"/>
    <w:rsid w:val="0C4B1E57"/>
    <w:rsid w:val="0C545F5A"/>
    <w:rsid w:val="0C567D9E"/>
    <w:rsid w:val="0C606202"/>
    <w:rsid w:val="0C662702"/>
    <w:rsid w:val="0C7F3BFC"/>
    <w:rsid w:val="0C8949E4"/>
    <w:rsid w:val="0C997EBB"/>
    <w:rsid w:val="0CB6728F"/>
    <w:rsid w:val="0CC31335"/>
    <w:rsid w:val="0CC455C5"/>
    <w:rsid w:val="0CE32B9C"/>
    <w:rsid w:val="0CF14B0E"/>
    <w:rsid w:val="0CF5585C"/>
    <w:rsid w:val="0CFB6A75"/>
    <w:rsid w:val="0CFD25BD"/>
    <w:rsid w:val="0D0E5602"/>
    <w:rsid w:val="0D24297B"/>
    <w:rsid w:val="0D2D428B"/>
    <w:rsid w:val="0D34678D"/>
    <w:rsid w:val="0D3A39B1"/>
    <w:rsid w:val="0D4A02A6"/>
    <w:rsid w:val="0D4D794B"/>
    <w:rsid w:val="0D5F6505"/>
    <w:rsid w:val="0D607508"/>
    <w:rsid w:val="0D8515F1"/>
    <w:rsid w:val="0D8F75BB"/>
    <w:rsid w:val="0D933F5C"/>
    <w:rsid w:val="0DA3517A"/>
    <w:rsid w:val="0DAB1B73"/>
    <w:rsid w:val="0E06783A"/>
    <w:rsid w:val="0E0C42FA"/>
    <w:rsid w:val="0E340C77"/>
    <w:rsid w:val="0E3656D6"/>
    <w:rsid w:val="0E387EC2"/>
    <w:rsid w:val="0E502C29"/>
    <w:rsid w:val="0E6B4E26"/>
    <w:rsid w:val="0E734739"/>
    <w:rsid w:val="0E847919"/>
    <w:rsid w:val="0E8B4F0A"/>
    <w:rsid w:val="0E9A15CB"/>
    <w:rsid w:val="0E9C201E"/>
    <w:rsid w:val="0EA727EB"/>
    <w:rsid w:val="0EE26BE2"/>
    <w:rsid w:val="0EF4456F"/>
    <w:rsid w:val="0F4D0852"/>
    <w:rsid w:val="0F5151EF"/>
    <w:rsid w:val="0F784044"/>
    <w:rsid w:val="0F823D5D"/>
    <w:rsid w:val="0F862A78"/>
    <w:rsid w:val="0F9937DA"/>
    <w:rsid w:val="0FA029A3"/>
    <w:rsid w:val="0FAB24D3"/>
    <w:rsid w:val="0FBA7763"/>
    <w:rsid w:val="0FC00610"/>
    <w:rsid w:val="0FE973CA"/>
    <w:rsid w:val="10005F5F"/>
    <w:rsid w:val="10063AFE"/>
    <w:rsid w:val="100B449D"/>
    <w:rsid w:val="104B4EC7"/>
    <w:rsid w:val="105356D7"/>
    <w:rsid w:val="1059297C"/>
    <w:rsid w:val="106252FB"/>
    <w:rsid w:val="107E5C87"/>
    <w:rsid w:val="108B226C"/>
    <w:rsid w:val="108E6DDE"/>
    <w:rsid w:val="109827F5"/>
    <w:rsid w:val="10B152EF"/>
    <w:rsid w:val="10D20FA3"/>
    <w:rsid w:val="10D54BEF"/>
    <w:rsid w:val="10FA43D2"/>
    <w:rsid w:val="10FD3277"/>
    <w:rsid w:val="112F26C0"/>
    <w:rsid w:val="113E52CA"/>
    <w:rsid w:val="114215F5"/>
    <w:rsid w:val="114542EA"/>
    <w:rsid w:val="1149117E"/>
    <w:rsid w:val="116B59DD"/>
    <w:rsid w:val="117C761C"/>
    <w:rsid w:val="11A56A4F"/>
    <w:rsid w:val="11B361D3"/>
    <w:rsid w:val="11B65A10"/>
    <w:rsid w:val="11CF66B5"/>
    <w:rsid w:val="11D83639"/>
    <w:rsid w:val="11E63FFF"/>
    <w:rsid w:val="11E75F2F"/>
    <w:rsid w:val="12137217"/>
    <w:rsid w:val="121E0F14"/>
    <w:rsid w:val="12415950"/>
    <w:rsid w:val="12440EBB"/>
    <w:rsid w:val="124A1C36"/>
    <w:rsid w:val="12650308"/>
    <w:rsid w:val="126E66D8"/>
    <w:rsid w:val="12766F68"/>
    <w:rsid w:val="12784E55"/>
    <w:rsid w:val="12863144"/>
    <w:rsid w:val="128A78E8"/>
    <w:rsid w:val="128C33F4"/>
    <w:rsid w:val="12993806"/>
    <w:rsid w:val="12BA218D"/>
    <w:rsid w:val="12BB4574"/>
    <w:rsid w:val="12BF6BA1"/>
    <w:rsid w:val="12CB0E85"/>
    <w:rsid w:val="12CB2C15"/>
    <w:rsid w:val="12CB3E6D"/>
    <w:rsid w:val="12E40295"/>
    <w:rsid w:val="12FB01C6"/>
    <w:rsid w:val="13063EC1"/>
    <w:rsid w:val="13336A4D"/>
    <w:rsid w:val="13365AD3"/>
    <w:rsid w:val="133F5E2F"/>
    <w:rsid w:val="13451BDF"/>
    <w:rsid w:val="13487675"/>
    <w:rsid w:val="134E7BFD"/>
    <w:rsid w:val="13783B8A"/>
    <w:rsid w:val="137F4EEC"/>
    <w:rsid w:val="138D11BC"/>
    <w:rsid w:val="13972080"/>
    <w:rsid w:val="139D2FCC"/>
    <w:rsid w:val="13A05A9F"/>
    <w:rsid w:val="13A160A4"/>
    <w:rsid w:val="13AB6434"/>
    <w:rsid w:val="13BC75DB"/>
    <w:rsid w:val="13C62E93"/>
    <w:rsid w:val="13C96DAF"/>
    <w:rsid w:val="13D63945"/>
    <w:rsid w:val="13D84C83"/>
    <w:rsid w:val="13F54EEA"/>
    <w:rsid w:val="14253493"/>
    <w:rsid w:val="1441058C"/>
    <w:rsid w:val="14565420"/>
    <w:rsid w:val="145E0E2B"/>
    <w:rsid w:val="14663755"/>
    <w:rsid w:val="14A91413"/>
    <w:rsid w:val="14B53C19"/>
    <w:rsid w:val="14B629C7"/>
    <w:rsid w:val="14E26901"/>
    <w:rsid w:val="14E72B42"/>
    <w:rsid w:val="15125E09"/>
    <w:rsid w:val="15265BC4"/>
    <w:rsid w:val="15285578"/>
    <w:rsid w:val="15550B09"/>
    <w:rsid w:val="155550C1"/>
    <w:rsid w:val="156234AA"/>
    <w:rsid w:val="156E26BA"/>
    <w:rsid w:val="157509B7"/>
    <w:rsid w:val="1588419E"/>
    <w:rsid w:val="15BE498C"/>
    <w:rsid w:val="15C56451"/>
    <w:rsid w:val="15C8772A"/>
    <w:rsid w:val="15ED5C46"/>
    <w:rsid w:val="160D697A"/>
    <w:rsid w:val="16162C58"/>
    <w:rsid w:val="1654287F"/>
    <w:rsid w:val="166B3507"/>
    <w:rsid w:val="166F313A"/>
    <w:rsid w:val="16832BBD"/>
    <w:rsid w:val="169754A7"/>
    <w:rsid w:val="16A5117D"/>
    <w:rsid w:val="16AA0B6A"/>
    <w:rsid w:val="16B25E6D"/>
    <w:rsid w:val="16BF6BE7"/>
    <w:rsid w:val="16C343F0"/>
    <w:rsid w:val="16DB3ACD"/>
    <w:rsid w:val="16E63F78"/>
    <w:rsid w:val="16F17C9B"/>
    <w:rsid w:val="172072CE"/>
    <w:rsid w:val="17411B66"/>
    <w:rsid w:val="17447531"/>
    <w:rsid w:val="17464982"/>
    <w:rsid w:val="17536E6E"/>
    <w:rsid w:val="17563FF8"/>
    <w:rsid w:val="177D7BBD"/>
    <w:rsid w:val="17821F33"/>
    <w:rsid w:val="17894CB2"/>
    <w:rsid w:val="178A477B"/>
    <w:rsid w:val="17907B2D"/>
    <w:rsid w:val="17B351C8"/>
    <w:rsid w:val="17CE0395"/>
    <w:rsid w:val="17E751D5"/>
    <w:rsid w:val="17F976EF"/>
    <w:rsid w:val="17FD76AA"/>
    <w:rsid w:val="17FF5B0F"/>
    <w:rsid w:val="180B3DC5"/>
    <w:rsid w:val="18170899"/>
    <w:rsid w:val="182D3C78"/>
    <w:rsid w:val="184008E1"/>
    <w:rsid w:val="18444CBC"/>
    <w:rsid w:val="18603535"/>
    <w:rsid w:val="18656CB7"/>
    <w:rsid w:val="186A63EF"/>
    <w:rsid w:val="186C201D"/>
    <w:rsid w:val="186E1A30"/>
    <w:rsid w:val="187152F8"/>
    <w:rsid w:val="18740800"/>
    <w:rsid w:val="18870D4A"/>
    <w:rsid w:val="188B1530"/>
    <w:rsid w:val="18921717"/>
    <w:rsid w:val="18E02502"/>
    <w:rsid w:val="18FA490E"/>
    <w:rsid w:val="191346B2"/>
    <w:rsid w:val="19275568"/>
    <w:rsid w:val="192F739D"/>
    <w:rsid w:val="19366E96"/>
    <w:rsid w:val="193D5954"/>
    <w:rsid w:val="194C04D8"/>
    <w:rsid w:val="19556FF9"/>
    <w:rsid w:val="195948F7"/>
    <w:rsid w:val="195E0E17"/>
    <w:rsid w:val="1971204D"/>
    <w:rsid w:val="19805D37"/>
    <w:rsid w:val="19C639D9"/>
    <w:rsid w:val="19C82216"/>
    <w:rsid w:val="19CA4AD8"/>
    <w:rsid w:val="19D45248"/>
    <w:rsid w:val="1A105E9F"/>
    <w:rsid w:val="1A1C6F29"/>
    <w:rsid w:val="1A204DE8"/>
    <w:rsid w:val="1A324F2D"/>
    <w:rsid w:val="1A407579"/>
    <w:rsid w:val="1A462475"/>
    <w:rsid w:val="1A710808"/>
    <w:rsid w:val="1A745370"/>
    <w:rsid w:val="1A7A0EF6"/>
    <w:rsid w:val="1A8B389F"/>
    <w:rsid w:val="1A997EE2"/>
    <w:rsid w:val="1AA35F36"/>
    <w:rsid w:val="1AAD5B72"/>
    <w:rsid w:val="1ABE5C90"/>
    <w:rsid w:val="1AE37041"/>
    <w:rsid w:val="1AF67185"/>
    <w:rsid w:val="1B115D3C"/>
    <w:rsid w:val="1B1E0896"/>
    <w:rsid w:val="1B3E1F3A"/>
    <w:rsid w:val="1B464213"/>
    <w:rsid w:val="1B6A11E1"/>
    <w:rsid w:val="1B6A6896"/>
    <w:rsid w:val="1B6D6F30"/>
    <w:rsid w:val="1B785979"/>
    <w:rsid w:val="1B807337"/>
    <w:rsid w:val="1B99695D"/>
    <w:rsid w:val="1BA47A56"/>
    <w:rsid w:val="1BA47C58"/>
    <w:rsid w:val="1BB80F43"/>
    <w:rsid w:val="1BBD41CB"/>
    <w:rsid w:val="1BC170B5"/>
    <w:rsid w:val="1BC35954"/>
    <w:rsid w:val="1BC85289"/>
    <w:rsid w:val="1BD21379"/>
    <w:rsid w:val="1BDB5F9B"/>
    <w:rsid w:val="1BDC34D1"/>
    <w:rsid w:val="1BE64759"/>
    <w:rsid w:val="1BE84701"/>
    <w:rsid w:val="1BEC1D27"/>
    <w:rsid w:val="1BF010E9"/>
    <w:rsid w:val="1BF02765"/>
    <w:rsid w:val="1BF0529D"/>
    <w:rsid w:val="1C2E159D"/>
    <w:rsid w:val="1C326500"/>
    <w:rsid w:val="1C550846"/>
    <w:rsid w:val="1C60680C"/>
    <w:rsid w:val="1C63114B"/>
    <w:rsid w:val="1C6C08F4"/>
    <w:rsid w:val="1C763C77"/>
    <w:rsid w:val="1C7E1815"/>
    <w:rsid w:val="1C9B7F2C"/>
    <w:rsid w:val="1CC22D92"/>
    <w:rsid w:val="1CC31868"/>
    <w:rsid w:val="1CD54AE5"/>
    <w:rsid w:val="1CEF4C58"/>
    <w:rsid w:val="1D1A5AAC"/>
    <w:rsid w:val="1D2073F3"/>
    <w:rsid w:val="1D385997"/>
    <w:rsid w:val="1D6B0D1C"/>
    <w:rsid w:val="1D714633"/>
    <w:rsid w:val="1D717C32"/>
    <w:rsid w:val="1D8E77C6"/>
    <w:rsid w:val="1D9E1ACD"/>
    <w:rsid w:val="1DB7132F"/>
    <w:rsid w:val="1DB74394"/>
    <w:rsid w:val="1DD4019E"/>
    <w:rsid w:val="1DF636F7"/>
    <w:rsid w:val="1DF97E9A"/>
    <w:rsid w:val="1E106418"/>
    <w:rsid w:val="1E1438E8"/>
    <w:rsid w:val="1E1A49CB"/>
    <w:rsid w:val="1E213710"/>
    <w:rsid w:val="1E240C9D"/>
    <w:rsid w:val="1E246195"/>
    <w:rsid w:val="1E2801FF"/>
    <w:rsid w:val="1E597123"/>
    <w:rsid w:val="1E635C85"/>
    <w:rsid w:val="1E6D42C6"/>
    <w:rsid w:val="1E6E1C3C"/>
    <w:rsid w:val="1EAF03E7"/>
    <w:rsid w:val="1EB12D5B"/>
    <w:rsid w:val="1ECA20B1"/>
    <w:rsid w:val="1ECA48AD"/>
    <w:rsid w:val="1EF350E8"/>
    <w:rsid w:val="1EFD2C6E"/>
    <w:rsid w:val="1F011883"/>
    <w:rsid w:val="1F177E2D"/>
    <w:rsid w:val="1F2540E6"/>
    <w:rsid w:val="1F3609F3"/>
    <w:rsid w:val="1F6C04A6"/>
    <w:rsid w:val="1F733EF9"/>
    <w:rsid w:val="1F7E0B62"/>
    <w:rsid w:val="1F8C1AB1"/>
    <w:rsid w:val="1FB737DB"/>
    <w:rsid w:val="1FB818B3"/>
    <w:rsid w:val="1FC13F05"/>
    <w:rsid w:val="1FC4124F"/>
    <w:rsid w:val="1FC87E17"/>
    <w:rsid w:val="1FCB10F3"/>
    <w:rsid w:val="1FEA26D0"/>
    <w:rsid w:val="1FF44E35"/>
    <w:rsid w:val="1FFC0CD6"/>
    <w:rsid w:val="20477762"/>
    <w:rsid w:val="204E6680"/>
    <w:rsid w:val="205D49DE"/>
    <w:rsid w:val="20673EC4"/>
    <w:rsid w:val="206E1703"/>
    <w:rsid w:val="207D08E0"/>
    <w:rsid w:val="207E1154"/>
    <w:rsid w:val="208B64ED"/>
    <w:rsid w:val="20BD2B9D"/>
    <w:rsid w:val="20C47E79"/>
    <w:rsid w:val="20F40677"/>
    <w:rsid w:val="20FF648C"/>
    <w:rsid w:val="211D538B"/>
    <w:rsid w:val="214D7F75"/>
    <w:rsid w:val="21692402"/>
    <w:rsid w:val="218F01B7"/>
    <w:rsid w:val="21AC6C50"/>
    <w:rsid w:val="21B04A82"/>
    <w:rsid w:val="21B53414"/>
    <w:rsid w:val="21CC25D2"/>
    <w:rsid w:val="21CF34D5"/>
    <w:rsid w:val="21D06BFB"/>
    <w:rsid w:val="21D278F8"/>
    <w:rsid w:val="21E17532"/>
    <w:rsid w:val="21E42164"/>
    <w:rsid w:val="21FE0428"/>
    <w:rsid w:val="220426D8"/>
    <w:rsid w:val="22292C54"/>
    <w:rsid w:val="223606BE"/>
    <w:rsid w:val="22736881"/>
    <w:rsid w:val="228826E5"/>
    <w:rsid w:val="22C17C41"/>
    <w:rsid w:val="22DC1101"/>
    <w:rsid w:val="22DD2076"/>
    <w:rsid w:val="22DE65D0"/>
    <w:rsid w:val="22E26D93"/>
    <w:rsid w:val="22FC5224"/>
    <w:rsid w:val="23536B7C"/>
    <w:rsid w:val="23A31B76"/>
    <w:rsid w:val="23AF484A"/>
    <w:rsid w:val="23B417A6"/>
    <w:rsid w:val="23B91130"/>
    <w:rsid w:val="23CD6F18"/>
    <w:rsid w:val="23E303FA"/>
    <w:rsid w:val="23F33D54"/>
    <w:rsid w:val="23F34FB7"/>
    <w:rsid w:val="23FB1111"/>
    <w:rsid w:val="241E2177"/>
    <w:rsid w:val="2423604A"/>
    <w:rsid w:val="24292561"/>
    <w:rsid w:val="24373F6D"/>
    <w:rsid w:val="2448484C"/>
    <w:rsid w:val="24575A93"/>
    <w:rsid w:val="24673185"/>
    <w:rsid w:val="248255ED"/>
    <w:rsid w:val="248B56E2"/>
    <w:rsid w:val="24A32C9D"/>
    <w:rsid w:val="24A8288B"/>
    <w:rsid w:val="24BE2F37"/>
    <w:rsid w:val="24F50FAE"/>
    <w:rsid w:val="25030742"/>
    <w:rsid w:val="250A771D"/>
    <w:rsid w:val="251E7700"/>
    <w:rsid w:val="252614C9"/>
    <w:rsid w:val="252826CC"/>
    <w:rsid w:val="252E1698"/>
    <w:rsid w:val="25326A1A"/>
    <w:rsid w:val="25453397"/>
    <w:rsid w:val="25574B16"/>
    <w:rsid w:val="255F7AD2"/>
    <w:rsid w:val="2564493E"/>
    <w:rsid w:val="256D4FBD"/>
    <w:rsid w:val="257E226E"/>
    <w:rsid w:val="259127F9"/>
    <w:rsid w:val="25960536"/>
    <w:rsid w:val="259D3142"/>
    <w:rsid w:val="25D57A32"/>
    <w:rsid w:val="25F211DB"/>
    <w:rsid w:val="25F60C3B"/>
    <w:rsid w:val="25F65D0C"/>
    <w:rsid w:val="25FA3C32"/>
    <w:rsid w:val="25FA60CF"/>
    <w:rsid w:val="260C04D1"/>
    <w:rsid w:val="26145425"/>
    <w:rsid w:val="26230DF0"/>
    <w:rsid w:val="2627224F"/>
    <w:rsid w:val="263C4A01"/>
    <w:rsid w:val="263F5222"/>
    <w:rsid w:val="264B2FCC"/>
    <w:rsid w:val="26507C71"/>
    <w:rsid w:val="26541B7D"/>
    <w:rsid w:val="26657DD8"/>
    <w:rsid w:val="26794F20"/>
    <w:rsid w:val="2680524D"/>
    <w:rsid w:val="26C03072"/>
    <w:rsid w:val="26CC079E"/>
    <w:rsid w:val="26D1505D"/>
    <w:rsid w:val="26E15169"/>
    <w:rsid w:val="26F267D1"/>
    <w:rsid w:val="270C7E7B"/>
    <w:rsid w:val="27180E6A"/>
    <w:rsid w:val="271E393C"/>
    <w:rsid w:val="272347EF"/>
    <w:rsid w:val="2727416B"/>
    <w:rsid w:val="272D4984"/>
    <w:rsid w:val="27581696"/>
    <w:rsid w:val="276B26C0"/>
    <w:rsid w:val="278F4995"/>
    <w:rsid w:val="278F7628"/>
    <w:rsid w:val="279D08CA"/>
    <w:rsid w:val="27A872D6"/>
    <w:rsid w:val="27B92311"/>
    <w:rsid w:val="27CE4C4F"/>
    <w:rsid w:val="27DA6390"/>
    <w:rsid w:val="27E50D7B"/>
    <w:rsid w:val="27F513D0"/>
    <w:rsid w:val="281D1842"/>
    <w:rsid w:val="28223089"/>
    <w:rsid w:val="28515969"/>
    <w:rsid w:val="28556900"/>
    <w:rsid w:val="287C52A9"/>
    <w:rsid w:val="287F71CF"/>
    <w:rsid w:val="289711B8"/>
    <w:rsid w:val="28AA44A4"/>
    <w:rsid w:val="28B34564"/>
    <w:rsid w:val="28C246A0"/>
    <w:rsid w:val="28DB07EC"/>
    <w:rsid w:val="28FA13D4"/>
    <w:rsid w:val="29184803"/>
    <w:rsid w:val="294409BC"/>
    <w:rsid w:val="29686931"/>
    <w:rsid w:val="29690D96"/>
    <w:rsid w:val="29746DFF"/>
    <w:rsid w:val="29783FB6"/>
    <w:rsid w:val="298076E2"/>
    <w:rsid w:val="29911DBB"/>
    <w:rsid w:val="299D5957"/>
    <w:rsid w:val="29B46D85"/>
    <w:rsid w:val="29C9235D"/>
    <w:rsid w:val="29CA3422"/>
    <w:rsid w:val="29DC316A"/>
    <w:rsid w:val="29E94C34"/>
    <w:rsid w:val="29F20DAE"/>
    <w:rsid w:val="29FB48F8"/>
    <w:rsid w:val="2A0D32E4"/>
    <w:rsid w:val="2A4A0382"/>
    <w:rsid w:val="2A4B34A7"/>
    <w:rsid w:val="2A604683"/>
    <w:rsid w:val="2A641987"/>
    <w:rsid w:val="2A745AF1"/>
    <w:rsid w:val="2AA02867"/>
    <w:rsid w:val="2AB357E7"/>
    <w:rsid w:val="2ACD0A6A"/>
    <w:rsid w:val="2AF75E3F"/>
    <w:rsid w:val="2AF76423"/>
    <w:rsid w:val="2B035156"/>
    <w:rsid w:val="2B0747FE"/>
    <w:rsid w:val="2B096C7A"/>
    <w:rsid w:val="2B0F15B2"/>
    <w:rsid w:val="2B1431BE"/>
    <w:rsid w:val="2B2144A5"/>
    <w:rsid w:val="2B2A3AC8"/>
    <w:rsid w:val="2B2D17EA"/>
    <w:rsid w:val="2B3167F0"/>
    <w:rsid w:val="2B395A62"/>
    <w:rsid w:val="2B421606"/>
    <w:rsid w:val="2B467033"/>
    <w:rsid w:val="2B63494F"/>
    <w:rsid w:val="2B6E40C9"/>
    <w:rsid w:val="2B93610E"/>
    <w:rsid w:val="2B9F615B"/>
    <w:rsid w:val="2BB23B01"/>
    <w:rsid w:val="2BC206A6"/>
    <w:rsid w:val="2BC22732"/>
    <w:rsid w:val="2BC537D3"/>
    <w:rsid w:val="2BC80E7B"/>
    <w:rsid w:val="2BE212BA"/>
    <w:rsid w:val="2BE43FF8"/>
    <w:rsid w:val="2BF64BF9"/>
    <w:rsid w:val="2C006AC9"/>
    <w:rsid w:val="2C1C5425"/>
    <w:rsid w:val="2C295B44"/>
    <w:rsid w:val="2C485018"/>
    <w:rsid w:val="2C594A5D"/>
    <w:rsid w:val="2CA07757"/>
    <w:rsid w:val="2CAC46BC"/>
    <w:rsid w:val="2CC9536F"/>
    <w:rsid w:val="2CD32354"/>
    <w:rsid w:val="2CF617E0"/>
    <w:rsid w:val="2D1F08A9"/>
    <w:rsid w:val="2D341634"/>
    <w:rsid w:val="2D354A38"/>
    <w:rsid w:val="2D560F91"/>
    <w:rsid w:val="2D5807DA"/>
    <w:rsid w:val="2D59741D"/>
    <w:rsid w:val="2D61222D"/>
    <w:rsid w:val="2D6A3083"/>
    <w:rsid w:val="2D767628"/>
    <w:rsid w:val="2DB0725B"/>
    <w:rsid w:val="2DBB723B"/>
    <w:rsid w:val="2DC37DF1"/>
    <w:rsid w:val="2DD560C3"/>
    <w:rsid w:val="2DDD4AFC"/>
    <w:rsid w:val="2DE43DE4"/>
    <w:rsid w:val="2DE72CC0"/>
    <w:rsid w:val="2E0D173F"/>
    <w:rsid w:val="2E8013F7"/>
    <w:rsid w:val="2E825B76"/>
    <w:rsid w:val="2EB433C6"/>
    <w:rsid w:val="2ECB5D09"/>
    <w:rsid w:val="2EEC509E"/>
    <w:rsid w:val="2EF57EBC"/>
    <w:rsid w:val="2EFC5749"/>
    <w:rsid w:val="2F0036B2"/>
    <w:rsid w:val="2F0B25ED"/>
    <w:rsid w:val="2F306712"/>
    <w:rsid w:val="2F4A1FBC"/>
    <w:rsid w:val="2F8932A3"/>
    <w:rsid w:val="2F984ABB"/>
    <w:rsid w:val="2FA74539"/>
    <w:rsid w:val="2FB154F2"/>
    <w:rsid w:val="2FCD489F"/>
    <w:rsid w:val="2FD91952"/>
    <w:rsid w:val="2FE32412"/>
    <w:rsid w:val="2FFB1CEA"/>
    <w:rsid w:val="30237284"/>
    <w:rsid w:val="30323073"/>
    <w:rsid w:val="30346EAA"/>
    <w:rsid w:val="30561692"/>
    <w:rsid w:val="305E4689"/>
    <w:rsid w:val="306E03FB"/>
    <w:rsid w:val="307D7DB5"/>
    <w:rsid w:val="308A1A0F"/>
    <w:rsid w:val="309218B2"/>
    <w:rsid w:val="30981D92"/>
    <w:rsid w:val="309B6B2B"/>
    <w:rsid w:val="30AA13BF"/>
    <w:rsid w:val="30C20FF2"/>
    <w:rsid w:val="30CA54D9"/>
    <w:rsid w:val="30EF353D"/>
    <w:rsid w:val="30F10891"/>
    <w:rsid w:val="30F13338"/>
    <w:rsid w:val="310C4A4C"/>
    <w:rsid w:val="311444A1"/>
    <w:rsid w:val="31195802"/>
    <w:rsid w:val="314F19DE"/>
    <w:rsid w:val="315757AE"/>
    <w:rsid w:val="31742E4E"/>
    <w:rsid w:val="31864EB8"/>
    <w:rsid w:val="31892206"/>
    <w:rsid w:val="31926D16"/>
    <w:rsid w:val="31974ED2"/>
    <w:rsid w:val="31A1306B"/>
    <w:rsid w:val="31AA13C8"/>
    <w:rsid w:val="31B242B9"/>
    <w:rsid w:val="31DF6482"/>
    <w:rsid w:val="32000348"/>
    <w:rsid w:val="320423B2"/>
    <w:rsid w:val="32396CA7"/>
    <w:rsid w:val="32406CFD"/>
    <w:rsid w:val="324E226E"/>
    <w:rsid w:val="326B1A60"/>
    <w:rsid w:val="327B0EE3"/>
    <w:rsid w:val="32842723"/>
    <w:rsid w:val="32B15F25"/>
    <w:rsid w:val="32B82304"/>
    <w:rsid w:val="32B871AC"/>
    <w:rsid w:val="32C57B5B"/>
    <w:rsid w:val="32CB3041"/>
    <w:rsid w:val="32D4454C"/>
    <w:rsid w:val="32F341BB"/>
    <w:rsid w:val="32FE6DB5"/>
    <w:rsid w:val="32FF588D"/>
    <w:rsid w:val="330A5D26"/>
    <w:rsid w:val="3341058C"/>
    <w:rsid w:val="33434A04"/>
    <w:rsid w:val="335C0F0C"/>
    <w:rsid w:val="338F5AA2"/>
    <w:rsid w:val="33972BA4"/>
    <w:rsid w:val="33CA38C0"/>
    <w:rsid w:val="33DC601A"/>
    <w:rsid w:val="33F62CD1"/>
    <w:rsid w:val="33FE76D9"/>
    <w:rsid w:val="3404140F"/>
    <w:rsid w:val="342B427E"/>
    <w:rsid w:val="344A3B15"/>
    <w:rsid w:val="344A5CAF"/>
    <w:rsid w:val="344D559D"/>
    <w:rsid w:val="34627E84"/>
    <w:rsid w:val="346678FC"/>
    <w:rsid w:val="34700CE5"/>
    <w:rsid w:val="34724319"/>
    <w:rsid w:val="34761B3D"/>
    <w:rsid w:val="34B70E92"/>
    <w:rsid w:val="34BC38A3"/>
    <w:rsid w:val="34BC47EE"/>
    <w:rsid w:val="34D33456"/>
    <w:rsid w:val="34ED2EF3"/>
    <w:rsid w:val="34FB6280"/>
    <w:rsid w:val="35096656"/>
    <w:rsid w:val="351274ED"/>
    <w:rsid w:val="35413CA8"/>
    <w:rsid w:val="35523A36"/>
    <w:rsid w:val="35552533"/>
    <w:rsid w:val="355C608F"/>
    <w:rsid w:val="35884C5D"/>
    <w:rsid w:val="358B16A6"/>
    <w:rsid w:val="359114B6"/>
    <w:rsid w:val="35DA1085"/>
    <w:rsid w:val="35F8503E"/>
    <w:rsid w:val="36065048"/>
    <w:rsid w:val="360E3D96"/>
    <w:rsid w:val="360F3340"/>
    <w:rsid w:val="36100B60"/>
    <w:rsid w:val="363A6CD2"/>
    <w:rsid w:val="36504388"/>
    <w:rsid w:val="366F798B"/>
    <w:rsid w:val="36845E45"/>
    <w:rsid w:val="36860188"/>
    <w:rsid w:val="3687528F"/>
    <w:rsid w:val="369E1856"/>
    <w:rsid w:val="369F5F8F"/>
    <w:rsid w:val="36AB53A8"/>
    <w:rsid w:val="36BF7024"/>
    <w:rsid w:val="36CB2A00"/>
    <w:rsid w:val="36D71B6D"/>
    <w:rsid w:val="36D72354"/>
    <w:rsid w:val="36D954F0"/>
    <w:rsid w:val="370666E5"/>
    <w:rsid w:val="370C60A4"/>
    <w:rsid w:val="370F5BFD"/>
    <w:rsid w:val="371B6273"/>
    <w:rsid w:val="37323C4D"/>
    <w:rsid w:val="374375AF"/>
    <w:rsid w:val="374E58D6"/>
    <w:rsid w:val="376B6B46"/>
    <w:rsid w:val="377B22EA"/>
    <w:rsid w:val="37801AA2"/>
    <w:rsid w:val="3782361C"/>
    <w:rsid w:val="3797682D"/>
    <w:rsid w:val="37A14BD7"/>
    <w:rsid w:val="37B70D55"/>
    <w:rsid w:val="37B91CA7"/>
    <w:rsid w:val="37E234BF"/>
    <w:rsid w:val="380C7B3D"/>
    <w:rsid w:val="381730CC"/>
    <w:rsid w:val="383A131B"/>
    <w:rsid w:val="3849652C"/>
    <w:rsid w:val="384C04DE"/>
    <w:rsid w:val="385C1B20"/>
    <w:rsid w:val="385F1A9D"/>
    <w:rsid w:val="38645417"/>
    <w:rsid w:val="386B0171"/>
    <w:rsid w:val="387979F1"/>
    <w:rsid w:val="387C2795"/>
    <w:rsid w:val="38881EBB"/>
    <w:rsid w:val="38942AAD"/>
    <w:rsid w:val="389712F2"/>
    <w:rsid w:val="38B37340"/>
    <w:rsid w:val="38BC5D6B"/>
    <w:rsid w:val="38C63D66"/>
    <w:rsid w:val="38CA4FC5"/>
    <w:rsid w:val="38D26913"/>
    <w:rsid w:val="38D93327"/>
    <w:rsid w:val="38E21DE2"/>
    <w:rsid w:val="39191059"/>
    <w:rsid w:val="39215CC3"/>
    <w:rsid w:val="3935437F"/>
    <w:rsid w:val="393973DB"/>
    <w:rsid w:val="395550D1"/>
    <w:rsid w:val="398630C2"/>
    <w:rsid w:val="399805D2"/>
    <w:rsid w:val="39A03524"/>
    <w:rsid w:val="39B32851"/>
    <w:rsid w:val="39B611DA"/>
    <w:rsid w:val="39BB476A"/>
    <w:rsid w:val="39C70DF7"/>
    <w:rsid w:val="39CD7D12"/>
    <w:rsid w:val="39E21628"/>
    <w:rsid w:val="39E901AB"/>
    <w:rsid w:val="39E91C6F"/>
    <w:rsid w:val="39FD40D4"/>
    <w:rsid w:val="3A0462CC"/>
    <w:rsid w:val="3A1B3636"/>
    <w:rsid w:val="3A2959B1"/>
    <w:rsid w:val="3A367BA9"/>
    <w:rsid w:val="3A466C85"/>
    <w:rsid w:val="3A8D3267"/>
    <w:rsid w:val="3A8E4793"/>
    <w:rsid w:val="3A920B69"/>
    <w:rsid w:val="3AB2321F"/>
    <w:rsid w:val="3AB32333"/>
    <w:rsid w:val="3ABB31FD"/>
    <w:rsid w:val="3ACC6A5F"/>
    <w:rsid w:val="3AD07C99"/>
    <w:rsid w:val="3AD30754"/>
    <w:rsid w:val="3AE267C9"/>
    <w:rsid w:val="3AE42D07"/>
    <w:rsid w:val="3AF67989"/>
    <w:rsid w:val="3B0F5D78"/>
    <w:rsid w:val="3B291F18"/>
    <w:rsid w:val="3B35149A"/>
    <w:rsid w:val="3B4F12B2"/>
    <w:rsid w:val="3B730A2C"/>
    <w:rsid w:val="3B8D15A9"/>
    <w:rsid w:val="3BBD3970"/>
    <w:rsid w:val="3BD13837"/>
    <w:rsid w:val="3BD43349"/>
    <w:rsid w:val="3C0A04BB"/>
    <w:rsid w:val="3C1134A9"/>
    <w:rsid w:val="3C1278E0"/>
    <w:rsid w:val="3C2B2044"/>
    <w:rsid w:val="3C555015"/>
    <w:rsid w:val="3C583D72"/>
    <w:rsid w:val="3C6524E5"/>
    <w:rsid w:val="3C691DB4"/>
    <w:rsid w:val="3C7057AE"/>
    <w:rsid w:val="3C71272F"/>
    <w:rsid w:val="3C8D0371"/>
    <w:rsid w:val="3CA8627B"/>
    <w:rsid w:val="3CA97F92"/>
    <w:rsid w:val="3CB07A2D"/>
    <w:rsid w:val="3CF177EF"/>
    <w:rsid w:val="3CF87315"/>
    <w:rsid w:val="3D1E45E5"/>
    <w:rsid w:val="3D3712B0"/>
    <w:rsid w:val="3D4B442E"/>
    <w:rsid w:val="3D7263EA"/>
    <w:rsid w:val="3D7B54EF"/>
    <w:rsid w:val="3D7D48B2"/>
    <w:rsid w:val="3D86267D"/>
    <w:rsid w:val="3D8B6E52"/>
    <w:rsid w:val="3DA70962"/>
    <w:rsid w:val="3DAF4BE0"/>
    <w:rsid w:val="3DB724DE"/>
    <w:rsid w:val="3DC70F93"/>
    <w:rsid w:val="3DE628EA"/>
    <w:rsid w:val="3DF41F1A"/>
    <w:rsid w:val="3E183724"/>
    <w:rsid w:val="3E22369C"/>
    <w:rsid w:val="3E2258E7"/>
    <w:rsid w:val="3E2E431B"/>
    <w:rsid w:val="3E3660A4"/>
    <w:rsid w:val="3E4D5D4B"/>
    <w:rsid w:val="3E5F3821"/>
    <w:rsid w:val="3E662C4E"/>
    <w:rsid w:val="3E6836C3"/>
    <w:rsid w:val="3E74486F"/>
    <w:rsid w:val="3E9D7D6C"/>
    <w:rsid w:val="3EA271E9"/>
    <w:rsid w:val="3EBE544B"/>
    <w:rsid w:val="3EC7628C"/>
    <w:rsid w:val="3EC774ED"/>
    <w:rsid w:val="3ED309C1"/>
    <w:rsid w:val="3ED545DB"/>
    <w:rsid w:val="3ED613E3"/>
    <w:rsid w:val="3EDC2981"/>
    <w:rsid w:val="3EE4471D"/>
    <w:rsid w:val="3EF75F01"/>
    <w:rsid w:val="3F0C2C0C"/>
    <w:rsid w:val="3F23004F"/>
    <w:rsid w:val="3F3C71CB"/>
    <w:rsid w:val="3F4F184E"/>
    <w:rsid w:val="3F597C70"/>
    <w:rsid w:val="3F5A50A4"/>
    <w:rsid w:val="3F86322C"/>
    <w:rsid w:val="3F8F2F70"/>
    <w:rsid w:val="3FA10922"/>
    <w:rsid w:val="3FA115F0"/>
    <w:rsid w:val="3FA46EF8"/>
    <w:rsid w:val="3FBF69C8"/>
    <w:rsid w:val="3FD4031B"/>
    <w:rsid w:val="3FDA0AC6"/>
    <w:rsid w:val="3FE47F77"/>
    <w:rsid w:val="3FFE53E9"/>
    <w:rsid w:val="40164160"/>
    <w:rsid w:val="40170374"/>
    <w:rsid w:val="4019218E"/>
    <w:rsid w:val="40270EDB"/>
    <w:rsid w:val="403F5839"/>
    <w:rsid w:val="40596BBF"/>
    <w:rsid w:val="406A433E"/>
    <w:rsid w:val="40841FFE"/>
    <w:rsid w:val="40BD6A2F"/>
    <w:rsid w:val="40E517EC"/>
    <w:rsid w:val="40E724CE"/>
    <w:rsid w:val="41160D49"/>
    <w:rsid w:val="41181D29"/>
    <w:rsid w:val="41303C39"/>
    <w:rsid w:val="413D1880"/>
    <w:rsid w:val="414B2E3E"/>
    <w:rsid w:val="414F74CB"/>
    <w:rsid w:val="4152668D"/>
    <w:rsid w:val="415B6654"/>
    <w:rsid w:val="417371BA"/>
    <w:rsid w:val="417C2EE6"/>
    <w:rsid w:val="418515F9"/>
    <w:rsid w:val="41A0365E"/>
    <w:rsid w:val="41A5316F"/>
    <w:rsid w:val="41C92B51"/>
    <w:rsid w:val="41D301C3"/>
    <w:rsid w:val="41D623AF"/>
    <w:rsid w:val="41E618AB"/>
    <w:rsid w:val="41EB47F2"/>
    <w:rsid w:val="41EC095F"/>
    <w:rsid w:val="41FB53EF"/>
    <w:rsid w:val="421F1BB6"/>
    <w:rsid w:val="422F49B3"/>
    <w:rsid w:val="425372A2"/>
    <w:rsid w:val="426A0418"/>
    <w:rsid w:val="426A1898"/>
    <w:rsid w:val="426C23E2"/>
    <w:rsid w:val="427330DF"/>
    <w:rsid w:val="427D7873"/>
    <w:rsid w:val="42802614"/>
    <w:rsid w:val="428B7594"/>
    <w:rsid w:val="42A853C7"/>
    <w:rsid w:val="42B01704"/>
    <w:rsid w:val="42CC4106"/>
    <w:rsid w:val="42E068CB"/>
    <w:rsid w:val="430274F1"/>
    <w:rsid w:val="432146BD"/>
    <w:rsid w:val="43287BCC"/>
    <w:rsid w:val="43330CA7"/>
    <w:rsid w:val="433858A5"/>
    <w:rsid w:val="433E126A"/>
    <w:rsid w:val="433F10B4"/>
    <w:rsid w:val="43606EA0"/>
    <w:rsid w:val="43920E07"/>
    <w:rsid w:val="43951B04"/>
    <w:rsid w:val="43A7649F"/>
    <w:rsid w:val="43B41E3E"/>
    <w:rsid w:val="43BC110E"/>
    <w:rsid w:val="43D32426"/>
    <w:rsid w:val="43EE6D65"/>
    <w:rsid w:val="43FC7E87"/>
    <w:rsid w:val="4413050A"/>
    <w:rsid w:val="44210A17"/>
    <w:rsid w:val="44256396"/>
    <w:rsid w:val="44271441"/>
    <w:rsid w:val="4465559E"/>
    <w:rsid w:val="44712172"/>
    <w:rsid w:val="447734D9"/>
    <w:rsid w:val="447C1550"/>
    <w:rsid w:val="44833414"/>
    <w:rsid w:val="4491600F"/>
    <w:rsid w:val="44984355"/>
    <w:rsid w:val="44A8226D"/>
    <w:rsid w:val="44C80955"/>
    <w:rsid w:val="44CC2C4F"/>
    <w:rsid w:val="44E27A7E"/>
    <w:rsid w:val="44F24AC8"/>
    <w:rsid w:val="44F71504"/>
    <w:rsid w:val="44FB7340"/>
    <w:rsid w:val="45127D1A"/>
    <w:rsid w:val="451A55B3"/>
    <w:rsid w:val="451E0828"/>
    <w:rsid w:val="451E2AD9"/>
    <w:rsid w:val="4524498B"/>
    <w:rsid w:val="45461523"/>
    <w:rsid w:val="454817C9"/>
    <w:rsid w:val="454F0C0F"/>
    <w:rsid w:val="456909A8"/>
    <w:rsid w:val="456D3D22"/>
    <w:rsid w:val="457A14A2"/>
    <w:rsid w:val="457E1251"/>
    <w:rsid w:val="458804C8"/>
    <w:rsid w:val="45995BB4"/>
    <w:rsid w:val="45B93063"/>
    <w:rsid w:val="45C23361"/>
    <w:rsid w:val="45CA18A8"/>
    <w:rsid w:val="45CC3056"/>
    <w:rsid w:val="45FB5A7C"/>
    <w:rsid w:val="45FD3E50"/>
    <w:rsid w:val="4601483F"/>
    <w:rsid w:val="46163E05"/>
    <w:rsid w:val="462569BC"/>
    <w:rsid w:val="464E3334"/>
    <w:rsid w:val="4650702B"/>
    <w:rsid w:val="466D6B73"/>
    <w:rsid w:val="46760020"/>
    <w:rsid w:val="468F7B5E"/>
    <w:rsid w:val="469D3DE5"/>
    <w:rsid w:val="46A34E08"/>
    <w:rsid w:val="46A7659A"/>
    <w:rsid w:val="46C24284"/>
    <w:rsid w:val="46C853F2"/>
    <w:rsid w:val="46CE53B7"/>
    <w:rsid w:val="46F722E3"/>
    <w:rsid w:val="472B3FFD"/>
    <w:rsid w:val="472E7B5B"/>
    <w:rsid w:val="4734684B"/>
    <w:rsid w:val="47353DAC"/>
    <w:rsid w:val="4740541B"/>
    <w:rsid w:val="47427099"/>
    <w:rsid w:val="47542182"/>
    <w:rsid w:val="476A5FE9"/>
    <w:rsid w:val="477251CE"/>
    <w:rsid w:val="4780564D"/>
    <w:rsid w:val="478610F4"/>
    <w:rsid w:val="47A92D09"/>
    <w:rsid w:val="47CC1367"/>
    <w:rsid w:val="47D54BA7"/>
    <w:rsid w:val="48017210"/>
    <w:rsid w:val="48087FE3"/>
    <w:rsid w:val="481A3E81"/>
    <w:rsid w:val="482C5D39"/>
    <w:rsid w:val="485B1902"/>
    <w:rsid w:val="48626892"/>
    <w:rsid w:val="489B7B1D"/>
    <w:rsid w:val="48AF419F"/>
    <w:rsid w:val="48D75B88"/>
    <w:rsid w:val="48DB7360"/>
    <w:rsid w:val="48E33E5F"/>
    <w:rsid w:val="48FF5525"/>
    <w:rsid w:val="49001E86"/>
    <w:rsid w:val="490647BE"/>
    <w:rsid w:val="493618EF"/>
    <w:rsid w:val="494C4436"/>
    <w:rsid w:val="495F5D36"/>
    <w:rsid w:val="49734683"/>
    <w:rsid w:val="497E5010"/>
    <w:rsid w:val="499250A4"/>
    <w:rsid w:val="499D2E08"/>
    <w:rsid w:val="49DF3A58"/>
    <w:rsid w:val="49EC0086"/>
    <w:rsid w:val="49F64E88"/>
    <w:rsid w:val="4A234FEC"/>
    <w:rsid w:val="4A2D2C3E"/>
    <w:rsid w:val="4A2F090E"/>
    <w:rsid w:val="4A320278"/>
    <w:rsid w:val="4A467DEA"/>
    <w:rsid w:val="4A480B48"/>
    <w:rsid w:val="4A8307F4"/>
    <w:rsid w:val="4A8A57B2"/>
    <w:rsid w:val="4AA31EB3"/>
    <w:rsid w:val="4AB30EDE"/>
    <w:rsid w:val="4ABA38FB"/>
    <w:rsid w:val="4AFA1E51"/>
    <w:rsid w:val="4B242129"/>
    <w:rsid w:val="4B341F77"/>
    <w:rsid w:val="4B4A7CA4"/>
    <w:rsid w:val="4B543C59"/>
    <w:rsid w:val="4B6828A2"/>
    <w:rsid w:val="4B730590"/>
    <w:rsid w:val="4B7D207A"/>
    <w:rsid w:val="4B875EB6"/>
    <w:rsid w:val="4BA731AA"/>
    <w:rsid w:val="4BAD1EF1"/>
    <w:rsid w:val="4BAF7C51"/>
    <w:rsid w:val="4BB2318A"/>
    <w:rsid w:val="4BB961D0"/>
    <w:rsid w:val="4BBA6469"/>
    <w:rsid w:val="4BD73847"/>
    <w:rsid w:val="4BE136FC"/>
    <w:rsid w:val="4C000FEE"/>
    <w:rsid w:val="4C160901"/>
    <w:rsid w:val="4C26189E"/>
    <w:rsid w:val="4C2A27C2"/>
    <w:rsid w:val="4C3F1AD6"/>
    <w:rsid w:val="4C621735"/>
    <w:rsid w:val="4C6514B0"/>
    <w:rsid w:val="4C670BA8"/>
    <w:rsid w:val="4C6C0D90"/>
    <w:rsid w:val="4C6F4DDF"/>
    <w:rsid w:val="4C7D1FFD"/>
    <w:rsid w:val="4C7E7777"/>
    <w:rsid w:val="4CB7716D"/>
    <w:rsid w:val="4CE21E5B"/>
    <w:rsid w:val="4CED4287"/>
    <w:rsid w:val="4CF5763E"/>
    <w:rsid w:val="4D035F30"/>
    <w:rsid w:val="4D361E73"/>
    <w:rsid w:val="4D3F7CBF"/>
    <w:rsid w:val="4D48482F"/>
    <w:rsid w:val="4D62389D"/>
    <w:rsid w:val="4D8B6E28"/>
    <w:rsid w:val="4DA8223C"/>
    <w:rsid w:val="4DBB5850"/>
    <w:rsid w:val="4DC46301"/>
    <w:rsid w:val="4DF60896"/>
    <w:rsid w:val="4DFD5ECA"/>
    <w:rsid w:val="4DFE3CC8"/>
    <w:rsid w:val="4E025DB2"/>
    <w:rsid w:val="4E1630B6"/>
    <w:rsid w:val="4E25354C"/>
    <w:rsid w:val="4E4B405F"/>
    <w:rsid w:val="4E4E418E"/>
    <w:rsid w:val="4E655042"/>
    <w:rsid w:val="4E8D19A7"/>
    <w:rsid w:val="4EA345E7"/>
    <w:rsid w:val="4EB03F47"/>
    <w:rsid w:val="4EB66AEE"/>
    <w:rsid w:val="4EB9175E"/>
    <w:rsid w:val="4EBD4210"/>
    <w:rsid w:val="4ED22709"/>
    <w:rsid w:val="4EDE7DE7"/>
    <w:rsid w:val="4EF6108D"/>
    <w:rsid w:val="4EF8347E"/>
    <w:rsid w:val="4EFA23C6"/>
    <w:rsid w:val="4F0A7123"/>
    <w:rsid w:val="4F0F7608"/>
    <w:rsid w:val="4F1C1A77"/>
    <w:rsid w:val="4F2A3762"/>
    <w:rsid w:val="4F2E0DB1"/>
    <w:rsid w:val="4F3517A8"/>
    <w:rsid w:val="4F422CA5"/>
    <w:rsid w:val="4F43009A"/>
    <w:rsid w:val="4F553F62"/>
    <w:rsid w:val="4F7119FF"/>
    <w:rsid w:val="4F714FA1"/>
    <w:rsid w:val="4F756C5E"/>
    <w:rsid w:val="4F7A5394"/>
    <w:rsid w:val="4F992590"/>
    <w:rsid w:val="4FD412A3"/>
    <w:rsid w:val="4FD41C1D"/>
    <w:rsid w:val="4FD54DAA"/>
    <w:rsid w:val="4FD64014"/>
    <w:rsid w:val="4FE17A31"/>
    <w:rsid w:val="4FE311D6"/>
    <w:rsid w:val="4FED2322"/>
    <w:rsid w:val="4FFD53C6"/>
    <w:rsid w:val="500B0D4B"/>
    <w:rsid w:val="501A4614"/>
    <w:rsid w:val="501F4A64"/>
    <w:rsid w:val="5030543D"/>
    <w:rsid w:val="503D1B16"/>
    <w:rsid w:val="5074268E"/>
    <w:rsid w:val="508E47DC"/>
    <w:rsid w:val="50A940E7"/>
    <w:rsid w:val="50AE3F83"/>
    <w:rsid w:val="50AE699A"/>
    <w:rsid w:val="50AF63AC"/>
    <w:rsid w:val="50B14097"/>
    <w:rsid w:val="50B32A80"/>
    <w:rsid w:val="50CF7A4B"/>
    <w:rsid w:val="50DE4A3D"/>
    <w:rsid w:val="51022777"/>
    <w:rsid w:val="510C092F"/>
    <w:rsid w:val="51162402"/>
    <w:rsid w:val="511D028B"/>
    <w:rsid w:val="512B1EE0"/>
    <w:rsid w:val="5137564E"/>
    <w:rsid w:val="5146011D"/>
    <w:rsid w:val="51545EBF"/>
    <w:rsid w:val="51585972"/>
    <w:rsid w:val="515C0CB9"/>
    <w:rsid w:val="516473A7"/>
    <w:rsid w:val="5165226A"/>
    <w:rsid w:val="516C1A4D"/>
    <w:rsid w:val="517721D1"/>
    <w:rsid w:val="51781492"/>
    <w:rsid w:val="517A5728"/>
    <w:rsid w:val="517E61CE"/>
    <w:rsid w:val="51A846EE"/>
    <w:rsid w:val="51C07C63"/>
    <w:rsid w:val="51C606E4"/>
    <w:rsid w:val="51C72B2F"/>
    <w:rsid w:val="51D22D16"/>
    <w:rsid w:val="51F10280"/>
    <w:rsid w:val="520923F4"/>
    <w:rsid w:val="5211020B"/>
    <w:rsid w:val="52187918"/>
    <w:rsid w:val="5241154F"/>
    <w:rsid w:val="524467AD"/>
    <w:rsid w:val="52550EE8"/>
    <w:rsid w:val="52592B52"/>
    <w:rsid w:val="527543BE"/>
    <w:rsid w:val="527B1047"/>
    <w:rsid w:val="52885691"/>
    <w:rsid w:val="529E7DC9"/>
    <w:rsid w:val="52A1157D"/>
    <w:rsid w:val="52A13940"/>
    <w:rsid w:val="52B7492F"/>
    <w:rsid w:val="52C276E1"/>
    <w:rsid w:val="52F30525"/>
    <w:rsid w:val="530418F1"/>
    <w:rsid w:val="53143DBE"/>
    <w:rsid w:val="532452B2"/>
    <w:rsid w:val="533D3764"/>
    <w:rsid w:val="53560A73"/>
    <w:rsid w:val="535B4CF0"/>
    <w:rsid w:val="537323E7"/>
    <w:rsid w:val="538C7D2A"/>
    <w:rsid w:val="539A7F34"/>
    <w:rsid w:val="53A53D5A"/>
    <w:rsid w:val="53E37C63"/>
    <w:rsid w:val="53E4696D"/>
    <w:rsid w:val="53E8598B"/>
    <w:rsid w:val="53EB7EF9"/>
    <w:rsid w:val="53F11E92"/>
    <w:rsid w:val="53F34C98"/>
    <w:rsid w:val="53F90D5A"/>
    <w:rsid w:val="5400093A"/>
    <w:rsid w:val="540D2227"/>
    <w:rsid w:val="543E150A"/>
    <w:rsid w:val="545B6041"/>
    <w:rsid w:val="54640DD5"/>
    <w:rsid w:val="546829F9"/>
    <w:rsid w:val="5473410F"/>
    <w:rsid w:val="54811A0B"/>
    <w:rsid w:val="549D2F6A"/>
    <w:rsid w:val="54DE453A"/>
    <w:rsid w:val="54FD05CF"/>
    <w:rsid w:val="550E2018"/>
    <w:rsid w:val="551C0949"/>
    <w:rsid w:val="55245AF4"/>
    <w:rsid w:val="55332140"/>
    <w:rsid w:val="553515CF"/>
    <w:rsid w:val="5535226D"/>
    <w:rsid w:val="55411377"/>
    <w:rsid w:val="55684380"/>
    <w:rsid w:val="5569348D"/>
    <w:rsid w:val="556F0C82"/>
    <w:rsid w:val="55992746"/>
    <w:rsid w:val="55A8783C"/>
    <w:rsid w:val="55B70080"/>
    <w:rsid w:val="55C019F9"/>
    <w:rsid w:val="55C22D99"/>
    <w:rsid w:val="55C34875"/>
    <w:rsid w:val="55DA0671"/>
    <w:rsid w:val="55DE462D"/>
    <w:rsid w:val="56600C3C"/>
    <w:rsid w:val="566C6AAD"/>
    <w:rsid w:val="567D2EE4"/>
    <w:rsid w:val="569549B7"/>
    <w:rsid w:val="569B59A6"/>
    <w:rsid w:val="569E768C"/>
    <w:rsid w:val="56D026DA"/>
    <w:rsid w:val="56F00AC2"/>
    <w:rsid w:val="56FF02B9"/>
    <w:rsid w:val="57030085"/>
    <w:rsid w:val="570407FA"/>
    <w:rsid w:val="5707087A"/>
    <w:rsid w:val="57132F95"/>
    <w:rsid w:val="572D56F6"/>
    <w:rsid w:val="57300244"/>
    <w:rsid w:val="57416FDD"/>
    <w:rsid w:val="574B6AFB"/>
    <w:rsid w:val="5757511D"/>
    <w:rsid w:val="57633E93"/>
    <w:rsid w:val="5764383E"/>
    <w:rsid w:val="576D6289"/>
    <w:rsid w:val="57797419"/>
    <w:rsid w:val="57817915"/>
    <w:rsid w:val="57BA76D9"/>
    <w:rsid w:val="57CA2EE6"/>
    <w:rsid w:val="57D069E1"/>
    <w:rsid w:val="57DE551D"/>
    <w:rsid w:val="580A08CC"/>
    <w:rsid w:val="580C23E4"/>
    <w:rsid w:val="58191B0C"/>
    <w:rsid w:val="58203BE3"/>
    <w:rsid w:val="5827740E"/>
    <w:rsid w:val="58315B21"/>
    <w:rsid w:val="58424C7E"/>
    <w:rsid w:val="58430210"/>
    <w:rsid w:val="585320E4"/>
    <w:rsid w:val="5863214C"/>
    <w:rsid w:val="58717162"/>
    <w:rsid w:val="587B41B2"/>
    <w:rsid w:val="587E2FB0"/>
    <w:rsid w:val="587F4E33"/>
    <w:rsid w:val="587F6BA5"/>
    <w:rsid w:val="58915138"/>
    <w:rsid w:val="589A70FA"/>
    <w:rsid w:val="58A228DA"/>
    <w:rsid w:val="58B8618D"/>
    <w:rsid w:val="58F663EC"/>
    <w:rsid w:val="593740EF"/>
    <w:rsid w:val="5939592A"/>
    <w:rsid w:val="59520D8E"/>
    <w:rsid w:val="59536DE1"/>
    <w:rsid w:val="595C4CF9"/>
    <w:rsid w:val="59703EC5"/>
    <w:rsid w:val="5972415D"/>
    <w:rsid w:val="597F2884"/>
    <w:rsid w:val="598B393C"/>
    <w:rsid w:val="59CE222A"/>
    <w:rsid w:val="59CE6281"/>
    <w:rsid w:val="59D022CD"/>
    <w:rsid w:val="59DF31C4"/>
    <w:rsid w:val="5A2B0D3B"/>
    <w:rsid w:val="5A341255"/>
    <w:rsid w:val="5A3571BF"/>
    <w:rsid w:val="5A400973"/>
    <w:rsid w:val="5A44572C"/>
    <w:rsid w:val="5A455381"/>
    <w:rsid w:val="5A8A6ADB"/>
    <w:rsid w:val="5A936EBE"/>
    <w:rsid w:val="5AA549B2"/>
    <w:rsid w:val="5ADF3379"/>
    <w:rsid w:val="5B0416C7"/>
    <w:rsid w:val="5B1A400E"/>
    <w:rsid w:val="5B316F94"/>
    <w:rsid w:val="5B45691B"/>
    <w:rsid w:val="5B46631F"/>
    <w:rsid w:val="5B5104F9"/>
    <w:rsid w:val="5B5442DE"/>
    <w:rsid w:val="5B562BF6"/>
    <w:rsid w:val="5B6950AB"/>
    <w:rsid w:val="5B6A7A00"/>
    <w:rsid w:val="5B6B014D"/>
    <w:rsid w:val="5B823CDC"/>
    <w:rsid w:val="5B8857E6"/>
    <w:rsid w:val="5B8F4879"/>
    <w:rsid w:val="5B936B9D"/>
    <w:rsid w:val="5BAC4E3A"/>
    <w:rsid w:val="5BC849D6"/>
    <w:rsid w:val="5BF32F12"/>
    <w:rsid w:val="5BF7148A"/>
    <w:rsid w:val="5C2D1687"/>
    <w:rsid w:val="5C362AF4"/>
    <w:rsid w:val="5C3E4720"/>
    <w:rsid w:val="5C4668A9"/>
    <w:rsid w:val="5C526BB4"/>
    <w:rsid w:val="5C620538"/>
    <w:rsid w:val="5C7A7CF8"/>
    <w:rsid w:val="5C802FB3"/>
    <w:rsid w:val="5C8243D0"/>
    <w:rsid w:val="5CB033FC"/>
    <w:rsid w:val="5CC34110"/>
    <w:rsid w:val="5D024954"/>
    <w:rsid w:val="5D033745"/>
    <w:rsid w:val="5D05489E"/>
    <w:rsid w:val="5D0A579A"/>
    <w:rsid w:val="5D28094E"/>
    <w:rsid w:val="5D4741D2"/>
    <w:rsid w:val="5D4A7B65"/>
    <w:rsid w:val="5D5515B5"/>
    <w:rsid w:val="5D577585"/>
    <w:rsid w:val="5D6871F6"/>
    <w:rsid w:val="5D7727EC"/>
    <w:rsid w:val="5D7C1CCD"/>
    <w:rsid w:val="5D7D0FC2"/>
    <w:rsid w:val="5D806973"/>
    <w:rsid w:val="5D8E4670"/>
    <w:rsid w:val="5DAD3F76"/>
    <w:rsid w:val="5DB22A59"/>
    <w:rsid w:val="5DB30A1E"/>
    <w:rsid w:val="5DD07349"/>
    <w:rsid w:val="5DE47236"/>
    <w:rsid w:val="5DE95B3D"/>
    <w:rsid w:val="5DEF4402"/>
    <w:rsid w:val="5DFC469C"/>
    <w:rsid w:val="5E074110"/>
    <w:rsid w:val="5E1C0FFA"/>
    <w:rsid w:val="5E203806"/>
    <w:rsid w:val="5E401FD5"/>
    <w:rsid w:val="5E430067"/>
    <w:rsid w:val="5E58634F"/>
    <w:rsid w:val="5E7A4A4B"/>
    <w:rsid w:val="5E7B4EF1"/>
    <w:rsid w:val="5E890E26"/>
    <w:rsid w:val="5EC52109"/>
    <w:rsid w:val="5EDC6635"/>
    <w:rsid w:val="5EDF242A"/>
    <w:rsid w:val="5EEC4CC9"/>
    <w:rsid w:val="5F025C16"/>
    <w:rsid w:val="5F2C5614"/>
    <w:rsid w:val="5F334632"/>
    <w:rsid w:val="5F387DD8"/>
    <w:rsid w:val="5F3D46C8"/>
    <w:rsid w:val="5F3F3A92"/>
    <w:rsid w:val="5F610F9A"/>
    <w:rsid w:val="5F723B9C"/>
    <w:rsid w:val="5F740D96"/>
    <w:rsid w:val="5FAB1E22"/>
    <w:rsid w:val="5FAE7B2D"/>
    <w:rsid w:val="5FEF51B4"/>
    <w:rsid w:val="5FFD47CB"/>
    <w:rsid w:val="600F713A"/>
    <w:rsid w:val="60295475"/>
    <w:rsid w:val="602976E5"/>
    <w:rsid w:val="602B5CAC"/>
    <w:rsid w:val="60352928"/>
    <w:rsid w:val="604069C8"/>
    <w:rsid w:val="60442474"/>
    <w:rsid w:val="605308B8"/>
    <w:rsid w:val="60536876"/>
    <w:rsid w:val="606C21F5"/>
    <w:rsid w:val="606E421F"/>
    <w:rsid w:val="607A502C"/>
    <w:rsid w:val="608B55D8"/>
    <w:rsid w:val="608D3579"/>
    <w:rsid w:val="609B3534"/>
    <w:rsid w:val="609C3B6D"/>
    <w:rsid w:val="60A50722"/>
    <w:rsid w:val="60CA7929"/>
    <w:rsid w:val="60D31A6F"/>
    <w:rsid w:val="60D325C8"/>
    <w:rsid w:val="6116450B"/>
    <w:rsid w:val="611651BB"/>
    <w:rsid w:val="613E1355"/>
    <w:rsid w:val="61902044"/>
    <w:rsid w:val="61A83C0D"/>
    <w:rsid w:val="61AD0E69"/>
    <w:rsid w:val="61AE2894"/>
    <w:rsid w:val="61B42655"/>
    <w:rsid w:val="61B64AE6"/>
    <w:rsid w:val="61B95A3D"/>
    <w:rsid w:val="61DD55E6"/>
    <w:rsid w:val="61E30170"/>
    <w:rsid w:val="61E5752D"/>
    <w:rsid w:val="61EB04E9"/>
    <w:rsid w:val="621D2EA2"/>
    <w:rsid w:val="622F4266"/>
    <w:rsid w:val="62462A72"/>
    <w:rsid w:val="624B3781"/>
    <w:rsid w:val="625F13E8"/>
    <w:rsid w:val="62602CF8"/>
    <w:rsid w:val="6275441F"/>
    <w:rsid w:val="62A565F5"/>
    <w:rsid w:val="62B93485"/>
    <w:rsid w:val="62E21A96"/>
    <w:rsid w:val="62F673DB"/>
    <w:rsid w:val="62F76DDA"/>
    <w:rsid w:val="6301006C"/>
    <w:rsid w:val="63030F14"/>
    <w:rsid w:val="635E40F3"/>
    <w:rsid w:val="636173F7"/>
    <w:rsid w:val="6384416F"/>
    <w:rsid w:val="638B7104"/>
    <w:rsid w:val="639076DF"/>
    <w:rsid w:val="63923F11"/>
    <w:rsid w:val="63D20FF4"/>
    <w:rsid w:val="63DD7C86"/>
    <w:rsid w:val="63F427DF"/>
    <w:rsid w:val="63FB1C28"/>
    <w:rsid w:val="640C3504"/>
    <w:rsid w:val="64121615"/>
    <w:rsid w:val="641341B5"/>
    <w:rsid w:val="642011FC"/>
    <w:rsid w:val="643125C3"/>
    <w:rsid w:val="64323CBE"/>
    <w:rsid w:val="645513CC"/>
    <w:rsid w:val="64553B73"/>
    <w:rsid w:val="645B5B40"/>
    <w:rsid w:val="645C0EE4"/>
    <w:rsid w:val="64797C89"/>
    <w:rsid w:val="648B66BA"/>
    <w:rsid w:val="64A036C7"/>
    <w:rsid w:val="64A04E14"/>
    <w:rsid w:val="64AE2DC0"/>
    <w:rsid w:val="64EC5F80"/>
    <w:rsid w:val="65037271"/>
    <w:rsid w:val="651E6389"/>
    <w:rsid w:val="65312AB4"/>
    <w:rsid w:val="653A1465"/>
    <w:rsid w:val="654235AD"/>
    <w:rsid w:val="654E6126"/>
    <w:rsid w:val="656B6764"/>
    <w:rsid w:val="6577447A"/>
    <w:rsid w:val="657A65E0"/>
    <w:rsid w:val="657C4F3A"/>
    <w:rsid w:val="65870560"/>
    <w:rsid w:val="65A12770"/>
    <w:rsid w:val="65B070B7"/>
    <w:rsid w:val="65BD72CE"/>
    <w:rsid w:val="65F14EE8"/>
    <w:rsid w:val="661462F7"/>
    <w:rsid w:val="66167837"/>
    <w:rsid w:val="663A65CE"/>
    <w:rsid w:val="66474639"/>
    <w:rsid w:val="666274B9"/>
    <w:rsid w:val="667128E4"/>
    <w:rsid w:val="66740D91"/>
    <w:rsid w:val="669C6912"/>
    <w:rsid w:val="66A85798"/>
    <w:rsid w:val="66E30E48"/>
    <w:rsid w:val="66EA4259"/>
    <w:rsid w:val="66F26EF2"/>
    <w:rsid w:val="67010AE3"/>
    <w:rsid w:val="67075894"/>
    <w:rsid w:val="672112E1"/>
    <w:rsid w:val="672659F3"/>
    <w:rsid w:val="67293668"/>
    <w:rsid w:val="67420EC9"/>
    <w:rsid w:val="67465655"/>
    <w:rsid w:val="67545C6E"/>
    <w:rsid w:val="676778F6"/>
    <w:rsid w:val="67685576"/>
    <w:rsid w:val="67686F27"/>
    <w:rsid w:val="67740C3E"/>
    <w:rsid w:val="6781543A"/>
    <w:rsid w:val="67983015"/>
    <w:rsid w:val="679D7A01"/>
    <w:rsid w:val="67A75C44"/>
    <w:rsid w:val="67C119C7"/>
    <w:rsid w:val="67C373D8"/>
    <w:rsid w:val="67E70630"/>
    <w:rsid w:val="68002120"/>
    <w:rsid w:val="6804255B"/>
    <w:rsid w:val="680D1350"/>
    <w:rsid w:val="68347656"/>
    <w:rsid w:val="683977E8"/>
    <w:rsid w:val="683A2EED"/>
    <w:rsid w:val="6842615A"/>
    <w:rsid w:val="68450B02"/>
    <w:rsid w:val="684E3240"/>
    <w:rsid w:val="68555008"/>
    <w:rsid w:val="68556588"/>
    <w:rsid w:val="68A42834"/>
    <w:rsid w:val="68CE58E6"/>
    <w:rsid w:val="68CF2A69"/>
    <w:rsid w:val="68E814B4"/>
    <w:rsid w:val="68F91EAB"/>
    <w:rsid w:val="69142EFB"/>
    <w:rsid w:val="69154D60"/>
    <w:rsid w:val="692B56B7"/>
    <w:rsid w:val="692F6F57"/>
    <w:rsid w:val="694A6DBA"/>
    <w:rsid w:val="696F09AF"/>
    <w:rsid w:val="69752697"/>
    <w:rsid w:val="698E764A"/>
    <w:rsid w:val="69915568"/>
    <w:rsid w:val="69951D6A"/>
    <w:rsid w:val="69A770E9"/>
    <w:rsid w:val="69C64C75"/>
    <w:rsid w:val="69CD7FDE"/>
    <w:rsid w:val="69CF6EC4"/>
    <w:rsid w:val="69D05FDB"/>
    <w:rsid w:val="69DA551E"/>
    <w:rsid w:val="69DE5E8A"/>
    <w:rsid w:val="69E00D11"/>
    <w:rsid w:val="69E5416A"/>
    <w:rsid w:val="69F0389C"/>
    <w:rsid w:val="69F453FE"/>
    <w:rsid w:val="6A1849B7"/>
    <w:rsid w:val="6A3828E1"/>
    <w:rsid w:val="6A3E49CA"/>
    <w:rsid w:val="6A6468A5"/>
    <w:rsid w:val="6A727EED"/>
    <w:rsid w:val="6A783CBE"/>
    <w:rsid w:val="6A8755D3"/>
    <w:rsid w:val="6AA54025"/>
    <w:rsid w:val="6AC9111D"/>
    <w:rsid w:val="6ADD40D7"/>
    <w:rsid w:val="6AE2354A"/>
    <w:rsid w:val="6AE91398"/>
    <w:rsid w:val="6AED7E18"/>
    <w:rsid w:val="6AF80E24"/>
    <w:rsid w:val="6AFA140D"/>
    <w:rsid w:val="6AFD5ED6"/>
    <w:rsid w:val="6B0914DC"/>
    <w:rsid w:val="6B0F3217"/>
    <w:rsid w:val="6B1529A0"/>
    <w:rsid w:val="6B22477C"/>
    <w:rsid w:val="6B2B6B35"/>
    <w:rsid w:val="6B320A31"/>
    <w:rsid w:val="6B3525D9"/>
    <w:rsid w:val="6B467AE6"/>
    <w:rsid w:val="6B491DA4"/>
    <w:rsid w:val="6B563D11"/>
    <w:rsid w:val="6B5D28FD"/>
    <w:rsid w:val="6B5E4D2E"/>
    <w:rsid w:val="6B6508C2"/>
    <w:rsid w:val="6B6B0456"/>
    <w:rsid w:val="6B837812"/>
    <w:rsid w:val="6B9F033A"/>
    <w:rsid w:val="6BBE7BEB"/>
    <w:rsid w:val="6BE116D3"/>
    <w:rsid w:val="6BFE01CD"/>
    <w:rsid w:val="6C084F5B"/>
    <w:rsid w:val="6C27645D"/>
    <w:rsid w:val="6C2A7865"/>
    <w:rsid w:val="6C2D715B"/>
    <w:rsid w:val="6C5207BE"/>
    <w:rsid w:val="6C562931"/>
    <w:rsid w:val="6C5D5B6B"/>
    <w:rsid w:val="6C625544"/>
    <w:rsid w:val="6C6A54FD"/>
    <w:rsid w:val="6C7D01C0"/>
    <w:rsid w:val="6C7D32EB"/>
    <w:rsid w:val="6C82426E"/>
    <w:rsid w:val="6C98158A"/>
    <w:rsid w:val="6CC21518"/>
    <w:rsid w:val="6CE06EE3"/>
    <w:rsid w:val="6D0E0C03"/>
    <w:rsid w:val="6D0E3D03"/>
    <w:rsid w:val="6D1E0EC9"/>
    <w:rsid w:val="6D1F6156"/>
    <w:rsid w:val="6D257859"/>
    <w:rsid w:val="6D301B26"/>
    <w:rsid w:val="6D3549DB"/>
    <w:rsid w:val="6D4123A1"/>
    <w:rsid w:val="6D555633"/>
    <w:rsid w:val="6D572015"/>
    <w:rsid w:val="6D5864F7"/>
    <w:rsid w:val="6D805F6C"/>
    <w:rsid w:val="6D9B002E"/>
    <w:rsid w:val="6DA301E3"/>
    <w:rsid w:val="6DB166DC"/>
    <w:rsid w:val="6DB70CB4"/>
    <w:rsid w:val="6DE242AA"/>
    <w:rsid w:val="6DFC6FEC"/>
    <w:rsid w:val="6E094352"/>
    <w:rsid w:val="6E0B0643"/>
    <w:rsid w:val="6E200223"/>
    <w:rsid w:val="6E3E2358"/>
    <w:rsid w:val="6E424BD5"/>
    <w:rsid w:val="6E6A27E1"/>
    <w:rsid w:val="6EC266E7"/>
    <w:rsid w:val="6ECB70B1"/>
    <w:rsid w:val="6EE535AD"/>
    <w:rsid w:val="6F077F6F"/>
    <w:rsid w:val="6F1041B8"/>
    <w:rsid w:val="6F1C37FF"/>
    <w:rsid w:val="6F2B1995"/>
    <w:rsid w:val="6F7209F9"/>
    <w:rsid w:val="6F815117"/>
    <w:rsid w:val="6F8C3D1F"/>
    <w:rsid w:val="6FB04A52"/>
    <w:rsid w:val="6FBA66BD"/>
    <w:rsid w:val="6FBC2C44"/>
    <w:rsid w:val="6FD67F20"/>
    <w:rsid w:val="6FD9564E"/>
    <w:rsid w:val="6FDB0700"/>
    <w:rsid w:val="6FF65032"/>
    <w:rsid w:val="70222F03"/>
    <w:rsid w:val="702A2DF0"/>
    <w:rsid w:val="70385CF1"/>
    <w:rsid w:val="704A1802"/>
    <w:rsid w:val="706F095A"/>
    <w:rsid w:val="70702B1B"/>
    <w:rsid w:val="708F3F4F"/>
    <w:rsid w:val="70AF29BB"/>
    <w:rsid w:val="70CD73A6"/>
    <w:rsid w:val="70D17379"/>
    <w:rsid w:val="70E34A11"/>
    <w:rsid w:val="70EC1752"/>
    <w:rsid w:val="70FA6A76"/>
    <w:rsid w:val="71016664"/>
    <w:rsid w:val="71144AD3"/>
    <w:rsid w:val="71165FE2"/>
    <w:rsid w:val="71173E45"/>
    <w:rsid w:val="71250A55"/>
    <w:rsid w:val="7131211A"/>
    <w:rsid w:val="7137018B"/>
    <w:rsid w:val="7137369D"/>
    <w:rsid w:val="713C67EF"/>
    <w:rsid w:val="719E503F"/>
    <w:rsid w:val="71AC3D91"/>
    <w:rsid w:val="71BB1304"/>
    <w:rsid w:val="71BF09ED"/>
    <w:rsid w:val="71C13A31"/>
    <w:rsid w:val="71D62B72"/>
    <w:rsid w:val="71ED03B4"/>
    <w:rsid w:val="71EE1491"/>
    <w:rsid w:val="71FF0740"/>
    <w:rsid w:val="71FF0BB1"/>
    <w:rsid w:val="7205522D"/>
    <w:rsid w:val="72247F14"/>
    <w:rsid w:val="723A4899"/>
    <w:rsid w:val="72506C47"/>
    <w:rsid w:val="72521192"/>
    <w:rsid w:val="725A2C12"/>
    <w:rsid w:val="72660F67"/>
    <w:rsid w:val="728733AE"/>
    <w:rsid w:val="728A466C"/>
    <w:rsid w:val="729A404B"/>
    <w:rsid w:val="72CB47D7"/>
    <w:rsid w:val="72D3059A"/>
    <w:rsid w:val="73013FCC"/>
    <w:rsid w:val="7305661E"/>
    <w:rsid w:val="730967FD"/>
    <w:rsid w:val="730B40D5"/>
    <w:rsid w:val="730C18EF"/>
    <w:rsid w:val="73147453"/>
    <w:rsid w:val="73547991"/>
    <w:rsid w:val="736938A6"/>
    <w:rsid w:val="736B7CB7"/>
    <w:rsid w:val="737A7FF3"/>
    <w:rsid w:val="73891BFD"/>
    <w:rsid w:val="73904D90"/>
    <w:rsid w:val="739169F9"/>
    <w:rsid w:val="73A93B13"/>
    <w:rsid w:val="73B76D83"/>
    <w:rsid w:val="73C347BF"/>
    <w:rsid w:val="73F328B4"/>
    <w:rsid w:val="740E561C"/>
    <w:rsid w:val="74324CC1"/>
    <w:rsid w:val="7433686E"/>
    <w:rsid w:val="74375F03"/>
    <w:rsid w:val="743A39BF"/>
    <w:rsid w:val="74523D2E"/>
    <w:rsid w:val="746B439E"/>
    <w:rsid w:val="746E5CAF"/>
    <w:rsid w:val="7471367E"/>
    <w:rsid w:val="7474255D"/>
    <w:rsid w:val="749E119A"/>
    <w:rsid w:val="749F7F31"/>
    <w:rsid w:val="74AE17EE"/>
    <w:rsid w:val="74BB3D0A"/>
    <w:rsid w:val="74C508AE"/>
    <w:rsid w:val="74D33EF6"/>
    <w:rsid w:val="7505631A"/>
    <w:rsid w:val="75317252"/>
    <w:rsid w:val="753D0120"/>
    <w:rsid w:val="7545306E"/>
    <w:rsid w:val="75645C23"/>
    <w:rsid w:val="756F79DE"/>
    <w:rsid w:val="75887F63"/>
    <w:rsid w:val="75925EFC"/>
    <w:rsid w:val="75992D53"/>
    <w:rsid w:val="75A2439F"/>
    <w:rsid w:val="75A91967"/>
    <w:rsid w:val="75C32B15"/>
    <w:rsid w:val="75C56AEC"/>
    <w:rsid w:val="75D94171"/>
    <w:rsid w:val="75E12807"/>
    <w:rsid w:val="75EE6F1B"/>
    <w:rsid w:val="75FB22F9"/>
    <w:rsid w:val="76023178"/>
    <w:rsid w:val="760836BA"/>
    <w:rsid w:val="760A68D4"/>
    <w:rsid w:val="761A6A1B"/>
    <w:rsid w:val="763165DE"/>
    <w:rsid w:val="76346F66"/>
    <w:rsid w:val="76390822"/>
    <w:rsid w:val="76404F46"/>
    <w:rsid w:val="76661857"/>
    <w:rsid w:val="76784C8D"/>
    <w:rsid w:val="767A50C2"/>
    <w:rsid w:val="7698243C"/>
    <w:rsid w:val="769D4442"/>
    <w:rsid w:val="76AF515A"/>
    <w:rsid w:val="76B80C7F"/>
    <w:rsid w:val="76C75DB3"/>
    <w:rsid w:val="76E85855"/>
    <w:rsid w:val="76EC12E2"/>
    <w:rsid w:val="76F658FD"/>
    <w:rsid w:val="76F6644C"/>
    <w:rsid w:val="772B3F12"/>
    <w:rsid w:val="772D0C87"/>
    <w:rsid w:val="772F7338"/>
    <w:rsid w:val="773D64AD"/>
    <w:rsid w:val="774A4881"/>
    <w:rsid w:val="77616EF2"/>
    <w:rsid w:val="77663478"/>
    <w:rsid w:val="777703EE"/>
    <w:rsid w:val="777E2C3B"/>
    <w:rsid w:val="777F21C3"/>
    <w:rsid w:val="7789020C"/>
    <w:rsid w:val="778C3F53"/>
    <w:rsid w:val="778F32FA"/>
    <w:rsid w:val="77972A00"/>
    <w:rsid w:val="7798025B"/>
    <w:rsid w:val="77CA5641"/>
    <w:rsid w:val="77D46871"/>
    <w:rsid w:val="77D51D10"/>
    <w:rsid w:val="77D86A80"/>
    <w:rsid w:val="77DD019D"/>
    <w:rsid w:val="77F16BB1"/>
    <w:rsid w:val="77F82B38"/>
    <w:rsid w:val="780C3DBA"/>
    <w:rsid w:val="780D4DDE"/>
    <w:rsid w:val="78203AD8"/>
    <w:rsid w:val="78307537"/>
    <w:rsid w:val="783A582F"/>
    <w:rsid w:val="78636907"/>
    <w:rsid w:val="78780CEE"/>
    <w:rsid w:val="78807E7F"/>
    <w:rsid w:val="788A489C"/>
    <w:rsid w:val="7899691A"/>
    <w:rsid w:val="78A37D7C"/>
    <w:rsid w:val="78C83AD2"/>
    <w:rsid w:val="794037B5"/>
    <w:rsid w:val="79455F0D"/>
    <w:rsid w:val="7945643C"/>
    <w:rsid w:val="795C6137"/>
    <w:rsid w:val="795E77E1"/>
    <w:rsid w:val="79746DD5"/>
    <w:rsid w:val="79755663"/>
    <w:rsid w:val="797845D9"/>
    <w:rsid w:val="797D5665"/>
    <w:rsid w:val="798A5C60"/>
    <w:rsid w:val="79A07515"/>
    <w:rsid w:val="79A1229B"/>
    <w:rsid w:val="7A00729F"/>
    <w:rsid w:val="7A135A7D"/>
    <w:rsid w:val="7A1B2D1C"/>
    <w:rsid w:val="7A2E15EF"/>
    <w:rsid w:val="7A374B1F"/>
    <w:rsid w:val="7A382897"/>
    <w:rsid w:val="7A392CE7"/>
    <w:rsid w:val="7A3E2F80"/>
    <w:rsid w:val="7A7C38B0"/>
    <w:rsid w:val="7A9861CB"/>
    <w:rsid w:val="7AAE3E65"/>
    <w:rsid w:val="7AB861F9"/>
    <w:rsid w:val="7AC115AD"/>
    <w:rsid w:val="7ACA5466"/>
    <w:rsid w:val="7AD45C10"/>
    <w:rsid w:val="7AD537D1"/>
    <w:rsid w:val="7ADC5436"/>
    <w:rsid w:val="7AE3328E"/>
    <w:rsid w:val="7AE959D4"/>
    <w:rsid w:val="7B0077C8"/>
    <w:rsid w:val="7B0A6A9B"/>
    <w:rsid w:val="7B0D2818"/>
    <w:rsid w:val="7B1254BB"/>
    <w:rsid w:val="7B1306E3"/>
    <w:rsid w:val="7B2750E0"/>
    <w:rsid w:val="7B795F0A"/>
    <w:rsid w:val="7B81556A"/>
    <w:rsid w:val="7B8D4E9E"/>
    <w:rsid w:val="7B8E1EA6"/>
    <w:rsid w:val="7B94060C"/>
    <w:rsid w:val="7B994E29"/>
    <w:rsid w:val="7BA73227"/>
    <w:rsid w:val="7BA838BD"/>
    <w:rsid w:val="7BB75777"/>
    <w:rsid w:val="7BC266AD"/>
    <w:rsid w:val="7BCC6F60"/>
    <w:rsid w:val="7BD41347"/>
    <w:rsid w:val="7BD63B6E"/>
    <w:rsid w:val="7BDF3902"/>
    <w:rsid w:val="7BE45584"/>
    <w:rsid w:val="7BF22378"/>
    <w:rsid w:val="7C291216"/>
    <w:rsid w:val="7C2B048D"/>
    <w:rsid w:val="7C362CAE"/>
    <w:rsid w:val="7C44237D"/>
    <w:rsid w:val="7C460013"/>
    <w:rsid w:val="7C66565C"/>
    <w:rsid w:val="7C884F07"/>
    <w:rsid w:val="7C8D43AB"/>
    <w:rsid w:val="7C8F1DDB"/>
    <w:rsid w:val="7C99511D"/>
    <w:rsid w:val="7C996138"/>
    <w:rsid w:val="7CA879AC"/>
    <w:rsid w:val="7CB82DCD"/>
    <w:rsid w:val="7CBD31D9"/>
    <w:rsid w:val="7CE3614E"/>
    <w:rsid w:val="7CFB2AE8"/>
    <w:rsid w:val="7CFD06A4"/>
    <w:rsid w:val="7D635745"/>
    <w:rsid w:val="7D6D0647"/>
    <w:rsid w:val="7D984607"/>
    <w:rsid w:val="7DA9460F"/>
    <w:rsid w:val="7DAA32A9"/>
    <w:rsid w:val="7DB02E07"/>
    <w:rsid w:val="7DB351A4"/>
    <w:rsid w:val="7DC6049B"/>
    <w:rsid w:val="7DDF08AD"/>
    <w:rsid w:val="7DE65FBE"/>
    <w:rsid w:val="7DFD3D7D"/>
    <w:rsid w:val="7DFF6F70"/>
    <w:rsid w:val="7E0B4334"/>
    <w:rsid w:val="7E1640FB"/>
    <w:rsid w:val="7E1741C3"/>
    <w:rsid w:val="7E1D725E"/>
    <w:rsid w:val="7E232692"/>
    <w:rsid w:val="7E345DFF"/>
    <w:rsid w:val="7E3B2283"/>
    <w:rsid w:val="7E4B0118"/>
    <w:rsid w:val="7E5871FA"/>
    <w:rsid w:val="7E5B49B5"/>
    <w:rsid w:val="7E6C6EF8"/>
    <w:rsid w:val="7E7145B3"/>
    <w:rsid w:val="7E7B3986"/>
    <w:rsid w:val="7E826950"/>
    <w:rsid w:val="7E9064E4"/>
    <w:rsid w:val="7E9E2C4F"/>
    <w:rsid w:val="7E9F4D2C"/>
    <w:rsid w:val="7EA30CDC"/>
    <w:rsid w:val="7EC30BBA"/>
    <w:rsid w:val="7ED8373F"/>
    <w:rsid w:val="7EDD57F4"/>
    <w:rsid w:val="7EED0F0A"/>
    <w:rsid w:val="7EF82D86"/>
    <w:rsid w:val="7EFB1E9B"/>
    <w:rsid w:val="7F096F96"/>
    <w:rsid w:val="7F182FE7"/>
    <w:rsid w:val="7F220E8A"/>
    <w:rsid w:val="7F3C743C"/>
    <w:rsid w:val="7F5828CA"/>
    <w:rsid w:val="7F651FE6"/>
    <w:rsid w:val="7F7405C7"/>
    <w:rsid w:val="7F8A7F3B"/>
    <w:rsid w:val="7F8B15A9"/>
    <w:rsid w:val="7F925810"/>
    <w:rsid w:val="7FA07679"/>
    <w:rsid w:val="7FDD3A87"/>
    <w:rsid w:val="7FF45605"/>
    <w:rsid w:val="7FFA2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0"/>
    <w:qFormat/>
    <w:uiPriority w:val="0"/>
    <w:pPr>
      <w:keepNext/>
      <w:keepLines/>
      <w:spacing w:line="576" w:lineRule="auto"/>
      <w:jc w:val="center"/>
      <w:outlineLvl w:val="0"/>
    </w:pPr>
    <w:rPr>
      <w:b/>
      <w:kern w:val="44"/>
      <w:sz w:val="32"/>
      <w:szCs w:val="20"/>
    </w:rPr>
  </w:style>
  <w:style w:type="paragraph" w:styleId="4">
    <w:name w:val="heading 2"/>
    <w:basedOn w:val="1"/>
    <w:next w:val="1"/>
    <w:qFormat/>
    <w:uiPriority w:val="0"/>
    <w:pPr>
      <w:keepNext/>
      <w:keepLines/>
      <w:spacing w:line="413" w:lineRule="auto"/>
      <w:jc w:val="left"/>
      <w:outlineLvl w:val="1"/>
    </w:pPr>
    <w:rPr>
      <w:rFonts w:ascii="Arial" w:hAnsi="Arial"/>
      <w:b/>
      <w:sz w:val="28"/>
    </w:rPr>
  </w:style>
  <w:style w:type="paragraph" w:styleId="5">
    <w:name w:val="heading 3"/>
    <w:basedOn w:val="1"/>
    <w:next w:val="1"/>
    <w:qFormat/>
    <w:uiPriority w:val="0"/>
    <w:pPr>
      <w:keepNext/>
      <w:keepLines/>
      <w:spacing w:line="413" w:lineRule="auto"/>
      <w:outlineLvl w:val="2"/>
    </w:pPr>
    <w:rPr>
      <w:b/>
      <w:sz w:val="28"/>
    </w:rPr>
  </w:style>
  <w:style w:type="paragraph" w:styleId="6">
    <w:name w:val="heading 4"/>
    <w:basedOn w:val="1"/>
    <w:next w:val="1"/>
    <w:qFormat/>
    <w:uiPriority w:val="0"/>
    <w:pPr>
      <w:keepNext/>
      <w:keepLines/>
      <w:jc w:val="left"/>
      <w:outlineLvl w:val="3"/>
    </w:pPr>
    <w:rPr>
      <w:rFonts w:hint="eastAsia" w:ascii="Arial" w:hAnsi="Arial"/>
      <w:b/>
      <w:sz w:val="32"/>
    </w:rPr>
  </w:style>
  <w:style w:type="paragraph" w:styleId="7">
    <w:name w:val="heading 6"/>
    <w:basedOn w:val="1"/>
    <w:next w:val="1"/>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0"/>
    <w:rPr>
      <w:color w:val="993300"/>
      <w:kern w:val="0"/>
      <w:sz w:val="24"/>
      <w:szCs w:val="24"/>
    </w:rPr>
  </w:style>
  <w:style w:type="paragraph" w:styleId="8">
    <w:name w:val="List Number"/>
    <w:basedOn w:val="1"/>
    <w:qFormat/>
    <w:uiPriority w:val="0"/>
    <w:pPr>
      <w:numPr>
        <w:ilvl w:val="0"/>
        <w:numId w:val="1"/>
      </w:numPr>
    </w:pPr>
  </w:style>
  <w:style w:type="paragraph" w:styleId="9">
    <w:name w:val="Normal Indent"/>
    <w:basedOn w:val="1"/>
    <w:next w:val="10"/>
    <w:qFormat/>
    <w:uiPriority w:val="0"/>
    <w:pPr>
      <w:ind w:firstLine="420"/>
    </w:pPr>
    <w:rPr>
      <w:szCs w:val="20"/>
    </w:rPr>
  </w:style>
  <w:style w:type="paragraph" w:styleId="10">
    <w:name w:val="toc 4"/>
    <w:basedOn w:val="1"/>
    <w:next w:val="1"/>
    <w:unhideWhenUsed/>
    <w:qFormat/>
    <w:uiPriority w:val="39"/>
    <w:pPr>
      <w:ind w:left="1260" w:leftChars="600"/>
    </w:pPr>
  </w:style>
  <w:style w:type="paragraph" w:styleId="11">
    <w:name w:val="Document Map"/>
    <w:basedOn w:val="1"/>
    <w:link w:val="42"/>
    <w:qFormat/>
    <w:uiPriority w:val="0"/>
    <w:rPr>
      <w:rFonts w:ascii="宋体" w:hAnsi="Calibri"/>
      <w:sz w:val="18"/>
      <w:szCs w:val="18"/>
    </w:rPr>
  </w:style>
  <w:style w:type="paragraph" w:styleId="12">
    <w:name w:val="annotation text"/>
    <w:basedOn w:val="1"/>
    <w:link w:val="43"/>
    <w:qFormat/>
    <w:uiPriority w:val="0"/>
    <w:pPr>
      <w:jc w:val="left"/>
    </w:pPr>
    <w:rPr>
      <w:rFonts w:ascii="宋体" w:hAnsi="Calibri"/>
      <w:kern w:val="0"/>
      <w:sz w:val="34"/>
    </w:rPr>
  </w:style>
  <w:style w:type="paragraph" w:styleId="13">
    <w:name w:val="Body Text Indent"/>
    <w:basedOn w:val="1"/>
    <w:qFormat/>
    <w:uiPriority w:val="0"/>
    <w:pPr>
      <w:ind w:left="420" w:leftChars="200"/>
    </w:pPr>
  </w:style>
  <w:style w:type="paragraph" w:styleId="14">
    <w:name w:val="toc 3"/>
    <w:basedOn w:val="1"/>
    <w:next w:val="1"/>
    <w:qFormat/>
    <w:uiPriority w:val="0"/>
    <w:pPr>
      <w:ind w:left="840" w:leftChars="400"/>
    </w:pPr>
  </w:style>
  <w:style w:type="paragraph" w:styleId="15">
    <w:name w:val="Plain Text"/>
    <w:basedOn w:val="1"/>
    <w:qFormat/>
    <w:uiPriority w:val="0"/>
    <w:pPr>
      <w:spacing w:line="324" w:lineRule="auto"/>
    </w:pPr>
    <w:rPr>
      <w:rFonts w:ascii="宋体" w:hAnsi="Courier New" w:cs="Courier New"/>
      <w:szCs w:val="21"/>
    </w:rPr>
  </w:style>
  <w:style w:type="paragraph" w:styleId="16">
    <w:name w:val="Date"/>
    <w:basedOn w:val="1"/>
    <w:next w:val="1"/>
    <w:qFormat/>
    <w:uiPriority w:val="0"/>
    <w:rPr>
      <w:rFonts w:ascii="Copperplate Gothic Bold" w:hAnsi="Copperplate Gothic Bold"/>
      <w:sz w:val="32"/>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44"/>
    <w:qFormat/>
    <w:uiPriority w:val="0"/>
    <w:rPr>
      <w:rFonts w:ascii="Calibri" w:hAnsi="Calibri"/>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2"/>
    <w:basedOn w:val="1"/>
    <w:next w:val="1"/>
    <w:qFormat/>
    <w:uiPriority w:val="0"/>
    <w:pPr>
      <w:ind w:left="420" w:leftChars="200"/>
    </w:pPr>
  </w:style>
  <w:style w:type="paragraph" w:styleId="23">
    <w:name w:val="toc 9"/>
    <w:basedOn w:val="1"/>
    <w:next w:val="1"/>
    <w:qFormat/>
    <w:uiPriority w:val="0"/>
    <w:pPr>
      <w:wordWrap w:val="0"/>
      <w:ind w:left="2975"/>
    </w:pPr>
  </w:style>
  <w:style w:type="paragraph" w:styleId="24">
    <w:name w:val="Body Text 2"/>
    <w:basedOn w:val="1"/>
    <w:qFormat/>
    <w:uiPriority w:val="0"/>
    <w:pPr>
      <w:jc w:val="center"/>
    </w:pPr>
    <w:rPr>
      <w:b/>
      <w:spacing w:val="-20"/>
      <w:w w:val="130"/>
      <w:sz w:val="48"/>
      <w:szCs w:val="20"/>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qFormat/>
    <w:uiPriority w:val="0"/>
    <w:pPr>
      <w:jc w:val="center"/>
    </w:pPr>
    <w:rPr>
      <w:sz w:val="30"/>
      <w:szCs w:val="24"/>
    </w:rPr>
  </w:style>
  <w:style w:type="paragraph" w:styleId="27">
    <w:name w:val="annotation subject"/>
    <w:basedOn w:val="12"/>
    <w:next w:val="12"/>
    <w:link w:val="45"/>
    <w:qFormat/>
    <w:uiPriority w:val="0"/>
    <w:rPr>
      <w:rFonts w:ascii="Calibri"/>
      <w:b/>
      <w:bCs/>
      <w:kern w:val="2"/>
      <w:sz w:val="21"/>
    </w:rPr>
  </w:style>
  <w:style w:type="paragraph" w:styleId="28">
    <w:name w:val="Body Text First Indent"/>
    <w:basedOn w:val="2"/>
    <w:qFormat/>
    <w:uiPriority w:val="0"/>
    <w:rPr>
      <w:rFonts w:hAnsi="宋体"/>
      <w:sz w:val="18"/>
      <w:szCs w:val="18"/>
    </w:rPr>
  </w:style>
  <w:style w:type="paragraph" w:styleId="29">
    <w:name w:val="Body Text First Indent 2"/>
    <w:basedOn w:val="13"/>
    <w:unhideWhenUsed/>
    <w:qFormat/>
    <w:uiPriority w:val="0"/>
    <w:pPr>
      <w:ind w:firstLine="420" w:firstLineChars="200"/>
    </w:pPr>
    <w:rPr>
      <w:szCs w:val="20"/>
    </w:rPr>
  </w:style>
  <w:style w:type="table" w:styleId="31">
    <w:name w:val="Table Grid"/>
    <w:basedOn w:val="3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sz w:val="24"/>
      <w:szCs w:val="24"/>
    </w:rPr>
  </w:style>
  <w:style w:type="character" w:styleId="34">
    <w:name w:val="page number"/>
    <w:qFormat/>
    <w:uiPriority w:val="0"/>
  </w:style>
  <w:style w:type="character" w:styleId="35">
    <w:name w:val="FollowedHyperlink"/>
    <w:qFormat/>
    <w:uiPriority w:val="0"/>
    <w:rPr>
      <w:rFonts w:hint="eastAsia" w:ascii="宋体" w:hAnsi="宋体" w:eastAsia="宋体" w:cs="宋体"/>
      <w:color w:val="000000"/>
      <w:sz w:val="18"/>
      <w:szCs w:val="18"/>
      <w:u w:val="non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99"/>
    <w:rPr>
      <w:sz w:val="21"/>
      <w:szCs w:val="21"/>
    </w:rPr>
  </w:style>
  <w:style w:type="character" w:styleId="39">
    <w:name w:val="HTML Cite"/>
    <w:qFormat/>
    <w:uiPriority w:val="0"/>
    <w:rPr>
      <w:sz w:val="24"/>
      <w:szCs w:val="24"/>
    </w:rPr>
  </w:style>
  <w:style w:type="character" w:customStyle="1" w:styleId="40">
    <w:name w:val="标题 1 字符"/>
    <w:link w:val="3"/>
    <w:qFormat/>
    <w:uiPriority w:val="0"/>
    <w:rPr>
      <w:rFonts w:ascii="Times New Roman" w:hAnsi="Times New Roman" w:eastAsia="宋体"/>
      <w:b/>
      <w:kern w:val="44"/>
      <w:sz w:val="32"/>
    </w:rPr>
  </w:style>
  <w:style w:type="character" w:customStyle="1" w:styleId="41">
    <w:name w:val="正文文本 字符"/>
    <w:link w:val="2"/>
    <w:qFormat/>
    <w:uiPriority w:val="0"/>
    <w:rPr>
      <w:rFonts w:hint="default" w:ascii="Times New Roman" w:hAnsi="Times New Roman" w:eastAsia="宋体" w:cs="Times New Roman"/>
      <w:color w:val="993300"/>
      <w:sz w:val="24"/>
      <w:szCs w:val="24"/>
    </w:rPr>
  </w:style>
  <w:style w:type="character" w:customStyle="1" w:styleId="42">
    <w:name w:val="文档结构图 字符"/>
    <w:link w:val="11"/>
    <w:qFormat/>
    <w:uiPriority w:val="0"/>
    <w:rPr>
      <w:rFonts w:ascii="宋体" w:hAnsi="Calibri" w:cs="Times New Roman"/>
      <w:kern w:val="2"/>
      <w:sz w:val="18"/>
      <w:szCs w:val="18"/>
    </w:rPr>
  </w:style>
  <w:style w:type="character" w:customStyle="1" w:styleId="43">
    <w:name w:val="批注文字 字符"/>
    <w:link w:val="12"/>
    <w:qFormat/>
    <w:uiPriority w:val="99"/>
    <w:rPr>
      <w:rFonts w:ascii="宋体" w:hAnsi="Calibri" w:eastAsia="宋体" w:cs="Times New Roman"/>
      <w:sz w:val="34"/>
      <w:szCs w:val="22"/>
    </w:rPr>
  </w:style>
  <w:style w:type="character" w:customStyle="1" w:styleId="44">
    <w:name w:val="批注框文本 字符"/>
    <w:link w:val="18"/>
    <w:qFormat/>
    <w:uiPriority w:val="0"/>
    <w:rPr>
      <w:rFonts w:ascii="Calibri" w:hAnsi="Calibri" w:eastAsia="宋体" w:cs="Times New Roman"/>
      <w:kern w:val="2"/>
      <w:sz w:val="18"/>
      <w:szCs w:val="18"/>
    </w:rPr>
  </w:style>
  <w:style w:type="character" w:customStyle="1" w:styleId="45">
    <w:name w:val="批注主题 字符"/>
    <w:link w:val="27"/>
    <w:qFormat/>
    <w:uiPriority w:val="0"/>
    <w:rPr>
      <w:rFonts w:ascii="Calibri" w:hAnsi="Calibri" w:eastAsia="宋体" w:cs="Times New Roman"/>
      <w:b/>
      <w:bCs/>
      <w:kern w:val="2"/>
      <w:sz w:val="21"/>
      <w:szCs w:val="22"/>
    </w:rPr>
  </w:style>
  <w:style w:type="character" w:customStyle="1" w:styleId="46">
    <w:name w:val="font11"/>
    <w:qFormat/>
    <w:uiPriority w:val="0"/>
    <w:rPr>
      <w:rFonts w:hint="eastAsia" w:ascii="宋体" w:hAnsi="宋体" w:eastAsia="宋体" w:cs="宋体"/>
      <w:color w:val="000000"/>
      <w:sz w:val="22"/>
      <w:szCs w:val="22"/>
      <w:u w:val="none"/>
    </w:rPr>
  </w:style>
  <w:style w:type="character" w:customStyle="1" w:styleId="47">
    <w:name w:val="del3"/>
    <w:qFormat/>
    <w:uiPriority w:val="0"/>
    <w:rPr>
      <w:vanish/>
    </w:rPr>
  </w:style>
  <w:style w:type="character" w:customStyle="1" w:styleId="48">
    <w:name w:val="15"/>
    <w:qFormat/>
    <w:uiPriority w:val="0"/>
    <w:rPr>
      <w:rFonts w:hint="default" w:ascii="Calibri" w:hAnsi="Calibri"/>
      <w:i/>
      <w:iCs/>
    </w:rPr>
  </w:style>
  <w:style w:type="character" w:customStyle="1" w:styleId="49">
    <w:name w:val="font01"/>
    <w:qFormat/>
    <w:uiPriority w:val="0"/>
    <w:rPr>
      <w:rFonts w:hint="eastAsia" w:ascii="宋体" w:hAnsi="宋体" w:eastAsia="宋体" w:cs="宋体"/>
      <w:b/>
      <w:color w:val="000000"/>
      <w:sz w:val="24"/>
      <w:szCs w:val="24"/>
      <w:u w:val="none"/>
    </w:rPr>
  </w:style>
  <w:style w:type="character" w:customStyle="1" w:styleId="50">
    <w:name w:val="del2"/>
    <w:qFormat/>
    <w:uiPriority w:val="0"/>
    <w:rPr>
      <w:vanish/>
    </w:rPr>
  </w:style>
  <w:style w:type="character" w:customStyle="1" w:styleId="51">
    <w:name w:val="apple-style-span"/>
    <w:qFormat/>
    <w:uiPriority w:val="0"/>
  </w:style>
  <w:style w:type="character" w:customStyle="1" w:styleId="52">
    <w:name w:val="font61"/>
    <w:qFormat/>
    <w:uiPriority w:val="0"/>
    <w:rPr>
      <w:rFonts w:hint="default" w:ascii="Tahoma" w:hAnsi="Tahoma" w:eastAsia="Tahoma" w:cs="Tahoma"/>
      <w:color w:val="000000"/>
      <w:sz w:val="22"/>
      <w:szCs w:val="22"/>
      <w:u w:val="none"/>
    </w:rPr>
  </w:style>
  <w:style w:type="character" w:customStyle="1" w:styleId="53">
    <w:name w:val="del"/>
    <w:qFormat/>
    <w:uiPriority w:val="0"/>
  </w:style>
  <w:style w:type="character" w:customStyle="1" w:styleId="54">
    <w:name w:val="10"/>
    <w:qFormat/>
    <w:uiPriority w:val="0"/>
    <w:rPr>
      <w:rFonts w:hint="default" w:ascii="Calibri" w:hAnsi="Calibri"/>
    </w:rPr>
  </w:style>
  <w:style w:type="character" w:customStyle="1" w:styleId="55">
    <w:name w:val="del1"/>
    <w:qFormat/>
    <w:uiPriority w:val="0"/>
    <w:rPr>
      <w:vanish/>
      <w:color w:val="666666"/>
      <w:sz w:val="18"/>
      <w:szCs w:val="18"/>
      <w:u w:val="single"/>
    </w:rPr>
  </w:style>
  <w:style w:type="paragraph" w:customStyle="1" w:styleId="56">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7">
    <w:name w:val="List Paragraph1"/>
    <w:basedOn w:val="1"/>
    <w:qFormat/>
    <w:uiPriority w:val="99"/>
    <w:pPr>
      <w:ind w:firstLine="420" w:firstLineChars="200"/>
    </w:pPr>
  </w:style>
  <w:style w:type="paragraph" w:customStyle="1" w:styleId="58">
    <w:name w:val="列出段落11"/>
    <w:basedOn w:val="1"/>
    <w:qFormat/>
    <w:uiPriority w:val="99"/>
    <w:pPr>
      <w:ind w:firstLine="420" w:firstLineChars="200"/>
    </w:pPr>
  </w:style>
  <w:style w:type="paragraph" w:customStyle="1" w:styleId="59">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6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列出段落3"/>
    <w:basedOn w:val="1"/>
    <w:qFormat/>
    <w:uiPriority w:val="0"/>
    <w:pPr>
      <w:ind w:firstLine="420" w:firstLineChars="200"/>
    </w:pPr>
    <w:rPr>
      <w:rFonts w:ascii="宋体"/>
      <w:sz w:val="28"/>
    </w:rPr>
  </w:style>
  <w:style w:type="paragraph" w:customStyle="1" w:styleId="62">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表格内文字"/>
    <w:basedOn w:val="1"/>
    <w:qFormat/>
    <w:uiPriority w:val="0"/>
    <w:pPr>
      <w:keepLines/>
      <w:widowControl/>
      <w:spacing w:before="40" w:after="40"/>
    </w:pPr>
    <w:rPr>
      <w:rFonts w:ascii="Arial" w:hAnsi="Arial" w:cs="宋体"/>
      <w:color w:val="008ED3"/>
      <w:kern w:val="0"/>
      <w:sz w:val="18"/>
      <w:szCs w:val="18"/>
    </w:rPr>
  </w:style>
  <w:style w:type="paragraph" w:customStyle="1" w:styleId="6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列出段落6"/>
    <w:basedOn w:val="1"/>
    <w:qFormat/>
    <w:uiPriority w:val="34"/>
    <w:pPr>
      <w:widowControl/>
      <w:spacing w:after="200" w:line="276" w:lineRule="auto"/>
      <w:ind w:left="720"/>
      <w:contextualSpacing/>
      <w:jc w:val="left"/>
    </w:pPr>
    <w:rPr>
      <w:kern w:val="0"/>
      <w:sz w:val="22"/>
    </w:rPr>
  </w:style>
  <w:style w:type="paragraph" w:customStyle="1" w:styleId="67">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68">
    <w:name w:val="No Spacing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69">
    <w:name w:val="小标题"/>
    <w:next w:val="1"/>
    <w:qFormat/>
    <w:uiPriority w:val="0"/>
    <w:pPr>
      <w:keepNext/>
      <w:outlineLvl w:val="0"/>
    </w:pPr>
    <w:rPr>
      <w:rFonts w:ascii="Helvetica Neue" w:hAnsi="Helvetica Neue" w:eastAsia="Helvetica Neue" w:cs="Helvetica Neue"/>
      <w:b/>
      <w:bCs/>
      <w:color w:val="000000"/>
      <w:sz w:val="36"/>
      <w:szCs w:val="36"/>
      <w:lang w:val="en-US" w:eastAsia="zh-CN" w:bidi="ar-SA"/>
    </w:rPr>
  </w:style>
  <w:style w:type="paragraph" w:customStyle="1" w:styleId="70">
    <w:name w:val="表格样式 2"/>
    <w:qFormat/>
    <w:uiPriority w:val="0"/>
    <w:rPr>
      <w:rFonts w:ascii="Helvetica Neue" w:hAnsi="Helvetica Neue" w:eastAsia="Helvetica Neue" w:cs="Helvetica Neue"/>
      <w:color w:val="000000"/>
      <w:lang w:val="en-US" w:eastAsia="zh-CN" w:bidi="ar-SA"/>
    </w:rPr>
  </w:style>
  <w:style w:type="paragraph" w:customStyle="1" w:styleId="71">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72">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3">
    <w:name w:val="列出段落4"/>
    <w:basedOn w:val="1"/>
    <w:qFormat/>
    <w:uiPriority w:val="34"/>
    <w:pPr>
      <w:ind w:firstLine="420" w:firstLineChars="200"/>
    </w:pPr>
  </w:style>
  <w:style w:type="paragraph" w:customStyle="1" w:styleId="74">
    <w:name w:val="正文框"/>
    <w:basedOn w:val="1"/>
    <w:qFormat/>
    <w:uiPriority w:val="0"/>
    <w:pPr>
      <w:widowControl/>
      <w:adjustRightInd w:val="0"/>
      <w:spacing w:line="312" w:lineRule="atLeast"/>
      <w:jc w:val="left"/>
      <w:textAlignment w:val="baseline"/>
    </w:pPr>
    <w:rPr>
      <w:sz w:val="24"/>
    </w:rPr>
  </w:style>
  <w:style w:type="paragraph" w:customStyle="1" w:styleId="75">
    <w:name w:val="列出段落1"/>
    <w:basedOn w:val="1"/>
    <w:qFormat/>
    <w:uiPriority w:val="99"/>
    <w:pPr>
      <w:ind w:firstLine="420" w:firstLineChars="200"/>
    </w:pPr>
  </w:style>
  <w:style w:type="paragraph" w:customStyle="1" w:styleId="76">
    <w:name w:val="列出段落12"/>
    <w:basedOn w:val="1"/>
    <w:unhideWhenUsed/>
    <w:qFormat/>
    <w:uiPriority w:val="99"/>
    <w:pPr>
      <w:ind w:firstLine="420" w:firstLineChars="200"/>
    </w:pPr>
  </w:style>
  <w:style w:type="paragraph" w:customStyle="1" w:styleId="77">
    <w:name w:val="表格样式 1"/>
    <w:qFormat/>
    <w:uiPriority w:val="0"/>
    <w:rPr>
      <w:rFonts w:ascii="Helvetica Neue" w:hAnsi="Helvetica Neue" w:eastAsia="Helvetica Neue" w:cs="Helvetica Neue"/>
      <w:b/>
      <w:bCs/>
      <w:color w:val="000000"/>
      <w:lang w:val="en-US" w:eastAsia="zh-CN" w:bidi="ar-SA"/>
    </w:rPr>
  </w:style>
  <w:style w:type="paragraph" w:customStyle="1" w:styleId="78">
    <w:name w:val="Char"/>
    <w:basedOn w:val="1"/>
    <w:qFormat/>
    <w:uiPriority w:val="0"/>
    <w:pPr>
      <w:jc w:val="left"/>
    </w:pPr>
    <w:rPr>
      <w:rFonts w:ascii="Tahoma" w:hAnsi="Tahoma"/>
      <w:sz w:val="24"/>
      <w:szCs w:val="20"/>
    </w:rPr>
  </w:style>
  <w:style w:type="paragraph" w:customStyle="1" w:styleId="79">
    <w:name w:val="列出段落61"/>
    <w:basedOn w:val="1"/>
    <w:qFormat/>
    <w:uiPriority w:val="34"/>
    <w:pPr>
      <w:widowControl/>
      <w:spacing w:after="200" w:line="276" w:lineRule="auto"/>
      <w:ind w:left="720"/>
      <w:contextualSpacing/>
      <w:jc w:val="left"/>
    </w:pPr>
    <w:rPr>
      <w:kern w:val="0"/>
      <w:sz w:val="22"/>
    </w:rPr>
  </w:style>
  <w:style w:type="paragraph" w:customStyle="1" w:styleId="80">
    <w:name w:val="Char2 Char Char Char"/>
    <w:basedOn w:val="1"/>
    <w:qFormat/>
    <w:uiPriority w:val="0"/>
    <w:rPr>
      <w:rFonts w:ascii="Tahoma" w:hAnsi="Tahoma"/>
      <w:sz w:val="24"/>
      <w:szCs w:val="20"/>
    </w:rPr>
  </w:style>
  <w:style w:type="paragraph" w:customStyle="1" w:styleId="81">
    <w:name w:val="列出段落2"/>
    <w:basedOn w:val="1"/>
    <w:qFormat/>
    <w:uiPriority w:val="0"/>
    <w:pPr>
      <w:ind w:firstLine="420" w:firstLineChars="200"/>
    </w:pPr>
    <w:rPr>
      <w:rFonts w:ascii="宋体"/>
      <w:sz w:val="28"/>
    </w:rPr>
  </w:style>
  <w:style w:type="paragraph" w:customStyle="1" w:styleId="82">
    <w:name w:val="_Style 2"/>
    <w:basedOn w:val="1"/>
    <w:qFormat/>
    <w:uiPriority w:val="34"/>
    <w:pPr>
      <w:ind w:firstLine="420" w:firstLineChars="200"/>
    </w:pPr>
  </w:style>
  <w:style w:type="paragraph" w:customStyle="1" w:styleId="83">
    <w:name w:val="list number ＋left spaceing"/>
    <w:basedOn w:val="8"/>
    <w:qFormat/>
    <w:uiPriority w:val="0"/>
    <w:pPr>
      <w:widowControl/>
      <w:tabs>
        <w:tab w:val="left" w:pos="839"/>
      </w:tabs>
      <w:ind w:left="0" w:firstLine="0"/>
      <w:jc w:val="left"/>
    </w:pPr>
    <w:rPr>
      <w:kern w:val="0"/>
    </w:rPr>
  </w:style>
  <w:style w:type="paragraph" w:customStyle="1" w:styleId="84">
    <w:name w:val="Body text|21"/>
    <w:basedOn w:val="1"/>
    <w:qFormat/>
    <w:uiPriority w:val="0"/>
    <w:pPr>
      <w:shd w:val="clear" w:color="auto" w:fill="FFFFFF"/>
      <w:spacing w:before="240" w:after="340" w:line="200" w:lineRule="exact"/>
      <w:ind w:hanging="480"/>
      <w:jc w:val="left"/>
    </w:pPr>
    <w:rPr>
      <w:rFonts w:ascii="PMingLiU" w:hAnsi="PMingLiU" w:eastAsia="PMingLiU" w:cs="PMingLiU"/>
      <w:spacing w:val="10"/>
      <w:kern w:val="0"/>
      <w:sz w:val="20"/>
      <w:szCs w:val="20"/>
    </w:rPr>
  </w:style>
  <w:style w:type="paragraph" w:customStyle="1" w:styleId="85">
    <w:name w:val="列出段落5"/>
    <w:basedOn w:val="1"/>
    <w:unhideWhenUsed/>
    <w:qFormat/>
    <w:uiPriority w:val="99"/>
    <w:pPr>
      <w:ind w:firstLine="420" w:firstLineChars="200"/>
    </w:pPr>
  </w:style>
  <w:style w:type="paragraph" w:customStyle="1" w:styleId="86">
    <w:name w:val="Default"/>
    <w:qFormat/>
    <w:uiPriority w:val="0"/>
    <w:pPr>
      <w:widowControl w:val="0"/>
      <w:autoSpaceDE w:val="0"/>
      <w:autoSpaceDN w:val="0"/>
      <w:adjustRightInd w:val="0"/>
    </w:pPr>
    <w:rPr>
      <w:rFonts w:ascii="华文仿宋" w:hAnsi="华文仿宋" w:eastAsia="宋体" w:cs="华文仿宋"/>
      <w:color w:val="000000"/>
      <w:sz w:val="24"/>
      <w:szCs w:val="24"/>
      <w:lang w:val="en-US" w:eastAsia="zh-CN" w:bidi="ar-SA"/>
    </w:rPr>
  </w:style>
  <w:style w:type="paragraph" w:customStyle="1" w:styleId="87">
    <w:name w:val="Table Paragraph"/>
    <w:basedOn w:val="1"/>
    <w:qFormat/>
    <w:uiPriority w:val="0"/>
    <w:pPr>
      <w:autoSpaceDE w:val="0"/>
      <w:autoSpaceDN w:val="0"/>
      <w:jc w:val="left"/>
    </w:pPr>
    <w:rPr>
      <w:rFonts w:hint="eastAsia" w:ascii="宋体" w:hAnsi="宋体"/>
      <w:kern w:val="0"/>
      <w:sz w:val="22"/>
    </w:rPr>
  </w:style>
  <w:style w:type="table" w:customStyle="1" w:styleId="88">
    <w:name w:val="Table Normal"/>
    <w:qFormat/>
    <w:uiPriority w:val="0"/>
    <w:tblPr>
      <w:tblCellMar>
        <w:top w:w="0" w:type="dxa"/>
        <w:left w:w="0" w:type="dxa"/>
        <w:bottom w:w="0" w:type="dxa"/>
        <w:right w:w="0" w:type="dxa"/>
      </w:tblCellMar>
    </w:tblPr>
  </w:style>
  <w:style w:type="character" w:customStyle="1" w:styleId="89">
    <w:name w:val="font21"/>
    <w:qFormat/>
    <w:uiPriority w:val="0"/>
    <w:rPr>
      <w:rFonts w:hint="eastAsia" w:ascii="宋体" w:hAnsi="宋体" w:eastAsia="宋体" w:cs="宋体"/>
      <w:color w:val="000000"/>
      <w:sz w:val="21"/>
      <w:szCs w:val="21"/>
      <w:u w:val="none"/>
    </w:rPr>
  </w:style>
  <w:style w:type="paragraph" w:customStyle="1" w:styleId="90">
    <w:name w:val="_Style 87"/>
    <w:unhideWhenUsed/>
    <w:qFormat/>
    <w:uiPriority w:val="99"/>
    <w:rPr>
      <w:rFonts w:ascii="Times New Roman" w:hAnsi="Times New Roman" w:eastAsia="宋体" w:cs="Times New Roman"/>
      <w:kern w:val="2"/>
      <w:sz w:val="21"/>
      <w:szCs w:val="22"/>
      <w:lang w:val="en-US" w:eastAsia="zh-CN" w:bidi="ar-SA"/>
    </w:rPr>
  </w:style>
  <w:style w:type="character" w:customStyle="1" w:styleId="91">
    <w:name w:val="font41"/>
    <w:basedOn w:val="32"/>
    <w:qFormat/>
    <w:uiPriority w:val="0"/>
    <w:rPr>
      <w:rFonts w:hint="eastAsia" w:ascii="宋体" w:hAnsi="宋体" w:eastAsia="宋体" w:cs="宋体"/>
      <w:b/>
      <w:bCs/>
      <w:color w:val="000000"/>
      <w:sz w:val="22"/>
      <w:szCs w:val="22"/>
      <w:u w:val="none"/>
    </w:rPr>
  </w:style>
  <w:style w:type="character" w:customStyle="1" w:styleId="92">
    <w:name w:val="font51"/>
    <w:basedOn w:val="32"/>
    <w:qFormat/>
    <w:uiPriority w:val="0"/>
    <w:rPr>
      <w:rFonts w:hint="eastAsia" w:ascii="宋体" w:hAnsi="宋体" w:eastAsia="宋体" w:cs="宋体"/>
      <w:color w:val="000000"/>
      <w:sz w:val="22"/>
      <w:szCs w:val="22"/>
      <w:u w:val="none"/>
    </w:rPr>
  </w:style>
  <w:style w:type="paragraph" w:customStyle="1" w:styleId="93">
    <w:name w:val="列出段落7"/>
    <w:basedOn w:val="1"/>
    <w:qFormat/>
    <w:uiPriority w:val="34"/>
    <w:pPr>
      <w:ind w:firstLine="420" w:firstLineChars="200"/>
    </w:pPr>
  </w:style>
  <w:style w:type="paragraph" w:styleId="9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92</Pages>
  <Words>50473</Words>
  <Characters>55100</Characters>
  <Lines>435</Lines>
  <Paragraphs>122</Paragraphs>
  <TotalTime>14</TotalTime>
  <ScaleCrop>false</ScaleCrop>
  <LinksUpToDate>false</LinksUpToDate>
  <CharactersWithSpaces>57421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2022-03-28T09:59:00Z</dcterms:created>
  <dc:creator>xb21cn</dc:creator>
  <cp:lastModifiedBy>lenovo</cp:lastModifiedBy>
  <cp:lastPrinted>2022-07-20T01:25:29Z</cp:lastPrinted>
  <dcterms:modified xsi:type="dcterms:W3CDTF">2022-07-20T01:27:15Z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91BDB47D7C164A7CAA7B59F388EB8CFE</vt:lpwstr>
  </property>
  <property fmtid="{D5CDD505-2E9C-101B-9397-08002B2CF9AE}" pid="4" name="commondata">
    <vt:lpwstr>eyJoZGlkIjoiMjBlZTRhYWYzMzlkNWJjMDZmOWE2MDk2MmQ0M2IyM2EifQ==</vt:lpwstr>
  </property>
</Properties>
</file>