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drawing>
          <wp:inline distT="0" distB="0" distL="114300" distR="114300">
            <wp:extent cx="5952490" cy="8418830"/>
            <wp:effectExtent l="0" t="0" r="10160" b="1270"/>
            <wp:docPr id="2" name="图片 2" descr="doc00936320220811174917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00936320220811174917_001"/>
                    <pic:cNvPicPr>
                      <a:picLocks noChangeAspect="1"/>
                    </pic:cNvPicPr>
                  </pic:nvPicPr>
                  <pic:blipFill>
                    <a:blip r:embed="rId9"/>
                    <a:stretch>
                      <a:fillRect/>
                    </a:stretch>
                  </pic:blipFill>
                  <pic:spPr>
                    <a:xfrm>
                      <a:off x="0" y="0"/>
                      <a:ext cx="5952490" cy="8418830"/>
                    </a:xfrm>
                    <a:prstGeom prst="rect">
                      <a:avLst/>
                    </a:prstGeom>
                  </pic:spPr>
                </pic:pic>
              </a:graphicData>
            </a:graphic>
          </wp:inline>
        </w:drawing>
      </w:r>
    </w:p>
    <w:p>
      <w:pPr>
        <w:jc w:val="left"/>
        <w:rPr>
          <w:rFonts w:hint="eastAsia" w:ascii="仿宋" w:hAnsi="仿宋" w:eastAsia="仿宋" w:cs="仿宋"/>
          <w:b/>
          <w:bCs/>
          <w:color w:val="auto"/>
          <w:sz w:val="32"/>
          <w:szCs w:val="32"/>
          <w:highlight w:val="none"/>
        </w:rPr>
      </w:pPr>
    </w:p>
    <w:p>
      <w:pPr>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2"/>
          <w:szCs w:val="32"/>
          <w:highlight w:val="none"/>
        </w:rPr>
        <w:t>编号：</w:t>
      </w:r>
      <w:r>
        <w:rPr>
          <w:rFonts w:hint="eastAsia" w:ascii="仿宋" w:hAnsi="仿宋" w:eastAsia="仿宋" w:cs="仿宋"/>
          <w:b/>
          <w:bCs/>
          <w:color w:val="auto"/>
          <w:sz w:val="32"/>
          <w:szCs w:val="32"/>
          <w:highlight w:val="none"/>
          <w:lang w:val="en-US" w:eastAsia="zh-CN"/>
        </w:rPr>
        <w:t>HXGJXM2022-ZC-JT1006</w:t>
      </w:r>
    </w:p>
    <w:p>
      <w:pPr>
        <w:jc w:val="left"/>
        <w:rPr>
          <w:rFonts w:hint="eastAsia" w:ascii="仿宋" w:hAnsi="仿宋" w:eastAsia="仿宋" w:cs="仿宋"/>
          <w:b/>
          <w:bCs/>
          <w:color w:val="auto"/>
          <w:sz w:val="32"/>
          <w:szCs w:val="32"/>
          <w:highlight w:val="none"/>
          <w:lang w:val="en-US" w:eastAsia="zh-CN"/>
        </w:rPr>
      </w:pPr>
    </w:p>
    <w:p>
      <w:pPr>
        <w:jc w:val="left"/>
        <w:rPr>
          <w:rFonts w:hint="eastAsia" w:ascii="仿宋" w:hAnsi="仿宋" w:eastAsia="仿宋" w:cs="仿宋"/>
          <w:b/>
          <w:bCs/>
          <w:color w:val="auto"/>
          <w:sz w:val="32"/>
          <w:szCs w:val="32"/>
          <w:highlight w:val="none"/>
          <w:lang w:val="en-US" w:eastAsia="zh-CN"/>
        </w:rPr>
      </w:pPr>
    </w:p>
    <w:p>
      <w:pPr>
        <w:jc w:val="left"/>
        <w:rPr>
          <w:rFonts w:hint="eastAsia" w:ascii="仿宋" w:hAnsi="仿宋" w:eastAsia="仿宋" w:cs="仿宋"/>
          <w:b/>
          <w:bCs/>
          <w:color w:val="auto"/>
          <w:sz w:val="32"/>
          <w:szCs w:val="32"/>
          <w:highlight w:val="none"/>
          <w:lang w:val="en-US" w:eastAsia="zh-CN"/>
        </w:rPr>
      </w:pPr>
    </w:p>
    <w:p>
      <w:pPr>
        <w:jc w:val="left"/>
        <w:rPr>
          <w:rFonts w:hint="eastAsia" w:ascii="仿宋" w:hAnsi="仿宋" w:eastAsia="仿宋" w:cs="仿宋"/>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287" w:afterLines="100"/>
        <w:jc w:val="center"/>
        <w:textAlignment w:val="auto"/>
        <w:outlineLvl w:val="9"/>
        <w:rPr>
          <w:rFonts w:hint="eastAsia" w:ascii="仿宋" w:hAnsi="仿宋" w:eastAsia="仿宋" w:cs="仿宋"/>
          <w:b/>
          <w:color w:val="auto"/>
          <w:sz w:val="52"/>
          <w:szCs w:val="52"/>
          <w:highlight w:val="none"/>
          <w:lang w:eastAsia="zh-CN"/>
        </w:rPr>
      </w:pPr>
      <w:bookmarkStart w:id="0" w:name="OLE_LINK4"/>
      <w:r>
        <w:rPr>
          <w:rFonts w:hint="eastAsia" w:ascii="仿宋" w:hAnsi="仿宋" w:eastAsia="仿宋" w:cs="仿宋"/>
          <w:b/>
          <w:color w:val="auto"/>
          <w:sz w:val="52"/>
          <w:szCs w:val="52"/>
          <w:highlight w:val="none"/>
          <w:lang w:eastAsia="zh-CN"/>
        </w:rPr>
        <w:t>西安市莲湖区市民中心视讯采集数据</w:t>
      </w:r>
    </w:p>
    <w:p>
      <w:pPr>
        <w:keepNext w:val="0"/>
        <w:keepLines w:val="0"/>
        <w:pageBreakBefore w:val="0"/>
        <w:widowControl w:val="0"/>
        <w:kinsoku/>
        <w:wordWrap/>
        <w:overflowPunct/>
        <w:topLinePunct w:val="0"/>
        <w:autoSpaceDE/>
        <w:autoSpaceDN/>
        <w:bidi w:val="0"/>
        <w:adjustRightInd/>
        <w:snapToGrid/>
        <w:spacing w:after="287" w:afterLines="100"/>
        <w:jc w:val="center"/>
        <w:textAlignment w:val="auto"/>
        <w:outlineLvl w:val="9"/>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lang w:eastAsia="zh-CN"/>
        </w:rPr>
        <w:t>中心升级项目</w:t>
      </w:r>
    </w:p>
    <w:p>
      <w:pPr>
        <w:jc w:val="center"/>
        <w:rPr>
          <w:rFonts w:hint="eastAsia" w:ascii="仿宋" w:hAnsi="仿宋" w:eastAsia="仿宋" w:cs="仿宋"/>
          <w:b/>
          <w:color w:val="auto"/>
          <w:sz w:val="52"/>
          <w:szCs w:val="52"/>
          <w:highlight w:val="none"/>
        </w:rPr>
      </w:pPr>
    </w:p>
    <w:p>
      <w:pPr>
        <w:jc w:val="center"/>
        <w:rPr>
          <w:rFonts w:hint="eastAsia" w:ascii="仿宋" w:hAnsi="仿宋" w:eastAsia="仿宋" w:cs="仿宋"/>
          <w:b/>
          <w:color w:val="auto"/>
          <w:sz w:val="52"/>
          <w:szCs w:val="52"/>
          <w:highlight w:val="none"/>
        </w:rPr>
      </w:pPr>
    </w:p>
    <w:bookmarkEnd w:id="0"/>
    <w:p>
      <w:pPr>
        <w:jc w:val="center"/>
        <w:rPr>
          <w:rFonts w:hint="eastAsia" w:ascii="仿宋" w:hAnsi="仿宋" w:eastAsia="仿宋" w:cs="仿宋"/>
          <w:b/>
          <w:color w:val="auto"/>
          <w:sz w:val="52"/>
          <w:szCs w:val="52"/>
          <w:highlight w:val="none"/>
        </w:rPr>
      </w:pPr>
    </w:p>
    <w:p>
      <w:pPr>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竞争性谈判文件</w:t>
      </w:r>
    </w:p>
    <w:p>
      <w:pPr>
        <w:spacing w:line="480" w:lineRule="auto"/>
        <w:jc w:val="center"/>
        <w:rPr>
          <w:rFonts w:hint="eastAsia" w:ascii="仿宋" w:hAnsi="仿宋" w:eastAsia="仿宋" w:cs="仿宋"/>
          <w:color w:val="auto"/>
          <w:sz w:val="36"/>
          <w:szCs w:val="36"/>
          <w:highlight w:val="none"/>
        </w:rPr>
      </w:pPr>
    </w:p>
    <w:p>
      <w:pPr>
        <w:spacing w:line="480" w:lineRule="auto"/>
        <w:rPr>
          <w:rFonts w:hint="eastAsia" w:ascii="仿宋" w:hAnsi="仿宋" w:eastAsia="仿宋" w:cs="仿宋"/>
          <w:color w:val="auto"/>
          <w:sz w:val="32"/>
          <w:highlight w:val="none"/>
        </w:rPr>
      </w:pPr>
    </w:p>
    <w:p>
      <w:pPr>
        <w:pStyle w:val="2"/>
        <w:rPr>
          <w:rFonts w:hint="eastAsia" w:ascii="仿宋" w:hAnsi="仿宋" w:eastAsia="仿宋" w:cs="仿宋"/>
          <w:color w:val="auto"/>
          <w:highlight w:val="none"/>
        </w:rPr>
      </w:pPr>
    </w:p>
    <w:p>
      <w:pPr>
        <w:spacing w:line="480" w:lineRule="auto"/>
        <w:rPr>
          <w:rFonts w:hint="eastAsia" w:ascii="仿宋" w:hAnsi="仿宋" w:eastAsia="仿宋" w:cs="仿宋"/>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华夏国际项目管理有限公</w:t>
      </w:r>
      <w:r>
        <w:rPr>
          <w:rFonts w:hint="eastAsia" w:ascii="仿宋" w:hAnsi="仿宋" w:eastAsia="仿宋" w:cs="仿宋"/>
          <w:b/>
          <w:bCs/>
          <w:color w:val="auto"/>
          <w:sz w:val="32"/>
          <w:szCs w:val="32"/>
          <w:highlight w:val="none"/>
          <w:lang w:eastAsia="zh-CN"/>
        </w:rPr>
        <w:t>司</w:t>
      </w:r>
    </w:p>
    <w:p>
      <w:pPr>
        <w:keepNext w:val="0"/>
        <w:keepLines w:val="0"/>
        <w:pageBreakBefore w:val="0"/>
        <w:widowControl w:val="0"/>
        <w:tabs>
          <w:tab w:val="left" w:pos="525"/>
        </w:tabs>
        <w:kinsoku/>
        <w:wordWrap/>
        <w:overflowPunct/>
        <w:topLinePunct w:val="0"/>
        <w:autoSpaceDE/>
        <w:autoSpaceDN/>
        <w:bidi w:val="0"/>
        <w:adjustRightInd/>
        <w:snapToGrid/>
        <w:spacing w:line="700" w:lineRule="exact"/>
        <w:ind w:left="-2" w:leftChars="-1" w:firstLine="1"/>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二〇二</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月</w:t>
      </w:r>
    </w:p>
    <w:p>
      <w:pPr>
        <w:keepNext w:val="0"/>
        <w:keepLines w:val="0"/>
        <w:pageBreakBefore w:val="0"/>
        <w:widowControl w:val="0"/>
        <w:kinsoku/>
        <w:wordWrap/>
        <w:overflowPunct/>
        <w:topLinePunct w:val="0"/>
        <w:autoSpaceDE/>
        <w:autoSpaceDN/>
        <w:bidi w:val="0"/>
        <w:adjustRightInd/>
        <w:snapToGrid/>
        <w:spacing w:after="165" w:afterLines="50"/>
        <w:jc w:val="center"/>
        <w:textAlignment w:val="auto"/>
        <w:outlineLvl w:val="9"/>
        <w:rPr>
          <w:rFonts w:hint="eastAsia" w:ascii="仿宋" w:hAnsi="仿宋" w:eastAsia="仿宋" w:cs="仿宋"/>
          <w:b/>
          <w:bCs/>
          <w:color w:val="auto"/>
          <w:sz w:val="36"/>
          <w:szCs w:val="36"/>
          <w:highlight w:val="none"/>
        </w:rPr>
      </w:pPr>
      <w:bookmarkStart w:id="1" w:name="_Toc20666"/>
    </w:p>
    <w:p>
      <w:pPr>
        <w:keepNext w:val="0"/>
        <w:keepLines w:val="0"/>
        <w:pageBreakBefore w:val="0"/>
        <w:widowControl w:val="0"/>
        <w:kinsoku/>
        <w:wordWrap/>
        <w:overflowPunct/>
        <w:topLinePunct w:val="0"/>
        <w:autoSpaceDE/>
        <w:autoSpaceDN/>
        <w:bidi w:val="0"/>
        <w:adjustRightInd/>
        <w:snapToGrid/>
        <w:spacing w:after="165" w:afterLines="50"/>
        <w:jc w:val="center"/>
        <w:textAlignment w:val="auto"/>
        <w:outlineLvl w:val="9"/>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after="165" w:afterLines="50"/>
        <w:jc w:val="center"/>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特别提示</w:t>
      </w:r>
    </w:p>
    <w:p>
      <w:pPr>
        <w:pStyle w:val="2"/>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afterAutospacing="0"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，在此我们特别提醒您注意以下事项：</w:t>
      </w:r>
    </w:p>
    <w:p>
      <w:pPr>
        <w:keepNext w:val="0"/>
        <w:keepLines w:val="0"/>
        <w:pageBreakBefore w:val="0"/>
        <w:widowControl w:val="0"/>
        <w:kinsoku/>
        <w:wordWrap/>
        <w:overflowPunct/>
        <w:topLinePunct w:val="0"/>
        <w:autoSpaceDE/>
        <w:autoSpaceDN/>
        <w:bidi w:val="0"/>
        <w:adjustRightInd/>
        <w:snapToGrid/>
        <w:spacing w:afterAutospacing="0" w:line="360" w:lineRule="auto"/>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有关</w:t>
      </w:r>
      <w:r>
        <w:rPr>
          <w:rFonts w:hint="eastAsia" w:ascii="仿宋" w:hAnsi="仿宋" w:eastAsia="仿宋" w:cs="仿宋"/>
          <w:b/>
          <w:bCs/>
          <w:color w:val="auto"/>
          <w:sz w:val="24"/>
          <w:szCs w:val="24"/>
          <w:highlight w:val="none"/>
          <w:lang w:eastAsia="zh-CN"/>
        </w:rPr>
        <w:t>谈判响应</w:t>
      </w:r>
      <w:r>
        <w:rPr>
          <w:rFonts w:hint="eastAsia" w:ascii="仿宋" w:hAnsi="仿宋" w:eastAsia="仿宋" w:cs="仿宋"/>
          <w:b/>
          <w:bCs/>
          <w:color w:val="auto"/>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、请仔细阅读</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文件并正确理解</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文件中各项具体要求。如对</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文件有疑问，请在</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文件规定的时间内以书面形式提出，逾期将被</w:t>
      </w:r>
      <w:r>
        <w:rPr>
          <w:rFonts w:hint="eastAsia" w:ascii="仿宋" w:hAnsi="仿宋" w:eastAsia="仿宋" w:cs="仿宋"/>
          <w:b w:val="0"/>
          <w:bCs w:val="0"/>
          <w:color w:val="auto"/>
          <w:sz w:val="24"/>
          <w:szCs w:val="24"/>
          <w:highlight w:val="none"/>
          <w:lang w:eastAsia="zh-CN"/>
        </w:rPr>
        <w:t>拒绝</w:t>
      </w:r>
      <w:r>
        <w:rPr>
          <w:rFonts w:hint="eastAsia" w:ascii="仿宋" w:hAnsi="仿宋" w:eastAsia="仿宋" w:cs="仿宋"/>
          <w:b w:val="0"/>
          <w:bCs w:val="0"/>
          <w:color w:val="auto"/>
          <w:sz w:val="24"/>
          <w:szCs w:val="24"/>
          <w:highlight w:val="none"/>
        </w:rPr>
        <w:t>受理。</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2、请严格按照</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文件载明的</w:t>
      </w:r>
      <w:r>
        <w:rPr>
          <w:rFonts w:hint="eastAsia" w:ascii="仿宋" w:hAnsi="仿宋" w:eastAsia="仿宋" w:cs="仿宋"/>
          <w:b w:val="0"/>
          <w:bCs w:val="0"/>
          <w:color w:val="auto"/>
          <w:sz w:val="24"/>
          <w:szCs w:val="24"/>
          <w:highlight w:val="none"/>
          <w:lang w:eastAsia="zh-CN"/>
        </w:rPr>
        <w:t>谈判响应</w:t>
      </w:r>
      <w:r>
        <w:rPr>
          <w:rFonts w:hint="eastAsia" w:ascii="仿宋" w:hAnsi="仿宋" w:eastAsia="仿宋" w:cs="仿宋"/>
          <w:b w:val="0"/>
          <w:bCs w:val="0"/>
          <w:color w:val="auto"/>
          <w:sz w:val="24"/>
          <w:szCs w:val="24"/>
          <w:highlight w:val="none"/>
        </w:rPr>
        <w:t>文件的格式要求编制</w:t>
      </w:r>
      <w:r>
        <w:rPr>
          <w:rFonts w:hint="eastAsia" w:ascii="仿宋" w:hAnsi="仿宋" w:eastAsia="仿宋" w:cs="仿宋"/>
          <w:b w:val="0"/>
          <w:bCs w:val="0"/>
          <w:color w:val="auto"/>
          <w:sz w:val="24"/>
          <w:szCs w:val="24"/>
          <w:highlight w:val="none"/>
          <w:lang w:eastAsia="zh-CN"/>
        </w:rPr>
        <w:t>谈判响应</w:t>
      </w:r>
      <w:r>
        <w:rPr>
          <w:rFonts w:hint="eastAsia" w:ascii="仿宋" w:hAnsi="仿宋" w:eastAsia="仿宋" w:cs="仿宋"/>
          <w:b w:val="0"/>
          <w:bCs w:val="0"/>
          <w:color w:val="auto"/>
          <w:sz w:val="24"/>
          <w:szCs w:val="24"/>
          <w:highlight w:val="none"/>
        </w:rPr>
        <w:t>文件</w:t>
      </w:r>
      <w:r>
        <w:rPr>
          <w:rFonts w:hint="eastAsia" w:ascii="仿宋" w:hAnsi="仿宋" w:eastAsia="仿宋" w:cs="仿宋"/>
          <w:b w:val="0"/>
          <w:bCs w:val="0"/>
          <w:color w:val="auto"/>
          <w:sz w:val="24"/>
          <w:szCs w:val="24"/>
          <w:highlight w:val="none"/>
          <w:lang w:eastAsia="zh-CN"/>
        </w:rPr>
        <w:t>，谈判响应</w:t>
      </w:r>
      <w:r>
        <w:rPr>
          <w:rFonts w:hint="eastAsia" w:ascii="仿宋" w:hAnsi="仿宋" w:eastAsia="仿宋" w:cs="仿宋"/>
          <w:b w:val="0"/>
          <w:bCs w:val="0"/>
          <w:color w:val="auto"/>
          <w:sz w:val="24"/>
          <w:szCs w:val="24"/>
          <w:highlight w:val="none"/>
        </w:rPr>
        <w:t>文件须胶装成册</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3、请仔细核对</w:t>
      </w:r>
      <w:r>
        <w:rPr>
          <w:rFonts w:hint="eastAsia" w:ascii="仿宋" w:hAnsi="仿宋" w:eastAsia="仿宋" w:cs="仿宋"/>
          <w:b w:val="0"/>
          <w:bCs w:val="0"/>
          <w:color w:val="auto"/>
          <w:sz w:val="24"/>
          <w:szCs w:val="24"/>
          <w:highlight w:val="none"/>
          <w:lang w:eastAsia="zh-CN"/>
        </w:rPr>
        <w:t>谈判响应</w:t>
      </w:r>
      <w:r>
        <w:rPr>
          <w:rFonts w:hint="eastAsia" w:ascii="仿宋" w:hAnsi="仿宋" w:eastAsia="仿宋" w:cs="仿宋"/>
          <w:b w:val="0"/>
          <w:bCs w:val="0"/>
          <w:color w:val="auto"/>
          <w:sz w:val="24"/>
          <w:szCs w:val="24"/>
          <w:highlight w:val="none"/>
        </w:rPr>
        <w:t>文件是否已按照</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文件的要求签字、签章和加盖单位公章，实质性条款是否满足</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文件要求，</w:t>
      </w:r>
      <w:r>
        <w:rPr>
          <w:rFonts w:hint="eastAsia" w:ascii="仿宋" w:hAnsi="仿宋" w:eastAsia="仿宋" w:cs="仿宋"/>
          <w:b w:val="0"/>
          <w:bCs w:val="0"/>
          <w:color w:val="auto"/>
          <w:sz w:val="24"/>
          <w:szCs w:val="24"/>
          <w:highlight w:val="none"/>
          <w:lang w:eastAsia="zh-CN"/>
        </w:rPr>
        <w:t>谈判响应</w:t>
      </w:r>
      <w:r>
        <w:rPr>
          <w:rFonts w:hint="eastAsia" w:ascii="仿宋" w:hAnsi="仿宋" w:eastAsia="仿宋" w:cs="仿宋"/>
          <w:b w:val="0"/>
          <w:bCs w:val="0"/>
          <w:color w:val="auto"/>
          <w:sz w:val="24"/>
          <w:szCs w:val="24"/>
          <w:highlight w:val="none"/>
        </w:rPr>
        <w:t>文件中所附资格证明等资料是否齐全、有效且是否满足</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文件要求。</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4、请于规定时</w:t>
      </w:r>
      <w:r>
        <w:rPr>
          <w:rFonts w:hint="eastAsia" w:ascii="仿宋" w:hAnsi="仿宋" w:eastAsia="仿宋" w:cs="仿宋"/>
          <w:b w:val="0"/>
          <w:bCs w:val="0"/>
          <w:color w:val="auto"/>
          <w:sz w:val="24"/>
          <w:szCs w:val="24"/>
          <w:highlight w:val="none"/>
          <w:lang w:eastAsia="zh-CN"/>
        </w:rPr>
        <w:t>间</w:t>
      </w:r>
      <w:r>
        <w:rPr>
          <w:rFonts w:hint="eastAsia" w:ascii="仿宋" w:hAnsi="仿宋" w:eastAsia="仿宋" w:cs="仿宋"/>
          <w:b w:val="0"/>
          <w:bCs w:val="0"/>
          <w:color w:val="auto"/>
          <w:sz w:val="24"/>
          <w:szCs w:val="24"/>
          <w:highlight w:val="none"/>
        </w:rPr>
        <w:t>内按</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文件要求递交保证金（保证金必须足额、必须在</w:t>
      </w:r>
      <w:r>
        <w:rPr>
          <w:rFonts w:hint="eastAsia" w:ascii="仿宋" w:hAnsi="仿宋" w:eastAsia="仿宋" w:cs="仿宋"/>
          <w:b w:val="0"/>
          <w:bCs w:val="0"/>
          <w:color w:val="auto"/>
          <w:sz w:val="24"/>
          <w:szCs w:val="24"/>
          <w:highlight w:val="none"/>
          <w:lang w:eastAsia="zh-CN"/>
        </w:rPr>
        <w:t>谈判响应文件递交截止时间</w:t>
      </w:r>
      <w:r>
        <w:rPr>
          <w:rFonts w:hint="eastAsia" w:ascii="仿宋" w:hAnsi="仿宋" w:eastAsia="仿宋" w:cs="仿宋"/>
          <w:b w:val="0"/>
          <w:bCs w:val="0"/>
          <w:color w:val="auto"/>
          <w:sz w:val="24"/>
          <w:szCs w:val="24"/>
          <w:highlight w:val="none"/>
        </w:rPr>
        <w:t>前从您基本账户转出且到账，保证金</w:t>
      </w:r>
      <w:r>
        <w:rPr>
          <w:rFonts w:hint="eastAsia" w:ascii="仿宋" w:hAnsi="仿宋" w:eastAsia="仿宋" w:cs="仿宋"/>
          <w:b w:val="0"/>
          <w:bCs w:val="0"/>
          <w:color w:val="auto"/>
          <w:sz w:val="24"/>
          <w:szCs w:val="24"/>
          <w:highlight w:val="none"/>
          <w:lang w:eastAsia="zh-CN"/>
        </w:rPr>
        <w:t>缴</w:t>
      </w:r>
      <w:r>
        <w:rPr>
          <w:rFonts w:hint="eastAsia" w:ascii="仿宋" w:hAnsi="仿宋" w:eastAsia="仿宋" w:cs="仿宋"/>
          <w:b w:val="0"/>
          <w:bCs w:val="0"/>
          <w:color w:val="auto"/>
          <w:sz w:val="24"/>
          <w:szCs w:val="24"/>
          <w:highlight w:val="none"/>
        </w:rPr>
        <w:t>纳凭证须附在</w:t>
      </w:r>
      <w:r>
        <w:rPr>
          <w:rFonts w:hint="eastAsia" w:ascii="仿宋" w:hAnsi="仿宋" w:eastAsia="仿宋" w:cs="仿宋"/>
          <w:b w:val="0"/>
          <w:bCs w:val="0"/>
          <w:color w:val="auto"/>
          <w:sz w:val="24"/>
          <w:szCs w:val="24"/>
          <w:highlight w:val="none"/>
          <w:lang w:eastAsia="zh-CN"/>
        </w:rPr>
        <w:t>谈判响应</w:t>
      </w:r>
      <w:r>
        <w:rPr>
          <w:rFonts w:hint="eastAsia" w:ascii="仿宋" w:hAnsi="仿宋" w:eastAsia="仿宋" w:cs="仿宋"/>
          <w:b w:val="0"/>
          <w:bCs w:val="0"/>
          <w:color w:val="auto"/>
          <w:sz w:val="24"/>
          <w:szCs w:val="24"/>
          <w:highlight w:val="none"/>
        </w:rPr>
        <w:t>文件中）。</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5、请按照</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文件要求密封</w:t>
      </w:r>
      <w:r>
        <w:rPr>
          <w:rFonts w:hint="eastAsia" w:ascii="仿宋" w:hAnsi="仿宋" w:eastAsia="仿宋" w:cs="仿宋"/>
          <w:b w:val="0"/>
          <w:bCs w:val="0"/>
          <w:color w:val="auto"/>
          <w:sz w:val="24"/>
          <w:szCs w:val="24"/>
          <w:highlight w:val="none"/>
          <w:lang w:eastAsia="zh-CN"/>
        </w:rPr>
        <w:t>谈判响应</w:t>
      </w:r>
      <w:r>
        <w:rPr>
          <w:rFonts w:hint="eastAsia" w:ascii="仿宋" w:hAnsi="仿宋" w:eastAsia="仿宋" w:cs="仿宋"/>
          <w:b w:val="0"/>
          <w:bCs w:val="0"/>
          <w:color w:val="auto"/>
          <w:sz w:val="24"/>
          <w:szCs w:val="24"/>
          <w:highlight w:val="none"/>
        </w:rPr>
        <w:t>文件，并正确标记</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提示：</w:t>
      </w:r>
      <w:r>
        <w:rPr>
          <w:rFonts w:hint="eastAsia" w:ascii="仿宋" w:hAnsi="仿宋" w:eastAsia="仿宋" w:cs="仿宋"/>
          <w:b w:val="0"/>
          <w:bCs w:val="0"/>
          <w:color w:val="auto"/>
          <w:sz w:val="24"/>
          <w:szCs w:val="24"/>
          <w:highlight w:val="none"/>
          <w:lang w:eastAsia="zh-CN"/>
        </w:rPr>
        <w:t>谈判响应</w:t>
      </w:r>
      <w:r>
        <w:rPr>
          <w:rFonts w:hint="eastAsia" w:ascii="仿宋" w:hAnsi="仿宋" w:eastAsia="仿宋" w:cs="仿宋"/>
          <w:b w:val="0"/>
          <w:bCs w:val="0"/>
          <w:color w:val="auto"/>
          <w:sz w:val="24"/>
          <w:szCs w:val="24"/>
          <w:highlight w:val="none"/>
        </w:rPr>
        <w:t>文件若不满足以上条件将有被否决的风险</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Autospacing="0" w:line="360" w:lineRule="auto"/>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二、有关</w:t>
      </w:r>
      <w:r>
        <w:rPr>
          <w:rFonts w:hint="eastAsia" w:ascii="仿宋" w:hAnsi="仿宋" w:eastAsia="仿宋" w:cs="仿宋"/>
          <w:b/>
          <w:bCs/>
          <w:color w:val="auto"/>
          <w:sz w:val="24"/>
          <w:szCs w:val="24"/>
          <w:highlight w:val="none"/>
          <w:lang w:eastAsia="zh-CN"/>
        </w:rPr>
        <w:t>谈判：</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eastAsia="zh-CN"/>
        </w:rPr>
        <w:t>除谈判文件要求递交的文件和资料外，</w:t>
      </w:r>
      <w:r>
        <w:rPr>
          <w:rFonts w:hint="eastAsia" w:ascii="仿宋" w:hAnsi="仿宋" w:eastAsia="仿宋" w:cs="仿宋"/>
          <w:b w:val="0"/>
          <w:bCs w:val="0"/>
          <w:color w:val="auto"/>
          <w:sz w:val="24"/>
          <w:szCs w:val="24"/>
          <w:highlight w:val="none"/>
        </w:rPr>
        <w:t>请随身携带</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文件要求提供的其他备查文件原件。</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2、请务必考虑天气情况、交通情况以及您对</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地址的路线熟悉</w:t>
      </w:r>
      <w:r>
        <w:rPr>
          <w:rFonts w:hint="eastAsia" w:ascii="仿宋" w:hAnsi="仿宋" w:eastAsia="仿宋" w:cs="仿宋"/>
          <w:b w:val="0"/>
          <w:bCs w:val="0"/>
          <w:color w:val="auto"/>
          <w:sz w:val="24"/>
          <w:szCs w:val="24"/>
          <w:highlight w:val="none"/>
        </w:rPr>
        <w:t>等情况于</w:t>
      </w:r>
      <w:r>
        <w:rPr>
          <w:rFonts w:hint="eastAsia" w:ascii="仿宋" w:hAnsi="仿宋" w:eastAsia="仿宋" w:cs="仿宋"/>
          <w:b w:val="0"/>
          <w:bCs w:val="0"/>
          <w:color w:val="auto"/>
          <w:sz w:val="24"/>
          <w:szCs w:val="24"/>
          <w:highlight w:val="none"/>
          <w:lang w:eastAsia="zh-CN"/>
        </w:rPr>
        <w:t>竞争性谈判公告规定的时间和地点</w:t>
      </w:r>
      <w:r>
        <w:rPr>
          <w:rFonts w:hint="eastAsia" w:ascii="仿宋" w:hAnsi="仿宋" w:eastAsia="仿宋" w:cs="仿宋"/>
          <w:b w:val="0"/>
          <w:bCs w:val="0"/>
          <w:color w:val="auto"/>
          <w:sz w:val="24"/>
          <w:szCs w:val="24"/>
          <w:highlight w:val="none"/>
        </w:rPr>
        <w:t>递交</w:t>
      </w:r>
      <w:r>
        <w:rPr>
          <w:rFonts w:hint="eastAsia" w:ascii="仿宋" w:hAnsi="仿宋" w:eastAsia="仿宋" w:cs="仿宋"/>
          <w:b w:val="0"/>
          <w:bCs w:val="0"/>
          <w:color w:val="auto"/>
          <w:sz w:val="24"/>
          <w:szCs w:val="24"/>
          <w:highlight w:val="none"/>
          <w:lang w:eastAsia="zh-CN"/>
        </w:rPr>
        <w:t>谈判响应</w:t>
      </w:r>
      <w:r>
        <w:rPr>
          <w:rFonts w:hint="eastAsia" w:ascii="仿宋" w:hAnsi="仿宋" w:eastAsia="仿宋" w:cs="仿宋"/>
          <w:b w:val="0"/>
          <w:bCs w:val="0"/>
          <w:color w:val="auto"/>
          <w:sz w:val="24"/>
          <w:szCs w:val="24"/>
          <w:highlight w:val="none"/>
        </w:rPr>
        <w:t>文件，</w:t>
      </w:r>
      <w:r>
        <w:rPr>
          <w:rFonts w:hint="eastAsia" w:ascii="仿宋" w:hAnsi="仿宋" w:eastAsia="仿宋" w:cs="仿宋"/>
          <w:b w:val="0"/>
          <w:bCs w:val="0"/>
          <w:color w:val="auto"/>
          <w:sz w:val="24"/>
          <w:szCs w:val="24"/>
          <w:highlight w:val="none"/>
          <w:lang w:eastAsia="zh-CN"/>
        </w:rPr>
        <w:t>谈判响应</w:t>
      </w:r>
      <w:r>
        <w:rPr>
          <w:rFonts w:hint="eastAsia" w:ascii="仿宋" w:hAnsi="仿宋" w:eastAsia="仿宋" w:cs="仿宋"/>
          <w:b w:val="0"/>
          <w:bCs w:val="0"/>
          <w:color w:val="auto"/>
          <w:sz w:val="24"/>
          <w:szCs w:val="24"/>
          <w:highlight w:val="none"/>
        </w:rPr>
        <w:t>文件逾期到达，将被拒绝</w:t>
      </w:r>
      <w:r>
        <w:rPr>
          <w:rFonts w:hint="eastAsia" w:ascii="仿宋" w:hAnsi="仿宋" w:eastAsia="仿宋" w:cs="仿宋"/>
          <w:b w:val="0"/>
          <w:bCs w:val="0"/>
          <w:color w:val="auto"/>
          <w:sz w:val="24"/>
          <w:szCs w:val="24"/>
          <w:highlight w:val="none"/>
        </w:rPr>
        <w:t>接收。</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2"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3、各供应商限派一名代表（法定代表人或授权代表）参加谈判活动，省内人员</w:t>
      </w:r>
      <w:r>
        <w:rPr>
          <w:rFonts w:hint="eastAsia" w:ascii="仿宋" w:hAnsi="仿宋" w:eastAsia="仿宋" w:cs="仿宋"/>
          <w:b/>
          <w:bCs/>
          <w:color w:val="auto"/>
          <w:kern w:val="2"/>
          <w:sz w:val="24"/>
          <w:szCs w:val="24"/>
          <w:highlight w:val="none"/>
          <w:lang w:val="en-US" w:eastAsia="zh-CN" w:bidi="ar-SA"/>
        </w:rPr>
        <w:t>须</w:t>
      </w:r>
      <w:r>
        <w:rPr>
          <w:rFonts w:hint="eastAsia" w:ascii="仿宋" w:hAnsi="仿宋" w:eastAsia="仿宋" w:cs="仿宋"/>
          <w:b/>
          <w:bCs/>
          <w:color w:val="auto"/>
          <w:sz w:val="24"/>
          <w:szCs w:val="24"/>
          <w:highlight w:val="none"/>
          <w:lang w:val="en-US" w:eastAsia="zh-CN"/>
        </w:rPr>
        <w:t>持西安市一码通绿码，省外人员须符合西安市疫情防控的相关规定。</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、请到达文件递交地点后及时到</w:t>
      </w:r>
      <w:r>
        <w:rPr>
          <w:rFonts w:hint="eastAsia" w:ascii="仿宋" w:hAnsi="仿宋" w:eastAsia="仿宋" w:cs="仿宋"/>
          <w:b w:val="0"/>
          <w:bCs w:val="0"/>
          <w:color w:val="auto"/>
          <w:sz w:val="24"/>
          <w:szCs w:val="24"/>
          <w:highlight w:val="none"/>
          <w:lang w:eastAsia="zh-CN"/>
        </w:rPr>
        <w:t>谈判响应</w:t>
      </w:r>
      <w:r>
        <w:rPr>
          <w:rFonts w:hint="eastAsia" w:ascii="仿宋" w:hAnsi="仿宋" w:eastAsia="仿宋" w:cs="仿宋"/>
          <w:b w:val="0"/>
          <w:bCs w:val="0"/>
          <w:color w:val="auto"/>
          <w:sz w:val="24"/>
          <w:szCs w:val="24"/>
          <w:highlight w:val="none"/>
        </w:rPr>
        <w:t>文件接收处签字登记</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Autospacing="0" w:line="360" w:lineRule="auto"/>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、关于弃标的说明</w:t>
      </w:r>
      <w:r>
        <w:rPr>
          <w:rFonts w:hint="eastAsia" w:ascii="仿宋" w:hAnsi="仿宋" w:eastAsia="仿宋" w:cs="仿宋"/>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若因为</w:t>
      </w:r>
      <w:r>
        <w:rPr>
          <w:rFonts w:hint="eastAsia" w:ascii="仿宋" w:hAnsi="仿宋" w:eastAsia="仿宋" w:cs="仿宋"/>
          <w:b w:val="0"/>
          <w:bCs w:val="0"/>
          <w:color w:val="auto"/>
          <w:sz w:val="24"/>
          <w:szCs w:val="24"/>
          <w:highlight w:val="none"/>
          <w:lang w:eastAsia="zh-CN"/>
        </w:rPr>
        <w:t>一</w:t>
      </w:r>
      <w:r>
        <w:rPr>
          <w:rFonts w:hint="eastAsia" w:ascii="仿宋" w:hAnsi="仿宋" w:eastAsia="仿宋" w:cs="仿宋"/>
          <w:b w:val="0"/>
          <w:bCs w:val="0"/>
          <w:color w:val="auto"/>
          <w:sz w:val="24"/>
          <w:szCs w:val="24"/>
          <w:highlight w:val="none"/>
        </w:rPr>
        <w:t>些特殊原因不能参加本次</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活动，请务必以书面形式告知我们，以便我们正常开展后期工作，同时也避免再次打扰您，感谢您的配合。</w:t>
      </w:r>
    </w:p>
    <w:p>
      <w:pPr>
        <w:keepNext w:val="0"/>
        <w:keepLines w:val="0"/>
        <w:pageBreakBefore w:val="0"/>
        <w:widowControl w:val="0"/>
        <w:kinsoku/>
        <w:wordWrap/>
        <w:overflowPunct/>
        <w:topLinePunct w:val="0"/>
        <w:autoSpaceDE/>
        <w:autoSpaceDN/>
        <w:bidi w:val="0"/>
        <w:adjustRightInd/>
        <w:snapToGrid/>
        <w:spacing w:afterAutospacing="0" w:line="360" w:lineRule="auto"/>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四、关于供应商注册登记提醒：</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2" w:firstLineChars="200"/>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2" w:firstLineChars="200"/>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请各</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仔细</w:t>
      </w:r>
      <w:r>
        <w:rPr>
          <w:rFonts w:hint="eastAsia" w:ascii="仿宋" w:hAnsi="仿宋" w:eastAsia="仿宋" w:cs="仿宋"/>
          <w:b/>
          <w:bCs/>
          <w:color w:val="auto"/>
          <w:sz w:val="24"/>
          <w:szCs w:val="24"/>
          <w:highlight w:val="none"/>
          <w:lang w:eastAsia="zh-CN"/>
        </w:rPr>
        <w:t>阅</w:t>
      </w:r>
      <w:r>
        <w:rPr>
          <w:rFonts w:hint="eastAsia" w:ascii="仿宋" w:hAnsi="仿宋" w:eastAsia="仿宋" w:cs="仿宋"/>
          <w:b/>
          <w:bCs/>
          <w:color w:val="auto"/>
          <w:sz w:val="24"/>
          <w:szCs w:val="24"/>
          <w:highlight w:val="none"/>
        </w:rPr>
        <w:t>读上述提示。如需帮助，请您与我们的工作人员联系</w:t>
      </w:r>
      <w:r>
        <w:rPr>
          <w:rFonts w:hint="eastAsia" w:ascii="仿宋" w:hAnsi="仿宋" w:eastAsia="仿宋" w:cs="仿宋"/>
          <w:b/>
          <w:bCs/>
          <w:color w:val="auto"/>
          <w:sz w:val="24"/>
          <w:szCs w:val="24"/>
          <w:highlight w:val="none"/>
          <w:lang w:eastAsia="zh-CN"/>
        </w:rPr>
        <w:t>，我们将非常高兴地为您服务。</w:t>
      </w:r>
    </w:p>
    <w:p>
      <w:pPr>
        <w:keepNext w:val="0"/>
        <w:keepLines w:val="0"/>
        <w:pageBreakBefore w:val="0"/>
        <w:widowControl w:val="0"/>
        <w:tabs>
          <w:tab w:val="left" w:pos="525"/>
        </w:tabs>
        <w:kinsoku/>
        <w:wordWrap/>
        <w:overflowPunct/>
        <w:topLinePunct w:val="0"/>
        <w:autoSpaceDE/>
        <w:autoSpaceDN/>
        <w:bidi w:val="0"/>
        <w:adjustRightInd/>
        <w:snapToGrid/>
        <w:spacing w:afterAutospacing="0" w:line="440" w:lineRule="exact"/>
        <w:ind w:left="-2" w:leftChars="-1"/>
        <w:jc w:val="center"/>
        <w:textAlignment w:val="auto"/>
        <w:outlineLvl w:val="9"/>
        <w:rPr>
          <w:rFonts w:hint="eastAsia" w:ascii="仿宋" w:hAnsi="仿宋" w:eastAsia="仿宋" w:cs="仿宋"/>
          <w:b/>
          <w:bCs/>
          <w:color w:val="auto"/>
          <w:sz w:val="30"/>
          <w:szCs w:val="30"/>
          <w:highlight w:val="none"/>
        </w:rPr>
      </w:pPr>
    </w:p>
    <w:p>
      <w:pPr>
        <w:pStyle w:val="2"/>
        <w:rPr>
          <w:rFonts w:hint="eastAsia" w:ascii="仿宋" w:hAnsi="仿宋" w:eastAsia="仿宋" w:cs="仿宋"/>
          <w:color w:val="auto"/>
          <w:highlight w:val="none"/>
        </w:rPr>
      </w:pPr>
    </w:p>
    <w:p>
      <w:pPr>
        <w:tabs>
          <w:tab w:val="left" w:pos="525"/>
        </w:tabs>
        <w:spacing w:after="100" w:afterAutospacing="1"/>
        <w:ind w:left="-2" w:leftChars="-1"/>
        <w:jc w:val="center"/>
        <w:rPr>
          <w:rFonts w:hint="eastAsia" w:ascii="仿宋" w:hAnsi="仿宋" w:eastAsia="仿宋" w:cs="仿宋"/>
          <w:b/>
          <w:bCs/>
          <w:color w:val="auto"/>
          <w:sz w:val="44"/>
          <w:szCs w:val="44"/>
          <w:highlight w:val="none"/>
          <w:lang w:val="zh-CN"/>
        </w:rPr>
      </w:pPr>
    </w:p>
    <w:p>
      <w:pPr>
        <w:tabs>
          <w:tab w:val="left" w:pos="525"/>
        </w:tabs>
        <w:spacing w:after="100" w:afterAutospacing="1"/>
        <w:ind w:left="-2" w:leftChars="-1"/>
        <w:jc w:val="center"/>
        <w:rPr>
          <w:rFonts w:hint="eastAsia" w:ascii="仿宋" w:hAnsi="仿宋" w:eastAsia="仿宋" w:cs="仿宋"/>
          <w:b/>
          <w:bCs/>
          <w:color w:val="auto"/>
          <w:sz w:val="44"/>
          <w:szCs w:val="44"/>
          <w:highlight w:val="none"/>
          <w:lang w:val="zh-CN"/>
        </w:rPr>
      </w:pPr>
    </w:p>
    <w:p>
      <w:pPr>
        <w:tabs>
          <w:tab w:val="left" w:pos="525"/>
        </w:tabs>
        <w:spacing w:after="100" w:afterAutospacing="1"/>
        <w:ind w:left="-2" w:leftChars="-1"/>
        <w:jc w:val="center"/>
        <w:rPr>
          <w:rFonts w:hint="eastAsia" w:ascii="仿宋" w:hAnsi="仿宋" w:eastAsia="仿宋" w:cs="仿宋"/>
          <w:b/>
          <w:bCs/>
          <w:color w:val="auto"/>
          <w:sz w:val="44"/>
          <w:szCs w:val="44"/>
          <w:highlight w:val="none"/>
          <w:lang w:val="zh-CN"/>
        </w:rPr>
      </w:pPr>
    </w:p>
    <w:p>
      <w:pPr>
        <w:tabs>
          <w:tab w:val="left" w:pos="525"/>
        </w:tabs>
        <w:spacing w:after="100" w:afterAutospacing="1"/>
        <w:ind w:left="-2" w:leftChars="-1"/>
        <w:jc w:val="center"/>
        <w:rPr>
          <w:rFonts w:hint="eastAsia" w:ascii="仿宋" w:hAnsi="仿宋" w:eastAsia="仿宋" w:cs="仿宋"/>
          <w:b/>
          <w:bCs/>
          <w:color w:val="auto"/>
          <w:sz w:val="44"/>
          <w:szCs w:val="44"/>
          <w:highlight w:val="none"/>
          <w:lang w:val="zh-CN"/>
        </w:rPr>
      </w:pPr>
    </w:p>
    <w:p>
      <w:pPr>
        <w:tabs>
          <w:tab w:val="left" w:pos="525"/>
        </w:tabs>
        <w:spacing w:after="100" w:afterAutospacing="1"/>
        <w:ind w:left="-2" w:leftChars="-1"/>
        <w:jc w:val="center"/>
        <w:rPr>
          <w:rFonts w:hint="eastAsia" w:ascii="仿宋" w:hAnsi="仿宋" w:eastAsia="仿宋" w:cs="仿宋"/>
          <w:b/>
          <w:bCs/>
          <w:color w:val="auto"/>
          <w:sz w:val="44"/>
          <w:szCs w:val="44"/>
          <w:highlight w:val="none"/>
          <w:lang w:val="zh-CN"/>
        </w:rPr>
      </w:pPr>
    </w:p>
    <w:p>
      <w:pPr>
        <w:tabs>
          <w:tab w:val="left" w:pos="525"/>
        </w:tabs>
        <w:spacing w:after="100" w:afterAutospacing="1"/>
        <w:ind w:left="-2" w:leftChars="-1"/>
        <w:jc w:val="center"/>
        <w:rPr>
          <w:rFonts w:hint="eastAsia" w:ascii="仿宋" w:hAnsi="仿宋" w:eastAsia="仿宋" w:cs="仿宋"/>
          <w:b/>
          <w:bCs/>
          <w:color w:val="auto"/>
          <w:sz w:val="44"/>
          <w:szCs w:val="44"/>
          <w:highlight w:val="none"/>
          <w:lang w:val="zh-CN"/>
        </w:rPr>
      </w:pPr>
    </w:p>
    <w:p>
      <w:pPr>
        <w:tabs>
          <w:tab w:val="left" w:pos="525"/>
        </w:tabs>
        <w:spacing w:after="100" w:afterAutospacing="1"/>
        <w:ind w:left="-2" w:leftChars="-1"/>
        <w:jc w:val="center"/>
        <w:rPr>
          <w:rFonts w:hint="eastAsia" w:ascii="仿宋" w:hAnsi="仿宋" w:eastAsia="仿宋" w:cs="仿宋"/>
          <w:b/>
          <w:bCs/>
          <w:color w:val="auto"/>
          <w:sz w:val="44"/>
          <w:szCs w:val="44"/>
          <w:highlight w:val="none"/>
          <w:lang w:val="zh-CN"/>
        </w:rPr>
      </w:pPr>
    </w:p>
    <w:p>
      <w:pPr>
        <w:tabs>
          <w:tab w:val="left" w:pos="525"/>
        </w:tabs>
        <w:spacing w:after="100" w:afterAutospacing="1"/>
        <w:ind w:left="-2" w:leftChars="-1"/>
        <w:jc w:val="center"/>
        <w:rPr>
          <w:rFonts w:hint="eastAsia" w:ascii="仿宋" w:hAnsi="仿宋" w:eastAsia="仿宋" w:cs="仿宋"/>
          <w:b/>
          <w:bCs/>
          <w:color w:val="auto"/>
          <w:sz w:val="44"/>
          <w:szCs w:val="44"/>
          <w:highlight w:val="none"/>
          <w:lang w:val="zh-CN"/>
        </w:rPr>
      </w:pPr>
    </w:p>
    <w:p>
      <w:pPr>
        <w:tabs>
          <w:tab w:val="left" w:pos="525"/>
        </w:tabs>
        <w:spacing w:after="100" w:afterAutospacing="1"/>
        <w:ind w:left="-2" w:leftChars="-1"/>
        <w:jc w:val="center"/>
        <w:rPr>
          <w:rFonts w:hint="eastAsia" w:ascii="仿宋" w:hAnsi="仿宋" w:eastAsia="仿宋" w:cs="仿宋"/>
          <w:b/>
          <w:bCs/>
          <w:color w:val="auto"/>
          <w:sz w:val="44"/>
          <w:szCs w:val="44"/>
          <w:highlight w:val="none"/>
          <w:lang w:val="zh-CN"/>
        </w:rPr>
      </w:pPr>
    </w:p>
    <w:p>
      <w:pPr>
        <w:tabs>
          <w:tab w:val="left" w:pos="525"/>
        </w:tabs>
        <w:spacing w:after="100" w:afterAutospacing="1"/>
        <w:ind w:left="-2" w:leftChars="-1"/>
        <w:jc w:val="center"/>
        <w:rPr>
          <w:rFonts w:hint="eastAsia" w:ascii="仿宋" w:hAnsi="仿宋" w:eastAsia="仿宋" w:cs="仿宋"/>
          <w:b/>
          <w:bCs/>
          <w:color w:val="auto"/>
          <w:sz w:val="44"/>
          <w:szCs w:val="44"/>
          <w:highlight w:val="none"/>
          <w:lang w:val="zh-CN"/>
        </w:rPr>
      </w:pPr>
    </w:p>
    <w:p>
      <w:pPr>
        <w:tabs>
          <w:tab w:val="left" w:pos="525"/>
        </w:tabs>
        <w:spacing w:after="100" w:afterAutospacing="1"/>
        <w:ind w:left="-2" w:leftChars="-1"/>
        <w:jc w:val="center"/>
        <w:rPr>
          <w:rFonts w:hint="eastAsia" w:ascii="仿宋" w:hAnsi="仿宋" w:eastAsia="仿宋" w:cs="仿宋"/>
          <w:b/>
          <w:bCs/>
          <w:color w:val="auto"/>
          <w:sz w:val="44"/>
          <w:szCs w:val="44"/>
          <w:highlight w:val="none"/>
          <w:lang w:val="zh-CN"/>
        </w:rPr>
      </w:pPr>
    </w:p>
    <w:p>
      <w:pPr>
        <w:tabs>
          <w:tab w:val="left" w:pos="525"/>
        </w:tabs>
        <w:spacing w:after="100" w:afterAutospacing="1"/>
        <w:ind w:left="-2" w:leftChars="-1"/>
        <w:jc w:val="center"/>
        <w:rPr>
          <w:rFonts w:hint="eastAsia" w:ascii="仿宋" w:hAnsi="仿宋" w:eastAsia="仿宋" w:cs="仿宋"/>
          <w:b/>
          <w:bCs/>
          <w:color w:val="auto"/>
          <w:sz w:val="44"/>
          <w:szCs w:val="44"/>
          <w:highlight w:val="none"/>
          <w:lang w:val="zh-CN"/>
        </w:rPr>
      </w:pPr>
    </w:p>
    <w:p>
      <w:pPr>
        <w:tabs>
          <w:tab w:val="left" w:pos="525"/>
        </w:tabs>
        <w:spacing w:after="100" w:afterAutospacing="1"/>
        <w:ind w:left="-2" w:leftChars="-1"/>
        <w:jc w:val="center"/>
        <w:rPr>
          <w:rFonts w:hint="eastAsia" w:ascii="仿宋" w:hAnsi="仿宋" w:eastAsia="仿宋" w:cs="仿宋"/>
          <w:b/>
          <w:bCs/>
          <w:color w:val="auto"/>
          <w:sz w:val="44"/>
          <w:szCs w:val="44"/>
          <w:highlight w:val="none"/>
          <w:lang w:val="zh-CN"/>
        </w:rPr>
      </w:pPr>
    </w:p>
    <w:p>
      <w:pPr>
        <w:rPr>
          <w:rFonts w:hint="eastAsia" w:ascii="仿宋" w:hAnsi="仿宋" w:eastAsia="仿宋" w:cs="仿宋"/>
          <w:b/>
          <w:bCs/>
          <w:color w:val="auto"/>
          <w:sz w:val="44"/>
          <w:szCs w:val="44"/>
          <w:highlight w:val="none"/>
          <w:lang w:val="zh-CN"/>
        </w:rPr>
      </w:pPr>
      <w:r>
        <w:rPr>
          <w:rFonts w:hint="eastAsia" w:ascii="仿宋" w:hAnsi="仿宋" w:eastAsia="仿宋" w:cs="仿宋"/>
          <w:b/>
          <w:bCs/>
          <w:color w:val="auto"/>
          <w:sz w:val="44"/>
          <w:szCs w:val="44"/>
          <w:highlight w:val="none"/>
          <w:lang w:val="zh-CN"/>
        </w:rPr>
        <w:br w:type="page"/>
      </w:r>
    </w:p>
    <w:p>
      <w:pPr>
        <w:tabs>
          <w:tab w:val="left" w:pos="525"/>
        </w:tabs>
        <w:spacing w:after="100" w:afterAutospacing="1"/>
        <w:ind w:left="-2" w:leftChars="-1"/>
        <w:jc w:val="center"/>
        <w:rPr>
          <w:rFonts w:hint="eastAsia" w:ascii="仿宋" w:hAnsi="仿宋" w:eastAsia="仿宋" w:cs="仿宋"/>
          <w:b/>
          <w:bCs/>
          <w:color w:val="auto"/>
          <w:sz w:val="44"/>
          <w:szCs w:val="44"/>
          <w:highlight w:val="none"/>
          <w:lang w:val="zh-CN"/>
        </w:rPr>
      </w:pPr>
      <w:r>
        <w:rPr>
          <w:rFonts w:hint="eastAsia" w:ascii="仿宋" w:hAnsi="仿宋" w:eastAsia="仿宋" w:cs="仿宋"/>
          <w:b/>
          <w:bCs/>
          <w:color w:val="auto"/>
          <w:sz w:val="44"/>
          <w:szCs w:val="44"/>
          <w:highlight w:val="none"/>
          <w:lang w:val="zh-CN"/>
        </w:rPr>
        <w:t>目  录</w:t>
      </w:r>
      <w:bookmarkEnd w:id="1"/>
    </w:p>
    <w:p>
      <w:pPr>
        <w:rPr>
          <w:rFonts w:hint="eastAsia" w:ascii="仿宋" w:hAnsi="仿宋" w:eastAsia="仿宋" w:cs="仿宋"/>
          <w:color w:val="auto"/>
          <w:highlight w:val="none"/>
          <w:lang w:val="zh-CN"/>
        </w:rPr>
      </w:pPr>
    </w:p>
    <w:p>
      <w:pPr>
        <w:pStyle w:val="18"/>
        <w:keepNext w:val="0"/>
        <w:keepLines w:val="0"/>
        <w:pageBreakBefore w:val="0"/>
        <w:widowControl w:val="0"/>
        <w:tabs>
          <w:tab w:val="right" w:leader="dot" w:pos="8788"/>
        </w:tabs>
        <w:kinsoku/>
        <w:wordWrap/>
        <w:overflowPunct/>
        <w:topLinePunct w:val="0"/>
        <w:autoSpaceDE/>
        <w:autoSpaceDN/>
        <w:bidi w:val="0"/>
        <w:adjustRightInd/>
        <w:snapToGrid/>
        <w:spacing w:line="800" w:lineRule="exac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"1-3"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_Toc5021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第一章 竞争性谈判公告</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_Toc5021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8"/>
        <w:keepNext w:val="0"/>
        <w:keepLines w:val="0"/>
        <w:pageBreakBefore w:val="0"/>
        <w:widowControl w:val="0"/>
        <w:tabs>
          <w:tab w:val="right" w:leader="dot" w:pos="8788"/>
        </w:tabs>
        <w:kinsoku/>
        <w:wordWrap/>
        <w:overflowPunct/>
        <w:topLinePunct w:val="0"/>
        <w:autoSpaceDE/>
        <w:autoSpaceDN/>
        <w:bidi w:val="0"/>
        <w:adjustRightInd/>
        <w:snapToGrid/>
        <w:spacing w:line="800" w:lineRule="exac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_Toc13792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 xml:space="preserve">第二章 </w:t>
      </w:r>
      <w:r>
        <w:rPr>
          <w:rFonts w:hint="eastAsia" w:ascii="仿宋" w:hAnsi="仿宋" w:eastAsia="仿宋" w:cs="仿宋"/>
          <w:bCs/>
          <w:color w:val="auto"/>
          <w:sz w:val="32"/>
          <w:szCs w:val="32"/>
          <w:highlight w:val="none"/>
          <w:lang w:eastAsia="zh-CN"/>
        </w:rPr>
        <w:t>供应商</w:t>
      </w:r>
      <w:r>
        <w:rPr>
          <w:rFonts w:hint="eastAsia" w:ascii="仿宋" w:hAnsi="仿宋" w:eastAsia="仿宋" w:cs="仿宋"/>
          <w:bCs/>
          <w:color w:val="auto"/>
          <w:sz w:val="32"/>
          <w:szCs w:val="32"/>
          <w:highlight w:val="none"/>
        </w:rPr>
        <w:t>须知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_Toc13792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8"/>
        <w:keepNext w:val="0"/>
        <w:keepLines w:val="0"/>
        <w:pageBreakBefore w:val="0"/>
        <w:widowControl w:val="0"/>
        <w:tabs>
          <w:tab w:val="right" w:leader="dot" w:pos="8788"/>
        </w:tabs>
        <w:kinsoku/>
        <w:wordWrap/>
        <w:overflowPunct/>
        <w:topLinePunct w:val="0"/>
        <w:autoSpaceDE/>
        <w:autoSpaceDN/>
        <w:bidi w:val="0"/>
        <w:adjustRightInd/>
        <w:snapToGrid/>
        <w:spacing w:line="800" w:lineRule="exac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_Toc5681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第三章 合同条款及格式</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_Toc5681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8"/>
        <w:keepNext w:val="0"/>
        <w:keepLines w:val="0"/>
        <w:pageBreakBefore w:val="0"/>
        <w:widowControl w:val="0"/>
        <w:tabs>
          <w:tab w:val="right" w:leader="dot" w:pos="8788"/>
        </w:tabs>
        <w:kinsoku/>
        <w:wordWrap/>
        <w:overflowPunct/>
        <w:topLinePunct w:val="0"/>
        <w:autoSpaceDE/>
        <w:autoSpaceDN/>
        <w:bidi w:val="0"/>
        <w:adjustRightInd/>
        <w:snapToGrid/>
        <w:spacing w:line="800" w:lineRule="exac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_Toc23157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lang w:eastAsia="zh-CN"/>
        </w:rPr>
        <w:t>第四章</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竞争性谈判内容及技术要求</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_Toc23157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28</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8"/>
        <w:keepNext w:val="0"/>
        <w:keepLines w:val="0"/>
        <w:pageBreakBefore w:val="0"/>
        <w:widowControl w:val="0"/>
        <w:tabs>
          <w:tab w:val="right" w:leader="dot" w:pos="8788"/>
        </w:tabs>
        <w:kinsoku/>
        <w:wordWrap/>
        <w:overflowPunct/>
        <w:topLinePunct w:val="0"/>
        <w:autoSpaceDE/>
        <w:autoSpaceDN/>
        <w:bidi w:val="0"/>
        <w:adjustRightInd/>
        <w:snapToGrid/>
        <w:spacing w:line="800" w:lineRule="exac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_Toc19442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lang w:eastAsia="zh-CN"/>
        </w:rPr>
        <w:t xml:space="preserve">第五章 </w:t>
      </w:r>
      <w:r>
        <w:rPr>
          <w:rFonts w:hint="eastAsia" w:ascii="仿宋" w:hAnsi="仿宋" w:eastAsia="仿宋" w:cs="仿宋"/>
          <w:bCs/>
          <w:color w:val="auto"/>
          <w:sz w:val="32"/>
          <w:szCs w:val="32"/>
          <w:highlight w:val="none"/>
          <w:lang w:eastAsia="zh-CN"/>
        </w:rPr>
        <w:t>评审方法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_Toc19442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8"/>
        <w:keepNext w:val="0"/>
        <w:keepLines w:val="0"/>
        <w:pageBreakBefore w:val="0"/>
        <w:widowControl w:val="0"/>
        <w:tabs>
          <w:tab w:val="right" w:leader="dot" w:pos="8788"/>
        </w:tabs>
        <w:kinsoku/>
        <w:wordWrap/>
        <w:overflowPunct/>
        <w:topLinePunct w:val="0"/>
        <w:autoSpaceDE/>
        <w:autoSpaceDN/>
        <w:bidi w:val="0"/>
        <w:adjustRightInd/>
        <w:snapToGrid/>
        <w:spacing w:line="800" w:lineRule="exac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_Toc30578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lang w:eastAsia="zh-CN"/>
        </w:rPr>
        <w:t>第六章 竞争性谈判响应文件格式及构成</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_Toc30578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38</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800" w:lineRule="exact"/>
        <w:ind w:right="0" w:rightChars="0" w:firstLine="0" w:firstLineChars="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end"/>
      </w:r>
    </w:p>
    <w:p>
      <w:pPr>
        <w:rPr>
          <w:rFonts w:hint="eastAsia" w:ascii="仿宋" w:hAnsi="仿宋" w:eastAsia="仿宋" w:cs="仿宋"/>
          <w:color w:val="auto"/>
          <w:sz w:val="36"/>
          <w:szCs w:val="36"/>
          <w:highlight w:val="none"/>
        </w:rPr>
      </w:pPr>
    </w:p>
    <w:p>
      <w:pPr>
        <w:tabs>
          <w:tab w:val="left" w:pos="525"/>
        </w:tabs>
        <w:ind w:left="-2" w:leftChars="-1" w:firstLine="1"/>
        <w:jc w:val="center"/>
        <w:rPr>
          <w:rFonts w:hint="eastAsia" w:ascii="仿宋" w:hAnsi="仿宋" w:eastAsia="仿宋" w:cs="仿宋"/>
          <w:b/>
          <w:bCs/>
          <w:color w:val="auto"/>
          <w:sz w:val="30"/>
          <w:szCs w:val="30"/>
          <w:highlight w:val="none"/>
        </w:rPr>
      </w:pPr>
    </w:p>
    <w:p>
      <w:pPr>
        <w:spacing w:line="360" w:lineRule="auto"/>
        <w:ind w:right="240"/>
        <w:jc w:val="center"/>
        <w:rPr>
          <w:rFonts w:hint="eastAsia" w:ascii="仿宋" w:hAnsi="仿宋" w:eastAsia="仿宋" w:cs="仿宋"/>
          <w:color w:val="auto"/>
          <w:sz w:val="24"/>
          <w:szCs w:val="24"/>
          <w:highlight w:val="none"/>
        </w:rPr>
      </w:pPr>
      <w:bookmarkStart w:id="2" w:name="_Toc389836551"/>
      <w:bookmarkStart w:id="3" w:name="_Toc393284379"/>
      <w:bookmarkStart w:id="4" w:name="_Toc393284672"/>
    </w:p>
    <w:p>
      <w:pPr>
        <w:spacing w:line="360" w:lineRule="auto"/>
        <w:jc w:val="center"/>
        <w:rPr>
          <w:rFonts w:hint="eastAsia" w:ascii="仿宋" w:hAnsi="仿宋" w:eastAsia="仿宋" w:cs="仿宋"/>
          <w:b/>
          <w:color w:val="auto"/>
          <w:sz w:val="36"/>
          <w:highlight w:val="none"/>
        </w:rPr>
      </w:pPr>
    </w:p>
    <w:p>
      <w:pPr>
        <w:spacing w:line="360" w:lineRule="auto"/>
        <w:rPr>
          <w:rFonts w:hint="eastAsia" w:ascii="仿宋" w:hAnsi="仿宋" w:eastAsia="仿宋" w:cs="仿宋"/>
          <w:b/>
          <w:color w:val="auto"/>
          <w:sz w:val="36"/>
          <w:highlight w:val="none"/>
        </w:rPr>
      </w:pPr>
    </w:p>
    <w:p>
      <w:pPr>
        <w:keepLines/>
        <w:pageBreakBefore/>
        <w:tabs>
          <w:tab w:val="left" w:pos="525"/>
        </w:tabs>
        <w:spacing w:after="120" w:afterLines="50" w:line="360" w:lineRule="auto"/>
        <w:jc w:val="center"/>
        <w:outlineLvl w:val="0"/>
        <w:rPr>
          <w:rFonts w:hint="eastAsia" w:ascii="仿宋" w:hAnsi="仿宋" w:eastAsia="仿宋" w:cs="仿宋"/>
          <w:b/>
          <w:color w:val="auto"/>
          <w:sz w:val="36"/>
          <w:szCs w:val="36"/>
          <w:highlight w:val="none"/>
        </w:rPr>
        <w:sectPr>
          <w:headerReference r:id="rId3" w:type="default"/>
          <w:footerReference r:id="rId4" w:type="default"/>
          <w:pgSz w:w="11907" w:h="16840"/>
          <w:pgMar w:top="1418" w:right="1418" w:bottom="1418" w:left="1417" w:header="1134" w:footer="851" w:gutter="0"/>
          <w:pgNumType w:start="1"/>
          <w:cols w:space="720" w:num="1"/>
          <w:docGrid w:linePitch="286" w:charSpace="0"/>
        </w:sectPr>
      </w:pPr>
      <w:bookmarkStart w:id="5" w:name="_Toc425781306"/>
      <w:bookmarkStart w:id="6" w:name="_Toc409690875"/>
      <w:bookmarkStart w:id="7" w:name="_Toc405358614"/>
    </w:p>
    <w:p>
      <w:pPr>
        <w:pStyle w:val="3"/>
        <w:keepNext/>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0"/>
        <w:rPr>
          <w:rFonts w:hint="eastAsia" w:ascii="仿宋" w:hAnsi="仿宋" w:eastAsia="仿宋" w:cs="仿宋"/>
          <w:b/>
          <w:bCs/>
          <w:color w:val="auto"/>
          <w:sz w:val="36"/>
          <w:szCs w:val="36"/>
          <w:highlight w:val="none"/>
        </w:rPr>
      </w:pPr>
      <w:bookmarkStart w:id="8" w:name="_Toc5021"/>
      <w:r>
        <w:rPr>
          <w:rFonts w:hint="eastAsia" w:ascii="仿宋" w:hAnsi="仿宋" w:eastAsia="仿宋" w:cs="仿宋"/>
          <w:b/>
          <w:bCs/>
          <w:color w:val="auto"/>
          <w:sz w:val="36"/>
          <w:szCs w:val="36"/>
          <w:highlight w:val="none"/>
        </w:rPr>
        <w:t>第一章 竞争性谈判公告</w:t>
      </w:r>
      <w:bookmarkEnd w:id="5"/>
      <w:bookmarkEnd w:id="8"/>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auto"/>
          <w:spacing w:val="0"/>
          <w:sz w:val="24"/>
          <w:szCs w:val="24"/>
          <w:highlight w:val="none"/>
          <w:shd w:val="clear" w:color="auto" w:fill="FFFFFF"/>
        </w:rPr>
      </w:pPr>
      <w:bookmarkStart w:id="9" w:name="_Toc425781307"/>
      <w:r>
        <w:rPr>
          <w:rFonts w:hint="eastAsia" w:ascii="仿宋" w:hAnsi="仿宋" w:eastAsia="仿宋" w:cs="仿宋"/>
          <w:b/>
          <w:bCs w:val="0"/>
          <w:i w:val="0"/>
          <w:caps w:val="0"/>
          <w:color w:val="auto"/>
          <w:spacing w:val="0"/>
          <w:sz w:val="24"/>
          <w:szCs w:val="24"/>
          <w:highlight w:val="none"/>
          <w:shd w:val="clear" w:color="auto" w:fill="FFFFFF"/>
        </w:rPr>
        <w:t>项目概况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outlineLvl w:val="9"/>
        <w:rPr>
          <w:rFonts w:hint="eastAsia" w:ascii="仿宋" w:hAnsi="仿宋" w:eastAsia="仿宋" w:cs="仿宋"/>
          <w:b/>
          <w:i w:val="0"/>
          <w:caps w:val="0"/>
          <w:color w:val="auto"/>
          <w:spacing w:val="0"/>
          <w:sz w:val="24"/>
          <w:szCs w:val="24"/>
          <w:highlight w:val="none"/>
          <w:shd w:val="clear" w:color="auto" w:fill="FFFFFF"/>
        </w:rPr>
      </w:pPr>
      <w:r>
        <w:rPr>
          <w:rFonts w:hint="eastAsia" w:ascii="仿宋" w:hAnsi="仿宋" w:eastAsia="仿宋" w:cs="仿宋"/>
          <w:b/>
          <w:i w:val="0"/>
          <w:caps w:val="0"/>
          <w:color w:val="auto"/>
          <w:spacing w:val="0"/>
          <w:sz w:val="24"/>
          <w:szCs w:val="24"/>
          <w:highlight w:val="none"/>
          <w:shd w:val="clear" w:color="auto" w:fill="FFFFFF"/>
        </w:rPr>
        <w:t> </w:t>
      </w:r>
      <w:r>
        <w:rPr>
          <w:rFonts w:hint="eastAsia" w:ascii="仿宋" w:hAnsi="仿宋" w:eastAsia="仿宋" w:cs="仿宋"/>
          <w:b/>
          <w:i w:val="0"/>
          <w:caps w:val="0"/>
          <w:color w:val="auto"/>
          <w:spacing w:val="0"/>
          <w:sz w:val="24"/>
          <w:szCs w:val="24"/>
          <w:highlight w:val="none"/>
          <w:shd w:val="clear" w:color="auto" w:fill="FFFFFF"/>
          <w:lang w:eastAsia="zh-CN"/>
        </w:rPr>
        <w:t>西安市莲湖区市民中心视讯采集数据中心升级项目</w:t>
      </w:r>
      <w:r>
        <w:rPr>
          <w:rFonts w:hint="eastAsia" w:ascii="仿宋" w:hAnsi="仿宋" w:eastAsia="仿宋" w:cs="仿宋"/>
          <w:b w:val="0"/>
          <w:bCs/>
          <w:i w:val="0"/>
          <w:caps w:val="0"/>
          <w:color w:val="auto"/>
          <w:spacing w:val="0"/>
          <w:sz w:val="24"/>
          <w:szCs w:val="24"/>
          <w:highlight w:val="none"/>
          <w:shd w:val="clear" w:color="auto" w:fill="FFFFFF"/>
        </w:rPr>
        <w:t>的潜在供应商应在陕西省西安市高新区科技五路8号数字大厦11层获</w:t>
      </w:r>
      <w:r>
        <w:rPr>
          <w:rFonts w:hint="eastAsia" w:ascii="仿宋" w:hAnsi="仿宋" w:eastAsia="仿宋" w:cs="仿宋"/>
          <w:b w:val="0"/>
          <w:bCs/>
          <w:i w:val="0"/>
          <w:caps w:val="0"/>
          <w:color w:val="auto"/>
          <w:spacing w:val="0"/>
          <w:sz w:val="24"/>
          <w:szCs w:val="24"/>
          <w:highlight w:val="none"/>
          <w:shd w:val="clear" w:color="auto" w:fill="FFFFFF"/>
        </w:rPr>
        <w:t>取采购文件，并于 2022年0</w:t>
      </w:r>
      <w:r>
        <w:rPr>
          <w:rFonts w:hint="eastAsia" w:ascii="仿宋" w:hAnsi="仿宋" w:eastAsia="仿宋" w:cs="仿宋"/>
          <w:b w:val="0"/>
          <w:bCs/>
          <w:i w:val="0"/>
          <w:caps w:val="0"/>
          <w:color w:val="auto"/>
          <w:spacing w:val="0"/>
          <w:sz w:val="24"/>
          <w:szCs w:val="24"/>
          <w:highlight w:val="none"/>
          <w:shd w:val="clear" w:color="auto" w:fill="FFFFFF"/>
          <w:lang w:val="en-US" w:eastAsia="zh-CN"/>
        </w:rPr>
        <w:t>8</w:t>
      </w:r>
      <w:r>
        <w:rPr>
          <w:rFonts w:hint="eastAsia" w:ascii="仿宋" w:hAnsi="仿宋" w:eastAsia="仿宋" w:cs="仿宋"/>
          <w:b w:val="0"/>
          <w:bCs/>
          <w:i w:val="0"/>
          <w:caps w:val="0"/>
          <w:color w:val="auto"/>
          <w:spacing w:val="0"/>
          <w:sz w:val="24"/>
          <w:szCs w:val="24"/>
          <w:highlight w:val="none"/>
          <w:shd w:val="clear" w:color="auto" w:fill="FFFFFF"/>
        </w:rPr>
        <w:t>月</w:t>
      </w:r>
      <w:r>
        <w:rPr>
          <w:rFonts w:hint="eastAsia" w:ascii="仿宋" w:hAnsi="仿宋" w:eastAsia="仿宋" w:cs="仿宋"/>
          <w:b w:val="0"/>
          <w:bCs/>
          <w:i w:val="0"/>
          <w:caps w:val="0"/>
          <w:color w:val="auto"/>
          <w:spacing w:val="0"/>
          <w:sz w:val="24"/>
          <w:szCs w:val="24"/>
          <w:highlight w:val="none"/>
          <w:shd w:val="clear" w:color="auto" w:fill="FFFFFF"/>
          <w:lang w:val="en-US" w:eastAsia="zh-CN"/>
        </w:rPr>
        <w:t>22</w:t>
      </w:r>
      <w:r>
        <w:rPr>
          <w:rFonts w:hint="eastAsia" w:ascii="仿宋" w:hAnsi="仿宋" w:eastAsia="仿宋" w:cs="仿宋"/>
          <w:b w:val="0"/>
          <w:bCs/>
          <w:i w:val="0"/>
          <w:caps w:val="0"/>
          <w:color w:val="auto"/>
          <w:spacing w:val="0"/>
          <w:sz w:val="24"/>
          <w:szCs w:val="24"/>
          <w:highlight w:val="none"/>
          <w:shd w:val="clear" w:color="auto" w:fill="FFFFFF"/>
        </w:rPr>
        <w:t>日</w:t>
      </w:r>
      <w:r>
        <w:rPr>
          <w:rFonts w:hint="eastAsia" w:ascii="仿宋" w:hAnsi="仿宋" w:eastAsia="仿宋" w:cs="仿宋"/>
          <w:b w:val="0"/>
          <w:bCs/>
          <w:i w:val="0"/>
          <w:caps w:val="0"/>
          <w:color w:val="auto"/>
          <w:spacing w:val="0"/>
          <w:sz w:val="24"/>
          <w:szCs w:val="24"/>
          <w:highlight w:val="none"/>
          <w:shd w:val="clear" w:color="auto" w:fill="FFFFFF"/>
          <w:lang w:val="en-US" w:eastAsia="zh-CN"/>
        </w:rPr>
        <w:t>14</w:t>
      </w:r>
      <w:r>
        <w:rPr>
          <w:rFonts w:hint="eastAsia" w:ascii="仿宋" w:hAnsi="仿宋" w:eastAsia="仿宋" w:cs="仿宋"/>
          <w:b w:val="0"/>
          <w:bCs/>
          <w:i w:val="0"/>
          <w:caps w:val="0"/>
          <w:color w:val="auto"/>
          <w:spacing w:val="0"/>
          <w:sz w:val="24"/>
          <w:szCs w:val="24"/>
          <w:highlight w:val="none"/>
          <w:shd w:val="clear" w:color="auto" w:fill="FFFFFF"/>
        </w:rPr>
        <w:t>时</w:t>
      </w:r>
      <w:r>
        <w:rPr>
          <w:rFonts w:hint="eastAsia" w:ascii="仿宋" w:hAnsi="仿宋" w:eastAsia="仿宋" w:cs="仿宋"/>
          <w:b w:val="0"/>
          <w:bCs/>
          <w:i w:val="0"/>
          <w:caps w:val="0"/>
          <w:color w:val="auto"/>
          <w:spacing w:val="0"/>
          <w:sz w:val="24"/>
          <w:szCs w:val="24"/>
          <w:highlight w:val="none"/>
          <w:shd w:val="clear" w:color="auto" w:fill="FFFFFF"/>
          <w:lang w:val="en-US" w:eastAsia="zh-CN"/>
        </w:rPr>
        <w:t>3</w:t>
      </w:r>
      <w:r>
        <w:rPr>
          <w:rFonts w:hint="eastAsia" w:ascii="仿宋" w:hAnsi="仿宋" w:eastAsia="仿宋" w:cs="仿宋"/>
          <w:b w:val="0"/>
          <w:bCs/>
          <w:i w:val="0"/>
          <w:caps w:val="0"/>
          <w:color w:val="auto"/>
          <w:spacing w:val="0"/>
          <w:sz w:val="24"/>
          <w:szCs w:val="24"/>
          <w:highlight w:val="none"/>
          <w:shd w:val="clear" w:color="auto" w:fill="FFFFFF"/>
        </w:rPr>
        <w:t>0分（北京时间）前提交</w:t>
      </w:r>
      <w:r>
        <w:rPr>
          <w:rFonts w:hint="eastAsia" w:ascii="仿宋" w:hAnsi="仿宋" w:eastAsia="仿宋" w:cs="仿宋"/>
          <w:b w:val="0"/>
          <w:bCs/>
          <w:i w:val="0"/>
          <w:caps w:val="0"/>
          <w:color w:val="auto"/>
          <w:spacing w:val="0"/>
          <w:sz w:val="24"/>
          <w:szCs w:val="24"/>
          <w:highlight w:val="none"/>
          <w:shd w:val="clear" w:color="auto" w:fill="FFFFFF"/>
          <w:lang w:val="en-US" w:eastAsia="zh-CN"/>
        </w:rPr>
        <w:t>响应</w:t>
      </w:r>
      <w:r>
        <w:rPr>
          <w:rFonts w:hint="eastAsia" w:ascii="仿宋" w:hAnsi="仿宋" w:eastAsia="仿宋" w:cs="仿宋"/>
          <w:b w:val="0"/>
          <w:bCs/>
          <w:i w:val="0"/>
          <w:caps w:val="0"/>
          <w:color w:val="auto"/>
          <w:spacing w:val="0"/>
          <w:sz w:val="24"/>
          <w:szCs w:val="24"/>
          <w:highlight w:val="none"/>
          <w:shd w:val="clear" w:color="auto" w:fill="FFFFFF"/>
        </w:rPr>
        <w:t>文件。</w:t>
      </w:r>
    </w:p>
    <w:p>
      <w:pPr>
        <w:pStyle w:val="2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4"/>
          <w:szCs w:val="24"/>
          <w:highlight w:val="none"/>
          <w:shd w:val="clear" w:color="auto" w:fill="FFFFFF"/>
        </w:rPr>
      </w:pPr>
      <w:r>
        <w:rPr>
          <w:rFonts w:hint="eastAsia" w:ascii="仿宋" w:hAnsi="仿宋" w:eastAsia="仿宋" w:cs="仿宋"/>
          <w:b/>
          <w:i w:val="0"/>
          <w:caps w:val="0"/>
          <w:color w:val="auto"/>
          <w:spacing w:val="0"/>
          <w:sz w:val="24"/>
          <w:szCs w:val="24"/>
          <w:highlight w:val="none"/>
          <w:shd w:val="clear" w:color="auto" w:fill="FFFFFF"/>
        </w:rPr>
        <w:t>项目基本情况</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项目编号：HXGJXM</w:t>
      </w:r>
      <w:r>
        <w:rPr>
          <w:rFonts w:hint="eastAsia" w:ascii="仿宋" w:hAnsi="仿宋" w:eastAsia="仿宋" w:cs="仿宋"/>
          <w:b w:val="0"/>
          <w:bCs/>
          <w:i w:val="0"/>
          <w:caps w:val="0"/>
          <w:color w:val="auto"/>
          <w:spacing w:val="0"/>
          <w:sz w:val="24"/>
          <w:szCs w:val="24"/>
          <w:highlight w:val="none"/>
          <w:shd w:val="clear" w:color="auto" w:fill="FFFFFF"/>
          <w:lang w:eastAsia="zh-CN"/>
        </w:rPr>
        <w:t>2022</w:t>
      </w:r>
      <w:r>
        <w:rPr>
          <w:rFonts w:hint="eastAsia" w:ascii="仿宋" w:hAnsi="仿宋" w:eastAsia="仿宋" w:cs="仿宋"/>
          <w:b w:val="0"/>
          <w:bCs/>
          <w:i w:val="0"/>
          <w:caps w:val="0"/>
          <w:color w:val="auto"/>
          <w:spacing w:val="0"/>
          <w:sz w:val="24"/>
          <w:szCs w:val="24"/>
          <w:highlight w:val="none"/>
          <w:shd w:val="clear" w:color="auto" w:fill="FFFFFF"/>
        </w:rPr>
        <w:t>-ZC-</w:t>
      </w:r>
      <w:r>
        <w:rPr>
          <w:rFonts w:hint="eastAsia" w:ascii="仿宋" w:hAnsi="仿宋" w:eastAsia="仿宋" w:cs="仿宋"/>
          <w:b w:val="0"/>
          <w:bCs/>
          <w:i w:val="0"/>
          <w:caps w:val="0"/>
          <w:color w:val="auto"/>
          <w:spacing w:val="0"/>
          <w:sz w:val="24"/>
          <w:szCs w:val="24"/>
          <w:highlight w:val="none"/>
          <w:shd w:val="clear" w:color="auto" w:fill="FFFFFF"/>
          <w:lang w:val="en-US" w:eastAsia="zh-CN"/>
        </w:rPr>
        <w:t>JT1006</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项目名称：</w:t>
      </w:r>
      <w:r>
        <w:rPr>
          <w:rFonts w:hint="eastAsia" w:ascii="仿宋" w:hAnsi="仿宋" w:eastAsia="仿宋" w:cs="仿宋"/>
          <w:b w:val="0"/>
          <w:bCs/>
          <w:i w:val="0"/>
          <w:caps w:val="0"/>
          <w:color w:val="auto"/>
          <w:spacing w:val="0"/>
          <w:sz w:val="24"/>
          <w:szCs w:val="24"/>
          <w:highlight w:val="none"/>
          <w:shd w:val="clear" w:color="auto" w:fill="FFFFFF"/>
          <w:lang w:eastAsia="zh-CN"/>
        </w:rPr>
        <w:t>西安市莲湖区市民中心视讯采集数据中心升级项目</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rPr>
        <w:t>采购方式：</w:t>
      </w:r>
      <w:r>
        <w:rPr>
          <w:rFonts w:hint="eastAsia" w:ascii="仿宋" w:hAnsi="仿宋" w:eastAsia="仿宋" w:cs="仿宋"/>
          <w:b w:val="0"/>
          <w:bCs/>
          <w:i w:val="0"/>
          <w:caps w:val="0"/>
          <w:color w:val="auto"/>
          <w:spacing w:val="0"/>
          <w:sz w:val="24"/>
          <w:szCs w:val="24"/>
          <w:highlight w:val="none"/>
          <w:shd w:val="clear" w:color="auto" w:fill="FFFFFF"/>
          <w:lang w:val="en-US" w:eastAsia="zh-CN"/>
        </w:rPr>
        <w:t>竞争性谈判</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预算金额：</w:t>
      </w:r>
      <w:r>
        <w:rPr>
          <w:rFonts w:hint="eastAsia" w:ascii="仿宋" w:hAnsi="仿宋" w:eastAsia="仿宋" w:cs="仿宋"/>
          <w:b w:val="0"/>
          <w:bCs/>
          <w:i w:val="0"/>
          <w:caps w:val="0"/>
          <w:color w:val="auto"/>
          <w:spacing w:val="0"/>
          <w:sz w:val="24"/>
          <w:szCs w:val="24"/>
          <w:highlight w:val="none"/>
          <w:shd w:val="clear" w:color="auto" w:fill="FFFFFF"/>
          <w:lang w:val="en-US" w:eastAsia="zh-CN"/>
        </w:rPr>
        <w:t>30</w:t>
      </w:r>
      <w:r>
        <w:rPr>
          <w:rFonts w:hint="eastAsia" w:ascii="仿宋" w:hAnsi="仿宋" w:eastAsia="仿宋" w:cs="仿宋"/>
          <w:b w:val="0"/>
          <w:bCs/>
          <w:i w:val="0"/>
          <w:caps w:val="0"/>
          <w:color w:val="auto"/>
          <w:spacing w:val="0"/>
          <w:sz w:val="24"/>
          <w:szCs w:val="24"/>
          <w:highlight w:val="none"/>
          <w:shd w:val="clear" w:color="auto" w:fill="FFFFFF"/>
        </w:rPr>
        <w:t>0,000.00元</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采购需求：</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i w:val="0"/>
          <w:caps w:val="0"/>
          <w:color w:val="auto"/>
          <w:spacing w:val="0"/>
          <w:sz w:val="24"/>
          <w:szCs w:val="24"/>
          <w:highlight w:val="none"/>
          <w:shd w:val="clear" w:color="auto" w:fill="FFFFFF"/>
        </w:rPr>
        <w:t>合同包1(</w:t>
      </w:r>
      <w:r>
        <w:rPr>
          <w:rFonts w:hint="eastAsia" w:ascii="仿宋" w:hAnsi="仿宋" w:eastAsia="仿宋" w:cs="仿宋"/>
          <w:b w:val="0"/>
          <w:bCs/>
          <w:i w:val="0"/>
          <w:caps w:val="0"/>
          <w:color w:val="auto"/>
          <w:spacing w:val="0"/>
          <w:sz w:val="24"/>
          <w:szCs w:val="24"/>
          <w:highlight w:val="none"/>
          <w:shd w:val="clear" w:color="auto" w:fill="FFFFFF"/>
          <w:lang w:eastAsia="zh-CN"/>
        </w:rPr>
        <w:t>西安市莲湖区市民中心视讯采集数据中心升级项目</w:t>
      </w:r>
      <w:r>
        <w:rPr>
          <w:rFonts w:hint="eastAsia" w:ascii="仿宋" w:hAnsi="仿宋" w:eastAsia="仿宋" w:cs="仿宋"/>
          <w:b w:val="0"/>
          <w:bCs/>
          <w:i w:val="0"/>
          <w:caps w:val="0"/>
          <w:color w:val="auto"/>
          <w:spacing w:val="0"/>
          <w:sz w:val="24"/>
          <w:szCs w:val="24"/>
          <w:highlight w:val="none"/>
          <w:shd w:val="clear" w:color="auto" w:fill="FFFFFF"/>
        </w:rPr>
        <w:t>)</w:t>
      </w:r>
      <w:r>
        <w:rPr>
          <w:rFonts w:hint="eastAsia" w:ascii="仿宋" w:hAnsi="仿宋" w:eastAsia="仿宋" w:cs="仿宋"/>
          <w:b w:val="0"/>
          <w:bCs/>
          <w:i w:val="0"/>
          <w:caps w:val="0"/>
          <w:color w:val="auto"/>
          <w:spacing w:val="0"/>
          <w:sz w:val="24"/>
          <w:szCs w:val="24"/>
          <w:highlight w:val="none"/>
          <w:shd w:val="clear" w:color="auto" w:fill="FFFFFF"/>
          <w:lang w:eastAsia="zh-CN"/>
        </w:rPr>
        <w:t>：</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合同包预算金额：</w:t>
      </w:r>
      <w:r>
        <w:rPr>
          <w:rFonts w:hint="eastAsia" w:ascii="仿宋" w:hAnsi="仿宋" w:eastAsia="仿宋" w:cs="仿宋"/>
          <w:b w:val="0"/>
          <w:bCs/>
          <w:i w:val="0"/>
          <w:caps w:val="0"/>
          <w:color w:val="auto"/>
          <w:spacing w:val="0"/>
          <w:sz w:val="24"/>
          <w:szCs w:val="24"/>
          <w:highlight w:val="none"/>
          <w:shd w:val="clear" w:color="auto" w:fill="FFFFFF"/>
          <w:lang w:val="en-US" w:eastAsia="zh-CN"/>
        </w:rPr>
        <w:t>30</w:t>
      </w:r>
      <w:r>
        <w:rPr>
          <w:rFonts w:hint="eastAsia" w:ascii="仿宋" w:hAnsi="仿宋" w:eastAsia="仿宋" w:cs="仿宋"/>
          <w:b w:val="0"/>
          <w:bCs/>
          <w:i w:val="0"/>
          <w:caps w:val="0"/>
          <w:color w:val="auto"/>
          <w:spacing w:val="0"/>
          <w:sz w:val="24"/>
          <w:szCs w:val="24"/>
          <w:highlight w:val="none"/>
          <w:shd w:val="clear" w:color="auto" w:fill="FFFFFF"/>
        </w:rPr>
        <w:t>0,000.00元</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合同包最高限价：</w:t>
      </w:r>
      <w:r>
        <w:rPr>
          <w:rFonts w:hint="eastAsia" w:ascii="仿宋" w:hAnsi="仿宋" w:eastAsia="仿宋" w:cs="仿宋"/>
          <w:b w:val="0"/>
          <w:bCs/>
          <w:i w:val="0"/>
          <w:caps w:val="0"/>
          <w:color w:val="auto"/>
          <w:spacing w:val="0"/>
          <w:sz w:val="24"/>
          <w:szCs w:val="24"/>
          <w:highlight w:val="none"/>
          <w:shd w:val="clear" w:color="auto" w:fill="FFFFFF"/>
          <w:lang w:val="en-US" w:eastAsia="zh-CN"/>
        </w:rPr>
        <w:t>30</w:t>
      </w:r>
      <w:r>
        <w:rPr>
          <w:rFonts w:hint="eastAsia" w:ascii="仿宋" w:hAnsi="仿宋" w:eastAsia="仿宋" w:cs="仿宋"/>
          <w:b w:val="0"/>
          <w:bCs/>
          <w:i w:val="0"/>
          <w:caps w:val="0"/>
          <w:color w:val="auto"/>
          <w:spacing w:val="0"/>
          <w:sz w:val="24"/>
          <w:szCs w:val="24"/>
          <w:highlight w:val="none"/>
          <w:shd w:val="clear" w:color="auto" w:fill="FFFFFF"/>
        </w:rPr>
        <w:t>0,000.00元</w:t>
      </w:r>
    </w:p>
    <w:tbl>
      <w:tblPr>
        <w:tblStyle w:val="27"/>
        <w:tblW w:w="9949"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59"/>
        <w:gridCol w:w="1273"/>
        <w:gridCol w:w="1128"/>
        <w:gridCol w:w="1350"/>
        <w:gridCol w:w="1680"/>
        <w:gridCol w:w="1878"/>
        <w:gridCol w:w="1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highlight w:val="none"/>
                <w:shd w:val="clear" w:color="auto" w:fill="FFFFFF"/>
              </w:rPr>
            </w:pPr>
            <w:r>
              <w:rPr>
                <w:rFonts w:hint="eastAsia" w:ascii="仿宋" w:hAnsi="仿宋" w:eastAsia="仿宋" w:cs="仿宋"/>
                <w:b w:val="0"/>
                <w:bCs/>
                <w:i w:val="0"/>
                <w:caps w:val="0"/>
                <w:color w:val="auto"/>
                <w:spacing w:val="0"/>
                <w:sz w:val="21"/>
                <w:szCs w:val="21"/>
                <w:highlight w:val="none"/>
                <w:shd w:val="clear" w:color="auto" w:fill="FFFFFF"/>
                <w:lang w:val="en-US" w:eastAsia="zh-CN"/>
              </w:rPr>
              <w:t>品目号</w:t>
            </w:r>
          </w:p>
        </w:tc>
        <w:tc>
          <w:tcPr>
            <w:tcW w:w="12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highlight w:val="none"/>
                <w:shd w:val="clear" w:color="auto" w:fill="FFFFFF"/>
              </w:rPr>
            </w:pPr>
            <w:r>
              <w:rPr>
                <w:rFonts w:hint="eastAsia" w:ascii="仿宋" w:hAnsi="仿宋" w:eastAsia="仿宋" w:cs="仿宋"/>
                <w:b w:val="0"/>
                <w:bCs/>
                <w:i w:val="0"/>
                <w:caps w:val="0"/>
                <w:color w:val="auto"/>
                <w:spacing w:val="0"/>
                <w:sz w:val="21"/>
                <w:szCs w:val="21"/>
                <w:highlight w:val="none"/>
                <w:shd w:val="clear" w:color="auto" w:fill="FFFFFF"/>
                <w:lang w:val="en-US" w:eastAsia="zh-CN"/>
              </w:rPr>
              <w:t>品目名称</w:t>
            </w:r>
          </w:p>
        </w:tc>
        <w:tc>
          <w:tcPr>
            <w:tcW w:w="11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highlight w:val="none"/>
                <w:shd w:val="clear" w:color="auto" w:fill="FFFFFF"/>
              </w:rPr>
            </w:pPr>
            <w:r>
              <w:rPr>
                <w:rFonts w:hint="eastAsia" w:ascii="仿宋" w:hAnsi="仿宋" w:eastAsia="仿宋" w:cs="仿宋"/>
                <w:b w:val="0"/>
                <w:bCs/>
                <w:i w:val="0"/>
                <w:caps w:val="0"/>
                <w:color w:val="auto"/>
                <w:spacing w:val="0"/>
                <w:sz w:val="21"/>
                <w:szCs w:val="21"/>
                <w:highlight w:val="none"/>
                <w:shd w:val="clear" w:color="auto" w:fill="FFFFFF"/>
                <w:lang w:val="en-US" w:eastAsia="zh-CN"/>
              </w:rPr>
              <w:t>采购标的</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highlight w:val="none"/>
                <w:shd w:val="clear" w:color="auto" w:fill="FFFFFF"/>
              </w:rPr>
            </w:pPr>
            <w:r>
              <w:rPr>
                <w:rFonts w:hint="eastAsia" w:ascii="仿宋" w:hAnsi="仿宋" w:eastAsia="仿宋" w:cs="仿宋"/>
                <w:b w:val="0"/>
                <w:bCs/>
                <w:i w:val="0"/>
                <w:caps w:val="0"/>
                <w:color w:val="auto"/>
                <w:spacing w:val="0"/>
                <w:sz w:val="21"/>
                <w:szCs w:val="21"/>
                <w:highlight w:val="none"/>
                <w:shd w:val="clear" w:color="auto" w:fill="FFFFFF"/>
                <w:lang w:val="en-US" w:eastAsia="zh-CN"/>
              </w:rPr>
              <w:t>数量（单位）</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highlight w:val="none"/>
                <w:shd w:val="clear" w:color="auto" w:fill="FFFFFF"/>
              </w:rPr>
            </w:pPr>
            <w:r>
              <w:rPr>
                <w:rFonts w:hint="eastAsia" w:ascii="仿宋" w:hAnsi="仿宋" w:eastAsia="仿宋" w:cs="仿宋"/>
                <w:b w:val="0"/>
                <w:bCs/>
                <w:i w:val="0"/>
                <w:caps w:val="0"/>
                <w:color w:val="auto"/>
                <w:spacing w:val="0"/>
                <w:sz w:val="21"/>
                <w:szCs w:val="21"/>
                <w:highlight w:val="none"/>
                <w:shd w:val="clear" w:color="auto" w:fill="FFFFFF"/>
                <w:lang w:val="en-US" w:eastAsia="zh-CN"/>
              </w:rPr>
              <w:t>技术规格、参数及要求</w:t>
            </w:r>
          </w:p>
        </w:tc>
        <w:tc>
          <w:tcPr>
            <w:tcW w:w="18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highlight w:val="none"/>
                <w:shd w:val="clear" w:color="auto" w:fill="FFFFFF"/>
              </w:rPr>
            </w:pPr>
            <w:r>
              <w:rPr>
                <w:rFonts w:hint="eastAsia" w:ascii="仿宋" w:hAnsi="仿宋" w:eastAsia="仿宋" w:cs="仿宋"/>
                <w:b w:val="0"/>
                <w:bCs/>
                <w:i w:val="0"/>
                <w:caps w:val="0"/>
                <w:color w:val="auto"/>
                <w:spacing w:val="0"/>
                <w:sz w:val="21"/>
                <w:szCs w:val="21"/>
                <w:highlight w:val="none"/>
                <w:shd w:val="clear" w:color="auto" w:fill="FFFFFF"/>
                <w:lang w:val="en-US" w:eastAsia="zh-CN"/>
              </w:rPr>
              <w:t>品目预算(元)</w:t>
            </w:r>
          </w:p>
        </w:tc>
        <w:tc>
          <w:tcPr>
            <w:tcW w:w="1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highlight w:val="none"/>
                <w:shd w:val="clear" w:color="auto" w:fill="FFFFFF"/>
              </w:rPr>
            </w:pPr>
            <w:r>
              <w:rPr>
                <w:rFonts w:hint="eastAsia" w:ascii="仿宋" w:hAnsi="仿宋" w:eastAsia="仿宋" w:cs="仿宋"/>
                <w:b w:val="0"/>
                <w:bCs/>
                <w:i w:val="0"/>
                <w:caps w:val="0"/>
                <w:color w:val="auto"/>
                <w:spacing w:val="0"/>
                <w:sz w:val="21"/>
                <w:szCs w:val="21"/>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highlight w:val="none"/>
                <w:shd w:val="clear" w:color="auto" w:fill="FFFFFF"/>
              </w:rPr>
            </w:pPr>
            <w:r>
              <w:rPr>
                <w:rFonts w:hint="eastAsia" w:ascii="仿宋" w:hAnsi="仿宋" w:eastAsia="仿宋" w:cs="仿宋"/>
                <w:b w:val="0"/>
                <w:bCs/>
                <w:i w:val="0"/>
                <w:caps w:val="0"/>
                <w:color w:val="auto"/>
                <w:spacing w:val="0"/>
                <w:sz w:val="21"/>
                <w:szCs w:val="21"/>
                <w:highlight w:val="none"/>
                <w:shd w:val="clear" w:color="auto" w:fill="FFFFFF"/>
                <w:lang w:val="en-US" w:eastAsia="zh-CN"/>
              </w:rPr>
              <w:t>1-1</w:t>
            </w:r>
          </w:p>
        </w:tc>
        <w:tc>
          <w:tcPr>
            <w:tcW w:w="12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highlight w:val="none"/>
                <w:shd w:val="clear" w:color="auto" w:fill="FFFFFF"/>
                <w:lang w:val="en-US" w:eastAsia="zh-CN"/>
              </w:rPr>
            </w:pPr>
            <w:r>
              <w:rPr>
                <w:rFonts w:hint="eastAsia" w:ascii="仿宋" w:hAnsi="仿宋" w:eastAsia="仿宋" w:cs="仿宋"/>
                <w:b w:val="0"/>
                <w:bCs/>
                <w:i w:val="0"/>
                <w:caps w:val="0"/>
                <w:color w:val="auto"/>
                <w:spacing w:val="0"/>
                <w:sz w:val="21"/>
                <w:szCs w:val="21"/>
                <w:highlight w:val="none"/>
                <w:shd w:val="clear" w:color="auto" w:fill="FFFFFF"/>
                <w:lang w:val="en-US" w:eastAsia="zh-CN"/>
              </w:rPr>
              <w:t>网络存储设备</w:t>
            </w:r>
          </w:p>
        </w:tc>
        <w:tc>
          <w:tcPr>
            <w:tcW w:w="11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highlight w:val="none"/>
                <w:shd w:val="clear" w:color="auto" w:fill="FFFFFF"/>
                <w:lang w:val="en-US" w:eastAsia="zh-CN"/>
              </w:rPr>
            </w:pPr>
            <w:r>
              <w:rPr>
                <w:rFonts w:hint="eastAsia" w:ascii="仿宋" w:hAnsi="仿宋" w:eastAsia="仿宋" w:cs="仿宋"/>
                <w:b w:val="0"/>
                <w:bCs/>
                <w:i w:val="0"/>
                <w:caps w:val="0"/>
                <w:color w:val="auto"/>
                <w:spacing w:val="0"/>
                <w:sz w:val="21"/>
                <w:szCs w:val="21"/>
                <w:highlight w:val="none"/>
                <w:shd w:val="clear" w:color="auto" w:fill="FFFFFF"/>
                <w:lang w:val="en-US" w:eastAsia="zh-CN"/>
              </w:rPr>
              <w:t>300000</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default" w:ascii="仿宋" w:hAnsi="仿宋" w:eastAsia="仿宋" w:cs="仿宋"/>
                <w:b w:val="0"/>
                <w:bCs/>
                <w:i w:val="0"/>
                <w:caps w:val="0"/>
                <w:color w:val="auto"/>
                <w:spacing w:val="0"/>
                <w:sz w:val="21"/>
                <w:szCs w:val="21"/>
                <w:highlight w:val="none"/>
                <w:shd w:val="clear" w:color="auto" w:fill="FFFFFF"/>
                <w:lang w:val="en-US" w:eastAsia="zh-CN"/>
              </w:rPr>
            </w:pPr>
            <w:r>
              <w:rPr>
                <w:rFonts w:hint="eastAsia" w:ascii="仿宋" w:hAnsi="仿宋" w:eastAsia="仿宋" w:cs="仿宋"/>
                <w:b w:val="0"/>
                <w:bCs/>
                <w:i w:val="0"/>
                <w:caps w:val="0"/>
                <w:color w:val="auto"/>
                <w:spacing w:val="0"/>
                <w:sz w:val="21"/>
                <w:szCs w:val="21"/>
                <w:highlight w:val="none"/>
                <w:shd w:val="clear" w:color="auto" w:fill="FFFFFF"/>
                <w:lang w:val="en-US" w:eastAsia="zh-CN"/>
              </w:rPr>
              <w:t>1批</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highlight w:val="none"/>
                <w:shd w:val="clear" w:color="auto" w:fill="FFFFFF"/>
                <w:lang w:val="en-US" w:eastAsia="zh-CN"/>
              </w:rPr>
            </w:pPr>
            <w:r>
              <w:rPr>
                <w:rFonts w:hint="eastAsia" w:ascii="仿宋" w:hAnsi="仿宋" w:eastAsia="仿宋" w:cs="仿宋"/>
                <w:b w:val="0"/>
                <w:bCs/>
                <w:i w:val="0"/>
                <w:caps w:val="0"/>
                <w:color w:val="auto"/>
                <w:spacing w:val="0"/>
                <w:sz w:val="21"/>
                <w:szCs w:val="21"/>
                <w:highlight w:val="none"/>
                <w:shd w:val="clear" w:color="auto" w:fill="FFFFFF"/>
                <w:lang w:val="en-US" w:eastAsia="zh-CN"/>
              </w:rPr>
              <w:t>详见采购文件</w:t>
            </w:r>
          </w:p>
        </w:tc>
        <w:tc>
          <w:tcPr>
            <w:tcW w:w="18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default" w:ascii="仿宋" w:hAnsi="仿宋" w:eastAsia="仿宋" w:cs="仿宋"/>
                <w:b w:val="0"/>
                <w:bCs/>
                <w:i w:val="0"/>
                <w:caps w:val="0"/>
                <w:color w:val="auto"/>
                <w:spacing w:val="0"/>
                <w:sz w:val="21"/>
                <w:szCs w:val="21"/>
                <w:highlight w:val="none"/>
                <w:shd w:val="clear" w:color="auto" w:fill="FFFFFF"/>
                <w:lang w:val="en-US" w:eastAsia="zh-CN"/>
              </w:rPr>
            </w:pPr>
            <w:r>
              <w:rPr>
                <w:rFonts w:hint="eastAsia" w:ascii="仿宋" w:hAnsi="仿宋" w:eastAsia="仿宋" w:cs="仿宋"/>
                <w:b w:val="0"/>
                <w:bCs/>
                <w:i w:val="0"/>
                <w:caps w:val="0"/>
                <w:color w:val="auto"/>
                <w:spacing w:val="0"/>
                <w:sz w:val="21"/>
                <w:szCs w:val="21"/>
                <w:highlight w:val="none"/>
                <w:shd w:val="clear" w:color="auto" w:fill="FFFFFF"/>
                <w:lang w:val="en-US" w:eastAsia="zh-CN"/>
              </w:rPr>
              <w:t>300000.00元</w:t>
            </w:r>
          </w:p>
        </w:tc>
        <w:tc>
          <w:tcPr>
            <w:tcW w:w="1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highlight w:val="none"/>
                <w:shd w:val="clear" w:color="auto" w:fill="FFFFFF"/>
                <w:lang w:val="en-US" w:eastAsia="zh-CN"/>
              </w:rPr>
            </w:pPr>
            <w:r>
              <w:rPr>
                <w:rFonts w:hint="eastAsia" w:ascii="仿宋" w:hAnsi="仿宋" w:eastAsia="仿宋" w:cs="仿宋"/>
                <w:b w:val="0"/>
                <w:bCs/>
                <w:i w:val="0"/>
                <w:caps w:val="0"/>
                <w:color w:val="auto"/>
                <w:spacing w:val="0"/>
                <w:sz w:val="21"/>
                <w:szCs w:val="21"/>
                <w:highlight w:val="none"/>
                <w:shd w:val="clear" w:color="auto" w:fill="FFFFFF"/>
                <w:lang w:val="en-US" w:eastAsia="zh-CN"/>
              </w:rPr>
              <w:t>-</w:t>
            </w:r>
          </w:p>
        </w:tc>
      </w:tr>
    </w:tbl>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本合同包不接受联合体投标</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rPr>
        <w:t>合同履行期限：</w:t>
      </w:r>
      <w:r>
        <w:rPr>
          <w:rFonts w:hint="eastAsia" w:ascii="仿宋" w:hAnsi="仿宋" w:eastAsia="仿宋" w:cs="仿宋"/>
          <w:b w:val="0"/>
          <w:bCs/>
          <w:i w:val="0"/>
          <w:caps w:val="0"/>
          <w:color w:val="auto"/>
          <w:spacing w:val="0"/>
          <w:sz w:val="24"/>
          <w:szCs w:val="24"/>
          <w:highlight w:val="none"/>
          <w:shd w:val="clear" w:color="auto" w:fill="FFFFFF"/>
          <w:lang w:val="en-US" w:eastAsia="zh-CN"/>
        </w:rPr>
        <w:t>25日历日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i w:val="0"/>
          <w:caps w:val="0"/>
          <w:color w:val="auto"/>
          <w:spacing w:val="0"/>
          <w:sz w:val="24"/>
          <w:szCs w:val="24"/>
          <w:highlight w:val="none"/>
          <w:shd w:val="clear" w:color="auto" w:fill="FFFFFF"/>
        </w:rPr>
        <w:t>二、</w:t>
      </w:r>
      <w:r>
        <w:rPr>
          <w:rFonts w:hint="eastAsia" w:ascii="仿宋" w:hAnsi="仿宋" w:eastAsia="仿宋" w:cs="仿宋"/>
          <w:b/>
          <w:i w:val="0"/>
          <w:caps w:val="0"/>
          <w:color w:val="auto"/>
          <w:spacing w:val="0"/>
          <w:sz w:val="24"/>
          <w:szCs w:val="24"/>
          <w:highlight w:val="none"/>
          <w:shd w:val="clear" w:color="auto" w:fill="FFFFFF"/>
          <w:lang w:val="en-US" w:eastAsia="zh-CN"/>
        </w:rPr>
        <w:t>申请人的</w:t>
      </w:r>
      <w:r>
        <w:rPr>
          <w:rFonts w:hint="eastAsia" w:ascii="仿宋" w:hAnsi="仿宋" w:eastAsia="仿宋" w:cs="仿宋"/>
          <w:b/>
          <w:i w:val="0"/>
          <w:caps w:val="0"/>
          <w:color w:val="auto"/>
          <w:spacing w:val="0"/>
          <w:sz w:val="24"/>
          <w:szCs w:val="24"/>
          <w:highlight w:val="none"/>
          <w:shd w:val="clear" w:color="auto" w:fill="FFFFFF"/>
        </w:rPr>
        <w:t>资格要求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1</w:t>
      </w:r>
      <w:r>
        <w:rPr>
          <w:rFonts w:hint="eastAsia" w:ascii="仿宋" w:hAnsi="仿宋" w:eastAsia="仿宋" w:cs="仿宋"/>
          <w:i w:val="0"/>
          <w:caps w:val="0"/>
          <w:color w:val="auto"/>
          <w:spacing w:val="0"/>
          <w:sz w:val="24"/>
          <w:szCs w:val="24"/>
          <w:highlight w:val="none"/>
          <w:shd w:val="clear" w:color="auto" w:fill="FFFFFF"/>
          <w:lang w:val="en-US" w:eastAsia="zh-CN"/>
        </w:rPr>
        <w:t>.</w:t>
      </w:r>
      <w:r>
        <w:rPr>
          <w:rFonts w:hint="eastAsia" w:ascii="仿宋" w:hAnsi="仿宋" w:eastAsia="仿宋" w:cs="仿宋"/>
          <w:i w:val="0"/>
          <w:caps w:val="0"/>
          <w:color w:val="auto"/>
          <w:spacing w:val="0"/>
          <w:sz w:val="24"/>
          <w:szCs w:val="24"/>
          <w:highlight w:val="none"/>
          <w:shd w:val="clear" w:color="auto" w:fill="FFFFFF"/>
        </w:rPr>
        <w:t>满足《中华人民共和国政府采购法》第二十二条规定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2</w:t>
      </w:r>
      <w:r>
        <w:rPr>
          <w:rFonts w:hint="eastAsia" w:ascii="仿宋" w:hAnsi="仿宋" w:eastAsia="仿宋" w:cs="仿宋"/>
          <w:i w:val="0"/>
          <w:caps w:val="0"/>
          <w:color w:val="auto"/>
          <w:spacing w:val="0"/>
          <w:sz w:val="24"/>
          <w:szCs w:val="24"/>
          <w:highlight w:val="none"/>
          <w:shd w:val="clear" w:color="auto" w:fill="FFFFFF"/>
          <w:lang w:val="en-US" w:eastAsia="zh-CN"/>
        </w:rPr>
        <w:t>.</w:t>
      </w:r>
      <w:r>
        <w:rPr>
          <w:rFonts w:hint="eastAsia" w:ascii="仿宋" w:hAnsi="仿宋" w:eastAsia="仿宋" w:cs="仿宋"/>
          <w:i w:val="0"/>
          <w:caps w:val="0"/>
          <w:color w:val="auto"/>
          <w:spacing w:val="0"/>
          <w:sz w:val="24"/>
          <w:szCs w:val="24"/>
          <w:highlight w:val="none"/>
          <w:shd w:val="clear" w:color="auto" w:fill="FFFFFF"/>
        </w:rPr>
        <w:t>落实政府采购政策需满足的资格要求：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合同包1(西安市莲湖区市民中心视讯采集数据中心升级项目)落实政府采购政策需满足的资格要求如下: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本项目专门面向中小企业采购，产品生产商应为中小微企业或监狱企业或残疾人福利性单位。</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lang w:val="en-US" w:eastAsia="zh-CN"/>
        </w:rPr>
        <w:t>3.</w:t>
      </w:r>
      <w:r>
        <w:rPr>
          <w:rFonts w:hint="eastAsia" w:ascii="仿宋" w:hAnsi="仿宋" w:eastAsia="仿宋" w:cs="仿宋"/>
          <w:i w:val="0"/>
          <w:caps w:val="0"/>
          <w:color w:val="auto"/>
          <w:spacing w:val="0"/>
          <w:sz w:val="24"/>
          <w:szCs w:val="24"/>
          <w:highlight w:val="none"/>
          <w:shd w:val="clear" w:color="auto" w:fill="FFFFFF"/>
        </w:rPr>
        <w:t>本项目的特定资格要求：</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auto"/>
          <w:spacing w:val="0"/>
          <w:sz w:val="24"/>
          <w:szCs w:val="24"/>
          <w:highlight w:val="none"/>
          <w:shd w:val="clear" w:color="auto" w:fill="FFFFFF"/>
          <w:lang w:eastAsia="zh-CN"/>
        </w:rPr>
      </w:pPr>
      <w:r>
        <w:rPr>
          <w:rFonts w:hint="eastAsia" w:ascii="仿宋" w:hAnsi="仿宋" w:eastAsia="仿宋" w:cs="仿宋"/>
          <w:i w:val="0"/>
          <w:caps w:val="0"/>
          <w:color w:val="auto"/>
          <w:spacing w:val="0"/>
          <w:sz w:val="24"/>
          <w:szCs w:val="24"/>
          <w:highlight w:val="none"/>
          <w:shd w:val="clear" w:color="auto" w:fill="FFFFFF"/>
          <w:lang w:eastAsia="zh-CN"/>
        </w:rPr>
        <w:t>合同包1</w:t>
      </w:r>
      <w:r>
        <w:rPr>
          <w:rFonts w:hint="eastAsia" w:ascii="仿宋" w:hAnsi="仿宋" w:eastAsia="仿宋" w:cs="仿宋"/>
          <w:i w:val="0"/>
          <w:caps w:val="0"/>
          <w:color w:val="auto"/>
          <w:spacing w:val="0"/>
          <w:sz w:val="24"/>
          <w:szCs w:val="24"/>
          <w:highlight w:val="none"/>
          <w:shd w:val="clear" w:color="auto" w:fill="FFFFFF"/>
          <w:lang w:val="en-US" w:eastAsia="zh-CN"/>
        </w:rPr>
        <w:t>(西安市莲湖区市民中心视讯采集数据中心升级项目)</w:t>
      </w:r>
      <w:r>
        <w:rPr>
          <w:rFonts w:hint="eastAsia" w:ascii="仿宋" w:hAnsi="仿宋" w:eastAsia="仿宋" w:cs="仿宋"/>
          <w:i w:val="0"/>
          <w:caps w:val="0"/>
          <w:color w:val="auto"/>
          <w:spacing w:val="0"/>
          <w:sz w:val="24"/>
          <w:szCs w:val="24"/>
          <w:highlight w:val="none"/>
          <w:shd w:val="clear" w:color="auto" w:fill="FFFFFF"/>
          <w:lang w:eastAsia="zh-CN"/>
        </w:rPr>
        <w:t>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lang w:val="en-US" w:eastAsia="zh-CN"/>
        </w:rPr>
        <w:t>1</w:t>
      </w: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rPr>
        <w:t>法定代表人授权书（附法定代表人、被授权人身份证复印件）及被授权人身份证（法定代表人直接参加</w:t>
      </w:r>
      <w:r>
        <w:rPr>
          <w:rFonts w:hint="eastAsia" w:ascii="仿宋" w:hAnsi="仿宋" w:eastAsia="仿宋" w:cs="仿宋"/>
          <w:i w:val="0"/>
          <w:caps w:val="0"/>
          <w:color w:val="auto"/>
          <w:spacing w:val="0"/>
          <w:sz w:val="24"/>
          <w:szCs w:val="24"/>
          <w:highlight w:val="none"/>
          <w:shd w:val="clear" w:color="auto" w:fill="FFFFFF"/>
          <w:lang w:eastAsia="zh-CN"/>
        </w:rPr>
        <w:t>谈判</w:t>
      </w:r>
      <w:r>
        <w:rPr>
          <w:rFonts w:hint="eastAsia" w:ascii="仿宋" w:hAnsi="仿宋" w:eastAsia="仿宋" w:cs="仿宋"/>
          <w:i w:val="0"/>
          <w:caps w:val="0"/>
          <w:color w:val="auto"/>
          <w:spacing w:val="0"/>
          <w:sz w:val="24"/>
          <w:szCs w:val="24"/>
          <w:highlight w:val="none"/>
          <w:shd w:val="clear" w:color="auto" w:fill="FFFFFF"/>
        </w:rPr>
        <w:t>，须提供法定代表人身份证明及身份证原件）；</w:t>
      </w: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lang w:val="en-US" w:eastAsia="zh-CN"/>
        </w:rPr>
        <w:t>2</w:t>
      </w: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rPr>
        <w:t>供应商</w:t>
      </w:r>
      <w:r>
        <w:rPr>
          <w:rFonts w:hint="eastAsia" w:ascii="仿宋" w:hAnsi="仿宋" w:eastAsia="仿宋" w:cs="仿宋"/>
          <w:i w:val="0"/>
          <w:caps w:val="0"/>
          <w:color w:val="auto"/>
          <w:spacing w:val="0"/>
          <w:sz w:val="24"/>
          <w:szCs w:val="24"/>
          <w:highlight w:val="none"/>
          <w:shd w:val="clear" w:color="auto" w:fill="FFFFFF"/>
          <w:lang w:val="en-US" w:eastAsia="zh-CN"/>
        </w:rPr>
        <w:t>未被</w:t>
      </w:r>
      <w:r>
        <w:rPr>
          <w:rFonts w:hint="eastAsia" w:ascii="仿宋" w:hAnsi="仿宋" w:eastAsia="仿宋" w:cs="仿宋"/>
          <w:i w:val="0"/>
          <w:caps w:val="0"/>
          <w:color w:val="auto"/>
          <w:spacing w:val="0"/>
          <w:sz w:val="24"/>
          <w:szCs w:val="24"/>
          <w:highlight w:val="none"/>
          <w:shd w:val="clear" w:color="auto" w:fill="FFFFFF"/>
        </w:rPr>
        <w:t>“信用中国”网站（www.creditchina.gov.cn）列入失信被执行人</w:t>
      </w:r>
      <w:r>
        <w:rPr>
          <w:rFonts w:hint="eastAsia" w:ascii="仿宋" w:hAnsi="仿宋" w:eastAsia="仿宋" w:cs="仿宋"/>
          <w:i w:val="0"/>
          <w:caps w:val="0"/>
          <w:color w:val="auto"/>
          <w:spacing w:val="0"/>
          <w:sz w:val="24"/>
          <w:szCs w:val="24"/>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4"/>
          <w:szCs w:val="24"/>
          <w:highlight w:val="none"/>
          <w:shd w:val="clear" w:color="auto" w:fill="FFFFFF"/>
        </w:rPr>
        <w:t>中国政府采购网（www.ccgp.gov.cn）</w:t>
      </w:r>
      <w:r>
        <w:rPr>
          <w:rFonts w:hint="eastAsia" w:ascii="仿宋" w:hAnsi="仿宋" w:eastAsia="仿宋" w:cs="仿宋"/>
          <w:i w:val="0"/>
          <w:caps w:val="0"/>
          <w:color w:val="auto"/>
          <w:spacing w:val="0"/>
          <w:sz w:val="24"/>
          <w:szCs w:val="24"/>
          <w:highlight w:val="none"/>
          <w:shd w:val="clear" w:color="auto" w:fill="FFFFFF"/>
          <w:lang w:val="en-US" w:eastAsia="zh-CN"/>
        </w:rPr>
        <w:t>列入</w:t>
      </w:r>
      <w:r>
        <w:rPr>
          <w:rFonts w:hint="eastAsia" w:ascii="仿宋" w:hAnsi="仿宋" w:eastAsia="仿宋" w:cs="仿宋"/>
          <w:i w:val="0"/>
          <w:caps w:val="0"/>
          <w:color w:val="auto"/>
          <w:spacing w:val="0"/>
          <w:sz w:val="24"/>
          <w:szCs w:val="24"/>
          <w:highlight w:val="none"/>
          <w:shd w:val="clear" w:color="auto" w:fill="FFFFFF"/>
        </w:rPr>
        <w:t>政府采购严重违法失信行为记录名单。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color w:val="auto"/>
          <w:sz w:val="24"/>
          <w:szCs w:val="24"/>
          <w:highlight w:val="none"/>
          <w:lang w:val="en-US" w:eastAsia="zh-CN"/>
        </w:rPr>
      </w:pPr>
      <w:r>
        <w:rPr>
          <w:rFonts w:hint="eastAsia" w:ascii="仿宋" w:hAnsi="仿宋" w:eastAsia="仿宋" w:cs="仿宋"/>
          <w:b/>
          <w:i w:val="0"/>
          <w:caps w:val="0"/>
          <w:color w:val="auto"/>
          <w:spacing w:val="0"/>
          <w:sz w:val="24"/>
          <w:szCs w:val="24"/>
          <w:highlight w:val="none"/>
          <w:shd w:val="clear" w:color="auto" w:fill="FFFFFF"/>
        </w:rPr>
        <w:t>三、</w:t>
      </w:r>
      <w:r>
        <w:rPr>
          <w:rFonts w:hint="eastAsia" w:ascii="仿宋" w:hAnsi="仿宋" w:eastAsia="仿宋" w:cs="仿宋"/>
          <w:b/>
          <w:i w:val="0"/>
          <w:caps w:val="0"/>
          <w:color w:val="auto"/>
          <w:spacing w:val="0"/>
          <w:sz w:val="24"/>
          <w:szCs w:val="24"/>
          <w:highlight w:val="none"/>
          <w:shd w:val="clear" w:color="auto" w:fill="FFFFFF"/>
          <w:lang w:val="en-US" w:eastAsia="zh-CN"/>
        </w:rPr>
        <w:t>获取采购文件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时间： 2022年0</w:t>
      </w:r>
      <w:r>
        <w:rPr>
          <w:rFonts w:hint="eastAsia" w:ascii="仿宋" w:hAnsi="仿宋" w:eastAsia="仿宋" w:cs="仿宋"/>
          <w:i w:val="0"/>
          <w:caps w:val="0"/>
          <w:color w:val="auto"/>
          <w:spacing w:val="0"/>
          <w:sz w:val="24"/>
          <w:szCs w:val="24"/>
          <w:highlight w:val="none"/>
          <w:shd w:val="clear" w:color="auto" w:fill="FFFFFF"/>
          <w:lang w:val="en-US" w:eastAsia="zh-CN"/>
        </w:rPr>
        <w:t>8</w:t>
      </w:r>
      <w:r>
        <w:rPr>
          <w:rFonts w:hint="eastAsia" w:ascii="仿宋" w:hAnsi="仿宋" w:eastAsia="仿宋" w:cs="仿宋"/>
          <w:i w:val="0"/>
          <w:caps w:val="0"/>
          <w:color w:val="auto"/>
          <w:spacing w:val="0"/>
          <w:sz w:val="24"/>
          <w:szCs w:val="24"/>
          <w:highlight w:val="none"/>
          <w:shd w:val="clear" w:color="auto" w:fill="FFFFFF"/>
        </w:rPr>
        <w:t>月</w:t>
      </w:r>
      <w:r>
        <w:rPr>
          <w:rFonts w:hint="eastAsia" w:ascii="仿宋" w:hAnsi="仿宋" w:eastAsia="仿宋" w:cs="仿宋"/>
          <w:i w:val="0"/>
          <w:caps w:val="0"/>
          <w:color w:val="auto"/>
          <w:spacing w:val="0"/>
          <w:sz w:val="24"/>
          <w:szCs w:val="24"/>
          <w:highlight w:val="none"/>
          <w:shd w:val="clear" w:color="auto" w:fill="FFFFFF"/>
          <w:lang w:val="en-US" w:eastAsia="zh-CN"/>
        </w:rPr>
        <w:t>11</w:t>
      </w:r>
      <w:r>
        <w:rPr>
          <w:rFonts w:hint="eastAsia" w:ascii="仿宋" w:hAnsi="仿宋" w:eastAsia="仿宋" w:cs="仿宋"/>
          <w:i w:val="0"/>
          <w:caps w:val="0"/>
          <w:color w:val="auto"/>
          <w:spacing w:val="0"/>
          <w:sz w:val="24"/>
          <w:szCs w:val="24"/>
          <w:highlight w:val="none"/>
          <w:shd w:val="clear" w:color="auto" w:fill="FFFFFF"/>
        </w:rPr>
        <w:t>日 至 2022年0</w:t>
      </w:r>
      <w:r>
        <w:rPr>
          <w:rFonts w:hint="eastAsia" w:ascii="仿宋" w:hAnsi="仿宋" w:eastAsia="仿宋" w:cs="仿宋"/>
          <w:i w:val="0"/>
          <w:caps w:val="0"/>
          <w:color w:val="auto"/>
          <w:spacing w:val="0"/>
          <w:sz w:val="24"/>
          <w:szCs w:val="24"/>
          <w:highlight w:val="none"/>
          <w:shd w:val="clear" w:color="auto" w:fill="FFFFFF"/>
          <w:lang w:val="en-US" w:eastAsia="zh-CN"/>
        </w:rPr>
        <w:t>8</w:t>
      </w:r>
      <w:r>
        <w:rPr>
          <w:rFonts w:hint="eastAsia" w:ascii="仿宋" w:hAnsi="仿宋" w:eastAsia="仿宋" w:cs="仿宋"/>
          <w:i w:val="0"/>
          <w:caps w:val="0"/>
          <w:color w:val="auto"/>
          <w:spacing w:val="0"/>
          <w:sz w:val="24"/>
          <w:szCs w:val="24"/>
          <w:highlight w:val="none"/>
          <w:shd w:val="clear" w:color="auto" w:fill="FFFFFF"/>
        </w:rPr>
        <w:t>月</w:t>
      </w:r>
      <w:r>
        <w:rPr>
          <w:rFonts w:hint="eastAsia" w:ascii="仿宋" w:hAnsi="仿宋" w:eastAsia="仿宋" w:cs="仿宋"/>
          <w:i w:val="0"/>
          <w:caps w:val="0"/>
          <w:color w:val="auto"/>
          <w:spacing w:val="0"/>
          <w:sz w:val="24"/>
          <w:szCs w:val="24"/>
          <w:highlight w:val="none"/>
          <w:shd w:val="clear" w:color="auto" w:fill="FFFFFF"/>
          <w:lang w:val="en-US" w:eastAsia="zh-CN"/>
        </w:rPr>
        <w:t>15</w:t>
      </w:r>
      <w:r>
        <w:rPr>
          <w:rFonts w:hint="eastAsia" w:ascii="仿宋" w:hAnsi="仿宋" w:eastAsia="仿宋" w:cs="仿宋"/>
          <w:i w:val="0"/>
          <w:caps w:val="0"/>
          <w:color w:val="auto"/>
          <w:spacing w:val="0"/>
          <w:sz w:val="24"/>
          <w:szCs w:val="24"/>
          <w:highlight w:val="none"/>
          <w:shd w:val="clear" w:color="auto" w:fill="FFFFFF"/>
        </w:rPr>
        <w:t>日 ，每天</w:t>
      </w:r>
      <w:r>
        <w:rPr>
          <w:rFonts w:hint="eastAsia" w:ascii="仿宋" w:hAnsi="仿宋" w:eastAsia="仿宋" w:cs="仿宋"/>
          <w:i w:val="0"/>
          <w:caps w:val="0"/>
          <w:color w:val="auto"/>
          <w:spacing w:val="0"/>
          <w:sz w:val="24"/>
          <w:szCs w:val="24"/>
          <w:highlight w:val="none"/>
          <w:shd w:val="clear" w:color="auto" w:fill="FFFFFF"/>
        </w:rPr>
        <w:t>上午 09:00:00 至 1</w:t>
      </w:r>
      <w:r>
        <w:rPr>
          <w:rFonts w:hint="eastAsia" w:ascii="仿宋" w:hAnsi="仿宋" w:eastAsia="仿宋" w:cs="仿宋"/>
          <w:i w:val="0"/>
          <w:caps w:val="0"/>
          <w:color w:val="auto"/>
          <w:spacing w:val="0"/>
          <w:sz w:val="24"/>
          <w:szCs w:val="24"/>
          <w:highlight w:val="none"/>
          <w:shd w:val="clear" w:color="auto" w:fill="FFFFFF"/>
          <w:lang w:val="en-US" w:eastAsia="zh-CN"/>
        </w:rPr>
        <w:t>2</w:t>
      </w:r>
      <w:r>
        <w:rPr>
          <w:rFonts w:hint="eastAsia" w:ascii="仿宋" w:hAnsi="仿宋" w:eastAsia="仿宋" w:cs="仿宋"/>
          <w:i w:val="0"/>
          <w:caps w:val="0"/>
          <w:color w:val="auto"/>
          <w:spacing w:val="0"/>
          <w:sz w:val="24"/>
          <w:szCs w:val="24"/>
          <w:highlight w:val="none"/>
          <w:shd w:val="clear" w:color="auto" w:fill="FFFFFF"/>
        </w:rPr>
        <w:t>:</w:t>
      </w:r>
      <w:r>
        <w:rPr>
          <w:rFonts w:hint="eastAsia" w:ascii="仿宋" w:hAnsi="仿宋" w:eastAsia="仿宋" w:cs="仿宋"/>
          <w:i w:val="0"/>
          <w:caps w:val="0"/>
          <w:color w:val="auto"/>
          <w:spacing w:val="0"/>
          <w:sz w:val="24"/>
          <w:szCs w:val="24"/>
          <w:highlight w:val="none"/>
          <w:shd w:val="clear" w:color="auto" w:fill="FFFFFF"/>
          <w:lang w:val="en-US" w:eastAsia="zh-CN"/>
        </w:rPr>
        <w:t>0</w:t>
      </w:r>
      <w:r>
        <w:rPr>
          <w:rFonts w:hint="eastAsia" w:ascii="仿宋" w:hAnsi="仿宋" w:eastAsia="仿宋" w:cs="仿宋"/>
          <w:i w:val="0"/>
          <w:caps w:val="0"/>
          <w:color w:val="auto"/>
          <w:spacing w:val="0"/>
          <w:sz w:val="24"/>
          <w:szCs w:val="24"/>
          <w:highlight w:val="none"/>
          <w:shd w:val="clear" w:color="auto" w:fill="FFFFFF"/>
        </w:rPr>
        <w:t>0:00 ，下午 1</w:t>
      </w:r>
      <w:r>
        <w:rPr>
          <w:rFonts w:hint="eastAsia" w:ascii="仿宋" w:hAnsi="仿宋" w:eastAsia="仿宋" w:cs="仿宋"/>
          <w:i w:val="0"/>
          <w:caps w:val="0"/>
          <w:color w:val="auto"/>
          <w:spacing w:val="0"/>
          <w:sz w:val="24"/>
          <w:szCs w:val="24"/>
          <w:highlight w:val="none"/>
          <w:shd w:val="clear" w:color="auto" w:fill="FFFFFF"/>
          <w:lang w:val="en-US" w:eastAsia="zh-CN"/>
        </w:rPr>
        <w:t>4</w:t>
      </w:r>
      <w:r>
        <w:rPr>
          <w:rFonts w:hint="eastAsia" w:ascii="仿宋" w:hAnsi="仿宋" w:eastAsia="仿宋" w:cs="仿宋"/>
          <w:i w:val="0"/>
          <w:caps w:val="0"/>
          <w:color w:val="auto"/>
          <w:spacing w:val="0"/>
          <w:sz w:val="24"/>
          <w:szCs w:val="24"/>
          <w:highlight w:val="none"/>
          <w:shd w:val="clear" w:color="auto" w:fill="FFFFFF"/>
        </w:rPr>
        <w:t>:</w:t>
      </w:r>
      <w:r>
        <w:rPr>
          <w:rFonts w:hint="eastAsia" w:ascii="仿宋" w:hAnsi="仿宋" w:eastAsia="仿宋" w:cs="仿宋"/>
          <w:i w:val="0"/>
          <w:caps w:val="0"/>
          <w:color w:val="auto"/>
          <w:spacing w:val="0"/>
          <w:sz w:val="24"/>
          <w:szCs w:val="24"/>
          <w:highlight w:val="none"/>
          <w:shd w:val="clear" w:color="auto" w:fill="FFFFFF"/>
          <w:lang w:val="en-US" w:eastAsia="zh-CN"/>
        </w:rPr>
        <w:t>0</w:t>
      </w:r>
      <w:r>
        <w:rPr>
          <w:rFonts w:hint="eastAsia" w:ascii="仿宋" w:hAnsi="仿宋" w:eastAsia="仿宋" w:cs="仿宋"/>
          <w:i w:val="0"/>
          <w:caps w:val="0"/>
          <w:color w:val="auto"/>
          <w:spacing w:val="0"/>
          <w:sz w:val="24"/>
          <w:szCs w:val="24"/>
          <w:highlight w:val="none"/>
          <w:shd w:val="clear" w:color="auto" w:fill="FFFFFF"/>
        </w:rPr>
        <w:t>0:00 至 17:00:00 （北京时间,法定节假日除外）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地点：陕西省西安市高新区科技五路8号数字大厦11层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i w:val="0"/>
          <w:caps w:val="0"/>
          <w:color w:val="auto"/>
          <w:spacing w:val="0"/>
          <w:sz w:val="24"/>
          <w:szCs w:val="24"/>
          <w:highlight w:val="none"/>
          <w:shd w:val="clear" w:color="auto" w:fill="FFFFFF"/>
        </w:rPr>
        <w:t>方式：现场</w:t>
      </w:r>
      <w:r>
        <w:rPr>
          <w:rFonts w:hint="eastAsia" w:ascii="仿宋" w:hAnsi="仿宋" w:eastAsia="仿宋" w:cs="仿宋"/>
          <w:i w:val="0"/>
          <w:caps w:val="0"/>
          <w:color w:val="auto"/>
          <w:spacing w:val="0"/>
          <w:sz w:val="24"/>
          <w:szCs w:val="24"/>
          <w:highlight w:val="none"/>
          <w:shd w:val="clear" w:color="auto" w:fill="FFFFFF"/>
          <w:lang w:val="en-US" w:eastAsia="zh-CN"/>
        </w:rPr>
        <w:t>获取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售价：</w:t>
      </w:r>
      <w:r>
        <w:rPr>
          <w:rFonts w:hint="eastAsia" w:ascii="仿宋" w:hAnsi="仿宋" w:eastAsia="仿宋" w:cs="仿宋"/>
          <w:i w:val="0"/>
          <w:caps w:val="0"/>
          <w:color w:val="auto"/>
          <w:spacing w:val="0"/>
          <w:sz w:val="24"/>
          <w:szCs w:val="24"/>
          <w:highlight w:val="none"/>
          <w:shd w:val="clear" w:color="auto" w:fill="FFFFFF"/>
          <w:lang w:eastAsia="zh-CN"/>
        </w:rPr>
        <w:t>免费赠送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i w:val="0"/>
          <w:caps w:val="0"/>
          <w:color w:val="auto"/>
          <w:spacing w:val="0"/>
          <w:sz w:val="24"/>
          <w:szCs w:val="24"/>
          <w:highlight w:val="none"/>
          <w:shd w:val="clear" w:color="auto" w:fill="FFFFFF"/>
        </w:rPr>
        <w:t>四、响应文件递交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截止时间：2022年0</w:t>
      </w:r>
      <w:r>
        <w:rPr>
          <w:rFonts w:hint="eastAsia" w:ascii="仿宋" w:hAnsi="仿宋" w:eastAsia="仿宋" w:cs="仿宋"/>
          <w:i w:val="0"/>
          <w:caps w:val="0"/>
          <w:color w:val="auto"/>
          <w:spacing w:val="0"/>
          <w:sz w:val="24"/>
          <w:szCs w:val="24"/>
          <w:highlight w:val="none"/>
          <w:shd w:val="clear" w:color="auto" w:fill="FFFFFF"/>
          <w:lang w:val="en-US" w:eastAsia="zh-CN"/>
        </w:rPr>
        <w:t>8</w:t>
      </w:r>
      <w:r>
        <w:rPr>
          <w:rFonts w:hint="eastAsia" w:ascii="仿宋" w:hAnsi="仿宋" w:eastAsia="仿宋" w:cs="仿宋"/>
          <w:i w:val="0"/>
          <w:caps w:val="0"/>
          <w:color w:val="auto"/>
          <w:spacing w:val="0"/>
          <w:sz w:val="24"/>
          <w:szCs w:val="24"/>
          <w:highlight w:val="none"/>
          <w:shd w:val="clear" w:color="auto" w:fill="FFFFFF"/>
        </w:rPr>
        <w:t>月</w:t>
      </w:r>
      <w:r>
        <w:rPr>
          <w:rFonts w:hint="eastAsia" w:ascii="仿宋" w:hAnsi="仿宋" w:eastAsia="仿宋" w:cs="仿宋"/>
          <w:i w:val="0"/>
          <w:caps w:val="0"/>
          <w:color w:val="auto"/>
          <w:spacing w:val="0"/>
          <w:sz w:val="24"/>
          <w:szCs w:val="24"/>
          <w:highlight w:val="none"/>
          <w:shd w:val="clear" w:color="auto" w:fill="FFFFFF"/>
          <w:lang w:val="en-US" w:eastAsia="zh-CN"/>
        </w:rPr>
        <w:t>22</w:t>
      </w:r>
      <w:r>
        <w:rPr>
          <w:rFonts w:hint="eastAsia" w:ascii="仿宋" w:hAnsi="仿宋" w:eastAsia="仿宋" w:cs="仿宋"/>
          <w:i w:val="0"/>
          <w:caps w:val="0"/>
          <w:color w:val="auto"/>
          <w:spacing w:val="0"/>
          <w:sz w:val="24"/>
          <w:szCs w:val="24"/>
          <w:highlight w:val="none"/>
          <w:shd w:val="clear" w:color="auto" w:fill="FFFFFF"/>
        </w:rPr>
        <w:t>日 14时30分00秒 （北京</w:t>
      </w:r>
      <w:r>
        <w:rPr>
          <w:rFonts w:hint="eastAsia" w:ascii="仿宋" w:hAnsi="仿宋" w:eastAsia="仿宋" w:cs="仿宋"/>
          <w:i w:val="0"/>
          <w:caps w:val="0"/>
          <w:color w:val="auto"/>
          <w:spacing w:val="0"/>
          <w:sz w:val="24"/>
          <w:szCs w:val="24"/>
          <w:highlight w:val="none"/>
          <w:shd w:val="clear" w:color="auto" w:fill="FFFFFF"/>
        </w:rPr>
        <w:t>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i w:val="0"/>
          <w:caps w:val="0"/>
          <w:color w:val="auto"/>
          <w:spacing w:val="0"/>
          <w:sz w:val="24"/>
          <w:szCs w:val="24"/>
          <w:highlight w:val="none"/>
          <w:shd w:val="clear" w:color="auto" w:fill="FFFFFF"/>
        </w:rPr>
        <w:t>地点：陕西省西安市高新区科技五路8号数字大厦11层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4"/>
          <w:szCs w:val="24"/>
          <w:highlight w:val="none"/>
          <w:shd w:val="clear" w:color="auto" w:fill="FFFFFF"/>
        </w:rPr>
      </w:pPr>
      <w:r>
        <w:rPr>
          <w:rFonts w:hint="eastAsia" w:ascii="仿宋" w:hAnsi="仿宋" w:eastAsia="仿宋" w:cs="仿宋"/>
          <w:b/>
          <w:i w:val="0"/>
          <w:caps w:val="0"/>
          <w:color w:val="auto"/>
          <w:spacing w:val="0"/>
          <w:sz w:val="24"/>
          <w:szCs w:val="24"/>
          <w:highlight w:val="none"/>
          <w:shd w:val="clear" w:color="auto" w:fill="FFFFFF"/>
        </w:rPr>
        <w:t>五、开启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时间：2022年0</w:t>
      </w:r>
      <w:r>
        <w:rPr>
          <w:rFonts w:hint="eastAsia" w:ascii="仿宋" w:hAnsi="仿宋" w:eastAsia="仿宋" w:cs="仿宋"/>
          <w:b w:val="0"/>
          <w:bCs/>
          <w:i w:val="0"/>
          <w:caps w:val="0"/>
          <w:color w:val="auto"/>
          <w:spacing w:val="0"/>
          <w:sz w:val="24"/>
          <w:szCs w:val="24"/>
          <w:highlight w:val="none"/>
          <w:shd w:val="clear" w:color="auto" w:fill="FFFFFF"/>
          <w:lang w:val="en-US" w:eastAsia="zh-CN"/>
        </w:rPr>
        <w:t>8</w:t>
      </w:r>
      <w:r>
        <w:rPr>
          <w:rFonts w:hint="eastAsia" w:ascii="仿宋" w:hAnsi="仿宋" w:eastAsia="仿宋" w:cs="仿宋"/>
          <w:b w:val="0"/>
          <w:bCs/>
          <w:i w:val="0"/>
          <w:caps w:val="0"/>
          <w:color w:val="auto"/>
          <w:spacing w:val="0"/>
          <w:sz w:val="24"/>
          <w:szCs w:val="24"/>
          <w:highlight w:val="none"/>
          <w:shd w:val="clear" w:color="auto" w:fill="FFFFFF"/>
        </w:rPr>
        <w:t>月</w:t>
      </w:r>
      <w:r>
        <w:rPr>
          <w:rFonts w:hint="eastAsia" w:ascii="仿宋" w:hAnsi="仿宋" w:eastAsia="仿宋" w:cs="仿宋"/>
          <w:b w:val="0"/>
          <w:bCs/>
          <w:i w:val="0"/>
          <w:caps w:val="0"/>
          <w:color w:val="auto"/>
          <w:spacing w:val="0"/>
          <w:sz w:val="24"/>
          <w:szCs w:val="24"/>
          <w:highlight w:val="none"/>
          <w:shd w:val="clear" w:color="auto" w:fill="FFFFFF"/>
          <w:lang w:val="en-US" w:eastAsia="zh-CN"/>
        </w:rPr>
        <w:t>22</w:t>
      </w:r>
      <w:r>
        <w:rPr>
          <w:rFonts w:hint="eastAsia" w:ascii="仿宋" w:hAnsi="仿宋" w:eastAsia="仿宋" w:cs="仿宋"/>
          <w:b w:val="0"/>
          <w:bCs/>
          <w:i w:val="0"/>
          <w:caps w:val="0"/>
          <w:color w:val="auto"/>
          <w:spacing w:val="0"/>
          <w:sz w:val="24"/>
          <w:szCs w:val="24"/>
          <w:highlight w:val="none"/>
          <w:shd w:val="clear" w:color="auto" w:fill="FFFFFF"/>
        </w:rPr>
        <w:t>日 14时30分00秒 （北京时间）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地点：陕西省西安市高新区科技五路8号数字大厦11层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i w:val="0"/>
          <w:caps w:val="0"/>
          <w:color w:val="auto"/>
          <w:spacing w:val="0"/>
          <w:sz w:val="24"/>
          <w:szCs w:val="24"/>
          <w:highlight w:val="none"/>
          <w:shd w:val="clear" w:color="auto" w:fill="FFFFFF"/>
          <w:lang w:val="en-US" w:eastAsia="zh-CN"/>
        </w:rPr>
        <w:t>六</w:t>
      </w:r>
      <w:r>
        <w:rPr>
          <w:rFonts w:hint="eastAsia" w:ascii="仿宋" w:hAnsi="仿宋" w:eastAsia="仿宋" w:cs="仿宋"/>
          <w:b/>
          <w:i w:val="0"/>
          <w:caps w:val="0"/>
          <w:color w:val="auto"/>
          <w:spacing w:val="0"/>
          <w:sz w:val="24"/>
          <w:szCs w:val="24"/>
          <w:highlight w:val="none"/>
          <w:shd w:val="clear" w:color="auto" w:fill="FFFFFF"/>
        </w:rPr>
        <w:t>、公告期限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自本公告发布之日起3个工作日。</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Style w:val="30"/>
          <w:rFonts w:hint="eastAsia" w:ascii="仿宋" w:hAnsi="仿宋" w:eastAsia="仿宋" w:cs="仿宋"/>
          <w:b w:val="0"/>
          <w:bCs w:val="0"/>
          <w:i w:val="0"/>
          <w:caps w:val="0"/>
          <w:color w:val="auto"/>
          <w:spacing w:val="0"/>
          <w:sz w:val="24"/>
          <w:szCs w:val="24"/>
          <w:highlight w:val="none"/>
          <w:shd w:val="clear" w:color="auto" w:fill="FFFFFF"/>
          <w:lang w:val="en-US" w:eastAsia="zh-CN"/>
        </w:rPr>
      </w:pPr>
      <w:r>
        <w:rPr>
          <w:rFonts w:hint="eastAsia" w:ascii="仿宋" w:hAnsi="仿宋" w:eastAsia="仿宋" w:cs="仿宋"/>
          <w:b/>
          <w:i w:val="0"/>
          <w:caps w:val="0"/>
          <w:color w:val="auto"/>
          <w:spacing w:val="0"/>
          <w:sz w:val="24"/>
          <w:szCs w:val="24"/>
          <w:highlight w:val="none"/>
          <w:shd w:val="clear" w:color="auto" w:fill="FFFFFF"/>
          <w:lang w:val="en-US" w:eastAsia="zh-CN"/>
        </w:rPr>
        <w:t>七、</w:t>
      </w:r>
      <w:r>
        <w:rPr>
          <w:rFonts w:hint="eastAsia" w:ascii="仿宋" w:hAnsi="仿宋" w:eastAsia="仿宋" w:cs="仿宋"/>
          <w:b/>
          <w:i w:val="0"/>
          <w:caps w:val="0"/>
          <w:color w:val="auto"/>
          <w:spacing w:val="0"/>
          <w:sz w:val="24"/>
          <w:szCs w:val="24"/>
          <w:highlight w:val="none"/>
          <w:shd w:val="clear" w:color="auto" w:fill="FFFFFF"/>
        </w:rPr>
        <w:t>其他补充事宜</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b w:val="0"/>
          <w:bCs w:val="0"/>
          <w:color w:val="auto"/>
          <w:sz w:val="24"/>
          <w:szCs w:val="24"/>
          <w:highlight w:val="none"/>
        </w:rPr>
      </w:pPr>
      <w:r>
        <w:rPr>
          <w:rStyle w:val="30"/>
          <w:rFonts w:hint="eastAsia" w:ascii="仿宋" w:hAnsi="仿宋" w:eastAsia="仿宋" w:cs="仿宋"/>
          <w:b w:val="0"/>
          <w:bCs w:val="0"/>
          <w:i w:val="0"/>
          <w:caps w:val="0"/>
          <w:color w:val="auto"/>
          <w:spacing w:val="0"/>
          <w:sz w:val="24"/>
          <w:szCs w:val="24"/>
          <w:highlight w:val="none"/>
          <w:shd w:val="clear" w:color="auto" w:fill="FFFFFF"/>
          <w:lang w:val="en-US" w:eastAsia="zh-CN"/>
        </w:rPr>
        <w:t>1.</w:t>
      </w:r>
      <w:r>
        <w:rPr>
          <w:rStyle w:val="30"/>
          <w:rFonts w:hint="eastAsia" w:ascii="仿宋" w:hAnsi="仿宋" w:eastAsia="仿宋" w:cs="仿宋"/>
          <w:b w:val="0"/>
          <w:bCs w:val="0"/>
          <w:i w:val="0"/>
          <w:caps w:val="0"/>
          <w:color w:val="auto"/>
          <w:spacing w:val="0"/>
          <w:sz w:val="24"/>
          <w:szCs w:val="24"/>
          <w:highlight w:val="none"/>
          <w:shd w:val="clear" w:color="auto" w:fill="FFFFFF"/>
          <w:lang w:eastAsia="zh-CN"/>
        </w:rPr>
        <w:t>获取</w:t>
      </w:r>
      <w:r>
        <w:rPr>
          <w:rStyle w:val="30"/>
          <w:rFonts w:hint="eastAsia" w:ascii="仿宋" w:hAnsi="仿宋" w:eastAsia="仿宋" w:cs="仿宋"/>
          <w:b w:val="0"/>
          <w:bCs w:val="0"/>
          <w:i w:val="0"/>
          <w:caps w:val="0"/>
          <w:color w:val="auto"/>
          <w:spacing w:val="0"/>
          <w:sz w:val="24"/>
          <w:szCs w:val="24"/>
          <w:highlight w:val="none"/>
          <w:shd w:val="clear" w:color="auto" w:fill="FFFFFF"/>
        </w:rPr>
        <w:t>竞争性磋商文件请携带单位介绍信原件,经办人身份证原件及加盖供应商公章的复印件</w:t>
      </w:r>
      <w:r>
        <w:rPr>
          <w:rStyle w:val="30"/>
          <w:rFonts w:hint="eastAsia" w:ascii="仿宋" w:hAnsi="仿宋" w:eastAsia="仿宋" w:cs="仿宋"/>
          <w:b w:val="0"/>
          <w:bCs w:val="0"/>
          <w:i w:val="0"/>
          <w:caps w:val="0"/>
          <w:color w:val="auto"/>
          <w:spacing w:val="0"/>
          <w:sz w:val="24"/>
          <w:szCs w:val="24"/>
          <w:highlight w:val="none"/>
          <w:shd w:val="clear" w:color="auto" w:fill="FFFFFF"/>
        </w:rPr>
        <w:t>。</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号）；（11）其他需要落实的政府采购政策，详见谈判文件。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i w:val="0"/>
          <w:caps w:val="0"/>
          <w:color w:val="auto"/>
          <w:spacing w:val="0"/>
          <w:sz w:val="24"/>
          <w:szCs w:val="24"/>
          <w:highlight w:val="none"/>
          <w:shd w:val="clear" w:color="auto" w:fill="FFFFFF"/>
          <w:lang w:val="en-US" w:eastAsia="zh-CN"/>
        </w:rPr>
        <w:t>八</w:t>
      </w:r>
      <w:r>
        <w:rPr>
          <w:rFonts w:hint="eastAsia" w:ascii="仿宋" w:hAnsi="仿宋" w:eastAsia="仿宋" w:cs="仿宋"/>
          <w:b/>
          <w:i w:val="0"/>
          <w:caps w:val="0"/>
          <w:color w:val="auto"/>
          <w:spacing w:val="0"/>
          <w:sz w:val="24"/>
          <w:szCs w:val="24"/>
          <w:highlight w:val="none"/>
          <w:shd w:val="clear" w:color="auto" w:fill="FFFFFF"/>
        </w:rPr>
        <w:t>、</w:t>
      </w:r>
      <w:r>
        <w:rPr>
          <w:rFonts w:hint="eastAsia" w:ascii="仿宋" w:hAnsi="仿宋" w:eastAsia="仿宋" w:cs="仿宋"/>
          <w:b/>
          <w:i w:val="0"/>
          <w:caps w:val="0"/>
          <w:color w:val="auto"/>
          <w:spacing w:val="0"/>
          <w:sz w:val="24"/>
          <w:szCs w:val="24"/>
          <w:highlight w:val="none"/>
          <w:shd w:val="clear" w:color="auto" w:fill="FFFFFF"/>
          <w:lang w:val="en-US" w:eastAsia="zh-CN"/>
        </w:rPr>
        <w:t>凡</w:t>
      </w:r>
      <w:r>
        <w:rPr>
          <w:rFonts w:hint="eastAsia" w:ascii="仿宋" w:hAnsi="仿宋" w:eastAsia="仿宋" w:cs="仿宋"/>
          <w:b/>
          <w:i w:val="0"/>
          <w:caps w:val="0"/>
          <w:color w:val="auto"/>
          <w:spacing w:val="0"/>
          <w:sz w:val="24"/>
          <w:szCs w:val="24"/>
          <w:highlight w:val="none"/>
          <w:shd w:val="clear" w:color="auto" w:fill="FFFFFF"/>
        </w:rPr>
        <w:t>对本次采购提出询问，请按以下方式联系。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1</w:t>
      </w:r>
      <w:r>
        <w:rPr>
          <w:rFonts w:hint="eastAsia" w:ascii="仿宋" w:hAnsi="仿宋" w:eastAsia="仿宋" w:cs="仿宋"/>
          <w:i w:val="0"/>
          <w:caps w:val="0"/>
          <w:color w:val="auto"/>
          <w:spacing w:val="0"/>
          <w:sz w:val="24"/>
          <w:szCs w:val="24"/>
          <w:highlight w:val="none"/>
          <w:shd w:val="clear" w:color="auto" w:fill="FFFFFF"/>
          <w:lang w:val="en-US" w:eastAsia="zh-CN"/>
        </w:rPr>
        <w:t>.</w:t>
      </w:r>
      <w:r>
        <w:rPr>
          <w:rFonts w:hint="eastAsia" w:ascii="仿宋" w:hAnsi="仿宋" w:eastAsia="仿宋" w:cs="仿宋"/>
          <w:i w:val="0"/>
          <w:caps w:val="0"/>
          <w:color w:val="auto"/>
          <w:spacing w:val="0"/>
          <w:sz w:val="24"/>
          <w:szCs w:val="24"/>
          <w:highlight w:val="none"/>
          <w:shd w:val="clear" w:color="auto" w:fill="FFFFFF"/>
        </w:rPr>
        <w:t>采购人信息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名称：西安市莲湖区行政审批服务局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lang w:val="en-US" w:eastAsia="zh-CN"/>
        </w:rPr>
        <w:t>地址：西安市莲湖区大土门20号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lang w:val="en-US" w:eastAsia="zh-CN"/>
        </w:rPr>
        <w:t>联系方式</w:t>
      </w:r>
      <w:r>
        <w:rPr>
          <w:rFonts w:hint="eastAsia" w:ascii="仿宋" w:hAnsi="仿宋" w:eastAsia="仿宋" w:cs="仿宋"/>
          <w:i w:val="0"/>
          <w:caps w:val="0"/>
          <w:color w:val="auto"/>
          <w:spacing w:val="0"/>
          <w:sz w:val="24"/>
          <w:szCs w:val="24"/>
          <w:highlight w:val="none"/>
          <w:shd w:val="clear" w:color="auto" w:fill="FFFFFF"/>
        </w:rPr>
        <w:t>：029-81508109</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lang w:val="en-US" w:eastAsia="zh-CN"/>
        </w:rPr>
        <w:t>2.</w:t>
      </w:r>
      <w:r>
        <w:rPr>
          <w:rFonts w:hint="eastAsia" w:ascii="仿宋" w:hAnsi="仿宋" w:eastAsia="仿宋" w:cs="仿宋"/>
          <w:i w:val="0"/>
          <w:caps w:val="0"/>
          <w:color w:val="auto"/>
          <w:spacing w:val="0"/>
          <w:sz w:val="24"/>
          <w:szCs w:val="24"/>
          <w:highlight w:val="none"/>
          <w:shd w:val="clear" w:color="auto" w:fill="FFFFFF"/>
        </w:rPr>
        <w:t>采购代理机构信息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名称：华夏国际项目管理有限公司</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地址：西安市高新区科技五路8号数字大</w:t>
      </w:r>
      <w:r>
        <w:rPr>
          <w:rFonts w:hint="eastAsia" w:ascii="仿宋" w:hAnsi="仿宋" w:eastAsia="仿宋" w:cs="仿宋"/>
          <w:i w:val="0"/>
          <w:caps w:val="0"/>
          <w:color w:val="auto"/>
          <w:spacing w:val="0"/>
          <w:sz w:val="24"/>
          <w:szCs w:val="24"/>
          <w:highlight w:val="none"/>
          <w:shd w:val="clear" w:color="auto" w:fill="FFFFFF"/>
        </w:rPr>
        <w:t>厦11楼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u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联系方式：029-88899970/72/73/75</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3.项目联系方式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项目联系人：</w:t>
      </w:r>
      <w:r>
        <w:rPr>
          <w:rFonts w:hint="eastAsia" w:ascii="仿宋" w:hAnsi="仿宋" w:eastAsia="仿宋" w:cs="仿宋"/>
          <w:i w:val="0"/>
          <w:caps w:val="0"/>
          <w:color w:val="auto"/>
          <w:spacing w:val="0"/>
          <w:sz w:val="24"/>
          <w:szCs w:val="24"/>
          <w:highlight w:val="none"/>
          <w:shd w:val="clear" w:color="auto" w:fill="FFFFFF"/>
          <w:lang w:val="en-US" w:eastAsia="zh-CN"/>
        </w:rPr>
        <w:t>王富敏</w:t>
      </w:r>
      <w:r>
        <w:rPr>
          <w:rFonts w:hint="eastAsia" w:ascii="仿宋" w:hAnsi="仿宋" w:eastAsia="仿宋" w:cs="仿宋"/>
          <w:i w:val="0"/>
          <w:caps w:val="0"/>
          <w:color w:val="auto"/>
          <w:spacing w:val="0"/>
          <w:sz w:val="24"/>
          <w:szCs w:val="24"/>
          <w:highlight w:val="none"/>
          <w:shd w:val="clear" w:color="auto" w:fill="FFFFFF"/>
        </w:rPr>
        <w:t>、张艳萍、李莹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4"/>
          <w:szCs w:val="24"/>
          <w:highlight w:val="none"/>
          <w:u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rPr>
        <w:t>联系方式：029-88899970/72/73/75-8</w:t>
      </w:r>
      <w:r>
        <w:rPr>
          <w:rFonts w:hint="eastAsia" w:ascii="仿宋" w:hAnsi="仿宋" w:eastAsia="仿宋" w:cs="仿宋"/>
          <w:i w:val="0"/>
          <w:caps w:val="0"/>
          <w:color w:val="auto"/>
          <w:spacing w:val="0"/>
          <w:sz w:val="24"/>
          <w:szCs w:val="24"/>
          <w:highlight w:val="none"/>
          <w:shd w:val="clear" w:color="auto" w:fill="FFFFFF"/>
          <w:lang w:val="en-US" w:eastAsia="zh-CN"/>
        </w:rPr>
        <w:t>23</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lang w:val="en-US" w:eastAsia="zh-CN"/>
        </w:rPr>
        <w:t xml:space="preserve">                 </w:t>
      </w:r>
      <w:r>
        <w:rPr>
          <w:rFonts w:hint="eastAsia" w:ascii="仿宋" w:hAnsi="仿宋" w:eastAsia="仿宋" w:cs="仿宋"/>
          <w:i w:val="0"/>
          <w:caps w:val="0"/>
          <w:color w:val="auto"/>
          <w:spacing w:val="0"/>
          <w:sz w:val="24"/>
          <w:szCs w:val="24"/>
          <w:highlight w:val="none"/>
          <w:shd w:val="clear" w:color="auto" w:fill="FFFFFF"/>
        </w:rPr>
        <w:t>华夏国际项目管理有限公司</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lang w:val="en-US" w:eastAsia="zh-CN"/>
        </w:rPr>
        <w:t xml:space="preserve">                  </w:t>
      </w:r>
      <w:r>
        <w:rPr>
          <w:rFonts w:hint="eastAsia" w:ascii="仿宋" w:hAnsi="仿宋" w:eastAsia="仿宋" w:cs="仿宋"/>
          <w:i w:val="0"/>
          <w:caps w:val="0"/>
          <w:color w:val="auto"/>
          <w:spacing w:val="0"/>
          <w:sz w:val="24"/>
          <w:szCs w:val="24"/>
          <w:highlight w:val="none"/>
          <w:shd w:val="clear" w:color="auto" w:fill="FFFFFF"/>
          <w:lang w:eastAsia="zh-CN"/>
        </w:rPr>
        <w:t>2022</w:t>
      </w:r>
      <w:r>
        <w:rPr>
          <w:rFonts w:hint="eastAsia" w:ascii="仿宋" w:hAnsi="仿宋" w:eastAsia="仿宋" w:cs="仿宋"/>
          <w:i w:val="0"/>
          <w:caps w:val="0"/>
          <w:color w:val="auto"/>
          <w:spacing w:val="0"/>
          <w:sz w:val="24"/>
          <w:szCs w:val="24"/>
          <w:highlight w:val="none"/>
          <w:shd w:val="clear" w:color="auto" w:fill="FFFFFF"/>
        </w:rPr>
        <w:t>年</w:t>
      </w:r>
      <w:r>
        <w:rPr>
          <w:rFonts w:hint="eastAsia" w:ascii="仿宋" w:hAnsi="仿宋" w:eastAsia="仿宋" w:cs="仿宋"/>
          <w:i w:val="0"/>
          <w:caps w:val="0"/>
          <w:color w:val="auto"/>
          <w:spacing w:val="0"/>
          <w:sz w:val="24"/>
          <w:szCs w:val="24"/>
          <w:highlight w:val="none"/>
          <w:shd w:val="clear" w:color="auto" w:fill="FFFFFF"/>
          <w:lang w:val="en-US" w:eastAsia="zh-CN"/>
        </w:rPr>
        <w:t>08</w:t>
      </w:r>
      <w:r>
        <w:rPr>
          <w:rFonts w:hint="eastAsia" w:ascii="仿宋" w:hAnsi="仿宋" w:eastAsia="仿宋" w:cs="仿宋"/>
          <w:i w:val="0"/>
          <w:caps w:val="0"/>
          <w:color w:val="auto"/>
          <w:spacing w:val="0"/>
          <w:sz w:val="24"/>
          <w:szCs w:val="24"/>
          <w:highlight w:val="none"/>
          <w:shd w:val="clear" w:color="auto" w:fill="FFFFFF"/>
        </w:rPr>
        <w:t>月</w:t>
      </w:r>
      <w:r>
        <w:rPr>
          <w:rFonts w:hint="eastAsia" w:ascii="仿宋" w:hAnsi="仿宋" w:eastAsia="仿宋" w:cs="仿宋"/>
          <w:i w:val="0"/>
          <w:caps w:val="0"/>
          <w:color w:val="auto"/>
          <w:spacing w:val="0"/>
          <w:sz w:val="24"/>
          <w:szCs w:val="24"/>
          <w:highlight w:val="none"/>
          <w:shd w:val="clear" w:color="auto" w:fill="FFFFFF"/>
          <w:lang w:val="en-US" w:eastAsia="zh-CN"/>
        </w:rPr>
        <w:t>10</w:t>
      </w:r>
      <w:r>
        <w:rPr>
          <w:rFonts w:hint="eastAsia" w:ascii="仿宋" w:hAnsi="仿宋" w:eastAsia="仿宋" w:cs="仿宋"/>
          <w:i w:val="0"/>
          <w:caps w:val="0"/>
          <w:color w:val="auto"/>
          <w:spacing w:val="0"/>
          <w:sz w:val="24"/>
          <w:szCs w:val="24"/>
          <w:highlight w:val="none"/>
          <w:shd w:val="clear" w:color="auto" w:fill="FFFFFF"/>
        </w:rPr>
        <w:t>日</w:t>
      </w:r>
    </w:p>
    <w:p>
      <w:pPr>
        <w:spacing w:line="360" w:lineRule="auto"/>
        <w:rPr>
          <w:rFonts w:hint="eastAsia" w:ascii="仿宋" w:hAnsi="仿宋" w:eastAsia="仿宋" w:cs="仿宋"/>
          <w:b/>
          <w:color w:val="auto"/>
          <w:kern w:val="0"/>
          <w:sz w:val="24"/>
          <w:szCs w:val="24"/>
          <w:highlight w:val="none"/>
        </w:rPr>
      </w:pPr>
    </w:p>
    <w:p>
      <w:pPr>
        <w:pStyle w:val="2"/>
        <w:jc w:val="center"/>
        <w:outlineLvl w:val="0"/>
        <w:rPr>
          <w:rFonts w:hint="eastAsia" w:ascii="仿宋" w:hAnsi="仿宋" w:eastAsia="仿宋" w:cs="仿宋"/>
          <w:b/>
          <w:bCs/>
          <w:color w:val="auto"/>
          <w:sz w:val="36"/>
          <w:szCs w:val="36"/>
          <w:highlight w:val="none"/>
        </w:rPr>
      </w:pPr>
      <w:r>
        <w:rPr>
          <w:rFonts w:hint="eastAsia" w:ascii="仿宋" w:hAnsi="仿宋" w:eastAsia="仿宋" w:cs="仿宋"/>
          <w:color w:val="auto"/>
          <w:highlight w:val="none"/>
        </w:rPr>
        <w:br w:type="page"/>
      </w:r>
      <w:bookmarkStart w:id="10" w:name="_Toc13792"/>
      <w:r>
        <w:rPr>
          <w:rFonts w:hint="eastAsia" w:ascii="仿宋" w:hAnsi="仿宋" w:eastAsia="仿宋" w:cs="仿宋"/>
          <w:b/>
          <w:bCs/>
          <w:color w:val="auto"/>
          <w:sz w:val="36"/>
          <w:szCs w:val="36"/>
          <w:highlight w:val="none"/>
        </w:rPr>
        <w:t xml:space="preserve">第二章 </w:t>
      </w:r>
      <w:r>
        <w:rPr>
          <w:rFonts w:hint="eastAsia" w:ascii="仿宋" w:hAnsi="仿宋" w:eastAsia="仿宋" w:cs="仿宋"/>
          <w:b/>
          <w:bCs/>
          <w:color w:val="auto"/>
          <w:sz w:val="36"/>
          <w:szCs w:val="36"/>
          <w:highlight w:val="none"/>
          <w:lang w:eastAsia="zh-CN"/>
        </w:rPr>
        <w:t>供应商</w:t>
      </w:r>
      <w:r>
        <w:rPr>
          <w:rFonts w:hint="eastAsia" w:ascii="仿宋" w:hAnsi="仿宋" w:eastAsia="仿宋" w:cs="仿宋"/>
          <w:b/>
          <w:bCs/>
          <w:color w:val="auto"/>
          <w:sz w:val="36"/>
          <w:szCs w:val="36"/>
          <w:highlight w:val="none"/>
        </w:rPr>
        <w:t>须知</w:t>
      </w:r>
      <w:bookmarkEnd w:id="6"/>
      <w:bookmarkEnd w:id="9"/>
      <w:bookmarkEnd w:id="10"/>
    </w:p>
    <w:p>
      <w:pPr>
        <w:spacing w:after="156" w:afterLines="50" w:line="360" w:lineRule="auto"/>
        <w:jc w:val="center"/>
        <w:outlineLvl w:val="1"/>
        <w:rPr>
          <w:rFonts w:hint="eastAsia" w:ascii="仿宋" w:hAnsi="仿宋" w:eastAsia="仿宋" w:cs="仿宋"/>
          <w:b/>
          <w:color w:val="auto"/>
          <w:kern w:val="0"/>
          <w:sz w:val="32"/>
          <w:szCs w:val="32"/>
          <w:highlight w:val="none"/>
        </w:rPr>
      </w:pPr>
      <w:bookmarkStart w:id="11" w:name="_Toc425781308"/>
      <w:bookmarkStart w:id="12" w:name="_Toc5265"/>
      <w:bookmarkStart w:id="13" w:name="_Toc27507"/>
      <w:r>
        <w:rPr>
          <w:rFonts w:hint="eastAsia" w:ascii="仿宋" w:hAnsi="仿宋" w:eastAsia="仿宋" w:cs="仿宋"/>
          <w:b/>
          <w:color w:val="auto"/>
          <w:kern w:val="0"/>
          <w:sz w:val="32"/>
          <w:szCs w:val="32"/>
          <w:highlight w:val="none"/>
          <w:lang w:eastAsia="zh-CN"/>
        </w:rPr>
        <w:t>供应商</w:t>
      </w:r>
      <w:r>
        <w:rPr>
          <w:rFonts w:hint="eastAsia" w:ascii="仿宋" w:hAnsi="仿宋" w:eastAsia="仿宋" w:cs="仿宋"/>
          <w:b/>
          <w:color w:val="auto"/>
          <w:kern w:val="0"/>
          <w:sz w:val="32"/>
          <w:szCs w:val="32"/>
          <w:highlight w:val="none"/>
        </w:rPr>
        <w:t>须知前附表</w:t>
      </w:r>
      <w:bookmarkEnd w:id="2"/>
      <w:bookmarkEnd w:id="3"/>
      <w:bookmarkEnd w:id="4"/>
      <w:bookmarkEnd w:id="7"/>
      <w:bookmarkEnd w:id="11"/>
      <w:bookmarkEnd w:id="12"/>
      <w:bookmarkEnd w:id="13"/>
      <w:bookmarkStart w:id="163" w:name="_GoBack"/>
      <w:bookmarkEnd w:id="163"/>
    </w:p>
    <w:p>
      <w:pPr>
        <w:spacing w:line="360" w:lineRule="auto"/>
        <w:ind w:firstLine="120" w:firstLineChars="50"/>
        <w:rPr>
          <w:rFonts w:hint="eastAsia" w:ascii="仿宋" w:hAnsi="仿宋" w:eastAsia="仿宋" w:cs="仿宋"/>
          <w:color w:val="auto"/>
          <w:highlight w:val="none"/>
        </w:rPr>
      </w:pPr>
      <w:r>
        <w:rPr>
          <w:rFonts w:hint="eastAsia" w:ascii="仿宋" w:hAnsi="仿宋" w:eastAsia="仿宋" w:cs="仿宋"/>
          <w:color w:val="auto"/>
          <w:sz w:val="24"/>
          <w:highlight w:val="none"/>
        </w:rPr>
        <w:t>本表是对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须知的具体补充和修改，如有矛盾，应以本资料表为准。</w:t>
      </w:r>
    </w:p>
    <w:tbl>
      <w:tblPr>
        <w:tblStyle w:val="2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6"/>
        <w:gridCol w:w="1844"/>
        <w:gridCol w:w="63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7" w:hRule="atLeast"/>
          <w:tblHeader/>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1844"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条款内容提示</w:t>
            </w:r>
          </w:p>
        </w:tc>
        <w:tc>
          <w:tcPr>
            <w:tcW w:w="6371"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7" w:hRule="atLeast"/>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lang w:val="en-US" w:eastAsia="zh-CN"/>
              </w:rPr>
              <w:t>2.1</w:t>
            </w:r>
          </w:p>
        </w:tc>
        <w:tc>
          <w:tcPr>
            <w:tcW w:w="1844"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采购人</w:t>
            </w:r>
          </w:p>
        </w:tc>
        <w:tc>
          <w:tcPr>
            <w:tcW w:w="63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42" w:leftChars="2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en-US" w:eastAsia="zh-CN"/>
              </w:rPr>
              <w:t>西安市莲湖区行政审批服务局</w:t>
            </w:r>
          </w:p>
          <w:p>
            <w:pPr>
              <w:keepNext w:val="0"/>
              <w:keepLines w:val="0"/>
              <w:pageBreakBefore w:val="0"/>
              <w:widowControl/>
              <w:kinsoku/>
              <w:wordWrap/>
              <w:overflowPunct/>
              <w:topLinePunct w:val="0"/>
              <w:autoSpaceDE/>
              <w:autoSpaceDN/>
              <w:bidi w:val="0"/>
              <w:adjustRightInd/>
              <w:snapToGrid/>
              <w:spacing w:line="360" w:lineRule="auto"/>
              <w:ind w:left="42" w:leftChars="2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地址：西安市莲湖区大土门20号</w:t>
            </w:r>
          </w:p>
          <w:p>
            <w:pPr>
              <w:keepNext w:val="0"/>
              <w:keepLines w:val="0"/>
              <w:pageBreakBefore w:val="0"/>
              <w:widowControl/>
              <w:kinsoku/>
              <w:wordWrap/>
              <w:overflowPunct/>
              <w:topLinePunct w:val="0"/>
              <w:autoSpaceDE/>
              <w:autoSpaceDN/>
              <w:bidi w:val="0"/>
              <w:adjustRightInd/>
              <w:snapToGrid/>
              <w:spacing w:line="360" w:lineRule="auto"/>
              <w:ind w:left="42" w:leftChars="2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lang w:val="en-US" w:eastAsia="zh-CN"/>
              </w:rPr>
              <w:t>翟老师</w:t>
            </w:r>
          </w:p>
          <w:p>
            <w:pPr>
              <w:keepNext w:val="0"/>
              <w:keepLines w:val="0"/>
              <w:pageBreakBefore w:val="0"/>
              <w:kinsoku/>
              <w:wordWrap/>
              <w:overflowPunct/>
              <w:topLinePunct w:val="0"/>
              <w:autoSpaceDE/>
              <w:autoSpaceDN/>
              <w:bidi w:val="0"/>
              <w:adjustRightInd/>
              <w:snapToGrid/>
              <w:spacing w:line="360" w:lineRule="auto"/>
              <w:ind w:left="42" w:leftChars="2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联系方式：029-81508109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20" w:hRule="atLeast"/>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p>
        </w:tc>
        <w:tc>
          <w:tcPr>
            <w:tcW w:w="1844"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采购代理机构</w:t>
            </w:r>
          </w:p>
        </w:tc>
        <w:tc>
          <w:tcPr>
            <w:tcW w:w="6371"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华夏国际项目管理有限公司</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西安市高新区科技五路8号数字大厦11楼</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邮编：710075</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rPr>
              <w:t>029-88899970</w:t>
            </w:r>
            <w:r>
              <w:rPr>
                <w:rFonts w:hint="eastAsia" w:ascii="仿宋" w:hAnsi="仿宋" w:eastAsia="仿宋" w:cs="仿宋"/>
                <w:color w:val="auto"/>
                <w:sz w:val="24"/>
                <w:szCs w:val="24"/>
                <w:highlight w:val="none"/>
                <w:lang w:val="en-US" w:eastAsia="zh-CN"/>
              </w:rPr>
              <w:t>/72/73/75-823</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真：029-88765658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5" w:hRule="atLeast"/>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p>
        </w:tc>
        <w:tc>
          <w:tcPr>
            <w:tcW w:w="1844"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联合体谈判</w:t>
            </w:r>
          </w:p>
        </w:tc>
        <w:tc>
          <w:tcPr>
            <w:tcW w:w="6371"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接受</w:t>
            </w:r>
          </w:p>
          <w:p>
            <w:pPr>
              <w:keepNext w:val="0"/>
              <w:keepLines w:val="0"/>
              <w:pageBreakBefore w:val="0"/>
              <w:kinsoku/>
              <w:wordWrap/>
              <w:overflowPunct/>
              <w:topLinePunct w:val="0"/>
              <w:autoSpaceDE/>
              <w:autoSpaceDN/>
              <w:bidi w:val="0"/>
              <w:adjustRightInd/>
              <w:snapToGrid/>
              <w:spacing w:line="360" w:lineRule="auto"/>
              <w:ind w:left="42" w:leftChars="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w:t>
            </w:r>
          </w:p>
        </w:tc>
        <w:tc>
          <w:tcPr>
            <w:tcW w:w="1844"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是否允许备选方案</w:t>
            </w:r>
          </w:p>
        </w:tc>
        <w:tc>
          <w:tcPr>
            <w:tcW w:w="6371"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允许</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sym w:font="Wingdings" w:char="00FE"/>
            </w:r>
            <w:r>
              <w:rPr>
                <w:rFonts w:hint="eastAsia" w:ascii="仿宋" w:hAnsi="仿宋" w:eastAsia="仿宋" w:cs="仿宋"/>
                <w:color w:val="auto"/>
                <w:sz w:val="24"/>
                <w:szCs w:val="24"/>
                <w:highlight w:val="none"/>
                <w:lang w:val="en-US" w:eastAsia="zh-CN"/>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10.3</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的最小单元</w:t>
            </w:r>
          </w:p>
        </w:tc>
        <w:tc>
          <w:tcPr>
            <w:tcW w:w="63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sym w:font="Wingdings" w:char="00FE"/>
            </w: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的最小单元为“项目全部内容”。任何不完全的</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将按照无效</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处理。</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42" w:leftChars="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kern w:val="0"/>
                <w:sz w:val="24"/>
                <w:szCs w:val="24"/>
                <w:highlight w:val="none"/>
                <w:lang w:val="en-US" w:eastAsia="zh-CN" w:bidi="ar-SA"/>
              </w:rPr>
              <w:t>本次谈判的最小单元为“包”，供应商可对任一包进行谈判响应，但不能对各包中的内容或者分项内容进行不完全响应。任何不完全的响应将按照无效响应文件处理。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56"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12.1</w:t>
            </w:r>
          </w:p>
        </w:tc>
        <w:tc>
          <w:tcPr>
            <w:tcW w:w="184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谈判报价</w:t>
            </w:r>
          </w:p>
        </w:tc>
        <w:tc>
          <w:tcPr>
            <w:tcW w:w="6371"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谈判报价：谈判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应在谈判报价表中标明完成本次</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所要求的货物、服务并验收至合格的所有费用，包括设备（产品）费、安装调试费、运杂费（含保险）、仓储保管费、技术培训费、质保期维护</w:t>
            </w:r>
            <w:r>
              <w:rPr>
                <w:rFonts w:hint="eastAsia" w:ascii="仿宋" w:hAnsi="仿宋" w:eastAsia="仿宋" w:cs="仿宋"/>
                <w:color w:val="auto"/>
                <w:sz w:val="24"/>
                <w:szCs w:val="24"/>
                <w:highlight w:val="none"/>
                <w:lang w:eastAsia="zh-CN"/>
              </w:rPr>
              <w:t>、招标代理服务费、</w:t>
            </w:r>
            <w:r>
              <w:rPr>
                <w:rFonts w:hint="eastAsia" w:ascii="仿宋" w:hAnsi="仿宋" w:eastAsia="仿宋" w:cs="仿宋"/>
                <w:color w:val="auto"/>
                <w:sz w:val="24"/>
                <w:szCs w:val="24"/>
                <w:highlight w:val="none"/>
              </w:rPr>
              <w:t>税金等其他一切相关费用。</w:t>
            </w:r>
          </w:p>
          <w:p>
            <w:pPr>
              <w:keepNext w:val="0"/>
              <w:keepLines w:val="0"/>
              <w:pageBreakBefore w:val="0"/>
              <w:kinsoku/>
              <w:wordWrap/>
              <w:overflowPunct/>
              <w:topLinePunct w:val="0"/>
              <w:autoSpaceDE/>
              <w:autoSpaceDN/>
              <w:bidi w:val="0"/>
              <w:adjustRightInd/>
              <w:snapToGrid/>
              <w:spacing w:line="360" w:lineRule="auto"/>
              <w:ind w:left="42" w:leftChars="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谈判报价表中标明本次货物、服务的所有单项价格和总价，任何有选择的报价将不予接受，按无效响应处理。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85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13.1</w:t>
            </w:r>
          </w:p>
        </w:tc>
        <w:tc>
          <w:tcPr>
            <w:tcW w:w="184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供应商资格证明文件</w:t>
            </w:r>
          </w:p>
        </w:tc>
        <w:tc>
          <w:tcPr>
            <w:tcW w:w="6371"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42" w:leftChars="20" w:right="0" w:rightChars="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1、基本资格条件：符合《中华人民共和国政府采购法》第二十二条的规定，并提供以下资料：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提供合格有效的法人或者其他组织的营业执照等证明文件，自然人的身份证明；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是法人或其他组织的应提供营业执照等证明文件，</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是自然人的应提供有效的自然人身份证明</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sz w:val="24"/>
                <w:szCs w:val="24"/>
                <w:highlight w:val="none"/>
                <w:lang w:val="en-US" w:eastAsia="zh-CN"/>
              </w:rPr>
              <w:t>提供2021年度经审计</w:t>
            </w:r>
            <w:r>
              <w:rPr>
                <w:rFonts w:hint="eastAsia" w:ascii="仿宋" w:hAnsi="仿宋" w:eastAsia="仿宋" w:cs="仿宋"/>
                <w:b w:val="0"/>
                <w:bCs w:val="0"/>
                <w:color w:val="auto"/>
                <w:sz w:val="24"/>
                <w:szCs w:val="24"/>
                <w:highlight w:val="none"/>
                <w:lang w:val="en-US" w:eastAsia="zh-CN"/>
              </w:rPr>
              <w:t>的财务报告（成立时间至提交响应文件截止时间不足一年的可提供成立后任意时段的资产负债表）或基本存款账户开户银行出具的资信证明及基本存款账户开户许可证（基本账户信息）或财政部门认可的政府采购专业担保机构出具的担保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提供具有履行合同所必需的设备和专业技术能力的承诺；</w:t>
            </w:r>
            <w:r>
              <w:rPr>
                <w:rFonts w:hint="eastAsia" w:ascii="仿宋" w:hAnsi="仿宋" w:eastAsia="仿宋" w:cs="仿宋"/>
                <w:b w:val="0"/>
                <w:bCs w:val="0"/>
                <w:color w:val="auto"/>
                <w:sz w:val="24"/>
                <w:szCs w:val="24"/>
                <w:highlight w:val="none"/>
                <w:lang w:val="en-US" w:eastAsia="zh-CN"/>
              </w:rPr>
              <w:t>（格式自拟）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税收缴纳证明：</w:t>
            </w:r>
            <w:r>
              <w:rPr>
                <w:rFonts w:hint="eastAsia" w:ascii="仿宋" w:hAnsi="仿宋" w:eastAsia="仿宋" w:cs="仿宋"/>
                <w:b w:val="0"/>
                <w:bCs w:val="0"/>
                <w:color w:val="auto"/>
                <w:sz w:val="24"/>
                <w:szCs w:val="24"/>
                <w:highlight w:val="none"/>
                <w:lang w:val="en-US" w:eastAsia="zh-CN"/>
              </w:rPr>
              <w:t>提供谈判响应文件递交截止日前一年内已缴纳的至少一个月的纳</w:t>
            </w:r>
            <w:r>
              <w:rPr>
                <w:rFonts w:hint="eastAsia" w:ascii="仿宋" w:hAnsi="仿宋" w:eastAsia="仿宋" w:cs="仿宋"/>
                <w:b w:val="0"/>
                <w:bCs w:val="0"/>
                <w:color w:val="auto"/>
                <w:sz w:val="24"/>
                <w:szCs w:val="24"/>
                <w:highlight w:val="none"/>
                <w:lang w:val="en-US" w:eastAsia="zh-CN"/>
              </w:rPr>
              <w:t>税证明或完税证明，依法免税的单位应提供相关证明材料；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社会保障资金缴纳证明：提供谈判响应文件递交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参加政府采购活动前3年内，在经营活动中没有重大违法记录的书面声明。（格式自拟）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2、落实政府采购政策需满足的资格要求：</w:t>
            </w:r>
            <w:r>
              <w:rPr>
                <w:rFonts w:hint="eastAsia" w:ascii="仿宋" w:hAnsi="仿宋" w:eastAsia="仿宋" w:cs="仿宋"/>
                <w:color w:val="auto"/>
                <w:sz w:val="24"/>
                <w:szCs w:val="24"/>
                <w:highlight w:val="none"/>
              </w:rPr>
              <w:t>本项目专门面向中小企业采购，产品生产商应为中小微企业或监狱企业或残疾人福利性单位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生产商</w:t>
            </w:r>
            <w:r>
              <w:rPr>
                <w:rFonts w:hint="eastAsia" w:ascii="仿宋" w:hAnsi="仿宋" w:eastAsia="仿宋" w:cs="仿宋"/>
                <w:color w:val="auto"/>
                <w:sz w:val="24"/>
                <w:szCs w:val="24"/>
                <w:highlight w:val="none"/>
                <w:lang w:val="en-US" w:eastAsia="zh-CN"/>
              </w:rPr>
              <w:t>为中型、小型、微型企业的，提供《中小企业声明函》；</w:t>
            </w:r>
            <w:r>
              <w:rPr>
                <w:rFonts w:hint="eastAsia" w:ascii="仿宋" w:hAnsi="仿宋" w:eastAsia="仿宋" w:cs="仿宋"/>
                <w:color w:val="auto"/>
                <w:sz w:val="24"/>
                <w:szCs w:val="24"/>
                <w:highlight w:val="none"/>
              </w:rPr>
              <w:t>生产商</w:t>
            </w:r>
            <w:r>
              <w:rPr>
                <w:rFonts w:hint="eastAsia" w:ascii="仿宋" w:hAnsi="仿宋" w:eastAsia="仿宋" w:cs="仿宋"/>
                <w:color w:val="auto"/>
                <w:sz w:val="24"/>
                <w:szCs w:val="24"/>
                <w:highlight w:val="none"/>
                <w:lang w:val="en-US" w:eastAsia="zh-CN"/>
              </w:rPr>
              <w:t>为监狱企业的，应提供监狱企业的证明文件；</w:t>
            </w:r>
            <w:r>
              <w:rPr>
                <w:rFonts w:hint="eastAsia" w:ascii="仿宋" w:hAnsi="仿宋" w:eastAsia="仿宋" w:cs="仿宋"/>
                <w:color w:val="auto"/>
                <w:sz w:val="24"/>
                <w:szCs w:val="24"/>
                <w:highlight w:val="none"/>
              </w:rPr>
              <w:t>生产商</w:t>
            </w:r>
            <w:r>
              <w:rPr>
                <w:rFonts w:hint="eastAsia" w:ascii="仿宋" w:hAnsi="仿宋" w:eastAsia="仿宋" w:cs="仿宋"/>
                <w:color w:val="auto"/>
                <w:sz w:val="24"/>
                <w:szCs w:val="24"/>
                <w:highlight w:val="none"/>
                <w:lang w:val="en-US" w:eastAsia="zh-CN"/>
              </w:rPr>
              <w:t>为残疾人福利性单位的，应提供《残疾人福利性单位声明函》。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3、特定资格条件：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法定代表人授权书（附法定代表人、被授权人身份证复印件）及被授权人身份证（法定代表人直接参加谈判，须提供法定代表人身份证明及身份证原件）；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供应商未被“信用中国”网站（www.creditchina.gov.cn）列入失信被执行人和重大税收违法失信主体，未被中国政府采购网（www.ccgp.gov.cn）列入政府采购严重违法失信行为记录名单。</w:t>
            </w:r>
          </w:p>
          <w:p>
            <w:pPr>
              <w:keepNext w:val="0"/>
              <w:keepLines w:val="0"/>
              <w:pageBreakBefore w:val="0"/>
              <w:kinsoku/>
              <w:wordWrap/>
              <w:overflowPunct/>
              <w:topLinePunct w:val="0"/>
              <w:autoSpaceDE/>
              <w:autoSpaceDN/>
              <w:bidi w:val="0"/>
              <w:adjustRightInd/>
              <w:snapToGrid/>
              <w:spacing w:line="360" w:lineRule="auto"/>
              <w:ind w:left="42" w:leftChars="20" w:firstLine="480" w:firstLineChars="200"/>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以上为必备</w:t>
            </w:r>
            <w:r>
              <w:rPr>
                <w:rFonts w:hint="eastAsia" w:ascii="仿宋" w:hAnsi="仿宋" w:eastAsia="仿宋" w:cs="仿宋"/>
                <w:b w:val="0"/>
                <w:bCs w:val="0"/>
                <w:color w:val="auto"/>
                <w:sz w:val="24"/>
                <w:szCs w:val="24"/>
                <w:highlight w:val="none"/>
                <w:lang w:eastAsia="zh-CN"/>
              </w:rPr>
              <w:t>资格要求（特定资格条件第</w:t>
            </w:r>
            <w:r>
              <w:rPr>
                <w:rFonts w:hint="eastAsia" w:ascii="仿宋" w:hAnsi="仿宋" w:eastAsia="仿宋" w:cs="仿宋"/>
                <w:b w:val="0"/>
                <w:bCs w:val="0"/>
                <w:color w:val="auto"/>
                <w:sz w:val="24"/>
                <w:szCs w:val="24"/>
                <w:highlight w:val="none"/>
                <w:lang w:val="en-US" w:eastAsia="zh-CN"/>
              </w:rPr>
              <w:t>2项可不提供</w:t>
            </w:r>
            <w:r>
              <w:rPr>
                <w:rFonts w:hint="eastAsia" w:ascii="仿宋" w:hAnsi="仿宋" w:eastAsia="仿宋" w:cs="仿宋"/>
                <w:b w:val="0"/>
                <w:bCs w:val="0"/>
                <w:color w:val="auto"/>
                <w:sz w:val="24"/>
                <w:szCs w:val="24"/>
                <w:highlight w:val="none"/>
                <w:lang w:eastAsia="zh-CN"/>
              </w:rPr>
              <w:t>，由代理机构查询并留存）</w:t>
            </w:r>
            <w:r>
              <w:rPr>
                <w:rFonts w:hint="eastAsia" w:ascii="仿宋" w:hAnsi="仿宋" w:eastAsia="仿宋" w:cs="仿宋"/>
                <w:b w:val="0"/>
                <w:bCs w:val="0"/>
                <w:color w:val="auto"/>
                <w:sz w:val="24"/>
                <w:szCs w:val="24"/>
                <w:highlight w:val="none"/>
              </w:rPr>
              <w:t>，缺一项或某项达不到要求，按无效</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处理。</w:t>
            </w:r>
            <w:r>
              <w:rPr>
                <w:rFonts w:hint="eastAsia" w:ascii="仿宋" w:hAnsi="仿宋" w:eastAsia="仿宋" w:cs="仿宋"/>
                <w:b w:val="0"/>
                <w:bCs w:val="0"/>
                <w:color w:val="auto"/>
                <w:sz w:val="24"/>
                <w:szCs w:val="24"/>
                <w:highlight w:val="none"/>
                <w:lang w:eastAsia="zh-CN"/>
              </w:rPr>
              <w:t>除</w:t>
            </w:r>
            <w:r>
              <w:rPr>
                <w:rFonts w:hint="eastAsia" w:ascii="仿宋" w:hAnsi="仿宋" w:eastAsia="仿宋" w:cs="仿宋"/>
                <w:b w:val="0"/>
                <w:bCs w:val="0"/>
                <w:color w:val="auto"/>
                <w:sz w:val="24"/>
                <w:szCs w:val="24"/>
                <w:highlight w:val="none"/>
              </w:rPr>
              <w:t>法定代表人身份证明或法定代表人授权书及</w:t>
            </w:r>
            <w:r>
              <w:rPr>
                <w:rFonts w:hint="eastAsia" w:ascii="仿宋" w:hAnsi="仿宋" w:eastAsia="仿宋" w:cs="仿宋"/>
                <w:b w:val="0"/>
                <w:bCs w:val="0"/>
                <w:color w:val="auto"/>
                <w:sz w:val="24"/>
                <w:szCs w:val="24"/>
                <w:highlight w:val="none"/>
                <w:lang w:eastAsia="zh-CN"/>
              </w:rPr>
              <w:t>相关声明或承诺需将原件装订在谈判响应文件正本中外，其他所有证明文件的复印件必须加盖单位公章附在谈判响应文件中，原件随身携带以备审查。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 w:leftChars="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未注明要求原件的资格文件，在谈判后的任何时间，谈判小组都有权随时要求审查原件，如果不能按规定时间提供，由此造成的不利后果由供应商承担</w:t>
            </w:r>
            <w:r>
              <w:rPr>
                <w:rFonts w:hint="eastAsia" w:ascii="仿宋" w:hAnsi="仿宋" w:eastAsia="仿宋" w:cs="仿宋"/>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5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谈判保证金</w:t>
            </w:r>
          </w:p>
        </w:tc>
        <w:tc>
          <w:tcPr>
            <w:tcW w:w="637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856" w:type="dxa"/>
            <w:tcBorders>
              <w:top w:val="single" w:color="auto" w:sz="4" w:space="0"/>
              <w:bottom w:val="single" w:color="auto" w:sz="4" w:space="0"/>
            </w:tcBorders>
            <w:noWrap w:val="0"/>
            <w:vAlign w:val="bottom"/>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16.1</w:t>
            </w:r>
          </w:p>
        </w:tc>
        <w:tc>
          <w:tcPr>
            <w:tcW w:w="1844" w:type="dxa"/>
            <w:tcBorders>
              <w:top w:val="single" w:color="auto" w:sz="4" w:space="0"/>
              <w:bottom w:val="single" w:color="auto" w:sz="4" w:space="0"/>
            </w:tcBorders>
            <w:noWrap w:val="0"/>
            <w:vAlign w:val="bottom"/>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谈判有效期</w:t>
            </w:r>
          </w:p>
        </w:tc>
        <w:tc>
          <w:tcPr>
            <w:tcW w:w="6371" w:type="dxa"/>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auto"/>
              <w:ind w:left="42" w:leftChars="2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谈判响应文件的递交截止之日起90天。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2" w:hRule="atLeast"/>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p>
        </w:tc>
        <w:tc>
          <w:tcPr>
            <w:tcW w:w="1844"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谈判响应文件的</w:t>
            </w:r>
            <w:r>
              <w:rPr>
                <w:rFonts w:hint="eastAsia" w:ascii="仿宋" w:hAnsi="仿宋" w:eastAsia="仿宋" w:cs="仿宋"/>
                <w:color w:val="auto"/>
                <w:sz w:val="24"/>
                <w:szCs w:val="24"/>
                <w:highlight w:val="none"/>
                <w:lang w:val="en-US" w:eastAsia="zh-CN"/>
              </w:rPr>
              <w:t>份数及要求</w:t>
            </w:r>
          </w:p>
        </w:tc>
        <w:tc>
          <w:tcPr>
            <w:tcW w:w="6371"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正本的份数：</w:t>
            </w:r>
            <w:r>
              <w:rPr>
                <w:rFonts w:hint="eastAsia" w:ascii="仿宋" w:hAnsi="仿宋" w:eastAsia="仿宋" w:cs="仿宋"/>
                <w:color w:val="auto"/>
                <w:sz w:val="24"/>
                <w:szCs w:val="24"/>
                <w:highlight w:val="none"/>
                <w:u w:val="none"/>
              </w:rPr>
              <w:t>壹</w:t>
            </w:r>
            <w:r>
              <w:rPr>
                <w:rFonts w:hint="eastAsia" w:ascii="仿宋" w:hAnsi="仿宋" w:eastAsia="仿宋" w:cs="仿宋"/>
                <w:color w:val="auto"/>
                <w:sz w:val="24"/>
                <w:szCs w:val="24"/>
                <w:highlight w:val="none"/>
              </w:rPr>
              <w:t>份；</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副本的份数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rPr>
              <w:t>贰</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报价一览表：</w:t>
            </w:r>
            <w:r>
              <w:rPr>
                <w:rFonts w:hint="eastAsia" w:ascii="仿宋" w:hAnsi="仿宋" w:eastAsia="仿宋" w:cs="仿宋"/>
                <w:color w:val="auto"/>
                <w:sz w:val="24"/>
                <w:szCs w:val="24"/>
                <w:highlight w:val="none"/>
              </w:rPr>
              <w:t>壹</w:t>
            </w:r>
            <w:r>
              <w:rPr>
                <w:rFonts w:hint="eastAsia" w:ascii="仿宋" w:hAnsi="仿宋" w:eastAsia="仿宋" w:cs="仿宋"/>
                <w:color w:val="auto"/>
                <w:sz w:val="24"/>
                <w:szCs w:val="24"/>
                <w:highlight w:val="none"/>
                <w:lang w:eastAsia="zh-CN"/>
              </w:rPr>
              <w:t>份；</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电子版（U盘）：</w:t>
            </w:r>
            <w:r>
              <w:rPr>
                <w:rFonts w:hint="eastAsia" w:ascii="仿宋" w:hAnsi="仿宋" w:eastAsia="仿宋" w:cs="仿宋"/>
                <w:color w:val="auto"/>
                <w:sz w:val="24"/>
                <w:szCs w:val="24"/>
                <w:highlight w:val="none"/>
                <w:u w:val="none"/>
                <w:lang w:eastAsia="zh-CN"/>
              </w:rPr>
              <w:t>壹</w:t>
            </w:r>
            <w:r>
              <w:rPr>
                <w:rFonts w:hint="eastAsia" w:ascii="仿宋" w:hAnsi="仿宋" w:eastAsia="仿宋" w:cs="仿宋"/>
                <w:color w:val="auto"/>
                <w:sz w:val="24"/>
                <w:szCs w:val="24"/>
                <w:highlight w:val="none"/>
                <w:lang w:eastAsia="zh-CN"/>
              </w:rPr>
              <w:t>份（需在盘面上标注</w:t>
            </w:r>
            <w:r>
              <w:rPr>
                <w:rFonts w:hint="eastAsia" w:ascii="仿宋" w:hAnsi="仿宋" w:eastAsia="仿宋" w:cs="仿宋"/>
                <w:color w:val="auto"/>
                <w:sz w:val="24"/>
                <w:szCs w:val="24"/>
                <w:highlight w:val="none"/>
                <w:lang w:val="en-US" w:eastAsia="zh-CN"/>
              </w:rPr>
              <w:t>供应商全称、项目名称、编号）</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电子版包括：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（1）word版谈判响应文件；</w:t>
            </w:r>
          </w:p>
          <w:p>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（2）谈判响应文件正本签字盖章后的PDF格式扫描件，与正本具有同等法律效力。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9" w:hRule="atLeast"/>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.2</w:t>
            </w:r>
          </w:p>
        </w:tc>
        <w:tc>
          <w:tcPr>
            <w:tcW w:w="1844"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谈判响应文件的密封和标记</w:t>
            </w:r>
          </w:p>
        </w:tc>
        <w:tc>
          <w:tcPr>
            <w:tcW w:w="63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right="0" w:rightChars="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1、密封包装方式：</w:t>
            </w:r>
          </w:p>
          <w:p>
            <w:pPr>
              <w:keepNext w:val="0"/>
              <w:keepLines w:val="0"/>
              <w:pageBreakBefore w:val="0"/>
              <w:widowControl w:val="0"/>
              <w:kinsoku/>
              <w:wordWrap/>
              <w:overflowPunct/>
              <w:topLinePunct w:val="0"/>
              <w:autoSpaceDE/>
              <w:autoSpaceDN/>
              <w:bidi w:val="0"/>
              <w:adjustRightInd/>
              <w:snapToGrid/>
              <w:spacing w:line="360" w:lineRule="auto"/>
              <w:ind w:left="42" w:leftChars="20" w:right="0" w:rightChars="0" w:firstLine="0" w:firstLine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供应商应将谈判响应文件正本、所有副本、电子版本、报价一览表分别单独密封在封袋中（封袋不得有破损），封袋应加贴封条，并在封线处加盖供应商公章。</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42" w:leftChars="20" w:right="0" w:rightChars="0" w:firstLine="0" w:firstLine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2、外层包装请按以下要求标记：</w:t>
            </w:r>
          </w:p>
          <w:p>
            <w:pPr>
              <w:keepNext w:val="0"/>
              <w:keepLines w:val="0"/>
              <w:pageBreakBefore w:val="0"/>
              <w:widowControl w:val="0"/>
              <w:kinsoku/>
              <w:wordWrap/>
              <w:overflowPunct/>
              <w:topLinePunct w:val="0"/>
              <w:autoSpaceDE/>
              <w:autoSpaceDN/>
              <w:bidi w:val="0"/>
              <w:adjustRightInd/>
              <w:snapToGrid/>
              <w:spacing w:line="360" w:lineRule="auto"/>
              <w:ind w:left="42" w:leftChars="20" w:right="0" w:rightChars="0" w:firstLine="0" w:firstLine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）供应商名称；</w:t>
            </w:r>
          </w:p>
          <w:p>
            <w:pPr>
              <w:pStyle w:val="2"/>
              <w:keepNext w:val="0"/>
              <w:keepLines w:val="0"/>
              <w:pageBreakBefore w:val="0"/>
              <w:kinsoku/>
              <w:wordWrap/>
              <w:overflowPunct/>
              <w:topLinePunct w:val="0"/>
              <w:autoSpaceDE/>
              <w:autoSpaceDN/>
              <w:bidi w:val="0"/>
              <w:adjustRightInd/>
              <w:snapToGrid/>
              <w:spacing w:after="0" w:afterLines="0" w:line="360" w:lineRule="auto"/>
              <w:ind w:left="42" w:leftChars="2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）采购项目名称、采购项目编号；</w:t>
            </w:r>
          </w:p>
          <w:p>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）“正本”、“副本”、“电子版本”、“报价一览表”</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“请勿在＿＿＿＿(谈判时间)之前启封”字样。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w:t>
            </w:r>
          </w:p>
        </w:tc>
        <w:tc>
          <w:tcPr>
            <w:tcW w:w="1844"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谈判响应文件的递交</w:t>
            </w:r>
          </w:p>
        </w:tc>
        <w:tc>
          <w:tcPr>
            <w:tcW w:w="63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谈判响应文件递交截止时间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CN"/>
              </w:rPr>
              <w:t>详见竞争性谈判公告</w:t>
            </w:r>
          </w:p>
          <w:p>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谈判响应文件递交地址：</w:t>
            </w:r>
            <w:r>
              <w:rPr>
                <w:rFonts w:hint="eastAsia" w:ascii="仿宋" w:hAnsi="仿宋" w:eastAsia="仿宋" w:cs="仿宋"/>
                <w:color w:val="auto"/>
                <w:sz w:val="24"/>
                <w:szCs w:val="24"/>
                <w:highlight w:val="none"/>
                <w:lang w:eastAsia="zh-CN"/>
              </w:rPr>
              <w:t>详见竞争性谈判公告</w:t>
            </w:r>
          </w:p>
          <w:p>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谈判响应文件接收人</w:t>
            </w:r>
            <w:r>
              <w:rPr>
                <w:rFonts w:hint="eastAsia" w:ascii="仿宋" w:hAnsi="仿宋" w:eastAsia="仿宋" w:cs="仿宋"/>
                <w:color w:val="auto"/>
                <w:sz w:val="24"/>
                <w:szCs w:val="24"/>
                <w:highlight w:val="none"/>
                <w:lang w:eastAsia="zh-CN"/>
              </w:rPr>
              <w:t>：华夏国际项目管理有限公司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2" w:hRule="atLeast"/>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w:t>
            </w:r>
          </w:p>
        </w:tc>
        <w:tc>
          <w:tcPr>
            <w:tcW w:w="1844"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谈判时间和地点</w:t>
            </w:r>
          </w:p>
        </w:tc>
        <w:tc>
          <w:tcPr>
            <w:tcW w:w="63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谈判时间：</w:t>
            </w:r>
            <w:r>
              <w:rPr>
                <w:rFonts w:hint="eastAsia" w:ascii="仿宋" w:hAnsi="仿宋" w:eastAsia="仿宋" w:cs="仿宋"/>
                <w:color w:val="auto"/>
                <w:sz w:val="24"/>
                <w:szCs w:val="24"/>
                <w:highlight w:val="none"/>
                <w:lang w:eastAsia="zh-CN"/>
              </w:rPr>
              <w:t>同响应文件递交截止时间</w:t>
            </w:r>
          </w:p>
          <w:p>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谈判地点：</w:t>
            </w:r>
            <w:r>
              <w:rPr>
                <w:rFonts w:hint="eastAsia" w:ascii="仿宋" w:hAnsi="仿宋" w:eastAsia="仿宋" w:cs="仿宋"/>
                <w:color w:val="auto"/>
                <w:sz w:val="24"/>
                <w:szCs w:val="24"/>
                <w:highlight w:val="none"/>
                <w:lang w:eastAsia="zh-CN"/>
              </w:rPr>
              <w:t>同响应文件递交地点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w:t>
            </w:r>
          </w:p>
        </w:tc>
        <w:tc>
          <w:tcPr>
            <w:tcW w:w="1844"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评审方法</w:t>
            </w:r>
          </w:p>
        </w:tc>
        <w:tc>
          <w:tcPr>
            <w:tcW w:w="63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评审方法：最低评标价法 （详见第五章）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844"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招标代理服务费</w:t>
            </w:r>
          </w:p>
        </w:tc>
        <w:tc>
          <w:tcPr>
            <w:tcW w:w="63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right="0" w:rightChars="0" w:firstLine="0" w:firstLineChars="0"/>
              <w:jc w:val="both"/>
              <w:textAlignment w:val="auto"/>
              <w:outlineLvl w:val="9"/>
              <w:rPr>
                <w:rFonts w:hint="eastAsia" w:ascii="仿宋" w:hAnsi="仿宋" w:eastAsia="仿宋" w:cs="仿宋"/>
                <w:color w:val="auto"/>
                <w:sz w:val="24"/>
                <w:szCs w:val="24"/>
                <w:highlight w:val="none"/>
              </w:rPr>
            </w:pPr>
            <w:bookmarkStart w:id="14" w:name="OLE_LINK10"/>
            <w:bookmarkStart w:id="15" w:name="OLE_LINK9"/>
            <w:r>
              <w:rPr>
                <w:rFonts w:hint="eastAsia" w:ascii="仿宋" w:hAnsi="仿宋" w:eastAsia="仿宋" w:cs="仿宋"/>
                <w:color w:val="auto"/>
                <w:sz w:val="24"/>
                <w:szCs w:val="24"/>
                <w:highlight w:val="none"/>
                <w:lang w:val="en-US" w:eastAsia="zh-CN"/>
              </w:rPr>
              <w:t>金额：定额收取人民币捌仟元整（￥8000.00元）</w:t>
            </w:r>
            <w:r>
              <w:rPr>
                <w:rFonts w:hint="eastAsia" w:ascii="仿宋" w:hAnsi="仿宋" w:eastAsia="仿宋" w:cs="仿宋"/>
                <w:color w:val="auto"/>
                <w:sz w:val="24"/>
                <w:szCs w:val="24"/>
                <w:highlight w:val="none"/>
              </w:rPr>
              <w:t>。</w:t>
            </w:r>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left="42" w:leftChars="20" w:right="0" w:rightChars="0" w:firstLine="0" w:firstLineChars="0"/>
              <w:jc w:val="both"/>
              <w:textAlignment w:val="auto"/>
              <w:outlineLvl w:val="9"/>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成交单位在领取成交通知书前，须向采购代理机构支付代理服务费。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32.1</w:t>
            </w:r>
          </w:p>
        </w:tc>
        <w:tc>
          <w:tcPr>
            <w:tcW w:w="1844"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履约验收</w:t>
            </w:r>
          </w:p>
        </w:tc>
        <w:tc>
          <w:tcPr>
            <w:tcW w:w="63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right="0" w:rightChars="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是否委托采购代理机构组织履约验收：</w:t>
            </w:r>
          </w:p>
          <w:p>
            <w:pPr>
              <w:keepNext w:val="0"/>
              <w:keepLines w:val="0"/>
              <w:pageBreakBefore w:val="0"/>
              <w:widowControl w:val="0"/>
              <w:kinsoku/>
              <w:wordWrap/>
              <w:overflowPunct/>
              <w:topLinePunct w:val="0"/>
              <w:autoSpaceDE/>
              <w:autoSpaceDN/>
              <w:bidi w:val="0"/>
              <w:adjustRightInd/>
              <w:snapToGrid/>
              <w:spacing w:line="360" w:lineRule="auto"/>
              <w:ind w:left="42" w:leftChars="20" w:right="0" w:rightChars="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□是，</w:t>
            </w:r>
            <w:r>
              <w:rPr>
                <w:rFonts w:hint="eastAsia" w:ascii="仿宋" w:hAnsi="仿宋" w:eastAsia="仿宋" w:cs="仿宋"/>
                <w:color w:val="auto"/>
                <w:sz w:val="24"/>
                <w:szCs w:val="24"/>
                <w:highlight w:val="none"/>
                <w:lang w:val="en-US" w:eastAsia="zh-CN"/>
              </w:rPr>
              <w:t>验收费用由采购人/成交供应商支付，费用标准按成交金额的5‰计算，不足5000元的，按5000元收取。</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844"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代理服务费账户</w:t>
            </w:r>
          </w:p>
        </w:tc>
        <w:tc>
          <w:tcPr>
            <w:tcW w:w="63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户名：华夏国际项目管理有限公司</w:t>
            </w:r>
          </w:p>
          <w:p>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开户行：中国光大银行西安南二环支行</w:t>
            </w:r>
          </w:p>
          <w:p>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账号：78620188000097418</w:t>
            </w:r>
          </w:p>
          <w:p>
            <w:pPr>
              <w:keepNext w:val="0"/>
              <w:keepLines w:val="0"/>
              <w:pageBreakBefore w:val="0"/>
              <w:widowControl w:val="0"/>
              <w:kinsoku/>
              <w:wordWrap/>
              <w:overflowPunct/>
              <w:topLinePunct w:val="0"/>
              <w:autoSpaceDE/>
              <w:autoSpaceDN/>
              <w:bidi w:val="0"/>
              <w:adjustRightInd/>
              <w:snapToGrid/>
              <w:spacing w:line="360" w:lineRule="auto"/>
              <w:ind w:left="42" w:leftChars="20" w:firstLine="480"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请成交供应商按照要求将服务费汇入以上指定账户，如因自身原因发生错误，产生的不利后果均由供应商自行承担。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844"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w:t>
            </w:r>
          </w:p>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保证金</w:t>
            </w:r>
          </w:p>
        </w:tc>
        <w:tc>
          <w:tcPr>
            <w:tcW w:w="6371" w:type="dxa"/>
            <w:noWrap w:val="0"/>
            <w:vAlign w:val="center"/>
          </w:tcPr>
          <w:p>
            <w:pPr>
              <w:pStyle w:val="12"/>
              <w:keepNext w:val="0"/>
              <w:keepLines w:val="0"/>
              <w:pageBreakBefore w:val="0"/>
              <w:kinsoku/>
              <w:wordWrap/>
              <w:overflowPunct/>
              <w:topLinePunct w:val="0"/>
              <w:autoSpaceDE/>
              <w:autoSpaceDN/>
              <w:bidi w:val="0"/>
              <w:adjustRightInd/>
              <w:snapToGrid/>
              <w:spacing w:line="360" w:lineRule="auto"/>
              <w:ind w:left="42" w:leftChars="20"/>
              <w:jc w:val="left"/>
              <w:textAlignment w:val="auto"/>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☑不要求提供</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□要求提供，金额为本采购项目履约保证金为合同金额的5%，提交方式为：</w:t>
            </w:r>
            <w:r>
              <w:rPr>
                <w:rFonts w:hint="eastAsia" w:ascii="仿宋" w:hAnsi="仿宋" w:eastAsia="仿宋" w:cs="仿宋"/>
                <w:color w:val="auto"/>
                <w:sz w:val="24"/>
                <w:szCs w:val="24"/>
                <w:highlight w:val="none"/>
              </w:rPr>
              <w:t>转账、电汇、担保机构保函</w:t>
            </w:r>
            <w:r>
              <w:rPr>
                <w:rFonts w:hint="eastAsia" w:ascii="仿宋" w:hAnsi="仿宋" w:eastAsia="仿宋" w:cs="仿宋"/>
                <w:color w:val="auto"/>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844"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踏勘</w:t>
            </w:r>
          </w:p>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现场</w:t>
            </w:r>
          </w:p>
        </w:tc>
        <w:tc>
          <w:tcPr>
            <w:tcW w:w="6371" w:type="dxa"/>
            <w:noWrap w:val="0"/>
            <w:vAlign w:val="center"/>
          </w:tcPr>
          <w:p>
            <w:pPr>
              <w:pStyle w:val="2"/>
              <w:keepNext w:val="0"/>
              <w:keepLines w:val="0"/>
              <w:pageBreakBefore w:val="0"/>
              <w:kinsoku/>
              <w:wordWrap/>
              <w:overflowPunct/>
              <w:topLinePunct w:val="0"/>
              <w:autoSpaceDE/>
              <w:autoSpaceDN/>
              <w:bidi w:val="0"/>
              <w:adjustRightInd/>
              <w:snapToGrid/>
              <w:spacing w:after="0" w:afterLines="0" w:line="360" w:lineRule="auto"/>
              <w:ind w:left="42" w:leftChars="2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szCs w:val="24"/>
                <w:highlight w:val="none"/>
                <w:lang w:val="en-US" w:eastAsia="zh-CN" w:bidi="ar-SA"/>
              </w:rPr>
              <w:t>不踏勘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1" w:hRule="atLeast"/>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844"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进口产品</w:t>
            </w:r>
          </w:p>
        </w:tc>
        <w:tc>
          <w:tcPr>
            <w:tcW w:w="6371" w:type="dxa"/>
            <w:noWrap w:val="0"/>
            <w:vAlign w:val="center"/>
          </w:tcPr>
          <w:p>
            <w:pPr>
              <w:pStyle w:val="2"/>
              <w:keepNext w:val="0"/>
              <w:keepLines w:val="0"/>
              <w:pageBreakBefore w:val="0"/>
              <w:kinsoku/>
              <w:wordWrap/>
              <w:overflowPunct/>
              <w:topLinePunct w:val="0"/>
              <w:autoSpaceDE/>
              <w:autoSpaceDN/>
              <w:bidi w:val="0"/>
              <w:adjustRightInd/>
              <w:snapToGrid/>
              <w:spacing w:after="0" w:afterLines="0" w:line="360" w:lineRule="auto"/>
              <w:ind w:left="42" w:leftChars="2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本采购项目拒绝进口产品参加谈判</w:t>
            </w:r>
          </w:p>
          <w:p>
            <w:pPr>
              <w:pStyle w:val="2"/>
              <w:keepNext w:val="0"/>
              <w:keepLines w:val="0"/>
              <w:pageBreakBefore w:val="0"/>
              <w:kinsoku/>
              <w:wordWrap/>
              <w:overflowPunct/>
              <w:topLinePunct w:val="0"/>
              <w:autoSpaceDE/>
              <w:autoSpaceDN/>
              <w:bidi w:val="0"/>
              <w:adjustRightInd/>
              <w:snapToGrid/>
              <w:spacing w:after="0" w:afterLines="0" w:line="360" w:lineRule="auto"/>
              <w:ind w:left="42" w:leftChars="2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本采购项目已经财政部门审核同意购买进口产品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一致性</w:t>
            </w:r>
          </w:p>
        </w:tc>
        <w:tc>
          <w:tcPr>
            <w:tcW w:w="6371"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供应商须知前附表和供应商须知不一致的地方，以供应商须知前附表为准。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856" w:type="dxa"/>
            <w:noWrap w:val="0"/>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w:t>
            </w:r>
          </w:p>
        </w:tc>
        <w:tc>
          <w:tcPr>
            <w:tcW w:w="6371" w:type="dxa"/>
            <w:noWrap w:val="0"/>
            <w:vAlign w:val="center"/>
          </w:tcPr>
          <w:p>
            <w:pPr>
              <w:keepNext w:val="0"/>
              <w:keepLines w:val="0"/>
              <w:pageBreakBefore w:val="0"/>
              <w:numPr>
                <w:ilvl w:val="0"/>
                <w:numId w:val="4"/>
              </w:numPr>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本项目专门面向中小企业采购。</w:t>
            </w:r>
          </w:p>
          <w:p>
            <w:pPr>
              <w:keepNext w:val="0"/>
              <w:keepLines w:val="0"/>
              <w:pageBreakBefore w:val="0"/>
              <w:numPr>
                <w:ilvl w:val="0"/>
                <w:numId w:val="4"/>
              </w:numPr>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本项目属性为货物。</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3、本</w:t>
            </w:r>
            <w:r>
              <w:rPr>
                <w:rFonts w:hint="eastAsia" w:ascii="仿宋" w:hAnsi="仿宋" w:eastAsia="仿宋" w:cs="仿宋"/>
                <w:i w:val="0"/>
                <w:iCs w:val="0"/>
                <w:color w:val="auto"/>
                <w:kern w:val="0"/>
                <w:sz w:val="24"/>
                <w:szCs w:val="24"/>
                <w:highlight w:val="none"/>
                <w:lang w:val="en-US" w:eastAsia="zh-CN" w:bidi="ar-SA"/>
              </w:rPr>
              <w:t>项</w:t>
            </w:r>
            <w:r>
              <w:rPr>
                <w:rFonts w:hint="eastAsia" w:ascii="仿宋" w:hAnsi="仿宋" w:eastAsia="仿宋" w:cs="仿宋"/>
                <w:color w:val="auto"/>
                <w:kern w:val="0"/>
                <w:sz w:val="24"/>
                <w:szCs w:val="24"/>
                <w:highlight w:val="none"/>
                <w:lang w:val="en-US" w:eastAsia="zh-CN" w:bidi="ar-SA"/>
              </w:rPr>
              <w:t>目采购标的所属行业为：</w:t>
            </w:r>
            <w:r>
              <w:rPr>
                <w:rFonts w:hint="eastAsia" w:ascii="仿宋" w:hAnsi="仿宋" w:eastAsia="仿宋" w:cs="仿宋"/>
                <w:color w:val="auto"/>
                <w:kern w:val="0"/>
                <w:sz w:val="24"/>
                <w:szCs w:val="24"/>
                <w:highlight w:val="none"/>
                <w:u w:val="single"/>
                <w:lang w:val="en-US" w:eastAsia="zh-CN" w:bidi="ar-SA"/>
              </w:rPr>
              <w:t xml:space="preserve"> 工业 </w:t>
            </w:r>
            <w:r>
              <w:rPr>
                <w:rFonts w:hint="eastAsia" w:ascii="仿宋" w:hAnsi="仿宋" w:eastAsia="仿宋" w:cs="仿宋"/>
                <w:color w:val="auto"/>
                <w:kern w:val="0"/>
                <w:sz w:val="24"/>
                <w:szCs w:val="24"/>
                <w:highlight w:val="none"/>
                <w:lang w:val="en-US" w:eastAsia="zh-CN" w:bidi="ar-SA"/>
              </w:rPr>
              <w:t>。</w:t>
            </w:r>
          </w:p>
        </w:tc>
      </w:tr>
    </w:tbl>
    <w:p>
      <w:pPr>
        <w:spacing w:before="156" w:beforeLines="50" w:line="360" w:lineRule="auto"/>
        <w:jc w:val="center"/>
        <w:rPr>
          <w:rFonts w:hint="eastAsia" w:ascii="仿宋" w:hAnsi="仿宋" w:eastAsia="仿宋" w:cs="仿宋"/>
          <w:b/>
          <w:color w:val="auto"/>
          <w:sz w:val="32"/>
          <w:szCs w:val="32"/>
          <w:highlight w:val="none"/>
        </w:rPr>
      </w:pPr>
      <w:bookmarkStart w:id="16" w:name="_Toc370906267"/>
      <w:bookmarkStart w:id="17" w:name="_Toc389836556"/>
      <w:bookmarkStart w:id="18" w:name="_Toc393284673"/>
      <w:bookmarkStart w:id="19" w:name="_Toc393281138"/>
      <w:bookmarkStart w:id="20" w:name="_Toc393284380"/>
    </w:p>
    <w:p>
      <w:pPr>
        <w:spacing w:before="156" w:beforeLines="50"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bookmarkStart w:id="21" w:name="_Toc7959"/>
      <w:r>
        <w:rPr>
          <w:rFonts w:hint="eastAsia" w:ascii="仿宋" w:hAnsi="仿宋" w:eastAsia="仿宋" w:cs="仿宋"/>
          <w:b/>
          <w:color w:val="auto"/>
          <w:sz w:val="32"/>
          <w:szCs w:val="32"/>
          <w:highlight w:val="none"/>
        </w:rPr>
        <w:t>一.总  则</w:t>
      </w:r>
      <w:bookmarkEnd w:id="21"/>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22" w:name="_Toc19141"/>
      <w:r>
        <w:rPr>
          <w:rFonts w:hint="eastAsia" w:ascii="仿宋" w:hAnsi="仿宋" w:eastAsia="仿宋" w:cs="仿宋"/>
          <w:b/>
          <w:color w:val="auto"/>
          <w:sz w:val="24"/>
          <w:szCs w:val="24"/>
          <w:highlight w:val="none"/>
        </w:rPr>
        <w:t>1.资金来源</w:t>
      </w:r>
      <w:bookmarkEnd w:id="22"/>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1.1本次竞争性谈判采购所签合同使用财政性资金支付，资金已落实到位。</w:t>
      </w:r>
    </w:p>
    <w:p>
      <w:pPr>
        <w:keepNext w:val="0"/>
        <w:keepLines w:val="0"/>
        <w:pageBreakBefore w:val="0"/>
        <w:widowControl w:val="0"/>
        <w:numPr>
          <w:ilvl w:val="0"/>
          <w:numId w:val="0"/>
        </w:numPr>
        <w:kinsoku/>
        <w:wordWrap/>
        <w:overflowPunct/>
        <w:topLinePunct w:val="0"/>
        <w:autoSpaceDE/>
        <w:autoSpaceDN/>
        <w:bidi w:val="0"/>
        <w:spacing w:line="500" w:lineRule="exact"/>
        <w:ind w:right="0" w:rightChars="0"/>
        <w:jc w:val="both"/>
        <w:textAlignment w:val="auto"/>
        <w:outlineLvl w:val="2"/>
        <w:rPr>
          <w:rFonts w:hint="eastAsia" w:ascii="仿宋" w:hAnsi="仿宋" w:eastAsia="仿宋" w:cs="仿宋"/>
          <w:b/>
          <w:color w:val="auto"/>
          <w:sz w:val="24"/>
          <w:szCs w:val="24"/>
          <w:highlight w:val="none"/>
          <w:lang w:val="en-US" w:eastAsia="zh-CN"/>
        </w:rPr>
      </w:pPr>
      <w:bookmarkStart w:id="23" w:name="_Toc26849"/>
      <w:r>
        <w:rPr>
          <w:rFonts w:hint="eastAsia" w:ascii="仿宋" w:hAnsi="仿宋" w:eastAsia="仿宋" w:cs="仿宋"/>
          <w:b/>
          <w:color w:val="auto"/>
          <w:sz w:val="24"/>
          <w:szCs w:val="24"/>
          <w:highlight w:val="none"/>
          <w:lang w:val="en-US" w:eastAsia="zh-CN"/>
        </w:rPr>
        <w:t>2.名词解释</w:t>
      </w:r>
      <w:bookmarkEnd w:id="23"/>
    </w:p>
    <w:p>
      <w:pPr>
        <w:keepNext w:val="0"/>
        <w:keepLines w:val="0"/>
        <w:pageBreakBefore w:val="0"/>
        <w:widowControl w:val="0"/>
        <w:tabs>
          <w:tab w:val="left" w:pos="7665"/>
        </w:tabs>
        <w:kinsoku/>
        <w:wordWrap/>
        <w:overflowPunct/>
        <w:topLinePunct w:val="0"/>
        <w:autoSpaceDE/>
        <w:autoSpaceDN/>
        <w:bidi w:val="0"/>
        <w:spacing w:line="500" w:lineRule="exact"/>
        <w:ind w:left="0" w:leftChars="0" w:right="0" w:rightChars="0" w:firstLine="480" w:firstLineChars="200"/>
        <w:jc w:val="both"/>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2.1采购人：</w:t>
      </w:r>
      <w:r>
        <w:rPr>
          <w:rFonts w:hint="eastAsia" w:ascii="仿宋" w:hAnsi="仿宋" w:eastAsia="仿宋" w:cs="仿宋"/>
          <w:color w:val="auto"/>
          <w:sz w:val="24"/>
          <w:highlight w:val="none"/>
          <w:lang w:eastAsia="zh-CN"/>
        </w:rPr>
        <w:t>见供应商须知前附表</w:t>
      </w:r>
    </w:p>
    <w:p>
      <w:pPr>
        <w:keepNext w:val="0"/>
        <w:keepLines w:val="0"/>
        <w:pageBreakBefore w:val="0"/>
        <w:widowControl w:val="0"/>
        <w:tabs>
          <w:tab w:val="left" w:pos="7665"/>
        </w:tabs>
        <w:kinsoku/>
        <w:wordWrap/>
        <w:overflowPunct/>
        <w:topLinePunct w:val="0"/>
        <w:autoSpaceDE/>
        <w:autoSpaceDN/>
        <w:bidi w:val="0"/>
        <w:spacing w:line="500" w:lineRule="exact"/>
        <w:ind w:left="0" w:leftChars="0" w:right="0" w:rightChars="0" w:firstLine="480" w:firstLineChars="200"/>
        <w:jc w:val="both"/>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lang w:eastAsia="zh-CN"/>
        </w:rPr>
        <w:t>华夏国际项目管理有限公司</w:t>
      </w:r>
    </w:p>
    <w:p>
      <w:pPr>
        <w:keepNext w:val="0"/>
        <w:keepLines w:val="0"/>
        <w:pageBreakBefore w:val="0"/>
        <w:widowControl w:val="0"/>
        <w:tabs>
          <w:tab w:val="left" w:pos="7665"/>
        </w:tabs>
        <w:kinsoku/>
        <w:wordWrap/>
        <w:overflowPunct/>
        <w:topLinePunct w:val="0"/>
        <w:autoSpaceDE/>
        <w:autoSpaceDN/>
        <w:bidi w:val="0"/>
        <w:spacing w:line="500" w:lineRule="exact"/>
        <w:ind w:left="0" w:leftChars="0" w:right="0" w:rightChars="0" w:firstLine="480" w:firstLineChars="200"/>
        <w:jc w:val="both"/>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监督机构：</w:t>
      </w:r>
      <w:r>
        <w:rPr>
          <w:rFonts w:hint="eastAsia" w:ascii="仿宋" w:hAnsi="仿宋" w:eastAsia="仿宋" w:cs="仿宋"/>
          <w:color w:val="auto"/>
          <w:sz w:val="24"/>
          <w:highlight w:val="none"/>
          <w:lang w:eastAsia="zh-CN"/>
        </w:rPr>
        <w:t>同级人民政府财政部门</w:t>
      </w:r>
    </w:p>
    <w:p>
      <w:pPr>
        <w:keepNext w:val="0"/>
        <w:keepLines w:val="0"/>
        <w:pageBreakBefore w:val="0"/>
        <w:widowControl w:val="0"/>
        <w:tabs>
          <w:tab w:val="left" w:pos="7665"/>
        </w:tabs>
        <w:kinsoku/>
        <w:wordWrap/>
        <w:overflowPunct/>
        <w:topLinePunct w:val="0"/>
        <w:autoSpaceDE/>
        <w:autoSpaceDN/>
        <w:bidi w:val="0"/>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2.4</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：是指响应和符合</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szCs w:val="24"/>
          <w:highlight w:val="none"/>
        </w:rPr>
        <w:t>文件规定资格条件且参与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竞争的法人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其他组织或者自然人。</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2.5产品是指本招标文件中第四</w:t>
      </w:r>
      <w:r>
        <w:rPr>
          <w:rFonts w:hint="eastAsia" w:ascii="仿宋" w:hAnsi="仿宋" w:eastAsia="仿宋" w:cs="仿宋"/>
          <w:color w:val="auto"/>
          <w:sz w:val="24"/>
          <w:highlight w:val="none"/>
        </w:rPr>
        <w:t>章所述所有产品。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2.6服务是指</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为满足招标文件要求而提供的服务。</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2.7节能产品或者环保产品是指依据国家确定的认证机构出具的、处于有效期之内的具有节能产品、环境标志产品认证证书的产品。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进口产品是指通过中国海关报关验放进入中国境内且产自关境外的产品，详见《关于政府采购进口产品管理有关问题的通知》(财库[2007]119号)。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9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lang w:val="en-US" w:eastAsia="zh-CN"/>
        </w:rPr>
        <w:t>2.11</w:t>
      </w:r>
      <w:r>
        <w:rPr>
          <w:rFonts w:hint="eastAsia" w:ascii="仿宋" w:hAnsi="仿宋" w:eastAsia="仿宋" w:cs="仿宋"/>
          <w:color w:val="auto"/>
          <w:sz w:val="24"/>
          <w:highlight w:val="none"/>
        </w:rPr>
        <w:t>残疾人福利性单位</w:t>
      </w:r>
      <w:r>
        <w:rPr>
          <w:rFonts w:hint="eastAsia" w:ascii="仿宋" w:hAnsi="仿宋" w:eastAsia="仿宋" w:cs="仿宋"/>
          <w:color w:val="auto"/>
          <w:sz w:val="24"/>
          <w:highlight w:val="none"/>
          <w:lang w:eastAsia="zh-CN"/>
        </w:rPr>
        <w:t>是指符合《</w:t>
      </w:r>
      <w:r>
        <w:rPr>
          <w:rFonts w:hint="eastAsia" w:ascii="仿宋" w:hAnsi="仿宋" w:eastAsia="仿宋" w:cs="仿宋"/>
          <w:color w:val="auto"/>
          <w:sz w:val="24"/>
          <w:highlight w:val="none"/>
          <w:lang w:val="en-US" w:eastAsia="zh-CN"/>
        </w:rPr>
        <w:t>三部门联合发布关于促进残疾人就业政府采购政策的通知》</w:t>
      </w:r>
      <w:r>
        <w:rPr>
          <w:rFonts w:hint="eastAsia" w:ascii="仿宋" w:hAnsi="仿宋" w:eastAsia="仿宋" w:cs="仿宋"/>
          <w:color w:val="auto"/>
          <w:sz w:val="24"/>
          <w:highlight w:val="none"/>
        </w:rPr>
        <w:t>财库〔2017〕141号规定的对</w:t>
      </w:r>
      <w:r>
        <w:rPr>
          <w:rFonts w:hint="eastAsia" w:ascii="仿宋" w:hAnsi="仿宋" w:eastAsia="仿宋" w:cs="仿宋"/>
          <w:color w:val="auto"/>
          <w:sz w:val="24"/>
          <w:highlight w:val="none"/>
          <w:lang w:eastAsia="zh-CN"/>
        </w:rPr>
        <w:t>残疾人福利性单位</w:t>
      </w:r>
      <w:r>
        <w:rPr>
          <w:rFonts w:hint="eastAsia" w:ascii="仿宋" w:hAnsi="仿宋" w:eastAsia="仿宋" w:cs="仿宋"/>
          <w:color w:val="auto"/>
          <w:sz w:val="24"/>
          <w:highlight w:val="none"/>
        </w:rPr>
        <w:t>划分标准的</w:t>
      </w:r>
      <w:r>
        <w:rPr>
          <w:rFonts w:hint="eastAsia" w:ascii="仿宋" w:hAnsi="仿宋" w:eastAsia="仿宋" w:cs="仿宋"/>
          <w:color w:val="auto"/>
          <w:sz w:val="24"/>
          <w:highlight w:val="none"/>
          <w:lang w:eastAsia="zh-CN"/>
        </w:rPr>
        <w:t>单位</w:t>
      </w:r>
      <w:r>
        <w:rPr>
          <w:rFonts w:hint="eastAsia" w:ascii="仿宋" w:hAnsi="仿宋" w:eastAsia="仿宋" w:cs="仿宋"/>
          <w:color w:val="auto"/>
          <w:sz w:val="24"/>
          <w:highlight w:val="none"/>
        </w:rPr>
        <w:t>。</w:t>
      </w:r>
    </w:p>
    <w:p>
      <w:pPr>
        <w:keepNext w:val="0"/>
        <w:keepLines w:val="0"/>
        <w:pageBreakBefore w:val="0"/>
        <w:widowControl w:val="0"/>
        <w:numPr>
          <w:ilvl w:val="0"/>
          <w:numId w:val="0"/>
        </w:numPr>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lang w:eastAsia="zh-CN"/>
        </w:rPr>
      </w:pPr>
      <w:bookmarkStart w:id="24" w:name="_Toc3145"/>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合格的</w:t>
      </w:r>
      <w:r>
        <w:rPr>
          <w:rFonts w:hint="eastAsia" w:ascii="仿宋" w:hAnsi="仿宋" w:eastAsia="仿宋" w:cs="仿宋"/>
          <w:b/>
          <w:color w:val="auto"/>
          <w:sz w:val="24"/>
          <w:szCs w:val="24"/>
          <w:highlight w:val="none"/>
          <w:lang w:eastAsia="zh-CN"/>
        </w:rPr>
        <w:t>谈判供应商</w:t>
      </w:r>
      <w:bookmarkEnd w:id="24"/>
    </w:p>
    <w:p>
      <w:pPr>
        <w:keepNext w:val="0"/>
        <w:keepLines w:val="0"/>
        <w:pageBreakBefore w:val="0"/>
        <w:widowControl w:val="0"/>
        <w:numPr>
          <w:ilvl w:val="0"/>
          <w:numId w:val="0"/>
        </w:numPr>
        <w:wordWrap/>
        <w:overflowPunct/>
        <w:topLinePunct w:val="0"/>
        <w:autoSpaceDE/>
        <w:autoSpaceDN/>
        <w:bidi w:val="0"/>
        <w:spacing w:line="500" w:lineRule="exact"/>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3.1</w:t>
      </w:r>
      <w:r>
        <w:rPr>
          <w:rFonts w:hint="eastAsia" w:ascii="仿宋" w:hAnsi="仿宋" w:eastAsia="仿宋" w:cs="仿宋"/>
          <w:b w:val="0"/>
          <w:bCs/>
          <w:color w:val="auto"/>
          <w:sz w:val="24"/>
          <w:szCs w:val="24"/>
          <w:highlight w:val="none"/>
          <w:lang w:eastAsia="zh-CN"/>
        </w:rPr>
        <w:t>《政府采购法》第二十二条第一款规定的供应商基本资格条件</w:t>
      </w:r>
      <w:r>
        <w:rPr>
          <w:rFonts w:hint="eastAsia" w:ascii="仿宋" w:hAnsi="仿宋" w:eastAsia="仿宋" w:cs="仿宋"/>
          <w:b w:val="0"/>
          <w:bCs/>
          <w:color w:val="auto"/>
          <w:sz w:val="24"/>
          <w:szCs w:val="24"/>
          <w:highlight w:val="none"/>
          <w:lang w:val="en-US" w:eastAsia="zh-CN"/>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3.1.1具有独立承担民事责任的能力；</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3.1.2具有良好的商业信誉和健全的财务会计制度；</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3.1.3具有履行合同所必需的设备和专业技术能力；</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3.1.4有依法缴纳税收和社会保障资金的良好记录；</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3.1.5参加政府采购活动前三年内，在经营活动中没有重大违法记录；</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3.1.6法律、行政法规规定的其他条件。</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根据本次采购项目的特殊要求，规定的供应商特殊条件（见</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3.3单位负责人为同一人或者存在直接控股、管理关系的不同供应商，不得参加同一合同项下的政府采购</w:t>
      </w:r>
      <w:r>
        <w:rPr>
          <w:rFonts w:hint="eastAsia" w:ascii="仿宋" w:hAnsi="仿宋" w:eastAsia="仿宋" w:cs="仿宋"/>
          <w:color w:val="auto"/>
          <w:sz w:val="24"/>
          <w:szCs w:val="24"/>
          <w:highlight w:val="none"/>
          <w:lang w:val="en-US" w:eastAsia="zh-CN"/>
        </w:rPr>
        <w:t>活动。供应商须按照格式要求填写企业关系关联承诺书。</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除单一来源采购项目外，为采购项目提供整体设计、规范编制或者项目管理、监理、检测等服务的供应商，不得再参加该采购项目的其他采购活动，否则均为无效谈判</w:t>
      </w:r>
      <w:r>
        <w:rPr>
          <w:rFonts w:hint="eastAsia" w:ascii="仿宋" w:hAnsi="仿宋" w:eastAsia="仿宋" w:cs="仿宋"/>
          <w:color w:val="auto"/>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谈判供应商</w:t>
      </w:r>
      <w:r>
        <w:rPr>
          <w:rFonts w:hint="eastAsia" w:ascii="仿宋" w:hAnsi="仿宋" w:eastAsia="仿宋" w:cs="仿宋"/>
          <w:color w:val="auto"/>
          <w:sz w:val="24"/>
          <w:szCs w:val="24"/>
          <w:highlight w:val="none"/>
        </w:rPr>
        <w:t>必须在</w:t>
      </w:r>
      <w:r>
        <w:rPr>
          <w:rFonts w:hint="eastAsia" w:ascii="仿宋" w:hAnsi="仿宋" w:eastAsia="仿宋" w:cs="仿宋"/>
          <w:color w:val="auto"/>
          <w:sz w:val="24"/>
          <w:szCs w:val="24"/>
          <w:highlight w:val="none"/>
          <w:lang w:eastAsia="zh-CN"/>
        </w:rPr>
        <w:t>华夏国际项目管理有限公司获取</w:t>
      </w:r>
      <w:r>
        <w:rPr>
          <w:rFonts w:hint="eastAsia" w:ascii="仿宋" w:hAnsi="仿宋" w:eastAsia="仿宋" w:cs="仿宋"/>
          <w:color w:val="auto"/>
          <w:sz w:val="24"/>
          <w:szCs w:val="24"/>
          <w:highlight w:val="none"/>
        </w:rPr>
        <w:t>竞争性谈判文件，方可参加竞争性谈判。竞争性谈判文件售后不退。</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3.5联合体谈判</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w:t>
      </w:r>
      <w:r>
        <w:rPr>
          <w:rFonts w:hint="eastAsia" w:ascii="仿宋" w:hAnsi="仿宋" w:eastAsia="仿宋" w:cs="仿宋"/>
          <w:color w:val="auto"/>
          <w:sz w:val="24"/>
          <w:szCs w:val="24"/>
          <w:highlight w:val="none"/>
        </w:rPr>
        <w:t>如果在竞争性谈判文件中接受联合体竞争性谈判（见</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须知前附表），则两个以上供应商可以组成一个竞争性谈判联合体，以一个</w:t>
      </w:r>
      <w:r>
        <w:rPr>
          <w:rFonts w:hint="eastAsia" w:ascii="仿宋" w:hAnsi="仿宋" w:eastAsia="仿宋" w:cs="仿宋"/>
          <w:color w:val="auto"/>
          <w:sz w:val="24"/>
          <w:szCs w:val="24"/>
          <w:highlight w:val="none"/>
          <w:lang w:eastAsia="zh-CN"/>
        </w:rPr>
        <w:t>谈判供应商</w:t>
      </w:r>
      <w:r>
        <w:rPr>
          <w:rFonts w:hint="eastAsia" w:ascii="仿宋" w:hAnsi="仿宋" w:eastAsia="仿宋" w:cs="仿宋"/>
          <w:color w:val="auto"/>
          <w:sz w:val="24"/>
          <w:szCs w:val="24"/>
          <w:highlight w:val="none"/>
        </w:rPr>
        <w:t>的身份谈判。以联合体形式参加谈判的，联合体各方</w:t>
      </w:r>
      <w:r>
        <w:rPr>
          <w:rFonts w:hint="eastAsia" w:ascii="仿宋" w:hAnsi="仿宋" w:eastAsia="仿宋" w:cs="仿宋"/>
          <w:color w:val="auto"/>
          <w:sz w:val="24"/>
          <w:szCs w:val="24"/>
          <w:highlight w:val="none"/>
        </w:rPr>
        <w:t>均应当符合</w:t>
      </w:r>
      <w:r>
        <w:rPr>
          <w:rFonts w:hint="eastAsia" w:ascii="仿宋" w:hAnsi="仿宋" w:eastAsia="仿宋" w:cs="仿宋"/>
          <w:color w:val="auto"/>
          <w:sz w:val="24"/>
          <w:highlight w:val="none"/>
        </w:rPr>
        <w:t>《中华人民共和国政府采购法》及实施条例规定的条件</w:t>
      </w:r>
      <w:r>
        <w:rPr>
          <w:rFonts w:hint="eastAsia" w:ascii="仿宋" w:hAnsi="仿宋" w:eastAsia="仿宋" w:cs="仿宋"/>
          <w:color w:val="auto"/>
          <w:sz w:val="24"/>
          <w:szCs w:val="24"/>
          <w:highlight w:val="none"/>
        </w:rPr>
        <w:t>。采购人根据采购项目的特殊要</w:t>
      </w:r>
      <w:r>
        <w:rPr>
          <w:rFonts w:hint="eastAsia" w:ascii="仿宋" w:hAnsi="仿宋" w:eastAsia="仿宋" w:cs="仿宋"/>
          <w:color w:val="auto"/>
          <w:sz w:val="24"/>
          <w:szCs w:val="24"/>
          <w:highlight w:val="none"/>
        </w:rPr>
        <w:t>求规定</w:t>
      </w:r>
      <w:r>
        <w:rPr>
          <w:rFonts w:hint="eastAsia" w:ascii="仿宋" w:hAnsi="仿宋" w:eastAsia="仿宋" w:cs="仿宋"/>
          <w:color w:val="auto"/>
          <w:sz w:val="24"/>
          <w:szCs w:val="24"/>
          <w:highlight w:val="none"/>
          <w:lang w:eastAsia="zh-CN"/>
        </w:rPr>
        <w:t>谈判供应商</w:t>
      </w:r>
      <w:r>
        <w:rPr>
          <w:rFonts w:hint="eastAsia" w:ascii="仿宋" w:hAnsi="仿宋" w:eastAsia="仿宋" w:cs="仿宋"/>
          <w:color w:val="auto"/>
          <w:sz w:val="24"/>
          <w:szCs w:val="24"/>
          <w:highlight w:val="none"/>
        </w:rPr>
        <w:t>特定条件的，联合体各方中至少应当有一方符合采购人规定的特定条件。</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3.5.2</w:t>
      </w:r>
      <w:r>
        <w:rPr>
          <w:rFonts w:hint="eastAsia" w:ascii="仿宋" w:hAnsi="仿宋" w:eastAsia="仿宋" w:cs="仿宋"/>
          <w:color w:val="auto"/>
          <w:sz w:val="24"/>
          <w:szCs w:val="24"/>
          <w:highlight w:val="none"/>
        </w:rPr>
        <w:t>联合体各方之间应当签订共同谈判协议，明确约定联合体各方承担的工作和相应的责任，并将共同谈判协议连同竞争性谈判响应文件一并提交</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。联合体各方签订共同谈判协议后，不得再以自己名义单独在同一项目中谈判，也不得组成新的联合体参加同一项目谈判。</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3.5.3</w:t>
      </w:r>
      <w:r>
        <w:rPr>
          <w:rFonts w:hint="eastAsia" w:ascii="仿宋" w:hAnsi="仿宋" w:eastAsia="仿宋" w:cs="仿宋"/>
          <w:color w:val="auto"/>
          <w:sz w:val="24"/>
          <w:szCs w:val="24"/>
          <w:highlight w:val="none"/>
        </w:rPr>
        <w:t>联合体各方应当共同与采购人签订采购合同，就采购合同约定的事项对采购人承担连带责任。</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谈判费用自理。不论谈判的结果如何，</w:t>
      </w:r>
      <w:r>
        <w:rPr>
          <w:rFonts w:hint="eastAsia" w:ascii="仿宋" w:hAnsi="仿宋" w:eastAsia="仿宋" w:cs="仿宋"/>
          <w:color w:val="auto"/>
          <w:sz w:val="24"/>
          <w:szCs w:val="24"/>
          <w:highlight w:val="none"/>
          <w:lang w:eastAsia="zh-CN"/>
        </w:rPr>
        <w:t>谈判供应商</w:t>
      </w:r>
      <w:r>
        <w:rPr>
          <w:rFonts w:hint="eastAsia" w:ascii="仿宋" w:hAnsi="仿宋" w:eastAsia="仿宋" w:cs="仿宋"/>
          <w:color w:val="auto"/>
          <w:sz w:val="24"/>
          <w:szCs w:val="24"/>
          <w:highlight w:val="none"/>
        </w:rPr>
        <w:t>均应自行承担所有与参加谈判有关的费用。</w:t>
      </w:r>
    </w:p>
    <w:p>
      <w:pPr>
        <w:keepNext w:val="0"/>
        <w:keepLines w:val="0"/>
        <w:pageBreakBefore w:val="0"/>
        <w:widowControl w:val="0"/>
        <w:tabs>
          <w:tab w:val="left" w:pos="747"/>
        </w:tabs>
        <w:kinsoku/>
        <w:wordWrap/>
        <w:overflowPunct/>
        <w:topLinePunct w:val="0"/>
        <w:autoSpaceDE/>
        <w:autoSpaceDN/>
        <w:bidi w:val="0"/>
        <w:adjustRightInd/>
        <w:snapToGrid w:val="0"/>
        <w:spacing w:line="500" w:lineRule="exact"/>
        <w:ind w:right="0" w:rightChars="0"/>
        <w:jc w:val="both"/>
        <w:textAlignment w:val="auto"/>
        <w:outlineLvl w:val="2"/>
        <w:rPr>
          <w:rFonts w:hint="eastAsia" w:ascii="仿宋" w:hAnsi="仿宋" w:eastAsia="仿宋" w:cs="仿宋"/>
          <w:b/>
          <w:bCs/>
          <w:color w:val="auto"/>
          <w:sz w:val="24"/>
          <w:highlight w:val="none"/>
        </w:rPr>
      </w:pPr>
      <w:bookmarkStart w:id="25" w:name="_Toc17740"/>
      <w:r>
        <w:rPr>
          <w:rFonts w:hint="eastAsia" w:ascii="仿宋" w:hAnsi="仿宋" w:eastAsia="仿宋" w:cs="仿宋"/>
          <w:b/>
          <w:bCs/>
          <w:color w:val="auto"/>
          <w:sz w:val="24"/>
          <w:highlight w:val="none"/>
        </w:rPr>
        <w:t>4.合格的货物（产品）和服务</w:t>
      </w:r>
      <w:bookmarkEnd w:id="25"/>
    </w:p>
    <w:p>
      <w:pPr>
        <w:keepNext w:val="0"/>
        <w:keepLines w:val="0"/>
        <w:pageBreakBefore w:val="0"/>
        <w:widowControl w:val="0"/>
        <w:tabs>
          <w:tab w:val="left" w:pos="747"/>
        </w:tabs>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提供的所有货物和服务，必须是合法生产、合法来源，符合国家有关标准要求，并满足</w:t>
      </w:r>
      <w:r>
        <w:rPr>
          <w:rFonts w:hint="eastAsia" w:ascii="仿宋" w:hAnsi="仿宋" w:eastAsia="仿宋" w:cs="仿宋"/>
          <w:color w:val="auto"/>
          <w:sz w:val="24"/>
          <w:highlight w:val="none"/>
          <w:lang w:eastAsia="zh-CN"/>
        </w:rPr>
        <w:t>竞争性谈判</w:t>
      </w:r>
      <w:r>
        <w:rPr>
          <w:rFonts w:hint="eastAsia" w:ascii="仿宋" w:hAnsi="仿宋" w:eastAsia="仿宋" w:cs="仿宋"/>
          <w:color w:val="auto"/>
          <w:sz w:val="24"/>
          <w:highlight w:val="none"/>
        </w:rPr>
        <w:t>文件规定的规格、参数、质量、价格、有效期、售后服务及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须承担的运输、安装、技术支持、培训和</w:t>
      </w:r>
      <w:r>
        <w:rPr>
          <w:rFonts w:hint="eastAsia" w:ascii="仿宋" w:hAnsi="仿宋" w:eastAsia="仿宋" w:cs="仿宋"/>
          <w:color w:val="auto"/>
          <w:sz w:val="24"/>
          <w:highlight w:val="none"/>
          <w:lang w:eastAsia="zh-CN"/>
        </w:rPr>
        <w:t>竞争性谈判</w:t>
      </w:r>
      <w:r>
        <w:rPr>
          <w:rFonts w:hint="eastAsia" w:ascii="仿宋" w:hAnsi="仿宋" w:eastAsia="仿宋" w:cs="仿宋"/>
          <w:color w:val="auto"/>
          <w:sz w:val="24"/>
          <w:highlight w:val="none"/>
        </w:rPr>
        <w:t>文件规定的其它伴随服务等要求。</w:t>
      </w:r>
    </w:p>
    <w:p>
      <w:pPr>
        <w:keepNext w:val="0"/>
        <w:keepLines w:val="0"/>
        <w:pageBreakBefore w:val="0"/>
        <w:widowControl w:val="0"/>
        <w:tabs>
          <w:tab w:val="left" w:pos="747"/>
        </w:tabs>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4.2采购人有权拒绝接受任何不合格的产品和服务，由此产生的费用及相关后果均由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自行承担。</w:t>
      </w:r>
    </w:p>
    <w:p>
      <w:pPr>
        <w:pStyle w:val="2"/>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仿宋" w:hAnsi="仿宋" w:eastAsia="仿宋" w:cs="仿宋"/>
          <w:b/>
          <w:bCs/>
          <w:color w:val="auto"/>
          <w:kern w:val="2"/>
          <w:sz w:val="24"/>
          <w:szCs w:val="22"/>
          <w:highlight w:val="none"/>
          <w:lang w:val="en-US" w:eastAsia="zh-CN" w:bidi="ar-SA"/>
        </w:rPr>
      </w:pPr>
      <w:bookmarkStart w:id="26" w:name="_Toc6977"/>
      <w:r>
        <w:rPr>
          <w:rFonts w:hint="eastAsia" w:ascii="仿宋" w:hAnsi="仿宋" w:eastAsia="仿宋" w:cs="仿宋"/>
          <w:b/>
          <w:bCs/>
          <w:color w:val="auto"/>
          <w:kern w:val="2"/>
          <w:sz w:val="24"/>
          <w:szCs w:val="22"/>
          <w:highlight w:val="none"/>
          <w:lang w:val="en-US" w:eastAsia="zh-CN" w:bidi="ar-SA"/>
        </w:rPr>
        <w:t>5.供应商信用记录查询及使用</w:t>
      </w:r>
      <w:bookmarkEnd w:id="2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“信用中国”网站（www.creditchina.gov.cn）和“中国政府采购网”（ccgp.gov.cn）为投标人信用信息查询渠道，如果供应商被查实在响应文件递交截止时间前已列入失信被执行人、</w:t>
      </w:r>
      <w:r>
        <w:rPr>
          <w:rFonts w:hint="eastAsia" w:ascii="仿宋" w:hAnsi="仿宋" w:eastAsia="仿宋" w:cs="仿宋"/>
          <w:color w:val="auto"/>
          <w:kern w:val="0"/>
          <w:sz w:val="24"/>
          <w:szCs w:val="24"/>
          <w:highlight w:val="none"/>
          <w:lang w:val="en-US" w:eastAsia="zh-CN"/>
        </w:rPr>
        <w:t>重大税收违法失信主体</w:t>
      </w:r>
      <w:r>
        <w:rPr>
          <w:rFonts w:hint="eastAsia" w:ascii="仿宋" w:hAnsi="仿宋" w:eastAsia="仿宋" w:cs="仿宋"/>
          <w:b w:val="0"/>
          <w:bCs/>
          <w:color w:val="auto"/>
          <w:sz w:val="24"/>
          <w:szCs w:val="24"/>
          <w:highlight w:val="none"/>
          <w:lang w:val="en-US" w:eastAsia="zh-CN"/>
        </w:rPr>
        <w:t>、政府采购严重违法失信行为记录名单及其他不符合《中华人民共和国政府采购法》第二十二条规定的，其响应文件无效。采购代理机构将打印查询记录作为证据留存。</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仿宋" w:hAnsi="仿宋" w:eastAsia="仿宋" w:cs="仿宋"/>
          <w:b/>
          <w:color w:val="auto"/>
          <w:sz w:val="24"/>
          <w:szCs w:val="24"/>
          <w:highlight w:val="none"/>
          <w:lang w:eastAsia="zh-CN"/>
        </w:rPr>
      </w:pPr>
      <w:bookmarkStart w:id="27" w:name="_Toc5716"/>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.竞争性谈判响应文件内容的真实性</w:t>
      </w:r>
      <w:bookmarkEnd w:id="2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谈判供应商</w:t>
      </w:r>
      <w:r>
        <w:rPr>
          <w:rFonts w:hint="eastAsia" w:ascii="仿宋" w:hAnsi="仿宋" w:eastAsia="仿宋" w:cs="仿宋"/>
          <w:color w:val="auto"/>
          <w:sz w:val="24"/>
          <w:szCs w:val="24"/>
          <w:highlight w:val="none"/>
        </w:rPr>
        <w:t>应保证其竞争性谈判响应文件中所提供的所有有关谈判的资料、信息是真实的、并且来源于合法的渠道。因竞争性谈判响应文件中所提供的有关谈判的资料、信息不真实、或者其来源不合法而导致的所有法律责任，由</w:t>
      </w:r>
      <w:r>
        <w:rPr>
          <w:rFonts w:hint="eastAsia" w:ascii="仿宋" w:hAnsi="仿宋" w:eastAsia="仿宋" w:cs="仿宋"/>
          <w:color w:val="auto"/>
          <w:sz w:val="24"/>
          <w:szCs w:val="24"/>
          <w:highlight w:val="none"/>
          <w:lang w:eastAsia="zh-CN"/>
        </w:rPr>
        <w:t>谈判供应商</w:t>
      </w:r>
      <w:r>
        <w:rPr>
          <w:rFonts w:hint="eastAsia" w:ascii="仿宋" w:hAnsi="仿宋" w:eastAsia="仿宋" w:cs="仿宋"/>
          <w:color w:val="auto"/>
          <w:sz w:val="24"/>
          <w:szCs w:val="24"/>
          <w:highlight w:val="none"/>
        </w:rPr>
        <w:t>自行承担。</w:t>
      </w:r>
    </w:p>
    <w:p>
      <w:pPr>
        <w:pStyle w:val="2"/>
        <w:rPr>
          <w:rFonts w:hint="eastAsia" w:ascii="仿宋" w:hAnsi="仿宋" w:eastAsia="仿宋" w:cs="仿宋"/>
          <w:color w:val="auto"/>
          <w:highlight w:val="none"/>
        </w:rPr>
      </w:pPr>
    </w:p>
    <w:p>
      <w:pPr>
        <w:keepNext w:val="0"/>
        <w:keepLines w:val="0"/>
        <w:pageBreakBefore w:val="0"/>
        <w:widowControl w:val="0"/>
        <w:wordWrap/>
        <w:overflowPunct/>
        <w:topLinePunct w:val="0"/>
        <w:autoSpaceDE/>
        <w:autoSpaceDN/>
        <w:bidi w:val="0"/>
        <w:spacing w:before="156" w:beforeLines="50" w:line="500" w:lineRule="exact"/>
        <w:jc w:val="center"/>
        <w:textAlignment w:val="auto"/>
        <w:outlineLvl w:val="1"/>
        <w:rPr>
          <w:rFonts w:hint="eastAsia" w:ascii="仿宋" w:hAnsi="仿宋" w:eastAsia="仿宋" w:cs="仿宋"/>
          <w:b/>
          <w:color w:val="auto"/>
          <w:sz w:val="32"/>
          <w:szCs w:val="32"/>
          <w:highlight w:val="none"/>
        </w:rPr>
      </w:pPr>
      <w:bookmarkStart w:id="28" w:name="_Toc28276"/>
      <w:r>
        <w:rPr>
          <w:rFonts w:hint="eastAsia" w:ascii="仿宋" w:hAnsi="仿宋" w:eastAsia="仿宋" w:cs="仿宋"/>
          <w:b/>
          <w:color w:val="auto"/>
          <w:sz w:val="32"/>
          <w:szCs w:val="32"/>
          <w:highlight w:val="none"/>
        </w:rPr>
        <w:t>二.竞争性谈判文件</w:t>
      </w:r>
      <w:bookmarkEnd w:id="28"/>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29" w:name="_Toc2424"/>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.竞争性谈判文件构成</w:t>
      </w:r>
      <w:bookmarkEnd w:id="29"/>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竞争性谈判文件规定了要求提供的货物和服务，竞争性谈判程序和合同条件在竞争性谈判文件中均有说明。竞争性谈判文件共六章，内容如下：</w:t>
      </w:r>
    </w:p>
    <w:p>
      <w:pPr>
        <w:keepNext w:val="0"/>
        <w:keepLines w:val="0"/>
        <w:pageBreakBefore w:val="0"/>
        <w:widowControl w:val="0"/>
        <w:wordWrap/>
        <w:overflowPunct/>
        <w:topLinePunct w:val="0"/>
        <w:autoSpaceDE/>
        <w:autoSpaceDN/>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第一章 竞争性谈判公告</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第二章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合同条款及格式</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第四章 竞争性谈判内容及技术要求 </w:t>
      </w:r>
    </w:p>
    <w:p>
      <w:pPr>
        <w:keepNext w:val="0"/>
        <w:keepLines w:val="0"/>
        <w:pageBreakBefore w:val="0"/>
        <w:widowControl w:val="0"/>
        <w:wordWrap/>
        <w:overflowPunct/>
        <w:topLinePunct w:val="0"/>
        <w:autoSpaceDE/>
        <w:autoSpaceDN/>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第五章 评审方法</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竞争性谈判响应文件格式及构成</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谈判供应商</w:t>
      </w:r>
      <w:r>
        <w:rPr>
          <w:rFonts w:hint="eastAsia" w:ascii="仿宋" w:hAnsi="仿宋" w:eastAsia="仿宋" w:cs="仿宋"/>
          <w:color w:val="auto"/>
          <w:sz w:val="24"/>
          <w:szCs w:val="24"/>
          <w:highlight w:val="none"/>
        </w:rPr>
        <w:t>应认真阅读竞争性谈判文件中所有的事项、格式、条款和规范等要求。如果</w:t>
      </w:r>
      <w:r>
        <w:rPr>
          <w:rFonts w:hint="eastAsia" w:ascii="仿宋" w:hAnsi="仿宋" w:eastAsia="仿宋" w:cs="仿宋"/>
          <w:color w:val="auto"/>
          <w:sz w:val="24"/>
          <w:szCs w:val="24"/>
          <w:highlight w:val="none"/>
          <w:lang w:eastAsia="zh-CN"/>
        </w:rPr>
        <w:t>谈判供应商</w:t>
      </w:r>
      <w:r>
        <w:rPr>
          <w:rFonts w:hint="eastAsia" w:ascii="仿宋" w:hAnsi="仿宋" w:eastAsia="仿宋" w:cs="仿宋"/>
          <w:color w:val="auto"/>
          <w:sz w:val="24"/>
          <w:szCs w:val="24"/>
          <w:highlight w:val="none"/>
        </w:rPr>
        <w:t>没有按照竞争性谈判文件要求提交全部资料，或者竞争性谈判响应文件没有对竞争性谈判文件在各方面都做出实质性响应，由此带来的不利于</w:t>
      </w:r>
      <w:r>
        <w:rPr>
          <w:rFonts w:hint="eastAsia" w:ascii="仿宋" w:hAnsi="仿宋" w:eastAsia="仿宋" w:cs="仿宋"/>
          <w:color w:val="auto"/>
          <w:sz w:val="24"/>
          <w:szCs w:val="24"/>
          <w:highlight w:val="none"/>
          <w:lang w:eastAsia="zh-CN"/>
        </w:rPr>
        <w:t>谈判供应商</w:t>
      </w:r>
      <w:r>
        <w:rPr>
          <w:rFonts w:hint="eastAsia" w:ascii="仿宋" w:hAnsi="仿宋" w:eastAsia="仿宋" w:cs="仿宋"/>
          <w:color w:val="auto"/>
          <w:sz w:val="24"/>
          <w:szCs w:val="24"/>
          <w:highlight w:val="none"/>
        </w:rPr>
        <w:t>的谈判结果，其风险由</w:t>
      </w:r>
      <w:r>
        <w:rPr>
          <w:rFonts w:hint="eastAsia" w:ascii="仿宋" w:hAnsi="仿宋" w:eastAsia="仿宋" w:cs="仿宋"/>
          <w:color w:val="auto"/>
          <w:sz w:val="24"/>
          <w:szCs w:val="24"/>
          <w:highlight w:val="none"/>
          <w:lang w:eastAsia="zh-CN"/>
        </w:rPr>
        <w:t>谈判供应商</w:t>
      </w:r>
      <w:r>
        <w:rPr>
          <w:rFonts w:hint="eastAsia" w:ascii="仿宋" w:hAnsi="仿宋" w:eastAsia="仿宋" w:cs="仿宋"/>
          <w:color w:val="auto"/>
          <w:sz w:val="24"/>
          <w:szCs w:val="24"/>
          <w:highlight w:val="none"/>
        </w:rPr>
        <w:t>承担。</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.3本竞争性谈判文件的解释权归</w:t>
      </w:r>
      <w:r>
        <w:rPr>
          <w:rFonts w:hint="eastAsia" w:ascii="仿宋" w:hAnsi="仿宋" w:eastAsia="仿宋" w:cs="仿宋"/>
          <w:color w:val="auto"/>
          <w:sz w:val="24"/>
          <w:szCs w:val="24"/>
          <w:highlight w:val="none"/>
          <w:lang w:eastAsia="zh-CN"/>
        </w:rPr>
        <w:t>华夏国际项目管理有限公司，</w:t>
      </w:r>
      <w:r>
        <w:rPr>
          <w:rFonts w:hint="eastAsia" w:ascii="仿宋" w:hAnsi="仿宋" w:eastAsia="仿宋" w:cs="仿宋"/>
          <w:color w:val="auto"/>
          <w:sz w:val="24"/>
          <w:szCs w:val="24"/>
          <w:highlight w:val="none"/>
        </w:rPr>
        <w:t>如发现</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文件内容与现行法律法规不相符的情况，以现行法律法规为准。</w:t>
      </w:r>
    </w:p>
    <w:p>
      <w:pPr>
        <w:keepNext w:val="0"/>
        <w:keepLines w:val="0"/>
        <w:pageBreakBefore w:val="0"/>
        <w:widowControl w:val="0"/>
        <w:numPr>
          <w:ilvl w:val="0"/>
          <w:numId w:val="0"/>
        </w:numPr>
        <w:wordWrap/>
        <w:overflowPunct/>
        <w:topLinePunct w:val="0"/>
        <w:autoSpaceDE/>
        <w:autoSpaceDN/>
        <w:bidi w:val="0"/>
        <w:spacing w:line="500" w:lineRule="exact"/>
        <w:textAlignment w:val="auto"/>
        <w:outlineLvl w:val="2"/>
        <w:rPr>
          <w:rFonts w:hint="eastAsia" w:ascii="仿宋" w:hAnsi="仿宋" w:eastAsia="仿宋" w:cs="仿宋"/>
          <w:color w:val="auto"/>
          <w:highlight w:val="none"/>
        </w:rPr>
      </w:pPr>
      <w:bookmarkStart w:id="30" w:name="_Toc4079"/>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竞争性谈判文件的修改和澄清</w:t>
      </w:r>
      <w:bookmarkEnd w:id="30"/>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响应文件</w:t>
      </w:r>
      <w:r>
        <w:rPr>
          <w:rFonts w:hint="eastAsia" w:ascii="仿宋" w:hAnsi="仿宋" w:eastAsia="仿宋" w:cs="仿宋"/>
          <w:color w:val="auto"/>
          <w:sz w:val="24"/>
          <w:szCs w:val="24"/>
          <w:highlight w:val="none"/>
          <w:lang w:eastAsia="zh-CN"/>
        </w:rPr>
        <w:t>递交</w:t>
      </w:r>
      <w:r>
        <w:rPr>
          <w:rFonts w:hint="eastAsia" w:ascii="仿宋" w:hAnsi="仿宋" w:eastAsia="仿宋" w:cs="仿宋"/>
          <w:color w:val="auto"/>
          <w:sz w:val="24"/>
          <w:szCs w:val="24"/>
          <w:highlight w:val="none"/>
        </w:rPr>
        <w:t>截止时间前，</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代理机构可以视采购具体情况，延长</w:t>
      </w:r>
      <w:r>
        <w:rPr>
          <w:rFonts w:hint="eastAsia" w:ascii="仿宋" w:hAnsi="仿宋" w:eastAsia="仿宋" w:cs="仿宋"/>
          <w:color w:val="auto"/>
          <w:sz w:val="24"/>
          <w:szCs w:val="24"/>
          <w:highlight w:val="none"/>
          <w:lang w:eastAsia="zh-CN"/>
        </w:rPr>
        <w:t>谈判响应文件</w:t>
      </w:r>
      <w:r>
        <w:rPr>
          <w:rFonts w:hint="eastAsia" w:ascii="仿宋" w:hAnsi="仿宋" w:eastAsia="仿宋" w:cs="仿宋"/>
          <w:color w:val="auto"/>
          <w:sz w:val="24"/>
          <w:szCs w:val="24"/>
          <w:highlight w:val="none"/>
        </w:rPr>
        <w:t>递交截止时间和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时间并在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公告的发布媒体上发布变更公告，同时将变更时间书面通知所有获取竞争性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已经</w:t>
      </w:r>
      <w:r>
        <w:rPr>
          <w:rFonts w:hint="eastAsia" w:ascii="仿宋" w:hAnsi="仿宋" w:eastAsia="仿宋" w:cs="仿宋"/>
          <w:color w:val="auto"/>
          <w:sz w:val="24"/>
          <w:szCs w:val="24"/>
          <w:highlight w:val="none"/>
          <w:lang w:eastAsia="zh-CN"/>
        </w:rPr>
        <w:t>获取</w:t>
      </w:r>
      <w:r>
        <w:rPr>
          <w:rFonts w:hint="eastAsia" w:ascii="仿宋" w:hAnsi="仿宋" w:eastAsia="仿宋" w:cs="仿宋"/>
          <w:color w:val="auto"/>
          <w:sz w:val="24"/>
          <w:szCs w:val="24"/>
          <w:highlight w:val="none"/>
        </w:rPr>
        <w:t>竞争性谈判文件的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对竞争性谈判文件有疑问的，均应在谈判截止日期2日前以书面形式向采购代理机构提出。采购代理机构视情况必要时将书面答</w:t>
      </w:r>
      <w:r>
        <w:rPr>
          <w:rFonts w:hint="eastAsia" w:ascii="仿宋" w:hAnsi="仿宋" w:eastAsia="仿宋" w:cs="仿宋"/>
          <w:color w:val="auto"/>
          <w:sz w:val="24"/>
          <w:szCs w:val="24"/>
          <w:highlight w:val="none"/>
        </w:rPr>
        <w:t>复传送给</w:t>
      </w:r>
      <w:r>
        <w:rPr>
          <w:rFonts w:hint="eastAsia" w:ascii="仿宋" w:hAnsi="仿宋" w:eastAsia="仿宋" w:cs="仿宋"/>
          <w:color w:val="auto"/>
          <w:sz w:val="24"/>
          <w:szCs w:val="24"/>
          <w:highlight w:val="none"/>
          <w:lang w:eastAsia="zh-CN"/>
        </w:rPr>
        <w:t>所有获取</w:t>
      </w:r>
      <w:r>
        <w:rPr>
          <w:rFonts w:hint="eastAsia" w:ascii="仿宋" w:hAnsi="仿宋" w:eastAsia="仿宋" w:cs="仿宋"/>
          <w:color w:val="auto"/>
          <w:sz w:val="24"/>
          <w:szCs w:val="24"/>
          <w:highlight w:val="none"/>
        </w:rPr>
        <w:t>竞争性谈判文件的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在收到上述通知后，应立即向</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代理机构回函确认。</w:t>
      </w:r>
    </w:p>
    <w:p>
      <w:pPr>
        <w:keepNext w:val="0"/>
        <w:keepLines w:val="0"/>
        <w:pageBreakBefore w:val="0"/>
        <w:widowControl w:val="0"/>
        <w:wordWrap/>
        <w:overflowPunct/>
        <w:topLinePunct w:val="0"/>
        <w:autoSpaceDE/>
        <w:autoSpaceDN/>
        <w:bidi w:val="0"/>
        <w:spacing w:line="500" w:lineRule="exact"/>
        <w:textAlignment w:val="auto"/>
        <w:rPr>
          <w:rFonts w:hint="eastAsia" w:ascii="仿宋" w:hAnsi="仿宋" w:eastAsia="仿宋" w:cs="仿宋"/>
          <w:b/>
          <w:color w:val="auto"/>
          <w:sz w:val="36"/>
          <w:szCs w:val="36"/>
          <w:highlight w:val="none"/>
        </w:rPr>
      </w:pPr>
    </w:p>
    <w:p>
      <w:pPr>
        <w:keepNext w:val="0"/>
        <w:keepLines w:val="0"/>
        <w:pageBreakBefore w:val="0"/>
        <w:widowControl w:val="0"/>
        <w:wordWrap/>
        <w:overflowPunct/>
        <w:topLinePunct w:val="0"/>
        <w:autoSpaceDE/>
        <w:autoSpaceDN/>
        <w:bidi w:val="0"/>
        <w:spacing w:before="156" w:beforeLines="50" w:line="500" w:lineRule="exact"/>
        <w:jc w:val="center"/>
        <w:textAlignment w:val="auto"/>
        <w:outlineLvl w:val="1"/>
        <w:rPr>
          <w:rFonts w:hint="eastAsia" w:ascii="仿宋" w:hAnsi="仿宋" w:eastAsia="仿宋" w:cs="仿宋"/>
          <w:b/>
          <w:color w:val="auto"/>
          <w:sz w:val="32"/>
          <w:szCs w:val="32"/>
          <w:highlight w:val="none"/>
        </w:rPr>
      </w:pPr>
      <w:bookmarkStart w:id="31" w:name="_Toc28916"/>
      <w:r>
        <w:rPr>
          <w:rFonts w:hint="eastAsia" w:ascii="仿宋" w:hAnsi="仿宋" w:eastAsia="仿宋" w:cs="仿宋"/>
          <w:b/>
          <w:color w:val="auto"/>
          <w:sz w:val="32"/>
          <w:szCs w:val="32"/>
          <w:highlight w:val="none"/>
        </w:rPr>
        <w:t>三.竞争性谈判响应文件的编制</w:t>
      </w:r>
      <w:bookmarkEnd w:id="31"/>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32" w:name="_Toc16344"/>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谈判语言和谈判货币</w:t>
      </w:r>
      <w:bookmarkEnd w:id="32"/>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提交的竞争性谈判响应文件以及</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与采购代理机构就有关谈判的所有来往函电均应使用中文。</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.2谈判应以人民币报价。任何包含非人民币报价的谈判将被作无效响应处理。</w:t>
      </w:r>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33" w:name="_Toc20423"/>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.竞争性谈判响应文件的构成</w:t>
      </w:r>
      <w:bookmarkEnd w:id="33"/>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提交的竞争性谈判响应文件应包括下列部分的内容：</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10.1.1</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供应商须知</w:t>
      </w:r>
      <w:r>
        <w:rPr>
          <w:rFonts w:hint="eastAsia" w:ascii="仿宋" w:hAnsi="仿宋" w:eastAsia="仿宋" w:cs="仿宋"/>
          <w:color w:val="auto"/>
          <w:sz w:val="24"/>
          <w:szCs w:val="24"/>
          <w:highlight w:val="none"/>
        </w:rPr>
        <w:t>的要求和竞争性谈判文件规定格式填写的</w:t>
      </w:r>
      <w:r>
        <w:rPr>
          <w:rFonts w:hint="eastAsia" w:ascii="仿宋" w:hAnsi="仿宋" w:eastAsia="仿宋" w:cs="仿宋"/>
          <w:color w:val="auto"/>
          <w:sz w:val="24"/>
          <w:szCs w:val="24"/>
          <w:highlight w:val="none"/>
          <w:lang w:eastAsia="zh-CN"/>
        </w:rPr>
        <w:t>谈判响应函</w:t>
      </w:r>
      <w:r>
        <w:rPr>
          <w:rFonts w:hint="eastAsia" w:ascii="仿宋" w:hAnsi="仿宋" w:eastAsia="仿宋" w:cs="仿宋"/>
          <w:color w:val="auto"/>
          <w:sz w:val="24"/>
          <w:szCs w:val="24"/>
          <w:highlight w:val="none"/>
        </w:rPr>
        <w:t>、谈判</w:t>
      </w:r>
      <w:r>
        <w:rPr>
          <w:rFonts w:hint="eastAsia" w:ascii="仿宋" w:hAnsi="仿宋" w:eastAsia="仿宋" w:cs="仿宋"/>
          <w:color w:val="auto"/>
          <w:sz w:val="24"/>
          <w:szCs w:val="24"/>
          <w:highlight w:val="none"/>
        </w:rPr>
        <w:t>报价表、</w:t>
      </w:r>
      <w:r>
        <w:rPr>
          <w:rFonts w:hint="eastAsia" w:ascii="仿宋" w:hAnsi="仿宋" w:eastAsia="仿宋" w:cs="仿宋"/>
          <w:color w:val="auto"/>
          <w:sz w:val="24"/>
          <w:szCs w:val="24"/>
          <w:highlight w:val="none"/>
          <w:lang w:eastAsia="zh-CN"/>
        </w:rPr>
        <w:t>法定代表人</w:t>
      </w:r>
      <w:r>
        <w:rPr>
          <w:rFonts w:hint="eastAsia" w:ascii="仿宋" w:hAnsi="仿宋" w:eastAsia="仿宋" w:cs="仿宋"/>
          <w:color w:val="auto"/>
          <w:sz w:val="24"/>
          <w:szCs w:val="24"/>
          <w:highlight w:val="none"/>
        </w:rPr>
        <w:t>授权书。</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10.1.2</w:t>
      </w:r>
      <w:r>
        <w:rPr>
          <w:rFonts w:hint="eastAsia" w:ascii="仿宋" w:hAnsi="仿宋" w:eastAsia="仿宋" w:cs="仿宋"/>
          <w:color w:val="auto"/>
          <w:sz w:val="24"/>
          <w:szCs w:val="24"/>
          <w:highlight w:val="none"/>
        </w:rPr>
        <w:t>按照竞争性谈判文件的要求编制的谈判方案说明书，内容应包括设备和服务的详细说明、技术规格响应表、设备配置说明、彩页</w:t>
      </w:r>
      <w:r>
        <w:rPr>
          <w:rFonts w:hint="eastAsia" w:ascii="仿宋" w:hAnsi="仿宋" w:eastAsia="仿宋" w:cs="仿宋"/>
          <w:color w:val="auto"/>
          <w:sz w:val="24"/>
          <w:szCs w:val="24"/>
          <w:highlight w:val="none"/>
          <w:lang w:eastAsia="zh-CN"/>
        </w:rPr>
        <w:t>（如有）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生产厂家出具的、相应的产品功能证明材料（包括但不限于测试报告、官网和功能截图等）</w:t>
      </w:r>
      <w:r>
        <w:rPr>
          <w:rFonts w:hint="eastAsia" w:ascii="仿宋" w:hAnsi="仿宋" w:eastAsia="仿宋" w:cs="仿宋"/>
          <w:color w:val="auto"/>
          <w:sz w:val="24"/>
          <w:szCs w:val="24"/>
          <w:highlight w:val="none"/>
        </w:rPr>
        <w:t>，质量保证和售后服务承诺等。</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10.1.3</w:t>
      </w:r>
      <w:r>
        <w:rPr>
          <w:rFonts w:hint="eastAsia" w:ascii="仿宋" w:hAnsi="仿宋" w:eastAsia="仿宋" w:cs="仿宋"/>
          <w:color w:val="auto"/>
          <w:sz w:val="24"/>
          <w:szCs w:val="24"/>
          <w:highlight w:val="none"/>
        </w:rPr>
        <w:t>按照竞争性谈判文件</w:t>
      </w:r>
      <w:r>
        <w:rPr>
          <w:rFonts w:hint="eastAsia" w:ascii="仿宋" w:hAnsi="仿宋" w:eastAsia="仿宋" w:cs="仿宋"/>
          <w:color w:val="auto"/>
          <w:sz w:val="24"/>
          <w:szCs w:val="24"/>
          <w:highlight w:val="none"/>
          <w:lang w:eastAsia="zh-CN"/>
        </w:rPr>
        <w:t>供应商须知</w:t>
      </w:r>
      <w:r>
        <w:rPr>
          <w:rFonts w:hint="eastAsia" w:ascii="仿宋" w:hAnsi="仿宋" w:eastAsia="仿宋" w:cs="仿宋"/>
          <w:color w:val="auto"/>
          <w:sz w:val="24"/>
          <w:szCs w:val="24"/>
          <w:highlight w:val="none"/>
        </w:rPr>
        <w:t>前附表的要求提交的资格证明文件；</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10.1.4</w:t>
      </w:r>
      <w:r>
        <w:rPr>
          <w:rFonts w:hint="eastAsia" w:ascii="仿宋" w:hAnsi="仿宋" w:eastAsia="仿宋" w:cs="仿宋"/>
          <w:color w:val="auto"/>
          <w:sz w:val="24"/>
          <w:szCs w:val="24"/>
          <w:highlight w:val="none"/>
        </w:rPr>
        <w:t>按照本须知第1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条要求提交的谈判保证金</w:t>
      </w:r>
      <w:r>
        <w:rPr>
          <w:rFonts w:hint="eastAsia" w:ascii="仿宋" w:hAnsi="仿宋" w:eastAsia="仿宋" w:cs="仿宋"/>
          <w:color w:val="auto"/>
          <w:sz w:val="24"/>
          <w:szCs w:val="24"/>
          <w:highlight w:val="none"/>
          <w:lang w:eastAsia="zh-CN"/>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10.1.5</w:t>
      </w:r>
      <w:r>
        <w:rPr>
          <w:rFonts w:hint="eastAsia" w:ascii="仿宋" w:hAnsi="仿宋" w:eastAsia="仿宋" w:cs="仿宋"/>
          <w:color w:val="auto"/>
          <w:sz w:val="24"/>
          <w:szCs w:val="24"/>
          <w:highlight w:val="none"/>
        </w:rPr>
        <w:t>竞争性谈判文件中要求的其他证明文件</w:t>
      </w:r>
      <w:r>
        <w:rPr>
          <w:rFonts w:hint="eastAsia" w:ascii="仿宋" w:hAnsi="仿宋" w:eastAsia="仿宋" w:cs="仿宋"/>
          <w:color w:val="auto"/>
          <w:sz w:val="24"/>
          <w:szCs w:val="24"/>
          <w:highlight w:val="none"/>
          <w:lang w:eastAsia="zh-CN"/>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 如果在竞争性谈判文件中没有允许提供备选方案，则每个</w:t>
      </w:r>
      <w:r>
        <w:rPr>
          <w:rFonts w:hint="eastAsia" w:ascii="仿宋" w:hAnsi="仿宋" w:eastAsia="仿宋" w:cs="仿宋"/>
          <w:color w:val="auto"/>
          <w:sz w:val="24"/>
          <w:szCs w:val="24"/>
          <w:highlight w:val="none"/>
          <w:lang w:eastAsia="zh-CN"/>
        </w:rPr>
        <w:t>谈判供应商</w:t>
      </w:r>
      <w:r>
        <w:rPr>
          <w:rFonts w:hint="eastAsia" w:ascii="仿宋" w:hAnsi="仿宋" w:eastAsia="仿宋" w:cs="仿宋"/>
          <w:color w:val="auto"/>
          <w:sz w:val="24"/>
          <w:szCs w:val="24"/>
          <w:highlight w:val="none"/>
        </w:rPr>
        <w:t>只允许提交一个谈判方案，否则，其谈判将被作谈判无效处理。</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.3本次</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的最小单</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CN"/>
        </w:rPr>
        <w:t>见供应商须知前附表，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可根据自身的资质情况和经营范围对本次项目进行响应，不得将其子目再行分解或只对本次项目中的品目进行不完全响应，任何不完全的响应将</w:t>
      </w:r>
      <w:r>
        <w:rPr>
          <w:rFonts w:hint="eastAsia" w:ascii="仿宋" w:hAnsi="仿宋" w:eastAsia="仿宋" w:cs="仿宋"/>
          <w:color w:val="auto"/>
          <w:sz w:val="24"/>
          <w:szCs w:val="24"/>
          <w:highlight w:val="none"/>
          <w:lang w:eastAsia="zh-CN"/>
        </w:rPr>
        <w:t>按无效响应处理</w:t>
      </w:r>
      <w:r>
        <w:rPr>
          <w:rFonts w:hint="eastAsia" w:ascii="仿宋" w:hAnsi="仿宋" w:eastAsia="仿宋" w:cs="仿宋"/>
          <w:color w:val="auto"/>
          <w:sz w:val="24"/>
          <w:szCs w:val="24"/>
          <w:highlight w:val="none"/>
        </w:rPr>
        <w:t>。</w:t>
      </w:r>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34" w:name="_Toc29401"/>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.竞争性谈判响应文件格式</w:t>
      </w:r>
      <w:bookmarkEnd w:id="34"/>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应按照竞争性谈判文件中</w:t>
      </w:r>
      <w:r>
        <w:rPr>
          <w:rFonts w:hint="eastAsia" w:ascii="仿宋" w:hAnsi="仿宋" w:eastAsia="仿宋" w:cs="仿宋"/>
          <w:color w:val="auto"/>
          <w:sz w:val="24"/>
          <w:szCs w:val="24"/>
          <w:highlight w:val="none"/>
          <w:lang w:eastAsia="zh-CN"/>
        </w:rPr>
        <w:t>第六章</w:t>
      </w:r>
      <w:r>
        <w:rPr>
          <w:rFonts w:hint="eastAsia" w:ascii="仿宋" w:hAnsi="仿宋" w:eastAsia="仿宋" w:cs="仿宋"/>
          <w:color w:val="auto"/>
          <w:sz w:val="24"/>
          <w:szCs w:val="24"/>
          <w:highlight w:val="none"/>
        </w:rPr>
        <w:t>“竞争性谈判响应文件格式及构成”所提供的格式和要求制作竞争性谈判响应文件，明确表达谈判意愿，详细说明谈判方案、承诺及价格。</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eastAsia="zh-CN"/>
        </w:rPr>
        <w:t>供应商</w:t>
      </w:r>
      <w:r>
        <w:rPr>
          <w:rFonts w:hint="eastAsia" w:ascii="仿宋" w:hAnsi="仿宋" w:eastAsia="仿宋" w:cs="仿宋"/>
          <w:b w:val="0"/>
          <w:bCs w:val="0"/>
          <w:color w:val="auto"/>
          <w:sz w:val="24"/>
          <w:highlight w:val="none"/>
        </w:rPr>
        <w:t>应完整地提供</w:t>
      </w:r>
      <w:r>
        <w:rPr>
          <w:rFonts w:hint="eastAsia" w:ascii="仿宋" w:hAnsi="仿宋" w:eastAsia="仿宋" w:cs="仿宋"/>
          <w:b w:val="0"/>
          <w:bCs w:val="0"/>
          <w:color w:val="auto"/>
          <w:sz w:val="24"/>
          <w:highlight w:val="none"/>
          <w:lang w:eastAsia="zh-CN"/>
        </w:rPr>
        <w:t>谈判</w:t>
      </w:r>
      <w:r>
        <w:rPr>
          <w:rFonts w:hint="eastAsia" w:ascii="仿宋" w:hAnsi="仿宋" w:eastAsia="仿宋" w:cs="仿宋"/>
          <w:b w:val="0"/>
          <w:bCs w:val="0"/>
          <w:color w:val="auto"/>
          <w:sz w:val="24"/>
          <w:highlight w:val="none"/>
        </w:rPr>
        <w:t>文件要求的所有数据和资料。</w:t>
      </w:r>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35" w:name="_Toc30448"/>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.谈判报价</w:t>
      </w:r>
      <w:bookmarkEnd w:id="35"/>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w:t>
      </w:r>
      <w:r>
        <w:rPr>
          <w:rFonts w:hint="eastAsia" w:ascii="仿宋" w:hAnsi="仿宋" w:eastAsia="仿宋" w:cs="仿宋"/>
          <w:color w:val="auto"/>
          <w:sz w:val="24"/>
          <w:szCs w:val="24"/>
          <w:highlight w:val="none"/>
          <w:lang w:eastAsia="zh-CN"/>
        </w:rPr>
        <w:t>谈判报价：见供应商须知前附表。</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.2谈判报价表中标明的价格应为履行合同的固定价格，不得以任何理由予以变更。以可调整的价格提交的竞争性谈判响应文件按无效响应处理。</w:t>
      </w:r>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36" w:name="_Toc12532"/>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.证明</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合格和资格的文件</w:t>
      </w:r>
      <w:bookmarkEnd w:id="36"/>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应按照竞争性谈判文件</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的要求，在竞争性谈判响应文件中提交合格的资格证明文件。如果资格证明文件不全或不合格的，其谈判按无效响应处理。</w:t>
      </w:r>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37" w:name="_Toc17796"/>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.证明</w:t>
      </w:r>
      <w:r>
        <w:rPr>
          <w:rFonts w:hint="eastAsia" w:ascii="仿宋" w:hAnsi="仿宋" w:eastAsia="仿宋" w:cs="仿宋"/>
          <w:b/>
          <w:color w:val="auto"/>
          <w:sz w:val="24"/>
          <w:szCs w:val="24"/>
          <w:highlight w:val="none"/>
          <w:lang w:eastAsia="zh-CN"/>
        </w:rPr>
        <w:t>货物（产品）</w:t>
      </w:r>
      <w:r>
        <w:rPr>
          <w:rFonts w:hint="eastAsia" w:ascii="仿宋" w:hAnsi="仿宋" w:eastAsia="仿宋" w:cs="仿宋"/>
          <w:b/>
          <w:color w:val="auto"/>
          <w:sz w:val="24"/>
          <w:szCs w:val="24"/>
          <w:highlight w:val="none"/>
        </w:rPr>
        <w:t>符合竞</w:t>
      </w:r>
      <w:r>
        <w:rPr>
          <w:rFonts w:hint="eastAsia" w:ascii="仿宋" w:hAnsi="仿宋" w:eastAsia="仿宋" w:cs="仿宋"/>
          <w:b/>
          <w:color w:val="auto"/>
          <w:sz w:val="24"/>
          <w:szCs w:val="24"/>
          <w:highlight w:val="none"/>
        </w:rPr>
        <w:t>争性谈判文件规定的文件</w:t>
      </w:r>
      <w:bookmarkEnd w:id="37"/>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在竞争性谈判响应文件中提交产品和服务满足竞争性谈判文件要求并符合国家法律法规、行业管理部门要求的其他强制性标准的证明文件。缺少证明文件或证明文件不合格的谈判，与竞争性谈判文件要求有重大偏离的谈判，不符合国家法律法规、行业管理部门要求的其他强制性标准的谈判将按无效响应处理。</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.2上述证明文件可以是文字资料、图纸、图片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数据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宣传彩页等，所有证明文件表达意思必须统一。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如需</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提供样品，</w:t>
      </w:r>
      <w:r>
        <w:rPr>
          <w:rFonts w:hint="eastAsia" w:ascii="仿宋" w:hAnsi="仿宋" w:eastAsia="仿宋" w:cs="仿宋"/>
          <w:color w:val="auto"/>
          <w:sz w:val="24"/>
          <w:szCs w:val="24"/>
          <w:highlight w:val="none"/>
          <w:lang w:eastAsia="zh-CN"/>
        </w:rPr>
        <w:t>样品必须与谈判响应</w:t>
      </w:r>
      <w:r>
        <w:rPr>
          <w:rFonts w:hint="eastAsia" w:ascii="仿宋" w:hAnsi="仿宋" w:eastAsia="仿宋" w:cs="仿宋"/>
          <w:color w:val="auto"/>
          <w:sz w:val="24"/>
          <w:szCs w:val="24"/>
          <w:highlight w:val="none"/>
        </w:rPr>
        <w:t>文件的表述完全符合。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14.2.1</w:t>
      </w:r>
      <w:r>
        <w:rPr>
          <w:rFonts w:hint="eastAsia" w:ascii="仿宋" w:hAnsi="仿宋" w:eastAsia="仿宋" w:cs="仿宋"/>
          <w:color w:val="auto"/>
          <w:sz w:val="24"/>
          <w:szCs w:val="24"/>
          <w:highlight w:val="none"/>
        </w:rPr>
        <w:t xml:space="preserve"> 产品主要技术指标和性能的详细说明；</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14.2.2</w:t>
      </w:r>
      <w:r>
        <w:rPr>
          <w:rFonts w:hint="eastAsia" w:ascii="仿宋" w:hAnsi="仿宋" w:eastAsia="仿宋" w:cs="仿宋"/>
          <w:color w:val="auto"/>
          <w:sz w:val="24"/>
          <w:szCs w:val="24"/>
          <w:highlight w:val="none"/>
          <w:lang w:eastAsia="zh-CN"/>
        </w:rPr>
        <w:t>生产厂家出具的、相应的产品功能证明材料（包括但不限于测试报告、官网和功能截图等）</w:t>
      </w:r>
      <w:r>
        <w:rPr>
          <w:rFonts w:hint="eastAsia" w:ascii="仿宋" w:hAnsi="仿宋" w:eastAsia="仿宋" w:cs="仿宋"/>
          <w:color w:val="auto"/>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14.2.3</w:t>
      </w:r>
      <w:r>
        <w:rPr>
          <w:rFonts w:hint="eastAsia" w:ascii="仿宋" w:hAnsi="仿宋" w:eastAsia="仿宋" w:cs="仿宋"/>
          <w:color w:val="auto"/>
          <w:sz w:val="24"/>
          <w:szCs w:val="24"/>
          <w:highlight w:val="none"/>
        </w:rPr>
        <w:t>逐条对竞争性谈判文件提出的技术要求和商务要求进行应答，说明所提供的产品和服务对竞争性谈判的技术和商务要求是否做出了实质性响应并提供支持文件；</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14.2.4</w:t>
      </w:r>
      <w:r>
        <w:rPr>
          <w:rFonts w:hint="eastAsia" w:ascii="仿宋" w:hAnsi="仿宋" w:eastAsia="仿宋" w:cs="仿宋"/>
          <w:color w:val="auto"/>
          <w:sz w:val="24"/>
          <w:szCs w:val="24"/>
          <w:highlight w:val="none"/>
        </w:rPr>
        <w:t>供货范围和服务内容的详细说明。</w:t>
      </w:r>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38" w:name="_Toc16301"/>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.谈判保证金</w:t>
      </w:r>
      <w:bookmarkEnd w:id="38"/>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w:t>
      </w:r>
      <w:bookmarkStart w:id="39" w:name="_Toc27280"/>
      <w:r>
        <w:rPr>
          <w:rFonts w:hint="eastAsia" w:ascii="仿宋" w:hAnsi="仿宋" w:eastAsia="仿宋" w:cs="仿宋"/>
          <w:color w:val="auto"/>
          <w:sz w:val="24"/>
          <w:szCs w:val="24"/>
          <w:highlight w:val="none"/>
          <w:lang w:val="en-US" w:eastAsia="zh-CN"/>
        </w:rPr>
        <w:t>本项目不需要提交谈判保证金。</w:t>
      </w:r>
    </w:p>
    <w:p>
      <w:pPr>
        <w:keepNext w:val="0"/>
        <w:keepLines w:val="0"/>
        <w:pageBreakBefore w:val="0"/>
        <w:widowControl w:val="0"/>
        <w:tabs>
          <w:tab w:val="right" w:pos="8788"/>
        </w:tabs>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bCs w:val="0"/>
          <w:color w:val="auto"/>
          <w:sz w:val="24"/>
          <w:szCs w:val="24"/>
          <w:highlight w:val="none"/>
        </w:rPr>
        <w:t>1</w:t>
      </w:r>
      <w:r>
        <w:rPr>
          <w:rFonts w:hint="eastAsia" w:ascii="仿宋" w:hAnsi="仿宋" w:eastAsia="仿宋" w:cs="仿宋"/>
          <w:b/>
          <w:bCs w:val="0"/>
          <w:color w:val="auto"/>
          <w:sz w:val="24"/>
          <w:szCs w:val="24"/>
          <w:highlight w:val="none"/>
          <w:lang w:val="en-US" w:eastAsia="zh-CN"/>
        </w:rPr>
        <w:t>6</w:t>
      </w:r>
      <w:r>
        <w:rPr>
          <w:rFonts w:hint="eastAsia" w:ascii="仿宋" w:hAnsi="仿宋" w:eastAsia="仿宋" w:cs="仿宋"/>
          <w:b/>
          <w:bCs w:val="0"/>
          <w:color w:val="auto"/>
          <w:sz w:val="24"/>
          <w:szCs w:val="24"/>
          <w:highlight w:val="none"/>
        </w:rPr>
        <w:t>.谈判有效期</w:t>
      </w:r>
      <w:bookmarkEnd w:id="39"/>
      <w:r>
        <w:rPr>
          <w:rFonts w:hint="eastAsia" w:ascii="仿宋" w:hAnsi="仿宋" w:eastAsia="仿宋" w:cs="仿宋"/>
          <w:b/>
          <w:color w:val="auto"/>
          <w:sz w:val="24"/>
          <w:szCs w:val="24"/>
          <w:highlight w:val="none"/>
        </w:rPr>
        <w:tab/>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谈判有效期：见供应商须知前附表</w:t>
      </w:r>
      <w:r>
        <w:rPr>
          <w:rFonts w:hint="eastAsia" w:ascii="仿宋" w:hAnsi="仿宋" w:eastAsia="仿宋" w:cs="仿宋"/>
          <w:color w:val="auto"/>
          <w:sz w:val="24"/>
          <w:szCs w:val="24"/>
          <w:highlight w:val="none"/>
        </w:rPr>
        <w:t>。谈判有效期不满足规定有效期的谈判</w:t>
      </w:r>
      <w:r>
        <w:rPr>
          <w:rFonts w:hint="eastAsia" w:ascii="仿宋" w:hAnsi="仿宋" w:eastAsia="仿宋" w:cs="仿宋"/>
          <w:color w:val="auto"/>
          <w:sz w:val="24"/>
          <w:highlight w:val="none"/>
        </w:rPr>
        <w:t>将被视为非响应性谈判而予以拒绝</w:t>
      </w:r>
      <w:r>
        <w:rPr>
          <w:rFonts w:hint="eastAsia" w:ascii="仿宋" w:hAnsi="仿宋" w:eastAsia="仿宋" w:cs="仿宋"/>
          <w:color w:val="auto"/>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.2在特殊情况下，在原谈判有效期期满之前，采购代理机构可向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提出延长谈判有效期的要求。这种要求与答复均应以书面的形式。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可以拒绝采购代理机构的这种要求,其谈判保证金也不被没收。同意延长的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既不能要求也不允许修改其竞争性谈判响应文件，但要相应延长其谈判保证金的有效期。</w:t>
      </w:r>
      <w:r>
        <w:rPr>
          <w:rFonts w:hint="eastAsia" w:ascii="仿宋" w:hAnsi="仿宋" w:eastAsia="仿宋" w:cs="仿宋"/>
          <w:color w:val="auto"/>
          <w:sz w:val="24"/>
          <w:highlight w:val="none"/>
        </w:rPr>
        <w:t>在这种情况下，本须知第</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条有关谈判保证金的退还和没收的规定将在延长了的有效期内继续有效。</w:t>
      </w:r>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40" w:name="_Toc6910"/>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.竞争性谈判响应文件的式样和签署</w:t>
      </w:r>
      <w:bookmarkEnd w:id="40"/>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谈判响应</w:t>
      </w:r>
      <w:r>
        <w:rPr>
          <w:rFonts w:hint="eastAsia" w:ascii="仿宋" w:hAnsi="仿宋" w:eastAsia="仿宋" w:cs="仿宋"/>
          <w:color w:val="auto"/>
          <w:sz w:val="24"/>
          <w:szCs w:val="24"/>
          <w:highlight w:val="none"/>
        </w:rPr>
        <w:t>文件正本、副本、电子版</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份数</w:t>
      </w:r>
      <w:r>
        <w:rPr>
          <w:rFonts w:hint="eastAsia" w:ascii="仿宋" w:hAnsi="仿宋" w:eastAsia="仿宋" w:cs="仿宋"/>
          <w:color w:val="auto"/>
          <w:sz w:val="24"/>
          <w:szCs w:val="24"/>
          <w:highlight w:val="none"/>
          <w:lang w:eastAsia="zh-CN"/>
        </w:rPr>
        <w:t>及要求详</w:t>
      </w: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“供应商须知前附表”。</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r>
        <w:rPr>
          <w:rFonts w:hint="eastAsia" w:ascii="仿宋" w:hAnsi="仿宋" w:eastAsia="仿宋" w:cs="仿宋"/>
          <w:b w:val="0"/>
          <w:bCs w:val="0"/>
          <w:color w:val="auto"/>
          <w:sz w:val="24"/>
          <w:szCs w:val="24"/>
          <w:highlight w:val="none"/>
        </w:rPr>
        <w:t>竞争性谈判响应文件正</w:t>
      </w:r>
      <w:r>
        <w:rPr>
          <w:rFonts w:hint="eastAsia" w:ascii="仿宋" w:hAnsi="仿宋" w:eastAsia="仿宋" w:cs="仿宋"/>
          <w:b w:val="0"/>
          <w:bCs w:val="0"/>
          <w:color w:val="auto"/>
          <w:sz w:val="24"/>
          <w:szCs w:val="24"/>
          <w:highlight w:val="none"/>
        </w:rPr>
        <w:t>本需打印或用不褪色、不变质的墨水书写，由</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的法定代表人或</w:t>
      </w:r>
      <w:r>
        <w:rPr>
          <w:rFonts w:hint="eastAsia" w:ascii="仿宋" w:hAnsi="仿宋" w:eastAsia="仿宋" w:cs="仿宋"/>
          <w:b w:val="0"/>
          <w:bCs w:val="0"/>
          <w:color w:val="auto"/>
          <w:sz w:val="24"/>
          <w:szCs w:val="24"/>
          <w:highlight w:val="none"/>
          <w:lang w:eastAsia="zh-CN"/>
        </w:rPr>
        <w:t>被授权人按谈判文件的规定签署</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文件</w:t>
      </w:r>
      <w:r>
        <w:rPr>
          <w:rFonts w:hint="eastAsia" w:ascii="仿宋" w:hAnsi="仿宋" w:eastAsia="仿宋" w:cs="仿宋"/>
          <w:b w:val="0"/>
          <w:bCs w:val="0"/>
          <w:color w:val="auto"/>
          <w:sz w:val="24"/>
          <w:szCs w:val="24"/>
          <w:highlight w:val="none"/>
          <w:lang w:eastAsia="zh-CN"/>
        </w:rPr>
        <w:t>要求谈判响应文件中签章的统一为签字或盖章</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竞争性谈判响应</w:t>
      </w:r>
      <w:r>
        <w:rPr>
          <w:rFonts w:hint="eastAsia" w:ascii="仿宋" w:hAnsi="仿宋" w:eastAsia="仿宋" w:cs="仿宋"/>
          <w:b w:val="0"/>
          <w:bCs w:val="0"/>
          <w:color w:val="auto"/>
          <w:sz w:val="24"/>
          <w:szCs w:val="24"/>
          <w:highlight w:val="none"/>
        </w:rPr>
        <w:t>文件副本可采用正本的复印件。</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.3任何行间插字、涂改和增删，必须由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的法定代表人或其授权代表</w:t>
      </w:r>
      <w:r>
        <w:rPr>
          <w:rFonts w:hint="eastAsia" w:ascii="仿宋" w:hAnsi="仿宋" w:eastAsia="仿宋" w:cs="仿宋"/>
          <w:color w:val="auto"/>
          <w:sz w:val="24"/>
          <w:szCs w:val="24"/>
          <w:highlight w:val="none"/>
        </w:rPr>
        <w:t>在旁边签字才有效。</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sz w:val="24"/>
          <w:szCs w:val="24"/>
          <w:highlight w:val="none"/>
          <w:lang w:val="en-US" w:eastAsia="zh-CN"/>
        </w:rPr>
        <w:t>17.4</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eastAsia="zh-CN"/>
        </w:rPr>
        <w:t>竞争性谈判响应</w:t>
      </w:r>
      <w:r>
        <w:rPr>
          <w:rFonts w:hint="eastAsia" w:ascii="仿宋" w:hAnsi="仿宋" w:eastAsia="仿宋" w:cs="仿宋"/>
          <w:b w:val="0"/>
          <w:bCs w:val="0"/>
          <w:color w:val="auto"/>
          <w:sz w:val="24"/>
          <w:szCs w:val="24"/>
          <w:highlight w:val="none"/>
        </w:rPr>
        <w:t>文件正本和副本</w:t>
      </w:r>
      <w:r>
        <w:rPr>
          <w:rFonts w:hint="eastAsia" w:ascii="仿宋" w:hAnsi="仿宋" w:eastAsia="仿宋" w:cs="仿宋"/>
          <w:b w:val="0"/>
          <w:bCs w:val="0"/>
          <w:color w:val="auto"/>
          <w:sz w:val="24"/>
          <w:szCs w:val="24"/>
          <w:highlight w:val="none"/>
          <w:lang w:eastAsia="zh-CN"/>
        </w:rPr>
        <w:t>按照竞争性谈判文件</w:t>
      </w:r>
      <w:r>
        <w:rPr>
          <w:rFonts w:hint="eastAsia" w:ascii="仿宋" w:hAnsi="仿宋" w:eastAsia="仿宋" w:cs="仿宋"/>
          <w:b w:val="0"/>
          <w:bCs w:val="0"/>
          <w:color w:val="auto"/>
          <w:sz w:val="24"/>
          <w:szCs w:val="24"/>
          <w:highlight w:val="none"/>
        </w:rPr>
        <w:t>第六章</w:t>
      </w:r>
      <w:r>
        <w:rPr>
          <w:rFonts w:hint="eastAsia" w:ascii="仿宋" w:hAnsi="仿宋" w:eastAsia="仿宋" w:cs="仿宋"/>
          <w:b w:val="0"/>
          <w:bCs w:val="0"/>
          <w:color w:val="auto"/>
          <w:sz w:val="24"/>
          <w:szCs w:val="24"/>
          <w:highlight w:val="none"/>
          <w:lang w:eastAsia="zh-CN"/>
        </w:rPr>
        <w:t>规定的</w:t>
      </w:r>
      <w:r>
        <w:rPr>
          <w:rFonts w:hint="eastAsia" w:ascii="仿宋" w:hAnsi="仿宋" w:eastAsia="仿宋" w:cs="仿宋"/>
          <w:b w:val="0"/>
          <w:bCs w:val="0"/>
          <w:color w:val="auto"/>
          <w:sz w:val="24"/>
          <w:szCs w:val="24"/>
          <w:highlight w:val="none"/>
        </w:rPr>
        <w:t>顺序编排</w:t>
      </w:r>
      <w:r>
        <w:rPr>
          <w:rFonts w:hint="eastAsia" w:ascii="仿宋" w:hAnsi="仿宋" w:eastAsia="仿宋" w:cs="仿宋"/>
          <w:b w:val="0"/>
          <w:bCs w:val="0"/>
          <w:color w:val="auto"/>
          <w:sz w:val="24"/>
          <w:szCs w:val="24"/>
          <w:highlight w:val="none"/>
          <w:lang w:eastAsia="zh-CN"/>
        </w:rPr>
        <w:t>、并应</w:t>
      </w:r>
      <w:r>
        <w:rPr>
          <w:rFonts w:hint="eastAsia" w:ascii="仿宋" w:hAnsi="仿宋" w:eastAsia="仿宋" w:cs="仿宋"/>
          <w:b w:val="0"/>
          <w:bCs w:val="0"/>
          <w:color w:val="auto"/>
          <w:sz w:val="24"/>
          <w:szCs w:val="24"/>
          <w:highlight w:val="none"/>
          <w:lang w:val="zh-CN"/>
        </w:rPr>
        <w:t>编制目录，</w:t>
      </w:r>
      <w:r>
        <w:rPr>
          <w:rFonts w:hint="eastAsia" w:ascii="仿宋" w:hAnsi="仿宋" w:eastAsia="仿宋" w:cs="仿宋"/>
          <w:b w:val="0"/>
          <w:bCs w:val="0"/>
          <w:color w:val="auto"/>
          <w:sz w:val="24"/>
          <w:szCs w:val="24"/>
          <w:highlight w:val="none"/>
        </w:rPr>
        <w:t>逐页标注连续页码</w:t>
      </w:r>
      <w:r>
        <w:rPr>
          <w:rFonts w:hint="eastAsia" w:ascii="仿宋" w:hAnsi="仿宋" w:eastAsia="仿宋" w:cs="仿宋"/>
          <w:b w:val="0"/>
          <w:bCs w:val="0"/>
          <w:color w:val="auto"/>
          <w:sz w:val="24"/>
          <w:szCs w:val="24"/>
          <w:highlight w:val="none"/>
          <w:lang w:eastAsia="zh-CN"/>
        </w:rPr>
        <w:t>，并分别</w:t>
      </w:r>
      <w:r>
        <w:rPr>
          <w:rFonts w:hint="eastAsia" w:ascii="仿宋" w:hAnsi="仿宋" w:eastAsia="仿宋" w:cs="仿宋"/>
          <w:b w:val="0"/>
          <w:bCs w:val="0"/>
          <w:color w:val="auto"/>
          <w:sz w:val="24"/>
          <w:szCs w:val="24"/>
          <w:highlight w:val="none"/>
          <w:lang w:val="zh-CN"/>
        </w:rPr>
        <w:t>胶装成册</w:t>
      </w:r>
      <w:r>
        <w:rPr>
          <w:rFonts w:hint="eastAsia" w:ascii="仿宋" w:hAnsi="仿宋" w:eastAsia="仿宋" w:cs="仿宋"/>
          <w:b w:val="0"/>
          <w:bCs w:val="0"/>
          <w:color w:val="auto"/>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因字迹潦草、表述不清或不按竞争性谈判文件格式编制的竞争性谈判响应文件，所引起的对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不利的后果，由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自行负责。</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谈判响应</w:t>
      </w:r>
      <w:r>
        <w:rPr>
          <w:rFonts w:hint="eastAsia" w:ascii="仿宋" w:hAnsi="仿宋" w:eastAsia="仿宋" w:cs="仿宋"/>
          <w:color w:val="auto"/>
          <w:sz w:val="24"/>
          <w:szCs w:val="24"/>
          <w:highlight w:val="none"/>
        </w:rPr>
        <w:t>文件的副本、电子版须和正本保持一致。若正本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副本</w:t>
      </w:r>
      <w:r>
        <w:rPr>
          <w:rFonts w:hint="eastAsia" w:ascii="仿宋" w:hAnsi="仿宋" w:eastAsia="仿宋" w:cs="仿宋"/>
          <w:color w:val="auto"/>
          <w:sz w:val="24"/>
          <w:szCs w:val="24"/>
          <w:highlight w:val="none"/>
          <w:lang w:eastAsia="zh-CN"/>
        </w:rPr>
        <w:t>和电子版</w:t>
      </w:r>
      <w:r>
        <w:rPr>
          <w:rFonts w:hint="eastAsia" w:ascii="仿宋" w:hAnsi="仿宋" w:eastAsia="仿宋" w:cs="仿宋"/>
          <w:color w:val="auto"/>
          <w:sz w:val="24"/>
          <w:szCs w:val="24"/>
          <w:highlight w:val="none"/>
        </w:rPr>
        <w:t>有不一致的内容，以正本为准。</w:t>
      </w:r>
    </w:p>
    <w:p>
      <w:pPr>
        <w:keepNext w:val="0"/>
        <w:keepLines w:val="0"/>
        <w:pageBreakBefore w:val="0"/>
        <w:widowControl w:val="0"/>
        <w:wordWrap/>
        <w:overflowPunct/>
        <w:topLinePunct w:val="0"/>
        <w:autoSpaceDE/>
        <w:autoSpaceDN/>
        <w:bidi w:val="0"/>
        <w:spacing w:before="156" w:beforeLines="50" w:line="500" w:lineRule="exact"/>
        <w:jc w:val="center"/>
        <w:textAlignment w:val="auto"/>
        <w:outlineLvl w:val="1"/>
        <w:rPr>
          <w:rFonts w:hint="eastAsia" w:ascii="仿宋" w:hAnsi="仿宋" w:eastAsia="仿宋" w:cs="仿宋"/>
          <w:b/>
          <w:color w:val="auto"/>
          <w:sz w:val="32"/>
          <w:szCs w:val="32"/>
          <w:highlight w:val="none"/>
        </w:rPr>
      </w:pPr>
      <w:bookmarkStart w:id="41" w:name="_Toc16095"/>
      <w:r>
        <w:rPr>
          <w:rFonts w:hint="eastAsia" w:ascii="仿宋" w:hAnsi="仿宋" w:eastAsia="仿宋" w:cs="仿宋"/>
          <w:b/>
          <w:color w:val="auto"/>
          <w:sz w:val="32"/>
          <w:szCs w:val="32"/>
          <w:highlight w:val="none"/>
        </w:rPr>
        <w:t>四.竞争性谈判响应文件的递交</w:t>
      </w:r>
      <w:bookmarkEnd w:id="41"/>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42" w:name="_Toc6766"/>
      <w:r>
        <w:rPr>
          <w:rFonts w:hint="eastAsia" w:ascii="仿宋" w:hAnsi="仿宋" w:eastAsia="仿宋" w:cs="仿宋"/>
          <w:b/>
          <w:color w:val="auto"/>
          <w:sz w:val="24"/>
          <w:szCs w:val="24"/>
          <w:highlight w:val="none"/>
          <w:lang w:val="en-US" w:eastAsia="zh-CN"/>
        </w:rPr>
        <w:t>18</w:t>
      </w:r>
      <w:r>
        <w:rPr>
          <w:rFonts w:hint="eastAsia" w:ascii="仿宋" w:hAnsi="仿宋" w:eastAsia="仿宋" w:cs="仿宋"/>
          <w:b/>
          <w:color w:val="auto"/>
          <w:sz w:val="24"/>
          <w:szCs w:val="24"/>
          <w:highlight w:val="none"/>
        </w:rPr>
        <w:t>.竞争性谈判响应文件的密封和标记</w:t>
      </w:r>
      <w:bookmarkEnd w:id="42"/>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报价一览表除在竞争性谈判响应文件内装订外，再制作一份单独</w:t>
      </w:r>
      <w:r>
        <w:rPr>
          <w:rFonts w:hint="eastAsia" w:ascii="仿宋" w:hAnsi="仿宋" w:eastAsia="仿宋" w:cs="仿宋"/>
          <w:color w:val="auto"/>
          <w:sz w:val="24"/>
          <w:highlight w:val="none"/>
          <w:lang w:eastAsia="zh-CN"/>
        </w:rPr>
        <w:t>密封在封袋</w:t>
      </w:r>
      <w:r>
        <w:rPr>
          <w:rFonts w:hint="eastAsia" w:ascii="仿宋" w:hAnsi="仿宋" w:eastAsia="仿宋" w:cs="仿宋"/>
          <w:color w:val="auto"/>
          <w:sz w:val="24"/>
          <w:highlight w:val="none"/>
        </w:rPr>
        <w:t>中。封线处加贴封条并加盖</w:t>
      </w:r>
      <w:r>
        <w:rPr>
          <w:rFonts w:hint="eastAsia" w:ascii="仿宋" w:hAnsi="仿宋" w:eastAsia="仿宋" w:cs="仿宋"/>
          <w:color w:val="auto"/>
          <w:sz w:val="24"/>
          <w:highlight w:val="none"/>
          <w:lang w:eastAsia="zh-CN"/>
        </w:rPr>
        <w:t>谈判供应商</w:t>
      </w:r>
      <w:r>
        <w:rPr>
          <w:rFonts w:hint="eastAsia" w:ascii="仿宋" w:hAnsi="仿宋" w:eastAsia="仿宋" w:cs="仿宋"/>
          <w:color w:val="auto"/>
          <w:sz w:val="24"/>
          <w:highlight w:val="none"/>
        </w:rPr>
        <w:t>公章，封袋正面要粘贴标识，单独递交（该单独密封报价一览表的谈判报价必须与竞争性谈判响应文件正本中的报价一览表（报价表）谈判报价一致，若不一致，则按单独密封的报价一览表为准。）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18.2</w:t>
      </w:r>
      <w:r>
        <w:rPr>
          <w:rFonts w:hint="eastAsia" w:ascii="仿宋" w:hAnsi="仿宋" w:eastAsia="仿宋" w:cs="仿宋"/>
          <w:color w:val="auto"/>
          <w:sz w:val="24"/>
          <w:szCs w:val="24"/>
          <w:highlight w:val="none"/>
          <w:lang w:eastAsia="zh-CN"/>
        </w:rPr>
        <w:t>谈判响应文件的密</w:t>
      </w:r>
      <w:r>
        <w:rPr>
          <w:rFonts w:hint="eastAsia" w:ascii="仿宋" w:hAnsi="仿宋" w:eastAsia="仿宋" w:cs="仿宋"/>
          <w:color w:val="auto"/>
          <w:sz w:val="24"/>
          <w:szCs w:val="24"/>
          <w:highlight w:val="none"/>
          <w:lang w:eastAsia="zh-CN"/>
        </w:rPr>
        <w:t>封和标记：详见“供应商须知前附表”。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w:t>
      </w:r>
      <w:r>
        <w:rPr>
          <w:rFonts w:hint="eastAsia" w:ascii="仿宋" w:hAnsi="仿宋" w:eastAsia="仿宋" w:cs="仿宋"/>
          <w:color w:val="auto"/>
          <w:sz w:val="24"/>
          <w:szCs w:val="24"/>
          <w:highlight w:val="none"/>
          <w:lang w:eastAsia="zh-CN"/>
        </w:rPr>
        <w:t>谈判供应商</w:t>
      </w:r>
      <w:r>
        <w:rPr>
          <w:rFonts w:hint="eastAsia" w:ascii="仿宋" w:hAnsi="仿宋" w:eastAsia="仿宋" w:cs="仿宋"/>
          <w:color w:val="auto"/>
          <w:sz w:val="24"/>
          <w:szCs w:val="24"/>
          <w:highlight w:val="none"/>
        </w:rPr>
        <w:t>未对竞争性谈判响应文件按上述要求进行完好密封，由此产生的不利后果由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自行承担。</w:t>
      </w:r>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43" w:name="_Toc15900"/>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竞争性谈判响应文件的递交</w:t>
      </w:r>
      <w:bookmarkEnd w:id="43"/>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应按照竞争性谈判公告中规定的时间、地点，在规定的竞争性谈判响应文件递交截止时间前将全部竞争性谈判响应文件和谈判资料递交至采购代理机构接收人处。</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.2采购代理机构在竞争性谈判文件规定的竞争性谈判响应文件递交截止时间前，只负责竞争性谈判响应文件的接收、清点、造册登记工作，并请递交人签字确认，对其有效性不负任何责任；</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.3无论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成交与否，其竞争性谈判响应文件恕不退还。</w:t>
      </w:r>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44" w:name="_Toc19509"/>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迟交的竞争性谈判响应文件</w:t>
      </w:r>
      <w:bookmarkEnd w:id="44"/>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1按照</w:t>
      </w:r>
      <w:r>
        <w:rPr>
          <w:rFonts w:hint="eastAsia" w:ascii="仿宋" w:hAnsi="仿宋" w:eastAsia="仿宋" w:cs="仿宋"/>
          <w:color w:val="auto"/>
          <w:sz w:val="24"/>
          <w:szCs w:val="24"/>
          <w:highlight w:val="none"/>
          <w:lang w:eastAsia="zh-CN"/>
        </w:rPr>
        <w:t>供应商须知</w:t>
      </w:r>
      <w:r>
        <w:rPr>
          <w:rFonts w:hint="eastAsia" w:ascii="仿宋" w:hAnsi="仿宋" w:eastAsia="仿宋" w:cs="仿宋"/>
          <w:color w:val="auto"/>
          <w:sz w:val="24"/>
          <w:szCs w:val="24"/>
          <w:highlight w:val="none"/>
        </w:rPr>
        <w:t>的规定，</w:t>
      </w:r>
      <w:r>
        <w:rPr>
          <w:rFonts w:hint="eastAsia" w:ascii="仿宋" w:hAnsi="仿宋" w:eastAsia="仿宋" w:cs="仿宋"/>
          <w:color w:val="auto"/>
          <w:sz w:val="24"/>
          <w:szCs w:val="24"/>
          <w:highlight w:val="none"/>
          <w:lang w:eastAsia="zh-CN"/>
        </w:rPr>
        <w:t>在递交谈判响应文件</w:t>
      </w:r>
      <w:r>
        <w:rPr>
          <w:rFonts w:hint="eastAsia" w:ascii="仿宋" w:hAnsi="仿宋" w:eastAsia="仿宋" w:cs="仿宋"/>
          <w:color w:val="auto"/>
          <w:sz w:val="24"/>
          <w:szCs w:val="24"/>
          <w:highlight w:val="none"/>
        </w:rPr>
        <w:t>截止时间后</w:t>
      </w:r>
      <w:r>
        <w:rPr>
          <w:rFonts w:hint="eastAsia" w:ascii="仿宋" w:hAnsi="仿宋" w:eastAsia="仿宋" w:cs="仿宋"/>
          <w:color w:val="auto"/>
          <w:sz w:val="24"/>
          <w:szCs w:val="24"/>
          <w:highlight w:val="none"/>
          <w:lang w:eastAsia="zh-CN"/>
        </w:rPr>
        <w:t>送达</w:t>
      </w:r>
      <w:r>
        <w:rPr>
          <w:rFonts w:hint="eastAsia" w:ascii="仿宋" w:hAnsi="仿宋" w:eastAsia="仿宋" w:cs="仿宋"/>
          <w:color w:val="auto"/>
          <w:sz w:val="24"/>
          <w:szCs w:val="24"/>
          <w:highlight w:val="none"/>
        </w:rPr>
        <w:t>的竞争性谈判响应文件</w:t>
      </w:r>
      <w:r>
        <w:rPr>
          <w:rFonts w:hint="eastAsia" w:ascii="仿宋" w:hAnsi="仿宋" w:eastAsia="仿宋" w:cs="仿宋"/>
          <w:color w:val="auto"/>
          <w:sz w:val="24"/>
          <w:szCs w:val="24"/>
          <w:highlight w:val="none"/>
          <w:lang w:eastAsia="zh-CN"/>
        </w:rPr>
        <w:t>，为无效响应文件，采购代理机构将拒绝接受</w:t>
      </w:r>
      <w:r>
        <w:rPr>
          <w:rFonts w:hint="eastAsia" w:ascii="仿宋" w:hAnsi="仿宋" w:eastAsia="仿宋" w:cs="仿宋"/>
          <w:color w:val="auto"/>
          <w:sz w:val="24"/>
          <w:szCs w:val="24"/>
          <w:highlight w:val="none"/>
        </w:rPr>
        <w:t>。</w:t>
      </w:r>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45" w:name="_Toc8686"/>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谈判的修改与撤回</w:t>
      </w:r>
      <w:bookmarkEnd w:id="45"/>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在</w:t>
      </w:r>
      <w:r>
        <w:rPr>
          <w:rFonts w:hint="eastAsia" w:ascii="仿宋" w:hAnsi="仿宋" w:eastAsia="仿宋" w:cs="仿宋"/>
          <w:color w:val="auto"/>
          <w:sz w:val="24"/>
          <w:szCs w:val="24"/>
          <w:highlight w:val="none"/>
          <w:lang w:eastAsia="zh-CN"/>
        </w:rPr>
        <w:t>谈判响应文件递交</w:t>
      </w: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可以修改或撤回其</w:t>
      </w:r>
      <w:r>
        <w:rPr>
          <w:rFonts w:hint="eastAsia" w:ascii="仿宋" w:hAnsi="仿宋" w:eastAsia="仿宋" w:cs="仿宋"/>
          <w:color w:val="auto"/>
          <w:sz w:val="24"/>
          <w:szCs w:val="24"/>
          <w:highlight w:val="none"/>
          <w:lang w:eastAsia="zh-CN"/>
        </w:rPr>
        <w:t>已递交的谈判</w:t>
      </w:r>
      <w:r>
        <w:rPr>
          <w:rFonts w:hint="eastAsia" w:ascii="仿宋" w:hAnsi="仿宋" w:eastAsia="仿宋" w:cs="仿宋"/>
          <w:color w:val="auto"/>
          <w:sz w:val="24"/>
          <w:szCs w:val="24"/>
          <w:highlight w:val="none"/>
        </w:rPr>
        <w:t>响应文件，也可以提出价格变动声明，但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必须在规定的谈判截止时间之前将修改或撤回或变动价格的书面通知文件递交到采购代理机构。</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的修改或撤回或变动价格的通知应按本须知第</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条的规定编制、密封、标记和递交。</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 在谈判</w:t>
      </w:r>
      <w:r>
        <w:rPr>
          <w:rFonts w:hint="eastAsia" w:ascii="仿宋" w:hAnsi="仿宋" w:eastAsia="仿宋" w:cs="仿宋"/>
          <w:color w:val="auto"/>
          <w:sz w:val="24"/>
          <w:szCs w:val="24"/>
          <w:highlight w:val="none"/>
          <w:lang w:eastAsia="zh-CN"/>
        </w:rPr>
        <w:t>响应文件递交</w:t>
      </w:r>
      <w:r>
        <w:rPr>
          <w:rFonts w:hint="eastAsia" w:ascii="仿宋" w:hAnsi="仿宋" w:eastAsia="仿宋" w:cs="仿宋"/>
          <w:color w:val="auto"/>
          <w:sz w:val="24"/>
          <w:szCs w:val="24"/>
          <w:highlight w:val="none"/>
        </w:rPr>
        <w:t>截止时间之后，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不得对其谈判做任何修改或撤回。</w:t>
      </w:r>
    </w:p>
    <w:p>
      <w:pPr>
        <w:keepNext w:val="0"/>
        <w:keepLines w:val="0"/>
        <w:pageBreakBefore w:val="0"/>
        <w:widowControl w:val="0"/>
        <w:wordWrap/>
        <w:overflowPunct/>
        <w:topLinePunct w:val="0"/>
        <w:autoSpaceDE/>
        <w:autoSpaceDN/>
        <w:bidi w:val="0"/>
        <w:spacing w:before="156" w:beforeLines="50" w:line="500" w:lineRule="exact"/>
        <w:jc w:val="center"/>
        <w:textAlignment w:val="auto"/>
        <w:outlineLvl w:val="1"/>
        <w:rPr>
          <w:rFonts w:hint="eastAsia" w:ascii="仿宋" w:hAnsi="仿宋" w:eastAsia="仿宋" w:cs="仿宋"/>
          <w:b/>
          <w:color w:val="auto"/>
          <w:sz w:val="32"/>
          <w:szCs w:val="32"/>
          <w:highlight w:val="none"/>
        </w:rPr>
      </w:pPr>
      <w:bookmarkStart w:id="46" w:name="_Toc7784"/>
      <w:r>
        <w:rPr>
          <w:rFonts w:hint="eastAsia" w:ascii="仿宋" w:hAnsi="仿宋" w:eastAsia="仿宋" w:cs="仿宋"/>
          <w:b/>
          <w:color w:val="auto"/>
          <w:sz w:val="32"/>
          <w:szCs w:val="32"/>
          <w:highlight w:val="none"/>
        </w:rPr>
        <w:t>五.谈判与评审</w:t>
      </w:r>
      <w:bookmarkEnd w:id="46"/>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lang w:eastAsia="zh-CN"/>
        </w:rPr>
      </w:pPr>
      <w:bookmarkStart w:id="47" w:name="_Toc30458"/>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.谈判</w:t>
      </w:r>
      <w:r>
        <w:rPr>
          <w:rFonts w:hint="eastAsia" w:ascii="仿宋" w:hAnsi="仿宋" w:eastAsia="仿宋" w:cs="仿宋"/>
          <w:b/>
          <w:color w:val="auto"/>
          <w:sz w:val="24"/>
          <w:szCs w:val="24"/>
          <w:highlight w:val="none"/>
          <w:lang w:eastAsia="zh-CN"/>
        </w:rPr>
        <w:t>大会</w:t>
      </w:r>
      <w:bookmarkEnd w:id="47"/>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采购代理机构在规定的时间和地点组织竞争性谈判。谈判时所有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代表自愿参加，参加谈判的代表应签名报到以证明其出席。</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在谈判时没有启封的竞争性谈判响应文件将原封退回给</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21.3采购代理机构将做</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记录，存档备查。</w:t>
      </w:r>
    </w:p>
    <w:p>
      <w:pPr>
        <w:keepNext w:val="0"/>
        <w:keepLines w:val="0"/>
        <w:pageBreakBefore w:val="0"/>
        <w:widowControl w:val="0"/>
        <w:numPr>
          <w:ilvl w:val="0"/>
          <w:numId w:val="5"/>
        </w:numPr>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48" w:name="_Toc28275"/>
      <w:r>
        <w:rPr>
          <w:rFonts w:hint="eastAsia" w:ascii="仿宋" w:hAnsi="仿宋" w:eastAsia="仿宋" w:cs="仿宋"/>
          <w:b/>
          <w:color w:val="auto"/>
          <w:sz w:val="24"/>
          <w:szCs w:val="24"/>
          <w:highlight w:val="none"/>
        </w:rPr>
        <w:t>评审组织及评审原则</w:t>
      </w:r>
      <w:bookmarkEnd w:id="48"/>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23</w:t>
      </w:r>
      <w:r>
        <w:rPr>
          <w:rFonts w:hint="eastAsia" w:ascii="仿宋" w:hAnsi="仿宋" w:eastAsia="仿宋" w:cs="仿宋"/>
          <w:color w:val="auto"/>
          <w:sz w:val="24"/>
          <w:szCs w:val="24"/>
          <w:highlight w:val="none"/>
        </w:rPr>
        <w:t>.1按照《中华人民共和国政府采购法》</w:t>
      </w:r>
      <w:r>
        <w:rPr>
          <w:rFonts w:hint="eastAsia" w:ascii="仿宋" w:hAnsi="仿宋" w:eastAsia="仿宋" w:cs="仿宋"/>
          <w:color w:val="auto"/>
          <w:sz w:val="24"/>
          <w:szCs w:val="24"/>
          <w:highlight w:val="none"/>
          <w:lang w:eastAsia="zh-CN"/>
        </w:rPr>
        <w:t>及实施条例</w:t>
      </w:r>
      <w:r>
        <w:rPr>
          <w:rFonts w:hint="eastAsia" w:ascii="仿宋" w:hAnsi="仿宋" w:eastAsia="仿宋" w:cs="仿宋"/>
          <w:color w:val="auto"/>
          <w:sz w:val="24"/>
          <w:szCs w:val="24"/>
          <w:highlight w:val="none"/>
        </w:rPr>
        <w:t>和中华人民共和国财政部令第74号--《政府采购非招标采购方式管理办法》的规定，依法组建谈判小组。谈判小组由采购人代表和有关技术、经济等方面的专</w:t>
      </w:r>
      <w:r>
        <w:rPr>
          <w:rFonts w:hint="eastAsia" w:ascii="仿宋" w:hAnsi="仿宋" w:eastAsia="仿宋" w:cs="仿宋"/>
          <w:color w:val="auto"/>
          <w:sz w:val="24"/>
          <w:szCs w:val="24"/>
          <w:highlight w:val="none"/>
        </w:rPr>
        <w:t>家组成，其中采购人代表须持有授权书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谈判小组按照竞争性谈判文件规定的评审方法独</w:t>
      </w:r>
      <w:r>
        <w:rPr>
          <w:rFonts w:hint="eastAsia" w:ascii="仿宋" w:hAnsi="仿宋" w:eastAsia="仿宋" w:cs="仿宋"/>
          <w:color w:val="auto"/>
          <w:sz w:val="24"/>
          <w:szCs w:val="24"/>
          <w:highlight w:val="none"/>
        </w:rPr>
        <w:t>立进行评审工作。</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23</w:t>
      </w:r>
      <w:r>
        <w:rPr>
          <w:rFonts w:hint="eastAsia" w:ascii="仿宋" w:hAnsi="仿宋" w:eastAsia="仿宋" w:cs="仿宋"/>
          <w:color w:val="auto"/>
          <w:sz w:val="24"/>
          <w:szCs w:val="24"/>
          <w:highlight w:val="none"/>
        </w:rPr>
        <w:t>.2竞争性谈判文件和竞争性谈判响应文件是评审的依据。在评审中，不得改变竞争性谈判文件中规定的评审标准、方法和成交条件。</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23</w:t>
      </w:r>
      <w:r>
        <w:rPr>
          <w:rFonts w:hint="eastAsia" w:ascii="仿宋" w:hAnsi="仿宋" w:eastAsia="仿宋" w:cs="仿宋"/>
          <w:color w:val="auto"/>
          <w:sz w:val="24"/>
          <w:szCs w:val="24"/>
          <w:highlight w:val="none"/>
        </w:rPr>
        <w:t>.3在谈判期间，对竞争性谈判响应文件中含义不明确、同类问题表述不一致或者有明显文字和计算错误的内容，</w:t>
      </w:r>
      <w:r>
        <w:rPr>
          <w:rFonts w:hint="eastAsia" w:ascii="仿宋" w:hAnsi="仿宋" w:eastAsia="仿宋" w:cs="仿宋"/>
          <w:color w:val="auto"/>
          <w:sz w:val="24"/>
          <w:szCs w:val="24"/>
          <w:highlight w:val="none"/>
        </w:rPr>
        <w:t>谈判小组可以书面形式（由</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小组专家签字）</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供</w:t>
      </w:r>
      <w:r>
        <w:rPr>
          <w:rFonts w:hint="eastAsia" w:ascii="仿宋" w:hAnsi="仿宋" w:eastAsia="仿宋" w:cs="仿宋"/>
          <w:color w:val="auto"/>
          <w:sz w:val="24"/>
          <w:szCs w:val="24"/>
          <w:highlight w:val="none"/>
          <w:lang w:eastAsia="zh-CN"/>
        </w:rPr>
        <w:t>应商</w:t>
      </w:r>
      <w:r>
        <w:rPr>
          <w:rFonts w:hint="eastAsia" w:ascii="仿宋" w:hAnsi="仿宋" w:eastAsia="仿宋" w:cs="仿宋"/>
          <w:color w:val="auto"/>
          <w:sz w:val="24"/>
          <w:szCs w:val="24"/>
          <w:highlight w:val="none"/>
        </w:rPr>
        <w:t>作出必要的澄清、说明或者纠正。</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的澄清、说明或者补正应当采用书面形式，由其授权的代表签字，并不得超出竞争性谈判响应文件的范围或者改变竞争性谈判响应文件的实质性内容。</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23</w:t>
      </w:r>
      <w:r>
        <w:rPr>
          <w:rFonts w:hint="eastAsia" w:ascii="仿宋" w:hAnsi="仿宋" w:eastAsia="仿宋" w:cs="仿宋"/>
          <w:color w:val="auto"/>
          <w:sz w:val="24"/>
          <w:szCs w:val="24"/>
          <w:highlight w:val="none"/>
        </w:rPr>
        <w:t>.4如果</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在澄清规定期限内，未能答复或拒绝答复谈判小组提出的澄清要求，将由谈判小组根据其竞争性谈判响应文件按最大风险进行评审。</w:t>
      </w:r>
    </w:p>
    <w:p>
      <w:pPr>
        <w:pStyle w:val="2"/>
        <w:numPr>
          <w:ilvl w:val="0"/>
          <w:numId w:val="0"/>
        </w:numPr>
        <w:rPr>
          <w:rFonts w:hint="eastAsia" w:ascii="仿宋" w:hAnsi="仿宋" w:eastAsia="仿宋" w:cs="仿宋"/>
          <w:color w:val="auto"/>
          <w:highlight w:val="none"/>
        </w:rPr>
      </w:pPr>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49" w:name="_Toc753"/>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．评审过程的保密</w:t>
      </w:r>
      <w:bookmarkEnd w:id="49"/>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谈判小组成员和与评审活动有关的工作人员不得泄露有关竞争性谈判响应文件的评审和比较、成交候选人的推荐以及与评审有关的其他情况。</w:t>
      </w:r>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50" w:name="_Toc6505"/>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．评审方法</w:t>
      </w:r>
      <w:bookmarkEnd w:id="50"/>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w:t>
      </w:r>
      <w:r>
        <w:rPr>
          <w:rFonts w:hint="eastAsia" w:ascii="仿宋" w:hAnsi="仿宋" w:eastAsia="仿宋" w:cs="仿宋"/>
          <w:color w:val="auto"/>
          <w:sz w:val="24"/>
          <w:szCs w:val="24"/>
          <w:highlight w:val="none"/>
          <w:lang w:eastAsia="zh-CN"/>
        </w:rPr>
        <w:t>政府采购法》及实施条例</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中华人民共和国财政部令第74号--《政府采购非招标采购方式管理办法》的规定，本次评审采用最低评标价法。</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最低评标价法，即在全部满足竞争性谈判文件实质性要求前提下，依据统一的价格要素评定最低报价，以提出最低报价的谈判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作为成交候选供应商并依次排序。</w:t>
      </w:r>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51" w:name="_Toc19478"/>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．评审程序</w:t>
      </w:r>
      <w:bookmarkEnd w:id="51"/>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按照竞争性谈判响应文件初审、澄清有关问题、</w:t>
      </w:r>
      <w:r>
        <w:rPr>
          <w:rFonts w:hint="eastAsia" w:ascii="仿宋" w:hAnsi="仿宋" w:eastAsia="仿宋" w:cs="仿宋"/>
          <w:color w:val="auto"/>
          <w:sz w:val="24"/>
          <w:szCs w:val="24"/>
          <w:highlight w:val="none"/>
        </w:rPr>
        <w:t>分别谈判、二次报价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比较与评价、推荐成交候选供应商名单的工作程序进行评审。在上一步评审中被</w:t>
      </w:r>
      <w:r>
        <w:rPr>
          <w:rFonts w:hint="eastAsia" w:ascii="仿宋" w:hAnsi="仿宋" w:eastAsia="仿宋" w:cs="仿宋"/>
          <w:color w:val="auto"/>
          <w:sz w:val="24"/>
          <w:szCs w:val="24"/>
          <w:highlight w:val="none"/>
          <w:lang w:eastAsia="zh-CN"/>
        </w:rPr>
        <w:t>认定无效文件</w:t>
      </w:r>
      <w:r>
        <w:rPr>
          <w:rFonts w:hint="eastAsia" w:ascii="仿宋" w:hAnsi="仿宋" w:eastAsia="仿宋" w:cs="仿宋"/>
          <w:color w:val="auto"/>
          <w:sz w:val="24"/>
          <w:szCs w:val="24"/>
          <w:highlight w:val="none"/>
        </w:rPr>
        <w:t>者，不进入下一步的评审。</w:t>
      </w:r>
    </w:p>
    <w:p>
      <w:pPr>
        <w:pStyle w:val="2"/>
        <w:rPr>
          <w:rFonts w:hint="eastAsia" w:ascii="仿宋" w:hAnsi="仿宋" w:eastAsia="仿宋" w:cs="仿宋"/>
          <w:color w:val="auto"/>
          <w:highlight w:val="none"/>
        </w:rPr>
      </w:pPr>
    </w:p>
    <w:p>
      <w:pPr>
        <w:keepNext w:val="0"/>
        <w:keepLines w:val="0"/>
        <w:pageBreakBefore w:val="0"/>
        <w:widowControl w:val="0"/>
        <w:wordWrap/>
        <w:overflowPunct/>
        <w:topLinePunct w:val="0"/>
        <w:autoSpaceDE/>
        <w:autoSpaceDN/>
        <w:bidi w:val="0"/>
        <w:spacing w:before="156" w:beforeLines="50" w:line="500" w:lineRule="exact"/>
        <w:jc w:val="center"/>
        <w:textAlignment w:val="auto"/>
        <w:outlineLvl w:val="1"/>
        <w:rPr>
          <w:rFonts w:hint="eastAsia" w:ascii="仿宋" w:hAnsi="仿宋" w:eastAsia="仿宋" w:cs="仿宋"/>
          <w:b/>
          <w:color w:val="auto"/>
          <w:sz w:val="32"/>
          <w:szCs w:val="32"/>
          <w:highlight w:val="none"/>
        </w:rPr>
      </w:pPr>
      <w:bookmarkStart w:id="52" w:name="_Toc15361"/>
      <w:r>
        <w:rPr>
          <w:rFonts w:hint="eastAsia" w:ascii="仿宋" w:hAnsi="仿宋" w:eastAsia="仿宋" w:cs="仿宋"/>
          <w:b/>
          <w:color w:val="auto"/>
          <w:sz w:val="32"/>
          <w:szCs w:val="32"/>
          <w:highlight w:val="none"/>
        </w:rPr>
        <w:t>六.成交、通知与签约</w:t>
      </w:r>
      <w:bookmarkEnd w:id="52"/>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53" w:name="_Toc21978"/>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．成交程序</w:t>
      </w:r>
      <w:bookmarkEnd w:id="53"/>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.1谈判小组根据评审方法的规定对谈判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进行评审排序，推荐3名成交候选人，作为评审结果。评审结果由全体评委签字确认。</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.2采购人根据谈判报告中推荐的成交候选人排列顺序，确定排名第一的为成交人。采购人也可以授权谈判小组评审后直接确定成交人。</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r>
        <w:rPr>
          <w:rFonts w:hint="eastAsia" w:ascii="仿宋" w:hAnsi="仿宋" w:eastAsia="仿宋" w:cs="仿宋"/>
          <w:color w:val="auto"/>
          <w:sz w:val="24"/>
          <w:highlight w:val="none"/>
        </w:rPr>
        <w:t>排名第一的成交候选人放弃成交、在规定期限内未能签订合同、因不可抗力不能履行合同、不按照竞争性谈判文件要求提交履约保证金，或者被查实存在影响成交结果的违法行为等情形，不符合成交条件的，采购人可以按照谈判小组提出的成交候选人名单排序依次确定其他成交候选人为成交人，也可以重新组织竞争性谈判</w:t>
      </w:r>
      <w:r>
        <w:rPr>
          <w:rFonts w:hint="eastAsia" w:ascii="仿宋" w:hAnsi="仿宋" w:eastAsia="仿宋" w:cs="仿宋"/>
          <w:color w:val="auto"/>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.4成交人确定之后，成交结果将在财政部门指定的政府采购信息发布媒体上公告。</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或者其他利害关系人对评审结果有异议的，应当在</w:t>
      </w:r>
      <w:r>
        <w:rPr>
          <w:rFonts w:hint="eastAsia" w:ascii="仿宋" w:hAnsi="仿宋" w:eastAsia="仿宋" w:cs="仿宋"/>
          <w:color w:val="auto"/>
          <w:sz w:val="24"/>
          <w:szCs w:val="24"/>
          <w:highlight w:val="none"/>
          <w:lang w:eastAsia="zh-CN"/>
        </w:rPr>
        <w:t>法律规定的时间内</w:t>
      </w:r>
      <w:r>
        <w:rPr>
          <w:rFonts w:hint="eastAsia" w:ascii="仿宋" w:hAnsi="仿宋" w:eastAsia="仿宋" w:cs="仿宋"/>
          <w:color w:val="auto"/>
          <w:sz w:val="24"/>
          <w:szCs w:val="24"/>
          <w:highlight w:val="none"/>
        </w:rPr>
        <w:t>提出。</w:t>
      </w:r>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54" w:name="_Toc1838"/>
      <w:r>
        <w:rPr>
          <w:rFonts w:hint="eastAsia" w:ascii="仿宋" w:hAnsi="仿宋" w:eastAsia="仿宋" w:cs="仿宋"/>
          <w:b/>
          <w:color w:val="auto"/>
          <w:sz w:val="24"/>
          <w:szCs w:val="24"/>
          <w:highlight w:val="none"/>
          <w:lang w:val="en-US" w:eastAsia="zh-CN"/>
        </w:rPr>
        <w:t>28</w:t>
      </w:r>
      <w:r>
        <w:rPr>
          <w:rFonts w:hint="eastAsia" w:ascii="仿宋" w:hAnsi="仿宋" w:eastAsia="仿宋" w:cs="仿宋"/>
          <w:b/>
          <w:color w:val="auto"/>
          <w:sz w:val="24"/>
          <w:szCs w:val="24"/>
          <w:highlight w:val="none"/>
        </w:rPr>
        <w:t>．成交通知</w:t>
      </w:r>
      <w:bookmarkEnd w:id="54"/>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.1 采购代理机构向成交人发出《成交通知书》。</w:t>
      </w:r>
      <w:r>
        <w:rPr>
          <w:rFonts w:hint="eastAsia" w:ascii="仿宋" w:hAnsi="仿宋" w:eastAsia="仿宋" w:cs="仿宋"/>
          <w:b/>
          <w:bCs/>
          <w:color w:val="auto"/>
          <w:sz w:val="24"/>
          <w:szCs w:val="24"/>
          <w:highlight w:val="none"/>
          <w:lang w:eastAsia="zh-CN"/>
        </w:rPr>
        <w:t>成交人领取成交通知书时须携带法定代表人授权书及加盖单位公章的被授权人身份证复印件。</w:t>
      </w:r>
      <w:r>
        <w:rPr>
          <w:rFonts w:hint="eastAsia" w:ascii="仿宋" w:hAnsi="仿宋" w:eastAsia="仿宋" w:cs="仿宋"/>
          <w:b/>
          <w:bCs/>
          <w:color w:val="auto"/>
          <w:sz w:val="24"/>
          <w:szCs w:val="24"/>
          <w:highlight w:val="none"/>
        </w:rPr>
        <w:t xml:space="preserve"> </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.2成交通知书对采购人和成交人具有同等法律效力。成交通知书发出之后，采购人改变成交结果，或者成交人放弃成交，应当承担相应的法律责任。</w:t>
      </w:r>
    </w:p>
    <w:p>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highlight w:val="none"/>
        </w:rPr>
      </w:pPr>
      <w:bookmarkStart w:id="55" w:name="_Toc903"/>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采购</w:t>
      </w:r>
      <w:r>
        <w:rPr>
          <w:rFonts w:hint="eastAsia" w:ascii="仿宋" w:hAnsi="仿宋" w:eastAsia="仿宋" w:cs="仿宋"/>
          <w:b/>
          <w:color w:val="auto"/>
          <w:sz w:val="24"/>
          <w:szCs w:val="24"/>
          <w:highlight w:val="none"/>
        </w:rPr>
        <w:t>合同的</w:t>
      </w:r>
      <w:r>
        <w:rPr>
          <w:rFonts w:hint="eastAsia" w:ascii="仿宋" w:hAnsi="仿宋" w:eastAsia="仿宋" w:cs="仿宋"/>
          <w:b/>
          <w:color w:val="auto"/>
          <w:sz w:val="24"/>
          <w:szCs w:val="24"/>
          <w:highlight w:val="none"/>
        </w:rPr>
        <w:t>签订</w:t>
      </w:r>
      <w:bookmarkEnd w:id="55"/>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采购人应当自成交通知书发出之日起三十日内，按照竞争性谈判文件和成交人竞争性谈判响应文件（包括评审中形成的澄清文件）的约定，与成交人签订书面合同。所签订的合同不得对竞争性谈判文件和成交人的竞争性谈判响应文件（包括评审中形成的澄清文件）作实质性修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29.2采购人自政府采购合同签订之日起2个工作日内，将政府采购合同在省级以上人民政府财政部门指定的媒体上公告，但政府采购合同中涉及国家秘密、商业秘密的内容除外。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2"/>
        <w:rPr>
          <w:rFonts w:hint="eastAsia" w:ascii="仿宋" w:hAnsi="仿宋" w:eastAsia="仿宋" w:cs="仿宋"/>
          <w:color w:val="auto"/>
          <w:sz w:val="24"/>
          <w:szCs w:val="24"/>
          <w:highlight w:val="none"/>
        </w:rPr>
      </w:pPr>
      <w:bookmarkStart w:id="56" w:name="_Toc30384"/>
      <w:r>
        <w:rPr>
          <w:rFonts w:hint="eastAsia" w:ascii="仿宋" w:hAnsi="仿宋" w:eastAsia="仿宋" w:cs="仿宋"/>
          <w:b/>
          <w:color w:val="auto"/>
          <w:sz w:val="24"/>
          <w:szCs w:val="24"/>
          <w:highlight w:val="none"/>
          <w:lang w:val="en-US" w:eastAsia="zh-CN"/>
        </w:rPr>
        <w:t>30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招标代理服务费：详见“供应商须知前附表”。</w:t>
      </w:r>
      <w:bookmarkEnd w:id="56"/>
    </w:p>
    <w:p>
      <w:pPr>
        <w:keepNext w:val="0"/>
        <w:keepLines w:val="0"/>
        <w:pageBreakBefore w:val="0"/>
        <w:numPr>
          <w:ilvl w:val="0"/>
          <w:numId w:val="0"/>
        </w:numPr>
        <w:wordWrap/>
        <w:overflowPunct/>
        <w:topLinePunct w:val="0"/>
        <w:bidi w:val="0"/>
        <w:spacing w:line="500" w:lineRule="exact"/>
        <w:outlineLvl w:val="2"/>
        <w:rPr>
          <w:rFonts w:hint="eastAsia" w:ascii="仿宋" w:hAnsi="仿宋" w:eastAsia="仿宋" w:cs="仿宋"/>
          <w:b/>
          <w:bCs/>
          <w:color w:val="auto"/>
          <w:sz w:val="24"/>
          <w:szCs w:val="24"/>
          <w:highlight w:val="none"/>
          <w:lang w:val="en-US" w:eastAsia="zh-CN"/>
        </w:rPr>
      </w:pPr>
      <w:bookmarkStart w:id="57" w:name="_Toc22797"/>
      <w:r>
        <w:rPr>
          <w:rFonts w:hint="eastAsia" w:ascii="仿宋" w:hAnsi="仿宋" w:eastAsia="仿宋" w:cs="仿宋"/>
          <w:b/>
          <w:bCs/>
          <w:color w:val="auto"/>
          <w:sz w:val="24"/>
          <w:szCs w:val="24"/>
          <w:highlight w:val="none"/>
          <w:lang w:val="en-US" w:eastAsia="zh-CN"/>
        </w:rPr>
        <w:t>31.合同鉴证费</w:t>
      </w:r>
      <w:bookmarkEnd w:id="5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31.1本项目不收取合同鉴证费。</w:t>
      </w:r>
    </w:p>
    <w:p>
      <w:pPr>
        <w:numPr>
          <w:ilvl w:val="0"/>
          <w:numId w:val="0"/>
        </w:numPr>
        <w:spacing w:line="600" w:lineRule="exact"/>
        <w:outlineLvl w:val="2"/>
        <w:rPr>
          <w:rFonts w:hint="eastAsia" w:ascii="仿宋" w:hAnsi="仿宋" w:eastAsia="仿宋" w:cs="仿宋"/>
          <w:b/>
          <w:bCs/>
          <w:color w:val="auto"/>
          <w:sz w:val="24"/>
          <w:szCs w:val="24"/>
          <w:highlight w:val="none"/>
          <w:lang w:val="en-US" w:eastAsia="zh-CN"/>
        </w:rPr>
      </w:pPr>
      <w:bookmarkStart w:id="58" w:name="_Toc24860"/>
      <w:r>
        <w:rPr>
          <w:rFonts w:hint="eastAsia" w:ascii="仿宋" w:hAnsi="仿宋" w:eastAsia="仿宋" w:cs="仿宋"/>
          <w:b/>
          <w:bCs/>
          <w:color w:val="auto"/>
          <w:sz w:val="24"/>
          <w:szCs w:val="24"/>
          <w:highlight w:val="none"/>
          <w:lang w:val="en-US" w:eastAsia="zh-CN"/>
        </w:rPr>
        <w:t>32.履约验收</w:t>
      </w:r>
      <w:bookmarkEnd w:id="58"/>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32.1政府采购合同的履行、违约责任和解决争议的方法等适用《中华人民共和国民法典》。采购人按照政府采购合同规定的技术、服务、安全标准组织对供应商履约情况进行验收，并出具验收书。</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32.2履约验收的费用及要求详见“供应商须知前附表”。</w:t>
      </w:r>
    </w:p>
    <w:p>
      <w:pPr>
        <w:numPr>
          <w:ilvl w:val="0"/>
          <w:numId w:val="0"/>
        </w:numPr>
        <w:spacing w:line="600" w:lineRule="exact"/>
        <w:outlineLvl w:val="2"/>
        <w:rPr>
          <w:rFonts w:hint="eastAsia" w:ascii="仿宋" w:hAnsi="仿宋" w:eastAsia="仿宋" w:cs="仿宋"/>
          <w:b/>
          <w:bCs/>
          <w:color w:val="auto"/>
          <w:sz w:val="24"/>
          <w:szCs w:val="24"/>
          <w:highlight w:val="none"/>
          <w:lang w:val="en-US" w:eastAsia="zh-CN"/>
        </w:rPr>
      </w:pPr>
      <w:bookmarkStart w:id="59" w:name="_Toc21359"/>
      <w:r>
        <w:rPr>
          <w:rFonts w:hint="eastAsia" w:ascii="仿宋" w:hAnsi="仿宋" w:eastAsia="仿宋" w:cs="仿宋"/>
          <w:b/>
          <w:bCs/>
          <w:color w:val="auto"/>
          <w:sz w:val="24"/>
          <w:szCs w:val="24"/>
          <w:highlight w:val="none"/>
          <w:lang w:val="en-US" w:eastAsia="zh-CN"/>
        </w:rPr>
        <w:t>33.质疑</w:t>
      </w:r>
      <w:bookmarkEnd w:id="59"/>
    </w:p>
    <w:p>
      <w:pPr>
        <w:keepNext w:val="0"/>
        <w:keepLines w:val="0"/>
        <w:pageBreakBefore w:val="0"/>
        <w:widowControl w:val="0"/>
        <w:kinsoku/>
        <w:wordWrap/>
        <w:overflowPunct/>
        <w:topLinePunct w:val="0"/>
        <w:autoSpaceDE/>
        <w:autoSpaceDN/>
        <w:bidi w:val="0"/>
        <w:adjustRightInd/>
        <w:snapToGrid/>
        <w:spacing w:line="500" w:lineRule="exact"/>
        <w:ind w:left="0" w:leftChars="0" w:right="12" w:rightChars="0" w:firstLine="480"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33.1供应商认为谈判文件、采购过程、成交结果使自己的权益受到损害的，可以在知道或者应知其权益受到损害之日起7个工作日内，以书面形式向采购人、采购代理机构提出质疑。</w:t>
      </w:r>
    </w:p>
    <w:p>
      <w:pPr>
        <w:keepNext w:val="0"/>
        <w:keepLines w:val="0"/>
        <w:pageBreakBefore w:val="0"/>
        <w:widowControl w:val="0"/>
        <w:kinsoku/>
        <w:wordWrap/>
        <w:overflowPunct/>
        <w:topLinePunct w:val="0"/>
        <w:autoSpaceDE/>
        <w:autoSpaceDN/>
        <w:bidi w:val="0"/>
        <w:adjustRightInd/>
        <w:snapToGrid/>
        <w:spacing w:line="500" w:lineRule="exact"/>
        <w:ind w:left="0" w:leftChars="0" w:right="12" w:rightChars="0" w:firstLine="480" w:firstLineChars="0"/>
        <w:jc w:val="both"/>
        <w:textAlignment w:val="auto"/>
        <w:outlineLvl w:val="9"/>
        <w:rPr>
          <w:rStyle w:val="30"/>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lang w:val="en-US" w:eastAsia="zh-CN"/>
        </w:rPr>
        <w:t>33.2供应商必须在法定质疑期内一次性提出针对同一采购程序环节的质疑。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 w:leftChars="0" w:right="0" w:rightChars="0" w:firstLine="518" w:firstLineChars="216"/>
        <w:jc w:val="both"/>
        <w:textAlignment w:val="auto"/>
        <w:outlineLvl w:val="9"/>
        <w:rPr>
          <w:rStyle w:val="30"/>
          <w:rFonts w:hint="eastAsia" w:ascii="仿宋" w:hAnsi="仿宋" w:eastAsia="仿宋" w:cs="仿宋"/>
          <w:b w:val="0"/>
          <w:bCs/>
          <w:i w:val="0"/>
          <w:caps w:val="0"/>
          <w:color w:val="auto"/>
          <w:spacing w:val="0"/>
          <w:sz w:val="24"/>
          <w:szCs w:val="24"/>
          <w:highlight w:val="none"/>
          <w:shd w:val="clear" w:color="auto" w:fill="FFFFFF"/>
          <w:lang w:val="en-US" w:eastAsia="zh-CN"/>
        </w:rPr>
      </w:pPr>
      <w:r>
        <w:rPr>
          <w:rStyle w:val="30"/>
          <w:rFonts w:hint="eastAsia" w:ascii="仿宋" w:hAnsi="仿宋" w:eastAsia="仿宋" w:cs="仿宋"/>
          <w:b w:val="0"/>
          <w:bCs/>
          <w:i w:val="0"/>
          <w:caps w:val="0"/>
          <w:color w:val="auto"/>
          <w:spacing w:val="0"/>
          <w:sz w:val="24"/>
          <w:szCs w:val="24"/>
          <w:highlight w:val="none"/>
          <w:shd w:val="clear" w:color="auto" w:fill="FFFFFF"/>
          <w:lang w:val="en-US" w:eastAsia="zh-CN"/>
        </w:rPr>
        <w:t>33.3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 w:leftChars="0" w:right="0" w:rightChars="0" w:firstLine="518" w:firstLineChars="216"/>
        <w:jc w:val="both"/>
        <w:textAlignment w:val="auto"/>
        <w:outlineLvl w:val="9"/>
        <w:rPr>
          <w:rStyle w:val="30"/>
          <w:rFonts w:hint="eastAsia" w:ascii="仿宋" w:hAnsi="仿宋" w:eastAsia="仿宋" w:cs="仿宋"/>
          <w:b w:val="0"/>
          <w:bCs/>
          <w:i w:val="0"/>
          <w:caps w:val="0"/>
          <w:color w:val="auto"/>
          <w:spacing w:val="0"/>
          <w:sz w:val="24"/>
          <w:szCs w:val="24"/>
          <w:highlight w:val="none"/>
          <w:shd w:val="clear" w:color="auto" w:fill="FFFFFF"/>
          <w:lang w:val="en-US" w:eastAsia="zh-CN"/>
        </w:rPr>
      </w:pPr>
      <w:r>
        <w:rPr>
          <w:rStyle w:val="30"/>
          <w:rFonts w:hint="eastAsia" w:ascii="仿宋" w:hAnsi="仿宋" w:eastAsia="仿宋" w:cs="仿宋"/>
          <w:b w:val="0"/>
          <w:bCs/>
          <w:i w:val="0"/>
          <w:caps w:val="0"/>
          <w:color w:val="auto"/>
          <w:spacing w:val="0"/>
          <w:sz w:val="24"/>
          <w:szCs w:val="24"/>
          <w:highlight w:val="none"/>
          <w:shd w:val="clear" w:color="auto" w:fill="FFFFFF"/>
          <w:lang w:val="en-US" w:eastAsia="zh-CN"/>
        </w:rPr>
        <w:t>33.4以联合体形式参加政府采购活动的，其质疑应当由组成联合体的所有供应商共同提出。</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33.5供应商提出质疑应当提交质疑函和必要的证明材料。质疑函应当包括下列内容：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33.5.1供应商的姓名或者名称、地址、邮编、联系人及联系电话；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33.5.2质疑项目的名称、编号；</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33.5.3具体、明确的质疑事项和与质疑事项相关的请求；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33.5.4事实依据；</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33.5.5必要的法律依据；</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Style w:val="30"/>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color w:val="auto"/>
          <w:sz w:val="24"/>
          <w:szCs w:val="24"/>
          <w:highlight w:val="none"/>
          <w:lang w:val="en-US" w:eastAsia="zh-CN"/>
        </w:rPr>
        <w:t>33.5.6提出质疑的日期。</w:t>
      </w: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w:t>
      </w:r>
      <w:r>
        <w:rPr>
          <w:rFonts w:hint="eastAsia" w:ascii="仿宋" w:hAnsi="仿宋" w:eastAsia="仿宋" w:cs="仿宋"/>
          <w:color w:val="auto"/>
          <w:sz w:val="24"/>
          <w:highlight w:val="none"/>
        </w:rPr>
        <w:t>有下列情形之一的，属于无效质疑，采购代理机构和采购人不予受理：</w:t>
      </w: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33.6.1</w:t>
      </w:r>
      <w:r>
        <w:rPr>
          <w:rFonts w:hint="eastAsia" w:ascii="仿宋" w:hAnsi="仿宋" w:eastAsia="仿宋" w:cs="仿宋"/>
          <w:color w:val="auto"/>
          <w:sz w:val="24"/>
          <w:highlight w:val="none"/>
        </w:rPr>
        <w:t>质疑</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不是参与本次政府采购项目的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33.6.2</w:t>
      </w:r>
      <w:r>
        <w:rPr>
          <w:rFonts w:hint="eastAsia" w:ascii="仿宋" w:hAnsi="仿宋" w:eastAsia="仿宋" w:cs="仿宋"/>
          <w:color w:val="auto"/>
          <w:sz w:val="24"/>
          <w:highlight w:val="none"/>
        </w:rPr>
        <w:t>质疑</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与质疑事项不存在利害关系的；</w:t>
      </w: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33.6.3</w:t>
      </w:r>
      <w:r>
        <w:rPr>
          <w:rFonts w:hint="eastAsia" w:ascii="仿宋" w:hAnsi="仿宋" w:eastAsia="仿宋" w:cs="仿宋"/>
          <w:color w:val="auto"/>
          <w:sz w:val="24"/>
          <w:highlight w:val="none"/>
        </w:rPr>
        <w:t>未在法定期限内提出质疑的；</w:t>
      </w: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33.6.4</w:t>
      </w:r>
      <w:r>
        <w:rPr>
          <w:rFonts w:hint="eastAsia" w:ascii="仿宋" w:hAnsi="仿宋" w:eastAsia="仿宋" w:cs="仿宋"/>
          <w:color w:val="auto"/>
          <w:sz w:val="24"/>
          <w:highlight w:val="none"/>
        </w:rPr>
        <w:t>质疑未以书面形式提出，或质疑</w:t>
      </w:r>
      <w:r>
        <w:rPr>
          <w:rFonts w:hint="eastAsia" w:ascii="仿宋" w:hAnsi="仿宋" w:eastAsia="仿宋" w:cs="仿宋"/>
          <w:color w:val="auto"/>
          <w:sz w:val="24"/>
          <w:highlight w:val="none"/>
          <w:lang w:eastAsia="zh-CN"/>
        </w:rPr>
        <w:t>函</w:t>
      </w:r>
      <w:r>
        <w:rPr>
          <w:rFonts w:hint="eastAsia" w:ascii="仿宋" w:hAnsi="仿宋" w:eastAsia="仿宋" w:cs="仿宋"/>
          <w:color w:val="auto"/>
          <w:sz w:val="24"/>
          <w:highlight w:val="none"/>
        </w:rPr>
        <w:t>主要内容构成不完整的；</w:t>
      </w: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33.6.5</w:t>
      </w:r>
      <w:r>
        <w:rPr>
          <w:rFonts w:hint="eastAsia" w:ascii="仿宋" w:hAnsi="仿宋" w:eastAsia="仿宋" w:cs="仿宋"/>
          <w:color w:val="auto"/>
          <w:sz w:val="24"/>
          <w:highlight w:val="none"/>
          <w:lang w:eastAsia="zh-CN"/>
        </w:rPr>
        <w:t>应当提交授权书而未提交的</w:t>
      </w:r>
      <w:r>
        <w:rPr>
          <w:rFonts w:hint="eastAsia" w:ascii="仿宋" w:hAnsi="仿宋" w:eastAsia="仿宋" w:cs="仿宋"/>
          <w:color w:val="auto"/>
          <w:sz w:val="24"/>
          <w:highlight w:val="none"/>
        </w:rPr>
        <w:t>；</w:t>
      </w: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33.6.6</w:t>
      </w:r>
      <w:r>
        <w:rPr>
          <w:rFonts w:hint="eastAsia" w:ascii="仿宋" w:hAnsi="仿宋" w:eastAsia="仿宋" w:cs="仿宋"/>
          <w:color w:val="auto"/>
          <w:sz w:val="24"/>
          <w:highlight w:val="none"/>
        </w:rPr>
        <w:t>以非法手段取得证据、材料的；</w:t>
      </w: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33.6.7</w:t>
      </w:r>
      <w:r>
        <w:rPr>
          <w:rFonts w:hint="eastAsia" w:ascii="仿宋" w:hAnsi="仿宋" w:eastAsia="仿宋" w:cs="仿宋"/>
          <w:color w:val="auto"/>
          <w:sz w:val="24"/>
          <w:highlight w:val="none"/>
        </w:rPr>
        <w:t>质疑答复后，同一质疑人就同一事项</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lang w:val="en-US" w:eastAsia="zh-CN"/>
        </w:rPr>
        <w:t>同一采购程序环节</w:t>
      </w:r>
      <w:r>
        <w:rPr>
          <w:rFonts w:hint="eastAsia" w:ascii="仿宋" w:hAnsi="仿宋" w:eastAsia="仿宋" w:cs="仿宋"/>
          <w:color w:val="auto"/>
          <w:sz w:val="24"/>
          <w:highlight w:val="none"/>
        </w:rPr>
        <w:t>再次提出质疑的；</w:t>
      </w:r>
    </w:p>
    <w:p>
      <w:pPr>
        <w:widowControl/>
        <w:spacing w:line="360" w:lineRule="auto"/>
        <w:ind w:firstLine="480" w:firstLineChars="200"/>
        <w:rPr>
          <w:rStyle w:val="30"/>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color w:val="auto"/>
          <w:sz w:val="24"/>
          <w:highlight w:val="none"/>
          <w:lang w:val="en-US" w:eastAsia="zh-CN"/>
        </w:rPr>
        <w:t>33.6.8</w:t>
      </w:r>
      <w:r>
        <w:rPr>
          <w:rFonts w:hint="eastAsia" w:ascii="仿宋" w:hAnsi="仿宋" w:eastAsia="仿宋" w:cs="仿宋"/>
          <w:color w:val="auto"/>
          <w:sz w:val="24"/>
          <w:highlight w:val="none"/>
        </w:rPr>
        <w:t>不符合法律、法规、规章和政府采购监管机构规定的其他条件的。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12" w:right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33.7</w:t>
      </w:r>
      <w:r>
        <w:rPr>
          <w:rFonts w:hint="eastAsia" w:ascii="仿宋" w:hAnsi="仿宋" w:eastAsia="仿宋" w:cs="仿宋"/>
          <w:color w:val="auto"/>
          <w:sz w:val="24"/>
          <w:szCs w:val="24"/>
          <w:highlight w:val="none"/>
          <w:lang w:eastAsia="zh-CN"/>
        </w:rPr>
        <w:t>质疑答复</w:t>
      </w:r>
    </w:p>
    <w:p>
      <w:pPr>
        <w:pStyle w:val="58"/>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33.7.1采购人或采购代理机构</w:t>
      </w:r>
      <w:r>
        <w:rPr>
          <w:rFonts w:hint="eastAsia" w:ascii="仿宋" w:hAnsi="仿宋" w:eastAsia="仿宋" w:cs="仿宋"/>
          <w:color w:val="auto"/>
          <w:sz w:val="24"/>
          <w:szCs w:val="24"/>
          <w:highlight w:val="none"/>
        </w:rPr>
        <w:t>在收到质疑函后7个工作日内作出答复，并以书面形式通知质疑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和其他有关</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pPr>
        <w:pStyle w:val="58"/>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33.7.2质疑供应商对采购人、采购代理机构的答复不满意，或者采购人、采购代理机构未在规定时间内作出答复的，可以在答复期满后15个工作日内向</w:t>
      </w:r>
      <w:r>
        <w:rPr>
          <w:rFonts w:hint="eastAsia" w:ascii="仿宋" w:hAnsi="仿宋" w:eastAsia="仿宋" w:cs="仿宋"/>
          <w:b/>
          <w:bCs/>
          <w:color w:val="auto"/>
          <w:sz w:val="24"/>
          <w:szCs w:val="24"/>
          <w:highlight w:val="none"/>
          <w:lang w:val="en-US" w:eastAsia="zh-CN"/>
        </w:rPr>
        <w:t>同级人民政府财政部门</w:t>
      </w:r>
      <w:r>
        <w:rPr>
          <w:rFonts w:hint="eastAsia" w:ascii="仿宋" w:hAnsi="仿宋" w:eastAsia="仿宋" w:cs="仿宋"/>
          <w:color w:val="auto"/>
          <w:sz w:val="24"/>
          <w:szCs w:val="24"/>
          <w:highlight w:val="none"/>
          <w:lang w:val="en-US" w:eastAsia="zh-CN"/>
        </w:rPr>
        <w:t>提起投诉。</w:t>
      </w:r>
    </w:p>
    <w:p>
      <w:pPr>
        <w:pStyle w:val="58"/>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33.8其他需要说明的事项</w:t>
      </w:r>
    </w:p>
    <w:p>
      <w:pPr>
        <w:pStyle w:val="58"/>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33.8.1质疑函须按财政部《质疑函范本》给定的格式进行填写，范本下载详见【财政部国库司（gks.mof.gov.cn）】网站〖首页·政府采购管理〗栏目中的《政府采购供应商质疑函范本》。《政府采购供应商质疑函范本》链接地址：</w:t>
      </w:r>
    </w:p>
    <w:p>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http://gks.mof.gov.cn/ztztz/zhengfucaigouguanli/201802/t20180201_2804589.htm</w:t>
      </w:r>
    </w:p>
    <w:p>
      <w:pPr>
        <w:pStyle w:val="58"/>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33.8.2接收质疑函的方式：书面形式</w:t>
      </w:r>
    </w:p>
    <w:p>
      <w:pPr>
        <w:pStyle w:val="58"/>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33.8.3联系部门：华夏国际项目管理有限公司招标部</w:t>
      </w:r>
    </w:p>
    <w:p>
      <w:pPr>
        <w:pStyle w:val="58"/>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33.8.4联系电话：见供应商须知前附表</w:t>
      </w:r>
    </w:p>
    <w:p>
      <w:pPr>
        <w:pStyle w:val="58"/>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lang w:val="en-US" w:eastAsia="zh-CN"/>
        </w:rPr>
        <w:t>33.8.5通讯地址：</w:t>
      </w:r>
      <w:r>
        <w:rPr>
          <w:rFonts w:hint="eastAsia" w:ascii="仿宋" w:hAnsi="仿宋" w:eastAsia="仿宋" w:cs="仿宋"/>
          <w:color w:val="auto"/>
          <w:sz w:val="24"/>
          <w:szCs w:val="24"/>
          <w:highlight w:val="none"/>
        </w:rPr>
        <w:t>西安市高新区科技五路8号数字大厦11楼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2"/>
        <w:rPr>
          <w:rFonts w:hint="eastAsia" w:ascii="仿宋" w:hAnsi="仿宋" w:eastAsia="仿宋" w:cs="仿宋"/>
          <w:b/>
          <w:color w:val="auto"/>
          <w:sz w:val="24"/>
          <w:szCs w:val="24"/>
          <w:highlight w:val="none"/>
        </w:rPr>
      </w:pPr>
      <w:bookmarkStart w:id="60" w:name="_Toc21797"/>
      <w:r>
        <w:rPr>
          <w:rFonts w:hint="eastAsia" w:ascii="仿宋" w:hAnsi="仿宋" w:eastAsia="仿宋" w:cs="仿宋"/>
          <w:b/>
          <w:color w:val="auto"/>
          <w:sz w:val="24"/>
          <w:szCs w:val="24"/>
          <w:highlight w:val="none"/>
          <w:lang w:val="en-US" w:eastAsia="zh-CN"/>
        </w:rPr>
        <w:t>34</w:t>
      </w:r>
      <w:r>
        <w:rPr>
          <w:rFonts w:hint="eastAsia" w:ascii="仿宋" w:hAnsi="仿宋" w:eastAsia="仿宋" w:cs="仿宋"/>
          <w:b/>
          <w:color w:val="auto"/>
          <w:sz w:val="24"/>
          <w:szCs w:val="24"/>
          <w:highlight w:val="none"/>
        </w:rPr>
        <w:t>.其他</w:t>
      </w:r>
      <w:bookmarkEnd w:id="60"/>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34</w:t>
      </w:r>
      <w:r>
        <w:rPr>
          <w:rFonts w:hint="eastAsia" w:ascii="仿宋" w:hAnsi="仿宋" w:eastAsia="仿宋" w:cs="仿宋"/>
          <w:color w:val="auto"/>
          <w:sz w:val="24"/>
          <w:szCs w:val="24"/>
          <w:highlight w:val="none"/>
        </w:rPr>
        <w:t>.1谈判步骤为：第一次报价---分别谈判---第二次报价---评审推荐成交人。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谈判响应文件</w:t>
      </w:r>
      <w:r>
        <w:rPr>
          <w:rFonts w:hint="eastAsia" w:ascii="仿宋" w:hAnsi="仿宋" w:eastAsia="仿宋" w:cs="仿宋"/>
          <w:color w:val="auto"/>
          <w:sz w:val="24"/>
          <w:szCs w:val="24"/>
          <w:highlight w:val="none"/>
        </w:rPr>
        <w:t>拆封时的价格为第一次报价，无效</w:t>
      </w:r>
      <w:r>
        <w:rPr>
          <w:rFonts w:hint="eastAsia" w:ascii="仿宋" w:hAnsi="仿宋" w:eastAsia="仿宋" w:cs="仿宋"/>
          <w:color w:val="auto"/>
          <w:sz w:val="24"/>
          <w:szCs w:val="24"/>
          <w:highlight w:val="none"/>
          <w:lang w:eastAsia="zh-CN"/>
        </w:rPr>
        <w:t>谈判供应商</w:t>
      </w:r>
      <w:r>
        <w:rPr>
          <w:rFonts w:hint="eastAsia" w:ascii="仿宋" w:hAnsi="仿宋" w:eastAsia="仿宋" w:cs="仿宋"/>
          <w:color w:val="auto"/>
          <w:sz w:val="24"/>
          <w:szCs w:val="24"/>
          <w:highlight w:val="none"/>
        </w:rPr>
        <w:t>将不得进入</w:t>
      </w:r>
      <w:r>
        <w:rPr>
          <w:rFonts w:hint="eastAsia" w:ascii="仿宋" w:hAnsi="仿宋" w:eastAsia="仿宋" w:cs="仿宋"/>
          <w:color w:val="auto"/>
          <w:sz w:val="24"/>
          <w:szCs w:val="24"/>
          <w:highlight w:val="none"/>
          <w:lang w:eastAsia="zh-CN"/>
        </w:rPr>
        <w:t>第二次</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pacing w:val="5"/>
          <w:sz w:val="24"/>
          <w:highlight w:val="none"/>
        </w:rPr>
      </w:pPr>
      <w:r>
        <w:rPr>
          <w:rFonts w:hint="eastAsia" w:ascii="仿宋" w:hAnsi="仿宋" w:eastAsia="仿宋" w:cs="仿宋"/>
          <w:color w:val="auto"/>
          <w:sz w:val="24"/>
          <w:highlight w:val="none"/>
          <w:lang w:val="en-US" w:eastAsia="zh-CN"/>
        </w:rPr>
        <w:t>34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pacing w:val="5"/>
          <w:sz w:val="24"/>
          <w:highlight w:val="none"/>
        </w:rPr>
        <w:t>在采购过程中符合竞争要求的供应商不足3家的，且采购单位或谈判小组不推荐的，须终止</w:t>
      </w:r>
      <w:r>
        <w:rPr>
          <w:rFonts w:hint="eastAsia" w:ascii="仿宋" w:hAnsi="仿宋" w:eastAsia="仿宋" w:cs="仿宋"/>
          <w:color w:val="auto"/>
          <w:spacing w:val="5"/>
          <w:sz w:val="24"/>
          <w:highlight w:val="none"/>
          <w:lang w:eastAsia="zh-CN"/>
        </w:rPr>
        <w:t>谈判</w:t>
      </w:r>
      <w:r>
        <w:rPr>
          <w:rFonts w:hint="eastAsia" w:ascii="仿宋" w:hAnsi="仿宋" w:eastAsia="仿宋" w:cs="仿宋"/>
          <w:color w:val="auto"/>
          <w:spacing w:val="5"/>
          <w:sz w:val="24"/>
          <w:highlight w:val="none"/>
        </w:rPr>
        <w:t>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成交供应商确定后，成交供应商无正当理由拖延或拒签合同的，或未能按照规定的时间提供</w:t>
      </w:r>
      <w:r>
        <w:rPr>
          <w:rFonts w:hint="eastAsia" w:ascii="仿宋" w:hAnsi="仿宋" w:eastAsia="仿宋" w:cs="仿宋"/>
          <w:color w:val="auto"/>
          <w:sz w:val="24"/>
          <w:highlight w:val="none"/>
          <w:lang w:eastAsia="zh-CN"/>
        </w:rPr>
        <w:t>履约保证金</w:t>
      </w:r>
      <w:r>
        <w:rPr>
          <w:rFonts w:hint="eastAsia" w:ascii="仿宋" w:hAnsi="仿宋" w:eastAsia="仿宋" w:cs="仿宋"/>
          <w:color w:val="auto"/>
          <w:sz w:val="24"/>
          <w:highlight w:val="none"/>
        </w:rPr>
        <w:t>，采</w:t>
      </w:r>
      <w:r>
        <w:rPr>
          <w:rFonts w:hint="eastAsia" w:ascii="仿宋" w:hAnsi="仿宋" w:eastAsia="仿宋" w:cs="仿宋"/>
          <w:color w:val="auto"/>
          <w:sz w:val="24"/>
          <w:highlight w:val="none"/>
        </w:rPr>
        <w:t>购人有权取消其成交资格，并按评审顺序重新确定成交供应商。同时</w:t>
      </w:r>
      <w:r>
        <w:rPr>
          <w:rFonts w:hint="eastAsia" w:ascii="仿宋" w:hAnsi="仿宋" w:eastAsia="仿宋" w:cs="仿宋"/>
          <w:color w:val="auto"/>
          <w:sz w:val="24"/>
          <w:highlight w:val="none"/>
          <w:lang w:eastAsia="zh-CN"/>
        </w:rPr>
        <w:t>供应商应按照政府采购相关规定承担相应的责任。</w:t>
      </w:r>
    </w:p>
    <w:p>
      <w:pPr>
        <w:pStyle w:val="2"/>
        <w:keepNext w:val="0"/>
        <w:keepLines w:val="0"/>
        <w:pageBreakBefore w:val="0"/>
        <w:widowControl w:val="0"/>
        <w:numPr>
          <w:ilvl w:val="0"/>
          <w:numId w:val="6"/>
        </w:numPr>
        <w:kinsoku/>
        <w:wordWrap/>
        <w:overflowPunct/>
        <w:topLinePunct w:val="0"/>
        <w:autoSpaceDE/>
        <w:autoSpaceDN/>
        <w:bidi w:val="0"/>
        <w:adjustRightInd/>
        <w:snapToGrid/>
        <w:spacing w:after="0" w:afterLines="0" w:line="500" w:lineRule="exact"/>
        <w:jc w:val="left"/>
        <w:textAlignment w:val="auto"/>
        <w:outlineLvl w:val="2"/>
        <w:rPr>
          <w:rFonts w:hint="eastAsia" w:ascii="仿宋" w:hAnsi="仿宋" w:eastAsia="仿宋" w:cs="仿宋"/>
          <w:b/>
          <w:bCs/>
          <w:color w:val="auto"/>
          <w:sz w:val="24"/>
          <w:szCs w:val="24"/>
          <w:highlight w:val="none"/>
        </w:rPr>
      </w:pPr>
      <w:bookmarkStart w:id="61" w:name="_Toc1185"/>
      <w:bookmarkStart w:id="62" w:name="_Toc7524"/>
      <w:bookmarkStart w:id="63" w:name="_Toc20645"/>
      <w:bookmarkStart w:id="64" w:name="_Toc409690876"/>
      <w:bookmarkStart w:id="65" w:name="_Toc31299"/>
      <w:bookmarkStart w:id="66" w:name="_Toc425781309"/>
      <w:bookmarkStart w:id="67" w:name="_Toc75232033"/>
      <w:bookmarkStart w:id="68" w:name="_Toc409690877"/>
      <w:bookmarkStart w:id="69" w:name="_Toc25472"/>
      <w:bookmarkStart w:id="70" w:name="_Toc405358615"/>
      <w:bookmarkStart w:id="71" w:name="_Toc7665"/>
      <w:bookmarkStart w:id="72" w:name="_Toc19921"/>
      <w:r>
        <w:rPr>
          <w:rFonts w:hint="eastAsia" w:ascii="仿宋" w:hAnsi="仿宋" w:eastAsia="仿宋" w:cs="仿宋"/>
          <w:b/>
          <w:bCs/>
          <w:color w:val="auto"/>
          <w:sz w:val="24"/>
          <w:szCs w:val="24"/>
          <w:highlight w:val="none"/>
        </w:rPr>
        <w:t>信用担保</w:t>
      </w:r>
      <w:bookmarkEnd w:id="61"/>
      <w:r>
        <w:rPr>
          <w:rFonts w:hint="eastAsia" w:ascii="仿宋" w:hAnsi="仿宋" w:eastAsia="仿宋" w:cs="仿宋"/>
          <w:b/>
          <w:bCs/>
          <w:color w:val="auto"/>
          <w:sz w:val="24"/>
          <w:szCs w:val="24"/>
          <w:highlight w:val="none"/>
          <w:lang w:eastAsia="zh-CN"/>
        </w:rPr>
        <w:t>及信用融资</w:t>
      </w:r>
      <w:bookmarkEnd w:id="62"/>
    </w:p>
    <w:p>
      <w:pPr>
        <w:keepNext w:val="0"/>
        <w:keepLines w:val="0"/>
        <w:pageBreakBefore w:val="0"/>
        <w:widowControl w:val="0"/>
        <w:wordWrap/>
        <w:overflowPunct/>
        <w:topLinePunct w:val="0"/>
        <w:autoSpaceDE/>
        <w:autoSpaceDN/>
        <w:bidi w:val="0"/>
        <w:spacing w:line="500" w:lineRule="exact"/>
        <w:ind w:firstLine="456" w:firstLineChars="200"/>
        <w:jc w:val="left"/>
        <w:textAlignment w:val="auto"/>
        <w:rPr>
          <w:rFonts w:hint="eastAsia" w:ascii="仿宋" w:hAnsi="仿宋" w:eastAsia="仿宋" w:cs="仿宋"/>
          <w:color w:val="auto"/>
          <w:spacing w:val="-6"/>
          <w:sz w:val="24"/>
          <w:highlight w:val="none"/>
          <w:lang w:val="en-US" w:eastAsia="zh-CN"/>
        </w:rPr>
      </w:pPr>
      <w:r>
        <w:rPr>
          <w:rFonts w:hint="eastAsia" w:ascii="仿宋" w:hAnsi="仿宋" w:eastAsia="仿宋" w:cs="仿宋"/>
          <w:color w:val="auto"/>
          <w:spacing w:val="-6"/>
          <w:sz w:val="24"/>
          <w:highlight w:val="none"/>
          <w:lang w:val="en-US" w:eastAsia="zh-CN"/>
        </w:rPr>
        <w:t>根据《陕西省财政厅关于印发&lt;陕西省中小企业政府采购信用融资办法&gt;的通知》（陕财办采〔2018〕23号）相关政策，有融资需求的供应商可根据自身情况，在陕西省政府采购信用融资平台（网址：http://www.ccgp-shaanxi.gov.cn/zcdservice/zcd/shanxi/）按照相关业务流程自主选择金融机构及其融资产品，凭政府采购中标（成交）通知书或政府采购合同向金融机构提出融资申请。</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bCs/>
          <w:color w:val="auto"/>
          <w:sz w:val="36"/>
          <w:szCs w:val="36"/>
          <w:highlight w:val="none"/>
        </w:rPr>
      </w:pPr>
    </w:p>
    <w:p>
      <w:pPr>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pPr>
        <w:pStyle w:val="3"/>
        <w:rPr>
          <w:rFonts w:hint="eastAsia" w:ascii="仿宋" w:hAnsi="仿宋" w:eastAsia="仿宋" w:cs="仿宋"/>
          <w:b/>
          <w:bCs/>
          <w:color w:val="auto"/>
          <w:sz w:val="36"/>
          <w:szCs w:val="36"/>
          <w:highlight w:val="none"/>
        </w:rPr>
      </w:pPr>
      <w:bookmarkStart w:id="73" w:name="_Toc5681"/>
      <w:r>
        <w:rPr>
          <w:rFonts w:hint="eastAsia" w:ascii="仿宋" w:hAnsi="仿宋" w:eastAsia="仿宋" w:cs="仿宋"/>
          <w:b/>
          <w:bCs/>
          <w:color w:val="auto"/>
          <w:sz w:val="36"/>
          <w:szCs w:val="36"/>
          <w:highlight w:val="none"/>
        </w:rPr>
        <w:t>第三章 合同条款</w:t>
      </w:r>
      <w:bookmarkEnd w:id="63"/>
      <w:bookmarkEnd w:id="64"/>
      <w:bookmarkEnd w:id="65"/>
      <w:r>
        <w:rPr>
          <w:rFonts w:hint="eastAsia" w:ascii="仿宋" w:hAnsi="仿宋" w:eastAsia="仿宋" w:cs="仿宋"/>
          <w:b/>
          <w:bCs/>
          <w:color w:val="auto"/>
          <w:sz w:val="36"/>
          <w:szCs w:val="36"/>
          <w:highlight w:val="none"/>
        </w:rPr>
        <w:t>及格式</w:t>
      </w:r>
      <w:bookmarkEnd w:id="66"/>
      <w:bookmarkEnd w:id="73"/>
    </w:p>
    <w:bookmarkEnd w:id="67"/>
    <w:bookmarkEnd w:id="68"/>
    <w:bookmarkEnd w:id="69"/>
    <w:bookmarkEnd w:id="70"/>
    <w:bookmarkEnd w:id="71"/>
    <w:p>
      <w:pPr>
        <w:spacing w:before="327" w:beforeLines="100" w:after="327" w:afterLines="100"/>
        <w:jc w:val="center"/>
        <w:outlineLvl w:val="9"/>
        <w:rPr>
          <w:rFonts w:hint="eastAsia" w:ascii="仿宋" w:hAnsi="仿宋" w:eastAsia="仿宋" w:cs="仿宋"/>
          <w:b/>
          <w:bCs w:val="0"/>
          <w:color w:val="auto"/>
          <w:kern w:val="2"/>
          <w:sz w:val="36"/>
          <w:szCs w:val="36"/>
          <w:highlight w:val="none"/>
          <w:lang w:val="en-US" w:eastAsia="zh-CN" w:bidi="ar-SA"/>
        </w:rPr>
      </w:pPr>
      <w:bookmarkStart w:id="74" w:name="_Toc425781311"/>
      <w:bookmarkStart w:id="75" w:name="_Toc405358616"/>
    </w:p>
    <w:p>
      <w:pPr>
        <w:rPr>
          <w:rFonts w:hint="eastAsia"/>
          <w:color w:val="auto"/>
          <w:highlight w:val="none"/>
          <w:lang w:val="en-US" w:eastAsia="zh-CN"/>
        </w:rPr>
      </w:pPr>
    </w:p>
    <w:p>
      <w:pPr>
        <w:jc w:val="center"/>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西安市莲湖区市民中心视讯采集数据</w:t>
      </w:r>
    </w:p>
    <w:p>
      <w:pPr>
        <w:jc w:val="center"/>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中心升级项目</w:t>
      </w:r>
    </w:p>
    <w:p>
      <w:pPr>
        <w:jc w:val="center"/>
        <w:rPr>
          <w:rFonts w:hint="eastAsia" w:ascii="仿宋" w:hAnsi="仿宋" w:eastAsia="仿宋" w:cs="仿宋"/>
          <w:b/>
          <w:color w:val="auto"/>
          <w:sz w:val="52"/>
          <w:szCs w:val="52"/>
          <w:highlight w:val="none"/>
          <w:lang w:val="en-US" w:eastAsia="zh-CN"/>
        </w:rPr>
      </w:pPr>
    </w:p>
    <w:p>
      <w:pPr>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lang w:val="en-US" w:eastAsia="zh-CN"/>
        </w:rPr>
        <w:t xml:space="preserve"> </w:t>
      </w:r>
    </w:p>
    <w:p>
      <w:pPr>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采购合同</w:t>
      </w:r>
    </w:p>
    <w:p>
      <w:pPr>
        <w:jc w:val="center"/>
        <w:rPr>
          <w:rFonts w:hint="eastAsia" w:ascii="仿宋" w:hAnsi="仿宋" w:eastAsia="仿宋" w:cs="仿宋"/>
          <w:color w:val="auto"/>
          <w:sz w:val="28"/>
          <w:szCs w:val="24"/>
          <w:highlight w:val="none"/>
        </w:rPr>
      </w:pPr>
    </w:p>
    <w:p>
      <w:pPr>
        <w:jc w:val="center"/>
        <w:rPr>
          <w:rFonts w:hint="eastAsia" w:ascii="仿宋" w:hAnsi="仿宋" w:eastAsia="仿宋" w:cs="仿宋"/>
          <w:b/>
          <w:bCs/>
          <w:color w:val="auto"/>
          <w:sz w:val="2"/>
          <w:szCs w:val="24"/>
          <w:highlight w:val="none"/>
        </w:rPr>
      </w:pPr>
      <w:r>
        <w:rPr>
          <w:rFonts w:hint="eastAsia" w:ascii="仿宋" w:hAnsi="仿宋" w:eastAsia="仿宋" w:cs="仿宋"/>
          <w:b/>
          <w:bCs/>
          <w:color w:val="auto"/>
          <w:sz w:val="28"/>
          <w:szCs w:val="24"/>
          <w:highlight w:val="none"/>
        </w:rPr>
        <w:t>（示范文本）</w:t>
      </w:r>
    </w:p>
    <w:p>
      <w:pPr>
        <w:pStyle w:val="2"/>
        <w:rPr>
          <w:rFonts w:hint="eastAsia"/>
          <w:color w:val="auto"/>
          <w:highlight w:val="none"/>
          <w:lang w:val="en-US" w:eastAsia="zh-CN"/>
        </w:rPr>
      </w:pPr>
    </w:p>
    <w:p>
      <w:pPr>
        <w:keepNext/>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color w:val="auto"/>
          <w:sz w:val="36"/>
          <w:szCs w:val="36"/>
          <w:highlight w:val="none"/>
          <w:lang w:eastAsia="zh-CN"/>
        </w:rPr>
      </w:pPr>
    </w:p>
    <w:p>
      <w:pPr>
        <w:ind w:firstLine="420" w:firstLineChars="200"/>
        <w:rPr>
          <w:rFonts w:hint="eastAsia"/>
          <w:color w:val="auto"/>
          <w:highlight w:val="none"/>
          <w:lang w:eastAsia="zh-CN"/>
        </w:rPr>
      </w:pPr>
      <w:r>
        <w:rPr>
          <w:rFonts w:hint="eastAsia"/>
          <w:color w:val="auto"/>
          <w:highlight w:val="none"/>
          <w:lang w:eastAsia="zh-CN"/>
        </w:rPr>
        <w:br w:type="page"/>
      </w:r>
    </w:p>
    <w:p>
      <w:pPr>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采购人（全称）：</w:t>
      </w:r>
      <w:r>
        <w:rPr>
          <w:rFonts w:hint="eastAsia" w:ascii="仿宋" w:hAnsi="仿宋" w:eastAsia="仿宋" w:cs="仿宋"/>
          <w:b/>
          <w:color w:val="auto"/>
          <w:sz w:val="24"/>
          <w:highlight w:val="none"/>
          <w:u w:val="single"/>
        </w:rPr>
        <w:t xml:space="preserve">                                      </w:t>
      </w:r>
    </w:p>
    <w:p>
      <w:pPr>
        <w:adjustRightInd w:val="0"/>
        <w:snapToGrid w:val="0"/>
        <w:spacing w:line="58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供应商（全称）：</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 xml:space="preserve">   </w:t>
      </w:r>
    </w:p>
    <w:p>
      <w:pPr>
        <w:adjustRightInd w:val="0"/>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中华人民共和国民法典</w:t>
      </w:r>
      <w:r>
        <w:rPr>
          <w:rFonts w:hint="eastAsia" w:ascii="仿宋" w:hAnsi="仿宋" w:eastAsia="仿宋" w:cs="仿宋"/>
          <w:color w:val="auto"/>
          <w:sz w:val="24"/>
          <w:highlight w:val="none"/>
        </w:rPr>
        <w:t>》及其他有关法律、法规，遵循平等、自愿、公平和诚信的原则，双方就下述项目范围与相关服务事项协商一致，订立本合同。</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一、项目概况</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w:t>
      </w:r>
      <w:r>
        <w:rPr>
          <w:rFonts w:hint="eastAsia" w:ascii="仿宋" w:hAnsi="仿宋" w:eastAsia="仿宋" w:cs="仿宋"/>
          <w:color w:val="auto"/>
          <w:kern w:val="0"/>
          <w:sz w:val="24"/>
          <w:highlight w:val="none"/>
        </w:rPr>
        <w:t>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二、组成本合同的文件</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1、协议书；</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成交通知书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竞争性</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lang w:eastAsia="zh-CN"/>
        </w:rPr>
        <w:t>文件</w:t>
      </w:r>
      <w:r>
        <w:rPr>
          <w:rFonts w:hint="eastAsia" w:ascii="仿宋" w:hAnsi="仿宋" w:eastAsia="仿宋" w:cs="仿宋"/>
          <w:color w:val="auto"/>
          <w:sz w:val="24"/>
          <w:highlight w:val="none"/>
        </w:rPr>
        <w:t>、澄清、补充文件（或委托书）；</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3、相关服务建议书；</w:t>
      </w: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4、附录，即：附表内相关服务的范围和内容；</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本合同签订后，双方依法签订的补充协议也是本合同文件的组成部分。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三、合同价款</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合同总价（大写）：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合同总价即</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价，合同总价一次包死，不受市场价变化或实际工作量变化的影响，合同价格为含税价，</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供应商提供产品所发生的一切税（包括增值税）费等都已包含于合同价款中。</w:t>
      </w:r>
    </w:p>
    <w:p>
      <w:pPr>
        <w:adjustRightInd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四、结算方式：</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1、结算单位：由采购人以人民币负责结算，在付款前，供应商必须开具全额发票给采购人。</w:t>
      </w:r>
    </w:p>
    <w:p>
      <w:pPr>
        <w:adjustRightInd w:val="0"/>
        <w:snapToGrid w:val="0"/>
        <w:spacing w:line="360" w:lineRule="auto"/>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付款方式：</w:t>
      </w:r>
    </w:p>
    <w:p>
      <w:pPr>
        <w:adjustRightInd w:val="0"/>
        <w:snapToGrid w:val="0"/>
        <w:spacing w:line="360" w:lineRule="auto"/>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①合同签订后，</w:t>
      </w:r>
      <w:r>
        <w:rPr>
          <w:rFonts w:hint="eastAsia" w:ascii="仿宋" w:hAnsi="仿宋" w:eastAsia="仿宋" w:cs="仿宋"/>
          <w:color w:val="auto"/>
          <w:sz w:val="24"/>
          <w:szCs w:val="24"/>
          <w:highlight w:val="none"/>
          <w:lang w:val="en-US" w:eastAsia="zh-CN"/>
        </w:rPr>
        <w:t>完成软硬件设备安装调试，并验收合格，支付</w:t>
      </w:r>
      <w:r>
        <w:rPr>
          <w:rFonts w:hint="eastAsia" w:ascii="仿宋" w:hAnsi="仿宋" w:eastAsia="仿宋" w:cs="仿宋"/>
          <w:color w:val="auto"/>
          <w:sz w:val="24"/>
          <w:szCs w:val="24"/>
          <w:highlight w:val="none"/>
        </w:rPr>
        <w:t>合同价款的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p>
      <w:pPr>
        <w:adjustRightInd w:val="0"/>
        <w:snapToGrid w:val="0"/>
        <w:spacing w:line="360" w:lineRule="auto"/>
        <w:ind w:firstLine="475" w:firstLineChars="19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2023年12月31日前支付</w:t>
      </w:r>
      <w:r>
        <w:rPr>
          <w:rFonts w:hint="eastAsia" w:ascii="仿宋" w:hAnsi="仿宋" w:eastAsia="仿宋" w:cs="仿宋"/>
          <w:color w:val="auto"/>
          <w:sz w:val="24"/>
          <w:szCs w:val="24"/>
          <w:highlight w:val="none"/>
        </w:rPr>
        <w:t>合同价款的</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pPr>
        <w:adjustRightInd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五、期限</w:t>
      </w:r>
    </w:p>
    <w:p>
      <w:pPr>
        <w:adjustRightInd w:val="0"/>
        <w:snapToGrid w:val="0"/>
        <w:spacing w:line="360" w:lineRule="auto"/>
        <w:ind w:firstLine="482" w:firstLineChars="200"/>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rPr>
        <w:t>交货期：自合同签订之日起</w:t>
      </w:r>
      <w:r>
        <w:rPr>
          <w:rFonts w:hint="eastAsia" w:ascii="仿宋" w:hAnsi="仿宋" w:eastAsia="仿宋" w:cs="仿宋"/>
          <w:b/>
          <w:bCs/>
          <w:color w:val="auto"/>
          <w:sz w:val="24"/>
          <w:szCs w:val="22"/>
          <w:highlight w:val="none"/>
          <w:lang w:val="en-US" w:eastAsia="zh-CN"/>
        </w:rPr>
        <w:t xml:space="preserve"> 25 </w:t>
      </w:r>
      <w:r>
        <w:rPr>
          <w:rFonts w:hint="eastAsia" w:ascii="仿宋" w:hAnsi="仿宋" w:eastAsia="仿宋" w:cs="仿宋"/>
          <w:b/>
          <w:bCs/>
          <w:color w:val="auto"/>
          <w:sz w:val="24"/>
          <w:szCs w:val="22"/>
          <w:highlight w:val="none"/>
        </w:rPr>
        <w:t>日历</w:t>
      </w:r>
      <w:r>
        <w:rPr>
          <w:rFonts w:hint="eastAsia" w:ascii="仿宋" w:hAnsi="仿宋" w:eastAsia="仿宋" w:cs="仿宋"/>
          <w:b/>
          <w:bCs/>
          <w:color w:val="auto"/>
          <w:sz w:val="24"/>
          <w:szCs w:val="22"/>
          <w:highlight w:val="none"/>
          <w:lang w:val="en-US" w:eastAsia="zh-CN"/>
        </w:rPr>
        <w:t>日</w:t>
      </w:r>
      <w:r>
        <w:rPr>
          <w:rFonts w:hint="eastAsia" w:ascii="仿宋" w:hAnsi="仿宋" w:eastAsia="仿宋" w:cs="仿宋"/>
          <w:b/>
          <w:bCs/>
          <w:color w:val="auto"/>
          <w:sz w:val="24"/>
          <w:szCs w:val="22"/>
          <w:highlight w:val="none"/>
        </w:rPr>
        <w:t>。</w:t>
      </w:r>
    </w:p>
    <w:p>
      <w:pPr>
        <w:adjustRightInd w:val="0"/>
        <w:snapToGrid w:val="0"/>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交货地点：采购人指定交货地点。</w:t>
      </w:r>
    </w:p>
    <w:p>
      <w:pPr>
        <w:adjustRightInd w:val="0"/>
        <w:snapToGrid w:val="0"/>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六、质保期</w:t>
      </w:r>
    </w:p>
    <w:p>
      <w:pPr>
        <w:adjustRightInd w:val="0"/>
        <w:snapToGrid w:val="0"/>
        <w:spacing w:line="360" w:lineRule="auto"/>
        <w:ind w:firstLine="482" w:firstLineChars="200"/>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rPr>
        <w:t>自项目整体验收合格之日起不少于</w:t>
      </w:r>
      <w:r>
        <w:rPr>
          <w:rFonts w:hint="eastAsia" w:ascii="仿宋" w:hAnsi="仿宋" w:eastAsia="仿宋" w:cs="仿宋"/>
          <w:b/>
          <w:bCs/>
          <w:color w:val="auto"/>
          <w:sz w:val="24"/>
          <w:szCs w:val="22"/>
          <w:highlight w:val="none"/>
          <w:lang w:val="en-US" w:eastAsia="zh-CN"/>
        </w:rPr>
        <w:t>1</w:t>
      </w:r>
      <w:r>
        <w:rPr>
          <w:rFonts w:hint="eastAsia" w:ascii="仿宋" w:hAnsi="仿宋" w:eastAsia="仿宋" w:cs="仿宋"/>
          <w:b/>
          <w:bCs/>
          <w:color w:val="auto"/>
          <w:sz w:val="24"/>
          <w:szCs w:val="22"/>
          <w:highlight w:val="none"/>
        </w:rPr>
        <w:t>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七、双方权利和义务</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（一）采购人的权利和义务</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1、产品性能必须与其标的技术指标相符合，甲方有权在产品的有效保证期内依据技术指标对该产品进行技术验收，其主要的技术参数达不到标准时，甲方有权无条件退货或依据有关法律索赔。</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所提供的产品若出现质量问题，在采购人及时通知供应商后，供应商不能及时解决问题且对采购人造成影响,采购人有权向供应商提出退货，供应商除退还全部货款外,还要支付货款总额的20%作为向采购人的赔偿。</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3、采购人保证按合同规定及时付款。</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（二）供应商的权利和义务</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1、供应商提供给采购人的产品必须是全新的合格产品。</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2、凡因专利问题与第三方发生的任何纠纷均与采购人无关。</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3、安全可靠。在正常使用下不应对使用者造成任何人身伤害，如因产品质量或标示不明确而对使用者造成损失的，采购人将保留依法索赔的权利。</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4、有强制性安全标准的产品，供应商应提供该产品的制造许可证证明。</w:t>
      </w:r>
    </w:p>
    <w:p>
      <w:pPr>
        <w:adjustRightInd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八、内容及要求：</w:t>
      </w:r>
    </w:p>
    <w:p>
      <w:pPr>
        <w:tabs>
          <w:tab w:val="left" w:pos="84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即交付的设备（产品）、服务内容、数量与谈判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竞争性谈判文件</w:t>
      </w:r>
      <w:r>
        <w:rPr>
          <w:rFonts w:hint="eastAsia" w:ascii="仿宋" w:hAnsi="仿宋" w:eastAsia="仿宋" w:cs="仿宋"/>
          <w:color w:val="auto"/>
          <w:sz w:val="24"/>
          <w:highlight w:val="none"/>
        </w:rPr>
        <w:t>等所指明的，或者与本合同所指明的设备（产品）、服务内容相一致。（附清单）</w:t>
      </w:r>
    </w:p>
    <w:p>
      <w:pPr>
        <w:spacing w:after="12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供货内容一览表</w:t>
      </w:r>
    </w:p>
    <w:tbl>
      <w:tblPr>
        <w:tblStyle w:val="27"/>
        <w:tblW w:w="95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5"/>
        <w:gridCol w:w="960"/>
        <w:gridCol w:w="1485"/>
        <w:gridCol w:w="1695"/>
        <w:gridCol w:w="825"/>
        <w:gridCol w:w="735"/>
        <w:gridCol w:w="1050"/>
        <w:gridCol w:w="1215"/>
        <w:gridCol w:w="9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960" w:type="dxa"/>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名称</w:t>
            </w:r>
          </w:p>
        </w:tc>
        <w:tc>
          <w:tcPr>
            <w:tcW w:w="1485" w:type="dxa"/>
            <w:tcBorders>
              <w:right w:val="single" w:color="auto" w:sz="4" w:space="0"/>
            </w:tcBorders>
            <w:noWrap w:val="0"/>
            <w:vAlign w:val="center"/>
          </w:tcPr>
          <w:p>
            <w:pPr>
              <w:pStyle w:val="4"/>
              <w:pageBreakBefore w:val="0"/>
              <w:kinsoku/>
              <w:wordWrap/>
              <w:overflowPunct/>
              <w:topLinePunct w:val="0"/>
              <w:autoSpaceDE/>
              <w:autoSpaceDN/>
              <w:bidi w:val="0"/>
              <w:adjustRightInd w:val="0"/>
              <w:snapToGrid w:val="0"/>
              <w:spacing w:before="0" w:beforeLines="0" w:after="0" w:afterLines="0"/>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品牌、规格及型号</w:t>
            </w:r>
          </w:p>
        </w:tc>
        <w:tc>
          <w:tcPr>
            <w:tcW w:w="1695" w:type="dxa"/>
            <w:tcBorders>
              <w:left w:val="single" w:color="auto" w:sz="4" w:space="0"/>
            </w:tcBorders>
            <w:noWrap w:val="0"/>
            <w:vAlign w:val="center"/>
          </w:tcPr>
          <w:p>
            <w:pPr>
              <w:pStyle w:val="4"/>
              <w:pageBreakBefore w:val="0"/>
              <w:kinsoku/>
              <w:wordWrap/>
              <w:overflowPunct/>
              <w:topLinePunct w:val="0"/>
              <w:autoSpaceDE/>
              <w:autoSpaceDN/>
              <w:bidi w:val="0"/>
              <w:adjustRightInd w:val="0"/>
              <w:snapToGrid w:val="0"/>
              <w:spacing w:before="0" w:beforeLines="0" w:after="0" w:afterLines="0"/>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原产地及制造厂名</w:t>
            </w:r>
          </w:p>
        </w:tc>
        <w:tc>
          <w:tcPr>
            <w:tcW w:w="825" w:type="dxa"/>
            <w:tcBorders>
              <w:right w:val="single" w:color="auto" w:sz="4" w:space="0"/>
            </w:tcBorders>
            <w:noWrap w:val="0"/>
            <w:vAlign w:val="center"/>
          </w:tcPr>
          <w:p>
            <w:pPr>
              <w:pStyle w:val="4"/>
              <w:pageBreakBefore w:val="0"/>
              <w:kinsoku/>
              <w:wordWrap/>
              <w:overflowPunct/>
              <w:topLinePunct w:val="0"/>
              <w:autoSpaceDE/>
              <w:autoSpaceDN/>
              <w:bidi w:val="0"/>
              <w:adjustRightInd w:val="0"/>
              <w:snapToGrid w:val="0"/>
              <w:spacing w:before="0" w:beforeLines="0" w:after="0" w:afterLines="0"/>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735" w:type="dxa"/>
            <w:tcBorders>
              <w:left w:val="single" w:color="auto" w:sz="4" w:space="0"/>
              <w:right w:val="single" w:color="auto" w:sz="4" w:space="0"/>
            </w:tcBorders>
            <w:noWrap w:val="0"/>
            <w:vAlign w:val="center"/>
          </w:tcPr>
          <w:p>
            <w:pPr>
              <w:pStyle w:val="4"/>
              <w:pageBreakBefore w:val="0"/>
              <w:kinsoku/>
              <w:wordWrap/>
              <w:overflowPunct/>
              <w:topLinePunct w:val="0"/>
              <w:autoSpaceDE/>
              <w:autoSpaceDN/>
              <w:bidi w:val="0"/>
              <w:adjustRightInd w:val="0"/>
              <w:snapToGrid w:val="0"/>
              <w:spacing w:before="0" w:beforeLines="0" w:after="0" w:afterLines="0"/>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050" w:type="dxa"/>
            <w:tcBorders>
              <w:left w:val="single" w:color="auto" w:sz="4" w:space="0"/>
            </w:tcBorders>
            <w:noWrap w:val="0"/>
            <w:vAlign w:val="center"/>
          </w:tcPr>
          <w:p>
            <w:pPr>
              <w:pStyle w:val="4"/>
              <w:pageBreakBefore w:val="0"/>
              <w:kinsoku/>
              <w:wordWrap/>
              <w:overflowPunct/>
              <w:topLinePunct w:val="0"/>
              <w:autoSpaceDE/>
              <w:autoSpaceDN/>
              <w:bidi w:val="0"/>
              <w:spacing w:before="0" w:beforeLines="0" w:after="0" w:afterLines="0"/>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交付地点</w:t>
            </w:r>
          </w:p>
        </w:tc>
        <w:tc>
          <w:tcPr>
            <w:tcW w:w="1215" w:type="dxa"/>
            <w:tcBorders>
              <w:right w:val="single" w:color="auto" w:sz="4" w:space="0"/>
            </w:tcBorders>
            <w:noWrap w:val="0"/>
            <w:vAlign w:val="center"/>
          </w:tcPr>
          <w:p>
            <w:pPr>
              <w:pStyle w:val="4"/>
              <w:pageBreakBefore w:val="0"/>
              <w:kinsoku/>
              <w:wordWrap/>
              <w:overflowPunct/>
              <w:topLinePunct w:val="0"/>
              <w:autoSpaceDE/>
              <w:autoSpaceDN/>
              <w:bidi w:val="0"/>
              <w:spacing w:before="0" w:beforeLines="0" w:after="0" w:afterLines="0"/>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交付时间</w:t>
            </w:r>
          </w:p>
        </w:tc>
        <w:tc>
          <w:tcPr>
            <w:tcW w:w="903" w:type="dxa"/>
            <w:tcBorders>
              <w:right w:val="single" w:color="auto" w:sz="4" w:space="0"/>
            </w:tcBorders>
            <w:noWrap w:val="0"/>
            <w:vAlign w:val="center"/>
          </w:tcPr>
          <w:p>
            <w:pPr>
              <w:pStyle w:val="4"/>
              <w:pageBreakBefore w:val="0"/>
              <w:kinsoku/>
              <w:wordWrap/>
              <w:overflowPunct/>
              <w:topLinePunct w:val="0"/>
              <w:autoSpaceDE/>
              <w:autoSpaceDN/>
              <w:bidi w:val="0"/>
              <w:spacing w:before="0" w:beforeLines="0" w:after="0" w:afterLines="0"/>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960" w:type="dxa"/>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1485" w:type="dxa"/>
            <w:tcBorders>
              <w:righ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1695" w:type="dxa"/>
            <w:tcBorders>
              <w:lef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825" w:type="dxa"/>
            <w:tcBorders>
              <w:righ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735" w:type="dxa"/>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1050" w:type="dxa"/>
            <w:tcBorders>
              <w:lef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1215" w:type="dxa"/>
            <w:tcBorders>
              <w:righ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903" w:type="dxa"/>
            <w:tcBorders>
              <w:righ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960" w:type="dxa"/>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1485" w:type="dxa"/>
            <w:tcBorders>
              <w:righ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1695" w:type="dxa"/>
            <w:tcBorders>
              <w:lef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825" w:type="dxa"/>
            <w:tcBorders>
              <w:righ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735" w:type="dxa"/>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1050" w:type="dxa"/>
            <w:tcBorders>
              <w:lef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1215" w:type="dxa"/>
            <w:tcBorders>
              <w:righ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903" w:type="dxa"/>
            <w:tcBorders>
              <w:righ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960" w:type="dxa"/>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1485" w:type="dxa"/>
            <w:tcBorders>
              <w:righ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1695" w:type="dxa"/>
            <w:tcBorders>
              <w:lef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825" w:type="dxa"/>
            <w:tcBorders>
              <w:righ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735" w:type="dxa"/>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1050" w:type="dxa"/>
            <w:tcBorders>
              <w:lef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1215" w:type="dxa"/>
            <w:tcBorders>
              <w:righ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c>
          <w:tcPr>
            <w:tcW w:w="903" w:type="dxa"/>
            <w:tcBorders>
              <w:right w:val="single" w:color="auto" w:sz="4" w:space="0"/>
            </w:tcBorders>
            <w:noWrap w:val="0"/>
            <w:vAlign w:val="center"/>
          </w:tcPr>
          <w:p>
            <w:pPr>
              <w:pageBreakBefore w:val="0"/>
              <w:kinsoku/>
              <w:wordWrap/>
              <w:overflowPunct/>
              <w:topLinePunct w:val="0"/>
              <w:autoSpaceDE/>
              <w:autoSpaceDN/>
              <w:bidi w:val="0"/>
              <w:spacing w:line="360" w:lineRule="auto"/>
              <w:ind w:left="0"/>
              <w:jc w:val="center"/>
              <w:textAlignment w:val="auto"/>
              <w:rPr>
                <w:rFonts w:hint="eastAsia" w:ascii="仿宋" w:hAnsi="仿宋" w:eastAsia="仿宋" w:cs="仿宋"/>
                <w:color w:val="auto"/>
                <w:szCs w:val="24"/>
                <w:highlight w:val="none"/>
              </w:rPr>
            </w:pPr>
          </w:p>
        </w:tc>
      </w:tr>
    </w:tbl>
    <w:p>
      <w:pPr>
        <w:pStyle w:val="2"/>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九、安装、调试要求：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1、由供应商负责派技术人员到现场进行免费安装、调试至验收合格。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2、供应商应在合同签订后一周内，向采购人提供安装、调试及试运行的进度计划表。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4、安装和调试期间所发生的费用均由供应商负责。</w:t>
      </w:r>
    </w:p>
    <w:p>
      <w:pPr>
        <w:tabs>
          <w:tab w:val="left" w:pos="84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十、技术支持：</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提供全年7×24小时的技术咨询服务。</w:t>
      </w:r>
    </w:p>
    <w:p>
      <w:pPr>
        <w:numPr>
          <w:ilvl w:val="0"/>
          <w:numId w:val="7"/>
        </w:num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技术培训：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rPr>
        <w:t>应包括设备(产品)使用操作、保养、维修等培训内容。供应商需为采购人免费培训技术人员若干名，培训服务以受培训人员熟练掌握相应技能为原则。在设备(产品)投入使用初期进行必要的跟踪指导，保障设备(产品)的稳定运行。谈判设备(产品)需在培训基地培训的，供应商应按要求履行，培训产生的交通费、食宿费、培训费等均由供应商承担。</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十二、技术资料要求：</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供应商应向采购人提供全套中文技术资料一套，其费用包括在谈判报价中：</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1、完整的设备(产品)操作使用手册和维护、修理技术文件，图纸、保修卡等；</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2、制造</w:t>
      </w:r>
      <w:r>
        <w:rPr>
          <w:rFonts w:hint="eastAsia" w:ascii="仿宋" w:hAnsi="仿宋" w:eastAsia="仿宋" w:cs="仿宋"/>
          <w:color w:val="auto"/>
          <w:sz w:val="24"/>
          <w:szCs w:val="24"/>
          <w:highlight w:val="none"/>
          <w:lang w:val="en-US" w:eastAsia="zh-CN"/>
        </w:rPr>
        <w:t>厂家</w:t>
      </w:r>
      <w:r>
        <w:rPr>
          <w:rFonts w:hint="eastAsia" w:ascii="仿宋" w:hAnsi="仿宋" w:eastAsia="仿宋" w:cs="仿宋"/>
          <w:color w:val="auto"/>
          <w:sz w:val="24"/>
          <w:szCs w:val="24"/>
          <w:highlight w:val="none"/>
        </w:rPr>
        <w:t>的检验、测试报告、设备(产品)检验合格证书，质量保证书等文件验收时须一并提供；</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3、设备(产品)验收标准；</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4、技术说明书及必须的其它技术资料；</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5、使用说明书；</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6、系统安装，调试、维修线路图及原理图；</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7、零部件目录；</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8、备品备件、易损件清单；</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9、项目</w:t>
      </w:r>
      <w:r>
        <w:rPr>
          <w:rFonts w:hint="eastAsia" w:ascii="仿宋" w:hAnsi="仿宋" w:eastAsia="仿宋" w:cs="仿宋"/>
          <w:color w:val="auto"/>
          <w:sz w:val="24"/>
          <w:szCs w:val="24"/>
          <w:highlight w:val="none"/>
          <w:lang w:val="en-US" w:eastAsia="zh-CN"/>
        </w:rPr>
        <w:t>供货完成</w:t>
      </w:r>
      <w:r>
        <w:rPr>
          <w:rFonts w:hint="eastAsia" w:ascii="仿宋" w:hAnsi="仿宋" w:eastAsia="仿宋" w:cs="仿宋"/>
          <w:color w:val="auto"/>
          <w:sz w:val="24"/>
          <w:szCs w:val="24"/>
          <w:highlight w:val="none"/>
        </w:rPr>
        <w:t>后提供验收报告；</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10、合同中要求的其他文件资料。</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十三、质量保证：</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供应商提供的设备(产品)及材料必须保证质量可靠，为市场最新或主流设备(产品)，进货渠道正常，配置合理齐全，应全面满足</w:t>
      </w:r>
      <w:r>
        <w:rPr>
          <w:rFonts w:hint="eastAsia" w:ascii="仿宋" w:hAnsi="仿宋" w:eastAsia="仿宋" w:cs="仿宋"/>
          <w:color w:val="auto"/>
          <w:sz w:val="24"/>
          <w:szCs w:val="24"/>
          <w:highlight w:val="none"/>
          <w:lang w:eastAsia="zh-CN"/>
        </w:rPr>
        <w:t>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的要求，</w:t>
      </w:r>
      <w:r>
        <w:rPr>
          <w:rFonts w:hint="eastAsia" w:ascii="仿宋" w:hAnsi="仿宋" w:eastAsia="仿宋" w:cs="仿宋"/>
          <w:color w:val="auto"/>
          <w:sz w:val="24"/>
          <w:szCs w:val="24"/>
          <w:highlight w:val="none"/>
          <w:lang w:eastAsia="zh-CN"/>
        </w:rPr>
        <w:t>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未明确要求的内容，供应商须按谈判设备(产品)主流标准配置或以采购人的补充要求为准。所供设备(产品)工艺质量应严格按国家最新发布的规范标准执行，如发生质量问题由供应商承担全部责任。</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供应商应保证合同项下所供设备是合同规定厂家供货生产的，全新未使用过的，并完全符合合同规定的质量、规格等要求。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十四、验收:</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采购人和供应商共同对项目整体进行验收。其内容包括确认设备(产品)的产地、规格、型号和数量，对其设备(产品)技术指标、性能参数以及工程质量是否达到现行国家有关验收规范“合格”标准进行逐项检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1、所验设备(产品)的指标、性能参数通过验收达不到</w:t>
      </w:r>
      <w:r>
        <w:rPr>
          <w:rFonts w:hint="eastAsia" w:ascii="仿宋" w:hAnsi="仿宋" w:eastAsia="仿宋" w:cs="仿宋"/>
          <w:color w:val="auto"/>
          <w:sz w:val="24"/>
          <w:szCs w:val="24"/>
          <w:highlight w:val="none"/>
          <w:lang w:eastAsia="zh-CN"/>
        </w:rPr>
        <w:t>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要求和</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承诺的，或在使用中发现采购人不能容忍的缺陷等，将视为设备(产品)验收不合格，供应商应无条件免费更换或退货。</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2、若发现供应商有弄虚作假的，在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阶段故意或随意夸大设备(产品)技术性能，供应商应无条件退货，并赔偿采购人相应的损失。</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3、验收标准：按</w:t>
      </w:r>
      <w:r>
        <w:rPr>
          <w:rFonts w:hint="eastAsia" w:ascii="仿宋" w:hAnsi="仿宋" w:eastAsia="仿宋" w:cs="仿宋"/>
          <w:color w:val="auto"/>
          <w:sz w:val="24"/>
          <w:szCs w:val="24"/>
          <w:highlight w:val="none"/>
          <w:lang w:eastAsia="zh-CN"/>
        </w:rPr>
        <w:t>竞争性</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及澄清函等技术指标进行验收。各项指标均应符合验收标准及要求。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4、验收合格后，填写验收单，双方签字生效。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5、验收依据：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（1）合同文本；</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及澄清函、</w:t>
      </w:r>
      <w:r>
        <w:rPr>
          <w:rFonts w:hint="eastAsia" w:ascii="仿宋" w:hAnsi="仿宋" w:eastAsia="仿宋" w:cs="仿宋"/>
          <w:color w:val="auto"/>
          <w:sz w:val="24"/>
          <w:szCs w:val="24"/>
          <w:highlight w:val="none"/>
          <w:lang w:eastAsia="zh-CN"/>
        </w:rPr>
        <w:t>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（3）国家和行业制定的相应的标准和规范。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（4）设备(产品)验收清单（注明各部件的品名、数量、规格型号和原产地或生产厂家）。</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十五、质保及维保服务（提供售后服务承诺书）：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质保期自验收合格之日起一年，质保期内免费上门维修，终身维护。</w:t>
      </w:r>
      <w:r>
        <w:rPr>
          <w:rFonts w:hint="eastAsia" w:ascii="仿宋" w:hAnsi="仿宋" w:eastAsia="仿宋" w:cs="仿宋"/>
          <w:color w:val="auto"/>
          <w:sz w:val="24"/>
          <w:szCs w:val="24"/>
          <w:highlight w:val="none"/>
          <w:lang w:val="en-US" w:eastAsia="zh-CN"/>
        </w:rPr>
        <w:t>投标人在此项目后期的维护中，若出现系统故障，服务商应4小时内响应，48小时内到场排除故障并保证系统正常运行</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、对于存在质量问题或者短少的设备，供应商应在接到采购人的通知2个日历日内负责修复，调换、重新制作或补齐。</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、设备质量出现问题，如属于三包产品供应商应负责三包（包修、包换、包退），费用由供应商承担。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质保期内免收全部维修费用，终身维护保养并保证配件供应。在设备最终验收后的质量保证期内，供应商应对由于设计、工艺或材料的缺陷而产生的故障负责（负责解决并承担全部费用）。质保期满后如出现此类问题亦应负责。</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供应商及所投设备(产品)的生产厂商应承诺质保期、维保期的售后服务条款（包括具体的服务内容、故障响应时间、响应方式、维修措施及时限、维护响应计划等方面），未提供任何质保期、维保期的售后服务条款或提供的内容不实的以不满足</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要求对待。</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6、供应商在维护期内对采购方技术人员提供操作和维护培训，提供技术咨询服务。保修期外设备出现故障，厂家提供优于市场价的备品备件等内容的服务条款详细方案。</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十六、保密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双方须对工作中了解到的使用单位技术、机密等进行严格保密，不得向他人泄漏。</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十七、知识产权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供应商应保证</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产品及服务不会出现因第三方提出侵犯其专利权、商标权或其它知识产权而引发法律或经济纠纷，否则由供应商承担全部责任。任何被供应商用于未经授权的商业目的行为所造成的违约或侵权责任由供应商承但。</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十八、合同争议的解决：</w:t>
      </w:r>
      <w:r>
        <w:rPr>
          <w:rFonts w:hint="eastAsia" w:ascii="仿宋" w:hAnsi="仿宋" w:eastAsia="仿宋" w:cs="仿宋"/>
          <w:color w:val="auto"/>
          <w:sz w:val="24"/>
          <w:highlight w:val="none"/>
        </w:rPr>
        <w:t>合同执行中发生争议的，当事人双方应协商解决，协商达不成一致时，可向当地行政仲裁机关申请仲裁或者向人民法院提请诉讼。</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十九、</w:t>
      </w:r>
      <w:r>
        <w:rPr>
          <w:rFonts w:hint="eastAsia" w:ascii="仿宋" w:hAnsi="仿宋" w:eastAsia="仿宋" w:cs="仿宋"/>
          <w:color w:val="auto"/>
          <w:sz w:val="24"/>
          <w:highlight w:val="none"/>
        </w:rPr>
        <w:t>在发生不可抗力情况下的应对措施和解决办法。</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二十、</w:t>
      </w:r>
      <w:r>
        <w:rPr>
          <w:rFonts w:hint="eastAsia" w:ascii="仿宋" w:hAnsi="仿宋" w:eastAsia="仿宋" w:cs="仿宋"/>
          <w:color w:val="auto"/>
          <w:sz w:val="24"/>
          <w:highlight w:val="none"/>
        </w:rPr>
        <w:t>合同一经签订，不得擅自变更、中止或者终止合同。对确需变更、调整或者中止、终止合同的，应按规定履行相应的手续。</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二十一、违约责任：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依据《</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中华人民共和国政府采购法》的相关条款和本合同约定，成交供应商未全面履行合同义务或者发生违约，采购单位会同采购代理机构有权终止合同，依法向成交供应商进行经济索赔，并报请政府采购监督管理机关进行相应的行政处罚。采购单位违约的，应当赔偿给成交供应商造成的经济损失。</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2、乙方履约延误</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2-1、如乙方事先未征得甲方同意并得到甲方的谅解而单方面延迟交货，将按违约终止合同。</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在履行合同过程中，如果乙方遇到可能妨碍按时交货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的百分之零点五（0.5%）计收，直至交货或提供服务为止。误期赔偿费的最高限额为合同价格的百分之五（5%）。一旦达到误期赔偿费的最高限额，甲方可终止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3、违约终止合同：未按合同要求提供货物或质量不能满足技术要求，甲方会同监督机构有权终止合同，对乙方违约行为进行追究，同时按政府采购法的有关规定进行相应的处罚。</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二十二、其他（</w:t>
      </w:r>
      <w:r>
        <w:rPr>
          <w:rFonts w:hint="eastAsia" w:ascii="仿宋" w:hAnsi="仿宋" w:eastAsia="仿宋" w:cs="仿宋"/>
          <w:color w:val="auto"/>
          <w:sz w:val="24"/>
          <w:highlight w:val="none"/>
        </w:rPr>
        <w:t>在合同中具体明确）</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二十三、合同订立</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1、订立时间：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2、订立地点：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tabs>
          <w:tab w:val="left" w:pos="980"/>
        </w:tabs>
        <w:kinsoku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份，具有同等法律效力，双方各执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份，监管部门备案壹份、采购代理机构存档壹份。各方签字盖章后生效，合同执行完毕自动失效。（合同的服务承诺则长期有效）。</w:t>
      </w:r>
    </w:p>
    <w:p>
      <w:pPr>
        <w:tabs>
          <w:tab w:val="left" w:pos="980"/>
        </w:tabs>
        <w:kinsoku w:val="0"/>
        <w:spacing w:line="580" w:lineRule="exact"/>
        <w:ind w:firstLine="480" w:firstLineChars="200"/>
        <w:rPr>
          <w:rFonts w:hint="eastAsia" w:ascii="仿宋" w:hAnsi="仿宋" w:eastAsia="仿宋" w:cs="仿宋"/>
          <w:color w:val="auto"/>
          <w:sz w:val="24"/>
          <w:highlight w:val="none"/>
        </w:rPr>
      </w:pP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bookmarkStart w:id="76" w:name="OLE_LINK5"/>
      <w:r>
        <w:rPr>
          <w:rFonts w:hint="eastAsia" w:ascii="仿宋" w:hAnsi="仿宋" w:eastAsia="仿宋" w:cs="仿宋"/>
          <w:color w:val="auto"/>
          <w:sz w:val="24"/>
          <w:highlight w:val="none"/>
          <w:u w:val="single"/>
        </w:rPr>
        <w:t xml:space="preserve">   （盖章）         </w:t>
      </w:r>
      <w:r>
        <w:rPr>
          <w:rFonts w:hint="eastAsia" w:ascii="仿宋" w:hAnsi="仿宋" w:eastAsia="仿宋" w:cs="仿宋"/>
          <w:color w:val="auto"/>
          <w:sz w:val="24"/>
          <w:highlight w:val="none"/>
        </w:rPr>
        <w:t xml:space="preserve"> </w:t>
      </w:r>
      <w:bookmarkEnd w:id="76"/>
      <w:r>
        <w:rPr>
          <w:rFonts w:hint="eastAsia" w:ascii="仿宋" w:hAnsi="仿宋" w:eastAsia="仿宋" w:cs="仿宋"/>
          <w:color w:val="auto"/>
          <w:sz w:val="24"/>
          <w:highlight w:val="none"/>
        </w:rPr>
        <w:t xml:space="preserve">     供应商：</w:t>
      </w:r>
      <w:r>
        <w:rPr>
          <w:rFonts w:hint="eastAsia" w:ascii="仿宋" w:hAnsi="仿宋" w:eastAsia="仿宋" w:cs="仿宋"/>
          <w:color w:val="auto"/>
          <w:sz w:val="24"/>
          <w:highlight w:val="none"/>
          <w:u w:val="single"/>
        </w:rPr>
        <w:t xml:space="preserve">   （盖章）         </w:t>
      </w:r>
      <w:r>
        <w:rPr>
          <w:rFonts w:hint="eastAsia" w:ascii="仿宋" w:hAnsi="仿宋" w:eastAsia="仿宋" w:cs="仿宋"/>
          <w:color w:val="auto"/>
          <w:sz w:val="24"/>
          <w:highlight w:val="none"/>
        </w:rPr>
        <w:t xml:space="preserve"> </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地  址： </w:t>
      </w:r>
      <w:r>
        <w:rPr>
          <w:rFonts w:hint="eastAsia" w:ascii="仿宋" w:hAnsi="仿宋" w:eastAsia="仿宋" w:cs="仿宋"/>
          <w:color w:val="auto"/>
          <w:sz w:val="24"/>
          <w:highlight w:val="none"/>
          <w:u w:val="single"/>
        </w:rPr>
        <w:t xml:space="preserve">                   </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邮政编码：</w:t>
      </w:r>
      <w:r>
        <w:rPr>
          <w:rFonts w:hint="eastAsia" w:ascii="仿宋" w:hAnsi="仿宋" w:eastAsia="仿宋" w:cs="仿宋"/>
          <w:color w:val="auto"/>
          <w:sz w:val="24"/>
          <w:highlight w:val="none"/>
          <w:u w:val="single"/>
        </w:rPr>
        <w:t xml:space="preserve">                  </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                法定代表人或其授权</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的代理人：</w:t>
      </w:r>
      <w:r>
        <w:rPr>
          <w:rFonts w:hint="eastAsia" w:ascii="仿宋" w:hAnsi="仿宋" w:eastAsia="仿宋" w:cs="仿宋"/>
          <w:color w:val="auto"/>
          <w:sz w:val="24"/>
          <w:highlight w:val="none"/>
          <w:u w:val="single"/>
        </w:rPr>
        <w:t xml:space="preserve">（签字）          </w:t>
      </w:r>
      <w:r>
        <w:rPr>
          <w:rFonts w:hint="eastAsia" w:ascii="仿宋" w:hAnsi="仿宋" w:eastAsia="仿宋" w:cs="仿宋"/>
          <w:color w:val="auto"/>
          <w:sz w:val="24"/>
          <w:highlight w:val="none"/>
        </w:rPr>
        <w:t xml:space="preserve">      的代理人：</w:t>
      </w:r>
      <w:r>
        <w:rPr>
          <w:rFonts w:hint="eastAsia" w:ascii="仿宋" w:hAnsi="仿宋" w:eastAsia="仿宋" w:cs="仿宋"/>
          <w:color w:val="auto"/>
          <w:sz w:val="24"/>
          <w:highlight w:val="none"/>
          <w:u w:val="single"/>
        </w:rPr>
        <w:t xml:space="preserve">（签字）          </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账  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  话：</w:t>
      </w:r>
      <w:r>
        <w:rPr>
          <w:rFonts w:hint="eastAsia" w:ascii="仿宋" w:hAnsi="仿宋" w:eastAsia="仿宋" w:cs="仿宋"/>
          <w:color w:val="auto"/>
          <w:sz w:val="24"/>
          <w:highlight w:val="none"/>
          <w:u w:val="single"/>
        </w:rPr>
        <w:t xml:space="preserve">                    </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u w:val="single"/>
        </w:rPr>
        <w:t xml:space="preserve">                    </w:t>
      </w:r>
    </w:p>
    <w:p>
      <w:pPr>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仿宋" w:hAnsi="仿宋" w:eastAsia="仿宋" w:cs="仿宋"/>
          <w:b/>
          <w:bCs/>
          <w:color w:val="auto"/>
          <w:sz w:val="36"/>
          <w:szCs w:val="36"/>
          <w:highlight w:val="none"/>
          <w:lang w:eastAsia="zh-CN"/>
        </w:rPr>
      </w:pPr>
      <w:r>
        <w:rPr>
          <w:rFonts w:hint="eastAsia" w:ascii="仿宋" w:hAnsi="仿宋" w:eastAsia="仿宋" w:cs="仿宋"/>
          <w:color w:val="auto"/>
          <w:sz w:val="24"/>
          <w:highlight w:val="none"/>
        </w:rPr>
        <w:t>电子邮箱：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电子邮箱：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color w:val="auto"/>
          <w:sz w:val="36"/>
          <w:szCs w:val="36"/>
          <w:highlight w:val="none"/>
          <w:lang w:eastAsia="zh-CN"/>
        </w:rPr>
      </w:pPr>
    </w:p>
    <w:p>
      <w:pPr>
        <w:pStyle w:val="2"/>
        <w:rPr>
          <w:rFonts w:hint="eastAsia"/>
          <w:color w:val="auto"/>
          <w:highlight w:val="none"/>
          <w:lang w:eastAsia="zh-CN"/>
        </w:rPr>
      </w:pPr>
    </w:p>
    <w:p>
      <w:pPr>
        <w:pStyle w:val="3"/>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br w:type="page"/>
      </w:r>
      <w:bookmarkStart w:id="77" w:name="_Toc23157"/>
      <w:r>
        <w:rPr>
          <w:rFonts w:hint="eastAsia" w:ascii="仿宋" w:hAnsi="仿宋" w:eastAsia="仿宋" w:cs="仿宋"/>
          <w:b/>
          <w:bCs/>
          <w:color w:val="auto"/>
          <w:sz w:val="36"/>
          <w:szCs w:val="36"/>
          <w:highlight w:val="none"/>
          <w:lang w:eastAsia="zh-CN"/>
        </w:rPr>
        <w:t>第四章</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竞争性谈判内容及技术要求</w:t>
      </w:r>
      <w:bookmarkEnd w:id="72"/>
      <w:bookmarkEnd w:id="74"/>
      <w:bookmarkEnd w:id="75"/>
      <w:bookmarkEnd w:id="77"/>
      <w:bookmarkStart w:id="78" w:name="_Toc405191192"/>
      <w:bookmarkStart w:id="79" w:name="_Toc405358632"/>
    </w:p>
    <w:p>
      <w:pPr>
        <w:numPr>
          <w:ilvl w:val="0"/>
          <w:numId w:val="0"/>
        </w:numPr>
        <w:spacing w:line="360" w:lineRule="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bCs/>
          <w:color w:val="auto"/>
          <w:sz w:val="28"/>
          <w:szCs w:val="28"/>
          <w:highlight w:val="none"/>
          <w:lang w:eastAsia="zh-CN"/>
        </w:rPr>
      </w:pPr>
      <w:bookmarkStart w:id="80" w:name="_Toc423973078"/>
      <w:bookmarkStart w:id="81" w:name="_Toc13146"/>
      <w:r>
        <w:rPr>
          <w:rFonts w:hint="eastAsia" w:ascii="仿宋" w:hAnsi="仿宋" w:eastAsia="仿宋" w:cs="仿宋"/>
          <w:b/>
          <w:bCs/>
          <w:color w:val="auto"/>
          <w:sz w:val="28"/>
          <w:szCs w:val="28"/>
          <w:highlight w:val="none"/>
          <w:lang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莲湖区市民中心原有设备的接入能力和存储能力已经无法满足现有工作和系统扩展的要求，根据现有系统和设备实际情况进行计算和分析，对数据中心视讯采集接入存储设备进行升级，对接入数量、存储时间等进行整体升级。此次升级必须与原平台无缝对接、预留与数据中心对接的接口。</w:t>
      </w:r>
    </w:p>
    <w:bookmarkEnd w:id="80"/>
    <w:bookmarkEnd w:id="81"/>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w:t>
      </w:r>
      <w:r>
        <w:rPr>
          <w:rFonts w:hint="eastAsia" w:ascii="仿宋" w:hAnsi="仿宋" w:eastAsia="仿宋"/>
          <w:b/>
          <w:color w:val="auto"/>
          <w:sz w:val="28"/>
          <w:szCs w:val="28"/>
          <w:highlight w:val="none"/>
        </w:rPr>
        <w:t>采购内容</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4"/>
        <w:gridCol w:w="1559"/>
        <w:gridCol w:w="5251"/>
        <w:gridCol w:w="982"/>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376" w:type="pc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序号</w:t>
            </w:r>
          </w:p>
        </w:tc>
        <w:tc>
          <w:tcPr>
            <w:tcW w:w="857" w:type="pc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产品类别</w:t>
            </w:r>
          </w:p>
        </w:tc>
        <w:tc>
          <w:tcPr>
            <w:tcW w:w="2887" w:type="pc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技术规格</w:t>
            </w:r>
          </w:p>
        </w:tc>
        <w:tc>
          <w:tcPr>
            <w:tcW w:w="540" w:type="pc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单位</w:t>
            </w:r>
          </w:p>
        </w:tc>
        <w:tc>
          <w:tcPr>
            <w:tcW w:w="337" w:type="pc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0" w:hRule="atLeast"/>
        </w:trPr>
        <w:tc>
          <w:tcPr>
            <w:tcW w:w="376" w:type="pc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857" w:type="pc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接入存储设备</w:t>
            </w:r>
          </w:p>
        </w:tc>
        <w:tc>
          <w:tcPr>
            <w:tcW w:w="2887" w:type="pct"/>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单设备应配置64位多核处理器，</w:t>
            </w:r>
            <w:r>
              <w:rPr>
                <w:rFonts w:hint="eastAsia" w:ascii="仿宋" w:hAnsi="仿宋" w:eastAsia="仿宋" w:cs="仿宋"/>
                <w:color w:val="auto"/>
                <w:sz w:val="24"/>
                <w:szCs w:val="24"/>
                <w:highlight w:val="none"/>
                <w:lang w:eastAsia="zh-CN"/>
              </w:rPr>
              <w:t>高速缓存≥</w:t>
            </w:r>
            <w:r>
              <w:rPr>
                <w:rFonts w:hint="eastAsia" w:ascii="仿宋" w:hAnsi="仿宋" w:eastAsia="仿宋" w:cs="仿宋"/>
                <w:color w:val="auto"/>
                <w:sz w:val="24"/>
                <w:szCs w:val="24"/>
                <w:highlight w:val="none"/>
                <w:lang w:val="en-US" w:eastAsia="zh-CN"/>
              </w:rPr>
              <w:t>4GB</w:t>
            </w:r>
            <w:r>
              <w:rPr>
                <w:rFonts w:hint="eastAsia" w:ascii="仿宋" w:hAnsi="仿宋" w:eastAsia="仿宋" w:cs="仿宋"/>
                <w:color w:val="auto"/>
                <w:sz w:val="24"/>
                <w:szCs w:val="24"/>
                <w:highlight w:val="none"/>
              </w:rPr>
              <w:t>，内存支持扩展到≥64GB，需配置冗余金牌电源，支持双系统</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单设备应标配≥2个千兆网口，可增扩≥4个万兆口或≥8个光纤接口或增配≥4个HDMI接口或≥2个SAS3.0接口，可扩展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2个SSD固态硬盘</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★应支持FCSAN、IPSAN、NAS存储功能</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可接入2T/3T/4T/6T/8T/10TSATA磁盘，支持磁盘交错启动和漫游，并支持在线热插拔；</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可接入硬盘≥72块，支持SATA和SAS混插，并支持≥12级扩展柜级联扩展，出厂自带72块6T企业级硬盘；</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应能提供RAID0、1、3、5、6、10、50，60、JBOD、RAIDErasingCode、Raid5EE模式，支持全局、局部等多种热备选择，支持坏盘自动重构；</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应能接入并存储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1880Mbps视频图像，同时转发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1880Mbps的视频图像；同时回放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512Mbps的视频图像；</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600MBps图片并发输入，同时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600MBps图片并发输出</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★在RAID内丢失2块（含）以上硬盘但至少有1块正常磁盘时，无需等待丢失盘恢复，保留的硬盘中的数据可正常读出，且新数据可正常写入</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★设备可同时支持视频、图片、智能流和文件直写存储</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支持多路文件采用非NAS方式直接上传存储，且速度可设置</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具有ONVIF、PSIA、TCP/IP、UDP、SIP、RTSP、RTP、RTCP、iSCSI、CIFS(SMB)、NFS、FTP、HTTP、AFP、RSYNC、SNMP、IPV4、IPV6设置选项，支持IP组播</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★可对指定的录像段或指定事件的1个或多个前端的不同时间段的录像段添加标签，并自动备份到存档卷中，使之不会被覆盖删除</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★可根据事件名称查询所有相关联的不同前端或时间的录像段并进行回放和下载</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可通过浏览器对一台、多台样机或扩展柜中的磁盘</w:t>
            </w:r>
            <w:r>
              <w:rPr>
                <w:rFonts w:hint="eastAsia" w:ascii="仿宋" w:hAnsi="仿宋" w:eastAsia="仿宋" w:cs="仿宋"/>
                <w:color w:val="auto"/>
                <w:sz w:val="24"/>
                <w:szCs w:val="24"/>
                <w:highlight w:val="none"/>
              </w:rPr>
              <w:t>进行定位，使对应的磁盘指示灯闪烁，闪烁的时长可设</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i w:val="0"/>
                <w:color w:val="auto"/>
                <w:sz w:val="24"/>
                <w:szCs w:val="24"/>
                <w:highlight w:val="none"/>
                <w:u w:val="none"/>
                <w:lang w:eastAsia="zh-CN"/>
              </w:rPr>
            </w:pPr>
            <w:r>
              <w:rPr>
                <w:rFonts w:hint="eastAsia" w:ascii="仿宋" w:hAnsi="仿宋" w:eastAsia="仿宋" w:cs="仿宋"/>
                <w:color w:val="auto"/>
                <w:sz w:val="24"/>
                <w:szCs w:val="24"/>
                <w:highlight w:val="none"/>
              </w:rPr>
              <w:t>★为保证系统的稳定性，要求新增加的设备和原系统可以无缝对接</w:t>
            </w:r>
            <w:r>
              <w:rPr>
                <w:rFonts w:hint="eastAsia" w:ascii="仿宋" w:hAnsi="仿宋" w:eastAsia="仿宋" w:cs="仿宋"/>
                <w:color w:val="auto"/>
                <w:sz w:val="24"/>
                <w:szCs w:val="24"/>
                <w:highlight w:val="none"/>
                <w:lang w:eastAsia="zh-CN"/>
              </w:rPr>
              <w:t>。</w:t>
            </w:r>
          </w:p>
        </w:tc>
        <w:tc>
          <w:tcPr>
            <w:tcW w:w="540" w:type="pc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台</w:t>
            </w:r>
          </w:p>
        </w:tc>
        <w:tc>
          <w:tcPr>
            <w:tcW w:w="337" w:type="pc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376" w:type="pct"/>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857" w:type="pc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辅材及数据连接</w:t>
            </w:r>
          </w:p>
        </w:tc>
        <w:tc>
          <w:tcPr>
            <w:tcW w:w="2887" w:type="pc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电源线、网线、数据线等\光纤\以及横纵向数据汇总</w:t>
            </w:r>
          </w:p>
        </w:tc>
        <w:tc>
          <w:tcPr>
            <w:tcW w:w="540" w:type="pc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批</w:t>
            </w:r>
          </w:p>
        </w:tc>
        <w:tc>
          <w:tcPr>
            <w:tcW w:w="337" w:type="pc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r>
    </w:tbl>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lang w:val="en-US" w:eastAsia="zh-CN"/>
        </w:rPr>
        <w:t>技术</w:t>
      </w:r>
      <w:r>
        <w:rPr>
          <w:rFonts w:hint="eastAsia" w:ascii="仿宋" w:hAnsi="仿宋" w:eastAsia="仿宋" w:cs="仿宋"/>
          <w:b/>
          <w:bCs/>
          <w:color w:val="auto"/>
          <w:sz w:val="28"/>
          <w:szCs w:val="28"/>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1、对原有网络接入和存储设备数据进行梳理和配置优化，重新分配存储计划和配额。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2、新增设备，将原有存储设备并入配额序列，重新分配接入数据的存储计划，达到存储要求。所有新增网络存储设备接入原有平台统一管理，并支持平台原有接入数据的导入存储。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3、对原有存储接入线路进行优化，提升稳定性和数据传输速度。</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1.供应商提供完整、可行的培训方案，明确具体培训方式、时间、地点、教员、对象以及培训内容。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3.供应商售后服务承诺详细、具体，满足用户要求，明确项目技术支持人员、免费服务年限、故障处理时限、现场服务条件及到位时间。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4.在合同执行过程中需要供应商应执行货物标准或应当履行的相关货物售后义务。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default" w:ascii="仿宋" w:hAnsi="仿宋" w:eastAsia="仿宋" w:cs="仿宋"/>
          <w:b w:val="0"/>
          <w:bCs w:val="0"/>
          <w:color w:val="auto"/>
          <w:sz w:val="24"/>
          <w:szCs w:val="24"/>
          <w:highlight w:val="none"/>
          <w:lang w:val="en-US" w:eastAsia="zh-CN"/>
        </w:rPr>
        <w:t>根据服务内容要求，确定</w:t>
      </w:r>
      <w:r>
        <w:rPr>
          <w:rFonts w:hint="eastAsia" w:ascii="仿宋" w:hAnsi="仿宋" w:eastAsia="仿宋" w:cs="仿宋"/>
          <w:b w:val="0"/>
          <w:bCs w:val="0"/>
          <w:color w:val="auto"/>
          <w:sz w:val="24"/>
          <w:szCs w:val="24"/>
          <w:highlight w:val="none"/>
          <w:lang w:val="en-US" w:eastAsia="zh-CN"/>
        </w:rPr>
        <w:t>供货</w:t>
      </w:r>
      <w:r>
        <w:rPr>
          <w:rFonts w:hint="default" w:ascii="仿宋" w:hAnsi="仿宋" w:eastAsia="仿宋" w:cs="仿宋"/>
          <w:b w:val="0"/>
          <w:bCs w:val="0"/>
          <w:color w:val="auto"/>
          <w:sz w:val="24"/>
          <w:szCs w:val="24"/>
          <w:highlight w:val="none"/>
          <w:lang w:val="en-US" w:eastAsia="zh-CN"/>
        </w:rPr>
        <w:t>期为25个日历日，项目完工后进入合同验收和办理竣工验收手续。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default" w:ascii="仿宋" w:hAnsi="仿宋" w:eastAsia="仿宋" w:cs="仿宋"/>
          <w:b w:val="0"/>
          <w:bCs w:val="0"/>
          <w:color w:val="auto"/>
          <w:sz w:val="24"/>
          <w:szCs w:val="24"/>
          <w:highlight w:val="none"/>
          <w:lang w:val="en-US" w:eastAsia="zh-CN"/>
        </w:rPr>
        <w:t>质保期自验收合格之日起一年，质保期内免费上门维修，终身维护。</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在此项目后期的维护中，若出现系统故障，服务商应4小时内响应，48小时内到场排除故障并保证系统正常运行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r>
        <w:rPr>
          <w:rFonts w:hint="default" w:ascii="仿宋" w:hAnsi="仿宋" w:eastAsia="仿宋" w:cs="仿宋"/>
          <w:b w:val="0"/>
          <w:bCs w:val="0"/>
          <w:color w:val="auto"/>
          <w:sz w:val="24"/>
          <w:szCs w:val="24"/>
          <w:highlight w:val="none"/>
          <w:lang w:val="en-US" w:eastAsia="zh-CN"/>
        </w:rPr>
        <w:t>供应商在维护期内对采购方技术人员提供操作和维护培训，提供技术咨询服务。保修期外设备出现故障，厂家提供优于市场价的备品备件等内容的服务条款详细方案。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r>
        <w:rPr>
          <w:rFonts w:hint="default" w:ascii="仿宋" w:hAnsi="仿宋" w:eastAsia="仿宋" w:cs="仿宋"/>
          <w:b w:val="0"/>
          <w:bCs w:val="0"/>
          <w:color w:val="auto"/>
          <w:sz w:val="24"/>
          <w:szCs w:val="24"/>
          <w:highlight w:val="none"/>
          <w:lang w:val="en-US" w:eastAsia="zh-CN"/>
        </w:rPr>
        <w:t>提供现场技术培训服务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r>
        <w:rPr>
          <w:rFonts w:hint="default" w:ascii="仿宋" w:hAnsi="仿宋" w:eastAsia="仿宋" w:cs="仿宋"/>
          <w:b w:val="0"/>
          <w:bCs w:val="0"/>
          <w:color w:val="auto"/>
          <w:sz w:val="24"/>
          <w:szCs w:val="24"/>
          <w:highlight w:val="none"/>
          <w:lang w:val="en-US" w:eastAsia="zh-CN"/>
        </w:rPr>
        <w:t>质量验收标准或规范</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依据现行的国家标准或国家行政部门颁布的法律法规、规章制度等。没有国家标准的，可以参考行业标准。</w:t>
      </w:r>
    </w:p>
    <w:p>
      <w:pPr>
        <w:numPr>
          <w:ilvl w:val="0"/>
          <w:numId w:val="0"/>
        </w:numPr>
        <w:spacing w:line="360" w:lineRule="auto"/>
        <w:rPr>
          <w:rFonts w:hint="eastAsia" w:ascii="仿宋" w:hAnsi="仿宋" w:eastAsia="仿宋" w:cs="仿宋"/>
          <w:b/>
          <w:bCs/>
          <w:color w:val="auto"/>
          <w:sz w:val="24"/>
          <w:szCs w:val="24"/>
          <w:highlight w:val="none"/>
          <w:lang w:eastAsia="zh-CN"/>
        </w:rPr>
      </w:pPr>
    </w:p>
    <w:p>
      <w:pPr>
        <w:numPr>
          <w:ilvl w:val="0"/>
          <w:numId w:val="0"/>
        </w:numPr>
        <w:spacing w:line="360" w:lineRule="auto"/>
        <w:rPr>
          <w:rFonts w:hint="eastAsia" w:ascii="仿宋" w:hAnsi="仿宋" w:eastAsia="仿宋" w:cs="仿宋"/>
          <w:b/>
          <w:bCs/>
          <w:color w:val="auto"/>
          <w:sz w:val="24"/>
          <w:szCs w:val="24"/>
          <w:highlight w:val="none"/>
          <w:lang w:eastAsia="zh-CN"/>
        </w:rPr>
      </w:pPr>
    </w:p>
    <w:p>
      <w:pPr>
        <w:numPr>
          <w:ilvl w:val="0"/>
          <w:numId w:val="0"/>
        </w:numPr>
        <w:spacing w:line="360" w:lineRule="auto"/>
        <w:rPr>
          <w:rFonts w:hint="eastAsia" w:ascii="仿宋" w:hAnsi="仿宋" w:eastAsia="仿宋" w:cs="仿宋"/>
          <w:b/>
          <w:bCs/>
          <w:color w:val="auto"/>
          <w:sz w:val="24"/>
          <w:szCs w:val="24"/>
          <w:highlight w:val="none"/>
          <w:lang w:eastAsia="zh-CN"/>
        </w:rPr>
      </w:pPr>
    </w:p>
    <w:p>
      <w:pPr>
        <w:numPr>
          <w:ilvl w:val="0"/>
          <w:numId w:val="0"/>
        </w:numPr>
        <w:spacing w:line="360" w:lineRule="auto"/>
        <w:rPr>
          <w:rFonts w:hint="eastAsia" w:ascii="仿宋" w:hAnsi="仿宋" w:eastAsia="仿宋" w:cs="仿宋"/>
          <w:b/>
          <w:bCs/>
          <w:color w:val="auto"/>
          <w:sz w:val="24"/>
          <w:szCs w:val="24"/>
          <w:highlight w:val="none"/>
          <w:lang w:eastAsia="zh-CN"/>
        </w:rPr>
      </w:pPr>
    </w:p>
    <w:p>
      <w:pPr>
        <w:numPr>
          <w:ilvl w:val="0"/>
          <w:numId w:val="0"/>
        </w:numPr>
        <w:spacing w:line="360" w:lineRule="auto"/>
        <w:rPr>
          <w:rFonts w:hint="eastAsia" w:ascii="仿宋" w:hAnsi="仿宋" w:eastAsia="仿宋" w:cs="仿宋"/>
          <w:b/>
          <w:bCs/>
          <w:color w:val="auto"/>
          <w:sz w:val="24"/>
          <w:szCs w:val="24"/>
          <w:highlight w:val="none"/>
          <w:lang w:eastAsia="zh-CN"/>
        </w:rPr>
      </w:pPr>
    </w:p>
    <w:p>
      <w:pPr>
        <w:numPr>
          <w:ilvl w:val="0"/>
          <w:numId w:val="0"/>
        </w:numPr>
        <w:spacing w:line="360" w:lineRule="auto"/>
        <w:rPr>
          <w:rFonts w:hint="eastAsia" w:ascii="仿宋" w:hAnsi="仿宋" w:eastAsia="仿宋" w:cs="仿宋"/>
          <w:b/>
          <w:bCs/>
          <w:color w:val="auto"/>
          <w:sz w:val="24"/>
          <w:szCs w:val="24"/>
          <w:highlight w:val="none"/>
          <w:lang w:eastAsia="zh-CN"/>
        </w:rPr>
      </w:pPr>
    </w:p>
    <w:p>
      <w:pPr>
        <w:numPr>
          <w:ilvl w:val="0"/>
          <w:numId w:val="0"/>
        </w:numPr>
        <w:spacing w:line="360" w:lineRule="auto"/>
        <w:rPr>
          <w:rFonts w:hint="eastAsia" w:ascii="仿宋" w:hAnsi="仿宋" w:eastAsia="仿宋" w:cs="仿宋"/>
          <w:b/>
          <w:bCs/>
          <w:color w:val="auto"/>
          <w:sz w:val="24"/>
          <w:szCs w:val="24"/>
          <w:highlight w:val="none"/>
          <w:lang w:eastAsia="zh-CN"/>
        </w:rPr>
      </w:pPr>
    </w:p>
    <w:p>
      <w:pPr>
        <w:numPr>
          <w:ilvl w:val="0"/>
          <w:numId w:val="0"/>
        </w:numPr>
        <w:spacing w:line="360" w:lineRule="auto"/>
        <w:rPr>
          <w:rFonts w:hint="eastAsia" w:ascii="仿宋" w:hAnsi="仿宋" w:eastAsia="仿宋" w:cs="仿宋"/>
          <w:b/>
          <w:bCs/>
          <w:color w:val="auto"/>
          <w:sz w:val="24"/>
          <w:szCs w:val="24"/>
          <w:highlight w:val="none"/>
          <w:lang w:eastAsia="zh-CN"/>
        </w:rPr>
      </w:pPr>
    </w:p>
    <w:p>
      <w:pPr>
        <w:numPr>
          <w:ilvl w:val="0"/>
          <w:numId w:val="0"/>
        </w:numPr>
        <w:spacing w:line="360" w:lineRule="auto"/>
        <w:rPr>
          <w:rFonts w:hint="eastAsia" w:ascii="仿宋" w:hAnsi="仿宋" w:eastAsia="仿宋" w:cs="仿宋"/>
          <w:b/>
          <w:bCs/>
          <w:color w:val="auto"/>
          <w:sz w:val="24"/>
          <w:szCs w:val="24"/>
          <w:highlight w:val="none"/>
          <w:lang w:eastAsia="zh-CN"/>
        </w:rPr>
      </w:pPr>
    </w:p>
    <w:p>
      <w:pPr>
        <w:numPr>
          <w:ilvl w:val="0"/>
          <w:numId w:val="0"/>
        </w:numPr>
        <w:spacing w:line="360" w:lineRule="auto"/>
        <w:rPr>
          <w:rFonts w:hint="eastAsia" w:ascii="仿宋" w:hAnsi="仿宋" w:eastAsia="仿宋" w:cs="仿宋"/>
          <w:b/>
          <w:bCs/>
          <w:color w:val="auto"/>
          <w:sz w:val="24"/>
          <w:szCs w:val="24"/>
          <w:highlight w:val="none"/>
          <w:lang w:eastAsia="zh-CN"/>
        </w:rPr>
      </w:pPr>
    </w:p>
    <w:p>
      <w:pPr>
        <w:numPr>
          <w:ilvl w:val="0"/>
          <w:numId w:val="0"/>
        </w:numPr>
        <w:spacing w:line="360" w:lineRule="auto"/>
        <w:rPr>
          <w:rFonts w:hint="eastAsia" w:ascii="仿宋" w:hAnsi="仿宋" w:eastAsia="仿宋" w:cs="仿宋"/>
          <w:b/>
          <w:bCs/>
          <w:color w:val="auto"/>
          <w:sz w:val="24"/>
          <w:szCs w:val="24"/>
          <w:highlight w:val="none"/>
          <w:lang w:eastAsia="zh-CN"/>
        </w:rPr>
      </w:pPr>
    </w:p>
    <w:p>
      <w:pPr>
        <w:pStyle w:val="2"/>
        <w:rPr>
          <w:rFonts w:hint="eastAsia" w:ascii="仿宋" w:hAnsi="仿宋" w:eastAsia="仿宋" w:cs="仿宋"/>
          <w:b/>
          <w:bCs/>
          <w:color w:val="auto"/>
          <w:sz w:val="24"/>
          <w:szCs w:val="24"/>
          <w:highlight w:val="none"/>
          <w:lang w:eastAsia="zh-CN"/>
        </w:rPr>
      </w:pPr>
    </w:p>
    <w:p>
      <w:pPr>
        <w:pStyle w:val="2"/>
        <w:rPr>
          <w:rFonts w:hint="eastAsia" w:ascii="仿宋" w:hAnsi="仿宋" w:eastAsia="仿宋" w:cs="仿宋"/>
          <w:b/>
          <w:bCs/>
          <w:color w:val="auto"/>
          <w:sz w:val="24"/>
          <w:szCs w:val="24"/>
          <w:highlight w:val="none"/>
          <w:lang w:eastAsia="zh-CN"/>
        </w:rPr>
      </w:pPr>
    </w:p>
    <w:p>
      <w:pPr>
        <w:pStyle w:val="2"/>
        <w:rPr>
          <w:rFonts w:hint="eastAsia" w:ascii="仿宋" w:hAnsi="仿宋" w:eastAsia="仿宋" w:cs="仿宋"/>
          <w:b/>
          <w:bCs/>
          <w:color w:val="auto"/>
          <w:sz w:val="24"/>
          <w:szCs w:val="24"/>
          <w:highlight w:val="none"/>
          <w:lang w:eastAsia="zh-CN"/>
        </w:rPr>
      </w:pPr>
    </w:p>
    <w:p>
      <w:pPr>
        <w:pStyle w:val="2"/>
        <w:rPr>
          <w:rFonts w:hint="eastAsia" w:ascii="仿宋" w:hAnsi="仿宋" w:eastAsia="仿宋" w:cs="仿宋"/>
          <w:b/>
          <w:bCs/>
          <w:color w:val="auto"/>
          <w:sz w:val="24"/>
          <w:szCs w:val="24"/>
          <w:highlight w:val="none"/>
          <w:lang w:eastAsia="zh-CN"/>
        </w:rPr>
      </w:pPr>
    </w:p>
    <w:p>
      <w:pPr>
        <w:numPr>
          <w:ilvl w:val="0"/>
          <w:numId w:val="0"/>
        </w:numPr>
        <w:spacing w:line="360" w:lineRule="auto"/>
        <w:rPr>
          <w:rFonts w:hint="eastAsia" w:ascii="仿宋" w:hAnsi="仿宋" w:eastAsia="仿宋" w:cs="仿宋"/>
          <w:b/>
          <w:bCs/>
          <w:color w:val="auto"/>
          <w:sz w:val="24"/>
          <w:szCs w:val="24"/>
          <w:highlight w:val="none"/>
          <w:lang w:eastAsia="zh-CN"/>
        </w:rPr>
      </w:pPr>
    </w:p>
    <w:p>
      <w:pPr>
        <w:numPr>
          <w:ilvl w:val="0"/>
          <w:numId w:val="0"/>
        </w:numPr>
        <w:spacing w:line="360" w:lineRule="auto"/>
        <w:rPr>
          <w:rFonts w:hint="eastAsia" w:ascii="仿宋" w:hAnsi="仿宋" w:eastAsia="仿宋" w:cs="仿宋"/>
          <w:b/>
          <w:bCs/>
          <w:color w:val="auto"/>
          <w:sz w:val="24"/>
          <w:szCs w:val="24"/>
          <w:highlight w:val="none"/>
          <w:lang w:eastAsia="zh-CN"/>
        </w:rPr>
      </w:pPr>
    </w:p>
    <w:p>
      <w:pPr>
        <w:numPr>
          <w:ilvl w:val="0"/>
          <w:numId w:val="0"/>
        </w:numPr>
        <w:spacing w:line="360" w:lineRule="auto"/>
        <w:rPr>
          <w:rFonts w:hint="eastAsia" w:ascii="仿宋" w:hAnsi="仿宋" w:eastAsia="仿宋" w:cs="仿宋"/>
          <w:b/>
          <w:bCs/>
          <w:color w:val="auto"/>
          <w:sz w:val="24"/>
          <w:szCs w:val="24"/>
          <w:highlight w:val="none"/>
          <w:lang w:eastAsia="zh-CN"/>
        </w:rPr>
      </w:pPr>
    </w:p>
    <w:bookmarkEnd w:id="78"/>
    <w:p>
      <w:pPr>
        <w:pStyle w:val="3"/>
        <w:numPr>
          <w:ilvl w:val="0"/>
          <w:numId w:val="8"/>
        </w:numPr>
        <w:rPr>
          <w:rFonts w:hint="eastAsia" w:ascii="仿宋" w:hAnsi="仿宋" w:eastAsia="仿宋" w:cs="仿宋"/>
          <w:b/>
          <w:bCs/>
          <w:color w:val="auto"/>
          <w:sz w:val="36"/>
          <w:szCs w:val="36"/>
          <w:highlight w:val="none"/>
          <w:lang w:eastAsia="zh-CN"/>
        </w:rPr>
      </w:pPr>
      <w:bookmarkStart w:id="82" w:name="_Toc370906268"/>
      <w:bookmarkStart w:id="83" w:name="_Toc389568492"/>
      <w:bookmarkStart w:id="84" w:name="_Toc425781312"/>
      <w:bookmarkStart w:id="85" w:name="_Toc19442"/>
      <w:bookmarkStart w:id="86" w:name="_Toc393281139"/>
      <w:bookmarkStart w:id="87" w:name="_Toc26400"/>
      <w:bookmarkStart w:id="88" w:name="_Toc389836557"/>
      <w:bookmarkStart w:id="89" w:name="_Toc393284674"/>
      <w:bookmarkStart w:id="90" w:name="_Toc405191193"/>
      <w:bookmarkStart w:id="91" w:name="_Toc393284381"/>
      <w:bookmarkStart w:id="92" w:name="_Toc393281140"/>
      <w:bookmarkStart w:id="93" w:name="_Toc393284382"/>
      <w:bookmarkStart w:id="94" w:name="_Toc370906269"/>
      <w:bookmarkStart w:id="95" w:name="_Toc393284675"/>
      <w:bookmarkStart w:id="96" w:name="_Toc393371572"/>
      <w:bookmarkStart w:id="97" w:name="_Toc389568493"/>
      <w:bookmarkStart w:id="98" w:name="_Toc393285042"/>
      <w:bookmarkStart w:id="99" w:name="_Toc389836558"/>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lang w:eastAsia="zh-CN"/>
        </w:rPr>
        <w:t>评审方法</w:t>
      </w:r>
      <w:bookmarkEnd w:id="79"/>
      <w:bookmarkEnd w:id="82"/>
      <w:bookmarkEnd w:id="83"/>
      <w:bookmarkEnd w:id="84"/>
      <w:bookmarkEnd w:id="85"/>
      <w:bookmarkEnd w:id="86"/>
      <w:bookmarkEnd w:id="87"/>
      <w:bookmarkEnd w:id="88"/>
      <w:bookmarkEnd w:id="89"/>
      <w:bookmarkEnd w:id="90"/>
      <w:bookmarkEnd w:id="91"/>
    </w:p>
    <w:p>
      <w:pPr>
        <w:numPr>
          <w:ilvl w:val="0"/>
          <w:numId w:val="0"/>
        </w:numPr>
        <w:rPr>
          <w:rFonts w:hint="eastAsia" w:ascii="仿宋" w:hAnsi="仿宋" w:eastAsia="仿宋" w:cs="仿宋"/>
          <w:color w:val="auto"/>
          <w:highlight w:val="none"/>
          <w:lang w:eastAsia="zh-CN"/>
        </w:rPr>
      </w:pPr>
    </w:p>
    <w:bookmarkEnd w:id="92"/>
    <w:bookmarkEnd w:id="93"/>
    <w:bookmarkEnd w:id="94"/>
    <w:bookmarkEnd w:id="95"/>
    <w:bookmarkEnd w:id="96"/>
    <w:bookmarkEnd w:id="97"/>
    <w:bookmarkEnd w:id="98"/>
    <w:bookmarkEnd w:id="99"/>
    <w:p>
      <w:pPr>
        <w:keepNext w:val="0"/>
        <w:keepLines w:val="0"/>
        <w:pageBreakBefore w:val="0"/>
        <w:widowControl w:val="0"/>
        <w:kinsoku/>
        <w:wordWrap/>
        <w:overflowPunct/>
        <w:topLinePunct w:val="0"/>
        <w:autoSpaceDE/>
        <w:autoSpaceDN/>
        <w:bidi w:val="0"/>
        <w:adjustRightInd/>
        <w:snapToGrid/>
        <w:spacing w:after="120" w:afterLines="50" w:line="360" w:lineRule="auto"/>
        <w:ind w:left="0" w:leftChars="0" w:right="0" w:rightChars="0"/>
        <w:textAlignment w:val="auto"/>
        <w:outlineLvl w:val="1"/>
        <w:rPr>
          <w:rFonts w:hint="eastAsia" w:ascii="仿宋" w:hAnsi="仿宋" w:eastAsia="仿宋" w:cs="仿宋"/>
          <w:b/>
          <w:color w:val="auto"/>
          <w:kern w:val="0"/>
          <w:sz w:val="24"/>
          <w:szCs w:val="24"/>
          <w:highlight w:val="none"/>
        </w:rPr>
      </w:pPr>
      <w:bookmarkStart w:id="100" w:name="_Toc9753"/>
      <w:r>
        <w:rPr>
          <w:rFonts w:hint="eastAsia" w:ascii="仿宋" w:hAnsi="仿宋" w:eastAsia="仿宋" w:cs="仿宋"/>
          <w:b/>
          <w:color w:val="auto"/>
          <w:kern w:val="0"/>
          <w:sz w:val="24"/>
          <w:szCs w:val="24"/>
          <w:highlight w:val="none"/>
        </w:rPr>
        <w:t>一．评审方法</w:t>
      </w:r>
      <w:bookmarkEnd w:id="10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按照</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中华人民共和国</w:t>
      </w:r>
      <w:r>
        <w:rPr>
          <w:rFonts w:hint="eastAsia" w:ascii="仿宋" w:hAnsi="仿宋" w:eastAsia="仿宋" w:cs="仿宋"/>
          <w:color w:val="auto"/>
          <w:spacing w:val="4"/>
          <w:sz w:val="24"/>
          <w:szCs w:val="24"/>
          <w:highlight w:val="none"/>
          <w:lang w:eastAsia="zh-CN"/>
        </w:rPr>
        <w:t>政府采购法》及实施条例</w:t>
      </w:r>
      <w:r>
        <w:rPr>
          <w:rFonts w:hint="eastAsia" w:ascii="仿宋" w:hAnsi="仿宋" w:eastAsia="仿宋" w:cs="仿宋"/>
          <w:color w:val="auto"/>
          <w:spacing w:val="4"/>
          <w:sz w:val="24"/>
          <w:szCs w:val="24"/>
          <w:highlight w:val="none"/>
        </w:rPr>
        <w:t>、</w:t>
      </w:r>
      <w:r>
        <w:rPr>
          <w:rFonts w:hint="eastAsia" w:ascii="仿宋" w:hAnsi="仿宋" w:eastAsia="仿宋" w:cs="仿宋"/>
          <w:color w:val="auto"/>
          <w:sz w:val="24"/>
          <w:szCs w:val="24"/>
          <w:highlight w:val="none"/>
        </w:rPr>
        <w:t>中华人民共和国财政部令第74号--《政府采购非招标采购方式管理办法》</w:t>
      </w:r>
      <w:r>
        <w:rPr>
          <w:rFonts w:hint="eastAsia" w:ascii="仿宋" w:hAnsi="仿宋" w:eastAsia="仿宋" w:cs="仿宋"/>
          <w:color w:val="auto"/>
          <w:spacing w:val="4"/>
          <w:sz w:val="24"/>
          <w:szCs w:val="24"/>
          <w:highlight w:val="none"/>
        </w:rPr>
        <w:t>的规定，本次评审采用最低评标价法，</w:t>
      </w:r>
      <w:r>
        <w:rPr>
          <w:rFonts w:hint="eastAsia" w:ascii="仿宋" w:hAnsi="仿宋" w:eastAsia="仿宋" w:cs="仿宋"/>
          <w:color w:val="auto"/>
          <w:sz w:val="24"/>
          <w:szCs w:val="24"/>
          <w:highlight w:val="none"/>
        </w:rPr>
        <w:t>即质量和服务均能满足谈判文件要求的供应商中，按照最后报价由低到高的顺序依次排序，推荐</w:t>
      </w:r>
      <w:r>
        <w:rPr>
          <w:rFonts w:hint="eastAsia" w:ascii="仿宋" w:hAnsi="仿宋" w:eastAsia="仿宋" w:cs="仿宋"/>
          <w:color w:val="auto"/>
          <w:sz w:val="24"/>
          <w:szCs w:val="24"/>
          <w:highlight w:val="none"/>
          <w:lang w:val="en-US" w:eastAsia="zh-CN"/>
        </w:rPr>
        <w:t>3名</w:t>
      </w:r>
      <w:r>
        <w:rPr>
          <w:rFonts w:hint="eastAsia" w:ascii="仿宋" w:hAnsi="仿宋" w:eastAsia="仿宋" w:cs="仿宋"/>
          <w:color w:val="auto"/>
          <w:sz w:val="24"/>
          <w:szCs w:val="24"/>
          <w:highlight w:val="none"/>
        </w:rPr>
        <w:t>成交候选人。</w:t>
      </w:r>
    </w:p>
    <w:p>
      <w:pPr>
        <w:keepNext w:val="0"/>
        <w:keepLines w:val="0"/>
        <w:pageBreakBefore w:val="0"/>
        <w:widowControl w:val="0"/>
        <w:kinsoku/>
        <w:wordWrap/>
        <w:overflowPunct/>
        <w:topLinePunct w:val="0"/>
        <w:autoSpaceDE/>
        <w:autoSpaceDN/>
        <w:bidi w:val="0"/>
        <w:spacing w:line="360" w:lineRule="auto"/>
        <w:textAlignment w:val="auto"/>
        <w:outlineLvl w:val="1"/>
        <w:rPr>
          <w:rFonts w:hint="eastAsia" w:ascii="仿宋" w:hAnsi="仿宋" w:eastAsia="仿宋" w:cs="仿宋"/>
          <w:b/>
          <w:color w:val="auto"/>
          <w:sz w:val="24"/>
          <w:szCs w:val="24"/>
          <w:highlight w:val="none"/>
          <w:lang w:eastAsia="zh-CN"/>
        </w:rPr>
      </w:pPr>
      <w:bookmarkStart w:id="101" w:name="_Toc25413"/>
      <w:bookmarkStart w:id="102" w:name="_Toc370906270"/>
      <w:r>
        <w:rPr>
          <w:rFonts w:hint="eastAsia" w:ascii="仿宋" w:hAnsi="仿宋" w:eastAsia="仿宋" w:cs="仿宋"/>
          <w:b/>
          <w:color w:val="auto"/>
          <w:sz w:val="24"/>
          <w:szCs w:val="24"/>
          <w:highlight w:val="none"/>
          <w:lang w:eastAsia="zh-CN"/>
        </w:rPr>
        <w:t>二、评审标准</w:t>
      </w:r>
      <w:bookmarkEnd w:id="101"/>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2" w:firstLineChars="196"/>
        <w:textAlignment w:val="auto"/>
        <w:outlineLvl w:val="2"/>
        <w:rPr>
          <w:rFonts w:hint="eastAsia" w:ascii="仿宋" w:hAnsi="仿宋" w:eastAsia="仿宋" w:cs="仿宋"/>
          <w:b/>
          <w:color w:val="auto"/>
          <w:sz w:val="24"/>
          <w:szCs w:val="24"/>
          <w:highlight w:val="none"/>
          <w:lang w:eastAsia="zh-CN"/>
        </w:rPr>
      </w:pPr>
      <w:bookmarkStart w:id="103" w:name="_Toc8652"/>
      <w:r>
        <w:rPr>
          <w:rFonts w:hint="eastAsia" w:ascii="仿宋" w:hAnsi="仿宋" w:eastAsia="仿宋" w:cs="仿宋"/>
          <w:b/>
          <w:color w:val="auto"/>
          <w:sz w:val="24"/>
          <w:szCs w:val="24"/>
          <w:highlight w:val="none"/>
          <w:lang w:val="en-US" w:eastAsia="zh-CN"/>
        </w:rPr>
        <w:t>2.1</w:t>
      </w:r>
      <w:r>
        <w:rPr>
          <w:rFonts w:hint="eastAsia" w:ascii="仿宋" w:hAnsi="仿宋" w:eastAsia="仿宋" w:cs="仿宋"/>
          <w:b/>
          <w:color w:val="auto"/>
          <w:sz w:val="24"/>
          <w:szCs w:val="24"/>
          <w:highlight w:val="none"/>
          <w:lang w:eastAsia="zh-CN"/>
        </w:rPr>
        <w:t>初步评审标准</w:t>
      </w:r>
      <w:bookmarkEnd w:id="103"/>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0" w:firstLineChars="196"/>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2.1</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资格性审查</w:t>
      </w:r>
      <w:r>
        <w:rPr>
          <w:rFonts w:hint="eastAsia" w:ascii="仿宋" w:hAnsi="仿宋" w:eastAsia="仿宋" w:cs="仿宋"/>
          <w:b w:val="0"/>
          <w:bCs w:val="0"/>
          <w:color w:val="auto"/>
          <w:sz w:val="24"/>
          <w:szCs w:val="24"/>
          <w:highlight w:val="none"/>
          <w:lang w:eastAsia="zh-CN"/>
        </w:rPr>
        <w:t>标准：见附件</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初步审查要素表</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0" w:firstLineChars="196"/>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2符合性审查</w:t>
      </w:r>
      <w:r>
        <w:rPr>
          <w:rFonts w:hint="eastAsia" w:ascii="仿宋" w:hAnsi="仿宋" w:eastAsia="仿宋" w:cs="仿宋"/>
          <w:b w:val="0"/>
          <w:bCs w:val="0"/>
          <w:color w:val="auto"/>
          <w:sz w:val="24"/>
          <w:szCs w:val="24"/>
          <w:highlight w:val="none"/>
          <w:lang w:eastAsia="zh-CN"/>
        </w:rPr>
        <w:t>标准：见附件</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初步审查要素表</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72" w:firstLineChars="196"/>
        <w:jc w:val="both"/>
        <w:textAlignment w:val="auto"/>
        <w:outlineLvl w:val="2"/>
        <w:rPr>
          <w:rFonts w:hint="eastAsia" w:ascii="仿宋" w:hAnsi="仿宋" w:eastAsia="仿宋" w:cs="仿宋"/>
          <w:b/>
          <w:color w:val="auto"/>
          <w:sz w:val="24"/>
          <w:szCs w:val="24"/>
          <w:highlight w:val="none"/>
          <w:lang w:val="en-US" w:eastAsia="zh-CN"/>
        </w:rPr>
      </w:pPr>
      <w:bookmarkStart w:id="104" w:name="_Toc14660"/>
      <w:r>
        <w:rPr>
          <w:rFonts w:hint="eastAsia" w:ascii="仿宋" w:hAnsi="仿宋" w:eastAsia="仿宋" w:cs="仿宋"/>
          <w:b/>
          <w:color w:val="auto"/>
          <w:sz w:val="24"/>
          <w:szCs w:val="24"/>
          <w:highlight w:val="none"/>
          <w:lang w:val="en-US" w:eastAsia="zh-CN"/>
        </w:rPr>
        <w:t>2.2成交标准</w:t>
      </w:r>
      <w:bookmarkEnd w:id="104"/>
    </w:p>
    <w:p>
      <w:pPr>
        <w:pStyle w:val="2"/>
        <w:keepNext w:val="0"/>
        <w:keepLines w:val="0"/>
        <w:pageBreakBefore w:val="0"/>
        <w:widowControl w:val="0"/>
        <w:kinsoku/>
        <w:wordWrap/>
        <w:overflowPunct/>
        <w:topLinePunct w:val="0"/>
        <w:autoSpaceDE/>
        <w:autoSpaceDN/>
        <w:bidi w:val="0"/>
        <w:spacing w:after="0" w:afterLines="0" w:line="360" w:lineRule="auto"/>
        <w:ind w:right="0" w:rightChars="0"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根据质量和服务均能满足采购文件实质性响应要求且最后报价最低的原则确定成交供应商</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120" w:afterLines="50" w:line="360" w:lineRule="auto"/>
        <w:ind w:left="0" w:leftChars="0" w:right="0" w:rightChars="0"/>
        <w:jc w:val="both"/>
        <w:textAlignment w:val="auto"/>
        <w:outlineLvl w:val="1"/>
        <w:rPr>
          <w:rFonts w:hint="eastAsia" w:ascii="仿宋" w:hAnsi="仿宋" w:eastAsia="仿宋" w:cs="仿宋"/>
          <w:b/>
          <w:color w:val="auto"/>
          <w:kern w:val="0"/>
          <w:sz w:val="24"/>
          <w:szCs w:val="24"/>
          <w:highlight w:val="none"/>
        </w:rPr>
      </w:pPr>
      <w:bookmarkStart w:id="105" w:name="_Toc6693"/>
      <w:r>
        <w:rPr>
          <w:rFonts w:hint="eastAsia" w:ascii="仿宋" w:hAnsi="仿宋" w:eastAsia="仿宋" w:cs="仿宋"/>
          <w:b/>
          <w:color w:val="auto"/>
          <w:kern w:val="0"/>
          <w:sz w:val="24"/>
          <w:szCs w:val="24"/>
          <w:highlight w:val="none"/>
        </w:rPr>
        <w:t>三</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评审程序</w:t>
      </w:r>
      <w:bookmarkEnd w:id="102"/>
      <w:bookmarkEnd w:id="105"/>
    </w:p>
    <w:p>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44"/>
        <w:jc w:val="both"/>
        <w:textAlignment w:val="auto"/>
        <w:outlineLvl w:val="9"/>
        <w:rPr>
          <w:rFonts w:hint="eastAsia" w:ascii="仿宋" w:hAnsi="仿宋" w:eastAsia="仿宋" w:cs="仿宋"/>
          <w:b/>
          <w:bCs/>
          <w:color w:val="auto"/>
          <w:spacing w:val="4"/>
          <w:sz w:val="24"/>
          <w:szCs w:val="24"/>
          <w:highlight w:val="none"/>
          <w:lang w:eastAsia="zh-CN"/>
        </w:rPr>
      </w:pPr>
      <w:r>
        <w:rPr>
          <w:rFonts w:hint="eastAsia" w:ascii="仿宋" w:hAnsi="仿宋" w:eastAsia="仿宋" w:cs="仿宋"/>
          <w:b/>
          <w:bCs/>
          <w:color w:val="auto"/>
          <w:spacing w:val="4"/>
          <w:sz w:val="24"/>
          <w:szCs w:val="24"/>
          <w:highlight w:val="none"/>
          <w:lang w:eastAsia="zh-CN"/>
        </w:rPr>
        <w:t>按照初审、澄清有关问题、分别谈判、推荐成交候选人名单。在上一步评审中被作无效响应处理者，不得进入下一步的评审。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2"/>
        <w:rPr>
          <w:rFonts w:hint="eastAsia" w:ascii="仿宋" w:hAnsi="仿宋" w:eastAsia="仿宋" w:cs="仿宋"/>
          <w:b/>
          <w:bCs/>
          <w:color w:val="auto"/>
          <w:spacing w:val="4"/>
          <w:sz w:val="24"/>
          <w:szCs w:val="24"/>
          <w:highlight w:val="none"/>
        </w:rPr>
      </w:pPr>
      <w:bookmarkStart w:id="106" w:name="_Toc24665"/>
      <w:r>
        <w:rPr>
          <w:rFonts w:hint="eastAsia" w:ascii="仿宋" w:hAnsi="仿宋" w:eastAsia="仿宋" w:cs="仿宋"/>
          <w:b/>
          <w:bCs/>
          <w:color w:val="auto"/>
          <w:spacing w:val="4"/>
          <w:sz w:val="24"/>
          <w:szCs w:val="24"/>
          <w:highlight w:val="none"/>
          <w:lang w:val="en-US" w:eastAsia="zh-CN"/>
        </w:rPr>
        <w:t>1、</w:t>
      </w:r>
      <w:r>
        <w:rPr>
          <w:rFonts w:hint="eastAsia" w:ascii="仿宋" w:hAnsi="仿宋" w:eastAsia="仿宋" w:cs="仿宋"/>
          <w:b/>
          <w:bCs/>
          <w:color w:val="auto"/>
          <w:spacing w:val="4"/>
          <w:sz w:val="24"/>
          <w:szCs w:val="24"/>
          <w:highlight w:val="none"/>
        </w:rPr>
        <w:t>对</w:t>
      </w:r>
      <w:r>
        <w:rPr>
          <w:rFonts w:hint="eastAsia" w:ascii="仿宋" w:hAnsi="仿宋" w:eastAsia="仿宋" w:cs="仿宋"/>
          <w:b/>
          <w:bCs/>
          <w:color w:val="auto"/>
          <w:spacing w:val="4"/>
          <w:sz w:val="24"/>
          <w:szCs w:val="24"/>
          <w:highlight w:val="none"/>
          <w:lang w:eastAsia="zh-CN"/>
        </w:rPr>
        <w:t>谈判</w:t>
      </w:r>
      <w:r>
        <w:rPr>
          <w:rFonts w:hint="eastAsia" w:ascii="仿宋" w:hAnsi="仿宋" w:eastAsia="仿宋" w:cs="仿宋"/>
          <w:b/>
          <w:bCs/>
          <w:color w:val="auto"/>
          <w:spacing w:val="4"/>
          <w:sz w:val="24"/>
          <w:szCs w:val="24"/>
          <w:highlight w:val="none"/>
        </w:rPr>
        <w:t>响应文件的初审</w:t>
      </w:r>
      <w:bookmarkEnd w:id="106"/>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72" w:firstLineChars="196"/>
        <w:jc w:val="both"/>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资格</w:t>
      </w:r>
      <w:r>
        <w:rPr>
          <w:rFonts w:hint="eastAsia" w:ascii="仿宋" w:hAnsi="仿宋" w:eastAsia="仿宋" w:cs="仿宋"/>
          <w:b/>
          <w:bCs/>
          <w:color w:val="auto"/>
          <w:sz w:val="24"/>
          <w:szCs w:val="24"/>
          <w:highlight w:val="none"/>
        </w:rPr>
        <w:t>性审查</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将依</w:t>
      </w:r>
      <w:r>
        <w:rPr>
          <w:rFonts w:hint="eastAsia" w:ascii="仿宋" w:hAnsi="仿宋" w:eastAsia="仿宋" w:cs="仿宋"/>
          <w:b/>
          <w:bCs/>
          <w:color w:val="auto"/>
          <w:sz w:val="24"/>
          <w:szCs w:val="24"/>
          <w:highlight w:val="none"/>
        </w:rPr>
        <w:t>据本章第 2.1.1 项规定的评审标准对</w:t>
      </w:r>
      <w:r>
        <w:rPr>
          <w:rFonts w:hint="eastAsia" w:ascii="仿宋" w:hAnsi="仿宋" w:eastAsia="仿宋" w:cs="仿宋"/>
          <w:b/>
          <w:bCs/>
          <w:color w:val="auto"/>
          <w:sz w:val="24"/>
          <w:szCs w:val="24"/>
          <w:highlight w:val="none"/>
          <w:lang w:eastAsia="zh-CN"/>
        </w:rPr>
        <w:t>谈判响应文件</w:t>
      </w:r>
      <w:r>
        <w:rPr>
          <w:rFonts w:hint="eastAsia" w:ascii="仿宋" w:hAnsi="仿宋" w:eastAsia="仿宋" w:cs="仿宋"/>
          <w:b/>
          <w:bCs/>
          <w:color w:val="auto"/>
          <w:sz w:val="24"/>
          <w:szCs w:val="24"/>
          <w:highlight w:val="none"/>
        </w:rPr>
        <w:t>进行资格性审查。有一项不符合评审标准的，</w:t>
      </w:r>
      <w:r>
        <w:rPr>
          <w:rFonts w:hint="eastAsia" w:ascii="仿宋" w:hAnsi="仿宋" w:eastAsia="仿宋" w:cs="仿宋"/>
          <w:b/>
          <w:bCs/>
          <w:color w:val="auto"/>
          <w:kern w:val="0"/>
          <w:sz w:val="24"/>
          <w:szCs w:val="24"/>
          <w:highlight w:val="none"/>
        </w:rPr>
        <w:t>将被视为未实质性响应</w:t>
      </w:r>
      <w:r>
        <w:rPr>
          <w:rFonts w:hint="eastAsia" w:ascii="仿宋" w:hAnsi="仿宋" w:eastAsia="仿宋" w:cs="仿宋"/>
          <w:b/>
          <w:bCs/>
          <w:color w:val="auto"/>
          <w:kern w:val="0"/>
          <w:sz w:val="24"/>
          <w:szCs w:val="24"/>
          <w:highlight w:val="none"/>
          <w:lang w:eastAsia="zh-CN"/>
        </w:rPr>
        <w:t>谈判</w:t>
      </w:r>
      <w:r>
        <w:rPr>
          <w:rFonts w:hint="eastAsia" w:ascii="仿宋" w:hAnsi="仿宋" w:eastAsia="仿宋" w:cs="仿宋"/>
          <w:b/>
          <w:bCs/>
          <w:color w:val="auto"/>
          <w:kern w:val="0"/>
          <w:sz w:val="24"/>
          <w:szCs w:val="24"/>
          <w:highlight w:val="none"/>
        </w:rPr>
        <w:t>文件</w:t>
      </w:r>
      <w:r>
        <w:rPr>
          <w:rFonts w:hint="eastAsia" w:ascii="仿宋" w:hAnsi="仿宋" w:eastAsia="仿宋" w:cs="仿宋"/>
          <w:b/>
          <w:bCs/>
          <w:color w:val="auto"/>
          <w:kern w:val="0"/>
          <w:sz w:val="24"/>
          <w:szCs w:val="24"/>
          <w:highlight w:val="none"/>
          <w:lang w:eastAsia="zh-CN"/>
        </w:rPr>
        <w:t>，其谈判响应文件将按无效文件处理</w:t>
      </w:r>
      <w:r>
        <w:rPr>
          <w:rFonts w:hint="eastAsia" w:ascii="仿宋" w:hAnsi="仿宋" w:eastAsia="仿宋" w:cs="仿宋"/>
          <w:b/>
          <w:bCs/>
          <w:color w:val="auto"/>
          <w:kern w:val="0"/>
          <w:sz w:val="24"/>
          <w:szCs w:val="24"/>
          <w:highlight w:val="none"/>
        </w:rPr>
        <w:t>。</w:t>
      </w:r>
    </w:p>
    <w:p>
      <w:pPr>
        <w:keepNext w:val="0"/>
        <w:keepLines w:val="0"/>
        <w:pageBreakBefore w:val="0"/>
        <w:widowControl w:val="0"/>
        <w:kinsoku/>
        <w:wordWrap/>
        <w:overflowPunct/>
        <w:topLinePunct w:val="0"/>
        <w:autoSpaceDE/>
        <w:autoSpaceDN/>
        <w:bidi w:val="0"/>
        <w:spacing w:line="360" w:lineRule="auto"/>
        <w:ind w:right="0" w:righ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.2符合性审查</w:t>
      </w:r>
      <w:r>
        <w:rPr>
          <w:rFonts w:hint="eastAsia" w:ascii="仿宋" w:hAnsi="仿宋" w:eastAsia="仿宋" w:cs="仿宋"/>
          <w:b/>
          <w:bCs/>
          <w:color w:val="auto"/>
          <w:sz w:val="24"/>
          <w:szCs w:val="24"/>
          <w:highlight w:val="none"/>
          <w:lang w:eastAsia="zh-CN"/>
        </w:rPr>
        <w:t>：谈判小组</w:t>
      </w:r>
      <w:r>
        <w:rPr>
          <w:rFonts w:hint="eastAsia" w:ascii="仿宋" w:hAnsi="仿宋" w:eastAsia="仿宋" w:cs="仿宋"/>
          <w:b/>
          <w:bCs/>
          <w:color w:val="auto"/>
          <w:sz w:val="24"/>
          <w:szCs w:val="24"/>
          <w:highlight w:val="none"/>
        </w:rPr>
        <w:t>根据本章第 2.1.2 项规定的评审标准对</w:t>
      </w:r>
      <w:r>
        <w:rPr>
          <w:rFonts w:hint="eastAsia" w:ascii="仿宋" w:hAnsi="仿宋" w:eastAsia="仿宋" w:cs="仿宋"/>
          <w:b/>
          <w:bCs/>
          <w:color w:val="auto"/>
          <w:sz w:val="24"/>
          <w:szCs w:val="24"/>
          <w:highlight w:val="none"/>
          <w:lang w:eastAsia="zh-CN"/>
        </w:rPr>
        <w:t>谈判响应文件</w:t>
      </w:r>
      <w:r>
        <w:rPr>
          <w:rFonts w:hint="eastAsia" w:ascii="仿宋" w:hAnsi="仿宋" w:eastAsia="仿宋" w:cs="仿宋"/>
          <w:b/>
          <w:bCs/>
          <w:color w:val="auto"/>
          <w:sz w:val="24"/>
          <w:szCs w:val="24"/>
          <w:highlight w:val="none"/>
        </w:rPr>
        <w:t>进行符合性评审。有一项不符合评审标准的，将被视为未实质性响应</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文件，其</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响应文件将按无效文件处理。</w:t>
      </w:r>
    </w:p>
    <w:p>
      <w:pPr>
        <w:keepNext w:val="0"/>
        <w:keepLines w:val="0"/>
        <w:pageBreakBefore w:val="0"/>
        <w:widowControl w:val="0"/>
        <w:kinsoku/>
        <w:wordWrap/>
        <w:overflowPunct/>
        <w:topLinePunct w:val="0"/>
        <w:autoSpaceDE/>
        <w:autoSpaceDN/>
        <w:bidi w:val="0"/>
        <w:spacing w:line="360" w:lineRule="auto"/>
        <w:ind w:right="0" w:rightChars="0" w:firstLine="482" w:firstLineChars="20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在资格性审查</w:t>
      </w:r>
      <w:r>
        <w:rPr>
          <w:rFonts w:hint="eastAsia" w:ascii="仿宋" w:hAnsi="仿宋" w:eastAsia="仿宋" w:cs="仿宋"/>
          <w:b/>
          <w:bCs/>
          <w:color w:val="auto"/>
          <w:sz w:val="24"/>
          <w:szCs w:val="24"/>
          <w:highlight w:val="none"/>
          <w:lang w:eastAsia="zh-CN"/>
        </w:rPr>
        <w:t>阶</w:t>
      </w:r>
      <w:r>
        <w:rPr>
          <w:rFonts w:hint="eastAsia" w:ascii="仿宋" w:hAnsi="仿宋" w:eastAsia="仿宋" w:cs="仿宋"/>
          <w:b/>
          <w:bCs/>
          <w:color w:val="auto"/>
          <w:sz w:val="24"/>
          <w:szCs w:val="24"/>
          <w:highlight w:val="none"/>
        </w:rPr>
        <w:t>段，不符合</w:t>
      </w:r>
      <w:r>
        <w:rPr>
          <w:rFonts w:hint="eastAsia" w:ascii="仿宋" w:hAnsi="仿宋" w:eastAsia="仿宋" w:cs="仿宋"/>
          <w:b/>
          <w:bCs/>
          <w:color w:val="auto"/>
          <w:sz w:val="24"/>
          <w:szCs w:val="24"/>
          <w:highlight w:val="none"/>
          <w:lang w:eastAsia="zh-CN"/>
        </w:rPr>
        <w:t>谈判文件</w:t>
      </w:r>
      <w:r>
        <w:rPr>
          <w:rFonts w:hint="eastAsia" w:ascii="仿宋" w:hAnsi="仿宋" w:eastAsia="仿宋" w:cs="仿宋"/>
          <w:b/>
          <w:bCs/>
          <w:color w:val="auto"/>
          <w:sz w:val="24"/>
          <w:szCs w:val="24"/>
          <w:highlight w:val="none"/>
        </w:rPr>
        <w:t>要求的，不得进入符合性审查，在符合性审查时未通过的，不得进入后续评审环节。</w:t>
      </w:r>
    </w:p>
    <w:p>
      <w:pPr>
        <w:keepNext w:val="0"/>
        <w:keepLines w:val="0"/>
        <w:pageBreakBefore w:val="0"/>
        <w:widowControl w:val="0"/>
        <w:kinsoku/>
        <w:wordWrap/>
        <w:overflowPunct/>
        <w:topLinePunct w:val="0"/>
        <w:autoSpaceDE/>
        <w:autoSpaceDN/>
        <w:bidi w:val="0"/>
        <w:spacing w:before="120" w:beforeLines="50" w:after="120" w:afterLines="50" w:line="360" w:lineRule="auto"/>
        <w:ind w:right="0" w:rightChars="0" w:firstLine="482" w:firstLineChars="200"/>
        <w:jc w:val="both"/>
        <w:textAlignment w:val="auto"/>
        <w:outlineLvl w:val="2"/>
        <w:rPr>
          <w:rFonts w:hint="eastAsia" w:ascii="仿宋" w:hAnsi="仿宋" w:eastAsia="仿宋" w:cs="仿宋"/>
          <w:b/>
          <w:color w:val="auto"/>
          <w:sz w:val="24"/>
          <w:highlight w:val="none"/>
        </w:rPr>
      </w:pPr>
      <w:bookmarkStart w:id="107" w:name="_Toc30501"/>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eastAsia="zh-CN"/>
        </w:rPr>
        <w:t>谈判响应</w:t>
      </w:r>
      <w:r>
        <w:rPr>
          <w:rFonts w:hint="eastAsia" w:ascii="仿宋" w:hAnsi="仿宋" w:eastAsia="仿宋" w:cs="仿宋"/>
          <w:b/>
          <w:color w:val="auto"/>
          <w:sz w:val="24"/>
          <w:highlight w:val="none"/>
        </w:rPr>
        <w:t>文件的澄清</w:t>
      </w:r>
      <w:bookmarkEnd w:id="107"/>
    </w:p>
    <w:p>
      <w:pPr>
        <w:keepNext w:val="0"/>
        <w:keepLines w:val="0"/>
        <w:pageBreakBefore w:val="0"/>
        <w:widowControl w:val="0"/>
        <w:kinsoku/>
        <w:wordWrap/>
        <w:overflowPunct/>
        <w:topLinePunct w:val="0"/>
        <w:autoSpaceDE/>
        <w:autoSpaceDN/>
        <w:bidi w:val="0"/>
        <w:spacing w:line="360" w:lineRule="auto"/>
        <w:ind w:right="0" w:rightChars="0" w:firstLine="496" w:firstLineChars="200"/>
        <w:jc w:val="both"/>
        <w:textAlignment w:val="auto"/>
        <w:outlineLvl w:val="9"/>
        <w:rPr>
          <w:rFonts w:hint="eastAsia" w:ascii="仿宋" w:hAnsi="仿宋" w:eastAsia="仿宋" w:cs="仿宋"/>
          <w:b w:val="0"/>
          <w:bCs/>
          <w:color w:val="auto"/>
          <w:spacing w:val="4"/>
          <w:sz w:val="24"/>
          <w:szCs w:val="24"/>
          <w:highlight w:val="none"/>
          <w:lang w:val="en-US" w:eastAsia="zh-CN"/>
        </w:rPr>
      </w:pPr>
      <w:r>
        <w:rPr>
          <w:rFonts w:hint="eastAsia" w:ascii="仿宋" w:hAnsi="仿宋" w:eastAsia="仿宋" w:cs="仿宋"/>
          <w:b w:val="0"/>
          <w:bCs/>
          <w:color w:val="auto"/>
          <w:spacing w:val="4"/>
          <w:sz w:val="24"/>
          <w:szCs w:val="24"/>
          <w:highlight w:val="none"/>
          <w:lang w:val="en-US" w:eastAsia="zh-CN"/>
        </w:rPr>
        <w:t>2.1</w:t>
      </w:r>
      <w:r>
        <w:rPr>
          <w:rFonts w:hint="eastAsia" w:ascii="仿宋" w:hAnsi="仿宋" w:eastAsia="仿宋" w:cs="仿宋"/>
          <w:b w:val="0"/>
          <w:bCs/>
          <w:color w:val="auto"/>
          <w:spacing w:val="4"/>
          <w:sz w:val="24"/>
          <w:szCs w:val="24"/>
          <w:highlight w:val="none"/>
          <w:lang w:eastAsia="zh-CN"/>
        </w:rPr>
        <w:t>谈判小组发现供应商的报价明显低于其他通过符合性审查的供应商的报价，有可能影响产品质量或者不能诚信履约的，</w:t>
      </w:r>
      <w:r>
        <w:rPr>
          <w:rFonts w:hint="eastAsia" w:ascii="仿宋" w:hAnsi="仿宋" w:eastAsia="仿宋" w:cs="仿宋"/>
          <w:b w:val="0"/>
          <w:bCs/>
          <w:color w:val="auto"/>
          <w:spacing w:val="4"/>
          <w:sz w:val="24"/>
          <w:szCs w:val="24"/>
          <w:highlight w:val="none"/>
          <w:lang w:val="en-US" w:eastAsia="zh-CN"/>
        </w:rPr>
        <w:t>应当要求其在谈判现场合理的时间内做出书面说明，必要时提交相关证明材料。供应商不能证明其报价合理性的，谈判小组应当将其作为无效响应处理。</w:t>
      </w:r>
    </w:p>
    <w:p>
      <w:pPr>
        <w:keepNext w:val="0"/>
        <w:keepLines w:val="0"/>
        <w:pageBreakBefore w:val="0"/>
        <w:widowControl w:val="0"/>
        <w:kinsoku/>
        <w:wordWrap/>
        <w:overflowPunct/>
        <w:topLinePunct w:val="0"/>
        <w:autoSpaceDE/>
        <w:autoSpaceDN/>
        <w:bidi w:val="0"/>
        <w:spacing w:line="360" w:lineRule="auto"/>
        <w:ind w:right="0" w:rightChars="0" w:firstLine="480" w:firstLineChars="200"/>
        <w:jc w:val="both"/>
        <w:textAlignment w:val="auto"/>
        <w:outlineLvl w:val="9"/>
        <w:rPr>
          <w:rFonts w:hint="eastAsia" w:ascii="仿宋" w:hAnsi="仿宋" w:eastAsia="仿宋" w:cs="仿宋"/>
          <w:b w:val="0"/>
          <w:bCs/>
          <w:color w:val="auto"/>
          <w:spacing w:val="4"/>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.2有效的书面澄清材料，是</w:t>
      </w:r>
      <w:r>
        <w:rPr>
          <w:rFonts w:hint="eastAsia" w:ascii="仿宋" w:hAnsi="仿宋" w:eastAsia="仿宋" w:cs="仿宋"/>
          <w:color w:val="auto"/>
          <w:sz w:val="24"/>
          <w:szCs w:val="24"/>
          <w:highlight w:val="none"/>
          <w:lang w:eastAsia="zh-CN"/>
        </w:rPr>
        <w:t>谈判响应</w:t>
      </w:r>
      <w:r>
        <w:rPr>
          <w:rFonts w:hint="eastAsia" w:ascii="仿宋" w:hAnsi="仿宋" w:eastAsia="仿宋" w:cs="仿宋"/>
          <w:color w:val="auto"/>
          <w:sz w:val="24"/>
          <w:szCs w:val="24"/>
          <w:highlight w:val="none"/>
        </w:rPr>
        <w:t>文件的补充材料，成为</w:t>
      </w:r>
      <w:r>
        <w:rPr>
          <w:rFonts w:hint="eastAsia" w:ascii="仿宋" w:hAnsi="仿宋" w:eastAsia="仿宋" w:cs="仿宋"/>
          <w:color w:val="auto"/>
          <w:sz w:val="24"/>
          <w:szCs w:val="24"/>
          <w:highlight w:val="none"/>
          <w:lang w:eastAsia="zh-CN"/>
        </w:rPr>
        <w:t>谈判响应</w:t>
      </w:r>
      <w:r>
        <w:rPr>
          <w:rFonts w:hint="eastAsia" w:ascii="仿宋" w:hAnsi="仿宋" w:eastAsia="仿宋" w:cs="仿宋"/>
          <w:color w:val="auto"/>
          <w:sz w:val="24"/>
          <w:szCs w:val="24"/>
          <w:highlight w:val="none"/>
        </w:rPr>
        <w:t>文件的组成部分。</w:t>
      </w:r>
    </w:p>
    <w:p>
      <w:pPr>
        <w:pStyle w:val="10"/>
        <w:keepNext w:val="0"/>
        <w:keepLines w:val="0"/>
        <w:pageBreakBefore w:val="0"/>
        <w:widowControl w:val="0"/>
        <w:kinsoku/>
        <w:wordWrap/>
        <w:overflowPunct/>
        <w:topLinePunct w:val="0"/>
        <w:autoSpaceDE/>
        <w:autoSpaceDN/>
        <w:bidi w:val="0"/>
        <w:spacing w:line="360" w:lineRule="auto"/>
        <w:ind w:firstLine="482" w:firstLineChars="200"/>
        <w:textAlignment w:val="auto"/>
        <w:outlineLvl w:val="2"/>
        <w:rPr>
          <w:rFonts w:hint="eastAsia" w:ascii="仿宋" w:hAnsi="仿宋" w:eastAsia="仿宋" w:cs="仿宋"/>
          <w:b/>
          <w:bCs/>
          <w:color w:val="auto"/>
          <w:sz w:val="24"/>
          <w:szCs w:val="24"/>
          <w:highlight w:val="none"/>
        </w:rPr>
      </w:pPr>
      <w:bookmarkStart w:id="108" w:name="_Toc19131"/>
      <w:r>
        <w:rPr>
          <w:rFonts w:hint="eastAsia" w:ascii="仿宋" w:hAnsi="仿宋" w:eastAsia="仿宋" w:cs="仿宋"/>
          <w:b/>
          <w:bCs/>
          <w:color w:val="auto"/>
          <w:sz w:val="24"/>
          <w:szCs w:val="24"/>
          <w:highlight w:val="none"/>
        </w:rPr>
        <w:t>3、谈判</w:t>
      </w:r>
      <w:bookmarkEnd w:id="108"/>
    </w:p>
    <w:p>
      <w:pPr>
        <w:pStyle w:val="10"/>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b/>
          <w:bCs/>
          <w:color w:val="auto"/>
          <w:spacing w:val="4"/>
          <w:sz w:val="24"/>
          <w:szCs w:val="24"/>
          <w:highlight w:val="none"/>
        </w:rPr>
      </w:pPr>
      <w:r>
        <w:rPr>
          <w:rFonts w:hint="eastAsia" w:ascii="仿宋" w:hAnsi="仿宋" w:eastAsia="仿宋" w:cs="仿宋"/>
          <w:color w:val="auto"/>
          <w:sz w:val="24"/>
          <w:szCs w:val="24"/>
          <w:highlight w:val="none"/>
        </w:rPr>
        <w:t>谈判小组所有成员集中与单一供应商分别进行谈判，并要求供应商在规定的时间内提交最后报价。</w:t>
      </w:r>
    </w:p>
    <w:p>
      <w:pPr>
        <w:pStyle w:val="10"/>
        <w:keepNext w:val="0"/>
        <w:keepLines w:val="0"/>
        <w:pageBreakBefore w:val="0"/>
        <w:widowControl w:val="0"/>
        <w:kinsoku/>
        <w:wordWrap/>
        <w:overflowPunct/>
        <w:topLinePunct w:val="0"/>
        <w:autoSpaceDE/>
        <w:autoSpaceDN/>
        <w:bidi w:val="0"/>
        <w:spacing w:line="360" w:lineRule="auto"/>
        <w:ind w:right="0" w:rightChars="0" w:firstLine="498" w:firstLineChars="200"/>
        <w:textAlignment w:val="auto"/>
        <w:outlineLvl w:val="2"/>
        <w:rPr>
          <w:rFonts w:hint="eastAsia" w:ascii="仿宋" w:hAnsi="仿宋" w:eastAsia="仿宋" w:cs="仿宋"/>
          <w:b/>
          <w:bCs/>
          <w:color w:val="auto"/>
          <w:spacing w:val="4"/>
          <w:sz w:val="24"/>
          <w:szCs w:val="24"/>
          <w:highlight w:val="none"/>
          <w:lang w:val="en-US" w:eastAsia="zh-CN"/>
        </w:rPr>
      </w:pPr>
      <w:bookmarkStart w:id="109" w:name="_Toc19323"/>
      <w:r>
        <w:rPr>
          <w:rFonts w:hint="eastAsia" w:ascii="仿宋" w:hAnsi="仿宋" w:eastAsia="仿宋" w:cs="仿宋"/>
          <w:b/>
          <w:bCs/>
          <w:color w:val="auto"/>
          <w:spacing w:val="4"/>
          <w:sz w:val="24"/>
          <w:szCs w:val="24"/>
          <w:highlight w:val="none"/>
          <w:lang w:val="en-US" w:eastAsia="zh-CN"/>
        </w:rPr>
        <w:t>4、谈判过程中的实质性变动</w:t>
      </w:r>
      <w:bookmarkEnd w:id="109"/>
    </w:p>
    <w:p>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.1在谈判过程中，谈判小组可以根据谈判文件和谈判情况在最终报价之前实质性变动采购需求中的技术、服务要求以及合同草案条款，但不得变动竞争性谈判文件中的其他</w:t>
      </w:r>
      <w:r>
        <w:rPr>
          <w:rFonts w:hint="eastAsia" w:ascii="仿宋" w:hAnsi="仿宋" w:eastAsia="仿宋" w:cs="仿宋"/>
          <w:color w:val="auto"/>
          <w:sz w:val="24"/>
          <w:szCs w:val="24"/>
          <w:highlight w:val="none"/>
          <w:lang w:eastAsia="zh-CN"/>
        </w:rPr>
        <w:t>内容</w:t>
      </w:r>
      <w:r>
        <w:rPr>
          <w:rFonts w:hint="eastAsia" w:ascii="仿宋" w:hAnsi="仿宋" w:eastAsia="仿宋" w:cs="仿宋"/>
          <w:color w:val="auto"/>
          <w:sz w:val="24"/>
          <w:szCs w:val="24"/>
          <w:highlight w:val="none"/>
        </w:rPr>
        <w:t>。实质性变动的内容，须经采购人代表确认。</w:t>
      </w:r>
    </w:p>
    <w:p>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.2对竞争性谈判文件做出的实质性变动是谈判文件的有效组成部分，谈判小组应当及时以书面形式通知所有参加谈判的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pPr>
        <w:pStyle w:val="10"/>
        <w:keepNext w:val="0"/>
        <w:keepLines w:val="0"/>
        <w:pageBreakBefore w:val="0"/>
        <w:widowControl w:val="0"/>
        <w:kinsoku/>
        <w:wordWrap/>
        <w:overflowPunct/>
        <w:topLinePunct w:val="0"/>
        <w:autoSpaceDE/>
        <w:autoSpaceDN/>
        <w:bidi w:val="0"/>
        <w:spacing w:line="360" w:lineRule="auto"/>
        <w:ind w:right="0" w:rightChars="0" w:firstLine="498" w:firstLineChars="200"/>
        <w:textAlignment w:val="auto"/>
        <w:outlineLvl w:val="2"/>
        <w:rPr>
          <w:rFonts w:hint="eastAsia" w:ascii="仿宋" w:hAnsi="仿宋" w:eastAsia="仿宋" w:cs="仿宋"/>
          <w:b/>
          <w:bCs/>
          <w:color w:val="auto"/>
          <w:spacing w:val="4"/>
          <w:sz w:val="24"/>
          <w:szCs w:val="24"/>
          <w:highlight w:val="none"/>
        </w:rPr>
      </w:pPr>
      <w:bookmarkStart w:id="110" w:name="_Toc19557"/>
      <w:r>
        <w:rPr>
          <w:rFonts w:hint="eastAsia" w:ascii="仿宋" w:hAnsi="仿宋" w:eastAsia="仿宋" w:cs="仿宋"/>
          <w:b/>
          <w:bCs/>
          <w:color w:val="auto"/>
          <w:spacing w:val="4"/>
          <w:sz w:val="24"/>
          <w:szCs w:val="24"/>
          <w:highlight w:val="none"/>
          <w:lang w:val="en-US" w:eastAsia="zh-CN"/>
        </w:rPr>
        <w:t>5</w:t>
      </w:r>
      <w:r>
        <w:rPr>
          <w:rFonts w:hint="eastAsia" w:ascii="仿宋" w:hAnsi="仿宋" w:eastAsia="仿宋" w:cs="仿宋"/>
          <w:b/>
          <w:bCs/>
          <w:color w:val="auto"/>
          <w:spacing w:val="4"/>
          <w:sz w:val="24"/>
          <w:szCs w:val="24"/>
          <w:highlight w:val="none"/>
        </w:rPr>
        <w:t>、推荐成交候选人</w:t>
      </w:r>
      <w:bookmarkEnd w:id="1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96" w:firstLineChars="200"/>
        <w:textAlignment w:val="auto"/>
        <w:outlineLvl w:val="9"/>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由谈判小组依据谈判响应文件，从质量和服务均能满足谈判文件要求的供应商中，按照最后报价由低到高的顺序依次排序，推荐</w:t>
      </w:r>
      <w:r>
        <w:rPr>
          <w:rFonts w:hint="eastAsia" w:ascii="仿宋" w:hAnsi="仿宋" w:eastAsia="仿宋" w:cs="仿宋"/>
          <w:color w:val="auto"/>
          <w:spacing w:val="4"/>
          <w:sz w:val="24"/>
          <w:szCs w:val="24"/>
          <w:highlight w:val="none"/>
          <w:lang w:val="en-US" w:eastAsia="zh-CN"/>
        </w:rPr>
        <w:t>3</w:t>
      </w:r>
      <w:r>
        <w:rPr>
          <w:rFonts w:hint="eastAsia" w:ascii="仿宋" w:hAnsi="仿宋" w:eastAsia="仿宋" w:cs="仿宋"/>
          <w:color w:val="auto"/>
          <w:spacing w:val="4"/>
          <w:sz w:val="24"/>
          <w:szCs w:val="24"/>
          <w:highlight w:val="none"/>
          <w:lang w:eastAsia="zh-CN"/>
        </w:rPr>
        <w:t>名</w:t>
      </w:r>
      <w:r>
        <w:rPr>
          <w:rFonts w:hint="eastAsia" w:ascii="仿宋" w:hAnsi="仿宋" w:eastAsia="仿宋" w:cs="仿宋"/>
          <w:color w:val="auto"/>
          <w:spacing w:val="4"/>
          <w:sz w:val="24"/>
          <w:szCs w:val="24"/>
          <w:highlight w:val="none"/>
        </w:rPr>
        <w:t>成交候选人</w:t>
      </w:r>
      <w:r>
        <w:rPr>
          <w:rFonts w:hint="eastAsia" w:ascii="仿宋" w:hAnsi="仿宋" w:eastAsia="仿宋" w:cs="仿宋"/>
          <w:color w:val="auto"/>
          <w:spacing w:val="4"/>
          <w:sz w:val="24"/>
          <w:szCs w:val="24"/>
          <w:highlight w:val="none"/>
          <w:lang w:eastAsia="zh-CN"/>
        </w:rPr>
        <w:t>，并标明顺序</w:t>
      </w:r>
      <w:r>
        <w:rPr>
          <w:rFonts w:hint="eastAsia" w:ascii="仿宋" w:hAnsi="仿宋" w:eastAsia="仿宋" w:cs="仿宋"/>
          <w:color w:val="auto"/>
          <w:spacing w:val="4"/>
          <w:sz w:val="24"/>
          <w:szCs w:val="24"/>
          <w:highlight w:val="none"/>
        </w:rPr>
        <w:t>。谈判报价相同的，按照技术指标优劣顺序排序或由全体谈判小组成员无记名投票，得票高者排序在前。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1"/>
        <w:rPr>
          <w:rFonts w:hint="eastAsia" w:ascii="仿宋" w:hAnsi="仿宋" w:eastAsia="仿宋" w:cs="仿宋"/>
          <w:b/>
          <w:color w:val="auto"/>
          <w:sz w:val="24"/>
          <w:szCs w:val="24"/>
          <w:highlight w:val="none"/>
          <w:lang w:eastAsia="zh-CN"/>
        </w:rPr>
      </w:pPr>
      <w:bookmarkStart w:id="111" w:name="_Toc18915"/>
      <w:r>
        <w:rPr>
          <w:rFonts w:hint="eastAsia" w:ascii="仿宋" w:hAnsi="仿宋" w:eastAsia="仿宋" w:cs="仿宋"/>
          <w:b/>
          <w:color w:val="auto"/>
          <w:sz w:val="24"/>
          <w:szCs w:val="24"/>
          <w:highlight w:val="none"/>
          <w:lang w:eastAsia="zh-CN"/>
        </w:rPr>
        <w:t>四、谈判小组当履行下列义务</w:t>
      </w:r>
      <w:bookmarkEnd w:id="111"/>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遵纪守法，客观、公正、廉洁地履行职责；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根据采购文件的规定独立进行评审，对个人的评审意见承担法律责任；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参与评审报告的起草；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配合采购人、采购代理机构答复供应商提出的质疑；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配合财政部门的投诉处理和监督检查工作。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1"/>
        <w:rPr>
          <w:rFonts w:hint="eastAsia" w:ascii="仿宋" w:hAnsi="仿宋" w:eastAsia="仿宋" w:cs="仿宋"/>
          <w:b/>
          <w:bCs/>
          <w:color w:val="auto"/>
          <w:spacing w:val="4"/>
          <w:sz w:val="24"/>
          <w:szCs w:val="24"/>
          <w:highlight w:val="none"/>
          <w:lang w:val="en-US" w:eastAsia="zh-CN"/>
        </w:rPr>
      </w:pPr>
      <w:bookmarkStart w:id="112" w:name="_Toc14150"/>
      <w:r>
        <w:rPr>
          <w:rFonts w:hint="eastAsia" w:ascii="仿宋" w:hAnsi="仿宋" w:eastAsia="仿宋" w:cs="仿宋"/>
          <w:b/>
          <w:color w:val="auto"/>
          <w:sz w:val="24"/>
          <w:szCs w:val="24"/>
          <w:highlight w:val="none"/>
          <w:lang w:eastAsia="zh-CN"/>
        </w:rPr>
        <w:t>五、</w:t>
      </w:r>
      <w:r>
        <w:rPr>
          <w:rFonts w:hint="eastAsia" w:ascii="仿宋" w:hAnsi="仿宋" w:eastAsia="仿宋" w:cs="仿宋"/>
          <w:b/>
          <w:bCs/>
          <w:color w:val="auto"/>
          <w:spacing w:val="4"/>
          <w:sz w:val="24"/>
          <w:szCs w:val="24"/>
          <w:highlight w:val="none"/>
          <w:lang w:val="en-US" w:eastAsia="zh-CN"/>
        </w:rPr>
        <w:t>无效响应文件</w:t>
      </w:r>
      <w:bookmarkEnd w:id="1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出现下列情形之一的，谈判响应文件无效：</w:t>
      </w:r>
    </w:p>
    <w:p>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rPr>
        <w:t>竞争性谈判响应文件未按竞争性谈判文件要求密封、签署、盖章的；</w:t>
      </w:r>
    </w:p>
    <w:p>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szCs w:val="24"/>
          <w:highlight w:val="none"/>
          <w:lang w:eastAsia="zh-CN"/>
        </w:rPr>
        <w:t>供应商未按竞争性谈判文件要求提交谈判</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eastAsia="zh-CN"/>
        </w:rPr>
        <w:t>或保函的</w:t>
      </w:r>
      <w:r>
        <w:rPr>
          <w:rFonts w:hint="eastAsia" w:ascii="仿宋" w:hAnsi="仿宋" w:eastAsia="仿宋" w:cs="仿宋"/>
          <w:color w:val="auto"/>
          <w:sz w:val="24"/>
          <w:szCs w:val="24"/>
          <w:highlight w:val="none"/>
        </w:rPr>
        <w:t>；</w:t>
      </w:r>
    </w:p>
    <w:p>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3、不具备谈判文件中规定的资格要求或</w:t>
      </w:r>
      <w:r>
        <w:rPr>
          <w:rFonts w:hint="eastAsia" w:ascii="仿宋" w:hAnsi="仿宋" w:eastAsia="仿宋" w:cs="仿宋"/>
          <w:color w:val="auto"/>
          <w:sz w:val="24"/>
          <w:szCs w:val="24"/>
          <w:highlight w:val="none"/>
        </w:rPr>
        <w:t>资格证明文件不全的或无效的；</w:t>
      </w:r>
    </w:p>
    <w:p>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pacing w:val="-6"/>
          <w:sz w:val="24"/>
          <w:highlight w:val="none"/>
        </w:rPr>
        <w:t>无谈判有效期或有效期达不到竞争性谈判文件要求的</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谈判总报价</w:t>
      </w:r>
      <w:r>
        <w:rPr>
          <w:rFonts w:hint="eastAsia" w:ascii="仿宋" w:hAnsi="仿宋" w:eastAsia="仿宋" w:cs="仿宋"/>
          <w:color w:val="auto"/>
          <w:sz w:val="24"/>
          <w:szCs w:val="24"/>
          <w:highlight w:val="none"/>
          <w:lang w:eastAsia="zh-CN"/>
        </w:rPr>
        <w:t>超过</w:t>
      </w:r>
      <w:r>
        <w:rPr>
          <w:rFonts w:hint="eastAsia" w:ascii="仿宋" w:hAnsi="仿宋" w:eastAsia="仿宋" w:cs="仿宋"/>
          <w:color w:val="auto"/>
          <w:sz w:val="24"/>
          <w:szCs w:val="24"/>
          <w:highlight w:val="none"/>
        </w:rPr>
        <w:t>竞争性谈判文件公布的采购预算的</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b w:val="0"/>
          <w:bCs w:val="0"/>
          <w:color w:val="auto"/>
          <w:spacing w:val="4"/>
          <w:sz w:val="24"/>
          <w:szCs w:val="24"/>
          <w:highlight w:val="none"/>
          <w:lang w:val="en-US" w:eastAsia="zh-CN"/>
        </w:rPr>
        <w:t>响应文件含有采购人不能接受的附加条件的；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7、单位负责人为同一人或者存在直接控股、管理关系的不同供应商，参加本项目同一合同项下的谈判的；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8、为本采购项目提供整体设计、规范编制或者项目管理、监理、检测等服务的供应商，参加本采购项目谈判的；</w:t>
      </w:r>
    </w:p>
    <w:p>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highlight w:val="none"/>
        </w:rPr>
        <w:t>提供虚假</w:t>
      </w:r>
      <w:r>
        <w:rPr>
          <w:rFonts w:hint="eastAsia" w:ascii="仿宋" w:hAnsi="仿宋" w:eastAsia="仿宋" w:cs="仿宋"/>
          <w:color w:val="auto"/>
          <w:sz w:val="24"/>
          <w:highlight w:val="none"/>
          <w:lang w:eastAsia="zh-CN"/>
        </w:rPr>
        <w:t>文件和资料的</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10、法律、法规规定的其他无效情形</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1"/>
        <w:rPr>
          <w:rFonts w:hint="eastAsia" w:ascii="仿宋" w:hAnsi="仿宋" w:eastAsia="仿宋" w:cs="仿宋"/>
          <w:b/>
          <w:color w:val="auto"/>
          <w:sz w:val="24"/>
          <w:szCs w:val="24"/>
          <w:highlight w:val="none"/>
        </w:rPr>
      </w:pPr>
      <w:bookmarkStart w:id="113" w:name="_Toc25206"/>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、政策性扣减</w:t>
      </w:r>
      <w:bookmarkEnd w:id="113"/>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color w:val="auto"/>
          <w:sz w:val="24"/>
          <w:szCs w:val="24"/>
          <w:highlight w:val="none"/>
        </w:rPr>
      </w:pPr>
      <w:bookmarkStart w:id="114" w:name="_Toc4297"/>
      <w:r>
        <w:rPr>
          <w:rFonts w:hint="eastAsia" w:ascii="仿宋" w:hAnsi="仿宋" w:eastAsia="仿宋" w:cs="仿宋"/>
          <w:b/>
          <w:color w:val="auto"/>
          <w:sz w:val="24"/>
          <w:szCs w:val="24"/>
          <w:highlight w:val="none"/>
          <w:lang w:val="en-US" w:eastAsia="zh-CN"/>
        </w:rPr>
        <w:t>1、政</w:t>
      </w:r>
      <w:r>
        <w:rPr>
          <w:rFonts w:hint="eastAsia" w:ascii="仿宋" w:hAnsi="仿宋" w:eastAsia="仿宋" w:cs="仿宋"/>
          <w:b/>
          <w:color w:val="auto"/>
          <w:sz w:val="24"/>
          <w:szCs w:val="24"/>
          <w:highlight w:val="none"/>
        </w:rPr>
        <w:t>策性扣减范围</w:t>
      </w:r>
      <w:bookmarkEnd w:id="1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符合小型、微型企业或监狱企业</w:t>
      </w:r>
      <w:r>
        <w:rPr>
          <w:rFonts w:hint="eastAsia" w:ascii="仿宋" w:hAnsi="仿宋" w:eastAsia="仿宋" w:cs="仿宋"/>
          <w:color w:val="auto"/>
          <w:sz w:val="24"/>
          <w:szCs w:val="24"/>
          <w:highlight w:val="none"/>
          <w:lang w:eastAsia="zh-CN"/>
        </w:rPr>
        <w:t>、残疾人福利性单位</w:t>
      </w:r>
      <w:r>
        <w:rPr>
          <w:rFonts w:hint="eastAsia" w:ascii="仿宋" w:hAnsi="仿宋" w:eastAsia="仿宋" w:cs="仿宋"/>
          <w:color w:val="auto"/>
          <w:sz w:val="24"/>
          <w:szCs w:val="24"/>
          <w:highlight w:val="none"/>
        </w:rPr>
        <w:t>条件的，其投标报价价格评审时将按相应比例进行扣减。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1.2依据关于印发《政府采购促进中小企业发展管理办法》的通知（财库〔2020〕46号）的规定，在政府采购活动中，供应商提供的货物、工程或者服务符合下列情形的，享受中小企业扶持政策：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1.2.2在货物采购项目中，供应商提供的货物既有中小企业制造货物，也有大型企业制造货物的，不享受本办法规定的中小企业扶持政策。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1.2.3以联合体形式参加政府采购活动，联合体各方均为中小企业的，联合体视同中小企业。其中，联合体各方均为小微企业的，联合体视同小微企业。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1.2.4中小企业参加政府采购活动，应当出具符合财库〔2020〕46号规定的《中小企业声明函》,否则不得享受相关中小企业扶持政策。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1.3采购人拟采购产品属于优先采购节能、环境标志产品范围的，应当优先采购节能、环境标志产品；拟采购产品符合政府采购强制采购政策的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实行强制采购。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1.3.1</w:t>
      </w:r>
      <w:r>
        <w:rPr>
          <w:rFonts w:hint="eastAsia" w:ascii="仿宋" w:hAnsi="仿宋" w:eastAsia="仿宋" w:cs="仿宋"/>
          <w:color w:val="auto"/>
          <w:sz w:val="24"/>
          <w:szCs w:val="24"/>
          <w:highlight w:val="none"/>
        </w:rPr>
        <w:t>采购人依据节能产品、环境标志产品品目清单和节能、环境标志产品认证证书实施政府优先采购和强制采购。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监狱企业参加政府采购活动时，应当提供由省级以上监狱管理局、戒毒管理局(含新疆生产建设兵团)出具的属于监狱企业的证明文件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监狱企业参加政府采购活动时，视同</w:t>
      </w:r>
      <w:r>
        <w:rPr>
          <w:rFonts w:hint="eastAsia" w:ascii="仿宋" w:hAnsi="仿宋" w:eastAsia="仿宋" w:cs="仿宋"/>
          <w:color w:val="auto"/>
          <w:sz w:val="24"/>
          <w:szCs w:val="24"/>
          <w:highlight w:val="none"/>
          <w:lang w:eastAsia="zh-CN"/>
        </w:rPr>
        <w:t>小型、微型企业。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符合条件的残疾人福利性单位在参加政府采购活动时，应当提供《残疾人福利性单位声明函》，并对声明的真实性负责。残疾人福利性单位</w:t>
      </w:r>
      <w:r>
        <w:rPr>
          <w:rFonts w:hint="eastAsia" w:ascii="仿宋" w:hAnsi="仿宋" w:eastAsia="仿宋" w:cs="仿宋"/>
          <w:color w:val="auto"/>
          <w:sz w:val="24"/>
          <w:szCs w:val="24"/>
          <w:highlight w:val="none"/>
        </w:rPr>
        <w:t>参加政府采购活动时，视同</w:t>
      </w:r>
      <w:r>
        <w:rPr>
          <w:rFonts w:hint="eastAsia" w:ascii="仿宋" w:hAnsi="仿宋" w:eastAsia="仿宋" w:cs="仿宋"/>
          <w:color w:val="auto"/>
          <w:sz w:val="24"/>
          <w:szCs w:val="24"/>
          <w:highlight w:val="none"/>
          <w:lang w:eastAsia="zh-CN"/>
        </w:rPr>
        <w:t>小型、微型企业；</w:t>
      </w:r>
      <w:r>
        <w:rPr>
          <w:rFonts w:hint="eastAsia" w:ascii="仿宋" w:hAnsi="仿宋" w:eastAsia="仿宋" w:cs="仿宋"/>
          <w:color w:val="auto"/>
          <w:sz w:val="24"/>
          <w:szCs w:val="24"/>
          <w:highlight w:val="none"/>
          <w:lang w:eastAsia="zh-CN"/>
        </w:rPr>
        <w:t>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color w:val="auto"/>
          <w:sz w:val="24"/>
          <w:szCs w:val="24"/>
          <w:highlight w:val="none"/>
        </w:rPr>
      </w:pPr>
      <w:bookmarkStart w:id="115" w:name="_Toc6233"/>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政策性扣减方式</w:t>
      </w:r>
      <w:bookmarkEnd w:id="115"/>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eastAsia="zh-CN"/>
        </w:rPr>
        <w:t>对于</w:t>
      </w:r>
      <w:r>
        <w:rPr>
          <w:rFonts w:hint="eastAsia" w:ascii="仿宋" w:hAnsi="仿宋" w:eastAsia="仿宋" w:cs="仿宋"/>
          <w:color w:val="auto"/>
          <w:spacing w:val="8"/>
          <w:sz w:val="24"/>
          <w:szCs w:val="24"/>
          <w:highlight w:val="none"/>
        </w:rPr>
        <w:t>未预留份额专门</w:t>
      </w:r>
      <w:r>
        <w:rPr>
          <w:rFonts w:hint="eastAsia" w:ascii="仿宋" w:hAnsi="仿宋" w:eastAsia="仿宋" w:cs="仿宋"/>
          <w:color w:val="auto"/>
          <w:sz w:val="24"/>
          <w:szCs w:val="24"/>
          <w:highlight w:val="none"/>
        </w:rPr>
        <w:t>面向中小企业采购的采购项目，以及预留份额项目的非预</w:t>
      </w:r>
      <w:r>
        <w:rPr>
          <w:rFonts w:hint="eastAsia" w:ascii="仿宋" w:hAnsi="仿宋" w:eastAsia="仿宋" w:cs="仿宋"/>
          <w:color w:val="auto"/>
          <w:spacing w:val="-2"/>
          <w:sz w:val="24"/>
          <w:szCs w:val="24"/>
          <w:highlight w:val="none"/>
        </w:rPr>
        <w:t>留部分采购包</w:t>
      </w:r>
      <w:r>
        <w:rPr>
          <w:rFonts w:hint="eastAsia" w:ascii="仿宋" w:hAnsi="仿宋" w:eastAsia="仿宋" w:cs="仿宋"/>
          <w:color w:val="auto"/>
          <w:spacing w:val="-2"/>
          <w:sz w:val="24"/>
          <w:szCs w:val="24"/>
          <w:highlight w:val="none"/>
          <w:lang w:eastAsia="zh-CN"/>
        </w:rPr>
        <w:t>中</w:t>
      </w:r>
      <w:r>
        <w:rPr>
          <w:rFonts w:hint="eastAsia" w:ascii="仿宋" w:hAnsi="仿宋" w:eastAsia="仿宋" w:cs="仿宋"/>
          <w:color w:val="auto"/>
          <w:sz w:val="24"/>
          <w:szCs w:val="24"/>
          <w:highlight w:val="none"/>
          <w:lang w:val="en-US" w:eastAsia="zh-CN"/>
        </w:rPr>
        <w:t>符合条件的小微企业</w:t>
      </w:r>
      <w:r>
        <w:rPr>
          <w:rFonts w:hint="eastAsia" w:ascii="仿宋" w:hAnsi="仿宋" w:eastAsia="仿宋" w:cs="仿宋"/>
          <w:color w:val="auto"/>
          <w:sz w:val="24"/>
          <w:szCs w:val="24"/>
          <w:highlight w:val="none"/>
          <w:lang w:eastAsia="zh-CN"/>
        </w:rPr>
        <w:t>报价给予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%的扣除。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30%以上的，对联合体或者大中型企业的报价给予4%的扣除；组成联合体或者接受分包的小微企业与联合体内其他企业、分包企业之间存在直接控股、管理关系的，不享受价格扣除优惠政策。</w:t>
      </w:r>
      <w:r>
        <w:rPr>
          <w:rFonts w:hint="eastAsia" w:ascii="仿宋" w:hAnsi="仿宋" w:eastAsia="仿宋" w:cs="仿宋"/>
          <w:b/>
          <w:bCs/>
          <w:color w:val="auto"/>
          <w:sz w:val="24"/>
          <w:szCs w:val="24"/>
          <w:highlight w:val="none"/>
          <w:lang w:val="en-US" w:eastAsia="zh-CN"/>
        </w:rPr>
        <w:t>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监狱企业、</w:t>
      </w:r>
      <w:r>
        <w:rPr>
          <w:rFonts w:hint="eastAsia" w:ascii="仿宋" w:hAnsi="仿宋" w:eastAsia="仿宋" w:cs="仿宋"/>
          <w:color w:val="auto"/>
          <w:sz w:val="24"/>
          <w:szCs w:val="24"/>
          <w:highlight w:val="none"/>
        </w:rPr>
        <w:t>残疾人福利性单位视同小微企业，享受预留份额、评审中价格扣除等促进中小企业发展的政府采购政策。</w:t>
      </w:r>
      <w:r>
        <w:rPr>
          <w:rFonts w:hint="eastAsia" w:ascii="仿宋" w:hAnsi="仿宋" w:eastAsia="仿宋" w:cs="仿宋"/>
          <w:color w:val="auto"/>
          <w:sz w:val="24"/>
          <w:szCs w:val="24"/>
          <w:highlight w:val="none"/>
          <w:lang w:eastAsia="zh-CN"/>
        </w:rPr>
        <w:t>监狱企业、</w:t>
      </w:r>
      <w:r>
        <w:rPr>
          <w:rFonts w:hint="eastAsia" w:ascii="仿宋" w:hAnsi="仿宋" w:eastAsia="仿宋" w:cs="仿宋"/>
          <w:color w:val="auto"/>
          <w:sz w:val="24"/>
          <w:szCs w:val="24"/>
          <w:highlight w:val="none"/>
        </w:rPr>
        <w:t>残疾人福利性单位属于</w:t>
      </w:r>
      <w:r>
        <w:rPr>
          <w:rFonts w:hint="eastAsia" w:ascii="仿宋" w:hAnsi="仿宋" w:eastAsia="仿宋" w:cs="仿宋"/>
          <w:color w:val="auto"/>
          <w:sz w:val="24"/>
          <w:szCs w:val="24"/>
          <w:highlight w:val="none"/>
          <w:lang w:eastAsia="zh-CN"/>
        </w:rPr>
        <w:t>小微</w:t>
      </w:r>
      <w:r>
        <w:rPr>
          <w:rFonts w:hint="eastAsia" w:ascii="仿宋" w:hAnsi="仿宋" w:eastAsia="仿宋" w:cs="仿宋"/>
          <w:color w:val="auto"/>
          <w:sz w:val="24"/>
          <w:szCs w:val="24"/>
          <w:highlight w:val="none"/>
        </w:rPr>
        <w:t>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sz w:val="24"/>
          <w:szCs w:val="24"/>
          <w:highlight w:val="none"/>
          <w:lang w:val="en-US" w:eastAsia="zh-CN"/>
        </w:rPr>
        <w:t>4谈判产品属于优先采购的节能、环境标志产品范围的，须按照本章“四、政策性扣减 1、政策性扣减范围第1.3.2条规定提供相应的证明材料；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2.5每提供一个优先采购的节能或环境标志产品认证证书的，对其价格进行0.5%的扣减，最多扣减2%</w:t>
      </w:r>
      <w:r>
        <w:rPr>
          <w:rFonts w:hint="eastAsia" w:ascii="仿宋" w:hAnsi="仿宋" w:eastAsia="仿宋" w:cs="仿宋"/>
          <w:color w:val="auto"/>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享受支持中小型企业发展政策优惠的，可以同时享受节能、环境标志产品优先采购政策。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2"/>
        <w:rPr>
          <w:rFonts w:hint="eastAsia" w:ascii="仿宋" w:hAnsi="仿宋" w:eastAsia="仿宋" w:cs="仿宋"/>
          <w:b/>
          <w:bCs/>
          <w:color w:val="auto"/>
          <w:sz w:val="24"/>
          <w:szCs w:val="24"/>
          <w:highlight w:val="none"/>
        </w:rPr>
      </w:pPr>
      <w:bookmarkStart w:id="116" w:name="_Toc9089"/>
      <w:r>
        <w:rPr>
          <w:rFonts w:hint="eastAsia" w:ascii="仿宋" w:hAnsi="仿宋" w:eastAsia="仿宋" w:cs="仿宋"/>
          <w:b/>
          <w:bCs/>
          <w:color w:val="auto"/>
          <w:sz w:val="24"/>
          <w:szCs w:val="24"/>
          <w:highlight w:val="none"/>
        </w:rPr>
        <w:t>3、成交价格=成交供应商的</w:t>
      </w:r>
      <w:r>
        <w:rPr>
          <w:rFonts w:hint="eastAsia" w:ascii="仿宋" w:hAnsi="仿宋" w:eastAsia="仿宋" w:cs="仿宋"/>
          <w:b/>
          <w:bCs/>
          <w:color w:val="auto"/>
          <w:sz w:val="24"/>
          <w:szCs w:val="24"/>
          <w:highlight w:val="none"/>
          <w:lang w:eastAsia="zh-CN"/>
        </w:rPr>
        <w:t>最终谈判</w:t>
      </w:r>
      <w:r>
        <w:rPr>
          <w:rFonts w:hint="eastAsia" w:ascii="仿宋" w:hAnsi="仿宋" w:eastAsia="仿宋" w:cs="仿宋"/>
          <w:b/>
          <w:bCs/>
          <w:color w:val="auto"/>
          <w:sz w:val="24"/>
          <w:szCs w:val="24"/>
          <w:highlight w:val="none"/>
        </w:rPr>
        <w:t>报价</w:t>
      </w:r>
      <w:r>
        <w:rPr>
          <w:rFonts w:hint="eastAsia" w:ascii="仿宋" w:hAnsi="仿宋" w:eastAsia="仿宋" w:cs="仿宋"/>
          <w:b/>
          <w:bCs/>
          <w:color w:val="auto"/>
          <w:sz w:val="24"/>
          <w:szCs w:val="24"/>
          <w:highlight w:val="none"/>
        </w:rPr>
        <w:t>。</w:t>
      </w:r>
      <w:bookmarkEnd w:id="116"/>
    </w:p>
    <w:p>
      <w:pPr>
        <w:keepNext w:val="0"/>
        <w:keepLines w:val="0"/>
        <w:pageBreakBefore w:val="0"/>
        <w:widowControl w:val="0"/>
        <w:kinsoku/>
        <w:wordWrap/>
        <w:overflowPunct/>
        <w:topLinePunct w:val="0"/>
        <w:autoSpaceDE/>
        <w:autoSpaceDN/>
        <w:bidi w:val="0"/>
        <w:adjustRightInd/>
        <w:snapToGrid/>
        <w:spacing w:after="120" w:afterLines="50" w:line="360" w:lineRule="auto"/>
        <w:ind w:left="0" w:leftChars="0" w:right="0" w:rightChars="0"/>
        <w:jc w:val="both"/>
        <w:textAlignment w:val="auto"/>
        <w:outlineLvl w:val="1"/>
        <w:rPr>
          <w:rFonts w:hint="eastAsia" w:ascii="仿宋" w:hAnsi="仿宋" w:eastAsia="仿宋" w:cs="仿宋"/>
          <w:b/>
          <w:color w:val="auto"/>
          <w:kern w:val="0"/>
          <w:sz w:val="24"/>
          <w:szCs w:val="24"/>
          <w:highlight w:val="none"/>
          <w:lang w:eastAsia="zh-CN"/>
        </w:rPr>
      </w:pPr>
      <w:bookmarkStart w:id="117" w:name="_Toc20526"/>
      <w:r>
        <w:rPr>
          <w:rFonts w:hint="eastAsia" w:ascii="仿宋" w:hAnsi="仿宋" w:eastAsia="仿宋" w:cs="仿宋"/>
          <w:b/>
          <w:color w:val="auto"/>
          <w:kern w:val="0"/>
          <w:sz w:val="24"/>
          <w:szCs w:val="24"/>
          <w:highlight w:val="none"/>
          <w:lang w:eastAsia="zh-CN"/>
        </w:rPr>
        <w:t>七</w:t>
      </w: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成交</w:t>
      </w:r>
      <w:bookmarkEnd w:id="117"/>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1、谈判结果报告由谈判小组签字确认。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2、采购人根据谈判结果报告中推荐的成交候选人排列顺序确定成交人，以复函通知采购代理</w:t>
      </w:r>
      <w:r>
        <w:rPr>
          <w:rFonts w:hint="eastAsia" w:ascii="仿宋" w:hAnsi="仿宋" w:eastAsia="仿宋" w:cs="仿宋"/>
          <w:color w:val="auto"/>
          <w:sz w:val="24"/>
          <w:szCs w:val="24"/>
          <w:highlight w:val="none"/>
          <w:lang w:eastAsia="zh-CN"/>
        </w:rPr>
        <w:t>机构</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bCs/>
          <w:color w:val="auto"/>
          <w:spacing w:val="4"/>
          <w:kern w:val="2"/>
          <w:sz w:val="24"/>
          <w:szCs w:val="24"/>
          <w:highlight w:val="none"/>
          <w:lang w:val="en-US" w:eastAsia="zh-CN" w:bidi="ar-SA"/>
        </w:rPr>
      </w:pPr>
      <w:bookmarkStart w:id="118" w:name="_Toc1194"/>
      <w:bookmarkStart w:id="119" w:name="_Toc24123"/>
      <w:bookmarkStart w:id="120" w:name="_Toc1474"/>
      <w:bookmarkStart w:id="121" w:name="_Toc409690878"/>
      <w:bookmarkStart w:id="122" w:name="_Toc425781313"/>
      <w:r>
        <w:rPr>
          <w:rFonts w:hint="eastAsia" w:ascii="仿宋" w:hAnsi="仿宋" w:eastAsia="仿宋" w:cs="仿宋"/>
          <w:b/>
          <w:bCs/>
          <w:color w:val="auto"/>
          <w:spacing w:val="4"/>
          <w:kern w:val="2"/>
          <w:sz w:val="24"/>
          <w:szCs w:val="24"/>
          <w:highlight w:val="none"/>
          <w:lang w:val="en-US" w:eastAsia="zh-CN" w:bidi="ar-SA"/>
        </w:rPr>
        <w:t>八、特殊情况的处理</w:t>
      </w:r>
      <w:bookmarkEnd w:id="118"/>
    </w:p>
    <w:p>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计算错误将按以下方法更正：</w:t>
      </w:r>
    </w:p>
    <w:p>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谈判响应</w:t>
      </w:r>
      <w:r>
        <w:rPr>
          <w:rFonts w:hint="eastAsia" w:ascii="仿宋" w:hAnsi="仿宋" w:eastAsia="仿宋" w:cs="仿宋"/>
          <w:color w:val="auto"/>
          <w:sz w:val="24"/>
          <w:szCs w:val="24"/>
          <w:highlight w:val="none"/>
        </w:rPr>
        <w:t>文件中</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一览表(报价表)内容与</w:t>
      </w:r>
      <w:r>
        <w:rPr>
          <w:rFonts w:hint="eastAsia" w:ascii="仿宋" w:hAnsi="仿宋" w:eastAsia="仿宋" w:cs="仿宋"/>
          <w:color w:val="auto"/>
          <w:sz w:val="24"/>
          <w:szCs w:val="24"/>
          <w:highlight w:val="none"/>
          <w:lang w:eastAsia="zh-CN"/>
        </w:rPr>
        <w:t>谈判响应</w:t>
      </w:r>
      <w:r>
        <w:rPr>
          <w:rFonts w:hint="eastAsia" w:ascii="仿宋" w:hAnsi="仿宋" w:eastAsia="仿宋" w:cs="仿宋"/>
          <w:color w:val="auto"/>
          <w:sz w:val="24"/>
          <w:szCs w:val="24"/>
          <w:highlight w:val="none"/>
        </w:rPr>
        <w:t>文件中</w:t>
      </w:r>
      <w:r>
        <w:rPr>
          <w:rFonts w:hint="eastAsia" w:ascii="仿宋" w:hAnsi="仿宋" w:eastAsia="仿宋" w:cs="仿宋"/>
          <w:color w:val="auto"/>
          <w:sz w:val="24"/>
          <w:szCs w:val="24"/>
          <w:highlight w:val="none"/>
          <w:lang w:eastAsia="zh-CN"/>
        </w:rPr>
        <w:t>相应内容</w:t>
      </w:r>
      <w:r>
        <w:rPr>
          <w:rFonts w:hint="eastAsia" w:ascii="仿宋" w:hAnsi="仿宋" w:eastAsia="仿宋" w:cs="仿宋"/>
          <w:color w:val="auto"/>
          <w:sz w:val="24"/>
          <w:szCs w:val="24"/>
          <w:highlight w:val="none"/>
        </w:rPr>
        <w:t>总金额不一致的，以</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一览表(报价表)为准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如果单独密封的</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一览表(报价表)与</w:t>
      </w:r>
      <w:r>
        <w:rPr>
          <w:rFonts w:hint="eastAsia" w:ascii="仿宋" w:hAnsi="仿宋" w:eastAsia="仿宋" w:cs="仿宋"/>
          <w:color w:val="auto"/>
          <w:sz w:val="24"/>
          <w:szCs w:val="24"/>
          <w:highlight w:val="none"/>
          <w:lang w:eastAsia="zh-CN"/>
        </w:rPr>
        <w:t>谈判响应文件</w:t>
      </w:r>
      <w:r>
        <w:rPr>
          <w:rFonts w:hint="eastAsia" w:ascii="仿宋" w:hAnsi="仿宋" w:eastAsia="仿宋" w:cs="仿宋"/>
          <w:color w:val="auto"/>
          <w:sz w:val="24"/>
          <w:szCs w:val="24"/>
          <w:highlight w:val="none"/>
        </w:rPr>
        <w:t>正本的</w:t>
      </w:r>
      <w:r>
        <w:rPr>
          <w:rFonts w:hint="eastAsia" w:ascii="仿宋" w:hAnsi="仿宋" w:eastAsia="仿宋" w:cs="仿宋"/>
          <w:color w:val="auto"/>
          <w:sz w:val="24"/>
          <w:szCs w:val="24"/>
          <w:highlight w:val="none"/>
          <w:lang w:eastAsia="zh-CN"/>
        </w:rPr>
        <w:t>报价一览表</w:t>
      </w:r>
      <w:r>
        <w:rPr>
          <w:rFonts w:hint="eastAsia" w:ascii="仿宋" w:hAnsi="仿宋" w:eastAsia="仿宋" w:cs="仿宋"/>
          <w:color w:val="auto"/>
          <w:sz w:val="24"/>
          <w:szCs w:val="24"/>
          <w:highlight w:val="none"/>
        </w:rPr>
        <w:t>(报价表)不一致，以单独密封的</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一览表(报价表)为准。</w:t>
      </w:r>
    </w:p>
    <w:p>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1.2谈判响应</w:t>
      </w:r>
      <w:r>
        <w:rPr>
          <w:rFonts w:hint="eastAsia" w:ascii="仿宋" w:hAnsi="仿宋" w:eastAsia="仿宋" w:cs="仿宋"/>
          <w:color w:val="auto"/>
          <w:sz w:val="24"/>
          <w:szCs w:val="24"/>
          <w:highlight w:val="none"/>
        </w:rPr>
        <w:t>文件的大写金额和小写金额不一致的，以大写金额为准；</w:t>
      </w:r>
    </w:p>
    <w:p>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单价金额小数点或者百分比有明显错位的，以单独密封的报价一览表的总价为准，并修改单价；</w:t>
      </w:r>
    </w:p>
    <w:p>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总价金额与按单价汇总金额不一致的，以单价金额计算结果为准</w:t>
      </w:r>
      <w:r>
        <w:rPr>
          <w:rFonts w:hint="eastAsia" w:ascii="仿宋" w:hAnsi="仿宋" w:eastAsia="仿宋" w:cs="仿宋"/>
          <w:color w:val="auto"/>
          <w:sz w:val="24"/>
          <w:szCs w:val="24"/>
          <w:highlight w:val="none"/>
          <w:lang w:eastAsia="zh-CN"/>
        </w:rPr>
        <w:t>。</w:t>
      </w:r>
    </w:p>
    <w:p>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按上述修正的</w:t>
      </w:r>
      <w:r>
        <w:rPr>
          <w:rFonts w:hint="eastAsia" w:ascii="仿宋" w:hAnsi="仿宋" w:eastAsia="仿宋" w:cs="仿宋"/>
          <w:color w:val="auto"/>
          <w:sz w:val="24"/>
          <w:szCs w:val="24"/>
          <w:highlight w:val="none"/>
          <w:lang w:eastAsia="zh-CN"/>
        </w:rPr>
        <w:t>顺序和</w:t>
      </w:r>
      <w:r>
        <w:rPr>
          <w:rFonts w:hint="eastAsia" w:ascii="仿宋" w:hAnsi="仿宋" w:eastAsia="仿宋" w:cs="仿宋"/>
          <w:color w:val="auto"/>
          <w:sz w:val="24"/>
          <w:szCs w:val="24"/>
          <w:highlight w:val="none"/>
        </w:rPr>
        <w:t>方法调整的报价应对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具有约束力。如果</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不接受修正后的价格，其</w:t>
      </w:r>
      <w:r>
        <w:rPr>
          <w:rFonts w:hint="eastAsia" w:ascii="仿宋" w:hAnsi="仿宋" w:eastAsia="仿宋" w:cs="仿宋"/>
          <w:color w:val="auto"/>
          <w:sz w:val="24"/>
          <w:szCs w:val="24"/>
          <w:highlight w:val="none"/>
          <w:lang w:eastAsia="zh-CN"/>
        </w:rPr>
        <w:t>响应文件将按</w:t>
      </w:r>
      <w:r>
        <w:rPr>
          <w:rFonts w:hint="eastAsia" w:ascii="仿宋" w:hAnsi="仿宋" w:eastAsia="仿宋" w:cs="仿宋"/>
          <w:color w:val="auto"/>
          <w:sz w:val="24"/>
          <w:szCs w:val="24"/>
          <w:highlight w:val="none"/>
        </w:rPr>
        <w:t>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对于竞争性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响应文件中明显的标点符号错误或不构成实质性偏差的不正规、不一致或不规则，采购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可以接受。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出现下列情形之一的，采购人或者采购代理机构应当终止竞争性谈判采购活动，发布项目终止公告并说明原因，重新开展采购活动：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因情况变化，不再符合规定的竞争性谈判采购方式适用情形的；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在采购过程中符合竞争要求的供应商或者报价未超过采购预算的供应商不足3家的，</w:t>
      </w:r>
      <w:r>
        <w:rPr>
          <w:rFonts w:hint="eastAsia" w:ascii="仿宋" w:hAnsi="仿宋" w:eastAsia="仿宋" w:cs="仿宋"/>
          <w:color w:val="auto"/>
          <w:sz w:val="24"/>
          <w:szCs w:val="24"/>
          <w:highlight w:val="none"/>
          <w:lang w:eastAsia="zh-CN"/>
        </w:rPr>
        <w:t>但《政府采购非招标采购方式管理办法》（财政部</w:t>
      </w:r>
      <w:r>
        <w:rPr>
          <w:rFonts w:hint="eastAsia" w:ascii="仿宋" w:hAnsi="仿宋" w:eastAsia="仿宋" w:cs="仿宋"/>
          <w:color w:val="auto"/>
          <w:sz w:val="24"/>
          <w:szCs w:val="24"/>
          <w:highlight w:val="none"/>
          <w:lang w:val="en-US" w:eastAsia="zh-CN"/>
        </w:rPr>
        <w:t>74号令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第二十七条第二款规定的情形除外。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rFonts w:hint="eastAsia" w:ascii="仿宋" w:hAnsi="仿宋" w:eastAsia="仿宋" w:cs="仿宋"/>
          <w:b w:val="0"/>
          <w:bCs w:val="0"/>
          <w:color w:val="auto"/>
          <w:spacing w:val="4"/>
          <w:kern w:val="2"/>
          <w:sz w:val="24"/>
          <w:szCs w:val="24"/>
          <w:highlight w:val="none"/>
          <w:lang w:val="en-US" w:eastAsia="zh-CN" w:bidi="ar-SA"/>
        </w:rPr>
      </w:pPr>
      <w:r>
        <w:rPr>
          <w:rFonts w:hint="eastAsia" w:ascii="仿宋" w:hAnsi="仿宋" w:eastAsia="仿宋" w:cs="仿宋"/>
          <w:b w:val="0"/>
          <w:bCs w:val="0"/>
          <w:color w:val="auto"/>
          <w:spacing w:val="4"/>
          <w:kern w:val="2"/>
          <w:sz w:val="24"/>
          <w:szCs w:val="24"/>
          <w:highlight w:val="none"/>
          <w:lang w:val="en-US" w:eastAsia="zh-CN" w:bidi="ar-SA"/>
        </w:rPr>
        <w:t>4、谈判过程中，若出现本评审方法以外的特殊情况时，将暂停评审，待谈判小组商榷后，再进行评定。</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color w:val="auto"/>
          <w:spacing w:val="4"/>
          <w:kern w:val="2"/>
          <w:sz w:val="24"/>
          <w:szCs w:val="24"/>
          <w:highlight w:val="none"/>
          <w:lang w:val="en-US" w:eastAsia="zh-CN" w:bidi="ar-SA"/>
        </w:rPr>
      </w:pPr>
    </w:p>
    <w:p>
      <w:pPr>
        <w:pStyle w:val="2"/>
        <w:rPr>
          <w:rFonts w:hint="eastAsia" w:ascii="仿宋" w:hAnsi="仿宋" w:eastAsia="仿宋" w:cs="仿宋"/>
          <w:color w:val="auto"/>
          <w:spacing w:val="4"/>
          <w:kern w:val="2"/>
          <w:sz w:val="24"/>
          <w:szCs w:val="24"/>
          <w:highlight w:val="none"/>
          <w:lang w:val="en-US" w:eastAsia="zh-CN" w:bidi="ar-SA"/>
        </w:rPr>
      </w:pPr>
    </w:p>
    <w:p>
      <w:pPr>
        <w:pStyle w:val="2"/>
        <w:rPr>
          <w:rFonts w:hint="eastAsia" w:ascii="仿宋" w:hAnsi="仿宋" w:eastAsia="仿宋" w:cs="仿宋"/>
          <w:color w:val="auto"/>
          <w:spacing w:val="4"/>
          <w:kern w:val="2"/>
          <w:sz w:val="24"/>
          <w:szCs w:val="24"/>
          <w:highlight w:val="none"/>
          <w:lang w:val="en-US" w:eastAsia="zh-CN" w:bidi="ar-SA"/>
        </w:rPr>
      </w:pPr>
    </w:p>
    <w:p>
      <w:pPr>
        <w:pStyle w:val="2"/>
        <w:outlineLvl w:val="2"/>
        <w:rPr>
          <w:rFonts w:hint="eastAsia" w:ascii="仿宋" w:hAnsi="仿宋" w:eastAsia="仿宋" w:cs="仿宋"/>
          <w:color w:val="auto"/>
          <w:szCs w:val="24"/>
          <w:highlight w:val="none"/>
          <w:lang w:val="en-US" w:eastAsia="zh-CN"/>
        </w:rPr>
      </w:pPr>
      <w:r>
        <w:rPr>
          <w:rFonts w:hint="eastAsia" w:ascii="仿宋" w:hAnsi="仿宋" w:eastAsia="仿宋" w:cs="仿宋"/>
          <w:color w:val="auto"/>
          <w:spacing w:val="4"/>
          <w:kern w:val="2"/>
          <w:sz w:val="24"/>
          <w:szCs w:val="24"/>
          <w:highlight w:val="none"/>
          <w:lang w:val="en-US" w:eastAsia="zh-CN" w:bidi="ar-SA"/>
        </w:rPr>
        <w:br w:type="page"/>
      </w:r>
      <w:bookmarkStart w:id="123" w:name="_Toc2270"/>
      <w:r>
        <w:rPr>
          <w:rFonts w:hint="eastAsia" w:ascii="仿宋" w:hAnsi="仿宋" w:eastAsia="仿宋" w:cs="仿宋"/>
          <w:b/>
          <w:bCs/>
          <w:color w:val="auto"/>
          <w:sz w:val="24"/>
          <w:szCs w:val="24"/>
          <w:highlight w:val="none"/>
          <w:lang w:eastAsia="zh-CN"/>
        </w:rPr>
        <w:t>附件</w:t>
      </w:r>
      <w:r>
        <w:rPr>
          <w:rFonts w:hint="eastAsia" w:ascii="仿宋" w:hAnsi="仿宋" w:eastAsia="仿宋" w:cs="仿宋"/>
          <w:b/>
          <w:bCs/>
          <w:color w:val="auto"/>
          <w:sz w:val="24"/>
          <w:szCs w:val="24"/>
          <w:highlight w:val="none"/>
          <w:lang w:val="en-US" w:eastAsia="zh-CN"/>
        </w:rPr>
        <w:t>1：</w:t>
      </w:r>
      <w:bookmarkEnd w:id="123"/>
    </w:p>
    <w:p>
      <w:pPr>
        <w:pStyle w:val="2"/>
        <w:jc w:val="center"/>
        <w:outlineLvl w:val="2"/>
        <w:rPr>
          <w:rFonts w:hint="eastAsia" w:ascii="仿宋" w:hAnsi="仿宋" w:eastAsia="仿宋" w:cs="仿宋"/>
          <w:b/>
          <w:bCs/>
          <w:color w:val="auto"/>
          <w:sz w:val="24"/>
          <w:szCs w:val="24"/>
          <w:highlight w:val="none"/>
          <w:lang w:eastAsia="zh-CN"/>
        </w:rPr>
      </w:pPr>
      <w:bookmarkStart w:id="124" w:name="_Toc25530"/>
      <w:r>
        <w:rPr>
          <w:rFonts w:hint="eastAsia" w:ascii="仿宋" w:hAnsi="仿宋" w:eastAsia="仿宋" w:cs="仿宋"/>
          <w:b/>
          <w:bCs/>
          <w:color w:val="auto"/>
          <w:sz w:val="24"/>
          <w:szCs w:val="24"/>
          <w:highlight w:val="none"/>
          <w:lang w:eastAsia="zh-CN"/>
        </w:rPr>
        <w:t>初步审查要素表</w:t>
      </w:r>
      <w:bookmarkEnd w:id="124"/>
    </w:p>
    <w:tbl>
      <w:tblPr>
        <w:tblStyle w:val="27"/>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1268"/>
        <w:gridCol w:w="6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noWrap w:val="0"/>
            <w:vAlign w:val="center"/>
          </w:tcPr>
          <w:p>
            <w:pPr>
              <w:tabs>
                <w:tab w:val="left" w:pos="0"/>
              </w:tabs>
              <w:adjustRightInd w:val="0"/>
              <w:snapToGrid w:val="0"/>
              <w:jc w:val="center"/>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lang w:eastAsia="zh-CN"/>
              </w:rPr>
              <w:t>条款号</w:t>
            </w:r>
          </w:p>
        </w:tc>
        <w:tc>
          <w:tcPr>
            <w:tcW w:w="1835" w:type="dxa"/>
            <w:gridSpan w:val="2"/>
            <w:noWrap w:val="0"/>
            <w:vAlign w:val="center"/>
          </w:tcPr>
          <w:p>
            <w:pPr>
              <w:tabs>
                <w:tab w:val="left" w:pos="0"/>
              </w:tabs>
              <w:adjustRightInd w:val="0"/>
              <w:snapToGrid w:val="0"/>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评审因素</w:t>
            </w:r>
          </w:p>
        </w:tc>
        <w:tc>
          <w:tcPr>
            <w:tcW w:w="6320" w:type="dxa"/>
            <w:noWrap w:val="0"/>
            <w:vAlign w:val="center"/>
          </w:tcPr>
          <w:p>
            <w:pPr>
              <w:tabs>
                <w:tab w:val="left" w:pos="0"/>
              </w:tabs>
              <w:adjustRightInd w:val="0"/>
              <w:snapToGrid w:val="0"/>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2.1.1</w:t>
            </w:r>
          </w:p>
        </w:tc>
        <w:tc>
          <w:tcPr>
            <w:tcW w:w="600" w:type="dxa"/>
            <w:vMerge w:val="restart"/>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资格评审</w:t>
            </w:r>
          </w:p>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标准</w:t>
            </w:r>
          </w:p>
        </w:tc>
        <w:tc>
          <w:tcPr>
            <w:tcW w:w="1835" w:type="dxa"/>
            <w:gridSpan w:val="2"/>
            <w:vMerge w:val="restart"/>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基本资格条件</w:t>
            </w:r>
          </w:p>
        </w:tc>
        <w:tc>
          <w:tcPr>
            <w:tcW w:w="6320" w:type="dxa"/>
            <w:noWrap w:val="0"/>
            <w:vAlign w:val="center"/>
          </w:tcPr>
          <w:p>
            <w:pPr>
              <w:tabs>
                <w:tab w:val="left" w:pos="0"/>
              </w:tabs>
              <w:adjustRightInd w:val="0"/>
              <w:snapToGrid w:val="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b w:val="0"/>
                <w:bCs/>
                <w:color w:val="auto"/>
                <w:sz w:val="21"/>
                <w:szCs w:val="21"/>
                <w:highlight w:val="none"/>
                <w:lang w:eastAsia="zh-CN"/>
              </w:rPr>
              <w:t>提供合格有效的法人或者其他组织的营业执照等证明文件，自然人的身份证明；</w:t>
            </w:r>
          </w:p>
          <w:p>
            <w:pPr>
              <w:tabs>
                <w:tab w:val="left" w:pos="0"/>
              </w:tabs>
              <w:adjustRightInd w:val="0"/>
              <w:snapToGrid w:val="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供应商是法人或其他组织的应提供营业执照等证明文件，供应商是自然人的应提供有效的自然人身份证明。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gridSpan w:val="2"/>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320" w:type="dxa"/>
            <w:noWrap w:val="0"/>
            <w:vAlign w:val="center"/>
          </w:tcPr>
          <w:p>
            <w:pPr>
              <w:tabs>
                <w:tab w:val="left" w:pos="0"/>
              </w:tabs>
              <w:adjustRightInd w:val="0"/>
              <w:snapToGrid w:val="0"/>
              <w:jc w:val="left"/>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w:t>
            </w:r>
            <w:r>
              <w:rPr>
                <w:rFonts w:hint="eastAsia" w:ascii="仿宋" w:hAnsi="仿宋" w:eastAsia="仿宋" w:cs="仿宋"/>
                <w:b w:val="0"/>
                <w:bCs/>
                <w:color w:val="auto"/>
                <w:sz w:val="21"/>
                <w:szCs w:val="21"/>
                <w:highlight w:val="none"/>
                <w:lang w:val="en-US" w:eastAsia="zh-CN"/>
              </w:rPr>
              <w:t>提</w:t>
            </w:r>
            <w:r>
              <w:rPr>
                <w:rFonts w:hint="eastAsia" w:ascii="仿宋" w:hAnsi="仿宋" w:eastAsia="仿宋" w:cs="仿宋"/>
                <w:b w:val="0"/>
                <w:bCs/>
                <w:color w:val="auto"/>
                <w:sz w:val="21"/>
                <w:szCs w:val="21"/>
                <w:highlight w:val="none"/>
                <w:lang w:val="en-US" w:eastAsia="zh-CN"/>
              </w:rPr>
              <w:t>供2021年度经审计的财务报告（成立时间至提交谈判响应文件截止时间不足一年的可提供成立后任意时段的资产负债表）或基本存款账户开户银行出具的资信证明及基本存款账户开户许可证（基本账户信息）或财政部门认可的政府采购专业担保机构出具的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gridSpan w:val="2"/>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320" w:type="dxa"/>
            <w:noWrap w:val="0"/>
            <w:vAlign w:val="center"/>
          </w:tcPr>
          <w:p>
            <w:pPr>
              <w:tabs>
                <w:tab w:val="left" w:pos="0"/>
              </w:tabs>
              <w:adjustRightInd w:val="0"/>
              <w:snapToGrid w:val="0"/>
              <w:jc w:val="left"/>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w:t>
            </w:r>
            <w:r>
              <w:rPr>
                <w:rFonts w:hint="eastAsia" w:ascii="仿宋" w:hAnsi="仿宋" w:eastAsia="仿宋" w:cs="仿宋"/>
                <w:b w:val="0"/>
                <w:bCs/>
                <w:color w:val="auto"/>
                <w:sz w:val="21"/>
                <w:szCs w:val="21"/>
                <w:highlight w:val="none"/>
              </w:rPr>
              <w:t>提供具有履行合同所必需的设备和专业技术能力的承诺</w:t>
            </w:r>
            <w:r>
              <w:rPr>
                <w:rFonts w:hint="eastAsia" w:ascii="仿宋" w:hAnsi="仿宋" w:eastAsia="仿宋" w:cs="仿宋"/>
                <w:b w:val="0"/>
                <w:bCs/>
                <w:color w:val="auto"/>
                <w:sz w:val="21"/>
                <w:szCs w:val="21"/>
                <w:highlight w:val="none"/>
                <w:lang w:eastAsia="zh-CN"/>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gridSpan w:val="2"/>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320" w:type="dxa"/>
            <w:noWrap w:val="0"/>
            <w:vAlign w:val="center"/>
          </w:tcPr>
          <w:p>
            <w:pPr>
              <w:tabs>
                <w:tab w:val="left" w:pos="0"/>
              </w:tabs>
              <w:adjustRightInd w:val="0"/>
              <w:snapToGrid w:val="0"/>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4、提供谈判响应文件递交截止日前一年内已缴纳的至少一个月的纳税证明或完税证明，依法免税的单位应提供相关证明材料；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gridSpan w:val="2"/>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320" w:type="dxa"/>
            <w:noWrap w:val="0"/>
            <w:vAlign w:val="center"/>
          </w:tcPr>
          <w:p>
            <w:pPr>
              <w:tabs>
                <w:tab w:val="left" w:pos="0"/>
              </w:tabs>
              <w:adjustRightInd w:val="0"/>
              <w:snapToGrid w:val="0"/>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5、提供谈判响应文件递交截止日前一年内已缴存的至少一个月的社会保障资金缴存单据或社保机构开具的社会保险参保缴费情况证明，依法不需要缴纳社会保障资金的单位应提供相关证明材料；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gridSpan w:val="2"/>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6320" w:type="dxa"/>
            <w:noWrap w:val="0"/>
            <w:vAlign w:val="center"/>
          </w:tcPr>
          <w:p>
            <w:pPr>
              <w:tabs>
                <w:tab w:val="left" w:pos="0"/>
              </w:tabs>
              <w:adjustRightInd w:val="0"/>
              <w:snapToGrid w:val="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val="en-US" w:eastAsia="zh-CN"/>
              </w:rPr>
              <w:t>6、</w:t>
            </w:r>
            <w:r>
              <w:rPr>
                <w:rFonts w:hint="eastAsia" w:ascii="仿宋" w:hAnsi="仿宋" w:eastAsia="仿宋" w:cs="仿宋"/>
                <w:b w:val="0"/>
                <w:bCs/>
                <w:color w:val="auto"/>
                <w:sz w:val="21"/>
                <w:szCs w:val="21"/>
                <w:highlight w:val="none"/>
              </w:rPr>
              <w:t>参加政府采购活动前3年内，在经营活动中没有重大违法记录的书面声明</w:t>
            </w:r>
            <w:r>
              <w:rPr>
                <w:rFonts w:hint="eastAsia" w:ascii="仿宋" w:hAnsi="仿宋" w:eastAsia="仿宋" w:cs="仿宋"/>
                <w:b w:val="0"/>
                <w:bCs/>
                <w:color w:val="auto"/>
                <w:sz w:val="21"/>
                <w:szCs w:val="21"/>
                <w:highlight w:val="none"/>
                <w:lang w:eastAsia="zh-CN"/>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gridSpan w:val="2"/>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color w:val="auto"/>
                <w:sz w:val="21"/>
                <w:szCs w:val="21"/>
                <w:highlight w:val="none"/>
                <w:lang w:val="en-US" w:eastAsia="zh-CN"/>
              </w:rPr>
              <w:t>落实政府采购政策需满足的资格要求</w:t>
            </w:r>
          </w:p>
        </w:tc>
        <w:tc>
          <w:tcPr>
            <w:tcW w:w="6320" w:type="dxa"/>
            <w:noWrap w:val="0"/>
            <w:vAlign w:val="center"/>
          </w:tcPr>
          <w:p>
            <w:pPr>
              <w:tabs>
                <w:tab w:val="left" w:pos="0"/>
              </w:tabs>
              <w:adjustRightInd w:val="0"/>
              <w:snapToGrid w:val="0"/>
              <w:jc w:val="left"/>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rPr>
              <w:t>本项目专门面向中小企业采购，产品生产商应为中小微企业或监狱企业或残疾人福利性单位</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生产商</w:t>
            </w:r>
            <w:r>
              <w:rPr>
                <w:rFonts w:hint="eastAsia" w:ascii="仿宋" w:hAnsi="仿宋" w:eastAsia="仿宋" w:cs="仿宋"/>
                <w:b w:val="0"/>
                <w:bCs/>
                <w:color w:val="auto"/>
                <w:sz w:val="21"/>
                <w:szCs w:val="21"/>
                <w:highlight w:val="none"/>
                <w:lang w:val="en-US" w:eastAsia="zh-CN"/>
              </w:rPr>
              <w:t>为中型、小型、微型企业的，提供《中小企业声明函》；</w:t>
            </w:r>
            <w:r>
              <w:rPr>
                <w:rFonts w:hint="eastAsia" w:ascii="仿宋" w:hAnsi="仿宋" w:eastAsia="仿宋" w:cs="仿宋"/>
                <w:b w:val="0"/>
                <w:bCs/>
                <w:color w:val="auto"/>
                <w:sz w:val="21"/>
                <w:szCs w:val="21"/>
                <w:highlight w:val="none"/>
              </w:rPr>
              <w:t>生产商</w:t>
            </w:r>
            <w:r>
              <w:rPr>
                <w:rFonts w:hint="eastAsia" w:ascii="仿宋" w:hAnsi="仿宋" w:eastAsia="仿宋" w:cs="仿宋"/>
                <w:b w:val="0"/>
                <w:bCs/>
                <w:color w:val="auto"/>
                <w:sz w:val="21"/>
                <w:szCs w:val="21"/>
                <w:highlight w:val="none"/>
                <w:lang w:val="en-US" w:eastAsia="zh-CN"/>
              </w:rPr>
              <w:t>为监狱企业的，应提供监狱企业的证明文件；</w:t>
            </w:r>
            <w:r>
              <w:rPr>
                <w:rFonts w:hint="eastAsia" w:ascii="仿宋" w:hAnsi="仿宋" w:eastAsia="仿宋" w:cs="仿宋"/>
                <w:b w:val="0"/>
                <w:bCs/>
                <w:color w:val="auto"/>
                <w:sz w:val="21"/>
                <w:szCs w:val="21"/>
                <w:highlight w:val="none"/>
              </w:rPr>
              <w:t>生产商</w:t>
            </w:r>
            <w:r>
              <w:rPr>
                <w:rFonts w:hint="eastAsia" w:ascii="仿宋" w:hAnsi="仿宋" w:eastAsia="仿宋" w:cs="仿宋"/>
                <w:b w:val="0"/>
                <w:bCs/>
                <w:color w:val="auto"/>
                <w:sz w:val="21"/>
                <w:szCs w:val="21"/>
                <w:highlight w:val="none"/>
                <w:lang w:val="en-US" w:eastAsia="zh-CN"/>
              </w:rPr>
              <w:t>为残疾人福利性单位的，应提供《残疾人福利性单位声明函》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gridSpan w:val="2"/>
            <w:vMerge w:val="restart"/>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特定资格条件</w:t>
            </w:r>
          </w:p>
        </w:tc>
        <w:tc>
          <w:tcPr>
            <w:tcW w:w="6320" w:type="dxa"/>
            <w:noWrap w:val="0"/>
            <w:vAlign w:val="center"/>
          </w:tcPr>
          <w:p>
            <w:pPr>
              <w:tabs>
                <w:tab w:val="left" w:pos="0"/>
              </w:tabs>
              <w:adjustRightInd w:val="0"/>
              <w:snapToGrid w:val="0"/>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b w:val="0"/>
                <w:bCs/>
                <w:color w:val="auto"/>
                <w:sz w:val="21"/>
                <w:szCs w:val="21"/>
                <w:highlight w:val="none"/>
              </w:rPr>
              <w:t>法定代表人授权书（附法定代表人、被授权人身份证复印件）及被授权人身份证（法定代表人直接参加</w:t>
            </w:r>
            <w:r>
              <w:rPr>
                <w:rFonts w:hint="eastAsia" w:ascii="仿宋" w:hAnsi="仿宋" w:eastAsia="仿宋" w:cs="仿宋"/>
                <w:b w:val="0"/>
                <w:bCs/>
                <w:color w:val="auto"/>
                <w:sz w:val="21"/>
                <w:szCs w:val="21"/>
                <w:highlight w:val="none"/>
                <w:lang w:eastAsia="zh-CN"/>
              </w:rPr>
              <w:t>谈判</w:t>
            </w:r>
            <w:r>
              <w:rPr>
                <w:rFonts w:hint="eastAsia" w:ascii="仿宋" w:hAnsi="仿宋" w:eastAsia="仿宋" w:cs="仿宋"/>
                <w:b w:val="0"/>
                <w:bCs/>
                <w:color w:val="auto"/>
                <w:sz w:val="21"/>
                <w:szCs w:val="21"/>
                <w:highlight w:val="none"/>
              </w:rPr>
              <w:t>，须提供法定代表人身份证明及身份证原件）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gridSpan w:val="2"/>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6320" w:type="dxa"/>
            <w:noWrap w:val="0"/>
            <w:vAlign w:val="center"/>
          </w:tcPr>
          <w:p>
            <w:pP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val="en-US" w:eastAsia="zh-CN"/>
              </w:rPr>
              <w:t>2、供应商未被“信用中国”网站（www.creditchina.gov.cn）列入失信被执行人和重大税收违法失信主体，未被中国政府采购网（www.ccgp.gov.cn）列入政府采购严重违法失信行为记录名单</w:t>
            </w:r>
            <w:r>
              <w:rPr>
                <w:rFonts w:hint="eastAsia" w:ascii="仿宋" w:hAnsi="仿宋" w:eastAsia="仿宋" w:cs="仿宋"/>
                <w:b w:val="0"/>
                <w:bCs/>
                <w:color w:val="auto"/>
                <w:sz w:val="21"/>
                <w:szCs w:val="21"/>
                <w:highlight w:val="none"/>
                <w:lang w:eastAsia="zh-CN"/>
              </w:rPr>
              <w:t>；</w:t>
            </w:r>
            <w:r>
              <w:rPr>
                <w:rFonts w:hint="eastAsia" w:ascii="仿宋" w:hAnsi="仿宋" w:eastAsia="仿宋" w:cs="仿宋"/>
                <w:color w:val="auto"/>
                <w:kern w:val="0"/>
                <w:sz w:val="21"/>
                <w:szCs w:val="21"/>
                <w:highlight w:val="none"/>
                <w:lang w:val="en-US" w:eastAsia="zh-CN" w:bidi="ar-SA"/>
              </w:rPr>
              <w:t>（采购代理机构于本项目谈判公告发布后至谈判响应文件递交截止日查询相关信用记录，对列入失信被执行人、重大税收违法失信主体、政府采购严重违法失信行为记录名单及其他不符合《中华人民共和国政府采购法》</w:t>
            </w:r>
            <w:r>
              <w:rPr>
                <w:rFonts w:hint="eastAsia" w:ascii="仿宋" w:hAnsi="仿宋" w:eastAsia="仿宋" w:cs="仿宋"/>
                <w:color w:val="auto"/>
                <w:highlight w:val="none"/>
                <w:lang w:val="en-US" w:eastAsia="zh-CN"/>
              </w:rPr>
              <w:t>第二十二条规定的供应商，</w:t>
            </w:r>
            <w:r>
              <w:rPr>
                <w:rFonts w:hint="eastAsia" w:ascii="仿宋" w:hAnsi="仿宋" w:eastAsia="仿宋" w:cs="仿宋"/>
                <w:color w:val="auto"/>
                <w:kern w:val="0"/>
                <w:sz w:val="21"/>
                <w:szCs w:val="21"/>
                <w:highlight w:val="none"/>
                <w:lang w:val="en-US" w:eastAsia="zh-CN" w:bidi="ar-SA"/>
              </w:rPr>
              <w:t>采购代理机构将拒绝其参与政府采购活动，查询结果以电子或纸质方式留存）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5"/>
            <w:noWrap w:val="0"/>
            <w:vAlign w:val="center"/>
          </w:tcPr>
          <w:p>
            <w:pPr>
              <w:tabs>
                <w:tab w:val="left" w:pos="0"/>
              </w:tabs>
              <w:adjustRightInd w:val="0"/>
              <w:snapToGrid w:val="0"/>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注：</w:t>
            </w:r>
            <w:r>
              <w:rPr>
                <w:rFonts w:hint="eastAsia" w:ascii="仿宋" w:hAnsi="仿宋" w:eastAsia="仿宋" w:cs="仿宋"/>
                <w:b w:val="0"/>
                <w:bCs/>
                <w:color w:val="auto"/>
                <w:sz w:val="21"/>
                <w:szCs w:val="21"/>
                <w:highlight w:val="none"/>
              </w:rPr>
              <w:t>以上为必备</w:t>
            </w:r>
            <w:r>
              <w:rPr>
                <w:rFonts w:hint="eastAsia" w:ascii="仿宋" w:hAnsi="仿宋" w:eastAsia="仿宋" w:cs="仿宋"/>
                <w:b w:val="0"/>
                <w:bCs/>
                <w:color w:val="auto"/>
                <w:sz w:val="21"/>
                <w:szCs w:val="21"/>
                <w:highlight w:val="none"/>
                <w:lang w:eastAsia="zh-CN"/>
              </w:rPr>
              <w:t>资格条件</w:t>
            </w:r>
            <w:r>
              <w:rPr>
                <w:rFonts w:hint="eastAsia" w:ascii="仿宋" w:hAnsi="仿宋" w:eastAsia="仿宋" w:cs="仿宋"/>
                <w:b w:val="0"/>
                <w:bCs/>
                <w:color w:val="auto"/>
                <w:sz w:val="21"/>
                <w:szCs w:val="21"/>
                <w:highlight w:val="none"/>
              </w:rPr>
              <w:t>，缺一项或某项达不到要求，按无效</w:t>
            </w:r>
            <w:r>
              <w:rPr>
                <w:rFonts w:hint="eastAsia" w:ascii="仿宋" w:hAnsi="仿宋" w:eastAsia="仿宋" w:cs="仿宋"/>
                <w:b w:val="0"/>
                <w:bCs/>
                <w:color w:val="auto"/>
                <w:sz w:val="21"/>
                <w:szCs w:val="21"/>
                <w:highlight w:val="none"/>
                <w:lang w:eastAsia="zh-CN"/>
              </w:rPr>
              <w:t>文件</w:t>
            </w:r>
            <w:r>
              <w:rPr>
                <w:rFonts w:hint="eastAsia" w:ascii="仿宋" w:hAnsi="仿宋" w:eastAsia="仿宋" w:cs="仿宋"/>
                <w:b w:val="0"/>
                <w:bCs/>
                <w:color w:val="auto"/>
                <w:sz w:val="21"/>
                <w:szCs w:val="21"/>
                <w:highlight w:val="none"/>
              </w:rPr>
              <w:t>处理。资格审查时以</w:t>
            </w:r>
            <w:r>
              <w:rPr>
                <w:rFonts w:hint="eastAsia" w:ascii="仿宋" w:hAnsi="仿宋" w:eastAsia="仿宋" w:cs="仿宋"/>
                <w:b w:val="0"/>
                <w:bCs/>
                <w:color w:val="auto"/>
                <w:sz w:val="21"/>
                <w:szCs w:val="21"/>
                <w:highlight w:val="none"/>
                <w:lang w:eastAsia="zh-CN"/>
              </w:rPr>
              <w:t>谈判响应文件</w:t>
            </w:r>
            <w:r>
              <w:rPr>
                <w:rFonts w:hint="eastAsia" w:ascii="仿宋" w:hAnsi="仿宋" w:eastAsia="仿宋" w:cs="仿宋"/>
                <w:b w:val="0"/>
                <w:bCs/>
                <w:color w:val="auto"/>
                <w:sz w:val="21"/>
                <w:szCs w:val="21"/>
                <w:highlight w:val="none"/>
              </w:rPr>
              <w:t>中所附证明材料</w:t>
            </w:r>
            <w:r>
              <w:rPr>
                <w:rFonts w:hint="eastAsia" w:ascii="仿宋" w:hAnsi="仿宋" w:eastAsia="仿宋" w:cs="仿宋"/>
                <w:b w:val="0"/>
                <w:bCs/>
                <w:color w:val="auto"/>
                <w:sz w:val="21"/>
                <w:szCs w:val="21"/>
                <w:highlight w:val="none"/>
                <w:lang w:eastAsia="zh-CN"/>
              </w:rPr>
              <w:t>（信用中国和中国政府采购网信用记录可不提供，由代理机构查询并留存）</w:t>
            </w:r>
            <w:r>
              <w:rPr>
                <w:rFonts w:hint="eastAsia" w:ascii="仿宋" w:hAnsi="仿宋" w:eastAsia="仿宋" w:cs="仿宋"/>
                <w:b w:val="0"/>
                <w:bCs/>
                <w:color w:val="auto"/>
                <w:sz w:val="21"/>
                <w:szCs w:val="21"/>
                <w:highlight w:val="none"/>
              </w:rPr>
              <w:t>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noWrap w:val="0"/>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2.1.2</w:t>
            </w:r>
          </w:p>
        </w:tc>
        <w:tc>
          <w:tcPr>
            <w:tcW w:w="600" w:type="dxa"/>
            <w:vMerge w:val="restart"/>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符合性评审标准</w:t>
            </w:r>
          </w:p>
        </w:tc>
        <w:tc>
          <w:tcPr>
            <w:tcW w:w="567" w:type="dxa"/>
            <w:vMerge w:val="restart"/>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有效性审查</w:t>
            </w:r>
          </w:p>
        </w:tc>
        <w:tc>
          <w:tcPr>
            <w:tcW w:w="1268"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谈判响应文件</w:t>
            </w:r>
            <w:r>
              <w:rPr>
                <w:rFonts w:hint="eastAsia" w:ascii="仿宋" w:hAnsi="仿宋" w:eastAsia="仿宋" w:cs="仿宋"/>
                <w:b w:val="0"/>
                <w:bCs/>
                <w:color w:val="auto"/>
                <w:sz w:val="21"/>
                <w:szCs w:val="21"/>
                <w:highlight w:val="none"/>
              </w:rPr>
              <w:t>的签署盖章</w:t>
            </w:r>
          </w:p>
        </w:tc>
        <w:tc>
          <w:tcPr>
            <w:tcW w:w="6320"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谈判响应文件</w:t>
            </w:r>
            <w:r>
              <w:rPr>
                <w:rFonts w:hint="eastAsia" w:ascii="仿宋" w:hAnsi="仿宋" w:eastAsia="仿宋" w:cs="仿宋"/>
                <w:b w:val="0"/>
                <w:bCs/>
                <w:color w:val="auto"/>
                <w:sz w:val="21"/>
                <w:szCs w:val="21"/>
                <w:highlight w:val="none"/>
              </w:rPr>
              <w:t>上法定代表人或其授权代表人的签字齐全并加盖公章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600"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67"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268"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谈判响应文件</w:t>
            </w:r>
            <w:r>
              <w:rPr>
                <w:rFonts w:hint="eastAsia" w:ascii="仿宋" w:hAnsi="仿宋" w:eastAsia="仿宋" w:cs="仿宋"/>
                <w:b w:val="0"/>
                <w:bCs/>
                <w:color w:val="auto"/>
                <w:sz w:val="21"/>
                <w:szCs w:val="21"/>
                <w:highlight w:val="none"/>
              </w:rPr>
              <w:t>格式</w:t>
            </w:r>
          </w:p>
        </w:tc>
        <w:tc>
          <w:tcPr>
            <w:tcW w:w="6320"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应符合“</w:t>
            </w:r>
            <w:r>
              <w:rPr>
                <w:rFonts w:hint="eastAsia" w:ascii="仿宋" w:hAnsi="仿宋" w:eastAsia="仿宋" w:cs="仿宋"/>
                <w:b w:val="0"/>
                <w:bCs/>
                <w:color w:val="auto"/>
                <w:sz w:val="21"/>
                <w:szCs w:val="21"/>
                <w:highlight w:val="none"/>
                <w:lang w:eastAsia="zh-CN"/>
              </w:rPr>
              <w:t>谈判响应文件</w:t>
            </w:r>
            <w:r>
              <w:rPr>
                <w:rFonts w:hint="eastAsia" w:ascii="仿宋" w:hAnsi="仿宋" w:eastAsia="仿宋" w:cs="仿宋"/>
                <w:b w:val="0"/>
                <w:bCs/>
                <w:color w:val="auto"/>
                <w:sz w:val="21"/>
                <w:szCs w:val="21"/>
                <w:highlight w:val="none"/>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600"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67"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268"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报价</w:t>
            </w:r>
          </w:p>
        </w:tc>
        <w:tc>
          <w:tcPr>
            <w:tcW w:w="6320"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按谈判文件要求报价</w:t>
            </w:r>
            <w:r>
              <w:rPr>
                <w:rFonts w:hint="eastAsia" w:ascii="仿宋" w:hAnsi="仿宋" w:eastAsia="仿宋" w:cs="仿宋"/>
                <w:b w:val="0"/>
                <w:bCs/>
                <w:color w:val="auto"/>
                <w:sz w:val="21"/>
                <w:szCs w:val="21"/>
                <w:highlight w:val="none"/>
              </w:rPr>
              <w:t>，不得提交选择性报价</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且每轮报价不超过采购预算金额或最高限价。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67" w:type="dxa"/>
            <w:vMerge w:val="restart"/>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完整性审查</w:t>
            </w:r>
          </w:p>
        </w:tc>
        <w:tc>
          <w:tcPr>
            <w:tcW w:w="1268"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谈判响应文件</w:t>
            </w:r>
            <w:r>
              <w:rPr>
                <w:rFonts w:hint="eastAsia" w:ascii="仿宋" w:hAnsi="仿宋" w:eastAsia="仿宋" w:cs="仿宋"/>
                <w:b w:val="0"/>
                <w:bCs/>
                <w:color w:val="auto"/>
                <w:sz w:val="21"/>
                <w:szCs w:val="21"/>
                <w:highlight w:val="none"/>
              </w:rPr>
              <w:t>份数</w:t>
            </w:r>
          </w:p>
        </w:tc>
        <w:tc>
          <w:tcPr>
            <w:tcW w:w="6320"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应符合“</w:t>
            </w:r>
            <w:r>
              <w:rPr>
                <w:rFonts w:hint="eastAsia" w:ascii="仿宋" w:hAnsi="仿宋" w:eastAsia="仿宋" w:cs="仿宋"/>
                <w:b w:val="0"/>
                <w:bCs/>
                <w:color w:val="auto"/>
                <w:sz w:val="21"/>
                <w:szCs w:val="21"/>
                <w:highlight w:val="none"/>
                <w:lang w:eastAsia="zh-CN"/>
              </w:rPr>
              <w:t>供应商</w:t>
            </w:r>
            <w:r>
              <w:rPr>
                <w:rFonts w:hint="eastAsia" w:ascii="仿宋" w:hAnsi="仿宋" w:eastAsia="仿宋" w:cs="仿宋"/>
                <w:b w:val="0"/>
                <w:bCs/>
                <w:color w:val="auto"/>
                <w:sz w:val="21"/>
                <w:szCs w:val="21"/>
                <w:highlight w:val="none"/>
              </w:rPr>
              <w:t>须知前附表”规定的正本、副本、电子文件</w:t>
            </w:r>
            <w:r>
              <w:rPr>
                <w:rFonts w:hint="eastAsia" w:ascii="仿宋" w:hAnsi="仿宋" w:eastAsia="仿宋" w:cs="仿宋"/>
                <w:b w:val="0"/>
                <w:bCs/>
                <w:color w:val="auto"/>
                <w:sz w:val="21"/>
                <w:szCs w:val="21"/>
                <w:highlight w:val="none"/>
                <w:lang w:eastAsia="zh-CN"/>
              </w:rPr>
              <w:t>、报价一览表</w:t>
            </w:r>
            <w:r>
              <w:rPr>
                <w:rFonts w:hint="eastAsia" w:ascii="仿宋" w:hAnsi="仿宋" w:eastAsia="仿宋" w:cs="仿宋"/>
                <w:b w:val="0"/>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600"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67"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268"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谈判响应文件</w:t>
            </w:r>
            <w:r>
              <w:rPr>
                <w:rFonts w:hint="eastAsia" w:ascii="仿宋" w:hAnsi="仿宋" w:eastAsia="仿宋" w:cs="仿宋"/>
                <w:b w:val="0"/>
                <w:bCs/>
                <w:color w:val="auto"/>
                <w:sz w:val="21"/>
                <w:szCs w:val="21"/>
                <w:highlight w:val="none"/>
              </w:rPr>
              <w:t>内容</w:t>
            </w:r>
          </w:p>
        </w:tc>
        <w:tc>
          <w:tcPr>
            <w:tcW w:w="6320"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谈判响应文件</w:t>
            </w:r>
            <w:r>
              <w:rPr>
                <w:rFonts w:hint="eastAsia" w:ascii="仿宋" w:hAnsi="仿宋" w:eastAsia="仿宋" w:cs="仿宋"/>
                <w:b w:val="0"/>
                <w:bCs/>
                <w:color w:val="auto"/>
                <w:sz w:val="21"/>
                <w:szCs w:val="21"/>
                <w:highlight w:val="none"/>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67" w:type="dxa"/>
            <w:vMerge w:val="restart"/>
            <w:noWrap w:val="0"/>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响应性审查</w:t>
            </w:r>
          </w:p>
        </w:tc>
        <w:tc>
          <w:tcPr>
            <w:tcW w:w="1268"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对</w:t>
            </w:r>
            <w:r>
              <w:rPr>
                <w:rFonts w:hint="eastAsia" w:ascii="仿宋" w:hAnsi="仿宋" w:eastAsia="仿宋" w:cs="仿宋"/>
                <w:b w:val="0"/>
                <w:bCs/>
                <w:color w:val="auto"/>
                <w:sz w:val="21"/>
                <w:szCs w:val="21"/>
                <w:highlight w:val="none"/>
                <w:lang w:eastAsia="zh-CN"/>
              </w:rPr>
              <w:t>谈判文件</w:t>
            </w:r>
            <w:r>
              <w:rPr>
                <w:rFonts w:hint="eastAsia" w:ascii="仿宋" w:hAnsi="仿宋" w:eastAsia="仿宋" w:cs="仿宋"/>
                <w:b w:val="0"/>
                <w:bCs/>
                <w:color w:val="auto"/>
                <w:sz w:val="21"/>
                <w:szCs w:val="21"/>
                <w:highlight w:val="none"/>
              </w:rPr>
              <w:t>响应程度</w:t>
            </w:r>
          </w:p>
        </w:tc>
        <w:tc>
          <w:tcPr>
            <w:tcW w:w="6320"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要求</w:t>
            </w:r>
            <w:r>
              <w:rPr>
                <w:rFonts w:hint="eastAsia" w:ascii="仿宋" w:hAnsi="仿宋" w:eastAsia="仿宋" w:cs="仿宋"/>
                <w:b w:val="0"/>
                <w:bCs/>
                <w:color w:val="auto"/>
                <w:sz w:val="21"/>
                <w:szCs w:val="21"/>
                <w:highlight w:val="none"/>
                <w:lang w:eastAsia="zh-CN"/>
              </w:rPr>
              <w:t>实质性条款全部</w:t>
            </w:r>
            <w:r>
              <w:rPr>
                <w:rFonts w:hint="eastAsia" w:ascii="仿宋" w:hAnsi="仿宋" w:eastAsia="仿宋" w:cs="仿宋"/>
                <w:b w:val="0"/>
                <w:bCs/>
                <w:color w:val="auto"/>
                <w:sz w:val="21"/>
                <w:szCs w:val="21"/>
                <w:highlight w:val="none"/>
              </w:rPr>
              <w:t>响应，不能有采购人不能接受的附加条件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600"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67"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268"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交货</w:t>
            </w:r>
            <w:r>
              <w:rPr>
                <w:rFonts w:hint="eastAsia" w:ascii="仿宋" w:hAnsi="仿宋" w:eastAsia="仿宋" w:cs="仿宋"/>
                <w:b w:val="0"/>
                <w:bCs/>
                <w:color w:val="auto"/>
                <w:sz w:val="21"/>
                <w:szCs w:val="21"/>
                <w:highlight w:val="none"/>
              </w:rPr>
              <w:t>期</w:t>
            </w:r>
          </w:p>
        </w:tc>
        <w:tc>
          <w:tcPr>
            <w:tcW w:w="6320"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w:t>
            </w:r>
            <w:r>
              <w:rPr>
                <w:rFonts w:hint="eastAsia" w:ascii="仿宋" w:hAnsi="仿宋" w:eastAsia="仿宋" w:cs="仿宋"/>
                <w:b w:val="0"/>
                <w:bCs/>
                <w:color w:val="auto"/>
                <w:sz w:val="21"/>
                <w:szCs w:val="21"/>
                <w:highlight w:val="none"/>
                <w:lang w:eastAsia="zh-CN"/>
              </w:rPr>
              <w:t>谈判文件</w:t>
            </w:r>
            <w:r>
              <w:rPr>
                <w:rFonts w:hint="eastAsia" w:ascii="仿宋" w:hAnsi="仿宋" w:eastAsia="仿宋" w:cs="仿宋"/>
                <w:b w:val="0"/>
                <w:bCs/>
                <w:color w:val="auto"/>
                <w:sz w:val="21"/>
                <w:szCs w:val="21"/>
                <w:highlight w:val="none"/>
              </w:rPr>
              <w:t>中要求的</w:t>
            </w:r>
            <w:r>
              <w:rPr>
                <w:rFonts w:hint="eastAsia" w:ascii="仿宋" w:hAnsi="仿宋" w:eastAsia="仿宋" w:cs="仿宋"/>
                <w:b w:val="0"/>
                <w:bCs/>
                <w:color w:val="auto"/>
                <w:sz w:val="21"/>
                <w:szCs w:val="21"/>
                <w:highlight w:val="none"/>
                <w:lang w:eastAsia="zh-CN"/>
              </w:rPr>
              <w:t>交货</w:t>
            </w:r>
            <w:r>
              <w:rPr>
                <w:rFonts w:hint="eastAsia" w:ascii="仿宋" w:hAnsi="仿宋" w:eastAsia="仿宋" w:cs="仿宋"/>
                <w:b w:val="0"/>
                <w:bCs/>
                <w:color w:val="auto"/>
                <w:sz w:val="21"/>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600"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67"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268"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质保期</w:t>
            </w:r>
          </w:p>
        </w:tc>
        <w:tc>
          <w:tcPr>
            <w:tcW w:w="6320"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w:t>
            </w:r>
            <w:r>
              <w:rPr>
                <w:rFonts w:hint="eastAsia" w:ascii="仿宋" w:hAnsi="仿宋" w:eastAsia="仿宋" w:cs="仿宋"/>
                <w:b w:val="0"/>
                <w:bCs/>
                <w:color w:val="auto"/>
                <w:sz w:val="21"/>
                <w:szCs w:val="21"/>
                <w:highlight w:val="none"/>
                <w:lang w:eastAsia="zh-CN"/>
              </w:rPr>
              <w:t>谈判文件</w:t>
            </w:r>
            <w:r>
              <w:rPr>
                <w:rFonts w:hint="eastAsia" w:ascii="仿宋" w:hAnsi="仿宋" w:eastAsia="仿宋" w:cs="仿宋"/>
                <w:b w:val="0"/>
                <w:bCs/>
                <w:color w:val="auto"/>
                <w:sz w:val="21"/>
                <w:szCs w:val="21"/>
                <w:highlight w:val="none"/>
              </w:rPr>
              <w:t>中要求的</w:t>
            </w:r>
            <w:r>
              <w:rPr>
                <w:rFonts w:hint="eastAsia" w:ascii="仿宋" w:hAnsi="仿宋" w:eastAsia="仿宋" w:cs="仿宋"/>
                <w:b w:val="0"/>
                <w:bCs/>
                <w:color w:val="auto"/>
                <w:sz w:val="21"/>
                <w:szCs w:val="21"/>
                <w:highlight w:val="none"/>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600"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67" w:type="dxa"/>
            <w:vMerge w:val="continue"/>
            <w:noWrap w:val="0"/>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268"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投标有效期</w:t>
            </w:r>
          </w:p>
        </w:tc>
        <w:tc>
          <w:tcPr>
            <w:tcW w:w="6320" w:type="dxa"/>
            <w:noWrap w:val="0"/>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w:t>
            </w:r>
            <w:r>
              <w:rPr>
                <w:rFonts w:hint="eastAsia" w:ascii="仿宋" w:hAnsi="仿宋" w:eastAsia="仿宋" w:cs="仿宋"/>
                <w:b w:val="0"/>
                <w:bCs/>
                <w:color w:val="auto"/>
                <w:sz w:val="21"/>
                <w:szCs w:val="21"/>
                <w:highlight w:val="none"/>
                <w:lang w:eastAsia="zh-CN"/>
              </w:rPr>
              <w:t>谈判文件</w:t>
            </w:r>
            <w:r>
              <w:rPr>
                <w:rFonts w:hint="eastAsia" w:ascii="仿宋" w:hAnsi="仿宋" w:eastAsia="仿宋" w:cs="仿宋"/>
                <w:b w:val="0"/>
                <w:bCs/>
                <w:color w:val="auto"/>
                <w:sz w:val="21"/>
                <w:szCs w:val="21"/>
                <w:highlight w:val="none"/>
              </w:rPr>
              <w:t>中的规定</w:t>
            </w:r>
          </w:p>
        </w:tc>
      </w:tr>
    </w:tbl>
    <w:p>
      <w:pPr>
        <w:pStyle w:val="2"/>
        <w:rPr>
          <w:rFonts w:hint="eastAsia" w:ascii="仿宋" w:hAnsi="仿宋" w:eastAsia="仿宋" w:cs="仿宋"/>
          <w:color w:val="auto"/>
          <w:spacing w:val="4"/>
          <w:kern w:val="2"/>
          <w:sz w:val="24"/>
          <w:szCs w:val="24"/>
          <w:highlight w:val="none"/>
          <w:lang w:val="en-US" w:eastAsia="zh-CN" w:bidi="ar-SA"/>
        </w:rPr>
        <w:sectPr>
          <w:headerReference r:id="rId5" w:type="default"/>
          <w:footerReference r:id="rId6" w:type="default"/>
          <w:pgSz w:w="11907" w:h="16840"/>
          <w:pgMar w:top="1417" w:right="1417" w:bottom="1417" w:left="1417" w:header="851" w:footer="850" w:gutter="0"/>
          <w:pgNumType w:fmt="decimal" w:start="1"/>
          <w:cols w:space="720" w:num="1"/>
          <w:rtlGutter w:val="0"/>
          <w:docGrid w:linePitch="286" w:charSpace="0"/>
        </w:sectPr>
      </w:pPr>
    </w:p>
    <w:bookmarkEnd w:id="119"/>
    <w:bookmarkEnd w:id="120"/>
    <w:bookmarkEnd w:id="121"/>
    <w:p>
      <w:pPr>
        <w:pStyle w:val="3"/>
        <w:numPr>
          <w:ilvl w:val="0"/>
          <w:numId w:val="8"/>
        </w:numPr>
        <w:outlineLvl w:val="0"/>
        <w:rPr>
          <w:rFonts w:hint="eastAsia" w:ascii="仿宋" w:hAnsi="仿宋" w:eastAsia="仿宋" w:cs="仿宋"/>
          <w:b/>
          <w:bCs/>
          <w:color w:val="auto"/>
          <w:sz w:val="36"/>
          <w:szCs w:val="36"/>
          <w:highlight w:val="none"/>
          <w:lang w:eastAsia="zh-CN"/>
        </w:rPr>
      </w:pPr>
      <w:bookmarkStart w:id="125" w:name="_Toc30578"/>
      <w:bookmarkStart w:id="126" w:name="_Toc404670157"/>
      <w:r>
        <w:rPr>
          <w:rFonts w:hint="eastAsia" w:ascii="仿宋" w:hAnsi="仿宋" w:eastAsia="仿宋" w:cs="仿宋"/>
          <w:b/>
          <w:bCs/>
          <w:color w:val="auto"/>
          <w:sz w:val="36"/>
          <w:szCs w:val="36"/>
          <w:highlight w:val="none"/>
          <w:lang w:eastAsia="zh-CN"/>
        </w:rPr>
        <w:t>竞争性谈判响应文件格式及构成</w:t>
      </w:r>
      <w:bookmarkEnd w:id="122"/>
      <w:bookmarkEnd w:id="125"/>
      <w:bookmarkEnd w:id="126"/>
    </w:p>
    <w:p>
      <w:pPr>
        <w:rPr>
          <w:rFonts w:hint="eastAsia" w:ascii="仿宋" w:hAnsi="仿宋" w:eastAsia="仿宋" w:cs="仿宋"/>
          <w:b/>
          <w:color w:val="auto"/>
          <w:sz w:val="36"/>
          <w:szCs w:val="36"/>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val="en-US" w:eastAsia="zh-CN"/>
        </w:rPr>
        <w:t>HXGJXM2022-ZC-JT1006</w:t>
      </w:r>
    </w:p>
    <w:p>
      <w:pPr>
        <w:ind w:firstLine="5405" w:firstLineChars="1923"/>
        <w:rPr>
          <w:rFonts w:hint="eastAsia" w:ascii="仿宋" w:hAnsi="仿宋" w:eastAsia="仿宋" w:cs="仿宋"/>
          <w:b/>
          <w:color w:val="auto"/>
          <w:sz w:val="36"/>
          <w:szCs w:val="36"/>
          <w:highlight w:val="none"/>
        </w:r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（正本或副本）</w:t>
      </w:r>
    </w:p>
    <w:p>
      <w:pPr>
        <w:jc w:val="center"/>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jc w:val="center"/>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西安市莲湖区市民中心视讯采集数据</w:t>
      </w:r>
    </w:p>
    <w:p>
      <w:pPr>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lang w:eastAsia="zh-CN"/>
        </w:rPr>
        <w:t>中心升级项目</w:t>
      </w:r>
    </w:p>
    <w:p>
      <w:pPr>
        <w:jc w:val="cente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竞争性谈判响应文件</w:t>
      </w:r>
    </w:p>
    <w:p>
      <w:pPr>
        <w:jc w:val="center"/>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tabs>
          <w:tab w:val="center" w:pos="5346"/>
        </w:tabs>
        <w:spacing w:line="42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谈判</w:t>
      </w:r>
      <w:r>
        <w:rPr>
          <w:rFonts w:hint="eastAsia" w:ascii="仿宋" w:hAnsi="仿宋" w:eastAsia="仿宋" w:cs="仿宋"/>
          <w:b/>
          <w:color w:val="auto"/>
          <w:sz w:val="32"/>
          <w:szCs w:val="32"/>
          <w:highlight w:val="none"/>
          <w:lang w:eastAsia="zh-CN"/>
        </w:rPr>
        <w:t>供应商</w:t>
      </w:r>
      <w:r>
        <w:rPr>
          <w:rFonts w:hint="eastAsia" w:ascii="仿宋" w:hAnsi="仿宋" w:eastAsia="仿宋" w:cs="仿宋"/>
          <w:b/>
          <w:color w:val="auto"/>
          <w:sz w:val="32"/>
          <w:szCs w:val="32"/>
          <w:highlight w:val="none"/>
        </w:rPr>
        <w:t>名称（盖章）</w:t>
      </w:r>
    </w:p>
    <w:p>
      <w:pPr>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2"/>
          <w:szCs w:val="32"/>
          <w:highlight w:val="none"/>
        </w:rPr>
        <w:t>年  月</w:t>
      </w:r>
      <w:r>
        <w:rPr>
          <w:rFonts w:hint="eastAsia" w:ascii="仿宋" w:hAnsi="仿宋" w:eastAsia="仿宋" w:cs="仿宋"/>
          <w:b/>
          <w:color w:val="auto"/>
          <w:sz w:val="32"/>
          <w:szCs w:val="32"/>
          <w:highlight w:val="none"/>
          <w:lang w:val="en-US" w:eastAsia="zh-CN"/>
        </w:rPr>
        <w:t xml:space="preserve">  日</w:t>
      </w:r>
    </w:p>
    <w:p>
      <w:pPr>
        <w:jc w:val="both"/>
        <w:rPr>
          <w:rFonts w:hint="eastAsia" w:ascii="仿宋" w:hAnsi="仿宋" w:eastAsia="仿宋" w:cs="仿宋"/>
          <w:b/>
          <w:bCs/>
          <w:color w:val="auto"/>
          <w:spacing w:val="4"/>
          <w:sz w:val="32"/>
          <w:szCs w:val="32"/>
          <w:highlight w:val="none"/>
        </w:rPr>
      </w:pPr>
    </w:p>
    <w:p>
      <w:pPr>
        <w:jc w:val="center"/>
        <w:rPr>
          <w:rFonts w:hint="eastAsia" w:ascii="仿宋" w:hAnsi="仿宋" w:eastAsia="仿宋" w:cs="仿宋"/>
          <w:b/>
          <w:bCs/>
          <w:color w:val="auto"/>
          <w:spacing w:val="4"/>
          <w:sz w:val="32"/>
          <w:szCs w:val="32"/>
          <w:highlight w:val="none"/>
        </w:rPr>
      </w:pPr>
    </w:p>
    <w:p>
      <w:pPr>
        <w:jc w:val="center"/>
        <w:rPr>
          <w:rFonts w:hint="eastAsia" w:ascii="仿宋" w:hAnsi="仿宋" w:eastAsia="仿宋" w:cs="仿宋"/>
          <w:b/>
          <w:bCs/>
          <w:color w:val="auto"/>
          <w:spacing w:val="4"/>
          <w:sz w:val="44"/>
          <w:szCs w:val="44"/>
          <w:highlight w:val="none"/>
        </w:rPr>
      </w:pPr>
    </w:p>
    <w:p>
      <w:pPr>
        <w:pStyle w:val="2"/>
        <w:rPr>
          <w:rFonts w:hint="eastAsia" w:ascii="仿宋" w:hAnsi="仿宋" w:eastAsia="仿宋" w:cs="仿宋"/>
          <w:color w:val="auto"/>
          <w:highlight w:val="none"/>
        </w:rPr>
      </w:pPr>
    </w:p>
    <w:p>
      <w:pPr>
        <w:jc w:val="center"/>
        <w:rPr>
          <w:rFonts w:hint="eastAsia" w:ascii="仿宋" w:hAnsi="仿宋" w:eastAsia="仿宋" w:cs="仿宋"/>
          <w:b/>
          <w:bCs/>
          <w:color w:val="auto"/>
          <w:spacing w:val="4"/>
          <w:sz w:val="44"/>
          <w:szCs w:val="44"/>
          <w:highlight w:val="none"/>
        </w:rPr>
      </w:pPr>
      <w:r>
        <w:rPr>
          <w:rFonts w:hint="eastAsia" w:ascii="仿宋" w:hAnsi="仿宋" w:eastAsia="仿宋" w:cs="仿宋"/>
          <w:b/>
          <w:bCs/>
          <w:color w:val="auto"/>
          <w:spacing w:val="4"/>
          <w:sz w:val="44"/>
          <w:szCs w:val="44"/>
          <w:highlight w:val="none"/>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eastAsia="zh-CN"/>
        </w:rPr>
        <w:t>一、</w:t>
      </w:r>
      <w:r>
        <w:rPr>
          <w:rFonts w:hint="eastAsia" w:ascii="仿宋" w:hAnsi="仿宋" w:eastAsia="仿宋" w:cs="仿宋"/>
          <w:color w:val="auto"/>
          <w:spacing w:val="4"/>
          <w:sz w:val="24"/>
          <w:szCs w:val="24"/>
          <w:highlight w:val="none"/>
        </w:rPr>
        <w:t>谈判响应函</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eastAsia="zh-CN"/>
        </w:rPr>
        <w:t>二、</w:t>
      </w:r>
      <w:r>
        <w:rPr>
          <w:rFonts w:hint="eastAsia" w:ascii="仿宋" w:hAnsi="仿宋" w:eastAsia="仿宋" w:cs="仿宋"/>
          <w:color w:val="auto"/>
          <w:spacing w:val="4"/>
          <w:sz w:val="24"/>
          <w:szCs w:val="24"/>
          <w:highlight w:val="none"/>
        </w:rPr>
        <w:t>谈判报价表 (报价一览表)</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eastAsia="zh-CN"/>
        </w:rPr>
        <w:t>三、</w:t>
      </w:r>
      <w:r>
        <w:rPr>
          <w:rFonts w:hint="eastAsia" w:ascii="仿宋" w:hAnsi="仿宋" w:eastAsia="仿宋" w:cs="仿宋"/>
          <w:color w:val="auto"/>
          <w:sz w:val="24"/>
          <w:szCs w:val="24"/>
          <w:highlight w:val="none"/>
        </w:rPr>
        <w:t>谈判方案说明书</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商务</w:t>
      </w:r>
      <w:r>
        <w:rPr>
          <w:rFonts w:hint="eastAsia" w:ascii="仿宋" w:hAnsi="仿宋" w:eastAsia="仿宋" w:cs="仿宋"/>
          <w:color w:val="auto"/>
          <w:sz w:val="24"/>
          <w:szCs w:val="24"/>
          <w:highlight w:val="none"/>
          <w:lang w:eastAsia="zh-CN"/>
        </w:rPr>
        <w:t>条款偏</w:t>
      </w:r>
      <w:r>
        <w:rPr>
          <w:rFonts w:hint="eastAsia" w:ascii="仿宋" w:hAnsi="仿宋" w:eastAsia="仿宋" w:cs="仿宋"/>
          <w:color w:val="auto"/>
          <w:sz w:val="24"/>
          <w:szCs w:val="24"/>
          <w:highlight w:val="none"/>
          <w:lang w:eastAsia="zh-CN"/>
        </w:rPr>
        <w:t>离表</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五、供应商</w:t>
      </w:r>
      <w:r>
        <w:rPr>
          <w:rFonts w:hint="eastAsia" w:ascii="仿宋" w:hAnsi="仿宋" w:eastAsia="仿宋" w:cs="仿宋"/>
          <w:color w:val="auto"/>
          <w:sz w:val="24"/>
          <w:szCs w:val="24"/>
          <w:highlight w:val="none"/>
        </w:rPr>
        <w:t>承诺书</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资格证明文件</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七、其它资料      </w:t>
      </w:r>
      <w:r>
        <w:rPr>
          <w:rFonts w:hint="eastAsia" w:ascii="仿宋" w:hAnsi="仿宋" w:eastAsia="仿宋" w:cs="仿宋"/>
          <w:color w:val="auto"/>
          <w:sz w:val="24"/>
          <w:szCs w:val="24"/>
          <w:highlight w:val="none"/>
          <w:lang w:eastAsia="zh-CN"/>
        </w:rPr>
        <w:t xml:space="preserve"> </w:t>
      </w:r>
    </w:p>
    <w:p>
      <w:pPr>
        <w:spacing w:line="480" w:lineRule="auto"/>
        <w:ind w:firstLine="1574" w:firstLineChars="635"/>
        <w:rPr>
          <w:rFonts w:hint="eastAsia" w:ascii="仿宋" w:hAnsi="仿宋" w:eastAsia="仿宋" w:cs="仿宋"/>
          <w:color w:val="auto"/>
          <w:spacing w:val="4"/>
          <w:sz w:val="24"/>
          <w:szCs w:val="24"/>
          <w:highlight w:val="none"/>
        </w:rPr>
      </w:pPr>
    </w:p>
    <w:p>
      <w:pPr>
        <w:spacing w:line="480" w:lineRule="auto"/>
        <w:ind w:left="105"/>
        <w:rPr>
          <w:rFonts w:hint="eastAsia" w:ascii="仿宋" w:hAnsi="仿宋" w:eastAsia="仿宋" w:cs="仿宋"/>
          <w:color w:val="auto"/>
          <w:spacing w:val="4"/>
          <w:sz w:val="24"/>
          <w:szCs w:val="24"/>
          <w:highlight w:val="none"/>
        </w:rPr>
      </w:pPr>
    </w:p>
    <w:p>
      <w:pPr>
        <w:spacing w:line="440" w:lineRule="exact"/>
        <w:jc w:val="center"/>
        <w:rPr>
          <w:rFonts w:hint="eastAsia" w:ascii="仿宋" w:hAnsi="仿宋" w:eastAsia="仿宋" w:cs="仿宋"/>
          <w:b/>
          <w:color w:val="auto"/>
          <w:spacing w:val="4"/>
          <w:sz w:val="32"/>
          <w:szCs w:val="32"/>
          <w:highlight w:val="none"/>
        </w:rPr>
      </w:pPr>
    </w:p>
    <w:p>
      <w:pPr>
        <w:spacing w:line="440" w:lineRule="exact"/>
        <w:jc w:val="center"/>
        <w:rPr>
          <w:rFonts w:hint="eastAsia" w:ascii="仿宋" w:hAnsi="仿宋" w:eastAsia="仿宋" w:cs="仿宋"/>
          <w:b/>
          <w:color w:val="auto"/>
          <w:spacing w:val="4"/>
          <w:sz w:val="32"/>
          <w:szCs w:val="32"/>
          <w:highlight w:val="none"/>
        </w:rPr>
      </w:pPr>
    </w:p>
    <w:p>
      <w:pPr>
        <w:spacing w:line="440" w:lineRule="exact"/>
        <w:jc w:val="center"/>
        <w:rPr>
          <w:rFonts w:hint="eastAsia" w:ascii="仿宋" w:hAnsi="仿宋" w:eastAsia="仿宋" w:cs="仿宋"/>
          <w:b/>
          <w:color w:val="auto"/>
          <w:spacing w:val="4"/>
          <w:sz w:val="32"/>
          <w:szCs w:val="32"/>
          <w:highlight w:val="none"/>
        </w:rPr>
      </w:pPr>
    </w:p>
    <w:p>
      <w:pPr>
        <w:spacing w:line="440" w:lineRule="exact"/>
        <w:jc w:val="center"/>
        <w:rPr>
          <w:rFonts w:hint="eastAsia" w:ascii="仿宋" w:hAnsi="仿宋" w:eastAsia="仿宋" w:cs="仿宋"/>
          <w:b/>
          <w:color w:val="auto"/>
          <w:spacing w:val="4"/>
          <w:sz w:val="32"/>
          <w:szCs w:val="32"/>
          <w:highlight w:val="none"/>
        </w:rPr>
      </w:pPr>
    </w:p>
    <w:p>
      <w:pPr>
        <w:pStyle w:val="2"/>
        <w:rPr>
          <w:rFonts w:hint="eastAsia" w:ascii="仿宋" w:hAnsi="仿宋" w:eastAsia="仿宋" w:cs="仿宋"/>
          <w:b/>
          <w:color w:val="auto"/>
          <w:spacing w:val="4"/>
          <w:sz w:val="32"/>
          <w:szCs w:val="32"/>
          <w:highlight w:val="none"/>
        </w:rPr>
      </w:pPr>
    </w:p>
    <w:p>
      <w:pPr>
        <w:pStyle w:val="2"/>
        <w:rPr>
          <w:rFonts w:hint="eastAsia" w:ascii="仿宋" w:hAnsi="仿宋" w:eastAsia="仿宋" w:cs="仿宋"/>
          <w:b/>
          <w:color w:val="auto"/>
          <w:spacing w:val="4"/>
          <w:sz w:val="32"/>
          <w:szCs w:val="32"/>
          <w:highlight w:val="none"/>
        </w:rPr>
      </w:pPr>
    </w:p>
    <w:p>
      <w:pPr>
        <w:pStyle w:val="2"/>
        <w:rPr>
          <w:rFonts w:hint="eastAsia" w:ascii="仿宋" w:hAnsi="仿宋" w:eastAsia="仿宋" w:cs="仿宋"/>
          <w:b/>
          <w:color w:val="auto"/>
          <w:spacing w:val="4"/>
          <w:sz w:val="32"/>
          <w:szCs w:val="32"/>
          <w:highlight w:val="none"/>
        </w:rPr>
      </w:pPr>
    </w:p>
    <w:p>
      <w:pPr>
        <w:spacing w:line="440" w:lineRule="exact"/>
        <w:jc w:val="center"/>
        <w:rPr>
          <w:rFonts w:hint="eastAsia" w:ascii="仿宋" w:hAnsi="仿宋" w:eastAsia="仿宋" w:cs="仿宋"/>
          <w:b/>
          <w:color w:val="auto"/>
          <w:spacing w:val="4"/>
          <w:sz w:val="32"/>
          <w:szCs w:val="32"/>
          <w:highlight w:val="none"/>
        </w:rPr>
      </w:pPr>
    </w:p>
    <w:p>
      <w:pPr>
        <w:spacing w:line="440" w:lineRule="exact"/>
        <w:jc w:val="center"/>
        <w:rPr>
          <w:rFonts w:hint="eastAsia" w:ascii="仿宋" w:hAnsi="仿宋" w:eastAsia="仿宋" w:cs="仿宋"/>
          <w:b/>
          <w:color w:val="auto"/>
          <w:spacing w:val="4"/>
          <w:sz w:val="32"/>
          <w:szCs w:val="32"/>
          <w:highlight w:val="none"/>
        </w:rPr>
      </w:pPr>
    </w:p>
    <w:p>
      <w:pPr>
        <w:spacing w:line="440" w:lineRule="exact"/>
        <w:jc w:val="center"/>
        <w:rPr>
          <w:rFonts w:hint="eastAsia" w:ascii="仿宋" w:hAnsi="仿宋" w:eastAsia="仿宋" w:cs="仿宋"/>
          <w:b/>
          <w:color w:val="auto"/>
          <w:spacing w:val="4"/>
          <w:sz w:val="32"/>
          <w:szCs w:val="32"/>
          <w:highlight w:val="none"/>
        </w:rPr>
      </w:pPr>
    </w:p>
    <w:p>
      <w:pPr>
        <w:spacing w:line="440" w:lineRule="exact"/>
        <w:jc w:val="center"/>
        <w:rPr>
          <w:rFonts w:hint="eastAsia" w:ascii="仿宋" w:hAnsi="仿宋" w:eastAsia="仿宋" w:cs="仿宋"/>
          <w:b/>
          <w:color w:val="auto"/>
          <w:spacing w:val="4"/>
          <w:sz w:val="32"/>
          <w:szCs w:val="32"/>
          <w:highlight w:val="none"/>
        </w:rPr>
      </w:pPr>
    </w:p>
    <w:p>
      <w:pPr>
        <w:spacing w:line="440" w:lineRule="exact"/>
        <w:jc w:val="center"/>
        <w:outlineLvl w:val="1"/>
        <w:rPr>
          <w:rFonts w:hint="eastAsia" w:ascii="仿宋" w:hAnsi="仿宋" w:eastAsia="仿宋" w:cs="仿宋"/>
          <w:b/>
          <w:color w:val="auto"/>
          <w:spacing w:val="4"/>
          <w:sz w:val="32"/>
          <w:szCs w:val="32"/>
          <w:highlight w:val="none"/>
        </w:rPr>
      </w:pPr>
      <w:r>
        <w:rPr>
          <w:rFonts w:hint="eastAsia" w:ascii="仿宋" w:hAnsi="仿宋" w:eastAsia="仿宋" w:cs="仿宋"/>
          <w:b/>
          <w:color w:val="auto"/>
          <w:spacing w:val="4"/>
          <w:sz w:val="32"/>
          <w:szCs w:val="32"/>
          <w:highlight w:val="none"/>
        </w:rPr>
        <w:br w:type="page"/>
      </w:r>
      <w:bookmarkStart w:id="127" w:name="_Toc32600"/>
      <w:r>
        <w:rPr>
          <w:rFonts w:hint="eastAsia" w:ascii="仿宋" w:hAnsi="仿宋" w:eastAsia="仿宋" w:cs="仿宋"/>
          <w:b/>
          <w:color w:val="auto"/>
          <w:spacing w:val="4"/>
          <w:sz w:val="32"/>
          <w:szCs w:val="32"/>
          <w:highlight w:val="none"/>
        </w:rPr>
        <w:t>一、谈判响应函</w:t>
      </w:r>
      <w:bookmarkEnd w:id="127"/>
    </w:p>
    <w:p>
      <w:pPr>
        <w:spacing w:line="440" w:lineRule="exact"/>
        <w:jc w:val="left"/>
        <w:rPr>
          <w:rFonts w:hint="eastAsia" w:ascii="仿宋" w:hAnsi="仿宋" w:eastAsia="仿宋" w:cs="仿宋"/>
          <w:color w:val="auto"/>
          <w:spacing w:val="4"/>
          <w:sz w:val="24"/>
          <w:highlight w:val="none"/>
        </w:rPr>
      </w:pPr>
    </w:p>
    <w:p>
      <w:pPr>
        <w:spacing w:line="440" w:lineRule="exact"/>
        <w:jc w:val="left"/>
        <w:rPr>
          <w:rFonts w:hint="eastAsia" w:ascii="仿宋" w:hAnsi="仿宋" w:eastAsia="仿宋" w:cs="仿宋"/>
          <w:color w:val="auto"/>
          <w:spacing w:val="4"/>
          <w:sz w:val="24"/>
          <w:highlight w:val="none"/>
          <w:u w:val="single"/>
          <w:lang w:eastAsia="zh-CN"/>
        </w:rPr>
      </w:pPr>
      <w:r>
        <w:rPr>
          <w:rFonts w:hint="eastAsia" w:ascii="仿宋" w:hAnsi="仿宋" w:eastAsia="仿宋" w:cs="仿宋"/>
          <w:color w:val="auto"/>
          <w:spacing w:val="4"/>
          <w:sz w:val="24"/>
          <w:highlight w:val="none"/>
        </w:rPr>
        <w:t>致：</w:t>
      </w:r>
      <w:r>
        <w:rPr>
          <w:rFonts w:hint="eastAsia" w:ascii="仿宋" w:hAnsi="仿宋" w:eastAsia="仿宋" w:cs="仿宋"/>
          <w:color w:val="auto"/>
          <w:spacing w:val="4"/>
          <w:sz w:val="24"/>
          <w:highlight w:val="none"/>
          <w:u w:val="single"/>
          <w:lang w:eastAsia="zh-CN"/>
        </w:rPr>
        <w:t>西安市莲湖区行政审批服务局</w:t>
      </w:r>
      <w:r>
        <w:rPr>
          <w:rFonts w:hint="eastAsia" w:ascii="仿宋" w:hAnsi="仿宋" w:eastAsia="仿宋" w:cs="仿宋"/>
          <w:color w:val="auto"/>
          <w:spacing w:val="4"/>
          <w:sz w:val="24"/>
          <w:highlight w:val="none"/>
          <w:u w:val="single"/>
          <w:lang w:val="en-US" w:eastAsia="zh-CN"/>
        </w:rPr>
        <w:t>/</w:t>
      </w:r>
      <w:r>
        <w:rPr>
          <w:rFonts w:hint="eastAsia" w:ascii="仿宋" w:hAnsi="仿宋" w:eastAsia="仿宋" w:cs="仿宋"/>
          <w:color w:val="auto"/>
          <w:spacing w:val="4"/>
          <w:sz w:val="24"/>
          <w:highlight w:val="none"/>
          <w:u w:val="single"/>
          <w:lang w:eastAsia="zh-CN"/>
        </w:rPr>
        <w:t>华夏国际项目管理有限公司</w:t>
      </w:r>
    </w:p>
    <w:p>
      <w:pPr>
        <w:spacing w:line="440" w:lineRule="exact"/>
        <w:jc w:val="left"/>
        <w:rPr>
          <w:rFonts w:hint="eastAsia" w:ascii="仿宋" w:hAnsi="仿宋" w:eastAsia="仿宋" w:cs="仿宋"/>
          <w:color w:val="auto"/>
          <w:spacing w:val="4"/>
          <w:sz w:val="24"/>
          <w:highlight w:val="none"/>
          <w:u w:val="single"/>
        </w:rPr>
      </w:pPr>
    </w:p>
    <w:p>
      <w:pPr>
        <w:spacing w:line="440" w:lineRule="exact"/>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根据贵方“ </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”项目的谈判邀请</w:t>
      </w:r>
      <w:r>
        <w:rPr>
          <w:rFonts w:hint="eastAsia" w:ascii="仿宋" w:hAnsi="仿宋" w:eastAsia="仿宋" w:cs="仿宋"/>
          <w:color w:val="auto"/>
          <w:spacing w:val="4"/>
          <w:sz w:val="24"/>
          <w:highlight w:val="none"/>
          <w:u w:val="single"/>
        </w:rPr>
        <w:t>(项目编号：            )</w:t>
      </w:r>
      <w:r>
        <w:rPr>
          <w:rFonts w:hint="eastAsia" w:ascii="仿宋" w:hAnsi="仿宋" w:eastAsia="仿宋" w:cs="仿宋"/>
          <w:color w:val="auto"/>
          <w:spacing w:val="4"/>
          <w:sz w:val="24"/>
          <w:highlight w:val="none"/>
        </w:rPr>
        <w:t>，签字代表</w:t>
      </w:r>
      <w:r>
        <w:rPr>
          <w:rFonts w:hint="eastAsia" w:ascii="仿宋" w:hAnsi="仿宋" w:eastAsia="仿宋" w:cs="仿宋"/>
          <w:color w:val="auto"/>
          <w:spacing w:val="4"/>
          <w:sz w:val="24"/>
          <w:highlight w:val="none"/>
          <w:u w:val="single"/>
        </w:rPr>
        <w:t>（全名、职务）</w:t>
      </w:r>
      <w:r>
        <w:rPr>
          <w:rFonts w:hint="eastAsia" w:ascii="仿宋" w:hAnsi="仿宋" w:eastAsia="仿宋" w:cs="仿宋"/>
          <w:color w:val="auto"/>
          <w:spacing w:val="4"/>
          <w:sz w:val="24"/>
          <w:highlight w:val="none"/>
        </w:rPr>
        <w:t>经正式授权并代表谈判</w:t>
      </w:r>
      <w:r>
        <w:rPr>
          <w:rFonts w:hint="eastAsia" w:ascii="仿宋" w:hAnsi="仿宋" w:eastAsia="仿宋" w:cs="仿宋"/>
          <w:color w:val="auto"/>
          <w:spacing w:val="4"/>
          <w:sz w:val="24"/>
          <w:highlight w:val="none"/>
          <w:lang w:eastAsia="zh-CN"/>
        </w:rPr>
        <w:t>供应商</w:t>
      </w:r>
      <w:r>
        <w:rPr>
          <w:rFonts w:hint="eastAsia" w:ascii="仿宋" w:hAnsi="仿宋" w:eastAsia="仿宋" w:cs="仿宋"/>
          <w:color w:val="auto"/>
          <w:spacing w:val="4"/>
          <w:sz w:val="24"/>
          <w:highlight w:val="none"/>
          <w:u w:val="single"/>
        </w:rPr>
        <w:t>(谈判</w:t>
      </w:r>
      <w:r>
        <w:rPr>
          <w:rFonts w:hint="eastAsia" w:ascii="仿宋" w:hAnsi="仿宋" w:eastAsia="仿宋" w:cs="仿宋"/>
          <w:color w:val="auto"/>
          <w:spacing w:val="4"/>
          <w:sz w:val="24"/>
          <w:highlight w:val="none"/>
          <w:u w:val="single"/>
          <w:lang w:eastAsia="zh-CN"/>
        </w:rPr>
        <w:t>供应商</w:t>
      </w:r>
      <w:r>
        <w:rPr>
          <w:rFonts w:hint="eastAsia" w:ascii="仿宋" w:hAnsi="仿宋" w:eastAsia="仿宋" w:cs="仿宋"/>
          <w:color w:val="auto"/>
          <w:spacing w:val="4"/>
          <w:sz w:val="24"/>
          <w:highlight w:val="none"/>
          <w:u w:val="single"/>
        </w:rPr>
        <w:t>名称、地址)</w:t>
      </w:r>
      <w:r>
        <w:rPr>
          <w:rFonts w:hint="eastAsia" w:ascii="仿宋" w:hAnsi="仿宋" w:eastAsia="仿宋" w:cs="仿宋"/>
          <w:color w:val="auto"/>
          <w:spacing w:val="4"/>
          <w:sz w:val="24"/>
          <w:highlight w:val="none"/>
        </w:rPr>
        <w:t xml:space="preserve"> 提交竞争性谈判响应文件正本一份</w:t>
      </w:r>
      <w:r>
        <w:rPr>
          <w:rFonts w:hint="eastAsia" w:ascii="仿宋" w:hAnsi="仿宋" w:eastAsia="仿宋" w:cs="仿宋"/>
          <w:color w:val="auto"/>
          <w:spacing w:val="4"/>
          <w:sz w:val="24"/>
          <w:highlight w:val="none"/>
        </w:rPr>
        <w:t>、副本一式</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rPr>
        <w:t>份</w:t>
      </w:r>
      <w:r>
        <w:rPr>
          <w:rFonts w:hint="eastAsia" w:ascii="仿宋" w:hAnsi="仿宋" w:eastAsia="仿宋" w:cs="仿宋"/>
          <w:color w:val="auto"/>
          <w:spacing w:val="4"/>
          <w:sz w:val="24"/>
          <w:highlight w:val="none"/>
          <w:lang w:eastAsia="zh-CN"/>
        </w:rPr>
        <w:t>，电子版</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u w:val="none"/>
          <w:lang w:val="en-US" w:eastAsia="zh-CN"/>
        </w:rPr>
        <w:t>份，</w:t>
      </w:r>
      <w:r>
        <w:rPr>
          <w:rFonts w:hint="eastAsia" w:ascii="仿宋" w:hAnsi="仿宋" w:eastAsia="仿宋" w:cs="仿宋"/>
          <w:color w:val="auto"/>
          <w:spacing w:val="4"/>
          <w:sz w:val="24"/>
          <w:highlight w:val="none"/>
          <w:lang w:eastAsia="zh-CN"/>
        </w:rPr>
        <w:t>报价一览表</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lang w:val="en-US" w:eastAsia="zh-CN"/>
        </w:rPr>
        <w:t>份</w:t>
      </w:r>
      <w:r>
        <w:rPr>
          <w:rFonts w:hint="eastAsia" w:ascii="仿宋" w:hAnsi="仿宋" w:eastAsia="仿宋" w:cs="仿宋"/>
          <w:color w:val="auto"/>
          <w:spacing w:val="4"/>
          <w:sz w:val="24"/>
          <w:highlight w:val="none"/>
        </w:rPr>
        <w:t>。</w:t>
      </w:r>
    </w:p>
    <w:p>
      <w:pPr>
        <w:spacing w:line="440" w:lineRule="exact"/>
        <w:ind w:left="549" w:leftChars="251" w:hanging="22" w:hangingChars="9"/>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我方承诺如下：</w:t>
      </w:r>
    </w:p>
    <w:p>
      <w:pPr>
        <w:numPr>
          <w:ilvl w:val="0"/>
          <w:numId w:val="9"/>
        </w:numPr>
        <w:tabs>
          <w:tab w:val="left" w:pos="2160"/>
        </w:tabs>
        <w:spacing w:line="440" w:lineRule="exact"/>
        <w:ind w:left="0" w:firstLine="0"/>
        <w:jc w:val="lef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highlight w:val="none"/>
        </w:rPr>
        <w:t>谈判</w:t>
      </w:r>
      <w:r>
        <w:rPr>
          <w:rFonts w:hint="eastAsia" w:ascii="仿宋" w:hAnsi="仿宋" w:eastAsia="仿宋" w:cs="仿宋"/>
          <w:color w:val="auto"/>
          <w:spacing w:val="4"/>
          <w:sz w:val="24"/>
          <w:szCs w:val="24"/>
          <w:highlight w:val="none"/>
        </w:rPr>
        <w:t>报价为</w:t>
      </w:r>
      <w:r>
        <w:rPr>
          <w:rFonts w:hint="eastAsia" w:ascii="仿宋" w:hAnsi="仿宋" w:eastAsia="仿宋" w:cs="仿宋"/>
          <w:color w:val="auto"/>
          <w:spacing w:val="4"/>
          <w:sz w:val="24"/>
          <w:szCs w:val="24"/>
          <w:highlight w:val="none"/>
          <w:lang w:eastAsia="zh-CN"/>
        </w:rPr>
        <w:t>小写：</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eastAsia="zh-CN"/>
        </w:rPr>
        <w:t>大写：</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4"/>
          <w:sz w:val="24"/>
          <w:szCs w:val="24"/>
          <w:highlight w:val="none"/>
        </w:rPr>
        <w:t>）。</w:t>
      </w:r>
    </w:p>
    <w:p>
      <w:pPr>
        <w:numPr>
          <w:ilvl w:val="0"/>
          <w:numId w:val="9"/>
        </w:numPr>
        <w:tabs>
          <w:tab w:val="left" w:pos="2160"/>
        </w:tabs>
        <w:spacing w:line="440" w:lineRule="exact"/>
        <w:ind w:left="0" w:firstLine="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szCs w:val="24"/>
          <w:highlight w:val="none"/>
        </w:rPr>
        <w:t>如果成交，我们根据竞争性谈判文件的规定，履行合同的责任和义</w:t>
      </w:r>
      <w:r>
        <w:rPr>
          <w:rFonts w:hint="eastAsia" w:ascii="仿宋" w:hAnsi="仿宋" w:eastAsia="仿宋" w:cs="仿宋"/>
          <w:color w:val="auto"/>
          <w:spacing w:val="4"/>
          <w:sz w:val="24"/>
          <w:szCs w:val="24"/>
          <w:highlight w:val="none"/>
        </w:rPr>
        <w:t>务</w:t>
      </w:r>
      <w:r>
        <w:rPr>
          <w:rFonts w:hint="eastAsia" w:ascii="仿宋" w:hAnsi="仿宋" w:eastAsia="仿宋" w:cs="仿宋"/>
          <w:color w:val="auto"/>
          <w:spacing w:val="4"/>
          <w:sz w:val="24"/>
          <w:highlight w:val="none"/>
        </w:rPr>
        <w:t>。</w:t>
      </w:r>
    </w:p>
    <w:p>
      <w:pPr>
        <w:numPr>
          <w:ilvl w:val="0"/>
          <w:numId w:val="9"/>
        </w:numPr>
        <w:tabs>
          <w:tab w:val="left" w:pos="2160"/>
        </w:tabs>
        <w:spacing w:line="440" w:lineRule="exact"/>
        <w:ind w:left="0" w:firstLine="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我们已详细阅读和审核全部竞争性谈判文件（含修改部分，如有的话），及有关附件，我们知道必须放弃提出含糊不清或误解的问题的权利。</w:t>
      </w:r>
    </w:p>
    <w:p>
      <w:pPr>
        <w:numPr>
          <w:ilvl w:val="0"/>
          <w:numId w:val="9"/>
        </w:numPr>
        <w:tabs>
          <w:tab w:val="left" w:pos="2160"/>
        </w:tabs>
        <w:spacing w:line="440" w:lineRule="exact"/>
        <w:ind w:left="0" w:firstLine="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我们同意在谈判有效期内（自谈判之日起</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天），本谈判响应函对我方具有约束力。</w:t>
      </w:r>
    </w:p>
    <w:p>
      <w:pPr>
        <w:numPr>
          <w:ilvl w:val="0"/>
          <w:numId w:val="9"/>
        </w:numPr>
        <w:tabs>
          <w:tab w:val="left" w:pos="2160"/>
        </w:tabs>
        <w:spacing w:line="440" w:lineRule="exact"/>
        <w:ind w:left="0" w:firstLine="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eastAsia="zh-CN"/>
        </w:rPr>
        <w:t>我方承诺不在谈判有效期内撤回谈判响应文</w:t>
      </w:r>
      <w:r>
        <w:rPr>
          <w:rFonts w:hint="eastAsia" w:ascii="仿宋" w:hAnsi="仿宋" w:eastAsia="仿宋" w:cs="仿宋"/>
          <w:color w:val="auto"/>
          <w:spacing w:val="4"/>
          <w:sz w:val="24"/>
          <w:highlight w:val="none"/>
          <w:lang w:eastAsia="zh-CN"/>
        </w:rPr>
        <w:t>件，否则将依法承担相应的责任</w:t>
      </w:r>
      <w:r>
        <w:rPr>
          <w:rFonts w:hint="eastAsia" w:ascii="仿宋" w:hAnsi="仿宋" w:eastAsia="仿宋" w:cs="仿宋"/>
          <w:color w:val="auto"/>
          <w:spacing w:val="4"/>
          <w:sz w:val="24"/>
          <w:highlight w:val="none"/>
        </w:rPr>
        <w:t>。</w:t>
      </w:r>
    </w:p>
    <w:p>
      <w:pPr>
        <w:numPr>
          <w:ilvl w:val="0"/>
          <w:numId w:val="9"/>
        </w:numPr>
        <w:tabs>
          <w:tab w:val="left" w:pos="2160"/>
        </w:tabs>
        <w:spacing w:line="440" w:lineRule="exact"/>
        <w:ind w:left="0" w:firstLine="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同意提供贵方可能另外要求的与本谈判有关的任何证据和资料。 </w:t>
      </w:r>
    </w:p>
    <w:p>
      <w:pPr>
        <w:numPr>
          <w:ilvl w:val="0"/>
          <w:numId w:val="9"/>
        </w:numPr>
        <w:tabs>
          <w:tab w:val="left" w:pos="2160"/>
        </w:tabs>
        <w:spacing w:line="440" w:lineRule="exact"/>
        <w:ind w:left="0" w:firstLine="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我们同意，如果成交，向</w:t>
      </w:r>
      <w:r>
        <w:rPr>
          <w:rFonts w:hint="eastAsia" w:ascii="仿宋" w:hAnsi="仿宋" w:eastAsia="仿宋" w:cs="仿宋"/>
          <w:color w:val="auto"/>
          <w:spacing w:val="4"/>
          <w:sz w:val="24"/>
          <w:highlight w:val="none"/>
          <w:lang w:eastAsia="zh-CN"/>
        </w:rPr>
        <w:t>华夏国际项目管理有限公司</w:t>
      </w:r>
      <w:r>
        <w:rPr>
          <w:rFonts w:hint="eastAsia" w:ascii="仿宋" w:hAnsi="仿宋" w:eastAsia="仿宋" w:cs="仿宋"/>
          <w:color w:val="auto"/>
          <w:spacing w:val="4"/>
          <w:sz w:val="24"/>
          <w:highlight w:val="none"/>
        </w:rPr>
        <w:t>交纳</w:t>
      </w:r>
      <w:r>
        <w:rPr>
          <w:rFonts w:hint="eastAsia" w:ascii="仿宋" w:hAnsi="仿宋" w:eastAsia="仿宋" w:cs="仿宋"/>
          <w:color w:val="auto"/>
          <w:spacing w:val="4"/>
          <w:sz w:val="24"/>
          <w:highlight w:val="none"/>
          <w:lang w:eastAsia="zh-CN"/>
        </w:rPr>
        <w:t>招标代理服务费</w:t>
      </w:r>
      <w:r>
        <w:rPr>
          <w:rFonts w:hint="eastAsia" w:ascii="仿宋" w:hAnsi="仿宋" w:eastAsia="仿宋" w:cs="仿宋"/>
          <w:color w:val="auto"/>
          <w:spacing w:val="4"/>
          <w:sz w:val="24"/>
          <w:highlight w:val="none"/>
        </w:rPr>
        <w:t>。</w:t>
      </w:r>
    </w:p>
    <w:p>
      <w:pPr>
        <w:numPr>
          <w:ilvl w:val="0"/>
          <w:numId w:val="9"/>
        </w:numPr>
        <w:tabs>
          <w:tab w:val="left" w:pos="2160"/>
        </w:tabs>
        <w:spacing w:line="440" w:lineRule="exact"/>
        <w:ind w:left="0" w:firstLine="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与本谈判有关的一切正式往来通讯为：</w:t>
      </w:r>
    </w:p>
    <w:p>
      <w:pPr>
        <w:spacing w:line="440" w:lineRule="exact"/>
        <w:ind w:firstLine="1240" w:firstLineChars="50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联系地址：</w:t>
      </w:r>
    </w:p>
    <w:p>
      <w:pPr>
        <w:spacing w:line="440" w:lineRule="exact"/>
        <w:ind w:firstLine="1240" w:firstLineChars="50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邮政编码：</w:t>
      </w:r>
    </w:p>
    <w:p>
      <w:pPr>
        <w:spacing w:line="440" w:lineRule="exact"/>
        <w:ind w:firstLine="1240" w:firstLineChars="50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电    话：</w:t>
      </w:r>
    </w:p>
    <w:p>
      <w:pPr>
        <w:spacing w:line="440" w:lineRule="exact"/>
        <w:ind w:firstLine="1240" w:firstLineChars="50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传    真：</w:t>
      </w:r>
    </w:p>
    <w:p>
      <w:pPr>
        <w:spacing w:line="440" w:lineRule="exact"/>
        <w:ind w:firstLine="1240" w:firstLineChars="50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谈判</w:t>
      </w:r>
      <w:r>
        <w:rPr>
          <w:rFonts w:hint="eastAsia" w:ascii="仿宋" w:hAnsi="仿宋" w:eastAsia="仿宋" w:cs="仿宋"/>
          <w:color w:val="auto"/>
          <w:spacing w:val="4"/>
          <w:sz w:val="24"/>
          <w:highlight w:val="none"/>
          <w:lang w:eastAsia="zh-CN"/>
        </w:rPr>
        <w:t>供应商</w:t>
      </w:r>
      <w:r>
        <w:rPr>
          <w:rFonts w:hint="eastAsia" w:ascii="仿宋" w:hAnsi="仿宋" w:eastAsia="仿宋" w:cs="仿宋"/>
          <w:color w:val="auto"/>
          <w:spacing w:val="4"/>
          <w:sz w:val="24"/>
          <w:highlight w:val="none"/>
        </w:rPr>
        <w:t>名称（盖章）：</w:t>
      </w:r>
    </w:p>
    <w:p>
      <w:pPr>
        <w:spacing w:line="440" w:lineRule="exact"/>
        <w:ind w:firstLine="1240" w:firstLineChars="50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eastAsia="zh-CN"/>
        </w:rPr>
        <w:t>法定代表人</w:t>
      </w:r>
      <w:r>
        <w:rPr>
          <w:rFonts w:hint="eastAsia" w:ascii="仿宋" w:hAnsi="仿宋" w:eastAsia="仿宋" w:cs="仿宋"/>
          <w:color w:val="auto"/>
          <w:spacing w:val="4"/>
          <w:sz w:val="24"/>
          <w:highlight w:val="none"/>
          <w:lang w:val="en-US" w:eastAsia="zh-CN"/>
        </w:rPr>
        <w:t>或</w:t>
      </w:r>
      <w:r>
        <w:rPr>
          <w:rFonts w:hint="eastAsia" w:ascii="仿宋" w:hAnsi="仿宋" w:eastAsia="仿宋" w:cs="仿宋"/>
          <w:color w:val="auto"/>
          <w:spacing w:val="4"/>
          <w:sz w:val="24"/>
          <w:highlight w:val="none"/>
          <w:lang w:eastAsia="zh-CN"/>
        </w:rPr>
        <w:t>被授权人</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lang w:val="en-US" w:eastAsia="zh-CN"/>
        </w:rPr>
        <w:t>（</w:t>
      </w:r>
      <w:r>
        <w:rPr>
          <w:rFonts w:hint="eastAsia" w:ascii="仿宋" w:hAnsi="仿宋" w:eastAsia="仿宋" w:cs="仿宋"/>
          <w:color w:val="auto"/>
          <w:spacing w:val="4"/>
          <w:sz w:val="24"/>
          <w:highlight w:val="none"/>
        </w:rPr>
        <w:t>签字</w:t>
      </w:r>
      <w:r>
        <w:rPr>
          <w:rFonts w:hint="eastAsia" w:ascii="仿宋" w:hAnsi="仿宋" w:eastAsia="仿宋" w:cs="仿宋"/>
          <w:color w:val="auto"/>
          <w:spacing w:val="4"/>
          <w:sz w:val="24"/>
          <w:highlight w:val="none"/>
          <w:lang w:eastAsia="zh-CN"/>
        </w:rPr>
        <w:t>或盖章</w:t>
      </w:r>
      <w:r>
        <w:rPr>
          <w:rFonts w:hint="eastAsia" w:ascii="仿宋" w:hAnsi="仿宋" w:eastAsia="仿宋" w:cs="仿宋"/>
          <w:color w:val="auto"/>
          <w:spacing w:val="4"/>
          <w:sz w:val="24"/>
          <w:highlight w:val="none"/>
          <w:lang w:val="en-US" w:eastAsia="zh-CN"/>
        </w:rPr>
        <w:t>）</w:t>
      </w:r>
    </w:p>
    <w:p>
      <w:pPr>
        <w:spacing w:line="440" w:lineRule="exact"/>
        <w:ind w:firstLine="1240" w:firstLineChars="50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日    期：</w:t>
      </w:r>
    </w:p>
    <w:p>
      <w:pPr>
        <w:spacing w:line="440" w:lineRule="exact"/>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pPr>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28"/>
          <w:highlight w:val="none"/>
        </w:rPr>
        <w:br w:type="page"/>
      </w:r>
      <w:bookmarkStart w:id="128" w:name="_Toc20138"/>
      <w:r>
        <w:rPr>
          <w:rFonts w:hint="eastAsia" w:ascii="仿宋" w:hAnsi="仿宋" w:eastAsia="仿宋" w:cs="仿宋"/>
          <w:b/>
          <w:color w:val="auto"/>
          <w:sz w:val="32"/>
          <w:szCs w:val="32"/>
          <w:highlight w:val="none"/>
          <w:lang w:eastAsia="zh-CN"/>
        </w:rPr>
        <w:t>二</w:t>
      </w:r>
      <w:r>
        <w:rPr>
          <w:rFonts w:hint="eastAsia" w:ascii="仿宋" w:hAnsi="仿宋" w:eastAsia="仿宋" w:cs="仿宋"/>
          <w:b/>
          <w:color w:val="auto"/>
          <w:sz w:val="32"/>
          <w:szCs w:val="32"/>
          <w:highlight w:val="none"/>
        </w:rPr>
        <w:t>、谈判报价表</w:t>
      </w:r>
      <w:bookmarkEnd w:id="128"/>
    </w:p>
    <w:p>
      <w:pPr>
        <w:jc w:val="center"/>
        <w:rPr>
          <w:rFonts w:hint="eastAsia" w:ascii="仿宋" w:hAnsi="仿宋" w:eastAsia="仿宋" w:cs="仿宋"/>
          <w:b/>
          <w:color w:val="auto"/>
          <w:sz w:val="36"/>
          <w:szCs w:val="36"/>
          <w:highlight w:val="none"/>
        </w:rPr>
      </w:pPr>
    </w:p>
    <w:p>
      <w:pPr>
        <w:jc w:val="center"/>
        <w:outlineLvl w:val="2"/>
        <w:rPr>
          <w:rFonts w:hint="eastAsia" w:ascii="仿宋" w:hAnsi="仿宋" w:eastAsia="仿宋" w:cs="仿宋"/>
          <w:color w:val="auto"/>
          <w:sz w:val="30"/>
          <w:szCs w:val="30"/>
          <w:highlight w:val="none"/>
        </w:rPr>
      </w:pPr>
      <w:bookmarkStart w:id="129" w:name="_Toc23317"/>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.1报价一览表</w:t>
      </w:r>
      <w:bookmarkEnd w:id="129"/>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 xml:space="preserve">名称：                                                 </w:t>
      </w:r>
    </w:p>
    <w:p>
      <w:pPr>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 xml:space="preserve">项目编号：  </w:t>
      </w:r>
      <w:r>
        <w:rPr>
          <w:rFonts w:hint="eastAsia" w:ascii="仿宋" w:hAnsi="仿宋" w:eastAsia="仿宋" w:cs="仿宋"/>
          <w:color w:val="auto"/>
          <w:sz w:val="24"/>
          <w:highlight w:val="non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2569"/>
        <w:gridCol w:w="2431"/>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2486" w:type="dxa"/>
            <w:noWrap w:val="0"/>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谈判总报价</w:t>
            </w:r>
          </w:p>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（元）</w:t>
            </w:r>
          </w:p>
        </w:tc>
        <w:tc>
          <w:tcPr>
            <w:tcW w:w="2569" w:type="dxa"/>
            <w:noWrap w:val="0"/>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交货</w:t>
            </w:r>
            <w:r>
              <w:rPr>
                <w:rFonts w:hint="eastAsia" w:ascii="仿宋" w:hAnsi="仿宋" w:eastAsia="仿宋" w:cs="仿宋"/>
                <w:color w:val="auto"/>
                <w:sz w:val="24"/>
                <w:szCs w:val="24"/>
                <w:highlight w:val="none"/>
                <w:lang w:eastAsia="zh-CN"/>
              </w:rPr>
              <w:t>期</w:t>
            </w:r>
          </w:p>
        </w:tc>
        <w:tc>
          <w:tcPr>
            <w:tcW w:w="2431" w:type="dxa"/>
            <w:noWrap w:val="0"/>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质保期</w:t>
            </w:r>
          </w:p>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（年）</w:t>
            </w:r>
          </w:p>
        </w:tc>
        <w:tc>
          <w:tcPr>
            <w:tcW w:w="1291" w:type="dxa"/>
            <w:noWrap w:val="0"/>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2486" w:type="dxa"/>
            <w:noWrap w:val="0"/>
            <w:vAlign w:val="center"/>
          </w:tcPr>
          <w:p>
            <w:pPr>
              <w:jc w:val="center"/>
              <w:rPr>
                <w:rFonts w:hint="eastAsia" w:ascii="仿宋" w:hAnsi="仿宋" w:eastAsia="仿宋" w:cs="仿宋"/>
                <w:color w:val="auto"/>
                <w:sz w:val="24"/>
                <w:szCs w:val="24"/>
                <w:highlight w:val="none"/>
              </w:rPr>
            </w:pPr>
          </w:p>
        </w:tc>
        <w:tc>
          <w:tcPr>
            <w:tcW w:w="2569" w:type="dxa"/>
            <w:noWrap w:val="0"/>
            <w:vAlign w:val="center"/>
          </w:tcPr>
          <w:p>
            <w:pPr>
              <w:jc w:val="center"/>
              <w:rPr>
                <w:rFonts w:hint="eastAsia" w:ascii="仿宋" w:hAnsi="仿宋" w:eastAsia="仿宋" w:cs="仿宋"/>
                <w:color w:val="auto"/>
                <w:sz w:val="24"/>
                <w:szCs w:val="24"/>
                <w:highlight w:val="none"/>
              </w:rPr>
            </w:pPr>
          </w:p>
        </w:tc>
        <w:tc>
          <w:tcPr>
            <w:tcW w:w="2431" w:type="dxa"/>
            <w:noWrap w:val="0"/>
            <w:vAlign w:val="center"/>
          </w:tcPr>
          <w:p>
            <w:pPr>
              <w:jc w:val="center"/>
              <w:rPr>
                <w:rFonts w:hint="eastAsia" w:ascii="仿宋" w:hAnsi="仿宋" w:eastAsia="仿宋" w:cs="仿宋"/>
                <w:color w:val="auto"/>
                <w:sz w:val="24"/>
                <w:szCs w:val="24"/>
                <w:highlight w:val="none"/>
              </w:rPr>
            </w:pPr>
          </w:p>
        </w:tc>
        <w:tc>
          <w:tcPr>
            <w:tcW w:w="1291"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77" w:type="dxa"/>
            <w:gridSpan w:val="4"/>
            <w:noWrap w:val="0"/>
            <w:vAlign w:val="center"/>
          </w:tcPr>
          <w:p>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谈判总</w:t>
            </w:r>
            <w:r>
              <w:rPr>
                <w:rFonts w:hint="eastAsia" w:ascii="仿宋" w:hAnsi="仿宋" w:eastAsia="仿宋" w:cs="仿宋"/>
                <w:color w:val="auto"/>
                <w:sz w:val="24"/>
                <w:szCs w:val="24"/>
                <w:highlight w:val="none"/>
              </w:rPr>
              <w:t>报价（大写）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77" w:type="dxa"/>
            <w:gridSpan w:val="4"/>
            <w:noWrap w:val="0"/>
            <w:vAlign w:val="center"/>
          </w:tcPr>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备注：表内报价内</w:t>
            </w:r>
            <w:r>
              <w:rPr>
                <w:rFonts w:hint="eastAsia" w:ascii="仿宋" w:hAnsi="仿宋" w:eastAsia="仿宋" w:cs="仿宋"/>
                <w:color w:val="auto"/>
                <w:sz w:val="24"/>
                <w:szCs w:val="24"/>
                <w:highlight w:val="none"/>
              </w:rPr>
              <w:t>容以</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rPr>
              <w:t>为单位</w:t>
            </w:r>
            <w:r>
              <w:rPr>
                <w:rFonts w:hint="eastAsia" w:ascii="仿宋" w:hAnsi="仿宋" w:eastAsia="仿宋" w:cs="仿宋"/>
                <w:color w:val="auto"/>
                <w:sz w:val="24"/>
                <w:szCs w:val="24"/>
                <w:highlight w:val="none"/>
              </w:rPr>
              <w:t>，保留小数点后（</w:t>
            </w:r>
            <w:r>
              <w:rPr>
                <w:rFonts w:hint="eastAsia" w:ascii="仿宋" w:hAnsi="仿宋" w:eastAsia="仿宋" w:cs="仿宋"/>
                <w:b/>
                <w:color w:val="auto"/>
                <w:sz w:val="24"/>
                <w:szCs w:val="24"/>
                <w:highlight w:val="none"/>
              </w:rPr>
              <w:t>两位</w:t>
            </w:r>
            <w:r>
              <w:rPr>
                <w:rFonts w:hint="eastAsia" w:ascii="仿宋" w:hAnsi="仿宋" w:eastAsia="仿宋" w:cs="仿宋"/>
                <w:color w:val="auto"/>
                <w:sz w:val="24"/>
                <w:szCs w:val="24"/>
                <w:highlight w:val="none"/>
              </w:rPr>
              <w:t>）。</w:t>
            </w:r>
          </w:p>
        </w:tc>
      </w:tr>
    </w:tbl>
    <w:p>
      <w:pPr>
        <w:spacing w:line="120" w:lineRule="exact"/>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spacing w:line="280" w:lineRule="exact"/>
        <w:ind w:right="540" w:rightChars="25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谈判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（加盖单位公章）      </w:t>
      </w:r>
    </w:p>
    <w:p>
      <w:pPr>
        <w:spacing w:line="280" w:lineRule="exact"/>
        <w:ind w:right="540" w:rightChars="257"/>
        <w:jc w:val="left"/>
        <w:rPr>
          <w:rFonts w:hint="eastAsia" w:ascii="仿宋" w:hAnsi="仿宋" w:eastAsia="仿宋" w:cs="仿宋"/>
          <w:color w:val="auto"/>
          <w:sz w:val="24"/>
          <w:highlight w:val="none"/>
        </w:rPr>
      </w:pPr>
    </w:p>
    <w:p>
      <w:pPr>
        <w:spacing w:line="280" w:lineRule="exact"/>
        <w:ind w:right="540" w:rightChars="257"/>
        <w:jc w:val="left"/>
        <w:rPr>
          <w:rFonts w:hint="eastAsia" w:ascii="仿宋" w:hAnsi="仿宋" w:eastAsia="仿宋" w:cs="仿宋"/>
          <w:color w:val="auto"/>
          <w:sz w:val="24"/>
          <w:highlight w:val="none"/>
        </w:rPr>
      </w:pPr>
    </w:p>
    <w:p>
      <w:pPr>
        <w:spacing w:line="280" w:lineRule="exact"/>
        <w:ind w:right="540" w:rightChars="25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highlight w:val="none"/>
          <w:lang w:val="en-US" w:eastAsia="zh-CN"/>
        </w:rPr>
        <w:t>）</w:t>
      </w:r>
    </w:p>
    <w:p>
      <w:pPr>
        <w:spacing w:line="280" w:lineRule="exact"/>
        <w:ind w:right="540" w:rightChars="257"/>
        <w:jc w:val="left"/>
        <w:rPr>
          <w:rFonts w:hint="eastAsia" w:ascii="仿宋" w:hAnsi="仿宋" w:eastAsia="仿宋" w:cs="仿宋"/>
          <w:color w:val="auto"/>
          <w:sz w:val="24"/>
          <w:highlight w:val="none"/>
        </w:rPr>
      </w:pPr>
    </w:p>
    <w:p>
      <w:pPr>
        <w:spacing w:line="280" w:lineRule="exact"/>
        <w:ind w:right="540" w:right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jc w:val="center"/>
        <w:rPr>
          <w:rFonts w:hint="eastAsia" w:ascii="仿宋" w:hAnsi="仿宋" w:eastAsia="仿宋" w:cs="仿宋"/>
          <w:color w:val="auto"/>
          <w:sz w:val="30"/>
          <w:szCs w:val="30"/>
          <w:highlight w:val="none"/>
        </w:rPr>
      </w:pPr>
    </w:p>
    <w:p>
      <w:pPr>
        <w:spacing w:before="120" w:beforeLines="50" w:after="120" w:afterLines="50" w:line="400" w:lineRule="atLeast"/>
        <w:rPr>
          <w:rFonts w:hint="eastAsia" w:ascii="仿宋" w:hAnsi="仿宋" w:eastAsia="仿宋" w:cs="仿宋"/>
          <w:color w:val="auto"/>
          <w:szCs w:val="21"/>
          <w:highlight w:val="none"/>
          <w:u w:val="single"/>
        </w:rPr>
      </w:pPr>
      <w:r>
        <w:rPr>
          <w:rFonts w:hint="eastAsia" w:ascii="仿宋" w:hAnsi="仿宋" w:eastAsia="仿宋" w:cs="仿宋"/>
          <w:color w:val="auto"/>
          <w:sz w:val="24"/>
          <w:highlight w:val="none"/>
        </w:rPr>
        <w:t>注：本表应按“</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”的规定密封单独提交。严格按照表格格式报价。</w:t>
      </w:r>
    </w:p>
    <w:p>
      <w:pPr>
        <w:jc w:val="center"/>
        <w:rPr>
          <w:rFonts w:hint="eastAsia" w:ascii="仿宋" w:hAnsi="仿宋" w:eastAsia="仿宋" w:cs="仿宋"/>
          <w:color w:val="auto"/>
          <w:sz w:val="30"/>
          <w:szCs w:val="30"/>
          <w:highlight w:val="none"/>
        </w:rPr>
      </w:pPr>
    </w:p>
    <w:p>
      <w:pPr>
        <w:jc w:val="center"/>
        <w:outlineLvl w:val="2"/>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bookmarkStart w:id="130" w:name="_Toc30818"/>
      <w:r>
        <w:rPr>
          <w:rFonts w:hint="eastAsia" w:ascii="仿宋" w:hAnsi="仿宋" w:eastAsia="仿宋" w:cs="仿宋"/>
          <w:b/>
          <w:bCs/>
          <w:color w:val="auto"/>
          <w:sz w:val="30"/>
          <w:szCs w:val="30"/>
          <w:highlight w:val="none"/>
          <w:lang w:val="en-US" w:eastAsia="zh-CN"/>
        </w:rPr>
        <w:t>2</w:t>
      </w:r>
      <w:r>
        <w:rPr>
          <w:rFonts w:hint="eastAsia" w:ascii="仿宋" w:hAnsi="仿宋" w:eastAsia="仿宋" w:cs="仿宋"/>
          <w:b/>
          <w:bCs/>
          <w:color w:val="auto"/>
          <w:sz w:val="30"/>
          <w:szCs w:val="30"/>
          <w:highlight w:val="none"/>
        </w:rPr>
        <w:t>.2谈判分项报价表</w:t>
      </w:r>
      <w:bookmarkEnd w:id="130"/>
    </w:p>
    <w:p>
      <w:pPr>
        <w:jc w:val="center"/>
        <w:rPr>
          <w:rFonts w:hint="eastAsia" w:ascii="仿宋" w:hAnsi="仿宋" w:eastAsia="仿宋" w:cs="仿宋"/>
          <w:color w:val="auto"/>
          <w:sz w:val="30"/>
          <w:szCs w:val="30"/>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单位：元</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pPr>
        <w:rPr>
          <w:rFonts w:hint="eastAsia" w:ascii="仿宋" w:hAnsi="仿宋" w:eastAsia="仿宋" w:cs="仿宋"/>
          <w:color w:val="auto"/>
          <w:sz w:val="24"/>
          <w:highlight w:val="none"/>
        </w:rPr>
      </w:pPr>
    </w:p>
    <w:tbl>
      <w:tblPr>
        <w:tblStyle w:val="27"/>
        <w:tblW w:w="0" w:type="auto"/>
        <w:jc w:val="center"/>
        <w:tblLayout w:type="fixed"/>
        <w:tblCellMar>
          <w:top w:w="0" w:type="dxa"/>
          <w:left w:w="28" w:type="dxa"/>
          <w:bottom w:w="0" w:type="dxa"/>
          <w:right w:w="28" w:type="dxa"/>
        </w:tblCellMar>
      </w:tblPr>
      <w:tblGrid>
        <w:gridCol w:w="875"/>
        <w:gridCol w:w="536"/>
        <w:gridCol w:w="797"/>
        <w:gridCol w:w="1572"/>
        <w:gridCol w:w="1588"/>
        <w:gridCol w:w="1178"/>
        <w:gridCol w:w="1175"/>
        <w:gridCol w:w="1178"/>
      </w:tblGrid>
      <w:tr>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noWrap w:val="0"/>
            <w:vAlign w:val="center"/>
          </w:tcPr>
          <w:p>
            <w:pPr>
              <w:spacing w:after="120" w:afterLines="0"/>
              <w:jc w:val="center"/>
              <w:rPr>
                <w:rFonts w:hint="eastAsia" w:ascii="仿宋" w:hAnsi="仿宋" w:eastAsia="仿宋" w:cs="仿宋"/>
                <w:color w:val="auto"/>
                <w:szCs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Cs w:val="24"/>
                <w:highlight w:val="none"/>
              </w:rPr>
              <w:t>产品</w:t>
            </w:r>
          </w:p>
          <w:p>
            <w:pPr>
              <w:spacing w:after="120" w:afterLines="0"/>
              <w:jc w:val="center"/>
              <w:rPr>
                <w:rFonts w:hint="eastAsia" w:ascii="仿宋" w:hAnsi="仿宋" w:eastAsia="仿宋" w:cs="仿宋"/>
                <w:color w:val="auto"/>
                <w:highlight w:val="none"/>
              </w:rPr>
            </w:pPr>
            <w:r>
              <w:rPr>
                <w:rFonts w:hint="eastAsia" w:ascii="仿宋" w:hAnsi="仿宋" w:eastAsia="仿宋" w:cs="仿宋"/>
                <w:color w:val="auto"/>
                <w:szCs w:val="24"/>
                <w:highlight w:val="none"/>
              </w:rPr>
              <w:t>费用</w:t>
            </w:r>
          </w:p>
        </w:tc>
        <w:tc>
          <w:tcPr>
            <w:tcW w:w="536" w:type="dxa"/>
            <w:tcBorders>
              <w:top w:val="single" w:color="auto" w:sz="6" w:space="0"/>
              <w:left w:val="single" w:color="auto" w:sz="4" w:space="0"/>
              <w:bottom w:val="single" w:color="auto" w:sz="6" w:space="0"/>
            </w:tcBorders>
            <w:noWrap w:val="0"/>
            <w:vAlign w:val="center"/>
          </w:tcPr>
          <w:p>
            <w:pPr>
              <w:spacing w:after="120" w:afterLine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97" w:type="dxa"/>
            <w:tcBorders>
              <w:top w:val="single" w:color="auto" w:sz="6" w:space="0"/>
              <w:left w:val="single" w:color="auto" w:sz="6" w:space="0"/>
              <w:bottom w:val="single" w:color="auto" w:sz="6" w:space="0"/>
              <w:right w:val="single" w:color="auto" w:sz="6" w:space="0"/>
            </w:tcBorders>
            <w:noWrap w:val="0"/>
            <w:vAlign w:val="center"/>
          </w:tcPr>
          <w:p>
            <w:pPr>
              <w:spacing w:after="120" w:afterLines="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1572" w:type="dxa"/>
            <w:tcBorders>
              <w:top w:val="single" w:color="auto" w:sz="6" w:space="0"/>
              <w:left w:val="single" w:color="auto" w:sz="6" w:space="0"/>
              <w:bottom w:val="single" w:color="auto" w:sz="6" w:space="0"/>
              <w:right w:val="single" w:color="auto" w:sz="6" w:space="0"/>
            </w:tcBorders>
            <w:noWrap w:val="0"/>
            <w:vAlign w:val="center"/>
          </w:tcPr>
          <w:p>
            <w:pPr>
              <w:spacing w:after="120" w:afterLines="0"/>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品牌、</w:t>
            </w:r>
            <w:r>
              <w:rPr>
                <w:rFonts w:hint="eastAsia" w:ascii="仿宋" w:hAnsi="仿宋" w:eastAsia="仿宋" w:cs="仿宋"/>
                <w:color w:val="auto"/>
                <w:highlight w:val="none"/>
              </w:rPr>
              <w:t>型号和规格</w:t>
            </w:r>
          </w:p>
        </w:tc>
        <w:tc>
          <w:tcPr>
            <w:tcW w:w="1588" w:type="dxa"/>
            <w:tcBorders>
              <w:top w:val="single" w:color="auto" w:sz="6" w:space="0"/>
              <w:left w:val="single" w:color="auto" w:sz="6" w:space="0"/>
              <w:bottom w:val="single" w:color="auto" w:sz="6" w:space="0"/>
              <w:right w:val="single" w:color="auto" w:sz="6" w:space="0"/>
            </w:tcBorders>
            <w:noWrap w:val="0"/>
            <w:vAlign w:val="center"/>
          </w:tcPr>
          <w:p>
            <w:pPr>
              <w:spacing w:before="156" w:beforeLines="50" w:after="120" w:afterLines="0"/>
              <w:jc w:val="center"/>
              <w:rPr>
                <w:rFonts w:hint="eastAsia" w:ascii="仿宋" w:hAnsi="仿宋" w:eastAsia="仿宋" w:cs="仿宋"/>
                <w:color w:val="auto"/>
                <w:highlight w:val="none"/>
              </w:rPr>
            </w:pPr>
            <w:r>
              <w:rPr>
                <w:rFonts w:hint="eastAsia" w:ascii="仿宋" w:hAnsi="仿宋" w:eastAsia="仿宋" w:cs="仿宋"/>
                <w:color w:val="auto"/>
                <w:highlight w:val="none"/>
              </w:rPr>
              <w:t>原产地及制造厂名</w:t>
            </w:r>
          </w:p>
        </w:tc>
        <w:tc>
          <w:tcPr>
            <w:tcW w:w="1178" w:type="dxa"/>
            <w:tcBorders>
              <w:top w:val="single" w:color="auto" w:sz="6" w:space="0"/>
              <w:left w:val="single" w:color="auto" w:sz="6" w:space="0"/>
              <w:bottom w:val="single" w:color="auto" w:sz="6" w:space="0"/>
              <w:right w:val="single" w:color="auto" w:sz="6" w:space="0"/>
            </w:tcBorders>
            <w:noWrap w:val="0"/>
            <w:vAlign w:val="center"/>
          </w:tcPr>
          <w:p>
            <w:pPr>
              <w:spacing w:after="120" w:afterLines="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175" w:type="dxa"/>
            <w:tcBorders>
              <w:top w:val="single" w:color="auto" w:sz="6" w:space="0"/>
              <w:left w:val="single" w:color="auto" w:sz="6" w:space="0"/>
              <w:bottom w:val="single" w:color="auto" w:sz="6" w:space="0"/>
              <w:right w:val="single" w:color="auto" w:sz="6" w:space="0"/>
            </w:tcBorders>
            <w:noWrap w:val="0"/>
            <w:vAlign w:val="center"/>
          </w:tcPr>
          <w:p>
            <w:pPr>
              <w:spacing w:after="120" w:afterLines="0"/>
              <w:jc w:val="center"/>
              <w:rPr>
                <w:rFonts w:hint="eastAsia" w:ascii="仿宋" w:hAnsi="仿宋" w:eastAsia="仿宋" w:cs="仿宋"/>
                <w:color w:val="auto"/>
                <w:highlight w:val="none"/>
              </w:rPr>
            </w:pPr>
            <w:r>
              <w:rPr>
                <w:rFonts w:hint="eastAsia" w:ascii="仿宋" w:hAnsi="仿宋" w:eastAsia="仿宋" w:cs="仿宋"/>
                <w:color w:val="auto"/>
                <w:highlight w:val="none"/>
              </w:rPr>
              <w:t>单价</w:t>
            </w:r>
          </w:p>
          <w:p>
            <w:pPr>
              <w:spacing w:after="120" w:afterLines="0"/>
              <w:jc w:val="center"/>
              <w:rPr>
                <w:rFonts w:hint="eastAsia" w:ascii="仿宋" w:hAnsi="仿宋" w:eastAsia="仿宋" w:cs="仿宋"/>
                <w:bCs/>
                <w:color w:val="auto"/>
                <w:highlight w:val="none"/>
              </w:rPr>
            </w:pPr>
            <w:r>
              <w:rPr>
                <w:rFonts w:hint="eastAsia" w:ascii="仿宋" w:hAnsi="仿宋" w:eastAsia="仿宋" w:cs="仿宋"/>
                <w:color w:val="auto"/>
                <w:highlight w:val="none"/>
              </w:rPr>
              <w:t>（元）</w:t>
            </w:r>
          </w:p>
        </w:tc>
        <w:tc>
          <w:tcPr>
            <w:tcW w:w="1178" w:type="dxa"/>
            <w:tcBorders>
              <w:top w:val="single" w:color="auto" w:sz="6" w:space="0"/>
              <w:left w:val="single" w:color="auto" w:sz="6" w:space="0"/>
              <w:bottom w:val="single" w:color="auto" w:sz="6" w:space="0"/>
              <w:right w:val="single" w:color="auto" w:sz="6" w:space="0"/>
            </w:tcBorders>
            <w:noWrap w:val="0"/>
            <w:vAlign w:val="center"/>
          </w:tcPr>
          <w:p>
            <w:pPr>
              <w:spacing w:after="120" w:afterLines="0"/>
              <w:jc w:val="center"/>
              <w:rPr>
                <w:rFonts w:hint="eastAsia" w:ascii="仿宋" w:hAnsi="仿宋" w:eastAsia="仿宋" w:cs="仿宋"/>
                <w:bCs/>
                <w:color w:val="auto"/>
                <w:highlight w:val="none"/>
              </w:rPr>
            </w:pPr>
            <w:r>
              <w:rPr>
                <w:rFonts w:hint="eastAsia" w:ascii="仿宋" w:hAnsi="仿宋" w:eastAsia="仿宋" w:cs="仿宋"/>
                <w:bCs/>
                <w:color w:val="auto"/>
                <w:highlight w:val="none"/>
              </w:rPr>
              <w:t>总价</w:t>
            </w:r>
          </w:p>
          <w:p>
            <w:pPr>
              <w:spacing w:after="120" w:afterLines="0"/>
              <w:jc w:val="center"/>
              <w:rPr>
                <w:rFonts w:hint="eastAsia" w:ascii="仿宋" w:hAnsi="仿宋" w:eastAsia="仿宋" w:cs="仿宋"/>
                <w:bCs/>
                <w:color w:val="auto"/>
                <w:highlight w:val="none"/>
              </w:rPr>
            </w:pPr>
            <w:r>
              <w:rPr>
                <w:rFonts w:hint="eastAsia" w:ascii="仿宋" w:hAnsi="仿宋" w:eastAsia="仿宋" w:cs="仿宋"/>
                <w:bCs/>
                <w:color w:val="auto"/>
                <w:highlight w:val="none"/>
              </w:rPr>
              <w:t>（元）</w:t>
            </w: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spacing w:before="312" w:beforeLines="100"/>
              <w:jc w:val="center"/>
              <w:rPr>
                <w:rFonts w:hint="eastAsia" w:ascii="仿宋" w:hAnsi="仿宋" w:eastAsia="仿宋" w:cs="仿宋"/>
                <w:color w:val="auto"/>
                <w:highlight w:val="none"/>
              </w:rPr>
            </w:pPr>
          </w:p>
        </w:tc>
        <w:tc>
          <w:tcPr>
            <w:tcW w:w="536" w:type="dxa"/>
            <w:tcBorders>
              <w:top w:val="single" w:color="auto" w:sz="6" w:space="0"/>
              <w:left w:val="single" w:color="auto" w:sz="4" w:space="0"/>
              <w:bottom w:val="single" w:color="auto" w:sz="4" w:space="0"/>
            </w:tcBorders>
            <w:noWrap w:val="0"/>
            <w:vAlign w:val="center"/>
          </w:tcPr>
          <w:p>
            <w:pPr>
              <w:spacing w:before="312" w:beforeLines="10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97" w:type="dxa"/>
            <w:tcBorders>
              <w:top w:val="single" w:color="auto" w:sz="6" w:space="0"/>
              <w:left w:val="single" w:color="auto" w:sz="6" w:space="0"/>
              <w:bottom w:val="single" w:color="auto" w:sz="4"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572" w:type="dxa"/>
            <w:tcBorders>
              <w:top w:val="single" w:color="auto" w:sz="6" w:space="0"/>
              <w:left w:val="single" w:color="auto" w:sz="6" w:space="0"/>
              <w:bottom w:val="single" w:color="auto" w:sz="4"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588" w:type="dxa"/>
            <w:tcBorders>
              <w:top w:val="single" w:color="auto" w:sz="6" w:space="0"/>
              <w:left w:val="single" w:color="auto" w:sz="6" w:space="0"/>
              <w:bottom w:val="single" w:color="auto" w:sz="4"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178" w:type="dxa"/>
            <w:tcBorders>
              <w:top w:val="single" w:color="auto" w:sz="6" w:space="0"/>
              <w:left w:val="single" w:color="auto" w:sz="6" w:space="0"/>
              <w:bottom w:val="single" w:color="auto" w:sz="4"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175" w:type="dxa"/>
            <w:tcBorders>
              <w:top w:val="single" w:color="auto" w:sz="6" w:space="0"/>
              <w:left w:val="single" w:color="auto" w:sz="6" w:space="0"/>
              <w:bottom w:val="single" w:color="auto" w:sz="4"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178" w:type="dxa"/>
            <w:tcBorders>
              <w:top w:val="single" w:color="auto" w:sz="6" w:space="0"/>
              <w:left w:val="single" w:color="auto" w:sz="6" w:space="0"/>
              <w:bottom w:val="single" w:color="auto" w:sz="4"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spacing w:before="312" w:beforeLines="100"/>
              <w:jc w:val="center"/>
              <w:rPr>
                <w:rFonts w:hint="eastAsia" w:ascii="仿宋" w:hAnsi="仿宋" w:eastAsia="仿宋" w:cs="仿宋"/>
                <w:color w:val="auto"/>
                <w:highlight w:val="none"/>
              </w:rPr>
            </w:pPr>
          </w:p>
        </w:tc>
        <w:tc>
          <w:tcPr>
            <w:tcW w:w="536" w:type="dxa"/>
            <w:tcBorders>
              <w:top w:val="single" w:color="auto" w:sz="4" w:space="0"/>
              <w:left w:val="single" w:color="auto" w:sz="4" w:space="0"/>
              <w:bottom w:val="single" w:color="auto" w:sz="6" w:space="0"/>
            </w:tcBorders>
            <w:noWrap w:val="0"/>
            <w:vAlign w:val="center"/>
          </w:tcPr>
          <w:p>
            <w:pPr>
              <w:spacing w:before="312" w:beforeLines="10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797" w:type="dxa"/>
            <w:tcBorders>
              <w:top w:val="single" w:color="auto" w:sz="4" w:space="0"/>
              <w:left w:val="single" w:color="auto" w:sz="6" w:space="0"/>
              <w:bottom w:val="single" w:color="auto" w:sz="6" w:space="0"/>
              <w:right w:val="single" w:color="auto" w:sz="6" w:space="0"/>
            </w:tcBorders>
            <w:noWrap w:val="0"/>
            <w:vAlign w:val="center"/>
          </w:tcPr>
          <w:p>
            <w:pPr>
              <w:spacing w:before="312" w:beforeLines="100"/>
              <w:jc w:val="center"/>
              <w:rPr>
                <w:rFonts w:hint="eastAsia" w:ascii="仿宋" w:hAnsi="仿宋" w:eastAsia="仿宋" w:cs="仿宋"/>
                <w:color w:val="auto"/>
                <w:highlight w:val="none"/>
              </w:rPr>
            </w:pPr>
          </w:p>
        </w:tc>
        <w:tc>
          <w:tcPr>
            <w:tcW w:w="1572"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588"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spacing w:before="312" w:beforeLines="100"/>
              <w:jc w:val="center"/>
              <w:rPr>
                <w:rFonts w:hint="eastAsia" w:ascii="仿宋" w:hAnsi="仿宋" w:eastAsia="仿宋" w:cs="仿宋"/>
                <w:color w:val="auto"/>
                <w:highlight w:val="none"/>
              </w:rPr>
            </w:pPr>
          </w:p>
        </w:tc>
        <w:tc>
          <w:tcPr>
            <w:tcW w:w="536" w:type="dxa"/>
            <w:tcBorders>
              <w:top w:val="single" w:color="auto" w:sz="4" w:space="0"/>
              <w:left w:val="single" w:color="auto" w:sz="4" w:space="0"/>
              <w:bottom w:val="single" w:color="auto" w:sz="6" w:space="0"/>
            </w:tcBorders>
            <w:noWrap w:val="0"/>
            <w:vAlign w:val="center"/>
          </w:tcPr>
          <w:p>
            <w:pPr>
              <w:spacing w:before="312" w:beforeLines="10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797" w:type="dxa"/>
            <w:tcBorders>
              <w:top w:val="single" w:color="auto" w:sz="4" w:space="0"/>
              <w:left w:val="single" w:color="auto" w:sz="6" w:space="0"/>
              <w:bottom w:val="single" w:color="auto" w:sz="6" w:space="0"/>
              <w:right w:val="single" w:color="auto" w:sz="6" w:space="0"/>
            </w:tcBorders>
            <w:noWrap w:val="0"/>
            <w:vAlign w:val="center"/>
          </w:tcPr>
          <w:p>
            <w:pPr>
              <w:spacing w:before="312" w:beforeLines="100"/>
              <w:jc w:val="center"/>
              <w:rPr>
                <w:rFonts w:hint="eastAsia" w:ascii="仿宋" w:hAnsi="仿宋" w:eastAsia="仿宋" w:cs="仿宋"/>
                <w:color w:val="auto"/>
                <w:highlight w:val="none"/>
              </w:rPr>
            </w:pPr>
          </w:p>
        </w:tc>
        <w:tc>
          <w:tcPr>
            <w:tcW w:w="1572"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588"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spacing w:before="312" w:beforeLines="100"/>
              <w:jc w:val="center"/>
              <w:rPr>
                <w:rFonts w:hint="eastAsia" w:ascii="仿宋" w:hAnsi="仿宋" w:eastAsia="仿宋" w:cs="仿宋"/>
                <w:color w:val="auto"/>
                <w:highlight w:val="none"/>
              </w:rPr>
            </w:pPr>
          </w:p>
        </w:tc>
        <w:tc>
          <w:tcPr>
            <w:tcW w:w="536" w:type="dxa"/>
            <w:tcBorders>
              <w:top w:val="single" w:color="auto" w:sz="4" w:space="0"/>
              <w:left w:val="single" w:color="auto" w:sz="4" w:space="0"/>
              <w:bottom w:val="single" w:color="auto" w:sz="6" w:space="0"/>
            </w:tcBorders>
            <w:noWrap w:val="0"/>
            <w:vAlign w:val="center"/>
          </w:tcPr>
          <w:p>
            <w:pPr>
              <w:spacing w:before="312" w:beforeLines="100"/>
              <w:jc w:val="center"/>
              <w:rPr>
                <w:rFonts w:hint="eastAsia" w:ascii="仿宋" w:hAnsi="仿宋" w:eastAsia="仿宋" w:cs="仿宋"/>
                <w:color w:val="auto"/>
                <w:highlight w:val="none"/>
              </w:rPr>
            </w:pPr>
            <w:r>
              <w:rPr>
                <w:rFonts w:hint="eastAsia" w:ascii="仿宋" w:hAnsi="仿宋" w:eastAsia="仿宋" w:cs="仿宋"/>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572"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588"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noWrap w:val="0"/>
            <w:vAlign w:val="center"/>
          </w:tcPr>
          <w:p>
            <w:pPr>
              <w:spacing w:before="312" w:beforeLines="100"/>
              <w:jc w:val="center"/>
              <w:rPr>
                <w:rFonts w:hint="eastAsia" w:ascii="仿宋" w:hAnsi="仿宋" w:eastAsia="仿宋" w:cs="仿宋"/>
                <w:color w:val="auto"/>
                <w:highlight w:val="none"/>
              </w:rPr>
            </w:pPr>
          </w:p>
        </w:tc>
        <w:tc>
          <w:tcPr>
            <w:tcW w:w="536" w:type="dxa"/>
            <w:tcBorders>
              <w:top w:val="single" w:color="auto" w:sz="4" w:space="0"/>
              <w:left w:val="single" w:color="auto" w:sz="4" w:space="0"/>
              <w:bottom w:val="single" w:color="auto" w:sz="6" w:space="0"/>
            </w:tcBorders>
            <w:noWrap w:val="0"/>
            <w:vAlign w:val="center"/>
          </w:tcPr>
          <w:p>
            <w:pPr>
              <w:spacing w:before="312" w:beforeLines="100"/>
              <w:jc w:val="center"/>
              <w:rPr>
                <w:rFonts w:hint="eastAsia" w:ascii="仿宋" w:hAnsi="仿宋" w:eastAsia="仿宋" w:cs="仿宋"/>
                <w:b/>
                <w:color w:val="auto"/>
                <w:highlight w:val="none"/>
              </w:rPr>
            </w:pPr>
            <w:r>
              <w:rPr>
                <w:rFonts w:hint="eastAsia" w:ascii="仿宋" w:hAnsi="仿宋" w:eastAsia="仿宋" w:cs="仿宋"/>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572"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588"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highlight w:val="none"/>
              </w:rPr>
            </w:pPr>
          </w:p>
        </w:tc>
      </w:tr>
      <w:tr>
        <w:tblPrEx>
          <w:tblCellMar>
            <w:top w:w="0" w:type="dxa"/>
            <w:left w:w="28" w:type="dxa"/>
            <w:bottom w:w="0" w:type="dxa"/>
            <w:right w:w="28" w:type="dxa"/>
          </w:tblCellMar>
        </w:tblPrEx>
        <w:trPr>
          <w:trHeight w:val="531" w:hRule="atLeast"/>
          <w:jc w:val="center"/>
        </w:trPr>
        <w:tc>
          <w:tcPr>
            <w:tcW w:w="1411" w:type="dxa"/>
            <w:gridSpan w:val="2"/>
            <w:tcBorders>
              <w:top w:val="single" w:color="auto" w:sz="4" w:space="0"/>
              <w:left w:val="single" w:color="auto" w:sz="6" w:space="0"/>
              <w:bottom w:val="single" w:color="auto" w:sz="6" w:space="0"/>
            </w:tcBorders>
            <w:noWrap w:val="0"/>
            <w:vAlign w:val="center"/>
          </w:tcPr>
          <w:p>
            <w:pPr>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安装调试费</w:t>
            </w:r>
          </w:p>
        </w:tc>
        <w:tc>
          <w:tcPr>
            <w:tcW w:w="7488" w:type="dxa"/>
            <w:gridSpan w:val="6"/>
            <w:tcBorders>
              <w:top w:val="single" w:color="auto" w:sz="4" w:space="0"/>
              <w:left w:val="single" w:color="auto" w:sz="6" w:space="0"/>
              <w:bottom w:val="single" w:color="auto" w:sz="6" w:space="0"/>
              <w:right w:val="single" w:color="auto" w:sz="6" w:space="0"/>
            </w:tcBorders>
            <w:noWrap w:val="0"/>
            <w:vAlign w:val="center"/>
          </w:tcPr>
          <w:p>
            <w:pPr>
              <w:spacing w:before="156" w:beforeLines="50"/>
              <w:jc w:val="center"/>
              <w:rPr>
                <w:rFonts w:hint="eastAsia" w:ascii="仿宋" w:hAnsi="仿宋" w:eastAsia="仿宋" w:cs="仿宋"/>
                <w:color w:val="auto"/>
                <w:szCs w:val="24"/>
                <w:highlight w:val="none"/>
              </w:rPr>
            </w:pPr>
          </w:p>
        </w:tc>
      </w:tr>
      <w:tr>
        <w:tblPrEx>
          <w:tblCellMar>
            <w:top w:w="0" w:type="dxa"/>
            <w:left w:w="28" w:type="dxa"/>
            <w:bottom w:w="0" w:type="dxa"/>
            <w:right w:w="28" w:type="dxa"/>
          </w:tblCellMar>
        </w:tblPrEx>
        <w:trPr>
          <w:trHeight w:val="531" w:hRule="atLeast"/>
          <w:jc w:val="center"/>
        </w:trPr>
        <w:tc>
          <w:tcPr>
            <w:tcW w:w="1411" w:type="dxa"/>
            <w:gridSpan w:val="2"/>
            <w:tcBorders>
              <w:top w:val="single" w:color="auto" w:sz="4" w:space="0"/>
              <w:left w:val="single" w:color="auto" w:sz="6" w:space="0"/>
              <w:bottom w:val="single" w:color="auto" w:sz="4" w:space="0"/>
            </w:tcBorders>
            <w:noWrap w:val="0"/>
            <w:vAlign w:val="center"/>
          </w:tcPr>
          <w:p>
            <w:pPr>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其他费用</w:t>
            </w:r>
          </w:p>
        </w:tc>
        <w:tc>
          <w:tcPr>
            <w:tcW w:w="7488" w:type="dxa"/>
            <w:gridSpan w:val="6"/>
            <w:tcBorders>
              <w:top w:val="single" w:color="auto" w:sz="4" w:space="0"/>
              <w:left w:val="single" w:color="auto" w:sz="6" w:space="0"/>
              <w:bottom w:val="single" w:color="auto" w:sz="4" w:space="0"/>
              <w:right w:val="single" w:color="auto" w:sz="6" w:space="0"/>
            </w:tcBorders>
            <w:noWrap w:val="0"/>
            <w:vAlign w:val="center"/>
          </w:tcPr>
          <w:p>
            <w:pPr>
              <w:spacing w:before="156" w:beforeLines="50"/>
              <w:rPr>
                <w:rFonts w:hint="eastAsia" w:ascii="仿宋" w:hAnsi="仿宋" w:eastAsia="仿宋" w:cs="仿宋"/>
                <w:color w:val="auto"/>
                <w:szCs w:val="24"/>
                <w:highlight w:val="none"/>
              </w:rPr>
            </w:pPr>
          </w:p>
        </w:tc>
      </w:tr>
      <w:tr>
        <w:tblPrEx>
          <w:tblCellMar>
            <w:top w:w="0" w:type="dxa"/>
            <w:left w:w="28" w:type="dxa"/>
            <w:bottom w:w="0" w:type="dxa"/>
            <w:right w:w="28" w:type="dxa"/>
          </w:tblCellMar>
        </w:tblPrEx>
        <w:trPr>
          <w:trHeight w:val="531" w:hRule="atLeast"/>
          <w:jc w:val="center"/>
        </w:trPr>
        <w:tc>
          <w:tcPr>
            <w:tcW w:w="1411" w:type="dxa"/>
            <w:gridSpan w:val="2"/>
            <w:tcBorders>
              <w:top w:val="single" w:color="auto" w:sz="4" w:space="0"/>
              <w:left w:val="single" w:color="auto" w:sz="6" w:space="0"/>
              <w:bottom w:val="single" w:color="auto" w:sz="4" w:space="0"/>
            </w:tcBorders>
            <w:noWrap w:val="0"/>
            <w:vAlign w:val="center"/>
          </w:tcPr>
          <w:p>
            <w:pPr>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Cs w:val="24"/>
                <w:highlight w:val="none"/>
                <w:lang w:val="en-US" w:eastAsia="zh-CN"/>
              </w:rPr>
              <w:t>谈判</w:t>
            </w:r>
            <w:r>
              <w:rPr>
                <w:rFonts w:hint="eastAsia" w:ascii="仿宋" w:hAnsi="仿宋" w:eastAsia="仿宋" w:cs="仿宋"/>
                <w:color w:val="auto"/>
                <w:szCs w:val="24"/>
                <w:highlight w:val="none"/>
              </w:rPr>
              <w:t>总报价</w:t>
            </w:r>
          </w:p>
        </w:tc>
        <w:tc>
          <w:tcPr>
            <w:tcW w:w="7488" w:type="dxa"/>
            <w:gridSpan w:val="6"/>
            <w:tcBorders>
              <w:top w:val="single" w:color="auto" w:sz="4" w:space="0"/>
              <w:left w:val="single" w:color="auto" w:sz="6" w:space="0"/>
              <w:bottom w:val="single" w:color="auto" w:sz="4" w:space="0"/>
              <w:right w:val="single" w:color="auto" w:sz="6" w:space="0"/>
            </w:tcBorders>
            <w:noWrap w:val="0"/>
            <w:vAlign w:val="center"/>
          </w:tcPr>
          <w:p>
            <w:pPr>
              <w:spacing w:before="156" w:beforeLines="5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Cs w:val="24"/>
                <w:highlight w:val="none"/>
              </w:rPr>
              <w:t>大写：                           小写：</w:t>
            </w:r>
          </w:p>
        </w:tc>
      </w:tr>
      <w:tr>
        <w:tblPrEx>
          <w:tblCellMar>
            <w:top w:w="0" w:type="dxa"/>
            <w:left w:w="28" w:type="dxa"/>
            <w:bottom w:w="0" w:type="dxa"/>
            <w:right w:w="28" w:type="dxa"/>
          </w:tblCellMar>
        </w:tblPrEx>
        <w:trPr>
          <w:trHeight w:val="531" w:hRule="atLeast"/>
          <w:jc w:val="center"/>
        </w:trPr>
        <w:tc>
          <w:tcPr>
            <w:tcW w:w="1411" w:type="dxa"/>
            <w:gridSpan w:val="2"/>
            <w:tcBorders>
              <w:top w:val="single" w:color="auto" w:sz="4" w:space="0"/>
              <w:left w:val="single" w:color="auto" w:sz="6" w:space="0"/>
              <w:bottom w:val="single" w:color="auto" w:sz="6" w:space="0"/>
            </w:tcBorders>
            <w:noWrap w:val="0"/>
            <w:vAlign w:val="center"/>
          </w:tcPr>
          <w:p>
            <w:pPr>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Cs w:val="24"/>
                <w:highlight w:val="none"/>
              </w:rPr>
              <w:t>备注</w:t>
            </w:r>
          </w:p>
        </w:tc>
        <w:tc>
          <w:tcPr>
            <w:tcW w:w="7488" w:type="dxa"/>
            <w:gridSpan w:val="6"/>
            <w:tcBorders>
              <w:top w:val="single" w:color="auto" w:sz="4" w:space="0"/>
              <w:left w:val="single" w:color="auto" w:sz="6" w:space="0"/>
              <w:bottom w:val="single" w:color="auto" w:sz="6" w:space="0"/>
              <w:right w:val="single" w:color="auto" w:sz="6" w:space="0"/>
            </w:tcBorders>
            <w:noWrap w:val="0"/>
            <w:vAlign w:val="center"/>
          </w:tcPr>
          <w:p>
            <w:pPr>
              <w:spacing w:before="156" w:beforeLines="5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pacing w:val="-6"/>
                <w:szCs w:val="24"/>
                <w:highlight w:val="none"/>
              </w:rPr>
              <w:t>报价保留小数点后两位。</w:t>
            </w:r>
          </w:p>
        </w:tc>
      </w:tr>
    </w:tbl>
    <w:p>
      <w:pPr>
        <w:spacing w:line="280" w:lineRule="exact"/>
        <w:ind w:right="540" w:rightChars="257"/>
        <w:jc w:val="left"/>
        <w:rPr>
          <w:rFonts w:hint="eastAsia" w:ascii="仿宋" w:hAnsi="仿宋" w:eastAsia="仿宋" w:cs="仿宋"/>
          <w:color w:val="auto"/>
          <w:sz w:val="24"/>
          <w:highlight w:val="none"/>
        </w:rPr>
      </w:pPr>
    </w:p>
    <w:p>
      <w:pPr>
        <w:spacing w:line="280" w:lineRule="exact"/>
        <w:ind w:right="540" w:rightChars="257"/>
        <w:jc w:val="left"/>
        <w:rPr>
          <w:rFonts w:hint="eastAsia" w:ascii="仿宋" w:hAnsi="仿宋" w:eastAsia="仿宋" w:cs="仿宋"/>
          <w:color w:val="auto"/>
          <w:sz w:val="24"/>
          <w:highlight w:val="none"/>
        </w:rPr>
      </w:pPr>
    </w:p>
    <w:p>
      <w:pPr>
        <w:spacing w:line="280" w:lineRule="exact"/>
        <w:ind w:right="540" w:rightChars="257"/>
        <w:jc w:val="left"/>
        <w:rPr>
          <w:rFonts w:hint="eastAsia" w:ascii="仿宋" w:hAnsi="仿宋" w:eastAsia="仿宋" w:cs="仿宋"/>
          <w:color w:val="auto"/>
          <w:sz w:val="24"/>
          <w:highlight w:val="none"/>
        </w:rPr>
      </w:pPr>
    </w:p>
    <w:p>
      <w:pPr>
        <w:spacing w:line="280" w:lineRule="exact"/>
        <w:ind w:right="540" w:rightChars="257"/>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谈判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（加盖单位公章）      </w:t>
      </w:r>
    </w:p>
    <w:p>
      <w:pPr>
        <w:spacing w:line="280" w:lineRule="exact"/>
        <w:ind w:right="540" w:rightChars="257"/>
        <w:jc w:val="left"/>
        <w:rPr>
          <w:rFonts w:hint="eastAsia" w:ascii="仿宋" w:hAnsi="仿宋" w:eastAsia="仿宋" w:cs="仿宋"/>
          <w:color w:val="auto"/>
          <w:sz w:val="24"/>
          <w:highlight w:val="none"/>
        </w:rPr>
      </w:pPr>
    </w:p>
    <w:p>
      <w:pPr>
        <w:spacing w:line="280" w:lineRule="exact"/>
        <w:ind w:right="540" w:rightChars="25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highlight w:val="none"/>
          <w:lang w:val="en-US" w:eastAsia="zh-CN"/>
        </w:rPr>
        <w:t>）</w:t>
      </w:r>
    </w:p>
    <w:p>
      <w:pPr>
        <w:spacing w:line="280" w:lineRule="exact"/>
        <w:ind w:right="540" w:rightChars="257"/>
        <w:jc w:val="left"/>
        <w:rPr>
          <w:rFonts w:hint="eastAsia" w:ascii="仿宋" w:hAnsi="仿宋" w:eastAsia="仿宋" w:cs="仿宋"/>
          <w:color w:val="auto"/>
          <w:sz w:val="24"/>
          <w:highlight w:val="none"/>
        </w:rPr>
      </w:pPr>
    </w:p>
    <w:p>
      <w:pPr>
        <w:spacing w:line="280" w:lineRule="exact"/>
        <w:ind w:right="540" w:right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440" w:lineRule="exact"/>
        <w:rPr>
          <w:rFonts w:hint="eastAsia" w:ascii="仿宋" w:hAnsi="仿宋" w:eastAsia="仿宋" w:cs="仿宋"/>
          <w:color w:val="auto"/>
          <w:sz w:val="36"/>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如果按单价计算的结果与总价不一致，以单价为准修正总价。</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如果不提供详细分项报价将视为没有实质性响应竞争性谈判文件。</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可适当调整该表格式，但不得减少信息内容。</w:t>
      </w:r>
    </w:p>
    <w:p>
      <w:pPr>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br w:type="page"/>
      </w:r>
      <w:bookmarkStart w:id="131" w:name="_Toc961"/>
      <w:r>
        <w:rPr>
          <w:rFonts w:hint="eastAsia" w:ascii="仿宋" w:hAnsi="仿宋" w:eastAsia="仿宋" w:cs="仿宋"/>
          <w:b/>
          <w:color w:val="auto"/>
          <w:sz w:val="32"/>
          <w:szCs w:val="32"/>
          <w:highlight w:val="none"/>
          <w:lang w:eastAsia="zh-CN"/>
        </w:rPr>
        <w:t>三</w:t>
      </w:r>
      <w:r>
        <w:rPr>
          <w:rFonts w:hint="eastAsia" w:ascii="仿宋" w:hAnsi="仿宋" w:eastAsia="仿宋" w:cs="仿宋"/>
          <w:b/>
          <w:color w:val="auto"/>
          <w:sz w:val="32"/>
          <w:szCs w:val="32"/>
          <w:highlight w:val="none"/>
        </w:rPr>
        <w:t>、谈判方案说明书</w:t>
      </w:r>
      <w:bookmarkEnd w:id="131"/>
    </w:p>
    <w:p>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按照竞争性谈判文件的要求编制谈判方案说明书，内容包括设备（产品）技术说明、组织供货和服务的详细说明、技术规格响应表、设备（产品）配置说明彩页</w:t>
      </w:r>
      <w:r>
        <w:rPr>
          <w:rFonts w:hint="eastAsia" w:ascii="仿宋" w:hAnsi="仿宋" w:eastAsia="仿宋" w:cs="仿宋"/>
          <w:color w:val="auto"/>
          <w:sz w:val="24"/>
          <w:szCs w:val="24"/>
          <w:highlight w:val="none"/>
          <w:lang w:eastAsia="zh-CN"/>
        </w:rPr>
        <w:t>（如有）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生产厂家出具的、相应的功能证明材料（包括但不限于测试报告、官网和功能截图等）</w:t>
      </w:r>
      <w:r>
        <w:rPr>
          <w:rFonts w:hint="eastAsia" w:ascii="仿宋" w:hAnsi="仿宋" w:eastAsia="仿宋" w:cs="仿宋"/>
          <w:color w:val="auto"/>
          <w:sz w:val="24"/>
          <w:szCs w:val="24"/>
          <w:highlight w:val="none"/>
        </w:rPr>
        <w:t>，质量保证和售后服务承诺等。</w:t>
      </w: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color w:val="auto"/>
          <w:highlight w:val="none"/>
        </w:rPr>
      </w:pPr>
    </w:p>
    <w:p>
      <w:pPr>
        <w:keepNext w:val="0"/>
        <w:keepLines w:val="0"/>
        <w:pageBreakBefore w:val="0"/>
        <w:widowControl w:val="0"/>
        <w:wordWrap/>
        <w:overflowPunct/>
        <w:topLinePunct w:val="0"/>
        <w:autoSpaceDE/>
        <w:autoSpaceDN/>
        <w:bidi w:val="0"/>
        <w:adjustRightInd/>
        <w:snapToGrid/>
        <w:spacing w:line="480" w:lineRule="exact"/>
        <w:ind w:right="0" w:rightChars="0"/>
        <w:jc w:val="both"/>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36"/>
          <w:highlight w:val="none"/>
        </w:rPr>
        <w:br w:type="page"/>
      </w:r>
      <w:bookmarkStart w:id="132" w:name="_Toc30466"/>
      <w:r>
        <w:rPr>
          <w:rFonts w:hint="eastAsia" w:ascii="仿宋" w:hAnsi="仿宋" w:eastAsia="仿宋" w:cs="仿宋"/>
          <w:b/>
          <w:color w:val="auto"/>
          <w:sz w:val="24"/>
          <w:szCs w:val="24"/>
          <w:highlight w:val="none"/>
        </w:rPr>
        <w:t>附表1：</w:t>
      </w:r>
      <w:bookmarkEnd w:id="132"/>
    </w:p>
    <w:p>
      <w:pPr>
        <w:spacing w:after="120"/>
        <w:jc w:val="center"/>
        <w:outlineLvl w:val="2"/>
        <w:rPr>
          <w:rFonts w:hint="eastAsia" w:ascii="仿宋" w:hAnsi="仿宋" w:eastAsia="仿宋" w:cs="仿宋"/>
          <w:b/>
          <w:color w:val="auto"/>
          <w:sz w:val="32"/>
          <w:szCs w:val="32"/>
          <w:highlight w:val="none"/>
        </w:rPr>
      </w:pPr>
      <w:bookmarkStart w:id="133" w:name="_Toc24467"/>
      <w:r>
        <w:rPr>
          <w:rFonts w:hint="eastAsia" w:ascii="仿宋" w:hAnsi="仿宋" w:eastAsia="仿宋" w:cs="仿宋"/>
          <w:b/>
          <w:color w:val="auto"/>
          <w:sz w:val="32"/>
          <w:szCs w:val="32"/>
          <w:highlight w:val="none"/>
        </w:rPr>
        <w:t>技术规格响应表</w:t>
      </w:r>
      <w:bookmarkEnd w:id="133"/>
    </w:p>
    <w:p>
      <w:pPr>
        <w:spacing w:after="120"/>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spacing w:after="120"/>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7"/>
        <w:gridCol w:w="1276"/>
        <w:gridCol w:w="2268"/>
        <w:gridCol w:w="2781"/>
        <w:gridCol w:w="1188"/>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737" w:type="dxa"/>
            <w:noWrap w:val="0"/>
            <w:vAlign w:val="top"/>
          </w:tcPr>
          <w:p>
            <w:pPr>
              <w:spacing w:before="156" w:beforeLines="5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序号</w:t>
            </w:r>
          </w:p>
        </w:tc>
        <w:tc>
          <w:tcPr>
            <w:tcW w:w="1276" w:type="dxa"/>
            <w:noWrap w:val="0"/>
            <w:vAlign w:val="top"/>
          </w:tcPr>
          <w:p>
            <w:pPr>
              <w:spacing w:before="156" w:beforeLines="5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产品名称</w:t>
            </w:r>
          </w:p>
        </w:tc>
        <w:tc>
          <w:tcPr>
            <w:tcW w:w="2268" w:type="dxa"/>
            <w:noWrap w:val="0"/>
            <w:vAlign w:val="top"/>
          </w:tcPr>
          <w:p>
            <w:pPr>
              <w:spacing w:before="156" w:beforeLines="5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竞争性</w:t>
            </w:r>
            <w:r>
              <w:rPr>
                <w:rFonts w:hint="eastAsia" w:ascii="仿宋" w:hAnsi="仿宋" w:eastAsia="仿宋" w:cs="仿宋"/>
                <w:b w:val="0"/>
                <w:bCs/>
                <w:color w:val="auto"/>
                <w:sz w:val="21"/>
                <w:szCs w:val="21"/>
                <w:highlight w:val="none"/>
                <w:lang w:val="en-US" w:eastAsia="zh-CN"/>
              </w:rPr>
              <w:t>谈判</w:t>
            </w:r>
            <w:r>
              <w:rPr>
                <w:rFonts w:hint="eastAsia" w:ascii="仿宋" w:hAnsi="仿宋" w:eastAsia="仿宋" w:cs="仿宋"/>
                <w:color w:val="auto"/>
                <w:szCs w:val="24"/>
                <w:highlight w:val="none"/>
              </w:rPr>
              <w:t>规格 ☆1</w:t>
            </w:r>
          </w:p>
        </w:tc>
        <w:tc>
          <w:tcPr>
            <w:tcW w:w="2781" w:type="dxa"/>
            <w:noWrap w:val="0"/>
            <w:vAlign w:val="top"/>
          </w:tcPr>
          <w:p>
            <w:pPr>
              <w:spacing w:before="156" w:beforeLines="5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竞争性</w:t>
            </w:r>
            <w:r>
              <w:rPr>
                <w:rFonts w:hint="eastAsia" w:ascii="仿宋" w:hAnsi="仿宋" w:eastAsia="仿宋" w:cs="仿宋"/>
                <w:color w:val="auto"/>
                <w:szCs w:val="24"/>
                <w:highlight w:val="none"/>
                <w:lang w:val="en-US" w:eastAsia="zh-CN"/>
              </w:rPr>
              <w:t>谈判</w:t>
            </w:r>
            <w:r>
              <w:rPr>
                <w:rFonts w:hint="eastAsia" w:ascii="仿宋" w:hAnsi="仿宋" w:eastAsia="仿宋" w:cs="仿宋"/>
                <w:color w:val="auto"/>
                <w:szCs w:val="24"/>
                <w:highlight w:val="none"/>
              </w:rPr>
              <w:t>响应规格 ☆2</w:t>
            </w:r>
          </w:p>
        </w:tc>
        <w:tc>
          <w:tcPr>
            <w:tcW w:w="1188" w:type="dxa"/>
            <w:noWrap w:val="0"/>
            <w:vAlign w:val="top"/>
          </w:tcPr>
          <w:p>
            <w:pPr>
              <w:spacing w:before="156" w:beforeLines="5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偏离说明</w:t>
            </w:r>
          </w:p>
        </w:tc>
        <w:tc>
          <w:tcPr>
            <w:tcW w:w="594" w:type="dxa"/>
            <w:noWrap w:val="0"/>
            <w:vAlign w:val="top"/>
          </w:tcPr>
          <w:p>
            <w:pPr>
              <w:spacing w:before="156" w:beforeLines="5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jc w:val="center"/>
        </w:trPr>
        <w:tc>
          <w:tcPr>
            <w:tcW w:w="737" w:type="dxa"/>
            <w:noWrap w:val="0"/>
            <w:vAlign w:val="top"/>
          </w:tcPr>
          <w:p>
            <w:pPr>
              <w:rPr>
                <w:rFonts w:hint="eastAsia" w:ascii="仿宋" w:hAnsi="仿宋" w:eastAsia="仿宋" w:cs="仿宋"/>
                <w:color w:val="auto"/>
                <w:szCs w:val="24"/>
                <w:highlight w:val="none"/>
              </w:rPr>
            </w:pPr>
          </w:p>
        </w:tc>
        <w:tc>
          <w:tcPr>
            <w:tcW w:w="1276" w:type="dxa"/>
            <w:noWrap w:val="0"/>
            <w:vAlign w:val="top"/>
          </w:tcPr>
          <w:p>
            <w:pPr>
              <w:rPr>
                <w:rFonts w:hint="eastAsia" w:ascii="仿宋" w:hAnsi="仿宋" w:eastAsia="仿宋" w:cs="仿宋"/>
                <w:color w:val="auto"/>
                <w:szCs w:val="24"/>
                <w:highlight w:val="none"/>
              </w:rPr>
            </w:pPr>
          </w:p>
        </w:tc>
        <w:tc>
          <w:tcPr>
            <w:tcW w:w="2268" w:type="dxa"/>
            <w:noWrap w:val="0"/>
            <w:vAlign w:val="top"/>
          </w:tcPr>
          <w:p>
            <w:pPr>
              <w:rPr>
                <w:rFonts w:hint="eastAsia" w:ascii="仿宋" w:hAnsi="仿宋" w:eastAsia="仿宋" w:cs="仿宋"/>
                <w:color w:val="auto"/>
                <w:szCs w:val="24"/>
                <w:highlight w:val="none"/>
              </w:rPr>
            </w:pPr>
          </w:p>
        </w:tc>
        <w:tc>
          <w:tcPr>
            <w:tcW w:w="2781" w:type="dxa"/>
            <w:noWrap w:val="0"/>
            <w:vAlign w:val="top"/>
          </w:tcPr>
          <w:p>
            <w:pPr>
              <w:rPr>
                <w:rFonts w:hint="eastAsia" w:ascii="仿宋" w:hAnsi="仿宋" w:eastAsia="仿宋" w:cs="仿宋"/>
                <w:color w:val="auto"/>
                <w:szCs w:val="24"/>
                <w:highlight w:val="none"/>
              </w:rPr>
            </w:pPr>
          </w:p>
        </w:tc>
        <w:tc>
          <w:tcPr>
            <w:tcW w:w="1188" w:type="dxa"/>
            <w:noWrap w:val="0"/>
            <w:vAlign w:val="top"/>
          </w:tcPr>
          <w:p>
            <w:pPr>
              <w:rPr>
                <w:rFonts w:hint="eastAsia" w:ascii="仿宋" w:hAnsi="仿宋" w:eastAsia="仿宋" w:cs="仿宋"/>
                <w:color w:val="auto"/>
                <w:szCs w:val="24"/>
                <w:highlight w:val="none"/>
              </w:rPr>
            </w:pPr>
          </w:p>
        </w:tc>
        <w:tc>
          <w:tcPr>
            <w:tcW w:w="594" w:type="dxa"/>
            <w:noWrap w:val="0"/>
            <w:vAlign w:val="top"/>
          </w:tcPr>
          <w:p>
            <w:pP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4" w:hRule="atLeast"/>
          <w:jc w:val="center"/>
        </w:trPr>
        <w:tc>
          <w:tcPr>
            <w:tcW w:w="737" w:type="dxa"/>
            <w:noWrap w:val="0"/>
            <w:vAlign w:val="top"/>
          </w:tcPr>
          <w:p>
            <w:pPr>
              <w:rPr>
                <w:rFonts w:hint="eastAsia" w:ascii="仿宋" w:hAnsi="仿宋" w:eastAsia="仿宋" w:cs="仿宋"/>
                <w:color w:val="auto"/>
                <w:szCs w:val="24"/>
                <w:highlight w:val="none"/>
              </w:rPr>
            </w:pPr>
          </w:p>
        </w:tc>
        <w:tc>
          <w:tcPr>
            <w:tcW w:w="1276" w:type="dxa"/>
            <w:noWrap w:val="0"/>
            <w:vAlign w:val="top"/>
          </w:tcPr>
          <w:p>
            <w:pPr>
              <w:rPr>
                <w:rFonts w:hint="eastAsia" w:ascii="仿宋" w:hAnsi="仿宋" w:eastAsia="仿宋" w:cs="仿宋"/>
                <w:color w:val="auto"/>
                <w:szCs w:val="24"/>
                <w:highlight w:val="none"/>
              </w:rPr>
            </w:pPr>
          </w:p>
        </w:tc>
        <w:tc>
          <w:tcPr>
            <w:tcW w:w="2268" w:type="dxa"/>
            <w:noWrap w:val="0"/>
            <w:vAlign w:val="top"/>
          </w:tcPr>
          <w:p>
            <w:pPr>
              <w:rPr>
                <w:rFonts w:hint="eastAsia" w:ascii="仿宋" w:hAnsi="仿宋" w:eastAsia="仿宋" w:cs="仿宋"/>
                <w:color w:val="auto"/>
                <w:szCs w:val="24"/>
                <w:highlight w:val="none"/>
              </w:rPr>
            </w:pPr>
          </w:p>
        </w:tc>
        <w:tc>
          <w:tcPr>
            <w:tcW w:w="2781" w:type="dxa"/>
            <w:noWrap w:val="0"/>
            <w:vAlign w:val="top"/>
          </w:tcPr>
          <w:p>
            <w:pPr>
              <w:rPr>
                <w:rFonts w:hint="eastAsia" w:ascii="仿宋" w:hAnsi="仿宋" w:eastAsia="仿宋" w:cs="仿宋"/>
                <w:color w:val="auto"/>
                <w:szCs w:val="24"/>
                <w:highlight w:val="none"/>
              </w:rPr>
            </w:pPr>
          </w:p>
        </w:tc>
        <w:tc>
          <w:tcPr>
            <w:tcW w:w="1188" w:type="dxa"/>
            <w:noWrap w:val="0"/>
            <w:vAlign w:val="top"/>
          </w:tcPr>
          <w:p>
            <w:pPr>
              <w:rPr>
                <w:rFonts w:hint="eastAsia" w:ascii="仿宋" w:hAnsi="仿宋" w:eastAsia="仿宋" w:cs="仿宋"/>
                <w:color w:val="auto"/>
                <w:szCs w:val="24"/>
                <w:highlight w:val="none"/>
              </w:rPr>
            </w:pPr>
          </w:p>
        </w:tc>
        <w:tc>
          <w:tcPr>
            <w:tcW w:w="594" w:type="dxa"/>
            <w:noWrap w:val="0"/>
            <w:vAlign w:val="top"/>
          </w:tcPr>
          <w:p>
            <w:pP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4" w:hRule="atLeast"/>
          <w:jc w:val="center"/>
        </w:trPr>
        <w:tc>
          <w:tcPr>
            <w:tcW w:w="737" w:type="dxa"/>
            <w:noWrap w:val="0"/>
            <w:vAlign w:val="top"/>
          </w:tcPr>
          <w:p>
            <w:pPr>
              <w:rPr>
                <w:rFonts w:hint="eastAsia" w:ascii="仿宋" w:hAnsi="仿宋" w:eastAsia="仿宋" w:cs="仿宋"/>
                <w:color w:val="auto"/>
                <w:szCs w:val="24"/>
                <w:highlight w:val="none"/>
              </w:rPr>
            </w:pPr>
          </w:p>
        </w:tc>
        <w:tc>
          <w:tcPr>
            <w:tcW w:w="1276" w:type="dxa"/>
            <w:noWrap w:val="0"/>
            <w:vAlign w:val="top"/>
          </w:tcPr>
          <w:p>
            <w:pPr>
              <w:rPr>
                <w:rFonts w:hint="eastAsia" w:ascii="仿宋" w:hAnsi="仿宋" w:eastAsia="仿宋" w:cs="仿宋"/>
                <w:color w:val="auto"/>
                <w:szCs w:val="24"/>
                <w:highlight w:val="none"/>
              </w:rPr>
            </w:pPr>
          </w:p>
        </w:tc>
        <w:tc>
          <w:tcPr>
            <w:tcW w:w="2268" w:type="dxa"/>
            <w:noWrap w:val="0"/>
            <w:vAlign w:val="top"/>
          </w:tcPr>
          <w:p>
            <w:pPr>
              <w:rPr>
                <w:rFonts w:hint="eastAsia" w:ascii="仿宋" w:hAnsi="仿宋" w:eastAsia="仿宋" w:cs="仿宋"/>
                <w:color w:val="auto"/>
                <w:szCs w:val="24"/>
                <w:highlight w:val="none"/>
              </w:rPr>
            </w:pPr>
          </w:p>
        </w:tc>
        <w:tc>
          <w:tcPr>
            <w:tcW w:w="2781" w:type="dxa"/>
            <w:noWrap w:val="0"/>
            <w:vAlign w:val="top"/>
          </w:tcPr>
          <w:p>
            <w:pPr>
              <w:rPr>
                <w:rFonts w:hint="eastAsia" w:ascii="仿宋" w:hAnsi="仿宋" w:eastAsia="仿宋" w:cs="仿宋"/>
                <w:color w:val="auto"/>
                <w:szCs w:val="24"/>
                <w:highlight w:val="none"/>
              </w:rPr>
            </w:pPr>
          </w:p>
        </w:tc>
        <w:tc>
          <w:tcPr>
            <w:tcW w:w="1188" w:type="dxa"/>
            <w:noWrap w:val="0"/>
            <w:vAlign w:val="top"/>
          </w:tcPr>
          <w:p>
            <w:pPr>
              <w:rPr>
                <w:rFonts w:hint="eastAsia" w:ascii="仿宋" w:hAnsi="仿宋" w:eastAsia="仿宋" w:cs="仿宋"/>
                <w:color w:val="auto"/>
                <w:szCs w:val="24"/>
                <w:highlight w:val="none"/>
              </w:rPr>
            </w:pPr>
          </w:p>
        </w:tc>
        <w:tc>
          <w:tcPr>
            <w:tcW w:w="594" w:type="dxa"/>
            <w:noWrap w:val="0"/>
            <w:vAlign w:val="top"/>
          </w:tcPr>
          <w:p>
            <w:pP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4" w:hRule="atLeast"/>
          <w:jc w:val="center"/>
        </w:trPr>
        <w:tc>
          <w:tcPr>
            <w:tcW w:w="737" w:type="dxa"/>
            <w:noWrap w:val="0"/>
            <w:vAlign w:val="top"/>
          </w:tcPr>
          <w:p>
            <w:pPr>
              <w:rPr>
                <w:rFonts w:hint="eastAsia" w:ascii="仿宋" w:hAnsi="仿宋" w:eastAsia="仿宋" w:cs="仿宋"/>
                <w:color w:val="auto"/>
                <w:szCs w:val="24"/>
                <w:highlight w:val="none"/>
              </w:rPr>
            </w:pPr>
          </w:p>
        </w:tc>
        <w:tc>
          <w:tcPr>
            <w:tcW w:w="1276" w:type="dxa"/>
            <w:noWrap w:val="0"/>
            <w:vAlign w:val="top"/>
          </w:tcPr>
          <w:p>
            <w:pPr>
              <w:rPr>
                <w:rFonts w:hint="eastAsia" w:ascii="仿宋" w:hAnsi="仿宋" w:eastAsia="仿宋" w:cs="仿宋"/>
                <w:color w:val="auto"/>
                <w:szCs w:val="24"/>
                <w:highlight w:val="none"/>
              </w:rPr>
            </w:pPr>
          </w:p>
        </w:tc>
        <w:tc>
          <w:tcPr>
            <w:tcW w:w="2268" w:type="dxa"/>
            <w:noWrap w:val="0"/>
            <w:vAlign w:val="top"/>
          </w:tcPr>
          <w:p>
            <w:pPr>
              <w:rPr>
                <w:rFonts w:hint="eastAsia" w:ascii="仿宋" w:hAnsi="仿宋" w:eastAsia="仿宋" w:cs="仿宋"/>
                <w:color w:val="auto"/>
                <w:szCs w:val="24"/>
                <w:highlight w:val="none"/>
              </w:rPr>
            </w:pPr>
          </w:p>
        </w:tc>
        <w:tc>
          <w:tcPr>
            <w:tcW w:w="2781" w:type="dxa"/>
            <w:noWrap w:val="0"/>
            <w:vAlign w:val="top"/>
          </w:tcPr>
          <w:p>
            <w:pPr>
              <w:rPr>
                <w:rFonts w:hint="eastAsia" w:ascii="仿宋" w:hAnsi="仿宋" w:eastAsia="仿宋" w:cs="仿宋"/>
                <w:color w:val="auto"/>
                <w:szCs w:val="24"/>
                <w:highlight w:val="none"/>
              </w:rPr>
            </w:pPr>
          </w:p>
        </w:tc>
        <w:tc>
          <w:tcPr>
            <w:tcW w:w="1188" w:type="dxa"/>
            <w:noWrap w:val="0"/>
            <w:vAlign w:val="top"/>
          </w:tcPr>
          <w:p>
            <w:pPr>
              <w:rPr>
                <w:rFonts w:hint="eastAsia" w:ascii="仿宋" w:hAnsi="仿宋" w:eastAsia="仿宋" w:cs="仿宋"/>
                <w:color w:val="auto"/>
                <w:szCs w:val="24"/>
                <w:highlight w:val="none"/>
              </w:rPr>
            </w:pPr>
          </w:p>
        </w:tc>
        <w:tc>
          <w:tcPr>
            <w:tcW w:w="594" w:type="dxa"/>
            <w:noWrap w:val="0"/>
            <w:vAlign w:val="top"/>
          </w:tcPr>
          <w:p>
            <w:pP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4" w:hRule="atLeast"/>
          <w:jc w:val="center"/>
        </w:trPr>
        <w:tc>
          <w:tcPr>
            <w:tcW w:w="737" w:type="dxa"/>
            <w:noWrap w:val="0"/>
            <w:vAlign w:val="top"/>
          </w:tcPr>
          <w:p>
            <w:pPr>
              <w:rPr>
                <w:rFonts w:hint="eastAsia" w:ascii="仿宋" w:hAnsi="仿宋" w:eastAsia="仿宋" w:cs="仿宋"/>
                <w:color w:val="auto"/>
                <w:szCs w:val="24"/>
                <w:highlight w:val="none"/>
              </w:rPr>
            </w:pPr>
          </w:p>
        </w:tc>
        <w:tc>
          <w:tcPr>
            <w:tcW w:w="1276" w:type="dxa"/>
            <w:noWrap w:val="0"/>
            <w:vAlign w:val="top"/>
          </w:tcPr>
          <w:p>
            <w:pPr>
              <w:rPr>
                <w:rFonts w:hint="eastAsia" w:ascii="仿宋" w:hAnsi="仿宋" w:eastAsia="仿宋" w:cs="仿宋"/>
                <w:color w:val="auto"/>
                <w:szCs w:val="24"/>
                <w:highlight w:val="none"/>
              </w:rPr>
            </w:pPr>
          </w:p>
        </w:tc>
        <w:tc>
          <w:tcPr>
            <w:tcW w:w="2268" w:type="dxa"/>
            <w:noWrap w:val="0"/>
            <w:vAlign w:val="top"/>
          </w:tcPr>
          <w:p>
            <w:pPr>
              <w:rPr>
                <w:rFonts w:hint="eastAsia" w:ascii="仿宋" w:hAnsi="仿宋" w:eastAsia="仿宋" w:cs="仿宋"/>
                <w:color w:val="auto"/>
                <w:szCs w:val="24"/>
                <w:highlight w:val="none"/>
              </w:rPr>
            </w:pPr>
          </w:p>
        </w:tc>
        <w:tc>
          <w:tcPr>
            <w:tcW w:w="2781" w:type="dxa"/>
            <w:noWrap w:val="0"/>
            <w:vAlign w:val="top"/>
          </w:tcPr>
          <w:p>
            <w:pPr>
              <w:rPr>
                <w:rFonts w:hint="eastAsia" w:ascii="仿宋" w:hAnsi="仿宋" w:eastAsia="仿宋" w:cs="仿宋"/>
                <w:color w:val="auto"/>
                <w:szCs w:val="24"/>
                <w:highlight w:val="none"/>
              </w:rPr>
            </w:pPr>
          </w:p>
        </w:tc>
        <w:tc>
          <w:tcPr>
            <w:tcW w:w="1188" w:type="dxa"/>
            <w:noWrap w:val="0"/>
            <w:vAlign w:val="top"/>
          </w:tcPr>
          <w:p>
            <w:pPr>
              <w:rPr>
                <w:rFonts w:hint="eastAsia" w:ascii="仿宋" w:hAnsi="仿宋" w:eastAsia="仿宋" w:cs="仿宋"/>
                <w:color w:val="auto"/>
                <w:szCs w:val="24"/>
                <w:highlight w:val="none"/>
              </w:rPr>
            </w:pPr>
          </w:p>
        </w:tc>
        <w:tc>
          <w:tcPr>
            <w:tcW w:w="594" w:type="dxa"/>
            <w:noWrap w:val="0"/>
            <w:vAlign w:val="top"/>
          </w:tcPr>
          <w:p>
            <w:pP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4" w:hRule="atLeast"/>
          <w:jc w:val="center"/>
        </w:trPr>
        <w:tc>
          <w:tcPr>
            <w:tcW w:w="737" w:type="dxa"/>
            <w:noWrap w:val="0"/>
            <w:vAlign w:val="top"/>
          </w:tcPr>
          <w:p>
            <w:pPr>
              <w:rPr>
                <w:rFonts w:hint="eastAsia" w:ascii="仿宋" w:hAnsi="仿宋" w:eastAsia="仿宋" w:cs="仿宋"/>
                <w:color w:val="auto"/>
                <w:szCs w:val="24"/>
                <w:highlight w:val="none"/>
              </w:rPr>
            </w:pPr>
          </w:p>
        </w:tc>
        <w:tc>
          <w:tcPr>
            <w:tcW w:w="1276" w:type="dxa"/>
            <w:noWrap w:val="0"/>
            <w:vAlign w:val="top"/>
          </w:tcPr>
          <w:p>
            <w:pPr>
              <w:rPr>
                <w:rFonts w:hint="eastAsia" w:ascii="仿宋" w:hAnsi="仿宋" w:eastAsia="仿宋" w:cs="仿宋"/>
                <w:color w:val="auto"/>
                <w:szCs w:val="24"/>
                <w:highlight w:val="none"/>
              </w:rPr>
            </w:pPr>
          </w:p>
        </w:tc>
        <w:tc>
          <w:tcPr>
            <w:tcW w:w="2268" w:type="dxa"/>
            <w:noWrap w:val="0"/>
            <w:vAlign w:val="top"/>
          </w:tcPr>
          <w:p>
            <w:pPr>
              <w:rPr>
                <w:rFonts w:hint="eastAsia" w:ascii="仿宋" w:hAnsi="仿宋" w:eastAsia="仿宋" w:cs="仿宋"/>
                <w:color w:val="auto"/>
                <w:szCs w:val="24"/>
                <w:highlight w:val="none"/>
              </w:rPr>
            </w:pPr>
          </w:p>
        </w:tc>
        <w:tc>
          <w:tcPr>
            <w:tcW w:w="2781" w:type="dxa"/>
            <w:noWrap w:val="0"/>
            <w:vAlign w:val="top"/>
          </w:tcPr>
          <w:p>
            <w:pPr>
              <w:rPr>
                <w:rFonts w:hint="eastAsia" w:ascii="仿宋" w:hAnsi="仿宋" w:eastAsia="仿宋" w:cs="仿宋"/>
                <w:color w:val="auto"/>
                <w:szCs w:val="24"/>
                <w:highlight w:val="none"/>
              </w:rPr>
            </w:pPr>
          </w:p>
        </w:tc>
        <w:tc>
          <w:tcPr>
            <w:tcW w:w="1188" w:type="dxa"/>
            <w:noWrap w:val="0"/>
            <w:vAlign w:val="top"/>
          </w:tcPr>
          <w:p>
            <w:pPr>
              <w:rPr>
                <w:rFonts w:hint="eastAsia" w:ascii="仿宋" w:hAnsi="仿宋" w:eastAsia="仿宋" w:cs="仿宋"/>
                <w:color w:val="auto"/>
                <w:szCs w:val="24"/>
                <w:highlight w:val="none"/>
              </w:rPr>
            </w:pPr>
          </w:p>
        </w:tc>
        <w:tc>
          <w:tcPr>
            <w:tcW w:w="594" w:type="dxa"/>
            <w:noWrap w:val="0"/>
            <w:vAlign w:val="top"/>
          </w:tcPr>
          <w:p>
            <w:pP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4" w:hRule="atLeast"/>
          <w:jc w:val="center"/>
        </w:trPr>
        <w:tc>
          <w:tcPr>
            <w:tcW w:w="737" w:type="dxa"/>
            <w:noWrap w:val="0"/>
            <w:vAlign w:val="top"/>
          </w:tcPr>
          <w:p>
            <w:pPr>
              <w:rPr>
                <w:rFonts w:hint="eastAsia" w:ascii="仿宋" w:hAnsi="仿宋" w:eastAsia="仿宋" w:cs="仿宋"/>
                <w:color w:val="auto"/>
                <w:szCs w:val="24"/>
                <w:highlight w:val="none"/>
              </w:rPr>
            </w:pPr>
          </w:p>
        </w:tc>
        <w:tc>
          <w:tcPr>
            <w:tcW w:w="1276" w:type="dxa"/>
            <w:noWrap w:val="0"/>
            <w:vAlign w:val="top"/>
          </w:tcPr>
          <w:p>
            <w:pPr>
              <w:rPr>
                <w:rFonts w:hint="eastAsia" w:ascii="仿宋" w:hAnsi="仿宋" w:eastAsia="仿宋" w:cs="仿宋"/>
                <w:color w:val="auto"/>
                <w:szCs w:val="24"/>
                <w:highlight w:val="none"/>
              </w:rPr>
            </w:pPr>
          </w:p>
        </w:tc>
        <w:tc>
          <w:tcPr>
            <w:tcW w:w="2268" w:type="dxa"/>
            <w:noWrap w:val="0"/>
            <w:vAlign w:val="top"/>
          </w:tcPr>
          <w:p>
            <w:pPr>
              <w:rPr>
                <w:rFonts w:hint="eastAsia" w:ascii="仿宋" w:hAnsi="仿宋" w:eastAsia="仿宋" w:cs="仿宋"/>
                <w:color w:val="auto"/>
                <w:szCs w:val="24"/>
                <w:highlight w:val="none"/>
              </w:rPr>
            </w:pPr>
          </w:p>
        </w:tc>
        <w:tc>
          <w:tcPr>
            <w:tcW w:w="2781" w:type="dxa"/>
            <w:noWrap w:val="0"/>
            <w:vAlign w:val="top"/>
          </w:tcPr>
          <w:p>
            <w:pPr>
              <w:rPr>
                <w:rFonts w:hint="eastAsia" w:ascii="仿宋" w:hAnsi="仿宋" w:eastAsia="仿宋" w:cs="仿宋"/>
                <w:color w:val="auto"/>
                <w:szCs w:val="24"/>
                <w:highlight w:val="none"/>
              </w:rPr>
            </w:pPr>
          </w:p>
        </w:tc>
        <w:tc>
          <w:tcPr>
            <w:tcW w:w="1188" w:type="dxa"/>
            <w:noWrap w:val="0"/>
            <w:vAlign w:val="top"/>
          </w:tcPr>
          <w:p>
            <w:pPr>
              <w:rPr>
                <w:rFonts w:hint="eastAsia" w:ascii="仿宋" w:hAnsi="仿宋" w:eastAsia="仿宋" w:cs="仿宋"/>
                <w:color w:val="auto"/>
                <w:szCs w:val="24"/>
                <w:highlight w:val="none"/>
              </w:rPr>
            </w:pPr>
          </w:p>
        </w:tc>
        <w:tc>
          <w:tcPr>
            <w:tcW w:w="594" w:type="dxa"/>
            <w:noWrap w:val="0"/>
            <w:vAlign w:val="top"/>
          </w:tcPr>
          <w:p>
            <w:pPr>
              <w:rPr>
                <w:rFonts w:hint="eastAsia" w:ascii="仿宋" w:hAnsi="仿宋" w:eastAsia="仿宋" w:cs="仿宋"/>
                <w:color w:val="auto"/>
                <w:szCs w:val="24"/>
                <w:highlight w:val="none"/>
              </w:rPr>
            </w:pPr>
          </w:p>
        </w:tc>
      </w:tr>
    </w:tbl>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sz w:val="24"/>
          <w:szCs w:val="24"/>
          <w:highlight w:val="none"/>
        </w:rPr>
      </w:pPr>
    </w:p>
    <w:p>
      <w:pPr>
        <w:tabs>
          <w:tab w:val="left" w:pos="3045"/>
        </w:tabs>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法定代表人</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或盖章</w:t>
      </w:r>
      <w:r>
        <w:rPr>
          <w:rFonts w:hint="eastAsia" w:ascii="仿宋" w:hAnsi="仿宋" w:eastAsia="仿宋" w:cs="仿宋"/>
          <w:color w:val="auto"/>
          <w:sz w:val="24"/>
          <w:szCs w:val="24"/>
          <w:highlight w:val="none"/>
          <w:lang w:val="en-US" w:eastAsia="zh-CN"/>
        </w:rPr>
        <w:t>）</w:t>
      </w:r>
    </w:p>
    <w:p>
      <w:pPr>
        <w:tabs>
          <w:tab w:val="left" w:pos="3045"/>
        </w:tabs>
        <w:spacing w:line="280" w:lineRule="exact"/>
        <w:rPr>
          <w:rFonts w:hint="eastAsia" w:ascii="仿宋" w:hAnsi="仿宋" w:eastAsia="仿宋" w:cs="仿宋"/>
          <w:color w:val="auto"/>
          <w:sz w:val="24"/>
          <w:szCs w:val="24"/>
          <w:highlight w:val="none"/>
        </w:rPr>
      </w:pPr>
    </w:p>
    <w:p>
      <w:pPr>
        <w:spacing w:line="280" w:lineRule="exact"/>
        <w:rPr>
          <w:rFonts w:hint="eastAsia" w:ascii="仿宋" w:hAnsi="仿宋" w:eastAsia="仿宋" w:cs="仿宋"/>
          <w:color w:val="auto"/>
          <w:sz w:val="24"/>
          <w:szCs w:val="24"/>
          <w:highlight w:val="none"/>
        </w:rPr>
      </w:pPr>
    </w:p>
    <w:p>
      <w:pPr>
        <w:spacing w:line="28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      章：</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spacing w:line="360" w:lineRule="auto"/>
        <w:ind w:left="-59" w:leftChars="-28" w:firstLine="57" w:firstLineChars="2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注: </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☆1 指竞争性谈判文件中的技术规格(参数),谈判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应按照竞争性谈判文件中的内容逐条抄写。</w:t>
      </w:r>
    </w:p>
    <w:p>
      <w:pPr>
        <w:spacing w:line="36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☆2 指谈判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拟提供的谈判产品的功能及技术规格(参数),</w:t>
      </w:r>
      <w:r>
        <w:rPr>
          <w:rFonts w:hint="eastAsia" w:ascii="仿宋" w:hAnsi="仿宋" w:eastAsia="仿宋" w:cs="仿宋"/>
          <w:color w:val="auto"/>
          <w:sz w:val="24"/>
          <w:szCs w:val="24"/>
          <w:highlight w:val="none"/>
          <w:lang w:eastAsia="zh-CN"/>
        </w:rPr>
        <w:t>谈判供应商</w:t>
      </w:r>
      <w:r>
        <w:rPr>
          <w:rFonts w:hint="eastAsia" w:ascii="仿宋" w:hAnsi="仿宋" w:eastAsia="仿宋" w:cs="仿宋"/>
          <w:color w:val="auto"/>
          <w:sz w:val="24"/>
          <w:szCs w:val="24"/>
          <w:highlight w:val="none"/>
        </w:rPr>
        <w:t>应逐条如实填写。</w:t>
      </w:r>
    </w:p>
    <w:p>
      <w:pPr>
        <w:tabs>
          <w:tab w:val="left" w:pos="668"/>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偏离说明填写：优于、满足或低于</w:t>
      </w:r>
      <w:r>
        <w:rPr>
          <w:rFonts w:hint="eastAsia" w:ascii="仿宋" w:hAnsi="仿宋" w:eastAsia="仿宋" w:cs="仿宋"/>
          <w:color w:val="auto"/>
          <w:sz w:val="24"/>
          <w:szCs w:val="24"/>
          <w:highlight w:val="none"/>
          <w:lang w:eastAsia="zh-CN"/>
        </w:rPr>
        <w:t>。</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pacing w:line="440" w:lineRule="exact"/>
        <w:jc w:val="center"/>
        <w:rPr>
          <w:rFonts w:hint="eastAsia" w:ascii="仿宋" w:hAnsi="仿宋" w:eastAsia="仿宋" w:cs="仿宋"/>
          <w:color w:val="auto"/>
          <w:sz w:val="24"/>
          <w:szCs w:val="24"/>
          <w:highlight w:val="none"/>
        </w:rPr>
      </w:pPr>
    </w:p>
    <w:p>
      <w:pPr>
        <w:spacing w:after="120"/>
        <w:jc w:val="left"/>
        <w:outlineLvl w:val="2"/>
        <w:rPr>
          <w:rFonts w:hint="eastAsia" w:ascii="仿宋" w:hAnsi="仿宋" w:eastAsia="仿宋" w:cs="仿宋"/>
          <w:b/>
          <w:color w:val="auto"/>
          <w:sz w:val="36"/>
          <w:highlight w:val="none"/>
          <w:lang w:eastAsia="zh-CN"/>
        </w:rPr>
      </w:pPr>
      <w:bookmarkStart w:id="134" w:name="_Toc6030"/>
      <w:r>
        <w:rPr>
          <w:rFonts w:hint="eastAsia" w:ascii="仿宋" w:hAnsi="仿宋" w:eastAsia="仿宋" w:cs="仿宋"/>
          <w:b/>
          <w:color w:val="auto"/>
          <w:sz w:val="24"/>
          <w:szCs w:val="24"/>
          <w:highlight w:val="none"/>
        </w:rPr>
        <w:t>附表</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eastAsia="zh-CN"/>
        </w:rPr>
        <w:t>（如有）</w:t>
      </w:r>
      <w:bookmarkEnd w:id="134"/>
    </w:p>
    <w:p>
      <w:pPr>
        <w:spacing w:after="120"/>
        <w:jc w:val="center"/>
        <w:outlineLvl w:val="2"/>
        <w:rPr>
          <w:rFonts w:hint="eastAsia" w:ascii="仿宋" w:hAnsi="仿宋" w:eastAsia="仿宋" w:cs="仿宋"/>
          <w:b/>
          <w:color w:val="auto"/>
          <w:sz w:val="36"/>
          <w:highlight w:val="none"/>
        </w:rPr>
      </w:pPr>
      <w:bookmarkStart w:id="135" w:name="_Toc12424"/>
      <w:r>
        <w:rPr>
          <w:rFonts w:hint="eastAsia" w:ascii="仿宋" w:hAnsi="仿宋" w:eastAsia="仿宋" w:cs="仿宋"/>
          <w:b/>
          <w:color w:val="auto"/>
          <w:sz w:val="36"/>
          <w:highlight w:val="none"/>
        </w:rPr>
        <w:t>备品备件清单</w:t>
      </w:r>
      <w:bookmarkEnd w:id="135"/>
    </w:p>
    <w:p>
      <w:pPr>
        <w:spacing w:after="120"/>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spacing w:after="120"/>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1"/>
        <w:gridCol w:w="2733"/>
        <w:gridCol w:w="1362"/>
        <w:gridCol w:w="189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trPr>
        <w:tc>
          <w:tcPr>
            <w:tcW w:w="971" w:type="dxa"/>
            <w:noWrap w:val="0"/>
            <w:vAlign w:val="top"/>
          </w:tcPr>
          <w:p>
            <w:pPr>
              <w:spacing w:before="120"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33" w:type="dxa"/>
            <w:noWrap w:val="0"/>
            <w:vAlign w:val="top"/>
          </w:tcPr>
          <w:p>
            <w:pPr>
              <w:spacing w:before="120"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362" w:type="dxa"/>
            <w:noWrap w:val="0"/>
            <w:vAlign w:val="top"/>
          </w:tcPr>
          <w:p>
            <w:pPr>
              <w:spacing w:before="120"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90" w:type="dxa"/>
            <w:noWrap w:val="0"/>
            <w:vAlign w:val="top"/>
          </w:tcPr>
          <w:p>
            <w:pPr>
              <w:spacing w:before="120"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r>
              <w:rPr>
                <w:rFonts w:hint="eastAsia" w:ascii="仿宋" w:hAnsi="仿宋" w:eastAsia="仿宋" w:cs="仿宋"/>
                <w:color w:val="auto"/>
                <w:sz w:val="24"/>
                <w:szCs w:val="24"/>
                <w:highlight w:val="none"/>
                <w:lang w:eastAsia="zh-CN"/>
              </w:rPr>
              <w:t>（元）</w:t>
            </w:r>
          </w:p>
        </w:tc>
        <w:tc>
          <w:tcPr>
            <w:tcW w:w="1888" w:type="dxa"/>
            <w:noWrap w:val="0"/>
            <w:vAlign w:val="top"/>
          </w:tcPr>
          <w:p>
            <w:pPr>
              <w:spacing w:before="120"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r>
              <w:rPr>
                <w:rFonts w:hint="eastAsia" w:ascii="仿宋" w:hAnsi="仿宋" w:eastAsia="仿宋" w:cs="仿宋"/>
                <w:color w:val="auto"/>
                <w:sz w:val="24"/>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9" w:hRule="atLeast"/>
        </w:trPr>
        <w:tc>
          <w:tcPr>
            <w:tcW w:w="971" w:type="dxa"/>
            <w:noWrap w:val="0"/>
            <w:vAlign w:val="top"/>
          </w:tcPr>
          <w:p>
            <w:pPr>
              <w:rPr>
                <w:rFonts w:hint="eastAsia" w:ascii="仿宋" w:hAnsi="仿宋" w:eastAsia="仿宋" w:cs="仿宋"/>
                <w:color w:val="auto"/>
                <w:sz w:val="24"/>
                <w:szCs w:val="24"/>
                <w:highlight w:val="none"/>
              </w:rPr>
            </w:pPr>
          </w:p>
        </w:tc>
        <w:tc>
          <w:tcPr>
            <w:tcW w:w="2733" w:type="dxa"/>
            <w:noWrap w:val="0"/>
            <w:vAlign w:val="top"/>
          </w:tcPr>
          <w:p>
            <w:pPr>
              <w:rPr>
                <w:rFonts w:hint="eastAsia" w:ascii="仿宋" w:hAnsi="仿宋" w:eastAsia="仿宋" w:cs="仿宋"/>
                <w:color w:val="auto"/>
                <w:sz w:val="24"/>
                <w:szCs w:val="24"/>
                <w:highlight w:val="none"/>
              </w:rPr>
            </w:pPr>
          </w:p>
        </w:tc>
        <w:tc>
          <w:tcPr>
            <w:tcW w:w="1362" w:type="dxa"/>
            <w:noWrap w:val="0"/>
            <w:vAlign w:val="top"/>
          </w:tcPr>
          <w:p>
            <w:pPr>
              <w:rPr>
                <w:rFonts w:hint="eastAsia" w:ascii="仿宋" w:hAnsi="仿宋" w:eastAsia="仿宋" w:cs="仿宋"/>
                <w:color w:val="auto"/>
                <w:sz w:val="24"/>
                <w:szCs w:val="24"/>
                <w:highlight w:val="none"/>
              </w:rPr>
            </w:pPr>
          </w:p>
        </w:tc>
        <w:tc>
          <w:tcPr>
            <w:tcW w:w="1890" w:type="dxa"/>
            <w:noWrap w:val="0"/>
            <w:vAlign w:val="top"/>
          </w:tcPr>
          <w:p>
            <w:pPr>
              <w:rPr>
                <w:rFonts w:hint="eastAsia" w:ascii="仿宋" w:hAnsi="仿宋" w:eastAsia="仿宋" w:cs="仿宋"/>
                <w:color w:val="auto"/>
                <w:sz w:val="24"/>
                <w:szCs w:val="24"/>
                <w:highlight w:val="none"/>
              </w:rPr>
            </w:pPr>
          </w:p>
        </w:tc>
        <w:tc>
          <w:tcPr>
            <w:tcW w:w="1888" w:type="dxa"/>
            <w:noWrap w:val="0"/>
            <w:vAlign w:val="top"/>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20" w:hRule="atLeast"/>
        </w:trPr>
        <w:tc>
          <w:tcPr>
            <w:tcW w:w="971" w:type="dxa"/>
            <w:noWrap w:val="0"/>
            <w:vAlign w:val="top"/>
          </w:tcPr>
          <w:p>
            <w:pPr>
              <w:rPr>
                <w:rFonts w:hint="eastAsia" w:ascii="仿宋" w:hAnsi="仿宋" w:eastAsia="仿宋" w:cs="仿宋"/>
                <w:color w:val="auto"/>
                <w:sz w:val="24"/>
                <w:szCs w:val="24"/>
                <w:highlight w:val="none"/>
              </w:rPr>
            </w:pPr>
          </w:p>
        </w:tc>
        <w:tc>
          <w:tcPr>
            <w:tcW w:w="2733" w:type="dxa"/>
            <w:noWrap w:val="0"/>
            <w:vAlign w:val="top"/>
          </w:tcPr>
          <w:p>
            <w:pPr>
              <w:rPr>
                <w:rFonts w:hint="eastAsia" w:ascii="仿宋" w:hAnsi="仿宋" w:eastAsia="仿宋" w:cs="仿宋"/>
                <w:color w:val="auto"/>
                <w:sz w:val="24"/>
                <w:szCs w:val="24"/>
                <w:highlight w:val="none"/>
              </w:rPr>
            </w:pPr>
          </w:p>
        </w:tc>
        <w:tc>
          <w:tcPr>
            <w:tcW w:w="1362" w:type="dxa"/>
            <w:noWrap w:val="0"/>
            <w:vAlign w:val="top"/>
          </w:tcPr>
          <w:p>
            <w:pPr>
              <w:rPr>
                <w:rFonts w:hint="eastAsia" w:ascii="仿宋" w:hAnsi="仿宋" w:eastAsia="仿宋" w:cs="仿宋"/>
                <w:color w:val="auto"/>
                <w:sz w:val="24"/>
                <w:szCs w:val="24"/>
                <w:highlight w:val="none"/>
              </w:rPr>
            </w:pPr>
          </w:p>
        </w:tc>
        <w:tc>
          <w:tcPr>
            <w:tcW w:w="1890" w:type="dxa"/>
            <w:noWrap w:val="0"/>
            <w:vAlign w:val="top"/>
          </w:tcPr>
          <w:p>
            <w:pPr>
              <w:rPr>
                <w:rFonts w:hint="eastAsia" w:ascii="仿宋" w:hAnsi="仿宋" w:eastAsia="仿宋" w:cs="仿宋"/>
                <w:color w:val="auto"/>
                <w:sz w:val="24"/>
                <w:szCs w:val="24"/>
                <w:highlight w:val="none"/>
              </w:rPr>
            </w:pPr>
          </w:p>
        </w:tc>
        <w:tc>
          <w:tcPr>
            <w:tcW w:w="1888" w:type="dxa"/>
            <w:noWrap w:val="0"/>
            <w:vAlign w:val="top"/>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81" w:hRule="atLeast"/>
        </w:trPr>
        <w:tc>
          <w:tcPr>
            <w:tcW w:w="971" w:type="dxa"/>
            <w:noWrap w:val="0"/>
            <w:vAlign w:val="top"/>
          </w:tcPr>
          <w:p>
            <w:pPr>
              <w:rPr>
                <w:rFonts w:hint="eastAsia" w:ascii="仿宋" w:hAnsi="仿宋" w:eastAsia="仿宋" w:cs="仿宋"/>
                <w:color w:val="auto"/>
                <w:sz w:val="24"/>
                <w:szCs w:val="24"/>
                <w:highlight w:val="none"/>
              </w:rPr>
            </w:pPr>
          </w:p>
        </w:tc>
        <w:tc>
          <w:tcPr>
            <w:tcW w:w="2733" w:type="dxa"/>
            <w:noWrap w:val="0"/>
            <w:vAlign w:val="top"/>
          </w:tcPr>
          <w:p>
            <w:pPr>
              <w:rPr>
                <w:rFonts w:hint="eastAsia" w:ascii="仿宋" w:hAnsi="仿宋" w:eastAsia="仿宋" w:cs="仿宋"/>
                <w:color w:val="auto"/>
                <w:sz w:val="24"/>
                <w:szCs w:val="24"/>
                <w:highlight w:val="none"/>
              </w:rPr>
            </w:pPr>
          </w:p>
        </w:tc>
        <w:tc>
          <w:tcPr>
            <w:tcW w:w="1362" w:type="dxa"/>
            <w:noWrap w:val="0"/>
            <w:vAlign w:val="top"/>
          </w:tcPr>
          <w:p>
            <w:pPr>
              <w:rPr>
                <w:rFonts w:hint="eastAsia" w:ascii="仿宋" w:hAnsi="仿宋" w:eastAsia="仿宋" w:cs="仿宋"/>
                <w:color w:val="auto"/>
                <w:sz w:val="24"/>
                <w:szCs w:val="24"/>
                <w:highlight w:val="none"/>
              </w:rPr>
            </w:pPr>
          </w:p>
        </w:tc>
        <w:tc>
          <w:tcPr>
            <w:tcW w:w="1890" w:type="dxa"/>
            <w:noWrap w:val="0"/>
            <w:vAlign w:val="top"/>
          </w:tcPr>
          <w:p>
            <w:pPr>
              <w:rPr>
                <w:rFonts w:hint="eastAsia" w:ascii="仿宋" w:hAnsi="仿宋" w:eastAsia="仿宋" w:cs="仿宋"/>
                <w:color w:val="auto"/>
                <w:sz w:val="24"/>
                <w:szCs w:val="24"/>
                <w:highlight w:val="none"/>
              </w:rPr>
            </w:pPr>
          </w:p>
        </w:tc>
        <w:tc>
          <w:tcPr>
            <w:tcW w:w="1888" w:type="dxa"/>
            <w:noWrap w:val="0"/>
            <w:vAlign w:val="top"/>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4" w:hRule="atLeast"/>
        </w:trPr>
        <w:tc>
          <w:tcPr>
            <w:tcW w:w="971" w:type="dxa"/>
            <w:noWrap w:val="0"/>
            <w:vAlign w:val="top"/>
          </w:tcPr>
          <w:p>
            <w:pPr>
              <w:rPr>
                <w:rFonts w:hint="eastAsia" w:ascii="仿宋" w:hAnsi="仿宋" w:eastAsia="仿宋" w:cs="仿宋"/>
                <w:color w:val="auto"/>
                <w:sz w:val="24"/>
                <w:szCs w:val="24"/>
                <w:highlight w:val="none"/>
              </w:rPr>
            </w:pPr>
          </w:p>
        </w:tc>
        <w:tc>
          <w:tcPr>
            <w:tcW w:w="2733" w:type="dxa"/>
            <w:noWrap w:val="0"/>
            <w:vAlign w:val="top"/>
          </w:tcPr>
          <w:p>
            <w:pPr>
              <w:rPr>
                <w:rFonts w:hint="eastAsia" w:ascii="仿宋" w:hAnsi="仿宋" w:eastAsia="仿宋" w:cs="仿宋"/>
                <w:color w:val="auto"/>
                <w:sz w:val="24"/>
                <w:szCs w:val="24"/>
                <w:highlight w:val="none"/>
              </w:rPr>
            </w:pPr>
          </w:p>
        </w:tc>
        <w:tc>
          <w:tcPr>
            <w:tcW w:w="1362" w:type="dxa"/>
            <w:noWrap w:val="0"/>
            <w:vAlign w:val="top"/>
          </w:tcPr>
          <w:p>
            <w:pPr>
              <w:rPr>
                <w:rFonts w:hint="eastAsia" w:ascii="仿宋" w:hAnsi="仿宋" w:eastAsia="仿宋" w:cs="仿宋"/>
                <w:color w:val="auto"/>
                <w:sz w:val="24"/>
                <w:szCs w:val="24"/>
                <w:highlight w:val="none"/>
              </w:rPr>
            </w:pPr>
          </w:p>
        </w:tc>
        <w:tc>
          <w:tcPr>
            <w:tcW w:w="1890" w:type="dxa"/>
            <w:noWrap w:val="0"/>
            <w:vAlign w:val="top"/>
          </w:tcPr>
          <w:p>
            <w:pPr>
              <w:rPr>
                <w:rFonts w:hint="eastAsia" w:ascii="仿宋" w:hAnsi="仿宋" w:eastAsia="仿宋" w:cs="仿宋"/>
                <w:color w:val="auto"/>
                <w:sz w:val="24"/>
                <w:szCs w:val="24"/>
                <w:highlight w:val="none"/>
              </w:rPr>
            </w:pPr>
          </w:p>
        </w:tc>
        <w:tc>
          <w:tcPr>
            <w:tcW w:w="1888" w:type="dxa"/>
            <w:noWrap w:val="0"/>
            <w:vAlign w:val="top"/>
          </w:tcPr>
          <w:p>
            <w:pPr>
              <w:rPr>
                <w:rFonts w:hint="eastAsia" w:ascii="仿宋" w:hAnsi="仿宋" w:eastAsia="仿宋" w:cs="仿宋"/>
                <w:color w:val="auto"/>
                <w:sz w:val="24"/>
                <w:szCs w:val="24"/>
                <w:highlight w:val="none"/>
              </w:rPr>
            </w:pPr>
          </w:p>
        </w:tc>
      </w:tr>
    </w:tbl>
    <w:p>
      <w:pPr>
        <w:rPr>
          <w:rFonts w:hint="eastAsia" w:ascii="仿宋" w:hAnsi="仿宋" w:eastAsia="仿宋" w:cs="仿宋"/>
          <w:color w:val="auto"/>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备注：谈判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应免费提供质保期内的备品备件。</w:t>
      </w:r>
    </w:p>
    <w:p>
      <w:pPr>
        <w:tabs>
          <w:tab w:val="left" w:pos="3045"/>
        </w:tabs>
        <w:rPr>
          <w:rFonts w:hint="eastAsia" w:ascii="仿宋" w:hAnsi="仿宋" w:eastAsia="仿宋" w:cs="仿宋"/>
          <w:color w:val="auto"/>
          <w:sz w:val="24"/>
          <w:szCs w:val="24"/>
          <w:highlight w:val="none"/>
          <w:lang w:eastAsia="zh-CN"/>
        </w:rPr>
      </w:pPr>
    </w:p>
    <w:p>
      <w:pPr>
        <w:tabs>
          <w:tab w:val="left" w:pos="3045"/>
        </w:tabs>
        <w:rPr>
          <w:rFonts w:hint="eastAsia" w:ascii="仿宋" w:hAnsi="仿宋" w:eastAsia="仿宋" w:cs="仿宋"/>
          <w:color w:val="auto"/>
          <w:sz w:val="24"/>
          <w:szCs w:val="24"/>
          <w:highlight w:val="none"/>
          <w:lang w:eastAsia="zh-CN"/>
        </w:rPr>
      </w:pPr>
    </w:p>
    <w:p>
      <w:pPr>
        <w:tabs>
          <w:tab w:val="left" w:pos="3045"/>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法定代表人</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或盖章</w:t>
      </w:r>
      <w:r>
        <w:rPr>
          <w:rFonts w:hint="eastAsia" w:ascii="仿宋" w:hAnsi="仿宋" w:eastAsia="仿宋" w:cs="仿宋"/>
          <w:color w:val="auto"/>
          <w:sz w:val="24"/>
          <w:szCs w:val="24"/>
          <w:highlight w:val="none"/>
          <w:lang w:val="en-US" w:eastAsia="zh-CN"/>
        </w:rPr>
        <w:t>）</w:t>
      </w:r>
    </w:p>
    <w:p>
      <w:pPr>
        <w:tabs>
          <w:tab w:val="left" w:pos="3045"/>
        </w:tabs>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      章：</w:t>
      </w:r>
    </w:p>
    <w:p>
      <w:pPr>
        <w:rPr>
          <w:rFonts w:hint="eastAsia" w:ascii="仿宋" w:hAnsi="仿宋" w:eastAsia="仿宋" w:cs="仿宋"/>
          <w:color w:val="auto"/>
          <w:sz w:val="24"/>
          <w:szCs w:val="24"/>
          <w:highlight w:val="none"/>
        </w:rPr>
      </w:pPr>
    </w:p>
    <w:p>
      <w:pPr>
        <w:spacing w:after="120"/>
        <w:jc w:val="left"/>
        <w:outlineLvl w:val="2"/>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br w:type="page"/>
      </w:r>
      <w:bookmarkStart w:id="136" w:name="_Toc8461"/>
      <w:r>
        <w:rPr>
          <w:rFonts w:hint="eastAsia" w:ascii="仿宋" w:hAnsi="仿宋" w:eastAsia="仿宋" w:cs="仿宋"/>
          <w:b/>
          <w:color w:val="auto"/>
          <w:sz w:val="24"/>
          <w:szCs w:val="24"/>
          <w:highlight w:val="none"/>
        </w:rPr>
        <w:t>附表</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lang w:eastAsia="zh-CN"/>
        </w:rPr>
        <w:t>（如有）</w:t>
      </w:r>
      <w:bookmarkEnd w:id="136"/>
    </w:p>
    <w:p>
      <w:pPr>
        <w:spacing w:after="120"/>
        <w:jc w:val="center"/>
        <w:outlineLvl w:val="2"/>
        <w:rPr>
          <w:rFonts w:hint="eastAsia" w:ascii="仿宋" w:hAnsi="仿宋" w:eastAsia="仿宋" w:cs="仿宋"/>
          <w:b/>
          <w:color w:val="auto"/>
          <w:sz w:val="36"/>
          <w:highlight w:val="none"/>
        </w:rPr>
      </w:pPr>
      <w:bookmarkStart w:id="137" w:name="_Toc25236"/>
      <w:r>
        <w:rPr>
          <w:rFonts w:hint="eastAsia" w:ascii="仿宋" w:hAnsi="仿宋" w:eastAsia="仿宋" w:cs="仿宋"/>
          <w:b/>
          <w:color w:val="auto"/>
          <w:sz w:val="36"/>
          <w:highlight w:val="none"/>
        </w:rPr>
        <w:t>易耗件清单</w:t>
      </w:r>
      <w:bookmarkEnd w:id="137"/>
    </w:p>
    <w:p>
      <w:pPr>
        <w:spacing w:after="120"/>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spacing w:after="120"/>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31"/>
        <w:gridCol w:w="2673"/>
        <w:gridCol w:w="1377"/>
        <w:gridCol w:w="186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trPr>
        <w:tc>
          <w:tcPr>
            <w:tcW w:w="1031" w:type="dxa"/>
            <w:noWrap w:val="0"/>
            <w:vAlign w:val="top"/>
          </w:tcPr>
          <w:p>
            <w:pPr>
              <w:spacing w:before="120"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73" w:type="dxa"/>
            <w:noWrap w:val="0"/>
            <w:vAlign w:val="top"/>
          </w:tcPr>
          <w:p>
            <w:pPr>
              <w:spacing w:before="120"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377" w:type="dxa"/>
            <w:noWrap w:val="0"/>
            <w:vAlign w:val="top"/>
          </w:tcPr>
          <w:p>
            <w:pPr>
              <w:spacing w:before="120"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60" w:type="dxa"/>
            <w:noWrap w:val="0"/>
            <w:vAlign w:val="top"/>
          </w:tcPr>
          <w:p>
            <w:pPr>
              <w:spacing w:before="120"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r>
              <w:rPr>
                <w:rFonts w:hint="eastAsia" w:ascii="仿宋" w:hAnsi="仿宋" w:eastAsia="仿宋" w:cs="仿宋"/>
                <w:color w:val="auto"/>
                <w:sz w:val="24"/>
                <w:szCs w:val="24"/>
                <w:highlight w:val="none"/>
                <w:lang w:eastAsia="zh-CN"/>
              </w:rPr>
              <w:t>（元）</w:t>
            </w:r>
          </w:p>
        </w:tc>
        <w:tc>
          <w:tcPr>
            <w:tcW w:w="1903" w:type="dxa"/>
            <w:noWrap w:val="0"/>
            <w:vAlign w:val="top"/>
          </w:tcPr>
          <w:p>
            <w:pPr>
              <w:spacing w:before="120"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r>
              <w:rPr>
                <w:rFonts w:hint="eastAsia" w:ascii="仿宋" w:hAnsi="仿宋" w:eastAsia="仿宋" w:cs="仿宋"/>
                <w:color w:val="auto"/>
                <w:sz w:val="24"/>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9" w:hRule="atLeast"/>
        </w:trPr>
        <w:tc>
          <w:tcPr>
            <w:tcW w:w="1031" w:type="dxa"/>
            <w:noWrap w:val="0"/>
            <w:vAlign w:val="top"/>
          </w:tcPr>
          <w:p>
            <w:pPr>
              <w:rPr>
                <w:rFonts w:hint="eastAsia" w:ascii="仿宋" w:hAnsi="仿宋" w:eastAsia="仿宋" w:cs="仿宋"/>
                <w:color w:val="auto"/>
                <w:sz w:val="24"/>
                <w:szCs w:val="24"/>
                <w:highlight w:val="none"/>
              </w:rPr>
            </w:pPr>
          </w:p>
        </w:tc>
        <w:tc>
          <w:tcPr>
            <w:tcW w:w="2673" w:type="dxa"/>
            <w:noWrap w:val="0"/>
            <w:vAlign w:val="top"/>
          </w:tcPr>
          <w:p>
            <w:pPr>
              <w:rPr>
                <w:rFonts w:hint="eastAsia" w:ascii="仿宋" w:hAnsi="仿宋" w:eastAsia="仿宋" w:cs="仿宋"/>
                <w:color w:val="auto"/>
                <w:sz w:val="24"/>
                <w:szCs w:val="24"/>
                <w:highlight w:val="none"/>
              </w:rPr>
            </w:pPr>
          </w:p>
        </w:tc>
        <w:tc>
          <w:tcPr>
            <w:tcW w:w="1377" w:type="dxa"/>
            <w:noWrap w:val="0"/>
            <w:vAlign w:val="top"/>
          </w:tcPr>
          <w:p>
            <w:pPr>
              <w:rPr>
                <w:rFonts w:hint="eastAsia" w:ascii="仿宋" w:hAnsi="仿宋" w:eastAsia="仿宋" w:cs="仿宋"/>
                <w:color w:val="auto"/>
                <w:sz w:val="24"/>
                <w:szCs w:val="24"/>
                <w:highlight w:val="none"/>
              </w:rPr>
            </w:pPr>
          </w:p>
        </w:tc>
        <w:tc>
          <w:tcPr>
            <w:tcW w:w="1860" w:type="dxa"/>
            <w:noWrap w:val="0"/>
            <w:vAlign w:val="top"/>
          </w:tcPr>
          <w:p>
            <w:pPr>
              <w:rPr>
                <w:rFonts w:hint="eastAsia" w:ascii="仿宋" w:hAnsi="仿宋" w:eastAsia="仿宋" w:cs="仿宋"/>
                <w:color w:val="auto"/>
                <w:sz w:val="24"/>
                <w:szCs w:val="24"/>
                <w:highlight w:val="none"/>
              </w:rPr>
            </w:pPr>
          </w:p>
        </w:tc>
        <w:tc>
          <w:tcPr>
            <w:tcW w:w="1903" w:type="dxa"/>
            <w:noWrap w:val="0"/>
            <w:vAlign w:val="top"/>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20" w:hRule="atLeast"/>
        </w:trPr>
        <w:tc>
          <w:tcPr>
            <w:tcW w:w="1031" w:type="dxa"/>
            <w:noWrap w:val="0"/>
            <w:vAlign w:val="top"/>
          </w:tcPr>
          <w:p>
            <w:pPr>
              <w:rPr>
                <w:rFonts w:hint="eastAsia" w:ascii="仿宋" w:hAnsi="仿宋" w:eastAsia="仿宋" w:cs="仿宋"/>
                <w:color w:val="auto"/>
                <w:sz w:val="24"/>
                <w:szCs w:val="24"/>
                <w:highlight w:val="none"/>
              </w:rPr>
            </w:pPr>
          </w:p>
        </w:tc>
        <w:tc>
          <w:tcPr>
            <w:tcW w:w="2673" w:type="dxa"/>
            <w:noWrap w:val="0"/>
            <w:vAlign w:val="top"/>
          </w:tcPr>
          <w:p>
            <w:pPr>
              <w:rPr>
                <w:rFonts w:hint="eastAsia" w:ascii="仿宋" w:hAnsi="仿宋" w:eastAsia="仿宋" w:cs="仿宋"/>
                <w:color w:val="auto"/>
                <w:sz w:val="24"/>
                <w:szCs w:val="24"/>
                <w:highlight w:val="none"/>
              </w:rPr>
            </w:pPr>
          </w:p>
        </w:tc>
        <w:tc>
          <w:tcPr>
            <w:tcW w:w="1377" w:type="dxa"/>
            <w:noWrap w:val="0"/>
            <w:vAlign w:val="top"/>
          </w:tcPr>
          <w:p>
            <w:pPr>
              <w:rPr>
                <w:rFonts w:hint="eastAsia" w:ascii="仿宋" w:hAnsi="仿宋" w:eastAsia="仿宋" w:cs="仿宋"/>
                <w:color w:val="auto"/>
                <w:sz w:val="24"/>
                <w:szCs w:val="24"/>
                <w:highlight w:val="none"/>
              </w:rPr>
            </w:pPr>
          </w:p>
        </w:tc>
        <w:tc>
          <w:tcPr>
            <w:tcW w:w="1860" w:type="dxa"/>
            <w:noWrap w:val="0"/>
            <w:vAlign w:val="top"/>
          </w:tcPr>
          <w:p>
            <w:pPr>
              <w:rPr>
                <w:rFonts w:hint="eastAsia" w:ascii="仿宋" w:hAnsi="仿宋" w:eastAsia="仿宋" w:cs="仿宋"/>
                <w:color w:val="auto"/>
                <w:sz w:val="24"/>
                <w:szCs w:val="24"/>
                <w:highlight w:val="none"/>
              </w:rPr>
            </w:pPr>
          </w:p>
        </w:tc>
        <w:tc>
          <w:tcPr>
            <w:tcW w:w="1903" w:type="dxa"/>
            <w:noWrap w:val="0"/>
            <w:vAlign w:val="top"/>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81" w:hRule="atLeast"/>
        </w:trPr>
        <w:tc>
          <w:tcPr>
            <w:tcW w:w="1031" w:type="dxa"/>
            <w:noWrap w:val="0"/>
            <w:vAlign w:val="top"/>
          </w:tcPr>
          <w:p>
            <w:pPr>
              <w:rPr>
                <w:rFonts w:hint="eastAsia" w:ascii="仿宋" w:hAnsi="仿宋" w:eastAsia="仿宋" w:cs="仿宋"/>
                <w:color w:val="auto"/>
                <w:sz w:val="24"/>
                <w:szCs w:val="24"/>
                <w:highlight w:val="none"/>
              </w:rPr>
            </w:pPr>
          </w:p>
        </w:tc>
        <w:tc>
          <w:tcPr>
            <w:tcW w:w="2673" w:type="dxa"/>
            <w:noWrap w:val="0"/>
            <w:vAlign w:val="top"/>
          </w:tcPr>
          <w:p>
            <w:pPr>
              <w:rPr>
                <w:rFonts w:hint="eastAsia" w:ascii="仿宋" w:hAnsi="仿宋" w:eastAsia="仿宋" w:cs="仿宋"/>
                <w:color w:val="auto"/>
                <w:sz w:val="24"/>
                <w:szCs w:val="24"/>
                <w:highlight w:val="none"/>
              </w:rPr>
            </w:pPr>
          </w:p>
        </w:tc>
        <w:tc>
          <w:tcPr>
            <w:tcW w:w="1377" w:type="dxa"/>
            <w:noWrap w:val="0"/>
            <w:vAlign w:val="top"/>
          </w:tcPr>
          <w:p>
            <w:pPr>
              <w:rPr>
                <w:rFonts w:hint="eastAsia" w:ascii="仿宋" w:hAnsi="仿宋" w:eastAsia="仿宋" w:cs="仿宋"/>
                <w:color w:val="auto"/>
                <w:sz w:val="24"/>
                <w:szCs w:val="24"/>
                <w:highlight w:val="none"/>
              </w:rPr>
            </w:pPr>
          </w:p>
        </w:tc>
        <w:tc>
          <w:tcPr>
            <w:tcW w:w="1860" w:type="dxa"/>
            <w:noWrap w:val="0"/>
            <w:vAlign w:val="top"/>
          </w:tcPr>
          <w:p>
            <w:pPr>
              <w:rPr>
                <w:rFonts w:hint="eastAsia" w:ascii="仿宋" w:hAnsi="仿宋" w:eastAsia="仿宋" w:cs="仿宋"/>
                <w:color w:val="auto"/>
                <w:sz w:val="24"/>
                <w:szCs w:val="24"/>
                <w:highlight w:val="none"/>
              </w:rPr>
            </w:pPr>
          </w:p>
        </w:tc>
        <w:tc>
          <w:tcPr>
            <w:tcW w:w="1903" w:type="dxa"/>
            <w:noWrap w:val="0"/>
            <w:vAlign w:val="top"/>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4" w:hRule="atLeast"/>
        </w:trPr>
        <w:tc>
          <w:tcPr>
            <w:tcW w:w="1031" w:type="dxa"/>
            <w:noWrap w:val="0"/>
            <w:vAlign w:val="top"/>
          </w:tcPr>
          <w:p>
            <w:pPr>
              <w:rPr>
                <w:rFonts w:hint="eastAsia" w:ascii="仿宋" w:hAnsi="仿宋" w:eastAsia="仿宋" w:cs="仿宋"/>
                <w:color w:val="auto"/>
                <w:sz w:val="24"/>
                <w:szCs w:val="24"/>
                <w:highlight w:val="none"/>
              </w:rPr>
            </w:pPr>
          </w:p>
        </w:tc>
        <w:tc>
          <w:tcPr>
            <w:tcW w:w="2673" w:type="dxa"/>
            <w:noWrap w:val="0"/>
            <w:vAlign w:val="top"/>
          </w:tcPr>
          <w:p>
            <w:pPr>
              <w:rPr>
                <w:rFonts w:hint="eastAsia" w:ascii="仿宋" w:hAnsi="仿宋" w:eastAsia="仿宋" w:cs="仿宋"/>
                <w:color w:val="auto"/>
                <w:sz w:val="24"/>
                <w:szCs w:val="24"/>
                <w:highlight w:val="none"/>
              </w:rPr>
            </w:pPr>
          </w:p>
        </w:tc>
        <w:tc>
          <w:tcPr>
            <w:tcW w:w="1377" w:type="dxa"/>
            <w:noWrap w:val="0"/>
            <w:vAlign w:val="top"/>
          </w:tcPr>
          <w:p>
            <w:pPr>
              <w:rPr>
                <w:rFonts w:hint="eastAsia" w:ascii="仿宋" w:hAnsi="仿宋" w:eastAsia="仿宋" w:cs="仿宋"/>
                <w:color w:val="auto"/>
                <w:sz w:val="24"/>
                <w:szCs w:val="24"/>
                <w:highlight w:val="none"/>
              </w:rPr>
            </w:pPr>
          </w:p>
        </w:tc>
        <w:tc>
          <w:tcPr>
            <w:tcW w:w="1860" w:type="dxa"/>
            <w:noWrap w:val="0"/>
            <w:vAlign w:val="top"/>
          </w:tcPr>
          <w:p>
            <w:pPr>
              <w:rPr>
                <w:rFonts w:hint="eastAsia" w:ascii="仿宋" w:hAnsi="仿宋" w:eastAsia="仿宋" w:cs="仿宋"/>
                <w:color w:val="auto"/>
                <w:sz w:val="24"/>
                <w:szCs w:val="24"/>
                <w:highlight w:val="none"/>
              </w:rPr>
            </w:pPr>
          </w:p>
        </w:tc>
        <w:tc>
          <w:tcPr>
            <w:tcW w:w="1903" w:type="dxa"/>
            <w:noWrap w:val="0"/>
            <w:vAlign w:val="top"/>
          </w:tcPr>
          <w:p>
            <w:pPr>
              <w:rPr>
                <w:rFonts w:hint="eastAsia" w:ascii="仿宋" w:hAnsi="仿宋" w:eastAsia="仿宋" w:cs="仿宋"/>
                <w:color w:val="auto"/>
                <w:sz w:val="24"/>
                <w:szCs w:val="24"/>
                <w:highlight w:val="none"/>
              </w:rPr>
            </w:pPr>
          </w:p>
        </w:tc>
      </w:tr>
    </w:tbl>
    <w:p>
      <w:pPr>
        <w:rPr>
          <w:rFonts w:hint="eastAsia" w:ascii="仿宋" w:hAnsi="仿宋" w:eastAsia="仿宋" w:cs="仿宋"/>
          <w:color w:val="auto"/>
          <w:highlight w:val="none"/>
        </w:rPr>
      </w:pPr>
    </w:p>
    <w:p>
      <w:pPr>
        <w:rPr>
          <w:rFonts w:hint="eastAsia" w:ascii="仿宋" w:hAnsi="仿宋" w:eastAsia="仿宋" w:cs="仿宋"/>
          <w:color w:val="auto"/>
          <w:sz w:val="24"/>
          <w:szCs w:val="24"/>
          <w:highlight w:val="none"/>
        </w:rPr>
      </w:pPr>
    </w:p>
    <w:p>
      <w:pPr>
        <w:ind w:firstLine="120" w:firstLineChars="50"/>
        <w:rPr>
          <w:rFonts w:hint="eastAsia" w:ascii="仿宋" w:hAnsi="仿宋" w:eastAsia="仿宋" w:cs="仿宋"/>
          <w:color w:val="auto"/>
          <w:sz w:val="24"/>
          <w:highlight w:val="none"/>
        </w:rPr>
      </w:pPr>
    </w:p>
    <w:p>
      <w:pPr>
        <w:ind w:firstLine="120" w:firstLineChars="50"/>
        <w:rPr>
          <w:rFonts w:hint="eastAsia" w:ascii="仿宋" w:hAnsi="仿宋" w:eastAsia="仿宋" w:cs="仿宋"/>
          <w:color w:val="auto"/>
          <w:sz w:val="24"/>
          <w:highlight w:val="none"/>
        </w:rPr>
      </w:pPr>
    </w:p>
    <w:p>
      <w:pPr>
        <w:tabs>
          <w:tab w:val="left" w:pos="3045"/>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法定代表人</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或盖章</w:t>
      </w:r>
      <w:r>
        <w:rPr>
          <w:rFonts w:hint="eastAsia" w:ascii="仿宋" w:hAnsi="仿宋" w:eastAsia="仿宋" w:cs="仿宋"/>
          <w:color w:val="auto"/>
          <w:sz w:val="24"/>
          <w:szCs w:val="24"/>
          <w:highlight w:val="none"/>
          <w:lang w:val="en-US" w:eastAsia="zh-CN"/>
        </w:rPr>
        <w:t>）</w:t>
      </w:r>
    </w:p>
    <w:p>
      <w:pPr>
        <w:tabs>
          <w:tab w:val="left" w:pos="3045"/>
        </w:tabs>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      章：</w:t>
      </w:r>
    </w:p>
    <w:p>
      <w:pPr>
        <w:rPr>
          <w:rFonts w:hint="eastAsia" w:ascii="仿宋" w:hAnsi="仿宋" w:eastAsia="仿宋" w:cs="仿宋"/>
          <w:color w:val="auto"/>
          <w:sz w:val="24"/>
          <w:szCs w:val="24"/>
          <w:highlight w:val="none"/>
        </w:rPr>
      </w:pPr>
    </w:p>
    <w:p>
      <w:pPr>
        <w:spacing w:line="440" w:lineRule="exact"/>
        <w:jc w:val="center"/>
        <w:rPr>
          <w:rFonts w:hint="eastAsia" w:ascii="仿宋" w:hAnsi="仿宋" w:eastAsia="仿宋" w:cs="仿宋"/>
          <w:color w:val="auto"/>
          <w:sz w:val="24"/>
          <w:szCs w:val="24"/>
          <w:highlight w:val="none"/>
        </w:rPr>
      </w:pPr>
    </w:p>
    <w:p>
      <w:pPr>
        <w:spacing w:line="440" w:lineRule="exact"/>
        <w:jc w:val="center"/>
        <w:rPr>
          <w:rFonts w:hint="eastAsia" w:ascii="仿宋" w:hAnsi="仿宋" w:eastAsia="仿宋" w:cs="仿宋"/>
          <w:color w:val="auto"/>
          <w:sz w:val="24"/>
          <w:szCs w:val="24"/>
          <w:highlight w:val="none"/>
        </w:rPr>
      </w:pPr>
    </w:p>
    <w:p>
      <w:pPr>
        <w:spacing w:line="440" w:lineRule="exact"/>
        <w:rPr>
          <w:rFonts w:hint="eastAsia" w:ascii="仿宋" w:hAnsi="仿宋" w:eastAsia="仿宋" w:cs="仿宋"/>
          <w:b/>
          <w:color w:val="auto"/>
          <w:sz w:val="32"/>
          <w:szCs w:val="32"/>
          <w:highlight w:val="none"/>
        </w:rPr>
      </w:pPr>
    </w:p>
    <w:p>
      <w:pPr>
        <w:spacing w:line="440" w:lineRule="exact"/>
        <w:rPr>
          <w:rFonts w:hint="eastAsia" w:ascii="仿宋" w:hAnsi="仿宋" w:eastAsia="仿宋" w:cs="仿宋"/>
          <w:b/>
          <w:color w:val="auto"/>
          <w:sz w:val="32"/>
          <w:szCs w:val="32"/>
          <w:highlight w:val="none"/>
        </w:rPr>
      </w:pPr>
    </w:p>
    <w:p>
      <w:pPr>
        <w:spacing w:line="440" w:lineRule="exact"/>
        <w:rPr>
          <w:rFonts w:hint="eastAsia" w:ascii="仿宋" w:hAnsi="仿宋" w:eastAsia="仿宋" w:cs="仿宋"/>
          <w:b/>
          <w:color w:val="auto"/>
          <w:sz w:val="32"/>
          <w:szCs w:val="32"/>
          <w:highlight w:val="none"/>
        </w:rPr>
      </w:pPr>
    </w:p>
    <w:p>
      <w:pPr>
        <w:pStyle w:val="4"/>
        <w:spacing w:before="327" w:beforeLines="100"/>
        <w:jc w:val="center"/>
        <w:outlineLvl w:val="1"/>
        <w:rPr>
          <w:rFonts w:hint="eastAsia" w:ascii="仿宋" w:hAnsi="仿宋" w:eastAsia="仿宋" w:cs="仿宋"/>
          <w:color w:val="auto"/>
          <w:sz w:val="32"/>
          <w:szCs w:val="32"/>
          <w:highlight w:val="none"/>
        </w:rPr>
      </w:pPr>
      <w:bookmarkStart w:id="138" w:name="_Toc9218"/>
      <w:bookmarkStart w:id="139" w:name="_Toc1379"/>
      <w:bookmarkStart w:id="140" w:name="_Toc21284"/>
      <w:bookmarkStart w:id="141" w:name="_Toc2621"/>
      <w:bookmarkStart w:id="142" w:name="_Toc23455"/>
      <w:bookmarkStart w:id="143" w:name="_Toc21606"/>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w:t>
      </w:r>
      <w:bookmarkEnd w:id="138"/>
      <w:bookmarkEnd w:id="139"/>
      <w:bookmarkEnd w:id="140"/>
      <w:bookmarkEnd w:id="141"/>
      <w:bookmarkEnd w:id="142"/>
      <w:r>
        <w:rPr>
          <w:rFonts w:hint="eastAsia" w:ascii="仿宋" w:hAnsi="仿宋" w:eastAsia="仿宋" w:cs="仿宋"/>
          <w:color w:val="auto"/>
          <w:sz w:val="32"/>
          <w:szCs w:val="32"/>
          <w:highlight w:val="none"/>
          <w:lang w:val="en-US" w:eastAsia="zh-CN"/>
        </w:rPr>
        <w:t>商务条款偏离表</w:t>
      </w:r>
      <w:bookmarkEnd w:id="143"/>
    </w:p>
    <w:p>
      <w:pPr>
        <w:pStyle w:val="23"/>
        <w:keepNext w:val="0"/>
        <w:keepLines w:val="0"/>
        <w:widowControl w:val="0"/>
        <w:suppressLineNumbers w:val="0"/>
        <w:spacing w:before="0" w:beforeAutospacing="0" w:after="0" w:afterAutospacing="0"/>
        <w:ind w:right="0"/>
        <w:jc w:val="both"/>
        <w:rPr>
          <w:rFonts w:hint="eastAsia" w:ascii="仿宋" w:hAnsi="仿宋" w:eastAsia="仿宋" w:cs="仿宋"/>
          <w:color w:val="auto"/>
          <w:highlight w:val="none"/>
          <w:lang w:val="en-US"/>
        </w:rPr>
      </w:pPr>
    </w:p>
    <w:p>
      <w:pPr>
        <w:pStyle w:val="23"/>
        <w:keepNext w:val="0"/>
        <w:keepLines w:val="0"/>
        <w:pageBreakBefore w:val="0"/>
        <w:widowControl w:val="0"/>
        <w:suppressLineNumbers w:val="0"/>
        <w:kinsoku/>
        <w:wordWrap/>
        <w:overflowPunct/>
        <w:topLinePunct w:val="0"/>
        <w:autoSpaceDE/>
        <w:autoSpaceDN/>
        <w:bidi w:val="0"/>
        <w:adjustRightInd/>
        <w:snapToGrid/>
        <w:spacing w:before="165" w:beforeLines="50" w:beforeAutospacing="0" w:after="165" w:afterLines="50" w:afterAutospacing="0"/>
        <w:ind w:right="0"/>
        <w:jc w:val="left"/>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w:t>
      </w:r>
    </w:p>
    <w:p>
      <w:pPr>
        <w:pStyle w:val="23"/>
        <w:keepNext w:val="0"/>
        <w:keepLines w:val="0"/>
        <w:pageBreakBefore w:val="0"/>
        <w:widowControl w:val="0"/>
        <w:suppressLineNumbers w:val="0"/>
        <w:kinsoku/>
        <w:wordWrap/>
        <w:overflowPunct/>
        <w:topLinePunct w:val="0"/>
        <w:autoSpaceDE/>
        <w:autoSpaceDN/>
        <w:bidi w:val="0"/>
        <w:adjustRightInd/>
        <w:snapToGrid/>
        <w:spacing w:before="165" w:beforeLines="50" w:beforeAutospacing="0" w:after="165" w:afterLines="50" w:afterAutospacing="0"/>
        <w:ind w:right="0"/>
        <w:jc w:val="left"/>
        <w:textAlignment w:val="auto"/>
        <w:outlineLvl w:val="9"/>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项目名称：</w:t>
      </w:r>
    </w:p>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谈判文件条目号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谈判文件的商务条款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谈判响应文件的商务条款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bl>
    <w:p>
      <w:pPr>
        <w:pStyle w:val="23"/>
        <w:keepNext w:val="0"/>
        <w:keepLines w:val="0"/>
        <w:widowControl w:val="0"/>
        <w:suppressLineNumbers w:val="0"/>
        <w:spacing w:before="0" w:beforeAutospacing="0" w:after="0" w:afterAutospacing="0"/>
        <w:ind w:right="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说明：</w:t>
      </w:r>
    </w:p>
    <w:p>
      <w:pPr>
        <w:pStyle w:val="23"/>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1</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val="en-US"/>
        </w:rPr>
        <w:t>本表只填写</w:t>
      </w:r>
      <w:r>
        <w:rPr>
          <w:rFonts w:hint="eastAsia" w:ascii="仿宋" w:hAnsi="仿宋" w:eastAsia="仿宋" w:cs="仿宋"/>
          <w:color w:val="auto"/>
          <w:highlight w:val="none"/>
          <w:lang w:val="en-US" w:eastAsia="zh-CN"/>
        </w:rPr>
        <w:t>谈判响应</w:t>
      </w:r>
      <w:r>
        <w:rPr>
          <w:rFonts w:hint="eastAsia" w:ascii="仿宋" w:hAnsi="仿宋" w:eastAsia="仿宋" w:cs="仿宋"/>
          <w:color w:val="auto"/>
          <w:highlight w:val="none"/>
          <w:lang w:val="en-US"/>
        </w:rPr>
        <w:t>文件中与</w:t>
      </w:r>
      <w:r>
        <w:rPr>
          <w:rFonts w:hint="eastAsia" w:ascii="仿宋" w:hAnsi="仿宋" w:eastAsia="仿宋" w:cs="仿宋"/>
          <w:color w:val="auto"/>
          <w:highlight w:val="none"/>
          <w:lang w:val="en-US" w:eastAsia="zh-CN"/>
        </w:rPr>
        <w:t>谈判</w:t>
      </w:r>
      <w:r>
        <w:rPr>
          <w:rFonts w:hint="eastAsia" w:ascii="仿宋" w:hAnsi="仿宋" w:eastAsia="仿宋" w:cs="仿宋"/>
          <w:color w:val="auto"/>
          <w:highlight w:val="none"/>
          <w:lang w:val="en-US"/>
        </w:rPr>
        <w:t>文件有偏离（包括正偏离和负偏离）的内容，</w:t>
      </w:r>
      <w:r>
        <w:rPr>
          <w:rFonts w:hint="eastAsia" w:ascii="仿宋" w:hAnsi="仿宋" w:eastAsia="仿宋" w:cs="仿宋"/>
          <w:color w:val="auto"/>
          <w:highlight w:val="none"/>
          <w:lang w:val="en-US" w:eastAsia="zh-CN"/>
        </w:rPr>
        <w:t>谈判响应</w:t>
      </w:r>
      <w:r>
        <w:rPr>
          <w:rFonts w:hint="eastAsia" w:ascii="仿宋" w:hAnsi="仿宋" w:eastAsia="仿宋" w:cs="仿宋"/>
          <w:color w:val="auto"/>
          <w:highlight w:val="none"/>
          <w:lang w:val="en-US"/>
        </w:rPr>
        <w:t>文件中商务响应与</w:t>
      </w:r>
      <w:r>
        <w:rPr>
          <w:rFonts w:hint="eastAsia" w:ascii="仿宋" w:hAnsi="仿宋" w:eastAsia="仿宋" w:cs="仿宋"/>
          <w:color w:val="auto"/>
          <w:highlight w:val="none"/>
          <w:lang w:val="en-US" w:eastAsia="zh-CN"/>
        </w:rPr>
        <w:t>谈判</w:t>
      </w:r>
      <w:r>
        <w:rPr>
          <w:rFonts w:hint="eastAsia" w:ascii="仿宋" w:hAnsi="仿宋" w:eastAsia="仿宋" w:cs="仿宋"/>
          <w:color w:val="auto"/>
          <w:highlight w:val="none"/>
          <w:lang w:val="en-US"/>
        </w:rPr>
        <w:t>文件要求完全一致的，不用在此表中列出，但必须提交空白表。</w:t>
      </w:r>
    </w:p>
    <w:p>
      <w:pPr>
        <w:pStyle w:val="23"/>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val="en-US"/>
        </w:rPr>
        <w:t>必须据实填写，不得虚假响应，否则将取消其</w:t>
      </w:r>
      <w:r>
        <w:rPr>
          <w:rFonts w:hint="eastAsia" w:ascii="仿宋" w:hAnsi="仿宋" w:eastAsia="仿宋" w:cs="仿宋"/>
          <w:color w:val="auto"/>
          <w:highlight w:val="none"/>
          <w:lang w:val="en-US" w:eastAsia="zh-CN"/>
        </w:rPr>
        <w:t>谈判或成交</w:t>
      </w:r>
      <w:r>
        <w:rPr>
          <w:rFonts w:hint="eastAsia" w:ascii="仿宋" w:hAnsi="仿宋" w:eastAsia="仿宋" w:cs="仿宋"/>
          <w:color w:val="auto"/>
          <w:highlight w:val="none"/>
          <w:lang w:val="en-US"/>
        </w:rPr>
        <w:t>资格，并按有关规定进处罚。</w:t>
      </w:r>
    </w:p>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highlight w:val="none"/>
          <w:lang w:val="en-US"/>
        </w:rPr>
      </w:pPr>
    </w:p>
    <w:p>
      <w:pPr>
        <w:pStyle w:val="23"/>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rPr>
        <w:t>名称：</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rPr>
        <w:t>（单位公章）</w:t>
      </w:r>
    </w:p>
    <w:p>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color w:val="auto"/>
          <w:sz w:val="24"/>
          <w:szCs w:val="24"/>
          <w:highlight w:val="none"/>
          <w:lang w:val="en-US"/>
        </w:rPr>
      </w:pPr>
    </w:p>
    <w:p>
      <w:pPr>
        <w:tabs>
          <w:tab w:val="left" w:pos="3045"/>
        </w:tabs>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法定代表人</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或盖章</w:t>
      </w:r>
      <w:r>
        <w:rPr>
          <w:rFonts w:hint="eastAsia" w:ascii="仿宋" w:hAnsi="仿宋" w:eastAsia="仿宋" w:cs="仿宋"/>
          <w:color w:val="auto"/>
          <w:sz w:val="24"/>
          <w:szCs w:val="24"/>
          <w:highlight w:val="none"/>
          <w:lang w:val="en-US" w:eastAsia="zh-CN"/>
        </w:rPr>
        <w:t>）</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 xml:space="preserve"> </w:t>
      </w:r>
    </w:p>
    <w:p>
      <w:pPr>
        <w:spacing w:line="400" w:lineRule="exact"/>
        <w:ind w:firstLine="480" w:firstLineChars="200"/>
        <w:jc w:val="center"/>
        <w:rPr>
          <w:rFonts w:hint="eastAsia" w:ascii="仿宋" w:hAnsi="仿宋" w:eastAsia="仿宋" w:cs="仿宋"/>
          <w:color w:val="auto"/>
          <w:sz w:val="24"/>
          <w:szCs w:val="24"/>
          <w:highlight w:val="none"/>
        </w:rPr>
      </w:pPr>
    </w:p>
    <w:p>
      <w:pPr>
        <w:spacing w:line="360" w:lineRule="auto"/>
        <w:ind w:left="525" w:leftChars="250"/>
        <w:rPr>
          <w:rFonts w:hint="eastAsia" w:ascii="仿宋" w:hAnsi="仿宋" w:eastAsia="仿宋" w:cs="仿宋"/>
          <w:b/>
          <w:bCs/>
          <w:color w:val="auto"/>
          <w:sz w:val="28"/>
          <w:szCs w:val="28"/>
          <w:highlight w:val="none"/>
        </w:rPr>
      </w:pPr>
    </w:p>
    <w:p>
      <w:pPr>
        <w:spacing w:line="400" w:lineRule="exact"/>
        <w:ind w:firstLine="480" w:firstLineChars="200"/>
        <w:rPr>
          <w:rFonts w:hint="eastAsia" w:ascii="仿宋" w:hAnsi="仿宋" w:eastAsia="仿宋" w:cs="仿宋"/>
          <w:color w:val="auto"/>
          <w:sz w:val="24"/>
          <w:szCs w:val="24"/>
          <w:highlight w:val="none"/>
        </w:rPr>
      </w:pPr>
    </w:p>
    <w:p>
      <w:pPr>
        <w:spacing w:line="360" w:lineRule="auto"/>
        <w:ind w:left="525" w:leftChars="250"/>
        <w:rPr>
          <w:rFonts w:hint="eastAsia" w:ascii="仿宋" w:hAnsi="仿宋" w:eastAsia="仿宋" w:cs="仿宋"/>
          <w:b/>
          <w:bCs/>
          <w:color w:val="auto"/>
          <w:sz w:val="28"/>
          <w:szCs w:val="28"/>
          <w:highlight w:val="none"/>
        </w:rPr>
      </w:pPr>
    </w:p>
    <w:p>
      <w:pPr>
        <w:numPr>
          <w:ilvl w:val="0"/>
          <w:numId w:val="10"/>
        </w:numPr>
        <w:jc w:val="center"/>
        <w:outlineLvl w:val="1"/>
        <w:rPr>
          <w:rFonts w:hint="eastAsia" w:ascii="仿宋" w:hAnsi="仿宋" w:eastAsia="仿宋" w:cs="仿宋"/>
          <w:b/>
          <w:color w:val="auto"/>
          <w:sz w:val="32"/>
          <w:szCs w:val="32"/>
          <w:highlight w:val="none"/>
          <w:lang w:eastAsia="zh-CN"/>
        </w:rPr>
      </w:pPr>
      <w:r>
        <w:rPr>
          <w:rFonts w:hint="eastAsia" w:ascii="仿宋" w:hAnsi="仿宋" w:eastAsia="仿宋" w:cs="仿宋"/>
          <w:color w:val="auto"/>
          <w:highlight w:val="none"/>
        </w:rPr>
        <w:br w:type="page"/>
      </w:r>
      <w:bookmarkStart w:id="144" w:name="_Toc19626"/>
      <w:r>
        <w:rPr>
          <w:rFonts w:hint="eastAsia" w:ascii="仿宋" w:hAnsi="仿宋" w:eastAsia="仿宋" w:cs="仿宋"/>
          <w:b/>
          <w:color w:val="auto"/>
          <w:sz w:val="32"/>
          <w:szCs w:val="32"/>
          <w:highlight w:val="none"/>
          <w:lang w:eastAsia="zh-CN"/>
        </w:rPr>
        <w:t>供应商承诺书</w:t>
      </w:r>
      <w:bookmarkEnd w:id="144"/>
    </w:p>
    <w:p>
      <w:pPr>
        <w:jc w:val="center"/>
        <w:rPr>
          <w:rFonts w:hint="eastAsia" w:ascii="仿宋" w:hAnsi="仿宋" w:eastAsia="仿宋" w:cs="仿宋"/>
          <w:b/>
          <w:color w:val="auto"/>
          <w:sz w:val="28"/>
          <w:szCs w:val="28"/>
          <w:highlight w:val="none"/>
          <w:lang w:eastAsia="zh-CN"/>
        </w:rPr>
      </w:pPr>
    </w:p>
    <w:p>
      <w:pPr>
        <w:jc w:val="center"/>
        <w:rPr>
          <w:rFonts w:hint="eastAsia" w:ascii="仿宋" w:hAnsi="仿宋" w:eastAsia="仿宋" w:cs="仿宋"/>
          <w:b/>
          <w:color w:val="auto"/>
          <w:sz w:val="32"/>
          <w:szCs w:val="32"/>
          <w:highlight w:val="none"/>
        </w:rPr>
      </w:pPr>
    </w:p>
    <w:p>
      <w:pPr>
        <w:jc w:val="center"/>
        <w:outlineLvl w:val="2"/>
        <w:rPr>
          <w:rFonts w:hint="eastAsia" w:ascii="仿宋" w:hAnsi="仿宋" w:eastAsia="仿宋" w:cs="仿宋"/>
          <w:b/>
          <w:color w:val="auto"/>
          <w:sz w:val="28"/>
          <w:szCs w:val="28"/>
          <w:highlight w:val="none"/>
        </w:rPr>
      </w:pPr>
      <w:bookmarkStart w:id="145" w:name="_Toc26596"/>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rPr>
        <w:t>陕西省政府采购供应商拒绝政府采购领域商业贿赂承诺书</w:t>
      </w:r>
      <w:bookmarkEnd w:id="145"/>
    </w:p>
    <w:p>
      <w:pPr>
        <w:widowControl/>
        <w:spacing w:line="408" w:lineRule="auto"/>
        <w:ind w:left="239" w:leftChars="114" w:firstLine="470" w:firstLineChars="196"/>
        <w:jc w:val="left"/>
        <w:rPr>
          <w:rFonts w:hint="eastAsia" w:ascii="仿宋" w:hAnsi="仿宋" w:eastAsia="仿宋" w:cs="仿宋"/>
          <w:color w:val="auto"/>
          <w:kern w:val="0"/>
          <w:sz w:val="24"/>
          <w:highlight w:val="none"/>
        </w:rPr>
      </w:pPr>
    </w:p>
    <w:p>
      <w:pPr>
        <w:widowControl/>
        <w:spacing w:line="408" w:lineRule="auto"/>
        <w:ind w:left="239" w:leftChars="114" w:firstLine="470" w:firstLineChars="196"/>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为响应党中央、国务院关于治理政府采购领域商业贿赂行为的号召，我公司在此庄严承诺：</w:t>
      </w:r>
    </w:p>
    <w:p>
      <w:pPr>
        <w:widowControl/>
        <w:spacing w:line="408" w:lineRule="auto"/>
        <w:ind w:left="239" w:leftChars="114" w:firstLine="470" w:firstLineChars="196"/>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1、在参与政府采购活动中遵纪守法、诚信经营、公平竞标。</w:t>
      </w:r>
    </w:p>
    <w:p>
      <w:pPr>
        <w:widowControl/>
        <w:spacing w:line="408" w:lineRule="auto"/>
        <w:ind w:left="239" w:leftChars="114" w:firstLine="470" w:firstLineChars="196"/>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2、不向政府采购人、采购代理机构和政府采购评审专家进行任何形式的商业贿赂以谋取交易机会。</w:t>
      </w:r>
    </w:p>
    <w:p>
      <w:pPr>
        <w:widowControl/>
        <w:spacing w:line="408" w:lineRule="auto"/>
        <w:ind w:left="239" w:leftChars="114" w:firstLine="470" w:firstLineChars="196"/>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3、不向政府采购代理机构和采购人提供虚假资质文件或采用虚假应标方式参与政府采购市场竞争并谋取成交。</w:t>
      </w:r>
    </w:p>
    <w:p>
      <w:pPr>
        <w:widowControl/>
        <w:spacing w:line="408" w:lineRule="auto"/>
        <w:ind w:left="239" w:leftChars="114" w:firstLine="470" w:firstLineChars="196"/>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4、不采取“围标、陪标”等商业欺诈手段获得政府采购定单。</w:t>
      </w:r>
    </w:p>
    <w:p>
      <w:pPr>
        <w:widowControl/>
        <w:spacing w:line="408" w:lineRule="auto"/>
        <w:ind w:left="239" w:leftChars="114" w:firstLine="470" w:firstLineChars="196"/>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5、不采取不正当手段诋毁、排挤其他供应商。</w:t>
      </w:r>
    </w:p>
    <w:p>
      <w:pPr>
        <w:widowControl/>
        <w:spacing w:line="408" w:lineRule="auto"/>
        <w:ind w:left="239" w:leftChars="114" w:firstLine="470" w:firstLineChars="196"/>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6、不在提供商品和服务时“偷梁换柱、以次充好”损害采购人的合法权益。</w:t>
      </w:r>
    </w:p>
    <w:p>
      <w:pPr>
        <w:widowControl/>
        <w:spacing w:line="408" w:lineRule="auto"/>
        <w:ind w:left="239" w:leftChars="114" w:firstLine="470" w:firstLineChars="196"/>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7、不与采购人、采购代理机构政府采购评审专家或其它供应商恶意串通，进行质疑和投诉，维护政府采购市场秩序。</w:t>
      </w:r>
    </w:p>
    <w:p>
      <w:pPr>
        <w:widowControl/>
        <w:spacing w:line="408" w:lineRule="auto"/>
        <w:ind w:left="239" w:leftChars="114" w:firstLine="470" w:firstLineChars="196"/>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8、尊重和接受政府采购监督管理部门的监督和政府采购代理机构竞争性谈判采购要求，承担因违约行为给采购人造成的损失。</w:t>
      </w:r>
    </w:p>
    <w:p>
      <w:pPr>
        <w:widowControl/>
        <w:spacing w:line="408" w:lineRule="auto"/>
        <w:ind w:left="239" w:leftChars="114" w:firstLine="470" w:firstLineChars="196"/>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9、不发生其他有悖于政府采购公开、公平、公正和诚信原则的行为。</w:t>
      </w:r>
    </w:p>
    <w:p>
      <w:pPr>
        <w:widowControl/>
        <w:spacing w:line="408" w:lineRule="auto"/>
        <w:ind w:left="239" w:leftChars="114" w:firstLine="470" w:firstLineChars="196"/>
        <w:jc w:val="left"/>
        <w:rPr>
          <w:rFonts w:hint="eastAsia" w:ascii="仿宋" w:hAnsi="仿宋" w:eastAsia="仿宋" w:cs="仿宋"/>
          <w:color w:val="auto"/>
          <w:kern w:val="0"/>
          <w:sz w:val="24"/>
          <w:highlight w:val="none"/>
        </w:rPr>
      </w:pPr>
    </w:p>
    <w:p>
      <w:pPr>
        <w:widowControl/>
        <w:spacing w:line="408"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承诺单位：（盖章）</w:t>
      </w:r>
    </w:p>
    <w:p>
      <w:pPr>
        <w:widowControl/>
        <w:spacing w:line="408"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或</w:t>
      </w:r>
      <w:r>
        <w:rPr>
          <w:rFonts w:hint="eastAsia" w:ascii="仿宋" w:hAnsi="仿宋" w:eastAsia="仿宋" w:cs="仿宋"/>
          <w:color w:val="auto"/>
          <w:kern w:val="0"/>
          <w:sz w:val="24"/>
          <w:highlight w:val="none"/>
          <w:lang w:eastAsia="zh-CN"/>
        </w:rPr>
        <w:t>被授权人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签字</w:t>
      </w:r>
      <w:r>
        <w:rPr>
          <w:rFonts w:hint="eastAsia" w:ascii="仿宋" w:hAnsi="仿宋" w:eastAsia="仿宋" w:cs="仿宋"/>
          <w:color w:val="auto"/>
          <w:kern w:val="0"/>
          <w:sz w:val="24"/>
          <w:highlight w:val="none"/>
          <w:lang w:eastAsia="zh-CN"/>
        </w:rPr>
        <w:t>或盖章</w:t>
      </w:r>
      <w:r>
        <w:rPr>
          <w:rFonts w:hint="eastAsia" w:ascii="仿宋" w:hAnsi="仿宋" w:eastAsia="仿宋" w:cs="仿宋"/>
          <w:color w:val="auto"/>
          <w:kern w:val="0"/>
          <w:sz w:val="24"/>
          <w:highlight w:val="none"/>
          <w:lang w:val="en-US" w:eastAsia="zh-CN"/>
        </w:rPr>
        <w:t>）</w:t>
      </w:r>
    </w:p>
    <w:p>
      <w:pPr>
        <w:widowControl/>
        <w:spacing w:line="408"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  址：        </w:t>
      </w:r>
    </w:p>
    <w:p>
      <w:pPr>
        <w:widowControl/>
        <w:spacing w:line="408"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  编：</w:t>
      </w:r>
    </w:p>
    <w:p>
      <w:pPr>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kern w:val="0"/>
          <w:sz w:val="24"/>
          <w:highlight w:val="none"/>
        </w:rPr>
        <w:t>电  话：                 </w:t>
      </w:r>
    </w:p>
    <w:p>
      <w:pPr>
        <w:jc w:val="center"/>
        <w:rPr>
          <w:rFonts w:hint="eastAsia" w:ascii="仿宋" w:hAnsi="仿宋" w:eastAsia="仿宋" w:cs="仿宋"/>
          <w:b/>
          <w:color w:val="auto"/>
          <w:sz w:val="32"/>
          <w:szCs w:val="32"/>
          <w:highlight w:val="none"/>
        </w:rPr>
      </w:pPr>
    </w:p>
    <w:p>
      <w:pPr>
        <w:pStyle w:val="2"/>
        <w:rPr>
          <w:rFonts w:hint="eastAsia" w:ascii="仿宋" w:hAnsi="仿宋" w:eastAsia="仿宋" w:cs="仿宋"/>
          <w:color w:val="auto"/>
          <w:highlight w:val="none"/>
        </w:rPr>
      </w:pPr>
    </w:p>
    <w:p>
      <w:pPr>
        <w:numPr>
          <w:ilvl w:val="0"/>
          <w:numId w:val="11"/>
        </w:numPr>
        <w:jc w:val="center"/>
        <w:outlineLvl w:val="2"/>
        <w:rPr>
          <w:rFonts w:hint="eastAsia" w:ascii="仿宋" w:hAnsi="仿宋" w:eastAsia="仿宋" w:cs="仿宋"/>
          <w:b/>
          <w:bCs w:val="0"/>
          <w:color w:val="auto"/>
          <w:sz w:val="28"/>
          <w:szCs w:val="28"/>
          <w:highlight w:val="none"/>
          <w:lang w:val="zh-CN" w:eastAsia="zh-CN"/>
        </w:rPr>
      </w:pPr>
      <w:bookmarkStart w:id="146" w:name="_Toc667"/>
      <w:r>
        <w:rPr>
          <w:rFonts w:hint="eastAsia" w:ascii="仿宋" w:hAnsi="仿宋" w:eastAsia="仿宋" w:cs="仿宋"/>
          <w:b/>
          <w:bCs w:val="0"/>
          <w:color w:val="auto"/>
          <w:sz w:val="28"/>
          <w:szCs w:val="28"/>
          <w:highlight w:val="none"/>
          <w:lang w:val="zh-CN" w:eastAsia="zh-CN"/>
        </w:rPr>
        <w:t>企业关系关联承诺书</w:t>
      </w:r>
      <w:bookmarkEnd w:id="146"/>
    </w:p>
    <w:p>
      <w:pPr>
        <w:pStyle w:val="2"/>
        <w:numPr>
          <w:ilvl w:val="0"/>
          <w:numId w:val="0"/>
        </w:numPr>
        <w:rPr>
          <w:rFonts w:hint="eastAsia" w:ascii="仿宋" w:hAnsi="仿宋" w:eastAsia="仿宋" w:cs="仿宋"/>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1、供应商在本项目谈判中，不存在与其它供应商负责人为同一人，有控股、管理等关联关系承诺：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1.1管理关系说明：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我单位管理的具有独立法人的下属单位有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我单位的上级管理单位有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1.2股权关系说明：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我单位控股的单位有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我单位被</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单位控股。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1.3单位负责人：</w:t>
      </w:r>
      <w:r>
        <w:rPr>
          <w:rFonts w:hint="eastAsia" w:ascii="仿宋" w:hAnsi="仿宋" w:eastAsia="仿宋" w:cs="仿宋"/>
          <w:b w:val="0"/>
          <w:bCs w:val="0"/>
          <w:color w:val="auto"/>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（是或否，没有填否） 为采购项目提供整体设计、规范编制或者项目管理、监理、检测等服务的供应商。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3、其他与本项目有关的利害关系说明：</w:t>
      </w:r>
      <w:r>
        <w:rPr>
          <w:rFonts w:hint="eastAsia" w:ascii="仿宋" w:hAnsi="仿宋" w:eastAsia="仿宋" w:cs="仿宋"/>
          <w:b w:val="0"/>
          <w:bCs w:val="0"/>
          <w:color w:val="auto"/>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我单位承诺以上说明真实有效，无虚假内容或隐瞒。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p>
    <w:p>
      <w:pPr>
        <w:pStyle w:val="2"/>
        <w:rPr>
          <w:rFonts w:hint="eastAsia" w:ascii="仿宋" w:hAnsi="仿宋" w:eastAsia="仿宋" w:cs="仿宋"/>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供应商名称</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法定代表人或被授权人</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color w:val="auto"/>
          <w:kern w:val="0"/>
          <w:sz w:val="24"/>
          <w:highlight w:val="none"/>
        </w:rPr>
      </w:pPr>
      <w:r>
        <w:rPr>
          <w:rFonts w:hint="eastAsia" w:ascii="仿宋" w:hAnsi="仿宋" w:eastAsia="仿宋" w:cs="仿宋"/>
          <w:b w:val="0"/>
          <w:bCs w:val="0"/>
          <w:color w:val="auto"/>
          <w:sz w:val="24"/>
          <w:szCs w:val="24"/>
          <w:highlight w:val="none"/>
          <w:lang w:val="en-US" w:eastAsia="zh-CN"/>
        </w:rPr>
        <w:t xml:space="preserve">      </w:t>
      </w:r>
    </w:p>
    <w:p>
      <w:pPr>
        <w:widowControl/>
        <w:spacing w:line="408" w:lineRule="auto"/>
        <w:ind w:left="239" w:leftChars="114"/>
        <w:jc w:val="right"/>
        <w:rPr>
          <w:rFonts w:hint="eastAsia" w:ascii="仿宋" w:hAnsi="仿宋" w:eastAsia="仿宋" w:cs="仿宋"/>
          <w:color w:val="auto"/>
          <w:kern w:val="0"/>
          <w:sz w:val="24"/>
          <w:highlight w:val="none"/>
        </w:rPr>
      </w:pPr>
    </w:p>
    <w:p>
      <w:pPr>
        <w:widowControl/>
        <w:spacing w:line="408" w:lineRule="auto"/>
        <w:ind w:left="239" w:leftChars="114"/>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年  月  日</w:t>
      </w:r>
    </w:p>
    <w:p>
      <w:pPr>
        <w:pStyle w:val="2"/>
        <w:rPr>
          <w:rFonts w:hint="eastAsia" w:ascii="仿宋" w:hAnsi="仿宋" w:eastAsia="仿宋" w:cs="仿宋"/>
          <w:color w:val="auto"/>
          <w:kern w:val="0"/>
          <w:sz w:val="24"/>
          <w:highlight w:val="none"/>
        </w:rPr>
      </w:pPr>
    </w:p>
    <w:p>
      <w:pPr>
        <w:rPr>
          <w:rFonts w:hint="eastAsia" w:ascii="仿宋" w:hAnsi="仿宋" w:eastAsia="仿宋" w:cs="仿宋"/>
          <w:color w:val="auto"/>
          <w:kern w:val="0"/>
          <w:sz w:val="24"/>
          <w:highlight w:val="none"/>
        </w:rPr>
      </w:pPr>
    </w:p>
    <w:p>
      <w:pPr>
        <w:pStyle w:val="2"/>
        <w:rPr>
          <w:rFonts w:hint="eastAsia" w:ascii="仿宋" w:hAnsi="仿宋" w:eastAsia="仿宋" w:cs="仿宋"/>
          <w:color w:val="auto"/>
          <w:kern w:val="0"/>
          <w:sz w:val="24"/>
          <w:highlight w:val="none"/>
        </w:rPr>
      </w:pPr>
    </w:p>
    <w:p>
      <w:pPr>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numPr>
          <w:ilvl w:val="0"/>
          <w:numId w:val="12"/>
        </w:numPr>
        <w:spacing w:before="240" w:line="360" w:lineRule="auto"/>
        <w:ind w:left="1"/>
        <w:jc w:val="center"/>
        <w:outlineLvl w:val="1"/>
        <w:rPr>
          <w:rFonts w:hint="eastAsia" w:ascii="仿宋" w:hAnsi="仿宋" w:eastAsia="仿宋" w:cs="仿宋"/>
          <w:b/>
          <w:color w:val="auto"/>
          <w:sz w:val="32"/>
          <w:szCs w:val="32"/>
          <w:highlight w:val="none"/>
        </w:rPr>
      </w:pPr>
      <w:bookmarkStart w:id="147" w:name="_Toc17395"/>
      <w:r>
        <w:rPr>
          <w:rFonts w:hint="eastAsia" w:ascii="仿宋" w:hAnsi="仿宋" w:eastAsia="仿宋" w:cs="仿宋"/>
          <w:b/>
          <w:color w:val="auto"/>
          <w:sz w:val="32"/>
          <w:szCs w:val="32"/>
          <w:highlight w:val="none"/>
        </w:rPr>
        <w:t>资格证明文件</w:t>
      </w:r>
      <w:bookmarkEnd w:id="147"/>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2"/>
        <w:rPr>
          <w:rFonts w:hint="eastAsia" w:ascii="仿宋" w:hAnsi="仿宋" w:eastAsia="仿宋" w:cs="仿宋"/>
          <w:b/>
          <w:bCs/>
          <w:color w:val="auto"/>
          <w:sz w:val="24"/>
          <w:szCs w:val="24"/>
          <w:highlight w:val="none"/>
        </w:rPr>
      </w:pPr>
      <w:bookmarkStart w:id="148" w:name="_Toc1889"/>
      <w:r>
        <w:rPr>
          <w:rFonts w:hint="eastAsia" w:ascii="仿宋" w:hAnsi="仿宋" w:eastAsia="仿宋" w:cs="仿宋"/>
          <w:b/>
          <w:bCs/>
          <w:color w:val="auto"/>
          <w:sz w:val="24"/>
          <w:szCs w:val="24"/>
          <w:highlight w:val="none"/>
          <w:lang w:val="en-US" w:eastAsia="zh-CN"/>
        </w:rPr>
        <w:t>（一）基本资格条件：符合《中华人民共和国政府采购法》第二十二条的规定，并提供以下资料：</w:t>
      </w:r>
      <w:bookmarkEnd w:id="148"/>
    </w:p>
    <w:p>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jc w:val="both"/>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eastAsia="zh-CN"/>
        </w:rPr>
        <w:t>、提供合格有效的法人或者其他组织的营业执照等证明文件，自然人的身份证明；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jc w:val="both"/>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是法人或其他</w:t>
      </w:r>
      <w:r>
        <w:rPr>
          <w:rFonts w:hint="eastAsia" w:ascii="仿宋" w:hAnsi="仿宋" w:eastAsia="仿宋" w:cs="仿宋"/>
          <w:b w:val="0"/>
          <w:bCs w:val="0"/>
          <w:color w:val="auto"/>
          <w:sz w:val="24"/>
          <w:szCs w:val="24"/>
          <w:highlight w:val="none"/>
        </w:rPr>
        <w:t>组织的应提供营业执照等证明文件，</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是自然人的应提供有效的自然人身份证明</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2、提供2021年度经审计</w:t>
      </w:r>
      <w:r>
        <w:rPr>
          <w:rFonts w:hint="eastAsia" w:ascii="仿宋" w:hAnsi="仿宋" w:eastAsia="仿宋" w:cs="仿宋"/>
          <w:b w:val="0"/>
          <w:bCs w:val="0"/>
          <w:color w:val="auto"/>
          <w:sz w:val="24"/>
          <w:szCs w:val="24"/>
          <w:highlight w:val="none"/>
          <w:lang w:val="en-US" w:eastAsia="zh-CN"/>
        </w:rPr>
        <w:t>的财务报告（成立时间至提交响应文件截止时间不足一年的可提供成立后任意时段的资产负债表）或基本存款账户开户银行出具的资信证明及基本存款账户开户许可证（基本账户信息）或财政部门认可的政府采购专业担保机构出具的担保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sz w:val="24"/>
          <w:szCs w:val="24"/>
          <w:highlight w:val="none"/>
          <w:lang w:val="en-US" w:eastAsia="zh-CN"/>
        </w:rPr>
        <w:t>3、提供具有履行合同所必需的设备和专业技术能力的承诺；</w:t>
      </w:r>
      <w:r>
        <w:rPr>
          <w:rFonts w:hint="eastAsia" w:ascii="仿宋" w:hAnsi="仿宋" w:eastAsia="仿宋" w:cs="仿宋"/>
          <w:b w:val="0"/>
          <w:bCs w:val="0"/>
          <w:color w:val="auto"/>
          <w:sz w:val="24"/>
          <w:szCs w:val="24"/>
          <w:highlight w:val="none"/>
          <w:lang w:val="en-US" w:eastAsia="zh-CN"/>
        </w:rPr>
        <w:t>（格式自拟）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4、税收缴纳证明：</w:t>
      </w:r>
      <w:r>
        <w:rPr>
          <w:rFonts w:hint="eastAsia" w:ascii="仿宋" w:hAnsi="仿宋" w:eastAsia="仿宋" w:cs="仿宋"/>
          <w:b w:val="0"/>
          <w:bCs w:val="0"/>
          <w:color w:val="auto"/>
          <w:sz w:val="24"/>
          <w:szCs w:val="24"/>
          <w:highlight w:val="none"/>
          <w:lang w:val="en-US" w:eastAsia="zh-CN"/>
        </w:rPr>
        <w:t>提供谈判响应文件递交截止日前一年内已缴纳的至少一个月的纳</w:t>
      </w:r>
      <w:r>
        <w:rPr>
          <w:rFonts w:hint="eastAsia" w:ascii="仿宋" w:hAnsi="仿宋" w:eastAsia="仿宋" w:cs="仿宋"/>
          <w:b w:val="0"/>
          <w:bCs w:val="0"/>
          <w:color w:val="auto"/>
          <w:sz w:val="24"/>
          <w:szCs w:val="24"/>
          <w:highlight w:val="none"/>
          <w:lang w:val="en-US" w:eastAsia="zh-CN"/>
        </w:rPr>
        <w:t>税证明或完税证明，依法免税的单位应提供相关证明材料；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社会保障资金缴纳证明：提供谈判响应文件递交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val="en-US" w:eastAsia="zh-CN"/>
        </w:rPr>
        <w:t>参加政府采购活动前3年内，在经营活动中没有重大违法记录的书面声明。（格式自拟）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（二）落实政府采购政策需满足的资格要求：</w:t>
      </w:r>
      <w:r>
        <w:rPr>
          <w:rFonts w:hint="eastAsia" w:ascii="仿宋" w:hAnsi="仿宋" w:eastAsia="仿宋" w:cs="仿宋"/>
          <w:b w:val="0"/>
          <w:bCs w:val="0"/>
          <w:color w:val="auto"/>
          <w:sz w:val="24"/>
          <w:szCs w:val="24"/>
          <w:highlight w:val="none"/>
          <w:lang w:val="en-US" w:eastAsia="zh-CN"/>
        </w:rPr>
        <w:t>本项目专门面向中小企业采购，产品生产商应为中小微企业或监狱企业或残疾人福利性单位。生产商为中型、小型、微型企业的，提供《中小企业声明函》；生产商为监狱企业的，应提供监狱企业的证明文件；生产商为残疾人福利性单位的，应提供《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1、法定代表人授权书（附法定代表人、被授权人身份证复印件）及被授权人身份证（法定代表人直接参加谈判，须提供法定代表人身份证明及身份证原件）</w:t>
      </w:r>
    </w:p>
    <w:p>
      <w:pPr>
        <w:pStyle w:val="2"/>
        <w:rPr>
          <w:rFonts w:hint="eastAsia" w:ascii="仿宋" w:hAnsi="仿宋" w:eastAsia="仿宋" w:cs="仿宋"/>
          <w:b/>
          <w:bCs/>
          <w:color w:val="auto"/>
          <w:sz w:val="24"/>
          <w:szCs w:val="24"/>
          <w:highlight w:val="none"/>
          <w:lang w:val="en-US" w:eastAsia="zh-CN"/>
        </w:rPr>
      </w:pPr>
    </w:p>
    <w:p>
      <w:pPr>
        <w:pStyle w:val="2"/>
        <w:rPr>
          <w:rFonts w:hint="eastAsia" w:ascii="仿宋" w:hAnsi="仿宋" w:eastAsia="仿宋" w:cs="仿宋"/>
          <w:b/>
          <w:bCs/>
          <w:color w:val="auto"/>
          <w:sz w:val="24"/>
          <w:szCs w:val="24"/>
          <w:highlight w:val="none"/>
          <w:lang w:val="en-US" w:eastAsia="zh-CN"/>
        </w:rPr>
      </w:pPr>
    </w:p>
    <w:p>
      <w:pPr>
        <w:rPr>
          <w:rFonts w:hint="eastAsia" w:ascii="仿宋" w:hAnsi="仿宋" w:eastAsia="仿宋" w:cs="仿宋"/>
          <w:b/>
          <w:bCs/>
          <w:color w:val="auto"/>
          <w:sz w:val="24"/>
          <w:szCs w:val="24"/>
          <w:highlight w:val="none"/>
          <w:lang w:val="en-US" w:eastAsia="zh-CN"/>
        </w:rPr>
      </w:pPr>
    </w:p>
    <w:p>
      <w:pPr>
        <w:pStyle w:val="2"/>
        <w:rPr>
          <w:rFonts w:hint="eastAsia" w:ascii="仿宋" w:hAnsi="仿宋" w:eastAsia="仿宋" w:cs="仿宋"/>
          <w:b/>
          <w:bCs/>
          <w:color w:val="auto"/>
          <w:sz w:val="24"/>
          <w:szCs w:val="24"/>
          <w:highlight w:val="none"/>
          <w:lang w:val="en-US" w:eastAsia="zh-CN"/>
        </w:rPr>
      </w:pPr>
    </w:p>
    <w:p>
      <w:pPr>
        <w:rPr>
          <w:rFonts w:hint="eastAsia" w:ascii="仿宋" w:hAnsi="仿宋" w:eastAsia="仿宋" w:cs="仿宋"/>
          <w:b/>
          <w:bCs/>
          <w:color w:val="auto"/>
          <w:sz w:val="24"/>
          <w:szCs w:val="24"/>
          <w:highlight w:val="none"/>
          <w:lang w:val="en-US" w:eastAsia="zh-CN"/>
        </w:rPr>
      </w:pPr>
    </w:p>
    <w:p>
      <w:pPr>
        <w:pStyle w:val="2"/>
        <w:rPr>
          <w:rFonts w:hint="eastAsia" w:ascii="仿宋" w:hAnsi="仿宋" w:eastAsia="仿宋" w:cs="仿宋"/>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2"/>
        <w:rPr>
          <w:rFonts w:hint="eastAsia" w:ascii="仿宋" w:hAnsi="仿宋" w:eastAsia="仿宋" w:cs="仿宋"/>
          <w:b/>
          <w:bCs/>
          <w:color w:val="auto"/>
          <w:kern w:val="2"/>
          <w:sz w:val="30"/>
          <w:szCs w:val="30"/>
          <w:highlight w:val="none"/>
          <w:lang w:val="en-US" w:eastAsia="zh-CN" w:bidi="ar-SA"/>
        </w:rPr>
      </w:pPr>
      <w:bookmarkStart w:id="149" w:name="_Toc13032"/>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kern w:val="2"/>
          <w:sz w:val="30"/>
          <w:szCs w:val="30"/>
          <w:highlight w:val="none"/>
          <w:lang w:val="en-US" w:eastAsia="zh-CN" w:bidi="ar-SA"/>
        </w:rPr>
        <w:t>法定代表人身份证明/法定代表人授权书</w:t>
      </w:r>
      <w:bookmarkEnd w:id="149"/>
    </w:p>
    <w:p>
      <w:pPr>
        <w:spacing w:line="440" w:lineRule="exact"/>
        <w:ind w:left="-359" w:leftChars="-171" w:firstLine="496" w:firstLineChars="200"/>
        <w:jc w:val="center"/>
        <w:rPr>
          <w:rFonts w:hint="eastAsia" w:ascii="仿宋" w:hAnsi="仿宋" w:eastAsia="仿宋" w:cs="仿宋"/>
          <w:color w:val="auto"/>
          <w:spacing w:val="4"/>
          <w:sz w:val="24"/>
          <w:szCs w:val="32"/>
          <w:highlight w:val="none"/>
        </w:rPr>
      </w:pP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szCs w:val="32"/>
          <w:highlight w:val="none"/>
        </w:rPr>
        <w:t xml:space="preserve"> </w:t>
      </w:r>
    </w:p>
    <w:p>
      <w:pPr>
        <w:spacing w:line="440" w:lineRule="exact"/>
        <w:ind w:left="-359" w:leftChars="-171" w:firstLine="643" w:firstLineChars="200"/>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法定代表人身份证明</w:t>
      </w:r>
    </w:p>
    <w:p>
      <w:pPr>
        <w:autoSpaceDE w:val="0"/>
        <w:autoSpaceDN w:val="0"/>
        <w:adjustRightInd w:val="0"/>
        <w:snapToGrid w:val="0"/>
        <w:spacing w:before="120" w:beforeLines="5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kern w:val="0"/>
          <w:sz w:val="24"/>
          <w:highlight w:val="none"/>
        </w:rPr>
        <w:t>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napToGrid w:val="0"/>
        <w:spacing w:before="120" w:beforeLines="5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统一社会信用代码：</w:t>
      </w:r>
      <w:r>
        <w:rPr>
          <w:rFonts w:hint="eastAsia" w:ascii="仿宋" w:hAnsi="仿宋" w:eastAsia="仿宋" w:cs="仿宋"/>
          <w:color w:val="auto"/>
          <w:kern w:val="0"/>
          <w:sz w:val="24"/>
          <w:highlight w:val="none"/>
          <w:u w:val="single"/>
        </w:rPr>
        <w:t xml:space="preserve">                </w:t>
      </w:r>
    </w:p>
    <w:p>
      <w:pPr>
        <w:autoSpaceDE w:val="0"/>
        <w:autoSpaceDN w:val="0"/>
        <w:adjustRightInd w:val="0"/>
        <w:snapToGrid w:val="0"/>
        <w:spacing w:before="120" w:beforeLines="5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注册地址：</w:t>
      </w:r>
      <w:r>
        <w:rPr>
          <w:rFonts w:hint="eastAsia" w:ascii="仿宋" w:hAnsi="仿宋" w:eastAsia="仿宋" w:cs="仿宋"/>
          <w:color w:val="auto"/>
          <w:kern w:val="0"/>
          <w:sz w:val="24"/>
          <w:highlight w:val="none"/>
          <w:u w:val="single"/>
        </w:rPr>
        <w:t xml:space="preserve">                        </w:t>
      </w:r>
    </w:p>
    <w:p>
      <w:pPr>
        <w:autoSpaceDE w:val="0"/>
        <w:autoSpaceDN w:val="0"/>
        <w:adjustRightInd w:val="0"/>
        <w:snapToGrid w:val="0"/>
        <w:spacing w:before="120" w:beforeLines="5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成立时间：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年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pPr>
        <w:autoSpaceDE w:val="0"/>
        <w:autoSpaceDN w:val="0"/>
        <w:adjustRightInd w:val="0"/>
        <w:snapToGrid w:val="0"/>
        <w:spacing w:before="120" w:beforeLines="50"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经营期限：</w:t>
      </w:r>
      <w:r>
        <w:rPr>
          <w:rFonts w:hint="eastAsia" w:ascii="仿宋" w:hAnsi="仿宋" w:eastAsia="仿宋" w:cs="仿宋"/>
          <w:color w:val="auto"/>
          <w:kern w:val="0"/>
          <w:sz w:val="24"/>
          <w:highlight w:val="none"/>
          <w:u w:val="single"/>
        </w:rPr>
        <w:t xml:space="preserve">                  </w:t>
      </w:r>
    </w:p>
    <w:p>
      <w:pPr>
        <w:autoSpaceDE w:val="0"/>
        <w:autoSpaceDN w:val="0"/>
        <w:adjustRightInd w:val="0"/>
        <w:snapToGrid w:val="0"/>
        <w:spacing w:before="120" w:beforeLines="5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性别：</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年龄：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名称）的法定代表人。</w:t>
      </w:r>
    </w:p>
    <w:p>
      <w:pPr>
        <w:autoSpaceDE w:val="0"/>
        <w:autoSpaceDN w:val="0"/>
        <w:adjustRightInd w:val="0"/>
        <w:snapToGrid w:val="0"/>
        <w:spacing w:before="120" w:beforeLines="5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pPr>
        <w:autoSpaceDE w:val="0"/>
        <w:autoSpaceDN w:val="0"/>
        <w:adjustRightInd w:val="0"/>
        <w:snapToGrid w:val="0"/>
        <w:spacing w:before="120" w:beforeLines="5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附：法定代表人身份证复印件</w:t>
      </w:r>
    </w:p>
    <w:tbl>
      <w:tblPr>
        <w:tblStyle w:val="28"/>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pPr>
              <w:snapToGrid w:val="0"/>
              <w:spacing w:line="480" w:lineRule="auto"/>
              <w:jc w:val="center"/>
              <w:rPr>
                <w:rFonts w:hint="eastAsia" w:ascii="仿宋" w:hAnsi="仿宋" w:eastAsia="仿宋" w:cs="仿宋"/>
                <w:color w:val="auto"/>
                <w:szCs w:val="21"/>
                <w:highlight w:val="none"/>
              </w:rPr>
            </w:pPr>
          </w:p>
          <w:p>
            <w:pPr>
              <w:snapToGrid w:val="0"/>
              <w:spacing w:line="480" w:lineRule="auto"/>
              <w:jc w:val="center"/>
              <w:rPr>
                <w:rFonts w:hint="eastAsia" w:ascii="仿宋" w:hAnsi="仿宋" w:eastAsia="仿宋" w:cs="仿宋"/>
                <w:color w:val="auto"/>
                <w:szCs w:val="21"/>
                <w:highlight w:val="none"/>
              </w:rPr>
            </w:pPr>
          </w:p>
          <w:p>
            <w:pPr>
              <w:autoSpaceDE w:val="0"/>
              <w:autoSpaceDN w:val="0"/>
              <w:adjustRightInd w:val="0"/>
              <w:snapToGrid w:val="0"/>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法定代表人身份证复印件</w:t>
            </w:r>
            <w:r>
              <w:rPr>
                <w:rFonts w:hint="eastAsia" w:ascii="仿宋" w:hAnsi="仿宋" w:eastAsia="仿宋" w:cs="仿宋"/>
                <w:color w:val="auto"/>
                <w:szCs w:val="21"/>
                <w:highlight w:val="none"/>
                <w:lang w:eastAsia="zh-CN"/>
              </w:rPr>
              <w:t>粘</w:t>
            </w:r>
            <w:r>
              <w:rPr>
                <w:rFonts w:hint="eastAsia" w:ascii="仿宋" w:hAnsi="仿宋" w:eastAsia="仿宋" w:cs="仿宋"/>
                <w:color w:val="auto"/>
                <w:szCs w:val="21"/>
                <w:highlight w:val="none"/>
              </w:rPr>
              <w:t>贴处</w:t>
            </w:r>
          </w:p>
          <w:p>
            <w:pPr>
              <w:autoSpaceDE w:val="0"/>
              <w:autoSpaceDN w:val="0"/>
              <w:adjustRightInd w:val="0"/>
              <w:snapToGrid w:val="0"/>
              <w:spacing w:before="120" w:beforeLines="50"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szCs w:val="21"/>
                <w:highlight w:val="none"/>
                <w:lang w:val="en-US" w:eastAsia="zh-CN"/>
              </w:rPr>
              <w:t>(正反面）</w:t>
            </w:r>
          </w:p>
          <w:p>
            <w:pPr>
              <w:snapToGrid w:val="0"/>
              <w:spacing w:line="480" w:lineRule="auto"/>
              <w:jc w:val="center"/>
              <w:rPr>
                <w:rFonts w:hint="eastAsia" w:ascii="仿宋" w:hAnsi="仿宋" w:eastAsia="仿宋" w:cs="仿宋"/>
                <w:color w:val="auto"/>
                <w:szCs w:val="21"/>
                <w:highlight w:val="none"/>
              </w:rPr>
            </w:pPr>
          </w:p>
          <w:p>
            <w:pPr>
              <w:snapToGrid w:val="0"/>
              <w:spacing w:line="480" w:lineRule="auto"/>
              <w:jc w:val="center"/>
              <w:rPr>
                <w:rFonts w:hint="eastAsia" w:ascii="仿宋" w:hAnsi="仿宋" w:eastAsia="仿宋" w:cs="仿宋"/>
                <w:color w:val="auto"/>
                <w:szCs w:val="21"/>
                <w:highlight w:val="none"/>
              </w:rPr>
            </w:pPr>
          </w:p>
        </w:tc>
      </w:tr>
    </w:tbl>
    <w:p>
      <w:pPr>
        <w:snapToGrid w:val="0"/>
        <w:spacing w:line="480" w:lineRule="auto"/>
        <w:rPr>
          <w:rFonts w:hint="eastAsia" w:ascii="仿宋" w:hAnsi="仿宋" w:eastAsia="仿宋" w:cs="仿宋"/>
          <w:color w:val="auto"/>
          <w:szCs w:val="21"/>
          <w:highlight w:val="none"/>
        </w:rPr>
      </w:pPr>
    </w:p>
    <w:p>
      <w:pPr>
        <w:snapToGrid w:val="0"/>
        <w:rPr>
          <w:rFonts w:hint="eastAsia" w:ascii="仿宋" w:hAnsi="仿宋" w:eastAsia="仿宋" w:cs="仿宋"/>
          <w:color w:val="auto"/>
          <w:szCs w:val="21"/>
          <w:highlight w:val="none"/>
        </w:rPr>
      </w:pPr>
    </w:p>
    <w:p>
      <w:pPr>
        <w:snapToGrid w:val="0"/>
        <w:rPr>
          <w:rFonts w:hint="eastAsia" w:ascii="仿宋" w:hAnsi="仿宋" w:eastAsia="仿宋" w:cs="仿宋"/>
          <w:color w:val="auto"/>
          <w:szCs w:val="21"/>
          <w:highlight w:val="none"/>
        </w:rPr>
      </w:pPr>
    </w:p>
    <w:p>
      <w:pPr>
        <w:snapToGrid w:val="0"/>
        <w:rPr>
          <w:rFonts w:hint="eastAsia" w:ascii="仿宋" w:hAnsi="仿宋" w:eastAsia="仿宋" w:cs="仿宋"/>
          <w:color w:val="auto"/>
          <w:szCs w:val="21"/>
          <w:highlight w:val="none"/>
        </w:rPr>
      </w:pPr>
    </w:p>
    <w:p>
      <w:pPr>
        <w:snapToGrid w:val="0"/>
        <w:rPr>
          <w:rFonts w:hint="eastAsia" w:ascii="仿宋" w:hAnsi="仿宋" w:eastAsia="仿宋" w:cs="仿宋"/>
          <w:color w:val="auto"/>
          <w:szCs w:val="21"/>
          <w:highlight w:val="none"/>
        </w:rPr>
      </w:pPr>
    </w:p>
    <w:p>
      <w:pPr>
        <w:adjustRightInd w:val="0"/>
        <w:snapToGrid w:val="0"/>
        <w:spacing w:line="360" w:lineRule="auto"/>
        <w:rPr>
          <w:rFonts w:hint="eastAsia" w:ascii="仿宋" w:hAnsi="仿宋" w:eastAsia="仿宋" w:cs="仿宋"/>
          <w:color w:val="auto"/>
          <w:sz w:val="24"/>
          <w:highlight w:val="none"/>
        </w:rPr>
      </w:pPr>
    </w:p>
    <w:p>
      <w:pPr>
        <w:adjustRightInd w:val="0"/>
        <w:snapToGrid w:val="0"/>
        <w:spacing w:line="360" w:lineRule="auto"/>
        <w:ind w:right="420"/>
        <w:rPr>
          <w:rFonts w:hint="eastAsia" w:ascii="仿宋" w:hAnsi="仿宋" w:eastAsia="仿宋" w:cs="仿宋"/>
          <w:color w:val="auto"/>
          <w:sz w:val="24"/>
          <w:highlight w:val="none"/>
        </w:rPr>
      </w:pPr>
    </w:p>
    <w:p>
      <w:pPr>
        <w:adjustRightInd w:val="0"/>
        <w:snapToGrid w:val="0"/>
        <w:spacing w:line="360" w:lineRule="auto"/>
        <w:ind w:right="420"/>
        <w:rPr>
          <w:rFonts w:hint="eastAsia" w:ascii="仿宋" w:hAnsi="仿宋" w:eastAsia="仿宋" w:cs="仿宋"/>
          <w:color w:val="auto"/>
          <w:sz w:val="24"/>
          <w:highlight w:val="none"/>
        </w:rPr>
      </w:pPr>
    </w:p>
    <w:p>
      <w:pPr>
        <w:adjustRightInd w:val="0"/>
        <w:snapToGrid w:val="0"/>
        <w:spacing w:line="360" w:lineRule="auto"/>
        <w:ind w:right="420"/>
        <w:rPr>
          <w:rFonts w:hint="eastAsia" w:ascii="仿宋" w:hAnsi="仿宋" w:eastAsia="仿宋" w:cs="仿宋"/>
          <w:color w:val="auto"/>
          <w:sz w:val="24"/>
          <w:highlight w:val="none"/>
        </w:rPr>
      </w:pPr>
    </w:p>
    <w:p>
      <w:pPr>
        <w:adjustRightInd w:val="0"/>
        <w:snapToGrid w:val="0"/>
        <w:spacing w:line="360" w:lineRule="auto"/>
        <w:ind w:right="420"/>
        <w:rPr>
          <w:rFonts w:hint="eastAsia" w:ascii="仿宋" w:hAnsi="仿宋" w:eastAsia="仿宋" w:cs="仿宋"/>
          <w:color w:val="auto"/>
          <w:sz w:val="24"/>
          <w:highlight w:val="none"/>
        </w:rPr>
      </w:pPr>
    </w:p>
    <w:p>
      <w:pPr>
        <w:adjustRightInd w:val="0"/>
        <w:snapToGrid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公章</w:t>
      </w:r>
      <w:r>
        <w:rPr>
          <w:rFonts w:hint="eastAsia" w:ascii="仿宋" w:hAnsi="仿宋" w:eastAsia="仿宋" w:cs="仿宋"/>
          <w:color w:val="auto"/>
          <w:sz w:val="24"/>
          <w:highlight w:val="none"/>
        </w:rPr>
        <w:t>）：</w:t>
      </w:r>
    </w:p>
    <w:p>
      <w:pPr>
        <w:adjustRightInd w:val="0"/>
        <w:snapToGrid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pStyle w:val="2"/>
        <w:rPr>
          <w:rFonts w:hint="eastAsia" w:ascii="仿宋" w:hAnsi="仿宋" w:eastAsia="仿宋" w:cs="仿宋"/>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2" w:firstLineChars="200"/>
        <w:textAlignment w:val="auto"/>
        <w:outlineLvl w:val="9"/>
        <w:rPr>
          <w:rFonts w:hint="eastAsia" w:ascii="仿宋" w:hAnsi="仿宋" w:eastAsia="仿宋" w:cs="仿宋"/>
          <w:b/>
          <w:bCs/>
          <w:color w:val="auto"/>
          <w:sz w:val="24"/>
          <w:szCs w:val="24"/>
          <w:highlight w:val="none"/>
          <w:lang w:val="en-US" w:eastAsia="zh-CN"/>
        </w:rPr>
      </w:pPr>
    </w:p>
    <w:p>
      <w:pPr>
        <w:pStyle w:val="2"/>
        <w:rPr>
          <w:rFonts w:hint="eastAsia" w:ascii="仿宋" w:hAnsi="仿宋" w:eastAsia="仿宋" w:cs="仿宋"/>
          <w:b/>
          <w:bCs/>
          <w:color w:val="auto"/>
          <w:sz w:val="24"/>
          <w:szCs w:val="24"/>
          <w:highlight w:val="none"/>
          <w:lang w:val="en-US" w:eastAsia="zh-CN"/>
        </w:rPr>
      </w:pPr>
    </w:p>
    <w:p>
      <w:pPr>
        <w:pStyle w:val="2"/>
        <w:numPr>
          <w:ilvl w:val="0"/>
          <w:numId w:val="0"/>
        </w:numPr>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w:t>
      </w:r>
      <w:r>
        <w:rPr>
          <w:rFonts w:hint="eastAsia" w:ascii="仿宋" w:hAnsi="仿宋" w:eastAsia="仿宋" w:cs="仿宋"/>
          <w:b/>
          <w:bCs/>
          <w:color w:val="auto"/>
          <w:sz w:val="24"/>
          <w:szCs w:val="24"/>
          <w:highlight w:val="none"/>
          <w:lang w:val="zh-CN" w:eastAsia="zh-CN"/>
        </w:rPr>
        <w:t>仅限法定代表人参加时提供。</w:t>
      </w:r>
    </w:p>
    <w:p>
      <w:pPr>
        <w:pStyle w:val="2"/>
        <w:rPr>
          <w:rFonts w:hint="eastAsia" w:ascii="仿宋" w:hAnsi="仿宋" w:eastAsia="仿宋" w:cs="仿宋"/>
          <w:b/>
          <w:bCs/>
          <w:color w:val="auto"/>
          <w:sz w:val="24"/>
          <w:szCs w:val="24"/>
          <w:highlight w:val="none"/>
          <w:lang w:val="en-US" w:eastAsia="zh-CN"/>
        </w:rPr>
      </w:pPr>
    </w:p>
    <w:p>
      <w:pPr>
        <w:pStyle w:val="6"/>
        <w:spacing w:before="327" w:beforeLines="100"/>
        <w:jc w:val="center"/>
        <w:rPr>
          <w:rFonts w:hint="eastAsia" w:ascii="仿宋" w:hAnsi="仿宋" w:eastAsia="仿宋" w:cs="仿宋"/>
          <w:color w:val="auto"/>
          <w:spacing w:val="4"/>
          <w:sz w:val="24"/>
          <w:szCs w:val="30"/>
          <w:highlight w:val="none"/>
        </w:rPr>
      </w:pPr>
      <w:bookmarkStart w:id="150" w:name="_Toc27218"/>
      <w:r>
        <w:rPr>
          <w:rFonts w:hint="eastAsia" w:ascii="仿宋" w:hAnsi="仿宋" w:eastAsia="仿宋" w:cs="仿宋"/>
          <w:color w:val="auto"/>
          <w:sz w:val="32"/>
          <w:szCs w:val="32"/>
          <w:highlight w:val="none"/>
        </w:rPr>
        <w:t>法定代表人授权书</w:t>
      </w:r>
      <w:bookmarkEnd w:id="150"/>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pacing w:val="4"/>
          <w:sz w:val="24"/>
          <w:szCs w:val="30"/>
          <w:highlight w:val="none"/>
          <w:lang w:eastAsia="zh-CN"/>
        </w:rPr>
      </w:pPr>
      <w:r>
        <w:rPr>
          <w:rFonts w:hint="eastAsia" w:ascii="仿宋" w:hAnsi="仿宋" w:eastAsia="仿宋" w:cs="仿宋"/>
          <w:color w:val="auto"/>
          <w:spacing w:val="4"/>
          <w:sz w:val="24"/>
          <w:szCs w:val="30"/>
          <w:highlight w:val="none"/>
        </w:rPr>
        <w:t>致：</w:t>
      </w:r>
      <w:r>
        <w:rPr>
          <w:rFonts w:hint="eastAsia" w:ascii="仿宋" w:hAnsi="仿宋" w:eastAsia="仿宋" w:cs="仿宋"/>
          <w:b w:val="0"/>
          <w:bCs/>
          <w:color w:val="auto"/>
          <w:spacing w:val="4"/>
          <w:sz w:val="24"/>
          <w:szCs w:val="24"/>
          <w:highlight w:val="none"/>
          <w:u w:val="single"/>
          <w:lang w:eastAsia="zh-CN"/>
        </w:rPr>
        <w:t>西安市莲湖区行政审批服务局</w:t>
      </w:r>
      <w:r>
        <w:rPr>
          <w:rFonts w:hint="eastAsia" w:ascii="仿宋" w:hAnsi="仿宋" w:eastAsia="仿宋" w:cs="仿宋"/>
          <w:b w:val="0"/>
          <w:bCs/>
          <w:color w:val="auto"/>
          <w:spacing w:val="4"/>
          <w:sz w:val="24"/>
          <w:szCs w:val="24"/>
          <w:highlight w:val="none"/>
          <w:u w:val="single"/>
          <w:lang w:val="en-US" w:eastAsia="zh-CN"/>
        </w:rPr>
        <w:t>/</w:t>
      </w:r>
      <w:r>
        <w:rPr>
          <w:rFonts w:hint="eastAsia" w:ascii="仿宋" w:hAnsi="仿宋" w:eastAsia="仿宋" w:cs="仿宋"/>
          <w:b w:val="0"/>
          <w:bCs/>
          <w:color w:val="auto"/>
          <w:spacing w:val="4"/>
          <w:sz w:val="24"/>
          <w:szCs w:val="24"/>
          <w:highlight w:val="none"/>
          <w:u w:val="single"/>
          <w:lang w:eastAsia="zh-CN"/>
        </w:rPr>
        <w:t>华夏国际项目管理有限公司</w:t>
      </w:r>
    </w:p>
    <w:p>
      <w:pPr>
        <w:keepNext w:val="0"/>
        <w:keepLines w:val="0"/>
        <w:pageBreakBefore w:val="0"/>
        <w:widowControl w:val="0"/>
        <w:kinsoku/>
        <w:wordWrap/>
        <w:overflowPunct/>
        <w:topLinePunct w:val="0"/>
        <w:autoSpaceDE/>
        <w:autoSpaceDN/>
        <w:bidi w:val="0"/>
        <w:adjustRightInd/>
        <w:snapToGrid/>
        <w:spacing w:line="500" w:lineRule="exact"/>
        <w:ind w:firstLine="744" w:firstLineChars="300"/>
        <w:jc w:val="left"/>
        <w:textAlignment w:val="auto"/>
        <w:outlineLvl w:val="9"/>
        <w:rPr>
          <w:rFonts w:hint="eastAsia" w:ascii="仿宋" w:hAnsi="仿宋" w:eastAsia="仿宋" w:cs="仿宋"/>
          <w:color w:val="auto"/>
          <w:spacing w:val="4"/>
          <w:sz w:val="24"/>
          <w:szCs w:val="30"/>
          <w:highlight w:val="none"/>
        </w:rPr>
      </w:pPr>
      <w:r>
        <w:rPr>
          <w:rFonts w:hint="eastAsia" w:ascii="仿宋" w:hAnsi="仿宋" w:eastAsia="仿宋" w:cs="仿宋"/>
          <w:color w:val="auto"/>
          <w:spacing w:val="4"/>
          <w:sz w:val="24"/>
          <w:szCs w:val="30"/>
          <w:highlight w:val="none"/>
          <w:u w:val="single"/>
        </w:rPr>
        <w:t>(</w:t>
      </w:r>
      <w:r>
        <w:rPr>
          <w:rFonts w:hint="eastAsia" w:ascii="仿宋" w:hAnsi="仿宋" w:eastAsia="仿宋" w:cs="仿宋"/>
          <w:color w:val="auto"/>
          <w:spacing w:val="4"/>
          <w:sz w:val="24"/>
          <w:szCs w:val="30"/>
          <w:highlight w:val="none"/>
          <w:u w:val="single"/>
          <w:lang w:val="en-US" w:eastAsia="zh-CN"/>
        </w:rPr>
        <w:t xml:space="preserve"> </w:t>
      </w:r>
      <w:r>
        <w:rPr>
          <w:rFonts w:hint="eastAsia" w:ascii="仿宋" w:hAnsi="仿宋" w:eastAsia="仿宋" w:cs="仿宋"/>
          <w:color w:val="auto"/>
          <w:spacing w:val="4"/>
          <w:sz w:val="24"/>
          <w:szCs w:val="30"/>
          <w:highlight w:val="none"/>
          <w:u w:val="single"/>
          <w:lang w:eastAsia="zh-CN"/>
        </w:rPr>
        <w:t>供应商</w:t>
      </w:r>
      <w:r>
        <w:rPr>
          <w:rFonts w:hint="eastAsia" w:ascii="仿宋" w:hAnsi="仿宋" w:eastAsia="仿宋" w:cs="仿宋"/>
          <w:color w:val="auto"/>
          <w:spacing w:val="4"/>
          <w:sz w:val="24"/>
          <w:szCs w:val="30"/>
          <w:highlight w:val="none"/>
          <w:u w:val="single"/>
        </w:rPr>
        <w:t xml:space="preserve">名称)      </w:t>
      </w:r>
      <w:r>
        <w:rPr>
          <w:rFonts w:hint="eastAsia" w:ascii="仿宋" w:hAnsi="仿宋" w:eastAsia="仿宋" w:cs="仿宋"/>
          <w:color w:val="auto"/>
          <w:spacing w:val="4"/>
          <w:sz w:val="24"/>
          <w:szCs w:val="30"/>
          <w:highlight w:val="none"/>
        </w:rPr>
        <w:t>按中华人民共和国法律于</w:t>
      </w:r>
      <w:r>
        <w:rPr>
          <w:rFonts w:hint="eastAsia" w:ascii="仿宋" w:hAnsi="仿宋" w:eastAsia="仿宋" w:cs="仿宋"/>
          <w:color w:val="auto"/>
          <w:spacing w:val="4"/>
          <w:sz w:val="24"/>
          <w:szCs w:val="30"/>
          <w:highlight w:val="none"/>
          <w:u w:val="single"/>
        </w:rPr>
        <w:t>（  年  月  日 ）</w:t>
      </w:r>
      <w:r>
        <w:rPr>
          <w:rFonts w:hint="eastAsia" w:ascii="仿宋" w:hAnsi="仿宋" w:eastAsia="仿宋" w:cs="仿宋"/>
          <w:color w:val="auto"/>
          <w:spacing w:val="4"/>
          <w:sz w:val="24"/>
          <w:szCs w:val="30"/>
          <w:highlight w:val="none"/>
          <w:u w:val="single"/>
          <w:lang w:val="en-US" w:eastAsia="zh-CN"/>
        </w:rPr>
        <w:t xml:space="preserve"> </w:t>
      </w:r>
      <w:r>
        <w:rPr>
          <w:rFonts w:hint="eastAsia" w:ascii="仿宋" w:hAnsi="仿宋" w:eastAsia="仿宋" w:cs="仿宋"/>
          <w:color w:val="auto"/>
          <w:spacing w:val="4"/>
          <w:sz w:val="24"/>
          <w:szCs w:val="30"/>
          <w:highlight w:val="none"/>
        </w:rPr>
        <w:t xml:space="preserve">成立。      </w:t>
      </w:r>
      <w:r>
        <w:rPr>
          <w:rFonts w:hint="eastAsia" w:ascii="仿宋" w:hAnsi="仿宋" w:eastAsia="仿宋" w:cs="仿宋"/>
          <w:color w:val="auto"/>
          <w:spacing w:val="4"/>
          <w:sz w:val="24"/>
          <w:szCs w:val="30"/>
          <w:highlight w:val="none"/>
          <w:u w:val="single"/>
        </w:rPr>
        <w:t xml:space="preserve">     </w:t>
      </w:r>
      <w:r>
        <w:rPr>
          <w:rFonts w:hint="eastAsia" w:ascii="仿宋" w:hAnsi="仿宋" w:eastAsia="仿宋" w:cs="仿宋"/>
          <w:color w:val="auto"/>
          <w:spacing w:val="4"/>
          <w:sz w:val="24"/>
          <w:szCs w:val="30"/>
          <w:highlight w:val="none"/>
          <w:u w:val="none"/>
        </w:rPr>
        <w:t>法定代表人</w:t>
      </w:r>
      <w:r>
        <w:rPr>
          <w:rFonts w:hint="eastAsia" w:ascii="仿宋" w:hAnsi="仿宋" w:eastAsia="仿宋" w:cs="仿宋"/>
          <w:color w:val="auto"/>
          <w:spacing w:val="4"/>
          <w:sz w:val="24"/>
          <w:szCs w:val="30"/>
          <w:highlight w:val="none"/>
          <w:u w:val="single"/>
          <w:lang w:val="en-US" w:eastAsia="zh-CN"/>
        </w:rPr>
        <w:t xml:space="preserve">  </w:t>
      </w:r>
      <w:r>
        <w:rPr>
          <w:rFonts w:hint="eastAsia" w:ascii="仿宋" w:hAnsi="仿宋" w:eastAsia="仿宋" w:cs="仿宋"/>
          <w:color w:val="auto"/>
          <w:spacing w:val="4"/>
          <w:sz w:val="24"/>
          <w:szCs w:val="30"/>
          <w:highlight w:val="none"/>
          <w:u w:val="single"/>
        </w:rPr>
        <w:t>姓名</w:t>
      </w:r>
      <w:r>
        <w:rPr>
          <w:rFonts w:hint="eastAsia" w:ascii="仿宋" w:hAnsi="仿宋" w:eastAsia="仿宋" w:cs="仿宋"/>
          <w:color w:val="auto"/>
          <w:spacing w:val="4"/>
          <w:sz w:val="24"/>
          <w:szCs w:val="30"/>
          <w:highlight w:val="none"/>
          <w:u w:val="single"/>
          <w:lang w:val="en-US" w:eastAsia="zh-CN"/>
        </w:rPr>
        <w:t xml:space="preserve">   </w:t>
      </w:r>
      <w:r>
        <w:rPr>
          <w:rFonts w:hint="eastAsia" w:ascii="仿宋" w:hAnsi="仿宋" w:eastAsia="仿宋" w:cs="仿宋"/>
          <w:color w:val="auto"/>
          <w:spacing w:val="4"/>
          <w:sz w:val="24"/>
          <w:szCs w:val="30"/>
          <w:highlight w:val="none"/>
          <w:u w:val="none"/>
        </w:rPr>
        <w:t>特授权</w:t>
      </w:r>
      <w:r>
        <w:rPr>
          <w:rFonts w:hint="eastAsia" w:ascii="仿宋" w:hAnsi="仿宋" w:eastAsia="仿宋" w:cs="仿宋"/>
          <w:color w:val="auto"/>
          <w:spacing w:val="4"/>
          <w:sz w:val="24"/>
          <w:szCs w:val="30"/>
          <w:highlight w:val="none"/>
          <w:u w:val="single"/>
          <w:lang w:val="en-US" w:eastAsia="zh-CN"/>
        </w:rPr>
        <w:t xml:space="preserve">  </w:t>
      </w:r>
      <w:r>
        <w:rPr>
          <w:rFonts w:hint="eastAsia" w:ascii="仿宋" w:hAnsi="仿宋" w:eastAsia="仿宋" w:cs="仿宋"/>
          <w:color w:val="auto"/>
          <w:spacing w:val="4"/>
          <w:sz w:val="24"/>
          <w:szCs w:val="30"/>
          <w:highlight w:val="none"/>
          <w:u w:val="single"/>
          <w:lang w:eastAsia="zh-CN"/>
        </w:rPr>
        <w:t>被授权人</w:t>
      </w:r>
      <w:r>
        <w:rPr>
          <w:rFonts w:hint="eastAsia" w:ascii="仿宋" w:hAnsi="仿宋" w:eastAsia="仿宋" w:cs="仿宋"/>
          <w:color w:val="auto"/>
          <w:spacing w:val="4"/>
          <w:sz w:val="24"/>
          <w:szCs w:val="30"/>
          <w:highlight w:val="none"/>
          <w:u w:val="single"/>
        </w:rPr>
        <w:t>姓名</w:t>
      </w:r>
      <w:r>
        <w:rPr>
          <w:rFonts w:hint="eastAsia" w:ascii="仿宋" w:hAnsi="仿宋" w:eastAsia="仿宋" w:cs="仿宋"/>
          <w:color w:val="auto"/>
          <w:spacing w:val="4"/>
          <w:sz w:val="24"/>
          <w:szCs w:val="30"/>
          <w:highlight w:val="none"/>
          <w:u w:val="single"/>
          <w:lang w:val="en-US" w:eastAsia="zh-CN"/>
        </w:rPr>
        <w:t xml:space="preserve">  </w:t>
      </w:r>
      <w:r>
        <w:rPr>
          <w:rFonts w:hint="eastAsia" w:ascii="仿宋" w:hAnsi="仿宋" w:eastAsia="仿宋" w:cs="仿宋"/>
          <w:color w:val="auto"/>
          <w:spacing w:val="4"/>
          <w:sz w:val="24"/>
          <w:szCs w:val="30"/>
          <w:highlight w:val="none"/>
          <w:u w:val="none"/>
        </w:rPr>
        <w:t>代表我公司全权办理针对本次</w:t>
      </w:r>
      <w:r>
        <w:rPr>
          <w:rFonts w:hint="eastAsia" w:ascii="仿宋" w:hAnsi="仿宋" w:eastAsia="仿宋" w:cs="仿宋"/>
          <w:color w:val="auto"/>
          <w:spacing w:val="4"/>
          <w:sz w:val="24"/>
          <w:szCs w:val="30"/>
          <w:highlight w:val="none"/>
          <w:u w:val="single"/>
          <w:lang w:val="en-US" w:eastAsia="zh-CN"/>
        </w:rPr>
        <w:t xml:space="preserve">  </w:t>
      </w:r>
      <w:r>
        <w:rPr>
          <w:rFonts w:hint="eastAsia" w:ascii="仿宋" w:hAnsi="仿宋" w:eastAsia="仿宋" w:cs="仿宋"/>
          <w:color w:val="auto"/>
          <w:spacing w:val="4"/>
          <w:sz w:val="24"/>
          <w:szCs w:val="30"/>
          <w:highlight w:val="none"/>
          <w:u w:val="single"/>
          <w:lang w:eastAsia="zh-CN"/>
        </w:rPr>
        <w:t>项目名称、</w:t>
      </w:r>
      <w:r>
        <w:rPr>
          <w:rFonts w:hint="eastAsia" w:ascii="仿宋" w:hAnsi="仿宋" w:eastAsia="仿宋" w:cs="仿宋"/>
          <w:color w:val="auto"/>
          <w:spacing w:val="4"/>
          <w:sz w:val="24"/>
          <w:szCs w:val="30"/>
          <w:highlight w:val="none"/>
          <w:u w:val="single"/>
        </w:rPr>
        <w:t xml:space="preserve">项目编号   </w:t>
      </w:r>
      <w:r>
        <w:rPr>
          <w:rFonts w:hint="eastAsia" w:ascii="仿宋" w:hAnsi="仿宋" w:eastAsia="仿宋" w:cs="仿宋"/>
          <w:color w:val="auto"/>
          <w:spacing w:val="4"/>
          <w:sz w:val="24"/>
          <w:szCs w:val="30"/>
          <w:highlight w:val="none"/>
        </w:rPr>
        <w:t>项目的谈判、签约等具体工作，并签署全部有关的文件、协议及合同。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color w:val="auto"/>
          <w:spacing w:val="4"/>
          <w:sz w:val="24"/>
          <w:szCs w:val="30"/>
          <w:highlight w:val="none"/>
        </w:rPr>
      </w:pPr>
      <w:r>
        <w:rPr>
          <w:rFonts w:hint="eastAsia" w:ascii="仿宋" w:hAnsi="仿宋" w:eastAsia="仿宋" w:cs="仿宋"/>
          <w:color w:val="auto"/>
          <w:spacing w:val="4"/>
          <w:sz w:val="24"/>
          <w:szCs w:val="30"/>
          <w:highlight w:val="none"/>
        </w:rPr>
        <w:t>我公司对被授权人的签名负全部责任。</w:t>
      </w:r>
    </w:p>
    <w:p>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color w:val="auto"/>
          <w:spacing w:val="4"/>
          <w:sz w:val="24"/>
          <w:szCs w:val="30"/>
          <w:highlight w:val="none"/>
        </w:rPr>
      </w:pPr>
      <w:r>
        <w:rPr>
          <w:rFonts w:hint="eastAsia" w:ascii="仿宋" w:hAnsi="仿宋" w:eastAsia="仿宋" w:cs="仿宋"/>
          <w:color w:val="auto"/>
          <w:spacing w:val="4"/>
          <w:sz w:val="24"/>
          <w:szCs w:val="30"/>
          <w:highlight w:val="none"/>
        </w:rPr>
        <w:t>本授权有效期</w:t>
      </w:r>
      <w:r>
        <w:rPr>
          <w:rFonts w:hint="eastAsia" w:ascii="仿宋" w:hAnsi="仿宋" w:eastAsia="仿宋" w:cs="仿宋"/>
          <w:color w:val="auto"/>
          <w:spacing w:val="4"/>
          <w:sz w:val="24"/>
          <w:szCs w:val="30"/>
          <w:highlight w:val="none"/>
          <w:lang w:eastAsia="zh-CN"/>
        </w:rPr>
        <w:t>与谈判有效期一致</w:t>
      </w:r>
      <w:r>
        <w:rPr>
          <w:rFonts w:hint="eastAsia" w:ascii="仿宋" w:hAnsi="仿宋" w:eastAsia="仿宋" w:cs="仿宋"/>
          <w:color w:val="auto"/>
          <w:spacing w:val="4"/>
          <w:sz w:val="24"/>
          <w:szCs w:val="30"/>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color w:val="auto"/>
          <w:spacing w:val="4"/>
          <w:sz w:val="24"/>
          <w:szCs w:val="30"/>
          <w:highlight w:val="none"/>
        </w:rPr>
      </w:pPr>
    </w:p>
    <w:tbl>
      <w:tblPr>
        <w:tblStyle w:val="27"/>
        <w:tblW w:w="0" w:type="auto"/>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被授权人</w:t>
            </w:r>
            <w:r>
              <w:rPr>
                <w:rFonts w:hint="eastAsia" w:ascii="仿宋" w:hAnsi="仿宋" w:eastAsia="仿宋" w:cs="仿宋"/>
                <w:color w:val="auto"/>
                <w:spacing w:val="4"/>
                <w:sz w:val="24"/>
                <w:highlight w:val="none"/>
                <w:lang w:eastAsia="zh-CN"/>
              </w:rPr>
              <w:t>签字或盖章</w:t>
            </w:r>
            <w:r>
              <w:rPr>
                <w:rFonts w:hint="eastAsia" w:ascii="仿宋" w:hAnsi="仿宋" w:eastAsia="仿宋" w:cs="仿宋"/>
                <w:color w:val="auto"/>
                <w:spacing w:val="4"/>
                <w:sz w:val="24"/>
                <w:highlight w:val="none"/>
              </w:rPr>
              <w:t>：</w:t>
            </w:r>
          </w:p>
        </w:tc>
        <w:tc>
          <w:tcPr>
            <w:tcW w:w="39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eastAsia="zh-CN"/>
              </w:rPr>
              <w:t>法定代表人签字或盖章</w:t>
            </w:r>
            <w:r>
              <w:rPr>
                <w:rFonts w:hint="eastAsia" w:ascii="仿宋" w:hAnsi="仿宋" w:eastAsia="仿宋" w:cs="仿宋"/>
                <w:color w:val="auto"/>
                <w:spacing w:val="4"/>
                <w:sz w:val="24"/>
                <w:highlight w:val="none"/>
              </w:rPr>
              <w:t>：</w:t>
            </w:r>
          </w:p>
        </w:tc>
      </w:tr>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职务：</w:t>
            </w:r>
          </w:p>
        </w:tc>
        <w:tc>
          <w:tcPr>
            <w:tcW w:w="39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职务：</w:t>
            </w:r>
          </w:p>
        </w:tc>
      </w:tr>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身份证号：</w:t>
            </w:r>
          </w:p>
        </w:tc>
        <w:tc>
          <w:tcPr>
            <w:tcW w:w="39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身份证号：</w:t>
            </w:r>
          </w:p>
        </w:tc>
      </w:tr>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所在部门：</w:t>
            </w:r>
          </w:p>
        </w:tc>
        <w:tc>
          <w:tcPr>
            <w:tcW w:w="39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pacing w:val="4"/>
                <w:sz w:val="24"/>
                <w:highlight w:val="none"/>
              </w:rPr>
            </w:pPr>
          </w:p>
        </w:tc>
      </w:tr>
    </w:tbl>
    <w:p>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color w:val="auto"/>
          <w:spacing w:val="4"/>
          <w:sz w:val="24"/>
          <w:highlight w:val="none"/>
        </w:rPr>
      </w:pPr>
    </w:p>
    <w:p>
      <w:pPr>
        <w:spacing w:line="440" w:lineRule="exact"/>
        <w:ind w:firstLine="505" w:firstLineChars="204"/>
        <w:rPr>
          <w:rFonts w:hint="eastAsia" w:ascii="仿宋" w:hAnsi="仿宋" w:eastAsia="仿宋" w:cs="仿宋"/>
          <w:color w:val="auto"/>
          <w:spacing w:val="4"/>
          <w:sz w:val="24"/>
          <w:szCs w:val="30"/>
          <w:highlight w:val="none"/>
        </w:rPr>
      </w:pPr>
      <w:r>
        <w:rPr>
          <w:rFonts w:hint="eastAsia" w:ascii="仿宋" w:hAnsi="仿宋" w:eastAsia="仿宋" w:cs="仿宋"/>
          <w:color w:val="auto"/>
          <w:spacing w:val="4"/>
          <w:sz w:val="24"/>
          <w:szCs w:val="30"/>
          <w:highlight w:val="none"/>
        </w:rPr>
        <w:t>附：</w:t>
      </w:r>
      <w:r>
        <w:rPr>
          <w:rFonts w:hint="eastAsia" w:ascii="仿宋" w:hAnsi="仿宋" w:eastAsia="仿宋" w:cs="仿宋"/>
          <w:color w:val="auto"/>
          <w:spacing w:val="4"/>
          <w:sz w:val="24"/>
          <w:szCs w:val="30"/>
          <w:highlight w:val="none"/>
          <w:lang w:eastAsia="zh-CN"/>
        </w:rPr>
        <w:t>法定代表人</w:t>
      </w:r>
      <w:r>
        <w:rPr>
          <w:rFonts w:hint="eastAsia" w:ascii="仿宋" w:hAnsi="仿宋" w:eastAsia="仿宋" w:cs="仿宋"/>
          <w:color w:val="auto"/>
          <w:spacing w:val="4"/>
          <w:sz w:val="24"/>
          <w:szCs w:val="30"/>
          <w:highlight w:val="none"/>
        </w:rPr>
        <w:t>、</w:t>
      </w:r>
      <w:r>
        <w:rPr>
          <w:rFonts w:hint="eastAsia" w:ascii="仿宋" w:hAnsi="仿宋" w:eastAsia="仿宋" w:cs="仿宋"/>
          <w:color w:val="auto"/>
          <w:spacing w:val="4"/>
          <w:sz w:val="24"/>
          <w:highlight w:val="none"/>
          <w:lang w:val="en-US" w:eastAsia="zh-CN"/>
        </w:rPr>
        <w:t>被授权人</w:t>
      </w:r>
      <w:r>
        <w:rPr>
          <w:rFonts w:hint="eastAsia" w:ascii="仿宋" w:hAnsi="仿宋" w:eastAsia="仿宋" w:cs="仿宋"/>
          <w:color w:val="auto"/>
          <w:spacing w:val="4"/>
          <w:sz w:val="24"/>
          <w:szCs w:val="30"/>
          <w:highlight w:val="none"/>
        </w:rPr>
        <w:t>身份证复印件</w:t>
      </w:r>
      <w:r>
        <w:rPr>
          <w:rFonts w:hint="eastAsia" w:ascii="仿宋" w:hAnsi="仿宋" w:eastAsia="仿宋" w:cs="仿宋"/>
          <w:color w:val="auto"/>
          <w:spacing w:val="4"/>
          <w:sz w:val="24"/>
          <w:szCs w:val="30"/>
          <w:highlight w:val="none"/>
          <w:lang w:eastAsia="zh-CN"/>
        </w:rPr>
        <w:t>（正反面）</w:t>
      </w:r>
    </w:p>
    <w:p>
      <w:pPr>
        <w:spacing w:line="440" w:lineRule="exact"/>
        <w:rPr>
          <w:rFonts w:hint="eastAsia" w:ascii="仿宋" w:hAnsi="仿宋" w:eastAsia="仿宋" w:cs="仿宋"/>
          <w:color w:val="auto"/>
          <w:spacing w:val="4"/>
          <w:sz w:val="24"/>
          <w:szCs w:val="30"/>
          <w:highlight w:val="none"/>
        </w:rPr>
      </w:pPr>
    </w:p>
    <w:p>
      <w:pPr>
        <w:pStyle w:val="2"/>
        <w:rPr>
          <w:rFonts w:hint="eastAsia" w:ascii="仿宋" w:hAnsi="仿宋" w:eastAsia="仿宋" w:cs="仿宋"/>
          <w:color w:val="auto"/>
          <w:spacing w:val="4"/>
          <w:sz w:val="24"/>
          <w:szCs w:val="30"/>
          <w:highlight w:val="none"/>
        </w:rPr>
      </w:pPr>
    </w:p>
    <w:p>
      <w:pPr>
        <w:pStyle w:val="2"/>
        <w:rPr>
          <w:rFonts w:hint="eastAsia" w:ascii="仿宋" w:hAnsi="仿宋" w:eastAsia="仿宋" w:cs="仿宋"/>
          <w:color w:val="auto"/>
          <w:spacing w:val="4"/>
          <w:sz w:val="24"/>
          <w:szCs w:val="30"/>
          <w:highlight w:val="none"/>
        </w:rPr>
      </w:pPr>
    </w:p>
    <w:p>
      <w:pPr>
        <w:pStyle w:val="2"/>
        <w:rPr>
          <w:rFonts w:hint="eastAsia" w:ascii="仿宋" w:hAnsi="仿宋" w:eastAsia="仿宋" w:cs="仿宋"/>
          <w:color w:val="auto"/>
          <w:spacing w:val="4"/>
          <w:sz w:val="24"/>
          <w:szCs w:val="30"/>
          <w:highlight w:val="none"/>
        </w:rPr>
      </w:pPr>
    </w:p>
    <w:p>
      <w:pPr>
        <w:pStyle w:val="2"/>
        <w:rPr>
          <w:rFonts w:hint="eastAsia" w:ascii="仿宋" w:hAnsi="仿宋" w:eastAsia="仿宋" w:cs="仿宋"/>
          <w:color w:val="auto"/>
          <w:spacing w:val="4"/>
          <w:sz w:val="24"/>
          <w:szCs w:val="30"/>
          <w:highlight w:val="none"/>
        </w:rPr>
      </w:pPr>
    </w:p>
    <w:p>
      <w:pPr>
        <w:spacing w:line="440" w:lineRule="exact"/>
        <w:ind w:firstLine="496" w:firstLineChars="200"/>
        <w:jc w:val="both"/>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30"/>
          <w:highlight w:val="none"/>
        </w:rPr>
        <w:t>谈</w:t>
      </w:r>
      <w:r>
        <w:rPr>
          <w:rFonts w:hint="eastAsia" w:ascii="仿宋" w:hAnsi="仿宋" w:eastAsia="仿宋" w:cs="仿宋"/>
          <w:color w:val="auto"/>
          <w:spacing w:val="4"/>
          <w:sz w:val="24"/>
          <w:szCs w:val="24"/>
          <w:highlight w:val="none"/>
        </w:rPr>
        <w:t>判</w:t>
      </w:r>
      <w:r>
        <w:rPr>
          <w:rFonts w:hint="eastAsia" w:ascii="仿宋" w:hAnsi="仿宋" w:eastAsia="仿宋" w:cs="仿宋"/>
          <w:color w:val="auto"/>
          <w:spacing w:val="4"/>
          <w:sz w:val="24"/>
          <w:szCs w:val="24"/>
          <w:highlight w:val="none"/>
          <w:lang w:eastAsia="zh-CN"/>
        </w:rPr>
        <w:t>供应商</w:t>
      </w:r>
      <w:r>
        <w:rPr>
          <w:rFonts w:hint="eastAsia" w:ascii="仿宋" w:hAnsi="仿宋" w:eastAsia="仿宋" w:cs="仿宋"/>
          <w:color w:val="auto"/>
          <w:spacing w:val="4"/>
          <w:sz w:val="24"/>
          <w:szCs w:val="24"/>
          <w:highlight w:val="none"/>
        </w:rPr>
        <w:t>名称（盖章）：</w:t>
      </w:r>
    </w:p>
    <w:p>
      <w:pPr>
        <w:spacing w:line="440" w:lineRule="exact"/>
        <w:ind w:firstLine="496" w:firstLineChars="200"/>
        <w:rPr>
          <w:rFonts w:hint="eastAsia" w:ascii="仿宋" w:hAnsi="仿宋" w:eastAsia="仿宋" w:cs="仿宋"/>
          <w:color w:val="auto"/>
          <w:spacing w:val="4"/>
          <w:sz w:val="24"/>
          <w:szCs w:val="24"/>
          <w:highlight w:val="none"/>
        </w:rPr>
      </w:pPr>
    </w:p>
    <w:p>
      <w:pPr>
        <w:spacing w:line="440" w:lineRule="exact"/>
        <w:ind w:firstLine="496" w:firstLineChars="2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日</w:t>
      </w:r>
      <w:r>
        <w:rPr>
          <w:rFonts w:hint="eastAsia" w:ascii="仿宋" w:hAnsi="仿宋" w:eastAsia="仿宋" w:cs="仿宋"/>
          <w:color w:val="auto"/>
          <w:spacing w:val="4"/>
          <w:sz w:val="24"/>
          <w:szCs w:val="24"/>
          <w:highlight w:val="none"/>
          <w:lang w:val="en-US" w:eastAsia="zh-CN"/>
        </w:rPr>
        <w:t xml:space="preserve"> </w:t>
      </w:r>
      <w:r>
        <w:rPr>
          <w:rFonts w:hint="eastAsia" w:ascii="仿宋" w:hAnsi="仿宋" w:eastAsia="仿宋" w:cs="仿宋"/>
          <w:color w:val="auto"/>
          <w:spacing w:val="4"/>
          <w:sz w:val="24"/>
          <w:szCs w:val="24"/>
          <w:highlight w:val="none"/>
        </w:rPr>
        <w:t>期：</w:t>
      </w:r>
    </w:p>
    <w:p>
      <w:pPr>
        <w:pStyle w:val="2"/>
        <w:rPr>
          <w:rFonts w:hint="eastAsia" w:ascii="仿宋" w:hAnsi="仿宋" w:eastAsia="仿宋" w:cs="仿宋"/>
          <w:color w:val="auto"/>
          <w:highlight w:val="none"/>
        </w:rPr>
      </w:pPr>
    </w:p>
    <w:p>
      <w:pPr>
        <w:spacing w:line="440" w:lineRule="exact"/>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说明：法定代表人参加谈判时无需提供。</w:t>
      </w:r>
    </w:p>
    <w:p>
      <w:pPr>
        <w:pStyle w:val="2"/>
        <w:rPr>
          <w:rFonts w:hint="eastAsia" w:ascii="仿宋" w:hAnsi="仿宋" w:eastAsia="仿宋" w:cs="仿宋"/>
          <w:b/>
          <w:bCs/>
          <w:color w:val="auto"/>
          <w:sz w:val="24"/>
          <w:szCs w:val="24"/>
          <w:highlight w:val="none"/>
          <w:lang w:val="zh-CN"/>
        </w:rPr>
      </w:pPr>
    </w:p>
    <w:p>
      <w:pPr>
        <w:pStyle w:val="2"/>
        <w:rPr>
          <w:rFonts w:hint="eastAsia" w:ascii="仿宋" w:hAnsi="仿宋" w:eastAsia="仿宋" w:cs="仿宋"/>
          <w:b/>
          <w:bCs/>
          <w:color w:val="auto"/>
          <w:sz w:val="24"/>
          <w:szCs w:val="24"/>
          <w:highlight w:val="none"/>
          <w:lang w:val="zh-CN"/>
        </w:rPr>
      </w:pPr>
    </w:p>
    <w:p>
      <w:pPr>
        <w:rPr>
          <w:rFonts w:hint="eastAsia" w:ascii="仿宋" w:hAnsi="仿宋" w:eastAsia="仿宋" w:cs="仿宋"/>
          <w:color w:val="auto"/>
          <w:highlight w:val="none"/>
          <w:lang w:val="zh-CN"/>
        </w:rPr>
      </w:pPr>
    </w:p>
    <w:p>
      <w:pPr>
        <w:numPr>
          <w:ilvl w:val="0"/>
          <w:numId w:val="12"/>
        </w:numPr>
        <w:ind w:left="1" w:leftChars="0" w:firstLine="0" w:firstLineChars="0"/>
        <w:jc w:val="center"/>
        <w:outlineLvl w:val="1"/>
        <w:rPr>
          <w:rFonts w:hint="eastAsia" w:ascii="仿宋" w:hAnsi="仿宋" w:eastAsia="仿宋" w:cs="仿宋"/>
          <w:b/>
          <w:color w:val="auto"/>
          <w:sz w:val="32"/>
          <w:szCs w:val="32"/>
          <w:highlight w:val="none"/>
          <w:lang w:eastAsia="zh-CN"/>
        </w:rPr>
      </w:pPr>
      <w:bookmarkStart w:id="151" w:name="_Toc28488"/>
      <w:r>
        <w:rPr>
          <w:rFonts w:hint="eastAsia" w:ascii="仿宋" w:hAnsi="仿宋" w:eastAsia="仿宋" w:cs="仿宋"/>
          <w:b/>
          <w:color w:val="auto"/>
          <w:sz w:val="32"/>
          <w:szCs w:val="32"/>
          <w:highlight w:val="none"/>
          <w:lang w:eastAsia="zh-CN"/>
        </w:rPr>
        <w:t>其他资料</w:t>
      </w:r>
      <w:bookmarkEnd w:id="151"/>
    </w:p>
    <w:p>
      <w:pPr>
        <w:pStyle w:val="2"/>
        <w:widowControl w:val="0"/>
        <w:numPr>
          <w:ilvl w:val="0"/>
          <w:numId w:val="0"/>
        </w:numPr>
        <w:spacing w:after="120" w:afterLines="0"/>
        <w:jc w:val="both"/>
        <w:rPr>
          <w:rFonts w:hint="eastAsia" w:ascii="仿宋" w:hAnsi="仿宋" w:eastAsia="仿宋" w:cs="仿宋"/>
          <w:color w:val="auto"/>
          <w:highlight w:val="none"/>
          <w:lang w:eastAsia="zh-CN"/>
        </w:rPr>
      </w:pPr>
    </w:p>
    <w:p>
      <w:pPr>
        <w:rPr>
          <w:rFonts w:hint="eastAsia" w:ascii="仿宋" w:hAnsi="仿宋" w:eastAsia="仿宋" w:cs="仿宋"/>
          <w:b/>
          <w:color w:val="auto"/>
          <w:sz w:val="28"/>
          <w:szCs w:val="28"/>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基本存款账户开户许可证（基本账户信息）。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依据竞争性谈判文件要求，供应商认为有必要说明的其他内容。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lang w:eastAsia="zh-CN"/>
        </w:rPr>
        <w:t>、其他可以证明供应商实力的文件。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pPr>
        <w:outlineLvl w:val="2"/>
        <w:rPr>
          <w:rFonts w:hint="eastAsia" w:ascii="仿宋" w:hAnsi="仿宋" w:eastAsia="仿宋" w:cs="仿宋"/>
          <w:b/>
          <w:color w:val="auto"/>
          <w:sz w:val="28"/>
          <w:szCs w:val="28"/>
          <w:highlight w:val="none"/>
        </w:rPr>
      </w:pPr>
    </w:p>
    <w:p>
      <w:pPr>
        <w:outlineLvl w:val="2"/>
        <w:rPr>
          <w:rFonts w:hint="eastAsia" w:ascii="仿宋" w:hAnsi="仿宋" w:eastAsia="仿宋" w:cs="仿宋"/>
          <w:b/>
          <w:color w:val="auto"/>
          <w:sz w:val="28"/>
          <w:szCs w:val="28"/>
          <w:highlight w:val="none"/>
        </w:rPr>
      </w:pPr>
      <w:bookmarkStart w:id="152" w:name="_Toc24664"/>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1</w:t>
      </w:r>
      <w:bookmarkEnd w:id="152"/>
    </w:p>
    <w:p>
      <w:pPr>
        <w:keepNext w:val="0"/>
        <w:keepLines w:val="0"/>
        <w:pageBreakBefore w:val="0"/>
        <w:widowControl w:val="0"/>
        <w:kinsoku/>
        <w:wordWrap/>
        <w:overflowPunct/>
        <w:topLinePunct w:val="0"/>
        <w:autoSpaceDE/>
        <w:autoSpaceDN/>
        <w:bidi w:val="0"/>
        <w:adjustRightInd/>
        <w:spacing w:before="100" w:beforeAutospacing="0" w:after="163" w:afterLines="50" w:line="360" w:lineRule="auto"/>
        <w:jc w:val="center"/>
        <w:textAlignment w:val="auto"/>
        <w:outlineLvl w:val="2"/>
        <w:rPr>
          <w:rFonts w:hint="eastAsia" w:ascii="仿宋" w:hAnsi="仿宋" w:eastAsia="仿宋" w:cs="仿宋"/>
          <w:b/>
          <w:color w:val="auto"/>
          <w:sz w:val="32"/>
          <w:szCs w:val="32"/>
          <w:highlight w:val="none"/>
          <w:lang w:eastAsia="zh-CN"/>
        </w:rPr>
      </w:pPr>
      <w:bookmarkStart w:id="153" w:name="_Toc8398"/>
      <w:bookmarkStart w:id="154" w:name="_Toc8591"/>
      <w:r>
        <w:rPr>
          <w:rFonts w:hint="eastAsia" w:ascii="仿宋" w:hAnsi="仿宋" w:eastAsia="仿宋" w:cs="仿宋"/>
          <w:b/>
          <w:color w:val="auto"/>
          <w:sz w:val="32"/>
          <w:szCs w:val="32"/>
          <w:highlight w:val="none"/>
          <w:lang w:eastAsia="zh-CN"/>
        </w:rPr>
        <w:t>中小企业声明函（货物）</w:t>
      </w:r>
      <w:bookmarkEnd w:id="153"/>
    </w:p>
    <w:p>
      <w:pPr>
        <w:pStyle w:val="2"/>
        <w:keepNext w:val="0"/>
        <w:keepLines w:val="0"/>
        <w:pageBreakBefore w:val="0"/>
        <w:widowControl w:val="0"/>
        <w:tabs>
          <w:tab w:val="left" w:pos="9120"/>
        </w:tabs>
        <w:kinsoku/>
        <w:wordWrap/>
        <w:overflowPunct/>
        <w:topLinePunct w:val="0"/>
        <w:autoSpaceDE/>
        <w:autoSpaceDN/>
        <w:bidi w:val="0"/>
        <w:adjustRightInd/>
        <w:snapToGrid/>
        <w:spacing w:before="55" w:after="0" w:afterLines="0" w:line="360" w:lineRule="auto"/>
        <w:ind w:right="0" w:rightChars="0" w:firstLine="640"/>
        <w:textAlignment w:val="auto"/>
        <w:outlineLvl w:val="9"/>
        <w:rPr>
          <w:rFonts w:hint="eastAsia" w:ascii="仿宋" w:hAnsi="仿宋" w:eastAsia="仿宋" w:cs="仿宋"/>
          <w:b w:val="0"/>
          <w:bCs w:val="0"/>
          <w:color w:val="auto"/>
          <w:spacing w:val="-2"/>
          <w:sz w:val="24"/>
          <w:szCs w:val="24"/>
          <w:highlight w:val="none"/>
        </w:rPr>
      </w:pPr>
      <w:r>
        <w:rPr>
          <w:rFonts w:hint="eastAsia" w:ascii="仿宋" w:hAnsi="仿宋" w:eastAsia="仿宋" w:cs="仿宋"/>
          <w:b w:val="0"/>
          <w:bCs w:val="0"/>
          <w:color w:val="auto"/>
          <w:spacing w:val="-2"/>
          <w:sz w:val="24"/>
          <w:szCs w:val="24"/>
          <w:highlight w:val="none"/>
        </w:rPr>
        <w:t>本公司</w:t>
      </w:r>
      <w:r>
        <w:rPr>
          <w:rFonts w:hint="eastAsia" w:ascii="仿宋" w:hAnsi="仿宋" w:eastAsia="仿宋" w:cs="仿宋"/>
          <w:b w:val="0"/>
          <w:bCs w:val="0"/>
          <w:color w:val="auto"/>
          <w:sz w:val="24"/>
          <w:szCs w:val="24"/>
          <w:highlight w:val="none"/>
        </w:rPr>
        <w:t>（联合体</w:t>
      </w:r>
      <w:r>
        <w:rPr>
          <w:rFonts w:hint="eastAsia" w:ascii="仿宋" w:hAnsi="仿宋" w:eastAsia="仿宋" w:cs="仿宋"/>
          <w:b w:val="0"/>
          <w:bCs w:val="0"/>
          <w:color w:val="auto"/>
          <w:spacing w:val="-5"/>
          <w:sz w:val="24"/>
          <w:szCs w:val="24"/>
          <w:highlight w:val="none"/>
        </w:rPr>
        <w:t>）</w:t>
      </w:r>
      <w:r>
        <w:rPr>
          <w:rFonts w:hint="eastAsia" w:ascii="仿宋" w:hAnsi="仿宋" w:eastAsia="仿宋" w:cs="仿宋"/>
          <w:b w:val="0"/>
          <w:bCs w:val="0"/>
          <w:color w:val="auto"/>
          <w:spacing w:val="-2"/>
          <w:sz w:val="24"/>
          <w:szCs w:val="24"/>
          <w:highlight w:val="none"/>
        </w:rPr>
        <w:t>郑重声明，根据《政府采购促进中小</w:t>
      </w:r>
      <w:r>
        <w:rPr>
          <w:rFonts w:hint="eastAsia" w:ascii="仿宋" w:hAnsi="仿宋" w:eastAsia="仿宋" w:cs="仿宋"/>
          <w:b w:val="0"/>
          <w:bCs w:val="0"/>
          <w:color w:val="auto"/>
          <w:spacing w:val="-18"/>
          <w:sz w:val="24"/>
          <w:szCs w:val="24"/>
          <w:highlight w:val="none"/>
        </w:rPr>
        <w:t>企业发展管理办法》</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pacing w:val="5"/>
          <w:sz w:val="24"/>
          <w:szCs w:val="24"/>
          <w:highlight w:val="none"/>
        </w:rPr>
        <w:t>财库</w:t>
      </w:r>
      <w:r>
        <w:rPr>
          <w:rFonts w:hint="eastAsia" w:ascii="仿宋" w:hAnsi="仿宋" w:eastAsia="仿宋" w:cs="仿宋"/>
          <w:b w:val="0"/>
          <w:bCs w:val="0"/>
          <w:color w:val="auto"/>
          <w:sz w:val="24"/>
          <w:szCs w:val="24"/>
          <w:highlight w:val="none"/>
        </w:rPr>
        <w:t>﹝2020﹞46</w:t>
      </w:r>
      <w:r>
        <w:rPr>
          <w:rFonts w:hint="eastAsia" w:ascii="仿宋" w:hAnsi="仿宋" w:eastAsia="仿宋" w:cs="仿宋"/>
          <w:b w:val="0"/>
          <w:bCs w:val="0"/>
          <w:color w:val="auto"/>
          <w:spacing w:val="-38"/>
          <w:sz w:val="24"/>
          <w:szCs w:val="24"/>
          <w:highlight w:val="none"/>
        </w:rPr>
        <w:t xml:space="preserve"> 号</w:t>
      </w:r>
      <w:r>
        <w:rPr>
          <w:rFonts w:hint="eastAsia" w:ascii="仿宋" w:hAnsi="仿宋" w:eastAsia="仿宋" w:cs="仿宋"/>
          <w:b w:val="0"/>
          <w:bCs w:val="0"/>
          <w:color w:val="auto"/>
          <w:spacing w:val="5"/>
          <w:sz w:val="24"/>
          <w:szCs w:val="24"/>
          <w:highlight w:val="none"/>
        </w:rPr>
        <w:t>）</w:t>
      </w:r>
      <w:r>
        <w:rPr>
          <w:rFonts w:hint="eastAsia" w:ascii="仿宋" w:hAnsi="仿宋" w:eastAsia="仿宋" w:cs="仿宋"/>
          <w:b w:val="0"/>
          <w:bCs w:val="0"/>
          <w:color w:val="auto"/>
          <w:sz w:val="24"/>
          <w:szCs w:val="24"/>
          <w:highlight w:val="none"/>
        </w:rPr>
        <w:t>的规定，本公司（联合体）</w:t>
      </w:r>
      <w:r>
        <w:rPr>
          <w:rFonts w:hint="eastAsia" w:ascii="仿宋" w:hAnsi="仿宋" w:eastAsia="仿宋" w:cs="仿宋"/>
          <w:b w:val="0"/>
          <w:bCs w:val="0"/>
          <w:color w:val="auto"/>
          <w:spacing w:val="-2"/>
          <w:sz w:val="24"/>
          <w:szCs w:val="24"/>
          <w:highlight w:val="none"/>
        </w:rPr>
        <w:t>参加</w:t>
      </w:r>
      <w:r>
        <w:rPr>
          <w:rFonts w:hint="eastAsia" w:ascii="仿宋" w:hAnsi="仿宋" w:eastAsia="仿宋" w:cs="仿宋"/>
          <w:b w:val="0"/>
          <w:bCs w:val="0"/>
          <w:color w:val="auto"/>
          <w:spacing w:val="-2"/>
          <w:sz w:val="24"/>
          <w:szCs w:val="24"/>
          <w:highlight w:val="none"/>
          <w:u w:val="single"/>
          <w:lang w:val="zh-CN" w:eastAsia="zh-CN"/>
        </w:rPr>
        <w:t>（单位名称）</w:t>
      </w:r>
      <w:r>
        <w:rPr>
          <w:rFonts w:hint="eastAsia" w:ascii="仿宋" w:hAnsi="仿宋" w:eastAsia="仿宋" w:cs="仿宋"/>
          <w:b w:val="0"/>
          <w:bCs w:val="0"/>
          <w:color w:val="auto"/>
          <w:spacing w:val="-2"/>
          <w:sz w:val="24"/>
          <w:szCs w:val="24"/>
          <w:highlight w:val="none"/>
        </w:rPr>
        <w:t>的</w:t>
      </w:r>
      <w:r>
        <w:rPr>
          <w:rFonts w:hint="eastAsia" w:ascii="仿宋" w:hAnsi="仿宋" w:eastAsia="仿宋" w:cs="仿宋"/>
          <w:b w:val="0"/>
          <w:bCs w:val="0"/>
          <w:color w:val="auto"/>
          <w:spacing w:val="-2"/>
          <w:sz w:val="24"/>
          <w:szCs w:val="24"/>
          <w:highlight w:val="none"/>
          <w:u w:val="single"/>
          <w:lang w:val="zh-CN" w:eastAsia="zh-CN"/>
        </w:rPr>
        <w:t>（项目名称）</w:t>
      </w:r>
      <w:r>
        <w:rPr>
          <w:rFonts w:hint="eastAsia" w:ascii="仿宋" w:hAnsi="仿宋" w:eastAsia="仿宋" w:cs="仿宋"/>
          <w:b w:val="0"/>
          <w:bCs w:val="0"/>
          <w:color w:val="auto"/>
          <w:spacing w:val="-2"/>
          <w:sz w:val="24"/>
          <w:szCs w:val="24"/>
          <w:highlight w:val="none"/>
        </w:rPr>
        <w:t>采购活动，提供的货物全部由符合政策要求的中小企业制造。相关企业（含联合体中的中小企业、签订分包意向协议的中小企业） 的具体情况如下：</w:t>
      </w:r>
    </w:p>
    <w:p>
      <w:pPr>
        <w:pStyle w:val="2"/>
        <w:keepNext w:val="0"/>
        <w:keepLines w:val="0"/>
        <w:pageBreakBefore w:val="0"/>
        <w:widowControl w:val="0"/>
        <w:numPr>
          <w:ilvl w:val="0"/>
          <w:numId w:val="13"/>
        </w:numPr>
        <w:kinsoku/>
        <w:wordWrap/>
        <w:overflowPunct/>
        <w:topLinePunct w:val="0"/>
        <w:autoSpaceDE/>
        <w:autoSpaceDN/>
        <w:bidi w:val="0"/>
        <w:adjustRightInd/>
        <w:snapToGrid/>
        <w:spacing w:before="2" w:line="360" w:lineRule="auto"/>
        <w:ind w:left="0" w:firstLine="480" w:firstLineChars="200"/>
        <w:jc w:val="left"/>
        <w:textAlignment w:val="auto"/>
        <w:outlineLvl w:val="9"/>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u w:val="single"/>
          <w:lang w:val="zh-CN" w:eastAsia="zh-CN"/>
        </w:rPr>
        <w:t>（标的名称）</w:t>
      </w:r>
      <w:r>
        <w:rPr>
          <w:rFonts w:hint="eastAsia" w:ascii="仿宋" w:hAnsi="仿宋" w:eastAsia="仿宋" w:cs="仿宋"/>
          <w:b w:val="0"/>
          <w:bCs w:val="0"/>
          <w:color w:val="auto"/>
          <w:kern w:val="2"/>
          <w:sz w:val="24"/>
          <w:szCs w:val="24"/>
          <w:highlight w:val="none"/>
        </w:rPr>
        <w:t>，属 于</w:t>
      </w:r>
      <w:r>
        <w:rPr>
          <w:rFonts w:hint="eastAsia" w:ascii="仿宋" w:hAnsi="仿宋" w:eastAsia="仿宋" w:cs="仿宋"/>
          <w:b w:val="0"/>
          <w:bCs w:val="0"/>
          <w:color w:val="auto"/>
          <w:kern w:val="2"/>
          <w:sz w:val="24"/>
          <w:szCs w:val="24"/>
          <w:highlight w:val="none"/>
          <w:u w:val="single"/>
        </w:rPr>
        <w:t xml:space="preserve"> </w:t>
      </w:r>
      <w:r>
        <w:rPr>
          <w:rFonts w:hint="eastAsia" w:ascii="仿宋" w:hAnsi="仿宋" w:eastAsia="仿宋" w:cs="仿宋"/>
          <w:b w:val="0"/>
          <w:bCs w:val="0"/>
          <w:color w:val="auto"/>
          <w:kern w:val="0"/>
          <w:sz w:val="24"/>
          <w:szCs w:val="24"/>
          <w:highlight w:val="none"/>
          <w:u w:val="single"/>
        </w:rPr>
        <w:t>（采购文件中明确的所属行业）</w:t>
      </w:r>
      <w:r>
        <w:rPr>
          <w:rFonts w:hint="eastAsia" w:ascii="仿宋" w:hAnsi="仿宋" w:eastAsia="仿宋" w:cs="仿宋"/>
          <w:b w:val="0"/>
          <w:bCs w:val="0"/>
          <w:color w:val="auto"/>
          <w:kern w:val="2"/>
          <w:sz w:val="24"/>
          <w:szCs w:val="24"/>
          <w:highlight w:val="none"/>
        </w:rPr>
        <w:t>行业；制造商为</w:t>
      </w:r>
      <w:r>
        <w:rPr>
          <w:rFonts w:hint="eastAsia" w:ascii="仿宋" w:hAnsi="仿宋" w:eastAsia="仿宋" w:cs="仿宋"/>
          <w:b w:val="0"/>
          <w:bCs w:val="0"/>
          <w:color w:val="auto"/>
          <w:kern w:val="2"/>
          <w:sz w:val="24"/>
          <w:szCs w:val="24"/>
          <w:highlight w:val="none"/>
          <w:u w:val="single"/>
        </w:rPr>
        <w:t>（企业名称）</w:t>
      </w:r>
      <w:r>
        <w:rPr>
          <w:rFonts w:hint="eastAsia" w:ascii="仿宋" w:hAnsi="仿宋" w:eastAsia="仿宋" w:cs="仿宋"/>
          <w:b w:val="0"/>
          <w:bCs w:val="0"/>
          <w:color w:val="auto"/>
          <w:kern w:val="2"/>
          <w:sz w:val="24"/>
          <w:szCs w:val="24"/>
          <w:highlight w:val="none"/>
        </w:rPr>
        <w:t>，从业人员</w:t>
      </w:r>
      <w:r>
        <w:rPr>
          <w:rFonts w:hint="eastAsia" w:ascii="仿宋" w:hAnsi="仿宋" w:eastAsia="仿宋" w:cs="仿宋"/>
          <w:b w:val="0"/>
          <w:bCs w:val="0"/>
          <w:color w:val="auto"/>
          <w:kern w:val="2"/>
          <w:sz w:val="24"/>
          <w:szCs w:val="24"/>
          <w:highlight w:val="none"/>
          <w:u w:val="single"/>
        </w:rPr>
        <w:t xml:space="preserve"> </w:t>
      </w:r>
      <w:r>
        <w:rPr>
          <w:rFonts w:hint="eastAsia" w:ascii="仿宋" w:hAnsi="仿宋" w:eastAsia="仿宋" w:cs="仿宋"/>
          <w:b w:val="0"/>
          <w:bCs w:val="0"/>
          <w:color w:val="auto"/>
          <w:kern w:val="2"/>
          <w:sz w:val="24"/>
          <w:szCs w:val="24"/>
          <w:highlight w:val="none"/>
          <w:u w:val="single"/>
        </w:rPr>
        <w:tab/>
      </w:r>
      <w:r>
        <w:rPr>
          <w:rFonts w:hint="eastAsia" w:ascii="仿宋" w:hAnsi="仿宋" w:eastAsia="仿宋" w:cs="仿宋"/>
          <w:b w:val="0"/>
          <w:bCs w:val="0"/>
          <w:color w:val="auto"/>
          <w:kern w:val="2"/>
          <w:sz w:val="24"/>
          <w:szCs w:val="24"/>
          <w:highlight w:val="none"/>
          <w:u w:val="single"/>
          <w:lang w:val="en-US" w:eastAsia="zh-CN"/>
        </w:rPr>
        <w:t xml:space="preserve">   </w:t>
      </w:r>
      <w:r>
        <w:rPr>
          <w:rFonts w:hint="eastAsia" w:ascii="仿宋" w:hAnsi="仿宋" w:eastAsia="仿宋" w:cs="仿宋"/>
          <w:b w:val="0"/>
          <w:bCs w:val="0"/>
          <w:color w:val="auto"/>
          <w:kern w:val="2"/>
          <w:sz w:val="24"/>
          <w:szCs w:val="24"/>
          <w:highlight w:val="none"/>
        </w:rPr>
        <w:t>人，营业收入为</w:t>
      </w:r>
      <w:r>
        <w:rPr>
          <w:rFonts w:hint="eastAsia" w:ascii="仿宋" w:hAnsi="仿宋" w:eastAsia="仿宋" w:cs="仿宋"/>
          <w:b w:val="0"/>
          <w:bCs w:val="0"/>
          <w:color w:val="auto"/>
          <w:kern w:val="2"/>
          <w:sz w:val="24"/>
          <w:szCs w:val="24"/>
          <w:highlight w:val="none"/>
          <w:u w:val="single"/>
        </w:rPr>
        <w:t xml:space="preserve"> </w:t>
      </w:r>
      <w:r>
        <w:rPr>
          <w:rFonts w:hint="eastAsia" w:ascii="仿宋" w:hAnsi="仿宋" w:eastAsia="仿宋" w:cs="仿宋"/>
          <w:b w:val="0"/>
          <w:bCs w:val="0"/>
          <w:color w:val="auto"/>
          <w:kern w:val="2"/>
          <w:sz w:val="24"/>
          <w:szCs w:val="24"/>
          <w:highlight w:val="none"/>
          <w:u w:val="single"/>
        </w:rPr>
        <w:tab/>
      </w:r>
      <w:r>
        <w:rPr>
          <w:rFonts w:hint="eastAsia" w:ascii="仿宋" w:hAnsi="仿宋" w:eastAsia="仿宋" w:cs="仿宋"/>
          <w:b w:val="0"/>
          <w:bCs w:val="0"/>
          <w:color w:val="auto"/>
          <w:kern w:val="2"/>
          <w:sz w:val="24"/>
          <w:szCs w:val="24"/>
          <w:highlight w:val="none"/>
        </w:rPr>
        <w:t>万元，资产总额为</w:t>
      </w:r>
      <w:r>
        <w:rPr>
          <w:rFonts w:hint="eastAsia" w:ascii="仿宋" w:hAnsi="仿宋" w:eastAsia="仿宋" w:cs="仿宋"/>
          <w:b w:val="0"/>
          <w:bCs w:val="0"/>
          <w:color w:val="auto"/>
          <w:kern w:val="2"/>
          <w:sz w:val="24"/>
          <w:szCs w:val="24"/>
          <w:highlight w:val="none"/>
          <w:u w:val="single"/>
          <w:lang w:val="en-US" w:eastAsia="zh-CN"/>
        </w:rPr>
        <w:t xml:space="preserve">    </w:t>
      </w:r>
      <w:r>
        <w:rPr>
          <w:rFonts w:hint="eastAsia" w:ascii="仿宋" w:hAnsi="仿宋" w:eastAsia="仿宋" w:cs="仿宋"/>
          <w:b w:val="0"/>
          <w:bCs w:val="0"/>
          <w:color w:val="auto"/>
          <w:kern w:val="2"/>
          <w:sz w:val="24"/>
          <w:szCs w:val="24"/>
          <w:highlight w:val="none"/>
        </w:rPr>
        <w:t>万元，属于</w:t>
      </w:r>
      <w:r>
        <w:rPr>
          <w:rFonts w:hint="eastAsia" w:ascii="仿宋" w:hAnsi="仿宋" w:eastAsia="仿宋" w:cs="仿宋"/>
          <w:b w:val="0"/>
          <w:bCs w:val="0"/>
          <w:color w:val="auto"/>
          <w:kern w:val="2"/>
          <w:sz w:val="24"/>
          <w:szCs w:val="24"/>
          <w:highlight w:val="none"/>
          <w:u w:val="single"/>
        </w:rPr>
        <w:t>（中型企业、小型企业、微型企业）</w:t>
      </w:r>
      <w:r>
        <w:rPr>
          <w:rFonts w:hint="eastAsia" w:ascii="仿宋" w:hAnsi="仿宋" w:eastAsia="仿宋" w:cs="仿宋"/>
          <w:b w:val="0"/>
          <w:bCs w:val="0"/>
          <w:color w:val="auto"/>
          <w:kern w:val="2"/>
          <w:sz w:val="24"/>
          <w:szCs w:val="24"/>
          <w:highlight w:val="none"/>
        </w:rPr>
        <w:t>；</w:t>
      </w:r>
    </w:p>
    <w:p>
      <w:pPr>
        <w:pStyle w:val="2"/>
        <w:keepNext w:val="0"/>
        <w:keepLines w:val="0"/>
        <w:pageBreakBefore w:val="0"/>
        <w:widowControl w:val="0"/>
        <w:numPr>
          <w:ilvl w:val="0"/>
          <w:numId w:val="13"/>
        </w:numPr>
        <w:kinsoku/>
        <w:wordWrap/>
        <w:overflowPunct/>
        <w:topLinePunct w:val="0"/>
        <w:autoSpaceDE/>
        <w:autoSpaceDN/>
        <w:bidi w:val="0"/>
        <w:adjustRightInd/>
        <w:snapToGrid/>
        <w:spacing w:before="2" w:line="360" w:lineRule="auto"/>
        <w:ind w:left="0" w:firstLine="480" w:firstLineChars="200"/>
        <w:jc w:val="left"/>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u w:val="single"/>
        </w:rPr>
        <w:t>（标的名称）</w:t>
      </w:r>
      <w:r>
        <w:rPr>
          <w:rFonts w:hint="eastAsia" w:ascii="仿宋" w:hAnsi="仿宋" w:eastAsia="仿宋" w:cs="仿宋"/>
          <w:b w:val="0"/>
          <w:bCs w:val="0"/>
          <w:color w:val="auto"/>
          <w:kern w:val="0"/>
          <w:sz w:val="24"/>
          <w:szCs w:val="24"/>
          <w:highlight w:val="none"/>
        </w:rPr>
        <w:t>，属于</w:t>
      </w:r>
      <w:r>
        <w:rPr>
          <w:rFonts w:hint="eastAsia" w:ascii="仿宋" w:hAnsi="仿宋" w:eastAsia="仿宋" w:cs="仿宋"/>
          <w:b w:val="0"/>
          <w:bCs w:val="0"/>
          <w:color w:val="auto"/>
          <w:kern w:val="0"/>
          <w:sz w:val="24"/>
          <w:szCs w:val="24"/>
          <w:highlight w:val="none"/>
          <w:u w:val="single"/>
        </w:rPr>
        <w:t>（采购文件中明确的所属行业）</w:t>
      </w:r>
      <w:r>
        <w:rPr>
          <w:rFonts w:hint="eastAsia" w:ascii="仿宋" w:hAnsi="仿宋" w:eastAsia="仿宋" w:cs="仿宋"/>
          <w:b w:val="0"/>
          <w:bCs w:val="0"/>
          <w:color w:val="auto"/>
          <w:kern w:val="0"/>
          <w:sz w:val="24"/>
          <w:szCs w:val="24"/>
          <w:highlight w:val="none"/>
        </w:rPr>
        <w:t>行业；制</w:t>
      </w:r>
      <w:r>
        <w:rPr>
          <w:rFonts w:hint="eastAsia" w:ascii="仿宋" w:hAnsi="仿宋" w:eastAsia="仿宋" w:cs="仿宋"/>
          <w:b w:val="0"/>
          <w:bCs w:val="0"/>
          <w:color w:val="auto"/>
          <w:sz w:val="24"/>
          <w:szCs w:val="24"/>
          <w:highlight w:val="none"/>
        </w:rPr>
        <w:t>造商为</w:t>
      </w:r>
      <w:r>
        <w:rPr>
          <w:rFonts w:hint="eastAsia" w:ascii="仿宋" w:hAnsi="仿宋" w:eastAsia="仿宋" w:cs="仿宋"/>
          <w:b w:val="0"/>
          <w:bCs w:val="0"/>
          <w:color w:val="auto"/>
          <w:sz w:val="24"/>
          <w:szCs w:val="24"/>
          <w:highlight w:val="none"/>
          <w:u w:val="single"/>
        </w:rPr>
        <w:t>（企业名称）</w:t>
      </w:r>
      <w:r>
        <w:rPr>
          <w:rFonts w:hint="eastAsia" w:ascii="仿宋" w:hAnsi="仿宋" w:eastAsia="仿宋" w:cs="仿宋"/>
          <w:b w:val="0"/>
          <w:bCs w:val="0"/>
          <w:color w:val="auto"/>
          <w:sz w:val="24"/>
          <w:szCs w:val="24"/>
          <w:highlight w:val="none"/>
        </w:rPr>
        <w:t>，从业人员</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rPr>
        <w:tab/>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人，营业收入为</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ab/>
      </w:r>
      <w:r>
        <w:rPr>
          <w:rFonts w:hint="eastAsia" w:ascii="仿宋" w:hAnsi="仿宋" w:eastAsia="仿宋" w:cs="仿宋"/>
          <w:b w:val="0"/>
          <w:bCs w:val="0"/>
          <w:color w:val="auto"/>
          <w:sz w:val="24"/>
          <w:szCs w:val="24"/>
          <w:highlight w:val="none"/>
        </w:rPr>
        <w:t>万元，资产总额为</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万元，属于</w:t>
      </w:r>
      <w:r>
        <w:rPr>
          <w:rFonts w:hint="eastAsia" w:ascii="仿宋" w:hAnsi="仿宋" w:eastAsia="仿宋" w:cs="仿宋"/>
          <w:b w:val="0"/>
          <w:bCs w:val="0"/>
          <w:color w:val="auto"/>
          <w:sz w:val="24"/>
          <w:szCs w:val="24"/>
          <w:highlight w:val="none"/>
          <w:u w:val="single"/>
        </w:rPr>
        <w:t>（中型企业、小型企业、微型企业）</w:t>
      </w:r>
      <w:r>
        <w:rPr>
          <w:rFonts w:hint="eastAsia" w:ascii="仿宋" w:hAnsi="仿宋" w:eastAsia="仿宋" w:cs="仿宋"/>
          <w:b w:val="0"/>
          <w:bCs w:val="0"/>
          <w:color w:val="auto"/>
          <w:sz w:val="24"/>
          <w:szCs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 w:line="360" w:lineRule="auto"/>
        <w:ind w:leftChars="200"/>
        <w:jc w:val="left"/>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 w:line="360" w:lineRule="auto"/>
        <w:ind w:left="0" w:leftChars="0" w:firstLine="480" w:firstLineChars="200"/>
        <w:jc w:val="left"/>
        <w:textAlignment w:val="auto"/>
        <w:outlineLvl w:val="9"/>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以上企业，不属于大企业的分支机构，不存在控股股东为大企业的情形，也不存在与大企业的负责人为同一人的情形。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 w:line="360" w:lineRule="auto"/>
        <w:ind w:leftChars="200"/>
        <w:jc w:val="left"/>
        <w:textAlignment w:val="auto"/>
        <w:outlineLvl w:val="9"/>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本企业对上述声明内容的真实性负责。如有虚假，将依法承担相应责任。</w:t>
      </w:r>
    </w:p>
    <w:p>
      <w:pPr>
        <w:pStyle w:val="59"/>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rPr>
      </w:pPr>
    </w:p>
    <w:p>
      <w:pPr>
        <w:pStyle w:val="59"/>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企业名称（盖章）：</w:t>
      </w:r>
    </w:p>
    <w:p>
      <w:pPr>
        <w:pStyle w:val="59"/>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日期：</w:t>
      </w:r>
    </w:p>
    <w:p>
      <w:pPr>
        <w:pStyle w:val="59"/>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rPr>
      </w:pPr>
    </w:p>
    <w:p>
      <w:pPr>
        <w:pStyle w:val="59"/>
        <w:pageBreakBefore w:val="0"/>
        <w:kinsoku/>
        <w:wordWrap/>
        <w:overflowPunct/>
        <w:topLinePunct w:val="0"/>
        <w:autoSpaceDE/>
        <w:autoSpaceDN/>
        <w:bidi w:val="0"/>
        <w:adjustRightInd/>
        <w:snapToGrid/>
        <w:spacing w:line="360" w:lineRule="auto"/>
        <w:ind w:left="630" w:leftChars="0" w:hanging="630" w:hangingChars="300"/>
        <w:textAlignment w:val="auto"/>
        <w:rPr>
          <w:rFonts w:hint="eastAsia" w:ascii="仿宋" w:hAnsi="仿宋" w:eastAsia="仿宋" w:cs="仿宋"/>
          <w:color w:val="auto"/>
          <w:spacing w:val="-8"/>
          <w:sz w:val="21"/>
          <w:szCs w:val="21"/>
          <w:highlight w:val="none"/>
          <w:lang w:eastAsia="zh-CN"/>
        </w:rPr>
      </w:pPr>
      <w:r>
        <w:rPr>
          <w:rFonts w:hint="eastAsia" w:ascii="仿宋" w:hAnsi="仿宋" w:eastAsia="仿宋" w:cs="仿宋"/>
          <w:color w:val="auto"/>
          <w:sz w:val="21"/>
          <w:szCs w:val="21"/>
          <w:highlight w:val="none"/>
          <w:lang w:eastAsia="zh-CN"/>
        </w:rPr>
        <w:t>备注：</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pacing w:val="-8"/>
          <w:sz w:val="21"/>
          <w:szCs w:val="21"/>
          <w:highlight w:val="none"/>
        </w:rPr>
        <w:t>中小企业参加政府采购活动，应当按照</w:t>
      </w:r>
      <w:r>
        <w:rPr>
          <w:rFonts w:hint="eastAsia" w:ascii="仿宋" w:hAnsi="仿宋" w:eastAsia="仿宋" w:cs="仿宋"/>
          <w:color w:val="auto"/>
          <w:spacing w:val="-8"/>
          <w:sz w:val="21"/>
          <w:szCs w:val="21"/>
          <w:highlight w:val="none"/>
          <w:lang w:eastAsia="zh-CN"/>
        </w:rPr>
        <w:t>《政府采购促进中小企业发展管理办法》（财库〔2020〕46号）</w:t>
      </w:r>
      <w:r>
        <w:rPr>
          <w:rFonts w:hint="eastAsia" w:ascii="仿宋" w:hAnsi="仿宋" w:eastAsia="仿宋" w:cs="仿宋"/>
          <w:color w:val="auto"/>
          <w:spacing w:val="-8"/>
          <w:sz w:val="21"/>
          <w:szCs w:val="21"/>
          <w:highlight w:val="none"/>
        </w:rPr>
        <w:t>规定和《中小企业划型标准规定》（工信部联企业〔2011〕300号），如实填写并</w:t>
      </w:r>
      <w:r>
        <w:rPr>
          <w:rFonts w:hint="eastAsia" w:ascii="仿宋" w:hAnsi="仿宋" w:eastAsia="仿宋" w:cs="仿宋"/>
          <w:color w:val="auto"/>
          <w:spacing w:val="-8"/>
          <w:sz w:val="21"/>
          <w:szCs w:val="21"/>
          <w:highlight w:val="none"/>
          <w:lang w:eastAsia="zh-CN"/>
        </w:rPr>
        <w:t>提交本</w:t>
      </w:r>
      <w:r>
        <w:rPr>
          <w:rFonts w:hint="eastAsia" w:ascii="仿宋" w:hAnsi="仿宋" w:eastAsia="仿宋" w:cs="仿宋"/>
          <w:color w:val="auto"/>
          <w:spacing w:val="-8"/>
          <w:sz w:val="21"/>
          <w:szCs w:val="21"/>
          <w:highlight w:val="none"/>
        </w:rPr>
        <w:t>《中小企业声明函》</w:t>
      </w:r>
      <w:r>
        <w:rPr>
          <w:rFonts w:hint="eastAsia" w:ascii="仿宋" w:hAnsi="仿宋" w:eastAsia="仿宋" w:cs="仿宋"/>
          <w:color w:val="auto"/>
          <w:spacing w:val="-8"/>
          <w:sz w:val="21"/>
          <w:szCs w:val="21"/>
          <w:highlight w:val="none"/>
          <w:lang w:eastAsia="zh-CN"/>
        </w:rPr>
        <w:t>。</w:t>
      </w:r>
    </w:p>
    <w:p>
      <w:pPr>
        <w:pStyle w:val="59"/>
        <w:pageBreakBefore w:val="0"/>
        <w:kinsoku/>
        <w:wordWrap/>
        <w:overflowPunct/>
        <w:topLinePunct w:val="0"/>
        <w:autoSpaceDE/>
        <w:autoSpaceDN/>
        <w:bidi w:val="0"/>
        <w:adjustRightInd/>
        <w:snapToGrid/>
        <w:spacing w:line="360" w:lineRule="auto"/>
        <w:ind w:left="615" w:leftChars="293" w:firstLine="19" w:firstLineChars="10"/>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lang w:val="en-US" w:eastAsia="zh-CN"/>
        </w:rPr>
        <w:t>2、从业人员、营业收入、资产总额填报上一年度数据，无上一年度数据的新成立企业可不填报。</w:t>
      </w:r>
    </w:p>
    <w:p>
      <w:pPr>
        <w:pStyle w:val="59"/>
        <w:pageBreakBefore w:val="0"/>
        <w:kinsoku/>
        <w:wordWrap/>
        <w:overflowPunct/>
        <w:topLinePunct w:val="0"/>
        <w:autoSpaceDE/>
        <w:autoSpaceDN/>
        <w:bidi w:val="0"/>
        <w:adjustRightInd/>
        <w:snapToGrid/>
        <w:spacing w:line="360" w:lineRule="auto"/>
        <w:ind w:left="615" w:leftChars="293" w:firstLine="19" w:firstLineChars="10"/>
        <w:textAlignment w:val="auto"/>
        <w:rPr>
          <w:rFonts w:hint="eastAsia" w:ascii="仿宋" w:hAnsi="仿宋" w:eastAsia="仿宋" w:cs="仿宋"/>
          <w:color w:val="auto"/>
          <w:spacing w:val="-8"/>
          <w:sz w:val="21"/>
          <w:szCs w:val="21"/>
          <w:highlight w:val="none"/>
          <w:lang w:val="en-US" w:eastAsia="zh-CN"/>
        </w:rPr>
      </w:pPr>
      <w:r>
        <w:rPr>
          <w:rFonts w:hint="eastAsia" w:ascii="仿宋" w:hAnsi="仿宋" w:eastAsia="仿宋" w:cs="仿宋"/>
          <w:color w:val="auto"/>
          <w:spacing w:val="-8"/>
          <w:sz w:val="21"/>
          <w:szCs w:val="21"/>
          <w:highlight w:val="none"/>
          <w:lang w:val="en-US" w:eastAsia="zh-CN"/>
        </w:rPr>
        <w:t>3、所投产品的生产厂家为中小企业的，供应商需根据第四章采购内容逐一列出（辅材及数据连接等除外）</w:t>
      </w:r>
    </w:p>
    <w:p>
      <w:pPr>
        <w:pStyle w:val="2"/>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outlineLvl w:val="2"/>
        <w:rPr>
          <w:rFonts w:hint="eastAsia" w:ascii="仿宋" w:hAnsi="仿宋" w:eastAsia="仿宋" w:cs="仿宋"/>
          <w:b/>
          <w:color w:val="auto"/>
          <w:sz w:val="28"/>
          <w:szCs w:val="28"/>
          <w:highlight w:val="none"/>
          <w:lang w:eastAsia="zh-CN"/>
        </w:rPr>
      </w:pPr>
      <w:bookmarkStart w:id="155" w:name="_Toc22829"/>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2</w:t>
      </w:r>
      <w:bookmarkEnd w:id="155"/>
    </w:p>
    <w:p>
      <w:pPr>
        <w:pStyle w:val="2"/>
        <w:rPr>
          <w:rFonts w:hint="eastAsia" w:ascii="仿宋" w:hAnsi="仿宋" w:eastAsia="仿宋" w:cs="仿宋"/>
          <w:color w:val="auto"/>
          <w:highlight w:val="none"/>
        </w:rPr>
      </w:pPr>
    </w:p>
    <w:p>
      <w:pPr>
        <w:spacing w:before="240" w:beforeLines="100" w:after="120" w:afterLines="50"/>
        <w:jc w:val="center"/>
        <w:outlineLvl w:val="2"/>
        <w:rPr>
          <w:rFonts w:hint="eastAsia" w:ascii="仿宋" w:hAnsi="仿宋" w:eastAsia="仿宋" w:cs="仿宋"/>
          <w:b/>
          <w:color w:val="auto"/>
          <w:sz w:val="28"/>
          <w:szCs w:val="28"/>
          <w:highlight w:val="none"/>
          <w:lang w:eastAsia="zh-CN"/>
        </w:rPr>
      </w:pPr>
      <w:bookmarkStart w:id="156" w:name="_Toc25792"/>
      <w:r>
        <w:rPr>
          <w:rFonts w:hint="eastAsia" w:ascii="仿宋" w:hAnsi="仿宋" w:eastAsia="仿宋" w:cs="仿宋"/>
          <w:b/>
          <w:color w:val="auto"/>
          <w:sz w:val="28"/>
          <w:szCs w:val="28"/>
          <w:highlight w:val="none"/>
        </w:rPr>
        <w:t>谈判产品属节能</w:t>
      </w:r>
      <w:r>
        <w:rPr>
          <w:rFonts w:hint="eastAsia" w:ascii="仿宋" w:hAnsi="仿宋" w:eastAsia="仿宋" w:cs="仿宋"/>
          <w:b/>
          <w:color w:val="auto"/>
          <w:sz w:val="28"/>
          <w:szCs w:val="28"/>
          <w:highlight w:val="none"/>
          <w:lang w:eastAsia="zh-CN"/>
        </w:rPr>
        <w:t>、环境标志</w:t>
      </w:r>
      <w:r>
        <w:rPr>
          <w:rFonts w:hint="eastAsia" w:ascii="仿宋" w:hAnsi="仿宋" w:eastAsia="仿宋" w:cs="仿宋"/>
          <w:b/>
          <w:color w:val="auto"/>
          <w:sz w:val="28"/>
          <w:szCs w:val="28"/>
          <w:highlight w:val="none"/>
        </w:rPr>
        <w:t>产品列表</w:t>
      </w:r>
      <w:bookmarkEnd w:id="154"/>
      <w:bookmarkEnd w:id="156"/>
    </w:p>
    <w:p>
      <w:pPr>
        <w:rPr>
          <w:rFonts w:hint="eastAsia" w:ascii="仿宋" w:hAnsi="仿宋" w:eastAsia="仿宋" w:cs="仿宋"/>
          <w:color w:val="auto"/>
          <w:highlight w:val="none"/>
        </w:rPr>
      </w:pPr>
    </w:p>
    <w:p>
      <w:pPr>
        <w:spacing w:before="240" w:beforeLines="100" w:after="120" w:afterLines="50"/>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项目名称：</w:t>
      </w:r>
    </w:p>
    <w:p>
      <w:pPr>
        <w:spacing w:before="240" w:beforeLines="100" w:after="120" w:afterLines="5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项目编号：</w:t>
      </w:r>
    </w:p>
    <w:tbl>
      <w:tblPr>
        <w:tblStyle w:val="27"/>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863"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spacing w:before="120" w:beforeLines="50"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型号和规格</w:t>
            </w:r>
          </w:p>
        </w:tc>
        <w:tc>
          <w:tcPr>
            <w:tcW w:w="1311"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307"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p>
            <w:pPr>
              <w:spacing w:after="120"/>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（元）</w:t>
            </w:r>
          </w:p>
        </w:tc>
        <w:tc>
          <w:tcPr>
            <w:tcW w:w="1313"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总价</w:t>
            </w:r>
          </w:p>
          <w:p>
            <w:pPr>
              <w:spacing w:after="12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（元）</w:t>
            </w:r>
          </w:p>
        </w:tc>
      </w:tr>
      <w:tr>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noWrap w:val="0"/>
            <w:vAlign w:val="center"/>
          </w:tcPr>
          <w:p>
            <w:pPr>
              <w:spacing w:before="240" w:beforeLine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63" w:type="dxa"/>
            <w:tcBorders>
              <w:top w:val="single" w:color="auto" w:sz="6" w:space="0"/>
              <w:left w:val="single" w:color="auto" w:sz="6" w:space="0"/>
              <w:bottom w:val="single" w:color="auto" w:sz="4"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2250" w:type="dxa"/>
            <w:tcBorders>
              <w:top w:val="single" w:color="auto" w:sz="6" w:space="0"/>
              <w:left w:val="single" w:color="auto" w:sz="6" w:space="0"/>
              <w:bottom w:val="single" w:color="auto" w:sz="4"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1311" w:type="dxa"/>
            <w:tcBorders>
              <w:top w:val="single" w:color="auto" w:sz="6" w:space="0"/>
              <w:left w:val="single" w:color="auto" w:sz="6" w:space="0"/>
              <w:bottom w:val="single" w:color="auto" w:sz="4"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1307" w:type="dxa"/>
            <w:tcBorders>
              <w:top w:val="single" w:color="auto" w:sz="6" w:space="0"/>
              <w:left w:val="single" w:color="auto" w:sz="6" w:space="0"/>
              <w:bottom w:val="single" w:color="auto" w:sz="4"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1313" w:type="dxa"/>
            <w:tcBorders>
              <w:top w:val="single" w:color="auto" w:sz="6" w:space="0"/>
              <w:left w:val="single" w:color="auto" w:sz="6" w:space="0"/>
              <w:bottom w:val="single" w:color="auto" w:sz="4"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spacing w:before="240" w:beforeLine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63" w:type="dxa"/>
            <w:tcBorders>
              <w:top w:val="single" w:color="auto" w:sz="4" w:space="0"/>
              <w:left w:val="single" w:color="auto" w:sz="6" w:space="0"/>
              <w:bottom w:val="single" w:color="auto" w:sz="6" w:space="0"/>
              <w:right w:val="single" w:color="auto" w:sz="6" w:space="0"/>
            </w:tcBorders>
            <w:noWrap w:val="0"/>
            <w:vAlign w:val="center"/>
          </w:tcPr>
          <w:p>
            <w:pPr>
              <w:spacing w:before="240" w:beforeLines="100"/>
              <w:jc w:val="center"/>
              <w:rPr>
                <w:rFonts w:hint="eastAsia" w:ascii="仿宋" w:hAnsi="仿宋" w:eastAsia="仿宋" w:cs="仿宋"/>
                <w:color w:val="auto"/>
                <w:sz w:val="24"/>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spacing w:before="240" w:beforeLine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63" w:type="dxa"/>
            <w:tcBorders>
              <w:top w:val="single" w:color="auto" w:sz="4" w:space="0"/>
              <w:left w:val="single" w:color="auto" w:sz="6" w:space="0"/>
              <w:bottom w:val="single" w:color="auto" w:sz="6" w:space="0"/>
              <w:right w:val="single" w:color="auto" w:sz="6" w:space="0"/>
            </w:tcBorders>
            <w:noWrap w:val="0"/>
            <w:vAlign w:val="center"/>
          </w:tcPr>
          <w:p>
            <w:pPr>
              <w:spacing w:before="240" w:beforeLines="100"/>
              <w:jc w:val="center"/>
              <w:rPr>
                <w:rFonts w:hint="eastAsia" w:ascii="仿宋" w:hAnsi="仿宋" w:eastAsia="仿宋" w:cs="仿宋"/>
                <w:color w:val="auto"/>
                <w:sz w:val="24"/>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spacing w:before="240" w:beforeLines="10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p>
        </w:tc>
        <w:tc>
          <w:tcPr>
            <w:tcW w:w="1863"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spacing w:before="240" w:beforeLines="100"/>
              <w:jc w:val="center"/>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rPr>
              <w:t>……</w:t>
            </w:r>
          </w:p>
        </w:tc>
        <w:tc>
          <w:tcPr>
            <w:tcW w:w="1863"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noWrap w:val="0"/>
            <w:vAlign w:val="center"/>
          </w:tcPr>
          <w:p>
            <w:pPr>
              <w:spacing w:before="120" w:beforeLine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                                小写：</w:t>
            </w: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noWrap w:val="0"/>
            <w:vAlign w:val="center"/>
          </w:tcPr>
          <w:p>
            <w:pPr>
              <w:spacing w:before="120" w:beforeLines="50"/>
              <w:jc w:val="center"/>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保留小数点后两位。</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w:t>
      </w:r>
      <w:r>
        <w:rPr>
          <w:rFonts w:hint="eastAsia" w:ascii="仿宋" w:hAnsi="仿宋" w:eastAsia="仿宋" w:cs="仿宋"/>
          <w:color w:val="auto"/>
          <w:sz w:val="24"/>
          <w:szCs w:val="24"/>
          <w:highlight w:val="none"/>
          <w:lang w:eastAsia="zh-CN"/>
        </w:rPr>
        <w:t>供应商提供的属于节能、环境标志产品品目清单中优先采购的产品，须按谈判文件要求提供相关证明材料，不涉及此项内容可不提供此表。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720" w:firstLineChars="3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2、未按上述要求提供、填写的，评</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时不予以考虑。</w:t>
      </w:r>
    </w:p>
    <w:p>
      <w:pPr>
        <w:spacing w:before="100" w:beforeAutospacing="1" w:after="163" w:afterLines="50" w:line="360" w:lineRule="auto"/>
        <w:outlineLvl w:val="2"/>
        <w:rPr>
          <w:rFonts w:hint="eastAsia" w:ascii="仿宋" w:hAnsi="仿宋" w:eastAsia="仿宋" w:cs="仿宋"/>
          <w:b/>
          <w:bCs/>
          <w:color w:val="auto"/>
          <w:spacing w:val="6"/>
          <w:sz w:val="30"/>
          <w:szCs w:val="30"/>
          <w:highlight w:val="none"/>
        </w:rPr>
      </w:pPr>
      <w:r>
        <w:rPr>
          <w:rFonts w:hint="eastAsia" w:ascii="仿宋" w:hAnsi="仿宋" w:eastAsia="仿宋" w:cs="仿宋"/>
          <w:color w:val="auto"/>
          <w:sz w:val="24"/>
          <w:szCs w:val="24"/>
          <w:highlight w:val="none"/>
        </w:rPr>
        <w:br w:type="page"/>
      </w:r>
      <w:bookmarkStart w:id="157" w:name="_Toc32291"/>
      <w:r>
        <w:rPr>
          <w:rFonts w:hint="eastAsia" w:ascii="仿宋" w:hAnsi="仿宋" w:eastAsia="仿宋" w:cs="仿宋"/>
          <w:b/>
          <w:bCs/>
          <w:color w:val="auto"/>
          <w:spacing w:val="6"/>
          <w:sz w:val="30"/>
          <w:szCs w:val="30"/>
          <w:highlight w:val="none"/>
        </w:rPr>
        <w:t>附件</w:t>
      </w:r>
      <w:r>
        <w:rPr>
          <w:rFonts w:hint="eastAsia" w:ascii="仿宋" w:hAnsi="仿宋" w:eastAsia="仿宋" w:cs="仿宋"/>
          <w:b/>
          <w:bCs/>
          <w:color w:val="auto"/>
          <w:spacing w:val="6"/>
          <w:sz w:val="30"/>
          <w:szCs w:val="30"/>
          <w:highlight w:val="none"/>
          <w:lang w:val="en-US" w:eastAsia="zh-CN"/>
        </w:rPr>
        <w:t>3</w:t>
      </w:r>
      <w:bookmarkEnd w:id="157"/>
    </w:p>
    <w:p>
      <w:pPr>
        <w:spacing w:line="588" w:lineRule="exact"/>
        <w:jc w:val="center"/>
        <w:outlineLvl w:val="2"/>
        <w:rPr>
          <w:rFonts w:hint="eastAsia" w:ascii="仿宋" w:hAnsi="仿宋" w:eastAsia="仿宋" w:cs="仿宋"/>
          <w:b/>
          <w:color w:val="auto"/>
          <w:spacing w:val="6"/>
          <w:sz w:val="32"/>
          <w:szCs w:val="32"/>
          <w:highlight w:val="none"/>
        </w:rPr>
      </w:pPr>
      <w:bookmarkStart w:id="158" w:name="_Toc12051"/>
      <w:bookmarkStart w:id="159" w:name="OLE_LINK13"/>
      <w:r>
        <w:rPr>
          <w:rFonts w:hint="eastAsia" w:ascii="仿宋" w:hAnsi="仿宋" w:eastAsia="仿宋" w:cs="仿宋"/>
          <w:b/>
          <w:color w:val="auto"/>
          <w:spacing w:val="6"/>
          <w:sz w:val="32"/>
          <w:szCs w:val="32"/>
          <w:highlight w:val="none"/>
        </w:rPr>
        <w:t>残疾人福利性单位声明函</w:t>
      </w:r>
      <w:bookmarkEnd w:id="158"/>
    </w:p>
    <w:bookmarkEnd w:id="159"/>
    <w:p>
      <w:pPr>
        <w:spacing w:line="588" w:lineRule="exact"/>
        <w:rPr>
          <w:rFonts w:hint="eastAsia" w:ascii="仿宋" w:hAnsi="仿宋" w:eastAsia="仿宋" w:cs="仿宋"/>
          <w:b/>
          <w:color w:val="auto"/>
          <w:spacing w:val="6"/>
          <w:sz w:val="30"/>
          <w:szCs w:val="30"/>
          <w:highlight w:val="none"/>
        </w:rPr>
      </w:pPr>
    </w:p>
    <w:p>
      <w:pPr>
        <w:spacing w:line="588"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pPr>
        <w:spacing w:line="588" w:lineRule="exact"/>
        <w:ind w:firstLine="504" w:firstLineChars="200"/>
        <w:rPr>
          <w:rFonts w:hint="eastAsia" w:ascii="仿宋" w:hAnsi="仿宋" w:eastAsia="仿宋" w:cs="仿宋"/>
          <w:color w:val="auto"/>
          <w:spacing w:val="6"/>
          <w:sz w:val="24"/>
          <w:szCs w:val="24"/>
          <w:highlight w:val="none"/>
        </w:rPr>
      </w:pPr>
    </w:p>
    <w:p>
      <w:pPr>
        <w:spacing w:line="588" w:lineRule="exact"/>
        <w:ind w:firstLine="504" w:firstLineChars="200"/>
        <w:rPr>
          <w:rFonts w:hint="eastAsia" w:ascii="仿宋" w:hAnsi="仿宋" w:eastAsia="仿宋" w:cs="仿宋"/>
          <w:color w:val="auto"/>
          <w:spacing w:val="6"/>
          <w:sz w:val="24"/>
          <w:szCs w:val="24"/>
          <w:highlight w:val="none"/>
        </w:rPr>
      </w:pPr>
    </w:p>
    <w:p>
      <w:pPr>
        <w:spacing w:line="588" w:lineRule="exact"/>
        <w:ind w:firstLine="504" w:firstLineChars="200"/>
        <w:rPr>
          <w:rFonts w:hint="eastAsia" w:ascii="仿宋" w:hAnsi="仿宋" w:eastAsia="仿宋" w:cs="仿宋"/>
          <w:color w:val="auto"/>
          <w:spacing w:val="6"/>
          <w:sz w:val="24"/>
          <w:szCs w:val="24"/>
          <w:highlight w:val="none"/>
        </w:rPr>
      </w:pPr>
    </w:p>
    <w:p>
      <w:pPr>
        <w:spacing w:line="588" w:lineRule="exact"/>
        <w:ind w:firstLine="504" w:firstLineChars="200"/>
        <w:rPr>
          <w:rFonts w:hint="eastAsia" w:ascii="仿宋" w:hAnsi="仿宋" w:eastAsia="仿宋" w:cs="仿宋"/>
          <w:color w:val="auto"/>
          <w:spacing w:val="6"/>
          <w:sz w:val="24"/>
          <w:szCs w:val="24"/>
          <w:highlight w:val="none"/>
        </w:rPr>
      </w:pPr>
    </w:p>
    <w:p>
      <w:pPr>
        <w:tabs>
          <w:tab w:val="left" w:pos="4860"/>
        </w:tabs>
        <w:spacing w:line="588"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单位名称（盖章）：</w:t>
      </w:r>
    </w:p>
    <w:p>
      <w:pPr>
        <w:tabs>
          <w:tab w:val="left" w:pos="4860"/>
        </w:tabs>
        <w:spacing w:line="588"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rPr>
        <w:t xml:space="preserve">日  </w:t>
      </w: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rPr>
        <w:t>期：</w:t>
      </w:r>
    </w:p>
    <w:p>
      <w:pPr>
        <w:tabs>
          <w:tab w:val="left" w:pos="1620"/>
          <w:tab w:val="left" w:pos="1800"/>
        </w:tabs>
        <w:spacing w:line="440" w:lineRule="exact"/>
        <w:ind w:right="540" w:rightChars="257"/>
        <w:rPr>
          <w:rFonts w:hint="eastAsia" w:ascii="仿宋" w:hAnsi="仿宋" w:eastAsia="仿宋" w:cs="仿宋"/>
          <w:color w:val="auto"/>
          <w:highlight w:val="none"/>
        </w:rPr>
      </w:pPr>
    </w:p>
    <w:p>
      <w:pPr>
        <w:tabs>
          <w:tab w:val="left" w:pos="1620"/>
          <w:tab w:val="left" w:pos="1800"/>
        </w:tabs>
        <w:spacing w:line="440" w:lineRule="exact"/>
        <w:ind w:right="540" w:rightChars="257"/>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备注：</w:t>
      </w:r>
      <w:r>
        <w:rPr>
          <w:rFonts w:hint="eastAsia" w:ascii="仿宋" w:hAnsi="仿宋" w:eastAsia="仿宋" w:cs="仿宋"/>
          <w:color w:val="auto"/>
          <w:sz w:val="24"/>
          <w:szCs w:val="24"/>
          <w:highlight w:val="none"/>
          <w:lang w:eastAsia="zh-CN"/>
        </w:rPr>
        <w:t>符合条件的残疾人福利性单位在参加政府采购活动时，应当提供《残疾人福利性单位声明函》，并对声明的真实性负责；非残疾人福利性单位无需提供。</w:t>
      </w:r>
    </w:p>
    <w:p>
      <w:pPr>
        <w:rPr>
          <w:rFonts w:hint="eastAsia" w:ascii="仿宋" w:hAnsi="仿宋" w:eastAsia="仿宋" w:cs="仿宋"/>
          <w:b/>
          <w:color w:val="auto"/>
          <w:kern w:val="0"/>
          <w:sz w:val="28"/>
          <w:szCs w:val="28"/>
          <w:highlight w:val="none"/>
          <w:lang w:eastAsia="en-US"/>
        </w:rPr>
      </w:pPr>
    </w:p>
    <w:p>
      <w:pPr>
        <w:rPr>
          <w:rFonts w:hint="eastAsia" w:ascii="仿宋" w:hAnsi="仿宋" w:eastAsia="仿宋" w:cs="仿宋"/>
          <w:b/>
          <w:color w:val="auto"/>
          <w:kern w:val="0"/>
          <w:sz w:val="28"/>
          <w:szCs w:val="28"/>
          <w:highlight w:val="none"/>
          <w:lang w:eastAsia="en-US"/>
        </w:rPr>
      </w:pPr>
    </w:p>
    <w:p>
      <w:pPr>
        <w:rPr>
          <w:rFonts w:hint="eastAsia" w:ascii="仿宋" w:hAnsi="仿宋" w:eastAsia="仿宋" w:cs="仿宋"/>
          <w:b/>
          <w:color w:val="auto"/>
          <w:kern w:val="0"/>
          <w:sz w:val="28"/>
          <w:szCs w:val="28"/>
          <w:highlight w:val="none"/>
          <w:lang w:eastAsia="en-US"/>
        </w:rPr>
      </w:pPr>
    </w:p>
    <w:p>
      <w:pPr>
        <w:rPr>
          <w:rFonts w:hint="eastAsia" w:ascii="仿宋" w:hAnsi="仿宋" w:eastAsia="仿宋" w:cs="仿宋"/>
          <w:b/>
          <w:color w:val="auto"/>
          <w:kern w:val="0"/>
          <w:sz w:val="28"/>
          <w:szCs w:val="28"/>
          <w:highlight w:val="none"/>
          <w:lang w:eastAsia="en-US"/>
        </w:rPr>
      </w:pPr>
    </w:p>
    <w:p>
      <w:pPr>
        <w:rPr>
          <w:rFonts w:hint="eastAsia" w:ascii="仿宋" w:hAnsi="仿宋" w:eastAsia="仿宋" w:cs="仿宋"/>
          <w:b/>
          <w:color w:val="auto"/>
          <w:kern w:val="0"/>
          <w:sz w:val="28"/>
          <w:szCs w:val="28"/>
          <w:highlight w:val="none"/>
          <w:lang w:eastAsia="en-US"/>
        </w:rPr>
      </w:pPr>
    </w:p>
    <w:p>
      <w:pPr>
        <w:rPr>
          <w:rFonts w:hint="eastAsia" w:ascii="仿宋" w:hAnsi="仿宋" w:eastAsia="仿宋" w:cs="仿宋"/>
          <w:b/>
          <w:color w:val="auto"/>
          <w:kern w:val="0"/>
          <w:sz w:val="28"/>
          <w:szCs w:val="28"/>
          <w:highlight w:val="none"/>
          <w:lang w:eastAsia="en-US"/>
        </w:rPr>
      </w:pPr>
    </w:p>
    <w:p>
      <w:pPr>
        <w:rPr>
          <w:rFonts w:hint="eastAsia" w:ascii="仿宋" w:hAnsi="仿宋" w:eastAsia="仿宋" w:cs="仿宋"/>
          <w:b/>
          <w:color w:val="auto"/>
          <w:kern w:val="0"/>
          <w:sz w:val="28"/>
          <w:szCs w:val="28"/>
          <w:highlight w:val="none"/>
          <w:lang w:eastAsia="en-US"/>
        </w:rPr>
      </w:pPr>
    </w:p>
    <w:p>
      <w:pPr>
        <w:rPr>
          <w:rFonts w:hint="eastAsia" w:ascii="仿宋" w:hAnsi="仿宋" w:eastAsia="仿宋" w:cs="仿宋"/>
          <w:b/>
          <w:color w:val="auto"/>
          <w:kern w:val="0"/>
          <w:sz w:val="28"/>
          <w:szCs w:val="28"/>
          <w:highlight w:val="none"/>
          <w:lang w:eastAsia="en-US"/>
        </w:rPr>
      </w:pPr>
    </w:p>
    <w:p>
      <w:pPr>
        <w:rPr>
          <w:rFonts w:hint="eastAsia" w:ascii="仿宋" w:hAnsi="仿宋" w:eastAsia="仿宋" w:cs="仿宋"/>
          <w:b/>
          <w:color w:val="auto"/>
          <w:kern w:val="0"/>
          <w:sz w:val="28"/>
          <w:szCs w:val="28"/>
          <w:highlight w:val="none"/>
          <w:lang w:eastAsia="en-US"/>
        </w:rPr>
      </w:pPr>
    </w:p>
    <w:p>
      <w:pPr>
        <w:rPr>
          <w:rFonts w:hint="eastAsia" w:ascii="仿宋" w:hAnsi="仿宋" w:eastAsia="仿宋" w:cs="仿宋"/>
          <w:b/>
          <w:color w:val="auto"/>
          <w:kern w:val="0"/>
          <w:sz w:val="28"/>
          <w:szCs w:val="28"/>
          <w:highlight w:val="none"/>
          <w:lang w:eastAsia="en-US"/>
        </w:rPr>
      </w:pPr>
    </w:p>
    <w:bookmarkEnd w:id="16"/>
    <w:bookmarkEnd w:id="17"/>
    <w:bookmarkEnd w:id="18"/>
    <w:bookmarkEnd w:id="19"/>
    <w:bookmarkEnd w:id="20"/>
    <w:p>
      <w:pPr>
        <w:pStyle w:val="2"/>
        <w:outlineLvl w:val="2"/>
        <w:rPr>
          <w:rFonts w:hint="eastAsia" w:ascii="仿宋" w:hAnsi="仿宋" w:eastAsia="仿宋" w:cs="仿宋"/>
          <w:b/>
          <w:bCs/>
          <w:color w:val="auto"/>
          <w:spacing w:val="6"/>
          <w:kern w:val="0"/>
          <w:sz w:val="30"/>
          <w:szCs w:val="30"/>
          <w:highlight w:val="none"/>
          <w:lang w:val="en-US" w:eastAsia="zh-CN" w:bidi="ar-SA"/>
        </w:rPr>
      </w:pPr>
      <w:bookmarkStart w:id="160" w:name="_Toc20652"/>
      <w:r>
        <w:rPr>
          <w:rFonts w:hint="eastAsia" w:ascii="仿宋" w:hAnsi="仿宋" w:eastAsia="仿宋" w:cs="仿宋"/>
          <w:b/>
          <w:bCs/>
          <w:color w:val="auto"/>
          <w:spacing w:val="6"/>
          <w:kern w:val="0"/>
          <w:sz w:val="30"/>
          <w:szCs w:val="30"/>
          <w:highlight w:val="none"/>
          <w:lang w:val="en-US" w:eastAsia="zh-CN" w:bidi="ar-SA"/>
        </w:rPr>
        <w:t>附件4</w:t>
      </w:r>
      <w:bookmarkEnd w:id="160"/>
    </w:p>
    <w:p>
      <w:pPr>
        <w:spacing w:line="500" w:lineRule="exact"/>
        <w:ind w:firstLine="643" w:firstLineChars="200"/>
        <w:jc w:val="center"/>
        <w:outlineLvl w:val="2"/>
        <w:rPr>
          <w:rFonts w:hint="eastAsia" w:ascii="仿宋" w:hAnsi="仿宋" w:eastAsia="仿宋" w:cs="仿宋"/>
          <w:b/>
          <w:bCs/>
          <w:color w:val="auto"/>
          <w:sz w:val="32"/>
          <w:szCs w:val="32"/>
          <w:highlight w:val="none"/>
          <w:lang w:eastAsia="zh-CN"/>
        </w:rPr>
      </w:pPr>
      <w:bookmarkStart w:id="161" w:name="_Toc2963"/>
      <w:r>
        <w:rPr>
          <w:rFonts w:hint="eastAsia" w:ascii="仿宋" w:hAnsi="仿宋" w:eastAsia="仿宋" w:cs="仿宋"/>
          <w:b/>
          <w:bCs/>
          <w:color w:val="auto"/>
          <w:sz w:val="32"/>
          <w:szCs w:val="32"/>
          <w:highlight w:val="none"/>
          <w:lang w:eastAsia="zh-CN"/>
        </w:rPr>
        <w:t>监狱企业证明文件</w:t>
      </w:r>
      <w:bookmarkEnd w:id="161"/>
    </w:p>
    <w:p>
      <w:pPr>
        <w:pStyle w:val="2"/>
        <w:rPr>
          <w:rFonts w:hint="eastAsia" w:ascii="仿宋" w:hAnsi="仿宋" w:eastAsia="仿宋" w:cs="仿宋"/>
          <w:color w:val="auto"/>
          <w:highlight w:val="none"/>
          <w:lang w:eastAsia="zh-CN"/>
        </w:rPr>
      </w:pPr>
    </w:p>
    <w:p>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监狱企业参加政府采购活动时，应当提供由省级以上监狱管理局、戒毒管理局（含新疆生产建设兵团）出具的属于监狱企业的证明文件</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highlight w:val="none"/>
          <w:lang w:eastAsia="zh-CN"/>
        </w:rPr>
        <w:t>非监狱企业无需提供</w:t>
      </w:r>
      <w:r>
        <w:rPr>
          <w:rFonts w:hint="eastAsia" w:ascii="仿宋" w:hAnsi="仿宋" w:eastAsia="仿宋" w:cs="仿宋"/>
          <w:b/>
          <w:bCs/>
          <w:color w:val="auto"/>
          <w:sz w:val="24"/>
          <w:szCs w:val="24"/>
          <w:highlight w:val="none"/>
        </w:rPr>
        <w:t>。</w:t>
      </w:r>
    </w:p>
    <w:p>
      <w:pPr>
        <w:spacing w:line="360" w:lineRule="auto"/>
        <w:ind w:right="640"/>
        <w:rPr>
          <w:rFonts w:hint="eastAsia" w:ascii="仿宋" w:hAnsi="仿宋" w:eastAsia="仿宋" w:cs="仿宋"/>
          <w:b/>
          <w:bCs/>
          <w:color w:val="auto"/>
          <w:sz w:val="24"/>
          <w:szCs w:val="24"/>
          <w:highlight w:val="none"/>
        </w:rPr>
      </w:pPr>
    </w:p>
    <w:p>
      <w:pPr>
        <w:spacing w:line="360" w:lineRule="auto"/>
        <w:ind w:right="640"/>
        <w:rPr>
          <w:rFonts w:hint="eastAsia" w:ascii="仿宋" w:hAnsi="仿宋" w:eastAsia="仿宋" w:cs="仿宋"/>
          <w:color w:val="auto"/>
          <w:sz w:val="24"/>
          <w:szCs w:val="24"/>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lang w:eastAsia="zh-CN"/>
        </w:rPr>
      </w:pPr>
    </w:p>
    <w:p>
      <w:pPr>
        <w:spacing w:line="360" w:lineRule="auto"/>
        <w:ind w:right="640"/>
        <w:rPr>
          <w:rFonts w:hint="eastAsia" w:ascii="仿宋" w:hAnsi="仿宋" w:eastAsia="仿宋" w:cs="仿宋"/>
          <w:color w:val="auto"/>
          <w:sz w:val="24"/>
          <w:szCs w:val="24"/>
          <w:highlight w:val="none"/>
        </w:rPr>
      </w:pPr>
    </w:p>
    <w:sectPr>
      <w:headerReference r:id="rId7" w:type="default"/>
      <w:pgSz w:w="11907" w:h="16840"/>
      <w:pgMar w:top="1418" w:right="1417" w:bottom="1418" w:left="1417" w:header="851" w:footer="85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仿宋" w:hAnsi="仿宋" w:eastAsia="仿宋" w:cs="仿宋"/>
        <w:b w:val="0"/>
        <w:bCs/>
        <w:lang w:eastAsia="zh-CN"/>
      </w:rPr>
    </w:pPr>
    <w:r>
      <w:rPr>
        <w:rFonts w:hint="eastAsia" w:ascii="仿宋" w:hAnsi="仿宋" w:eastAsia="仿宋" w:cs="仿宋"/>
        <w:b w:val="0"/>
        <w:bCs/>
        <w:sz w:val="18"/>
        <w:szCs w:val="18"/>
        <w:lang w:eastAsia="zh-CN"/>
      </w:rPr>
      <w:t>华夏国际项目管理有限公司</w:t>
    </w:r>
    <w:r>
      <w:rPr>
        <w:rFonts w:hint="eastAsia" w:ascii="仿宋" w:hAnsi="仿宋" w:eastAsia="仿宋" w:cs="仿宋"/>
        <w:b w:val="0"/>
        <w:bCs/>
        <w:sz w:val="18"/>
        <w:szCs w:val="18"/>
        <w:lang w:val="en-US" w:eastAsia="zh-CN"/>
      </w:rPr>
      <w:t xml:space="preserve">                               </w:t>
    </w:r>
    <w:r>
      <w:rPr>
        <w:rFonts w:hint="eastAsia" w:ascii="仿宋" w:hAnsi="仿宋" w:eastAsia="仿宋" w:cs="仿宋"/>
        <w:b w:val="0"/>
        <w:bCs/>
        <w:sz w:val="18"/>
        <w:szCs w:val="18"/>
        <w:lang w:eastAsia="zh-CN"/>
      </w:rPr>
      <w:t>地址：西安市高新区科技五路8号数字大厦11楼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ascii="仿宋" w:hAnsi="仿宋" w:eastAsia="仿宋" w:cs="仿宋"/>
        <w:szCs w:val="18"/>
        <w:lang w:eastAsia="zh-CN"/>
      </w:rPr>
    </w:pPr>
    <w:r>
      <w:rPr>
        <w:rFonts w:hint="eastAsia" w:ascii="仿宋" w:hAnsi="仿宋" w:eastAsia="仿宋" w:cs="仿宋"/>
        <w:sz w:val="18"/>
        <w:szCs w:val="18"/>
      </w:rPr>
      <mc:AlternateContent>
        <mc:Choice Requires="wps">
          <w:drawing>
            <wp:anchor distT="0" distB="0" distL="114300" distR="114300" simplePos="0" relativeHeight="251659264" behindDoc="0" locked="0" layoutInCell="1" allowOverlap="1">
              <wp:simplePos x="0" y="0"/>
              <wp:positionH relativeFrom="margin">
                <wp:posOffset>2655570</wp:posOffset>
              </wp:positionH>
              <wp:positionV relativeFrom="paragraph">
                <wp:posOffset>9525</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文本框 1032" o:spid="_x0000_s1026" o:spt="202" type="#_x0000_t202" style="position:absolute;left:0pt;margin-left:209.1pt;margin-top:0.75pt;height:144pt;width:144pt;mso-position-horizontal-relative:margin;mso-wrap-style:none;z-index:251659264;mso-width-relative:page;mso-height-relative:page;" filled="f" stroked="f" coordsize="21600,21600" o:gfxdata="UEsDBAoAAAAAAIdO4kAAAAAAAAAAAAAAAAAEAAAAZHJzL1BLAwQUAAAACACHTuJA4WjZjNUAAAAJ&#10;AQAADwAAAGRycy9kb3ducmV2LnhtbE2Py07DMBBF90j8gzWV2FE7EW1DiNNFJTbsKAiJnRtP46h+&#10;RLabJn/PsILl1bm6c6bZz86yCWMagpdQrAUw9F3Qg+8lfH68PlbAUlZeKxs8Slgwwb69v2tUrcPN&#10;v+N0zD2jEZ9qJcHkPNacp86gU2kdRvTEziE6lSnGnuuobjTuLC+F2HKnBk8XjBrxYLC7HK9Owm7+&#10;CjgmPOD3eeqiGZbKvi1SPqwK8QIs45z/yvCrT+rQktMpXL1OzEp4KqqSqgQ2wIjvxJbySUJZPW+A&#10;tw3//0H7A1BLAwQUAAAACACHTuJAni+GxMsBAACcAwAADgAAAGRycy9lMm9Eb2MueG1srVPNjtMw&#10;EL4j8Q6W79RpkVAVNV3tqlqEhABp4QFcx24s+U8et0lfAN6AExfuPFefg7GTdGG57IGLM54ZfzPf&#10;N5PNzWANOckI2ruGLhcVJdIJ32p3aOiXz/ev1pRA4q7lxjvZ0LMEerN9+WLTh1qufOdNKyNBEAd1&#10;HxrapRRqxkB00nJY+CAdBpWPlie8xgNrI+8R3Rq2qqo3rPexDdELCYDe3RikE2J8DqBXSgu58+Jo&#10;pUsjapSGJ6QEnQ5At6VbpaRIH5UCmYhpKDJN5cQiaO/zybYbXh8iD50WUwv8OS084WS5dlj0CrXj&#10;iZNj1P9AWS2iB6/SQnjLRiJFEWSxrJ5o89DxIAsXlBrCVXT4f7Diw+lTJLrFTaDEcYsDv3z/dvnx&#10;6/LzK1lWr1dZoT5AjYkPAVPTcOeHnD35AZ2Z+KCizV+kRDCO+p6v+sohEZEfrVfrdYUhgbH5gjjs&#10;8XmIkN5Kb0k2GhpxgEVXfnoPaUydU3I15++1MejntXF/ORAze1jufewxW2nYD1Pje9+ekU+Ps2+o&#10;w1WnxLxzKG1ek9mIs7GfjWOI+tCVPcr1INweEzZRessVRtipMA6tsJsWLG/Fn/eS9fhTb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WjZjNUAAAAJAQAADwAAAAAAAAABACAAAAAiAAAAZHJzL2Rv&#10;d25yZXYueG1sUEsBAhQAFAAAAAgAh07iQJ4vhsTLAQAAnAMAAA4AAAAAAAAAAQAgAAAAJA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ascii="仿宋" w:hAnsi="仿宋" w:eastAsia="仿宋" w:cs="仿宋"/>
        <w:sz w:val="18"/>
        <w:szCs w:val="18"/>
        <w:lang w:eastAsia="zh-CN"/>
      </w:rPr>
      <w:t>华夏国际项目管理</w:t>
    </w:r>
    <w:r>
      <w:rPr>
        <w:rFonts w:hint="eastAsia" w:ascii="仿宋" w:hAnsi="仿宋" w:eastAsia="仿宋" w:cs="仿宋"/>
        <w:sz w:val="18"/>
        <w:szCs w:val="18"/>
      </w:rPr>
      <w:t>有限公司</w:t>
    </w:r>
    <w:r>
      <w:rPr>
        <w:rFonts w:hint="eastAsia" w:ascii="仿宋" w:hAnsi="仿宋" w:eastAsia="仿宋" w:cs="仿宋"/>
        <w:sz w:val="18"/>
        <w:szCs w:val="18"/>
        <w:lang w:val="en-US" w:eastAsia="zh-CN"/>
      </w:rPr>
      <w:t xml:space="preserve">                               </w:t>
    </w:r>
    <w:r>
      <w:rPr>
        <w:rFonts w:hint="eastAsia" w:ascii="仿宋" w:hAnsi="仿宋" w:eastAsia="仿宋" w:cs="仿宋"/>
        <w:sz w:val="18"/>
        <w:szCs w:val="18"/>
        <w:lang w:eastAsia="zh-CN"/>
      </w:rPr>
      <w:t>地</w:t>
    </w:r>
    <w:r>
      <w:rPr>
        <w:rFonts w:hint="eastAsia" w:ascii="仿宋" w:hAnsi="仿宋" w:eastAsia="仿宋" w:cs="仿宋"/>
        <w:sz w:val="18"/>
        <w:szCs w:val="18"/>
        <w:highlight w:val="none"/>
        <w:lang w:eastAsia="zh-CN"/>
      </w:rPr>
      <w:t>址：西安市高新区科技五路8号数字大厦11楼</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 w:hAnsi="仿宋" w:eastAsia="仿宋" w:cs="仿宋"/>
        <w:u w:val="single"/>
      </w:rPr>
    </w:pPr>
    <w:r>
      <w:rPr>
        <w:rFonts w:hint="eastAsia" w:ascii="仿宋" w:hAnsi="仿宋" w:eastAsia="仿宋" w:cs="仿宋"/>
        <w:color w:val="auto"/>
        <w:sz w:val="18"/>
        <w:szCs w:val="18"/>
        <w:highlight w:val="none"/>
        <w:u w:val="single"/>
        <w:lang w:eastAsia="zh-CN"/>
      </w:rPr>
      <w:t>西安市莲湖区市民中心视讯采集数据中心升级项目</w:t>
    </w:r>
    <w:r>
      <w:rPr>
        <w:rFonts w:hint="eastAsia" w:ascii="仿宋" w:hAnsi="仿宋" w:eastAsia="仿宋" w:cs="仿宋"/>
        <w:color w:val="auto"/>
        <w:sz w:val="18"/>
        <w:szCs w:val="18"/>
        <w:u w:val="single"/>
      </w:rPr>
      <w:t xml:space="preserve">   </w:t>
    </w:r>
    <w:r>
      <w:rPr>
        <w:rFonts w:hint="eastAsia" w:ascii="仿宋" w:hAnsi="仿宋" w:eastAsia="仿宋" w:cs="仿宋"/>
        <w:color w:val="auto"/>
        <w:sz w:val="18"/>
        <w:szCs w:val="18"/>
        <w:u w:val="single"/>
        <w:lang w:val="en-US" w:eastAsia="zh-CN"/>
      </w:rPr>
      <w:t xml:space="preserve">    </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 xml:space="preserve">         </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 xml:space="preserve">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left"/>
      <w:rPr>
        <w:rFonts w:hint="eastAsia" w:ascii="宋体" w:hAnsi="宋体"/>
      </w:rPr>
    </w:pPr>
    <w:bookmarkStart w:id="162" w:name="OLE_LINK16"/>
    <w:r>
      <w:rPr>
        <w:rFonts w:hint="eastAsia" w:ascii="仿宋" w:hAnsi="仿宋" w:eastAsia="仿宋" w:cs="仿宋"/>
        <w:color w:val="auto"/>
        <w:sz w:val="18"/>
        <w:szCs w:val="18"/>
        <w:highlight w:val="none"/>
        <w:lang w:eastAsia="zh-CN"/>
      </w:rPr>
      <w:t>西安市莲湖区市民中心视讯采集数据中心升级项目</w:t>
    </w:r>
    <w:r>
      <w:rPr>
        <w:rFonts w:hint="eastAsia" w:ascii="仿宋" w:hAnsi="仿宋" w:eastAsia="仿宋" w:cs="仿宋"/>
        <w:color w:val="auto"/>
        <w:sz w:val="18"/>
        <w:szCs w:val="18"/>
      </w:rPr>
      <w:t xml:space="preserve">     </w:t>
    </w: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竞争性谈判文件</w:t>
    </w:r>
    <w:bookmarkEnd w:id="162"/>
    <w:r>
      <w:rPr>
        <w:rFonts w:hint="eastAsia" w:ascii="宋体" w:hAnsi="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left"/>
      <w:rPr>
        <w:rFonts w:hint="eastAsia" w:ascii="仿宋" w:hAnsi="仿宋" w:eastAsia="仿宋" w:cs="仿宋"/>
        <w:sz w:val="18"/>
        <w:szCs w:val="18"/>
      </w:rPr>
    </w:pPr>
    <w:r>
      <w:rPr>
        <w:rFonts w:hint="eastAsia" w:ascii="仿宋" w:hAnsi="仿宋" w:eastAsia="仿宋" w:cs="仿宋"/>
        <w:color w:val="auto"/>
        <w:sz w:val="18"/>
        <w:szCs w:val="18"/>
        <w:highlight w:val="none"/>
        <w:lang w:eastAsia="zh-CN"/>
      </w:rPr>
      <w:t>西安市莲湖区市民中心视讯采集数据中心升级项目</w:t>
    </w:r>
    <w:r>
      <w:rPr>
        <w:rFonts w:hint="eastAsia" w:ascii="仿宋" w:hAnsi="仿宋" w:eastAsia="仿宋" w:cs="仿宋"/>
        <w:color w:val="auto"/>
        <w:sz w:val="18"/>
        <w:szCs w:val="18"/>
      </w:rPr>
      <w:t xml:space="preserve">        </w:t>
    </w: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 xml:space="preserve">          竞争性</w:t>
    </w:r>
    <w:r>
      <w:rPr>
        <w:rFonts w:hint="eastAsia" w:ascii="仿宋" w:hAnsi="仿宋" w:eastAsia="仿宋" w:cs="仿宋"/>
        <w:sz w:val="18"/>
        <w:szCs w:val="18"/>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C12FA"/>
    <w:multiLevelType w:val="singleLevel"/>
    <w:tmpl w:val="A4DC12FA"/>
    <w:lvl w:ilvl="0" w:tentative="0">
      <w:start w:val="2"/>
      <w:numFmt w:val="chineseCounting"/>
      <w:suff w:val="nothing"/>
      <w:lvlText w:val="（%1）"/>
      <w:lvlJc w:val="left"/>
      <w:rPr>
        <w:rFonts w:hint="eastAsia"/>
      </w:rPr>
    </w:lvl>
  </w:abstractNum>
  <w:abstractNum w:abstractNumId="1">
    <w:nsid w:val="E0724B35"/>
    <w:multiLevelType w:val="singleLevel"/>
    <w:tmpl w:val="E0724B35"/>
    <w:lvl w:ilvl="0" w:tentative="0">
      <w:start w:val="6"/>
      <w:numFmt w:val="chineseCounting"/>
      <w:suff w:val="nothing"/>
      <w:lvlText w:val="%1、"/>
      <w:lvlJc w:val="left"/>
      <w:rPr>
        <w:rFonts w:hint="eastAsia"/>
      </w:rPr>
    </w:lvl>
  </w:abstractNum>
  <w:abstractNum w:abstractNumId="2">
    <w:nsid w:val="ECF719A9"/>
    <w:multiLevelType w:val="singleLevel"/>
    <w:tmpl w:val="ECF719A9"/>
    <w:lvl w:ilvl="0" w:tentative="0">
      <w:start w:val="35"/>
      <w:numFmt w:val="decimal"/>
      <w:lvlText w:val="%1."/>
      <w:lvlJc w:val="left"/>
      <w:pPr>
        <w:tabs>
          <w:tab w:val="left" w:pos="312"/>
        </w:tabs>
      </w:pPr>
    </w:lvl>
  </w:abstractNum>
  <w:abstractNum w:abstractNumId="3">
    <w:nsid w:val="F2291F14"/>
    <w:multiLevelType w:val="singleLevel"/>
    <w:tmpl w:val="F2291F14"/>
    <w:lvl w:ilvl="0" w:tentative="0">
      <w:start w:val="1"/>
      <w:numFmt w:val="decimal"/>
      <w:lvlText w:val="(%1)"/>
      <w:lvlJc w:val="left"/>
      <w:pPr>
        <w:tabs>
          <w:tab w:val="left" w:pos="420"/>
        </w:tabs>
        <w:ind w:left="0" w:firstLine="0"/>
      </w:pPr>
      <w:rPr>
        <w:rFonts w:hint="default"/>
      </w:rPr>
    </w:lvl>
  </w:abstractNum>
  <w:abstractNum w:abstractNumId="4">
    <w:nsid w:val="0000000C"/>
    <w:multiLevelType w:val="singleLevel"/>
    <w:tmpl w:val="0000000C"/>
    <w:lvl w:ilvl="0" w:tentative="0">
      <w:start w:val="1"/>
      <w:numFmt w:val="decimal"/>
      <w:lvlText w:val="（%1）"/>
      <w:lvlJc w:val="left"/>
      <w:pPr>
        <w:tabs>
          <w:tab w:val="left" w:pos="720"/>
        </w:tabs>
        <w:ind w:left="720" w:hanging="720"/>
      </w:pPr>
      <w:rPr>
        <w:rFonts w:hint="eastAsia"/>
      </w:rPr>
    </w:lvl>
  </w:abstractNum>
  <w:abstractNum w:abstractNumId="5">
    <w:nsid w:val="1F3C67F8"/>
    <w:multiLevelType w:val="singleLevel"/>
    <w:tmpl w:val="1F3C67F8"/>
    <w:lvl w:ilvl="0" w:tentative="0">
      <w:start w:val="1"/>
      <w:numFmt w:val="decimal"/>
      <w:suff w:val="nothing"/>
      <w:lvlText w:val="%1、"/>
      <w:lvlJc w:val="left"/>
    </w:lvl>
  </w:abstractNum>
  <w:abstractNum w:abstractNumId="6">
    <w:nsid w:val="2A8BC063"/>
    <w:multiLevelType w:val="singleLevel"/>
    <w:tmpl w:val="2A8BC063"/>
    <w:lvl w:ilvl="0" w:tentative="0">
      <w:start w:val="1"/>
      <w:numFmt w:val="decimal"/>
      <w:lvlText w:val="(%1)"/>
      <w:lvlJc w:val="left"/>
      <w:pPr>
        <w:tabs>
          <w:tab w:val="left" w:pos="420"/>
        </w:tabs>
        <w:ind w:left="0" w:firstLine="0"/>
      </w:pPr>
      <w:rPr>
        <w:rFonts w:hint="default"/>
      </w:rPr>
    </w:lvl>
  </w:abstractNum>
  <w:abstractNum w:abstractNumId="7">
    <w:nsid w:val="3D39144C"/>
    <w:multiLevelType w:val="singleLevel"/>
    <w:tmpl w:val="3D39144C"/>
    <w:lvl w:ilvl="0" w:tentative="0">
      <w:start w:val="5"/>
      <w:numFmt w:val="chineseCounting"/>
      <w:suff w:val="nothing"/>
      <w:lvlText w:val="%1、"/>
      <w:lvlJc w:val="left"/>
      <w:rPr>
        <w:rFonts w:hint="eastAsia"/>
      </w:rPr>
    </w:lvl>
  </w:abstractNum>
  <w:abstractNum w:abstractNumId="8">
    <w:nsid w:val="3E44EB76"/>
    <w:multiLevelType w:val="singleLevel"/>
    <w:tmpl w:val="3E44EB76"/>
    <w:lvl w:ilvl="0" w:tentative="0">
      <w:start w:val="1"/>
      <w:numFmt w:val="chineseCounting"/>
      <w:suff w:val="nothing"/>
      <w:lvlText w:val="%1、"/>
      <w:lvlJc w:val="left"/>
      <w:rPr>
        <w:rFonts w:hint="eastAsia"/>
      </w:rPr>
    </w:lvl>
  </w:abstractNum>
  <w:abstractNum w:abstractNumId="9">
    <w:nsid w:val="57036E04"/>
    <w:multiLevelType w:val="singleLevel"/>
    <w:tmpl w:val="57036E04"/>
    <w:lvl w:ilvl="0" w:tentative="0">
      <w:start w:val="11"/>
      <w:numFmt w:val="chineseCounting"/>
      <w:suff w:val="nothing"/>
      <w:lvlText w:val="%1、"/>
      <w:lvlJc w:val="left"/>
    </w:lvl>
  </w:abstractNum>
  <w:abstractNum w:abstractNumId="10">
    <w:nsid w:val="59CC62DA"/>
    <w:multiLevelType w:val="singleLevel"/>
    <w:tmpl w:val="59CC62DA"/>
    <w:lvl w:ilvl="0" w:tentative="0">
      <w:start w:val="5"/>
      <w:numFmt w:val="chineseCounting"/>
      <w:suff w:val="space"/>
      <w:lvlText w:val="第%1章"/>
      <w:lvlJc w:val="left"/>
    </w:lvl>
  </w:abstractNum>
  <w:abstractNum w:abstractNumId="11">
    <w:nsid w:val="5B0CE37E"/>
    <w:multiLevelType w:val="singleLevel"/>
    <w:tmpl w:val="5B0CE37E"/>
    <w:lvl w:ilvl="0" w:tentative="0">
      <w:start w:val="1"/>
      <w:numFmt w:val="decimal"/>
      <w:suff w:val="nothing"/>
      <w:lvlText w:val="%1、"/>
      <w:lvlJc w:val="left"/>
    </w:lvl>
  </w:abstractNum>
  <w:abstractNum w:abstractNumId="12">
    <w:nsid w:val="6A06EE40"/>
    <w:multiLevelType w:val="singleLevel"/>
    <w:tmpl w:val="6A06EE40"/>
    <w:lvl w:ilvl="0" w:tentative="0">
      <w:start w:val="23"/>
      <w:numFmt w:val="decimal"/>
      <w:suff w:val="nothing"/>
      <w:lvlText w:val="%1．"/>
      <w:lvlJc w:val="left"/>
    </w:lvl>
  </w:abstractNum>
  <w:num w:numId="1">
    <w:abstractNumId w:val="8"/>
  </w:num>
  <w:num w:numId="2">
    <w:abstractNumId w:val="6"/>
  </w:num>
  <w:num w:numId="3">
    <w:abstractNumId w:val="3"/>
  </w:num>
  <w:num w:numId="4">
    <w:abstractNumId w:val="5"/>
  </w:num>
  <w:num w:numId="5">
    <w:abstractNumId w:val="12"/>
  </w:num>
  <w:num w:numId="6">
    <w:abstractNumId w:val="2"/>
  </w:num>
  <w:num w:numId="7">
    <w:abstractNumId w:val="9"/>
  </w:num>
  <w:num w:numId="8">
    <w:abstractNumId w:val="10"/>
  </w:num>
  <w:num w:numId="9">
    <w:abstractNumId w:val="4"/>
  </w:num>
  <w:num w:numId="10">
    <w:abstractNumId w:val="7"/>
  </w:num>
  <w:num w:numId="11">
    <w:abstractNumId w:val="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YmI2ZjZiODkzY2I2NmI2MTQ4MmVmOTI3NmZhZDcifQ=="/>
  </w:docVars>
  <w:rsids>
    <w:rsidRoot w:val="00172A27"/>
    <w:rsid w:val="00002484"/>
    <w:rsid w:val="00006BA7"/>
    <w:rsid w:val="00006F34"/>
    <w:rsid w:val="00010923"/>
    <w:rsid w:val="000111C7"/>
    <w:rsid w:val="0001276B"/>
    <w:rsid w:val="00014C80"/>
    <w:rsid w:val="00016233"/>
    <w:rsid w:val="00021033"/>
    <w:rsid w:val="00025B34"/>
    <w:rsid w:val="000267AF"/>
    <w:rsid w:val="00027955"/>
    <w:rsid w:val="0003649E"/>
    <w:rsid w:val="00043A6E"/>
    <w:rsid w:val="00045639"/>
    <w:rsid w:val="000521D7"/>
    <w:rsid w:val="00056ACE"/>
    <w:rsid w:val="00060EEB"/>
    <w:rsid w:val="00064588"/>
    <w:rsid w:val="000674B2"/>
    <w:rsid w:val="00073361"/>
    <w:rsid w:val="00074585"/>
    <w:rsid w:val="000872DF"/>
    <w:rsid w:val="00091472"/>
    <w:rsid w:val="000A0EEC"/>
    <w:rsid w:val="000A61CD"/>
    <w:rsid w:val="000B0658"/>
    <w:rsid w:val="000B093E"/>
    <w:rsid w:val="000B278D"/>
    <w:rsid w:val="000B459C"/>
    <w:rsid w:val="000B7981"/>
    <w:rsid w:val="000C1C43"/>
    <w:rsid w:val="000D4AFC"/>
    <w:rsid w:val="000E0A5C"/>
    <w:rsid w:val="000E36B6"/>
    <w:rsid w:val="000E4B09"/>
    <w:rsid w:val="000E5810"/>
    <w:rsid w:val="000F12B3"/>
    <w:rsid w:val="000F1FAB"/>
    <w:rsid w:val="000F43C4"/>
    <w:rsid w:val="000F4EF5"/>
    <w:rsid w:val="001012D3"/>
    <w:rsid w:val="00101D2E"/>
    <w:rsid w:val="00114F25"/>
    <w:rsid w:val="00120BDC"/>
    <w:rsid w:val="001235CE"/>
    <w:rsid w:val="00143899"/>
    <w:rsid w:val="00161F97"/>
    <w:rsid w:val="001678B3"/>
    <w:rsid w:val="001700C1"/>
    <w:rsid w:val="00170B2B"/>
    <w:rsid w:val="00173268"/>
    <w:rsid w:val="00174104"/>
    <w:rsid w:val="00182880"/>
    <w:rsid w:val="00187357"/>
    <w:rsid w:val="00197147"/>
    <w:rsid w:val="00197406"/>
    <w:rsid w:val="001A17D4"/>
    <w:rsid w:val="001A5DCD"/>
    <w:rsid w:val="001A64D0"/>
    <w:rsid w:val="001C20E2"/>
    <w:rsid w:val="001D1D85"/>
    <w:rsid w:val="001E79C0"/>
    <w:rsid w:val="001F1213"/>
    <w:rsid w:val="001F12EF"/>
    <w:rsid w:val="001F19DA"/>
    <w:rsid w:val="001F5B4E"/>
    <w:rsid w:val="0020082E"/>
    <w:rsid w:val="00201522"/>
    <w:rsid w:val="00203FA8"/>
    <w:rsid w:val="00212DC4"/>
    <w:rsid w:val="002343D2"/>
    <w:rsid w:val="00236362"/>
    <w:rsid w:val="00236FA1"/>
    <w:rsid w:val="00244B0A"/>
    <w:rsid w:val="00247CA3"/>
    <w:rsid w:val="00250B9E"/>
    <w:rsid w:val="002520A6"/>
    <w:rsid w:val="0025545C"/>
    <w:rsid w:val="00257D4E"/>
    <w:rsid w:val="002637B7"/>
    <w:rsid w:val="002638C3"/>
    <w:rsid w:val="00271A48"/>
    <w:rsid w:val="00274316"/>
    <w:rsid w:val="002758B1"/>
    <w:rsid w:val="002849DA"/>
    <w:rsid w:val="0029418A"/>
    <w:rsid w:val="002A27C1"/>
    <w:rsid w:val="002B278F"/>
    <w:rsid w:val="002C0CB3"/>
    <w:rsid w:val="002C437F"/>
    <w:rsid w:val="002C54D6"/>
    <w:rsid w:val="002C71C7"/>
    <w:rsid w:val="002D1022"/>
    <w:rsid w:val="002D102D"/>
    <w:rsid w:val="002D1755"/>
    <w:rsid w:val="002D3B1A"/>
    <w:rsid w:val="002D6F88"/>
    <w:rsid w:val="002E56ED"/>
    <w:rsid w:val="002F05B0"/>
    <w:rsid w:val="002F078B"/>
    <w:rsid w:val="002F4A1D"/>
    <w:rsid w:val="00302AD2"/>
    <w:rsid w:val="00303867"/>
    <w:rsid w:val="00304CAD"/>
    <w:rsid w:val="00304D6D"/>
    <w:rsid w:val="00304F0F"/>
    <w:rsid w:val="003063B1"/>
    <w:rsid w:val="00312BED"/>
    <w:rsid w:val="00323890"/>
    <w:rsid w:val="00330651"/>
    <w:rsid w:val="00334C3F"/>
    <w:rsid w:val="00336AD7"/>
    <w:rsid w:val="003458C1"/>
    <w:rsid w:val="003465CC"/>
    <w:rsid w:val="00347D2F"/>
    <w:rsid w:val="00357CE2"/>
    <w:rsid w:val="003721E8"/>
    <w:rsid w:val="00375743"/>
    <w:rsid w:val="00386872"/>
    <w:rsid w:val="00393017"/>
    <w:rsid w:val="00394148"/>
    <w:rsid w:val="00395C68"/>
    <w:rsid w:val="003966C4"/>
    <w:rsid w:val="00396B47"/>
    <w:rsid w:val="003B78E9"/>
    <w:rsid w:val="003C0FAF"/>
    <w:rsid w:val="003C6DC2"/>
    <w:rsid w:val="003C776F"/>
    <w:rsid w:val="003D1D16"/>
    <w:rsid w:val="003D6284"/>
    <w:rsid w:val="003E4915"/>
    <w:rsid w:val="003E6081"/>
    <w:rsid w:val="003F130B"/>
    <w:rsid w:val="003F2F12"/>
    <w:rsid w:val="003F4456"/>
    <w:rsid w:val="004020A1"/>
    <w:rsid w:val="00411179"/>
    <w:rsid w:val="0041260E"/>
    <w:rsid w:val="00420ED1"/>
    <w:rsid w:val="00422D6B"/>
    <w:rsid w:val="00424A4F"/>
    <w:rsid w:val="0042612D"/>
    <w:rsid w:val="0043280F"/>
    <w:rsid w:val="00435505"/>
    <w:rsid w:val="00435769"/>
    <w:rsid w:val="00436607"/>
    <w:rsid w:val="00443716"/>
    <w:rsid w:val="00445BE2"/>
    <w:rsid w:val="004479C1"/>
    <w:rsid w:val="0045391E"/>
    <w:rsid w:val="004546A4"/>
    <w:rsid w:val="00456CBF"/>
    <w:rsid w:val="0047581D"/>
    <w:rsid w:val="0047700F"/>
    <w:rsid w:val="00480B75"/>
    <w:rsid w:val="00482488"/>
    <w:rsid w:val="00490528"/>
    <w:rsid w:val="00492676"/>
    <w:rsid w:val="004A58AE"/>
    <w:rsid w:val="004B31F6"/>
    <w:rsid w:val="004C71F0"/>
    <w:rsid w:val="004C7C3F"/>
    <w:rsid w:val="004D235F"/>
    <w:rsid w:val="004E2C94"/>
    <w:rsid w:val="004E58C8"/>
    <w:rsid w:val="004E5C98"/>
    <w:rsid w:val="004F130E"/>
    <w:rsid w:val="004F44DC"/>
    <w:rsid w:val="00500550"/>
    <w:rsid w:val="005022A4"/>
    <w:rsid w:val="00503EB9"/>
    <w:rsid w:val="00505BCA"/>
    <w:rsid w:val="00510717"/>
    <w:rsid w:val="005136E4"/>
    <w:rsid w:val="00516F35"/>
    <w:rsid w:val="0051772E"/>
    <w:rsid w:val="005228EE"/>
    <w:rsid w:val="00523125"/>
    <w:rsid w:val="005238CA"/>
    <w:rsid w:val="00525409"/>
    <w:rsid w:val="005467AF"/>
    <w:rsid w:val="00546DE0"/>
    <w:rsid w:val="005506AB"/>
    <w:rsid w:val="005568B5"/>
    <w:rsid w:val="00556A7D"/>
    <w:rsid w:val="00560560"/>
    <w:rsid w:val="00574A3F"/>
    <w:rsid w:val="00576C50"/>
    <w:rsid w:val="00580A39"/>
    <w:rsid w:val="00580E5D"/>
    <w:rsid w:val="00585FC1"/>
    <w:rsid w:val="005862C6"/>
    <w:rsid w:val="00590687"/>
    <w:rsid w:val="0059373E"/>
    <w:rsid w:val="00595C1B"/>
    <w:rsid w:val="005A1E24"/>
    <w:rsid w:val="005B4922"/>
    <w:rsid w:val="005C0638"/>
    <w:rsid w:val="005C7F79"/>
    <w:rsid w:val="005D18C7"/>
    <w:rsid w:val="005D4C29"/>
    <w:rsid w:val="005D6D64"/>
    <w:rsid w:val="005E2EC5"/>
    <w:rsid w:val="005E4467"/>
    <w:rsid w:val="005E7A43"/>
    <w:rsid w:val="005F2312"/>
    <w:rsid w:val="005F3E77"/>
    <w:rsid w:val="00602483"/>
    <w:rsid w:val="00602B05"/>
    <w:rsid w:val="0060391A"/>
    <w:rsid w:val="006048E4"/>
    <w:rsid w:val="00604F10"/>
    <w:rsid w:val="006054D7"/>
    <w:rsid w:val="00607FC4"/>
    <w:rsid w:val="006107D5"/>
    <w:rsid w:val="0061116E"/>
    <w:rsid w:val="006214A4"/>
    <w:rsid w:val="006240CB"/>
    <w:rsid w:val="0062506D"/>
    <w:rsid w:val="006320E0"/>
    <w:rsid w:val="00634E1C"/>
    <w:rsid w:val="00637BBF"/>
    <w:rsid w:val="00640DF1"/>
    <w:rsid w:val="006439FA"/>
    <w:rsid w:val="00645583"/>
    <w:rsid w:val="00646579"/>
    <w:rsid w:val="006504F2"/>
    <w:rsid w:val="0065092C"/>
    <w:rsid w:val="00652252"/>
    <w:rsid w:val="00655FE4"/>
    <w:rsid w:val="00656230"/>
    <w:rsid w:val="00660EEC"/>
    <w:rsid w:val="0066512E"/>
    <w:rsid w:val="006710E0"/>
    <w:rsid w:val="00671D58"/>
    <w:rsid w:val="0068218B"/>
    <w:rsid w:val="006832C3"/>
    <w:rsid w:val="006846B1"/>
    <w:rsid w:val="006858B9"/>
    <w:rsid w:val="00687D13"/>
    <w:rsid w:val="006A4D4A"/>
    <w:rsid w:val="006B132E"/>
    <w:rsid w:val="006B18D1"/>
    <w:rsid w:val="006B6CFF"/>
    <w:rsid w:val="006C2EE1"/>
    <w:rsid w:val="006C749A"/>
    <w:rsid w:val="006D4545"/>
    <w:rsid w:val="006E21EE"/>
    <w:rsid w:val="006E45AD"/>
    <w:rsid w:val="006E5B3B"/>
    <w:rsid w:val="006E610B"/>
    <w:rsid w:val="00703A99"/>
    <w:rsid w:val="00704388"/>
    <w:rsid w:val="007109F1"/>
    <w:rsid w:val="007156B8"/>
    <w:rsid w:val="00721BCE"/>
    <w:rsid w:val="00726635"/>
    <w:rsid w:val="00726FF5"/>
    <w:rsid w:val="0072740A"/>
    <w:rsid w:val="00734D36"/>
    <w:rsid w:val="00740FA0"/>
    <w:rsid w:val="00741CA8"/>
    <w:rsid w:val="00741CBF"/>
    <w:rsid w:val="00742668"/>
    <w:rsid w:val="00745DF7"/>
    <w:rsid w:val="00746CC0"/>
    <w:rsid w:val="00750456"/>
    <w:rsid w:val="00754DC6"/>
    <w:rsid w:val="00755638"/>
    <w:rsid w:val="00756757"/>
    <w:rsid w:val="007579B2"/>
    <w:rsid w:val="00760EDD"/>
    <w:rsid w:val="007621AD"/>
    <w:rsid w:val="00763F56"/>
    <w:rsid w:val="00767E1F"/>
    <w:rsid w:val="00770C95"/>
    <w:rsid w:val="0077438F"/>
    <w:rsid w:val="00775B3B"/>
    <w:rsid w:val="00777275"/>
    <w:rsid w:val="00783CF7"/>
    <w:rsid w:val="00793C1E"/>
    <w:rsid w:val="007A11EC"/>
    <w:rsid w:val="007A3764"/>
    <w:rsid w:val="007A41A4"/>
    <w:rsid w:val="007A45FA"/>
    <w:rsid w:val="007A5254"/>
    <w:rsid w:val="007A5CFB"/>
    <w:rsid w:val="007C2A9E"/>
    <w:rsid w:val="007C3E1B"/>
    <w:rsid w:val="007C3FE7"/>
    <w:rsid w:val="007D0DD1"/>
    <w:rsid w:val="007D19A6"/>
    <w:rsid w:val="007D1C9C"/>
    <w:rsid w:val="007D2D4E"/>
    <w:rsid w:val="007D5019"/>
    <w:rsid w:val="007E0D4C"/>
    <w:rsid w:val="007E4A4D"/>
    <w:rsid w:val="007E4EE7"/>
    <w:rsid w:val="007F25FF"/>
    <w:rsid w:val="00800C29"/>
    <w:rsid w:val="00801792"/>
    <w:rsid w:val="0080314D"/>
    <w:rsid w:val="0080405B"/>
    <w:rsid w:val="0080427A"/>
    <w:rsid w:val="00806763"/>
    <w:rsid w:val="008102D3"/>
    <w:rsid w:val="008124A4"/>
    <w:rsid w:val="00823966"/>
    <w:rsid w:val="00826E6D"/>
    <w:rsid w:val="00827BD1"/>
    <w:rsid w:val="008329B1"/>
    <w:rsid w:val="008447A8"/>
    <w:rsid w:val="00846A5A"/>
    <w:rsid w:val="0085008C"/>
    <w:rsid w:val="008515A8"/>
    <w:rsid w:val="008516EA"/>
    <w:rsid w:val="0085376C"/>
    <w:rsid w:val="008556C2"/>
    <w:rsid w:val="00855C2F"/>
    <w:rsid w:val="0086021E"/>
    <w:rsid w:val="008615E8"/>
    <w:rsid w:val="008678C0"/>
    <w:rsid w:val="00871E4A"/>
    <w:rsid w:val="00872BEA"/>
    <w:rsid w:val="00884BBE"/>
    <w:rsid w:val="00894278"/>
    <w:rsid w:val="008B1132"/>
    <w:rsid w:val="008B139E"/>
    <w:rsid w:val="008C3053"/>
    <w:rsid w:val="008C3D7B"/>
    <w:rsid w:val="008C7925"/>
    <w:rsid w:val="008C7FB7"/>
    <w:rsid w:val="008D2B75"/>
    <w:rsid w:val="008D2E45"/>
    <w:rsid w:val="008D32F1"/>
    <w:rsid w:val="008E68C0"/>
    <w:rsid w:val="008F3403"/>
    <w:rsid w:val="008F45B9"/>
    <w:rsid w:val="00902CE0"/>
    <w:rsid w:val="0090590A"/>
    <w:rsid w:val="00912624"/>
    <w:rsid w:val="00914258"/>
    <w:rsid w:val="00917EBE"/>
    <w:rsid w:val="00921262"/>
    <w:rsid w:val="009240CC"/>
    <w:rsid w:val="00925120"/>
    <w:rsid w:val="0093209F"/>
    <w:rsid w:val="0093299B"/>
    <w:rsid w:val="0094567A"/>
    <w:rsid w:val="00946D2F"/>
    <w:rsid w:val="00951617"/>
    <w:rsid w:val="00954051"/>
    <w:rsid w:val="00955741"/>
    <w:rsid w:val="00964241"/>
    <w:rsid w:val="00984701"/>
    <w:rsid w:val="009860B3"/>
    <w:rsid w:val="009A4659"/>
    <w:rsid w:val="009B60E6"/>
    <w:rsid w:val="009B7089"/>
    <w:rsid w:val="009C40B4"/>
    <w:rsid w:val="009C6C91"/>
    <w:rsid w:val="009D734C"/>
    <w:rsid w:val="009E20EF"/>
    <w:rsid w:val="009E4788"/>
    <w:rsid w:val="009E50EB"/>
    <w:rsid w:val="009E57B8"/>
    <w:rsid w:val="009E70BF"/>
    <w:rsid w:val="009E7BBD"/>
    <w:rsid w:val="009F357F"/>
    <w:rsid w:val="009F495B"/>
    <w:rsid w:val="009F6915"/>
    <w:rsid w:val="00A0107C"/>
    <w:rsid w:val="00A051C5"/>
    <w:rsid w:val="00A109B9"/>
    <w:rsid w:val="00A116EB"/>
    <w:rsid w:val="00A21EB2"/>
    <w:rsid w:val="00A23952"/>
    <w:rsid w:val="00A2527A"/>
    <w:rsid w:val="00A25B2D"/>
    <w:rsid w:val="00A2604F"/>
    <w:rsid w:val="00A30864"/>
    <w:rsid w:val="00A31A52"/>
    <w:rsid w:val="00A327C7"/>
    <w:rsid w:val="00A40EA1"/>
    <w:rsid w:val="00A44E18"/>
    <w:rsid w:val="00A60E14"/>
    <w:rsid w:val="00A61011"/>
    <w:rsid w:val="00A616D1"/>
    <w:rsid w:val="00A6390F"/>
    <w:rsid w:val="00A650D0"/>
    <w:rsid w:val="00A65719"/>
    <w:rsid w:val="00A667EC"/>
    <w:rsid w:val="00A72D9F"/>
    <w:rsid w:val="00A77E99"/>
    <w:rsid w:val="00A81A9C"/>
    <w:rsid w:val="00A823D4"/>
    <w:rsid w:val="00A85445"/>
    <w:rsid w:val="00A87528"/>
    <w:rsid w:val="00A96AB8"/>
    <w:rsid w:val="00AA1A8C"/>
    <w:rsid w:val="00AA62A6"/>
    <w:rsid w:val="00AA64FB"/>
    <w:rsid w:val="00AB2636"/>
    <w:rsid w:val="00AB3F25"/>
    <w:rsid w:val="00AB4980"/>
    <w:rsid w:val="00AB64F0"/>
    <w:rsid w:val="00AC1C3F"/>
    <w:rsid w:val="00AC50D2"/>
    <w:rsid w:val="00AD57E5"/>
    <w:rsid w:val="00AE08E3"/>
    <w:rsid w:val="00AE336A"/>
    <w:rsid w:val="00AE6E8A"/>
    <w:rsid w:val="00AE7981"/>
    <w:rsid w:val="00AF3C41"/>
    <w:rsid w:val="00B01B4B"/>
    <w:rsid w:val="00B06FF2"/>
    <w:rsid w:val="00B13C41"/>
    <w:rsid w:val="00B140EC"/>
    <w:rsid w:val="00B15A19"/>
    <w:rsid w:val="00B16AAE"/>
    <w:rsid w:val="00B2635F"/>
    <w:rsid w:val="00B265AB"/>
    <w:rsid w:val="00B27B37"/>
    <w:rsid w:val="00B332F3"/>
    <w:rsid w:val="00B337AB"/>
    <w:rsid w:val="00B33EA4"/>
    <w:rsid w:val="00B354CB"/>
    <w:rsid w:val="00B359FE"/>
    <w:rsid w:val="00B36015"/>
    <w:rsid w:val="00B40F30"/>
    <w:rsid w:val="00B42D1A"/>
    <w:rsid w:val="00B44F18"/>
    <w:rsid w:val="00B53568"/>
    <w:rsid w:val="00B53AB0"/>
    <w:rsid w:val="00B56BE3"/>
    <w:rsid w:val="00B5714D"/>
    <w:rsid w:val="00B57678"/>
    <w:rsid w:val="00B62168"/>
    <w:rsid w:val="00B63BAD"/>
    <w:rsid w:val="00B76AB7"/>
    <w:rsid w:val="00B875F9"/>
    <w:rsid w:val="00B91D32"/>
    <w:rsid w:val="00B95A23"/>
    <w:rsid w:val="00B95C3A"/>
    <w:rsid w:val="00B966AF"/>
    <w:rsid w:val="00BA15F3"/>
    <w:rsid w:val="00BA1C49"/>
    <w:rsid w:val="00BA4526"/>
    <w:rsid w:val="00BB1248"/>
    <w:rsid w:val="00BB26DA"/>
    <w:rsid w:val="00BB4176"/>
    <w:rsid w:val="00BB6D10"/>
    <w:rsid w:val="00BC27B0"/>
    <w:rsid w:val="00BC3A78"/>
    <w:rsid w:val="00BC40FA"/>
    <w:rsid w:val="00BC58A2"/>
    <w:rsid w:val="00BC5B8E"/>
    <w:rsid w:val="00BD2ACF"/>
    <w:rsid w:val="00BE09FE"/>
    <w:rsid w:val="00BF778C"/>
    <w:rsid w:val="00C01E33"/>
    <w:rsid w:val="00C0337B"/>
    <w:rsid w:val="00C03B72"/>
    <w:rsid w:val="00C0518C"/>
    <w:rsid w:val="00C06071"/>
    <w:rsid w:val="00C104F4"/>
    <w:rsid w:val="00C11F2C"/>
    <w:rsid w:val="00C15EBA"/>
    <w:rsid w:val="00C23B45"/>
    <w:rsid w:val="00C24915"/>
    <w:rsid w:val="00C31911"/>
    <w:rsid w:val="00C349A5"/>
    <w:rsid w:val="00C4027F"/>
    <w:rsid w:val="00C40483"/>
    <w:rsid w:val="00C41A13"/>
    <w:rsid w:val="00C4280E"/>
    <w:rsid w:val="00C50F71"/>
    <w:rsid w:val="00C664AE"/>
    <w:rsid w:val="00C66ACE"/>
    <w:rsid w:val="00C73478"/>
    <w:rsid w:val="00C7786A"/>
    <w:rsid w:val="00C82CDC"/>
    <w:rsid w:val="00C90053"/>
    <w:rsid w:val="00C95981"/>
    <w:rsid w:val="00CA78D0"/>
    <w:rsid w:val="00CA7BCC"/>
    <w:rsid w:val="00CC09EB"/>
    <w:rsid w:val="00CC24D4"/>
    <w:rsid w:val="00CC3A70"/>
    <w:rsid w:val="00CC791E"/>
    <w:rsid w:val="00CD202B"/>
    <w:rsid w:val="00CD33A5"/>
    <w:rsid w:val="00CD4629"/>
    <w:rsid w:val="00CE6428"/>
    <w:rsid w:val="00CE6EB1"/>
    <w:rsid w:val="00CF0B02"/>
    <w:rsid w:val="00CF2BE5"/>
    <w:rsid w:val="00CF2EC8"/>
    <w:rsid w:val="00CF3854"/>
    <w:rsid w:val="00CF507B"/>
    <w:rsid w:val="00D02A34"/>
    <w:rsid w:val="00D16F70"/>
    <w:rsid w:val="00D2021D"/>
    <w:rsid w:val="00D20BA2"/>
    <w:rsid w:val="00D21D5D"/>
    <w:rsid w:val="00D23072"/>
    <w:rsid w:val="00D23CFF"/>
    <w:rsid w:val="00D24FCE"/>
    <w:rsid w:val="00D264DF"/>
    <w:rsid w:val="00D31ADC"/>
    <w:rsid w:val="00D32601"/>
    <w:rsid w:val="00D330A6"/>
    <w:rsid w:val="00D37A18"/>
    <w:rsid w:val="00D40049"/>
    <w:rsid w:val="00D41968"/>
    <w:rsid w:val="00D4650C"/>
    <w:rsid w:val="00D509D2"/>
    <w:rsid w:val="00D523FC"/>
    <w:rsid w:val="00D5285E"/>
    <w:rsid w:val="00D52A96"/>
    <w:rsid w:val="00D55192"/>
    <w:rsid w:val="00D60B26"/>
    <w:rsid w:val="00D60C0D"/>
    <w:rsid w:val="00D61DBA"/>
    <w:rsid w:val="00D61ED8"/>
    <w:rsid w:val="00D63BD8"/>
    <w:rsid w:val="00D6736C"/>
    <w:rsid w:val="00D673F3"/>
    <w:rsid w:val="00D72246"/>
    <w:rsid w:val="00D739D6"/>
    <w:rsid w:val="00D8054C"/>
    <w:rsid w:val="00D8066E"/>
    <w:rsid w:val="00D813F3"/>
    <w:rsid w:val="00D84245"/>
    <w:rsid w:val="00D8555B"/>
    <w:rsid w:val="00D85DA3"/>
    <w:rsid w:val="00D863CB"/>
    <w:rsid w:val="00D86EF6"/>
    <w:rsid w:val="00D91700"/>
    <w:rsid w:val="00D930CE"/>
    <w:rsid w:val="00D97D1B"/>
    <w:rsid w:val="00DA21B2"/>
    <w:rsid w:val="00DA3AE4"/>
    <w:rsid w:val="00DA50A1"/>
    <w:rsid w:val="00DA519C"/>
    <w:rsid w:val="00DA6B5B"/>
    <w:rsid w:val="00DB143C"/>
    <w:rsid w:val="00DB332D"/>
    <w:rsid w:val="00DB6CFA"/>
    <w:rsid w:val="00DC13F2"/>
    <w:rsid w:val="00DC5BB4"/>
    <w:rsid w:val="00DD4F1B"/>
    <w:rsid w:val="00DE6561"/>
    <w:rsid w:val="00DF5581"/>
    <w:rsid w:val="00DF576E"/>
    <w:rsid w:val="00E01C24"/>
    <w:rsid w:val="00E04436"/>
    <w:rsid w:val="00E048DA"/>
    <w:rsid w:val="00E04CEB"/>
    <w:rsid w:val="00E1194E"/>
    <w:rsid w:val="00E12B32"/>
    <w:rsid w:val="00E14213"/>
    <w:rsid w:val="00E14B2D"/>
    <w:rsid w:val="00E21415"/>
    <w:rsid w:val="00E26204"/>
    <w:rsid w:val="00E3016B"/>
    <w:rsid w:val="00E34E6C"/>
    <w:rsid w:val="00E354D6"/>
    <w:rsid w:val="00E36357"/>
    <w:rsid w:val="00E40A47"/>
    <w:rsid w:val="00E446FF"/>
    <w:rsid w:val="00E525D1"/>
    <w:rsid w:val="00E53B87"/>
    <w:rsid w:val="00E57714"/>
    <w:rsid w:val="00E61B2C"/>
    <w:rsid w:val="00E74E8D"/>
    <w:rsid w:val="00E80065"/>
    <w:rsid w:val="00E81FCD"/>
    <w:rsid w:val="00E91031"/>
    <w:rsid w:val="00E94BEB"/>
    <w:rsid w:val="00E950BD"/>
    <w:rsid w:val="00E96609"/>
    <w:rsid w:val="00EA2AC7"/>
    <w:rsid w:val="00EB591B"/>
    <w:rsid w:val="00EC03B2"/>
    <w:rsid w:val="00EC0ACD"/>
    <w:rsid w:val="00EC20F9"/>
    <w:rsid w:val="00ED26B7"/>
    <w:rsid w:val="00ED707B"/>
    <w:rsid w:val="00EE2ECB"/>
    <w:rsid w:val="00EE5257"/>
    <w:rsid w:val="00F07923"/>
    <w:rsid w:val="00F1682B"/>
    <w:rsid w:val="00F16F91"/>
    <w:rsid w:val="00F20AD3"/>
    <w:rsid w:val="00F23757"/>
    <w:rsid w:val="00F40C3B"/>
    <w:rsid w:val="00F40F9D"/>
    <w:rsid w:val="00F4770A"/>
    <w:rsid w:val="00F4774A"/>
    <w:rsid w:val="00F47F7D"/>
    <w:rsid w:val="00F5035A"/>
    <w:rsid w:val="00F508C4"/>
    <w:rsid w:val="00F547BA"/>
    <w:rsid w:val="00F66744"/>
    <w:rsid w:val="00F811E3"/>
    <w:rsid w:val="00F872F7"/>
    <w:rsid w:val="00F95149"/>
    <w:rsid w:val="00FA2251"/>
    <w:rsid w:val="00FA435D"/>
    <w:rsid w:val="00FA5505"/>
    <w:rsid w:val="00FB0DA1"/>
    <w:rsid w:val="00FC4FE5"/>
    <w:rsid w:val="00FE7439"/>
    <w:rsid w:val="00FF002E"/>
    <w:rsid w:val="011C1B4B"/>
    <w:rsid w:val="01380C45"/>
    <w:rsid w:val="01391806"/>
    <w:rsid w:val="01822EA9"/>
    <w:rsid w:val="01CE57D0"/>
    <w:rsid w:val="02102C4F"/>
    <w:rsid w:val="024B788D"/>
    <w:rsid w:val="024C5ABA"/>
    <w:rsid w:val="029370C7"/>
    <w:rsid w:val="029E0CDB"/>
    <w:rsid w:val="02A5798A"/>
    <w:rsid w:val="02D1485C"/>
    <w:rsid w:val="02E10AAA"/>
    <w:rsid w:val="0314419D"/>
    <w:rsid w:val="03406F5E"/>
    <w:rsid w:val="0342363C"/>
    <w:rsid w:val="038D72DF"/>
    <w:rsid w:val="03A27284"/>
    <w:rsid w:val="03B5557A"/>
    <w:rsid w:val="03CE35CB"/>
    <w:rsid w:val="03FE52CF"/>
    <w:rsid w:val="041026CE"/>
    <w:rsid w:val="04204165"/>
    <w:rsid w:val="04325783"/>
    <w:rsid w:val="04716658"/>
    <w:rsid w:val="048552F8"/>
    <w:rsid w:val="05292E22"/>
    <w:rsid w:val="056B3C24"/>
    <w:rsid w:val="062B640B"/>
    <w:rsid w:val="06894CA3"/>
    <w:rsid w:val="068B5F77"/>
    <w:rsid w:val="06925B6D"/>
    <w:rsid w:val="06C26EFB"/>
    <w:rsid w:val="06D864CC"/>
    <w:rsid w:val="06FA1444"/>
    <w:rsid w:val="06FC6897"/>
    <w:rsid w:val="070A6E51"/>
    <w:rsid w:val="0747745C"/>
    <w:rsid w:val="078157D1"/>
    <w:rsid w:val="07A73C49"/>
    <w:rsid w:val="07CF65FF"/>
    <w:rsid w:val="07E433CB"/>
    <w:rsid w:val="07F44C56"/>
    <w:rsid w:val="08315D7E"/>
    <w:rsid w:val="08712944"/>
    <w:rsid w:val="08733FDD"/>
    <w:rsid w:val="08FB19A4"/>
    <w:rsid w:val="08FB3435"/>
    <w:rsid w:val="09015CED"/>
    <w:rsid w:val="09362AAF"/>
    <w:rsid w:val="09743C08"/>
    <w:rsid w:val="098165AF"/>
    <w:rsid w:val="099224C2"/>
    <w:rsid w:val="09993138"/>
    <w:rsid w:val="09A202AD"/>
    <w:rsid w:val="09D92C37"/>
    <w:rsid w:val="0A1F33AB"/>
    <w:rsid w:val="0A3D4F01"/>
    <w:rsid w:val="0A552B46"/>
    <w:rsid w:val="0A5B2DD0"/>
    <w:rsid w:val="0A787F97"/>
    <w:rsid w:val="0A7950D7"/>
    <w:rsid w:val="0A8A2FEC"/>
    <w:rsid w:val="0A912549"/>
    <w:rsid w:val="0AAE27CA"/>
    <w:rsid w:val="0AD66732"/>
    <w:rsid w:val="0AF1320B"/>
    <w:rsid w:val="0AF17010"/>
    <w:rsid w:val="0B723009"/>
    <w:rsid w:val="0B973E91"/>
    <w:rsid w:val="0BB0283D"/>
    <w:rsid w:val="0C46506D"/>
    <w:rsid w:val="0C6D40AD"/>
    <w:rsid w:val="0D2B0CC3"/>
    <w:rsid w:val="0D523EEC"/>
    <w:rsid w:val="0D631E83"/>
    <w:rsid w:val="0D8D2FB8"/>
    <w:rsid w:val="0DC12C53"/>
    <w:rsid w:val="0DD451C6"/>
    <w:rsid w:val="0DE46F59"/>
    <w:rsid w:val="0E053A23"/>
    <w:rsid w:val="0E196C72"/>
    <w:rsid w:val="0E6E1FAD"/>
    <w:rsid w:val="0E7A3FA8"/>
    <w:rsid w:val="0E9E01A5"/>
    <w:rsid w:val="0EC11AEA"/>
    <w:rsid w:val="0F192865"/>
    <w:rsid w:val="0F360424"/>
    <w:rsid w:val="0F7F0EF9"/>
    <w:rsid w:val="0F8643C8"/>
    <w:rsid w:val="0F970C16"/>
    <w:rsid w:val="0FD6660F"/>
    <w:rsid w:val="0FDB7A2F"/>
    <w:rsid w:val="0FE9742C"/>
    <w:rsid w:val="0FF7696F"/>
    <w:rsid w:val="100D0BAA"/>
    <w:rsid w:val="10BE76B9"/>
    <w:rsid w:val="10EB73D3"/>
    <w:rsid w:val="1137099C"/>
    <w:rsid w:val="11452DE3"/>
    <w:rsid w:val="116E43FC"/>
    <w:rsid w:val="1173025A"/>
    <w:rsid w:val="117C6984"/>
    <w:rsid w:val="11A90675"/>
    <w:rsid w:val="11B5219D"/>
    <w:rsid w:val="12271C6A"/>
    <w:rsid w:val="12301BDC"/>
    <w:rsid w:val="123F6E4A"/>
    <w:rsid w:val="12423403"/>
    <w:rsid w:val="125C4633"/>
    <w:rsid w:val="12797797"/>
    <w:rsid w:val="12922A85"/>
    <w:rsid w:val="12A13F4A"/>
    <w:rsid w:val="12D9642F"/>
    <w:rsid w:val="12E73A02"/>
    <w:rsid w:val="12E94609"/>
    <w:rsid w:val="12EE73D0"/>
    <w:rsid w:val="130D65BB"/>
    <w:rsid w:val="132A7A92"/>
    <w:rsid w:val="135037EB"/>
    <w:rsid w:val="13562837"/>
    <w:rsid w:val="135F5CBE"/>
    <w:rsid w:val="137F4E4D"/>
    <w:rsid w:val="13BE14CF"/>
    <w:rsid w:val="13EA6366"/>
    <w:rsid w:val="14E86644"/>
    <w:rsid w:val="14F11BE1"/>
    <w:rsid w:val="150A61A4"/>
    <w:rsid w:val="151762C4"/>
    <w:rsid w:val="151B3893"/>
    <w:rsid w:val="15365590"/>
    <w:rsid w:val="156521F7"/>
    <w:rsid w:val="158540DD"/>
    <w:rsid w:val="159077EE"/>
    <w:rsid w:val="15E95146"/>
    <w:rsid w:val="167A6EE1"/>
    <w:rsid w:val="168F788A"/>
    <w:rsid w:val="16937499"/>
    <w:rsid w:val="169E4C62"/>
    <w:rsid w:val="16E21383"/>
    <w:rsid w:val="16EE4D8D"/>
    <w:rsid w:val="16F7073B"/>
    <w:rsid w:val="170C2A11"/>
    <w:rsid w:val="172E4372"/>
    <w:rsid w:val="17E5449F"/>
    <w:rsid w:val="17EC6088"/>
    <w:rsid w:val="187301E8"/>
    <w:rsid w:val="187F72BD"/>
    <w:rsid w:val="18B05AB3"/>
    <w:rsid w:val="18B12C39"/>
    <w:rsid w:val="18E616BD"/>
    <w:rsid w:val="18F00A9C"/>
    <w:rsid w:val="198A0A74"/>
    <w:rsid w:val="19A741F4"/>
    <w:rsid w:val="19C525B4"/>
    <w:rsid w:val="19E77780"/>
    <w:rsid w:val="19F96B75"/>
    <w:rsid w:val="1A3801B5"/>
    <w:rsid w:val="1A667B51"/>
    <w:rsid w:val="1A846B3C"/>
    <w:rsid w:val="1AC43989"/>
    <w:rsid w:val="1AEA3640"/>
    <w:rsid w:val="1B1425D4"/>
    <w:rsid w:val="1B155FFD"/>
    <w:rsid w:val="1B6B5962"/>
    <w:rsid w:val="1B8E43E1"/>
    <w:rsid w:val="1BB905CA"/>
    <w:rsid w:val="1BB97074"/>
    <w:rsid w:val="1C0376A9"/>
    <w:rsid w:val="1C46561A"/>
    <w:rsid w:val="1C583D58"/>
    <w:rsid w:val="1CB42226"/>
    <w:rsid w:val="1CEA305A"/>
    <w:rsid w:val="1CFF7226"/>
    <w:rsid w:val="1D576BF2"/>
    <w:rsid w:val="1DBC198B"/>
    <w:rsid w:val="1DCE386D"/>
    <w:rsid w:val="1DF319BC"/>
    <w:rsid w:val="1E5E4904"/>
    <w:rsid w:val="1E625FC7"/>
    <w:rsid w:val="1E79088D"/>
    <w:rsid w:val="1EA02CCB"/>
    <w:rsid w:val="1F2532ED"/>
    <w:rsid w:val="1F9D516C"/>
    <w:rsid w:val="1FF41D4F"/>
    <w:rsid w:val="20046DF4"/>
    <w:rsid w:val="208F4B9E"/>
    <w:rsid w:val="20CC7A2F"/>
    <w:rsid w:val="20D11703"/>
    <w:rsid w:val="20F40FA1"/>
    <w:rsid w:val="21020083"/>
    <w:rsid w:val="21025613"/>
    <w:rsid w:val="21180122"/>
    <w:rsid w:val="218E342C"/>
    <w:rsid w:val="21B06551"/>
    <w:rsid w:val="21CF79E5"/>
    <w:rsid w:val="21DF2183"/>
    <w:rsid w:val="220940AD"/>
    <w:rsid w:val="221148DD"/>
    <w:rsid w:val="222C02AA"/>
    <w:rsid w:val="22CF7D49"/>
    <w:rsid w:val="22D01E29"/>
    <w:rsid w:val="23007D7C"/>
    <w:rsid w:val="23186C79"/>
    <w:rsid w:val="23850913"/>
    <w:rsid w:val="23EA7CFA"/>
    <w:rsid w:val="240750AB"/>
    <w:rsid w:val="24395BDE"/>
    <w:rsid w:val="243C0FB3"/>
    <w:rsid w:val="244A407E"/>
    <w:rsid w:val="244F54A0"/>
    <w:rsid w:val="249B5864"/>
    <w:rsid w:val="24A468C4"/>
    <w:rsid w:val="24DA3C4D"/>
    <w:rsid w:val="250A47A5"/>
    <w:rsid w:val="254C7941"/>
    <w:rsid w:val="256E4ED7"/>
    <w:rsid w:val="259C1015"/>
    <w:rsid w:val="25E06541"/>
    <w:rsid w:val="25EE7FBB"/>
    <w:rsid w:val="26202593"/>
    <w:rsid w:val="26E4095C"/>
    <w:rsid w:val="273B6ADE"/>
    <w:rsid w:val="279D398E"/>
    <w:rsid w:val="27B80983"/>
    <w:rsid w:val="27CD66DB"/>
    <w:rsid w:val="28676D94"/>
    <w:rsid w:val="289C400E"/>
    <w:rsid w:val="29146210"/>
    <w:rsid w:val="292A65D8"/>
    <w:rsid w:val="29322093"/>
    <w:rsid w:val="293B36DC"/>
    <w:rsid w:val="29423CBE"/>
    <w:rsid w:val="297476BF"/>
    <w:rsid w:val="29931B49"/>
    <w:rsid w:val="29B6671B"/>
    <w:rsid w:val="29E04A1D"/>
    <w:rsid w:val="2A1B6413"/>
    <w:rsid w:val="2A846F27"/>
    <w:rsid w:val="2AD872B4"/>
    <w:rsid w:val="2AFC7CED"/>
    <w:rsid w:val="2AFE7725"/>
    <w:rsid w:val="2B32082B"/>
    <w:rsid w:val="2B4B2633"/>
    <w:rsid w:val="2BB71DD4"/>
    <w:rsid w:val="2C07741C"/>
    <w:rsid w:val="2C6A1658"/>
    <w:rsid w:val="2CA87275"/>
    <w:rsid w:val="2CDD4A0E"/>
    <w:rsid w:val="2CE9341F"/>
    <w:rsid w:val="2D0D48D4"/>
    <w:rsid w:val="2D570F66"/>
    <w:rsid w:val="2D8518F4"/>
    <w:rsid w:val="2D9F6413"/>
    <w:rsid w:val="2DD2770F"/>
    <w:rsid w:val="2DEA41FB"/>
    <w:rsid w:val="2E090714"/>
    <w:rsid w:val="2E2744B0"/>
    <w:rsid w:val="2E406684"/>
    <w:rsid w:val="2E937198"/>
    <w:rsid w:val="2F82488D"/>
    <w:rsid w:val="2FAF543E"/>
    <w:rsid w:val="2FD34B5B"/>
    <w:rsid w:val="2FE32BBC"/>
    <w:rsid w:val="3018109B"/>
    <w:rsid w:val="30235A50"/>
    <w:rsid w:val="303E5A10"/>
    <w:rsid w:val="304D6F7E"/>
    <w:rsid w:val="307008BB"/>
    <w:rsid w:val="30873FAB"/>
    <w:rsid w:val="31114F97"/>
    <w:rsid w:val="312471E7"/>
    <w:rsid w:val="31326623"/>
    <w:rsid w:val="314945D8"/>
    <w:rsid w:val="31782CAF"/>
    <w:rsid w:val="31B22151"/>
    <w:rsid w:val="31B712CB"/>
    <w:rsid w:val="31D87B06"/>
    <w:rsid w:val="31FA0510"/>
    <w:rsid w:val="31FA2350"/>
    <w:rsid w:val="3207269E"/>
    <w:rsid w:val="325D61F7"/>
    <w:rsid w:val="32933712"/>
    <w:rsid w:val="32C13380"/>
    <w:rsid w:val="32E77493"/>
    <w:rsid w:val="332924F5"/>
    <w:rsid w:val="333E4AEF"/>
    <w:rsid w:val="335E5CD2"/>
    <w:rsid w:val="339A7D0A"/>
    <w:rsid w:val="33DF4510"/>
    <w:rsid w:val="3401164F"/>
    <w:rsid w:val="343A7E40"/>
    <w:rsid w:val="343C732F"/>
    <w:rsid w:val="34777188"/>
    <w:rsid w:val="34827ADC"/>
    <w:rsid w:val="34856DB9"/>
    <w:rsid w:val="34C55C10"/>
    <w:rsid w:val="34D94CE6"/>
    <w:rsid w:val="34E03C50"/>
    <w:rsid w:val="353B029B"/>
    <w:rsid w:val="35410549"/>
    <w:rsid w:val="3554290A"/>
    <w:rsid w:val="357E6FD1"/>
    <w:rsid w:val="358D5123"/>
    <w:rsid w:val="360E412D"/>
    <w:rsid w:val="36314215"/>
    <w:rsid w:val="368A57DF"/>
    <w:rsid w:val="36B167E4"/>
    <w:rsid w:val="370666B6"/>
    <w:rsid w:val="37813D36"/>
    <w:rsid w:val="37862E84"/>
    <w:rsid w:val="37F07439"/>
    <w:rsid w:val="39217F3E"/>
    <w:rsid w:val="392F3EDF"/>
    <w:rsid w:val="394279B5"/>
    <w:rsid w:val="399177DC"/>
    <w:rsid w:val="39A105E9"/>
    <w:rsid w:val="39C656D7"/>
    <w:rsid w:val="39E319A4"/>
    <w:rsid w:val="39E43EB9"/>
    <w:rsid w:val="3A061A3B"/>
    <w:rsid w:val="3A0636E9"/>
    <w:rsid w:val="3A2C3E02"/>
    <w:rsid w:val="3A596298"/>
    <w:rsid w:val="3A7D39C5"/>
    <w:rsid w:val="3AAD7671"/>
    <w:rsid w:val="3AB91B56"/>
    <w:rsid w:val="3AD60D98"/>
    <w:rsid w:val="3AFD0385"/>
    <w:rsid w:val="3B0911E6"/>
    <w:rsid w:val="3B305869"/>
    <w:rsid w:val="3B3B1C9B"/>
    <w:rsid w:val="3B6B5099"/>
    <w:rsid w:val="3BC66196"/>
    <w:rsid w:val="3BD92149"/>
    <w:rsid w:val="3BF1547D"/>
    <w:rsid w:val="3C1E0393"/>
    <w:rsid w:val="3CB90AEA"/>
    <w:rsid w:val="3D4B5F1A"/>
    <w:rsid w:val="3D5D315C"/>
    <w:rsid w:val="3DBA6181"/>
    <w:rsid w:val="3E292D05"/>
    <w:rsid w:val="3E2E4EC5"/>
    <w:rsid w:val="3E603030"/>
    <w:rsid w:val="3E9D1661"/>
    <w:rsid w:val="3EA320FA"/>
    <w:rsid w:val="3EA57E41"/>
    <w:rsid w:val="3EC7742B"/>
    <w:rsid w:val="3EDF43A1"/>
    <w:rsid w:val="3EE16724"/>
    <w:rsid w:val="3EF34430"/>
    <w:rsid w:val="3F2128F7"/>
    <w:rsid w:val="3F4E6E95"/>
    <w:rsid w:val="3F506925"/>
    <w:rsid w:val="3F534BDB"/>
    <w:rsid w:val="3FF664DD"/>
    <w:rsid w:val="40551718"/>
    <w:rsid w:val="40BF4E05"/>
    <w:rsid w:val="40D84937"/>
    <w:rsid w:val="40E6294E"/>
    <w:rsid w:val="413E7E04"/>
    <w:rsid w:val="41D3417C"/>
    <w:rsid w:val="42B809A5"/>
    <w:rsid w:val="42C20897"/>
    <w:rsid w:val="42C2516F"/>
    <w:rsid w:val="43432ECC"/>
    <w:rsid w:val="437C019B"/>
    <w:rsid w:val="43D76BD2"/>
    <w:rsid w:val="440D2682"/>
    <w:rsid w:val="441C78B8"/>
    <w:rsid w:val="443133A9"/>
    <w:rsid w:val="446332EA"/>
    <w:rsid w:val="44640837"/>
    <w:rsid w:val="44944E80"/>
    <w:rsid w:val="44D51E4A"/>
    <w:rsid w:val="44EF0953"/>
    <w:rsid w:val="44F608DF"/>
    <w:rsid w:val="45320E4E"/>
    <w:rsid w:val="454F78C2"/>
    <w:rsid w:val="45854404"/>
    <w:rsid w:val="459F0EDF"/>
    <w:rsid w:val="45A75D52"/>
    <w:rsid w:val="45AD537D"/>
    <w:rsid w:val="45C949EF"/>
    <w:rsid w:val="45D306D3"/>
    <w:rsid w:val="45F66D93"/>
    <w:rsid w:val="46190610"/>
    <w:rsid w:val="465D489A"/>
    <w:rsid w:val="4666290D"/>
    <w:rsid w:val="466D2592"/>
    <w:rsid w:val="46F6477A"/>
    <w:rsid w:val="46FE6849"/>
    <w:rsid w:val="472D26D6"/>
    <w:rsid w:val="473B56EE"/>
    <w:rsid w:val="4742580A"/>
    <w:rsid w:val="475C14A6"/>
    <w:rsid w:val="476A59FF"/>
    <w:rsid w:val="47785046"/>
    <w:rsid w:val="47AB0DF7"/>
    <w:rsid w:val="481276E8"/>
    <w:rsid w:val="481B3258"/>
    <w:rsid w:val="48294CD4"/>
    <w:rsid w:val="4871662B"/>
    <w:rsid w:val="488612D4"/>
    <w:rsid w:val="48896395"/>
    <w:rsid w:val="49710197"/>
    <w:rsid w:val="49975C79"/>
    <w:rsid w:val="49BD0AEA"/>
    <w:rsid w:val="49C35B92"/>
    <w:rsid w:val="49FB02FC"/>
    <w:rsid w:val="4A0324B3"/>
    <w:rsid w:val="4A873352"/>
    <w:rsid w:val="4AD25863"/>
    <w:rsid w:val="4B475D25"/>
    <w:rsid w:val="4B96350F"/>
    <w:rsid w:val="4B9A6686"/>
    <w:rsid w:val="4BFC52F4"/>
    <w:rsid w:val="4BFD56FB"/>
    <w:rsid w:val="4C0D09E6"/>
    <w:rsid w:val="4CA42BB5"/>
    <w:rsid w:val="4CA85B8B"/>
    <w:rsid w:val="4CAF36BC"/>
    <w:rsid w:val="4CEC603F"/>
    <w:rsid w:val="4D134BD5"/>
    <w:rsid w:val="4D147203"/>
    <w:rsid w:val="4D2E60E3"/>
    <w:rsid w:val="4D87560F"/>
    <w:rsid w:val="4D9E2C43"/>
    <w:rsid w:val="4DDB3621"/>
    <w:rsid w:val="4E3B4CFE"/>
    <w:rsid w:val="4EC8282C"/>
    <w:rsid w:val="4F6B03BF"/>
    <w:rsid w:val="4F843D25"/>
    <w:rsid w:val="4FCC508E"/>
    <w:rsid w:val="4FF31BBA"/>
    <w:rsid w:val="500B0E70"/>
    <w:rsid w:val="50783987"/>
    <w:rsid w:val="50944CB0"/>
    <w:rsid w:val="50DE7320"/>
    <w:rsid w:val="51196930"/>
    <w:rsid w:val="51237D2E"/>
    <w:rsid w:val="517F60AD"/>
    <w:rsid w:val="51935A63"/>
    <w:rsid w:val="51937DEA"/>
    <w:rsid w:val="519E1B03"/>
    <w:rsid w:val="51CD01CB"/>
    <w:rsid w:val="51E23031"/>
    <w:rsid w:val="520410A5"/>
    <w:rsid w:val="525E649B"/>
    <w:rsid w:val="5279675E"/>
    <w:rsid w:val="531E4C24"/>
    <w:rsid w:val="539443E3"/>
    <w:rsid w:val="53F3657F"/>
    <w:rsid w:val="54103BF9"/>
    <w:rsid w:val="548B6C5C"/>
    <w:rsid w:val="54D413B8"/>
    <w:rsid w:val="54D7115C"/>
    <w:rsid w:val="54EE4E00"/>
    <w:rsid w:val="55D1587F"/>
    <w:rsid w:val="55F47291"/>
    <w:rsid w:val="56091739"/>
    <w:rsid w:val="565E68F9"/>
    <w:rsid w:val="56686B67"/>
    <w:rsid w:val="573E3DB0"/>
    <w:rsid w:val="574127B6"/>
    <w:rsid w:val="574F6831"/>
    <w:rsid w:val="5756768E"/>
    <w:rsid w:val="57874D27"/>
    <w:rsid w:val="57DC6531"/>
    <w:rsid w:val="58154293"/>
    <w:rsid w:val="585F66A5"/>
    <w:rsid w:val="58982D68"/>
    <w:rsid w:val="5899196D"/>
    <w:rsid w:val="58F12263"/>
    <w:rsid w:val="5903488B"/>
    <w:rsid w:val="594076DC"/>
    <w:rsid w:val="598451C7"/>
    <w:rsid w:val="59A6736A"/>
    <w:rsid w:val="59AF2530"/>
    <w:rsid w:val="59C81783"/>
    <w:rsid w:val="59DF7D2A"/>
    <w:rsid w:val="5A21156A"/>
    <w:rsid w:val="5A2C4568"/>
    <w:rsid w:val="5A47527D"/>
    <w:rsid w:val="5B185BD5"/>
    <w:rsid w:val="5B3C34D8"/>
    <w:rsid w:val="5BA15428"/>
    <w:rsid w:val="5BB23B5A"/>
    <w:rsid w:val="5BCC3178"/>
    <w:rsid w:val="5BDB5BEC"/>
    <w:rsid w:val="5C0242CF"/>
    <w:rsid w:val="5C08720C"/>
    <w:rsid w:val="5C19051A"/>
    <w:rsid w:val="5C427E37"/>
    <w:rsid w:val="5C602C23"/>
    <w:rsid w:val="5C82091C"/>
    <w:rsid w:val="5C8735BF"/>
    <w:rsid w:val="5C8E34A7"/>
    <w:rsid w:val="5CD87D14"/>
    <w:rsid w:val="5D8E7E8B"/>
    <w:rsid w:val="5DF179D9"/>
    <w:rsid w:val="5DF265F6"/>
    <w:rsid w:val="5DFC25F6"/>
    <w:rsid w:val="5E3C4585"/>
    <w:rsid w:val="5E4A4BE0"/>
    <w:rsid w:val="5EE16635"/>
    <w:rsid w:val="5EEF7822"/>
    <w:rsid w:val="5EF80BA4"/>
    <w:rsid w:val="5F9A1707"/>
    <w:rsid w:val="5FF24FD6"/>
    <w:rsid w:val="602B0BD5"/>
    <w:rsid w:val="602F7576"/>
    <w:rsid w:val="60317DF6"/>
    <w:rsid w:val="604A5907"/>
    <w:rsid w:val="60865C34"/>
    <w:rsid w:val="60912DAE"/>
    <w:rsid w:val="60A027A4"/>
    <w:rsid w:val="60A9153E"/>
    <w:rsid w:val="60B91430"/>
    <w:rsid w:val="612D1A7D"/>
    <w:rsid w:val="616A76ED"/>
    <w:rsid w:val="619614D0"/>
    <w:rsid w:val="620F67EC"/>
    <w:rsid w:val="626D5A4E"/>
    <w:rsid w:val="626F590C"/>
    <w:rsid w:val="62962501"/>
    <w:rsid w:val="633A0FDE"/>
    <w:rsid w:val="633D2BA7"/>
    <w:rsid w:val="63485C21"/>
    <w:rsid w:val="6384056E"/>
    <w:rsid w:val="638E2DAC"/>
    <w:rsid w:val="63B009A5"/>
    <w:rsid w:val="63B75CE7"/>
    <w:rsid w:val="63D964CB"/>
    <w:rsid w:val="63E16C2B"/>
    <w:rsid w:val="63FF216F"/>
    <w:rsid w:val="6407617A"/>
    <w:rsid w:val="641E13AB"/>
    <w:rsid w:val="64460FA7"/>
    <w:rsid w:val="646C5D5E"/>
    <w:rsid w:val="64AE3C3D"/>
    <w:rsid w:val="64E61BEE"/>
    <w:rsid w:val="65094CA5"/>
    <w:rsid w:val="656D720C"/>
    <w:rsid w:val="65B456E9"/>
    <w:rsid w:val="65F86CC8"/>
    <w:rsid w:val="65FE5949"/>
    <w:rsid w:val="66063E6E"/>
    <w:rsid w:val="66704F24"/>
    <w:rsid w:val="66827D25"/>
    <w:rsid w:val="66A51517"/>
    <w:rsid w:val="66A7352E"/>
    <w:rsid w:val="66A76785"/>
    <w:rsid w:val="66D9246B"/>
    <w:rsid w:val="66E05BD7"/>
    <w:rsid w:val="670F7F24"/>
    <w:rsid w:val="678D1A58"/>
    <w:rsid w:val="67D20654"/>
    <w:rsid w:val="67ED44E4"/>
    <w:rsid w:val="682560DB"/>
    <w:rsid w:val="68AA326C"/>
    <w:rsid w:val="691E2698"/>
    <w:rsid w:val="693862AF"/>
    <w:rsid w:val="69496146"/>
    <w:rsid w:val="69513F80"/>
    <w:rsid w:val="698F6CBE"/>
    <w:rsid w:val="69981676"/>
    <w:rsid w:val="69AB2D6B"/>
    <w:rsid w:val="6A294785"/>
    <w:rsid w:val="6A385E52"/>
    <w:rsid w:val="6A4F4C12"/>
    <w:rsid w:val="6AC7350B"/>
    <w:rsid w:val="6AC771D0"/>
    <w:rsid w:val="6AEF4F14"/>
    <w:rsid w:val="6B002DB9"/>
    <w:rsid w:val="6B4828A5"/>
    <w:rsid w:val="6B7A5565"/>
    <w:rsid w:val="6B867D33"/>
    <w:rsid w:val="6BC333DB"/>
    <w:rsid w:val="6BE31711"/>
    <w:rsid w:val="6BE72799"/>
    <w:rsid w:val="6C687BEB"/>
    <w:rsid w:val="6C852119"/>
    <w:rsid w:val="6C872A15"/>
    <w:rsid w:val="6D036ADE"/>
    <w:rsid w:val="6D3A38A1"/>
    <w:rsid w:val="6D73577F"/>
    <w:rsid w:val="6D997ACA"/>
    <w:rsid w:val="6DC30630"/>
    <w:rsid w:val="6DD726CA"/>
    <w:rsid w:val="6E4D50B9"/>
    <w:rsid w:val="6E4F0506"/>
    <w:rsid w:val="6E5967B9"/>
    <w:rsid w:val="6EA16692"/>
    <w:rsid w:val="6EB26C3D"/>
    <w:rsid w:val="6F720FDE"/>
    <w:rsid w:val="6F8011C4"/>
    <w:rsid w:val="6FCF6002"/>
    <w:rsid w:val="6FE00C06"/>
    <w:rsid w:val="700E2DED"/>
    <w:rsid w:val="702C1C2C"/>
    <w:rsid w:val="704476BC"/>
    <w:rsid w:val="70483B44"/>
    <w:rsid w:val="704D5DCD"/>
    <w:rsid w:val="70577F08"/>
    <w:rsid w:val="706332AE"/>
    <w:rsid w:val="70970C45"/>
    <w:rsid w:val="70E57245"/>
    <w:rsid w:val="716F40E8"/>
    <w:rsid w:val="71B302D5"/>
    <w:rsid w:val="72A047AE"/>
    <w:rsid w:val="72CA1467"/>
    <w:rsid w:val="72E5585D"/>
    <w:rsid w:val="73534607"/>
    <w:rsid w:val="735D1848"/>
    <w:rsid w:val="73A3477D"/>
    <w:rsid w:val="73DD1CA1"/>
    <w:rsid w:val="7404143B"/>
    <w:rsid w:val="74490625"/>
    <w:rsid w:val="747169C8"/>
    <w:rsid w:val="747E21A4"/>
    <w:rsid w:val="74964153"/>
    <w:rsid w:val="74C45759"/>
    <w:rsid w:val="74CB6BAB"/>
    <w:rsid w:val="750061C9"/>
    <w:rsid w:val="751E6F30"/>
    <w:rsid w:val="752F3ED9"/>
    <w:rsid w:val="7566482B"/>
    <w:rsid w:val="75890323"/>
    <w:rsid w:val="75B312CC"/>
    <w:rsid w:val="75EC0074"/>
    <w:rsid w:val="762A506B"/>
    <w:rsid w:val="764D4710"/>
    <w:rsid w:val="76592DDA"/>
    <w:rsid w:val="76A25C3B"/>
    <w:rsid w:val="76B302D4"/>
    <w:rsid w:val="770E7A7F"/>
    <w:rsid w:val="77597671"/>
    <w:rsid w:val="777015A2"/>
    <w:rsid w:val="77AF0DED"/>
    <w:rsid w:val="78664405"/>
    <w:rsid w:val="788E4559"/>
    <w:rsid w:val="78A44B63"/>
    <w:rsid w:val="78A501F4"/>
    <w:rsid w:val="78B26191"/>
    <w:rsid w:val="78C5495A"/>
    <w:rsid w:val="78C63AB1"/>
    <w:rsid w:val="78F22F1D"/>
    <w:rsid w:val="790F486A"/>
    <w:rsid w:val="79110144"/>
    <w:rsid w:val="79165D8E"/>
    <w:rsid w:val="79230605"/>
    <w:rsid w:val="79350E65"/>
    <w:rsid w:val="7941716A"/>
    <w:rsid w:val="796B11C3"/>
    <w:rsid w:val="799D777B"/>
    <w:rsid w:val="79BB270F"/>
    <w:rsid w:val="79DE6092"/>
    <w:rsid w:val="7A426386"/>
    <w:rsid w:val="7A636281"/>
    <w:rsid w:val="7B6334FC"/>
    <w:rsid w:val="7B763128"/>
    <w:rsid w:val="7B763940"/>
    <w:rsid w:val="7B8008AE"/>
    <w:rsid w:val="7BA05750"/>
    <w:rsid w:val="7BD52323"/>
    <w:rsid w:val="7BF13293"/>
    <w:rsid w:val="7C141DD7"/>
    <w:rsid w:val="7C331CAB"/>
    <w:rsid w:val="7C4C347A"/>
    <w:rsid w:val="7CDA1DE4"/>
    <w:rsid w:val="7D08374B"/>
    <w:rsid w:val="7DFE1321"/>
    <w:rsid w:val="7E0F43DF"/>
    <w:rsid w:val="7E4D5DC2"/>
    <w:rsid w:val="7E6D684F"/>
    <w:rsid w:val="7EB2722A"/>
    <w:rsid w:val="7EB476E6"/>
    <w:rsid w:val="7EC37706"/>
    <w:rsid w:val="7ED026CE"/>
    <w:rsid w:val="7ED60CD1"/>
    <w:rsid w:val="7F1A59E8"/>
    <w:rsid w:val="7F1D6B1B"/>
    <w:rsid w:val="7F541D3A"/>
    <w:rsid w:val="7F605361"/>
    <w:rsid w:val="7F7052A0"/>
    <w:rsid w:val="7FB47D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sz w:val="28"/>
    </w:rPr>
  </w:style>
  <w:style w:type="paragraph" w:styleId="4">
    <w:name w:val="heading 2"/>
    <w:basedOn w:val="1"/>
    <w:next w:val="5"/>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link w:val="35"/>
    <w:qFormat/>
    <w:uiPriority w:val="0"/>
    <w:pPr>
      <w:keepNext/>
      <w:keepLines/>
      <w:spacing w:before="280" w:beforeLines="0" w:after="290" w:afterLines="0" w:line="376" w:lineRule="auto"/>
      <w:outlineLvl w:val="3"/>
    </w:pPr>
    <w:rPr>
      <w:rFonts w:ascii="Cambria" w:hAnsi="Cambria"/>
      <w:b/>
      <w:bCs/>
      <w:sz w:val="28"/>
      <w:szCs w:val="28"/>
      <w:lang w:eastAsia="en-US"/>
    </w:rPr>
  </w:style>
  <w:style w:type="character" w:default="1" w:styleId="29">
    <w:name w:val="Default Paragraph Font"/>
    <w:qFormat/>
    <w:uiPriority w:val="0"/>
    <w:rPr>
      <w:rFonts w:ascii="Arial" w:hAnsi="Arial" w:eastAsia="Times New Roman" w:cs="Verdana"/>
      <w:b/>
      <w:kern w:val="0"/>
      <w:sz w:val="24"/>
      <w:szCs w:val="24"/>
      <w:lang w:eastAsia="en-US"/>
    </w:rPr>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5">
    <w:name w:val="Normal Indent"/>
    <w:basedOn w:val="1"/>
    <w:unhideWhenUsed/>
    <w:qFormat/>
    <w:uiPriority w:val="99"/>
    <w:pPr>
      <w:spacing w:line="300" w:lineRule="auto"/>
      <w:ind w:firstLine="420" w:firstLineChars="200"/>
    </w:pPr>
    <w:rPr>
      <w:rFonts w:ascii="Times New Roman"/>
      <w:kern w:val="2"/>
      <w:sz w:val="21"/>
      <w:szCs w:val="24"/>
    </w:rPr>
  </w:style>
  <w:style w:type="paragraph" w:styleId="8">
    <w:name w:val="Document Map"/>
    <w:basedOn w:val="1"/>
    <w:qFormat/>
    <w:uiPriority w:val="0"/>
    <w:pPr>
      <w:shd w:val="clear" w:color="auto" w:fill="000080"/>
    </w:pPr>
  </w:style>
  <w:style w:type="paragraph" w:styleId="9">
    <w:name w:val="annotation text"/>
    <w:basedOn w:val="1"/>
    <w:link w:val="36"/>
    <w:unhideWhenUsed/>
    <w:qFormat/>
    <w:uiPriority w:val="99"/>
    <w:pPr>
      <w:jc w:val="left"/>
    </w:pPr>
    <w:rPr>
      <w:rFonts w:ascii="Arial" w:hAnsi="Arial" w:eastAsia="Times New Roman"/>
      <w:b/>
      <w:szCs w:val="24"/>
      <w:lang w:eastAsia="en-US"/>
    </w:rPr>
  </w:style>
  <w:style w:type="paragraph" w:styleId="10">
    <w:name w:val="Body Text Indent"/>
    <w:basedOn w:val="1"/>
    <w:qFormat/>
    <w:uiPriority w:val="0"/>
    <w:pPr>
      <w:ind w:firstLine="552"/>
    </w:pPr>
    <w:rPr>
      <w:rFonts w:ascii="宋体"/>
      <w:sz w:val="28"/>
    </w:rPr>
  </w:style>
  <w:style w:type="paragraph" w:styleId="11">
    <w:name w:val="toc 3"/>
    <w:basedOn w:val="1"/>
    <w:next w:val="1"/>
    <w:qFormat/>
    <w:uiPriority w:val="39"/>
    <w:pPr>
      <w:ind w:left="840" w:leftChars="400"/>
    </w:pPr>
  </w:style>
  <w:style w:type="paragraph" w:styleId="12">
    <w:name w:val="Plain Text"/>
    <w:basedOn w:val="1"/>
    <w:link w:val="37"/>
    <w:qFormat/>
    <w:uiPriority w:val="0"/>
    <w:rPr>
      <w:rFonts w:ascii="宋体" w:hAnsi="Courier New"/>
      <w:szCs w:val="21"/>
    </w:rPr>
  </w:style>
  <w:style w:type="paragraph" w:styleId="13">
    <w:name w:val="Date"/>
    <w:basedOn w:val="1"/>
    <w:next w:val="1"/>
    <w:link w:val="38"/>
    <w:qFormat/>
    <w:uiPriority w:val="0"/>
    <w:rPr>
      <w:rFonts w:ascii="宋体" w:hAnsi="Arial" w:eastAsia="Times New Roman"/>
      <w:b/>
      <w:sz w:val="24"/>
      <w:szCs w:val="24"/>
      <w:lang w:eastAsia="en-US"/>
    </w:rPr>
  </w:style>
  <w:style w:type="paragraph" w:styleId="14">
    <w:name w:val="Body Text Indent 2"/>
    <w:basedOn w:val="1"/>
    <w:link w:val="39"/>
    <w:qFormat/>
    <w:uiPriority w:val="0"/>
    <w:pPr>
      <w:spacing w:after="120" w:afterLines="0" w:line="480" w:lineRule="auto"/>
      <w:ind w:left="420" w:leftChars="200"/>
    </w:pPr>
    <w:rPr>
      <w:rFonts w:ascii="Arial" w:hAnsi="Arial" w:eastAsia="Times New Roman"/>
      <w:b/>
      <w:szCs w:val="24"/>
      <w:lang w:eastAsia="en-US"/>
    </w:rPr>
  </w:style>
  <w:style w:type="paragraph" w:styleId="15">
    <w:name w:val="Balloon Text"/>
    <w:basedOn w:val="1"/>
    <w:qFormat/>
    <w:uiPriority w:val="0"/>
    <w:rPr>
      <w:sz w:val="18"/>
      <w:szCs w:val="18"/>
    </w:rPr>
  </w:style>
  <w:style w:type="paragraph" w:styleId="16">
    <w:name w:val="footer"/>
    <w:basedOn w:val="1"/>
    <w:link w:val="40"/>
    <w:qFormat/>
    <w:uiPriority w:val="99"/>
    <w:pPr>
      <w:tabs>
        <w:tab w:val="center" w:pos="4153"/>
        <w:tab w:val="right" w:pos="8306"/>
      </w:tabs>
      <w:adjustRightInd w:val="0"/>
      <w:spacing w:line="240" w:lineRule="atLeast"/>
      <w:jc w:val="left"/>
      <w:textAlignment w:val="baseline"/>
    </w:pPr>
    <w:rPr>
      <w:rFonts w:ascii="Arial" w:hAnsi="Arial" w:eastAsia="Times New Roman"/>
      <w:b/>
      <w:kern w:val="0"/>
      <w:sz w:val="18"/>
      <w:szCs w:val="24"/>
      <w:lang w:eastAsia="en-US"/>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Body Text Indent 3"/>
    <w:basedOn w:val="1"/>
    <w:link w:val="42"/>
    <w:unhideWhenUsed/>
    <w:qFormat/>
    <w:uiPriority w:val="99"/>
    <w:pPr>
      <w:spacing w:after="120"/>
      <w:ind w:left="420" w:leftChars="200"/>
    </w:pPr>
    <w:rPr>
      <w:rFonts w:ascii="Arial" w:hAnsi="Arial" w:eastAsia="Times New Roman"/>
      <w:b/>
      <w:sz w:val="16"/>
      <w:szCs w:val="16"/>
      <w:lang w:eastAsia="en-US"/>
    </w:rPr>
  </w:style>
  <w:style w:type="paragraph" w:styleId="20">
    <w:name w:val="toc 2"/>
    <w:basedOn w:val="1"/>
    <w:next w:val="1"/>
    <w:unhideWhenUsed/>
    <w:qFormat/>
    <w:uiPriority w:val="39"/>
    <w:pPr>
      <w:ind w:left="420" w:leftChars="200"/>
    </w:pPr>
  </w:style>
  <w:style w:type="paragraph" w:styleId="21">
    <w:name w:val="Body Text 2"/>
    <w:basedOn w:val="1"/>
    <w:unhideWhenUsed/>
    <w:qFormat/>
    <w:uiPriority w:val="99"/>
    <w:pPr>
      <w:spacing w:after="120" w:line="480" w:lineRule="auto"/>
    </w:p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3">
    <w:name w:val="Normal (Web)"/>
    <w:basedOn w:val="1"/>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D3D3D"/>
      <w:kern w:val="0"/>
      <w:sz w:val="24"/>
      <w:lang w:val="en-US" w:eastAsia="zh-CN" w:bidi="ar"/>
    </w:rPr>
  </w:style>
  <w:style w:type="paragraph" w:styleId="24">
    <w:name w:val="Title"/>
    <w:basedOn w:val="1"/>
    <w:next w:val="1"/>
    <w:link w:val="43"/>
    <w:qFormat/>
    <w:uiPriority w:val="0"/>
    <w:pPr>
      <w:spacing w:before="240" w:beforeLines="0" w:after="60" w:afterLines="0"/>
      <w:jc w:val="center"/>
      <w:outlineLvl w:val="0"/>
    </w:pPr>
    <w:rPr>
      <w:rFonts w:ascii="Cambria" w:hAnsi="Cambria" w:eastAsia="Times New Roman"/>
      <w:b/>
      <w:bCs/>
      <w:sz w:val="32"/>
      <w:szCs w:val="32"/>
      <w:lang w:eastAsia="en-US"/>
    </w:rPr>
  </w:style>
  <w:style w:type="paragraph" w:styleId="25">
    <w:name w:val="annotation subject"/>
    <w:basedOn w:val="9"/>
    <w:next w:val="9"/>
    <w:link w:val="44"/>
    <w:unhideWhenUsed/>
    <w:qFormat/>
    <w:uiPriority w:val="99"/>
    <w:rPr>
      <w:bCs/>
    </w:rPr>
  </w:style>
  <w:style w:type="paragraph" w:styleId="26">
    <w:name w:val="Body Text First Indent"/>
    <w:basedOn w:val="2"/>
    <w:qFormat/>
    <w:uiPriority w:val="99"/>
    <w:pPr>
      <w:ind w:firstLine="420" w:firstLineChars="100"/>
    </w:pPr>
    <w:rPr>
      <w:rFonts w:ascii="宋体"/>
    </w:rPr>
  </w:style>
  <w:style w:type="table" w:styleId="28">
    <w:name w:val="Table Grid"/>
    <w:basedOn w:val="2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Cs/>
    </w:rPr>
  </w:style>
  <w:style w:type="character" w:styleId="31">
    <w:name w:val="page number"/>
    <w:basedOn w:val="29"/>
    <w:qFormat/>
    <w:uiPriority w:val="0"/>
  </w:style>
  <w:style w:type="character" w:styleId="32">
    <w:name w:val="FollowedHyperlink"/>
    <w:unhideWhenUsed/>
    <w:qFormat/>
    <w:uiPriority w:val="99"/>
    <w:rPr>
      <w:rFonts w:ascii="Arial" w:hAnsi="Arial" w:eastAsia="Times New Roman" w:cs="Verdana"/>
      <w:b/>
      <w:color w:val="3D3D3D"/>
      <w:kern w:val="0"/>
      <w:sz w:val="24"/>
      <w:szCs w:val="24"/>
      <w:u w:val="none"/>
      <w:lang w:eastAsia="en-US"/>
    </w:rPr>
  </w:style>
  <w:style w:type="character" w:styleId="33">
    <w:name w:val="Hyperlink"/>
    <w:basedOn w:val="29"/>
    <w:qFormat/>
    <w:uiPriority w:val="99"/>
    <w:rPr>
      <w:rFonts w:ascii="Arial" w:hAnsi="Arial" w:eastAsia="Times New Roman" w:cs="Verdana"/>
      <w:b w:val="0"/>
      <w:color w:val="0000FF"/>
      <w:kern w:val="0"/>
      <w:sz w:val="24"/>
      <w:szCs w:val="24"/>
      <w:u w:val="single"/>
      <w:lang w:eastAsia="en-US"/>
    </w:rPr>
  </w:style>
  <w:style w:type="character" w:styleId="34">
    <w:name w:val="annotation reference"/>
    <w:unhideWhenUsed/>
    <w:qFormat/>
    <w:uiPriority w:val="99"/>
    <w:rPr>
      <w:rFonts w:ascii="Arial" w:hAnsi="Arial" w:eastAsia="Times New Roman" w:cs="Verdana"/>
      <w:b/>
      <w:kern w:val="0"/>
      <w:sz w:val="21"/>
      <w:szCs w:val="21"/>
      <w:lang w:eastAsia="en-US"/>
    </w:rPr>
  </w:style>
  <w:style w:type="character" w:customStyle="1" w:styleId="35">
    <w:name w:val="标题 4 Char"/>
    <w:link w:val="7"/>
    <w:qFormat/>
    <w:uiPriority w:val="0"/>
    <w:rPr>
      <w:rFonts w:ascii="Cambria" w:hAnsi="Cambria" w:eastAsia="宋体" w:cs="Times New Roman"/>
      <w:b/>
      <w:bCs/>
      <w:kern w:val="2"/>
      <w:sz w:val="28"/>
      <w:szCs w:val="28"/>
      <w:lang w:eastAsia="en-US"/>
    </w:rPr>
  </w:style>
  <w:style w:type="character" w:customStyle="1" w:styleId="36">
    <w:name w:val="批注文字 Char"/>
    <w:link w:val="9"/>
    <w:uiPriority w:val="99"/>
    <w:rPr>
      <w:rFonts w:ascii="Arial" w:hAnsi="Arial" w:eastAsia="Times New Roman" w:cs="Verdana"/>
      <w:b/>
      <w:kern w:val="2"/>
      <w:sz w:val="21"/>
      <w:szCs w:val="24"/>
      <w:lang w:eastAsia="en-US"/>
    </w:rPr>
  </w:style>
  <w:style w:type="character" w:customStyle="1" w:styleId="37">
    <w:name w:val="纯文本 Char"/>
    <w:link w:val="12"/>
    <w:uiPriority w:val="0"/>
    <w:rPr>
      <w:rFonts w:ascii="宋体" w:hAnsi="Courier New" w:cs="Courier New"/>
      <w:kern w:val="2"/>
      <w:sz w:val="21"/>
      <w:szCs w:val="21"/>
    </w:rPr>
  </w:style>
  <w:style w:type="character" w:customStyle="1" w:styleId="38">
    <w:name w:val="日期 Char"/>
    <w:link w:val="13"/>
    <w:qFormat/>
    <w:uiPriority w:val="0"/>
    <w:rPr>
      <w:rFonts w:ascii="宋体" w:hAnsi="Arial" w:eastAsia="Times New Roman" w:cs="Verdana"/>
      <w:b/>
      <w:kern w:val="2"/>
      <w:sz w:val="24"/>
      <w:szCs w:val="24"/>
      <w:lang w:eastAsia="en-US"/>
    </w:rPr>
  </w:style>
  <w:style w:type="character" w:customStyle="1" w:styleId="39">
    <w:name w:val="正文文本缩进 2 Char"/>
    <w:link w:val="14"/>
    <w:qFormat/>
    <w:uiPriority w:val="0"/>
    <w:rPr>
      <w:rFonts w:ascii="Arial" w:hAnsi="Arial" w:eastAsia="Times New Roman" w:cs="Verdana"/>
      <w:b/>
      <w:kern w:val="2"/>
      <w:sz w:val="21"/>
      <w:szCs w:val="24"/>
      <w:lang w:eastAsia="en-US"/>
    </w:rPr>
  </w:style>
  <w:style w:type="character" w:customStyle="1" w:styleId="40">
    <w:name w:val="页脚 Char"/>
    <w:link w:val="16"/>
    <w:qFormat/>
    <w:uiPriority w:val="99"/>
    <w:rPr>
      <w:rFonts w:ascii="Arial" w:hAnsi="Arial" w:eastAsia="Times New Roman" w:cs="Verdana"/>
      <w:b/>
      <w:kern w:val="0"/>
      <w:sz w:val="18"/>
      <w:szCs w:val="24"/>
      <w:lang w:eastAsia="en-US"/>
    </w:rPr>
  </w:style>
  <w:style w:type="character" w:customStyle="1" w:styleId="41">
    <w:name w:val="页眉 Char"/>
    <w:link w:val="17"/>
    <w:qFormat/>
    <w:uiPriority w:val="0"/>
    <w:rPr>
      <w:kern w:val="2"/>
      <w:sz w:val="18"/>
      <w:szCs w:val="18"/>
    </w:rPr>
  </w:style>
  <w:style w:type="character" w:customStyle="1" w:styleId="42">
    <w:name w:val="正文文本缩进 3 Char"/>
    <w:link w:val="19"/>
    <w:semiHidden/>
    <w:qFormat/>
    <w:uiPriority w:val="99"/>
    <w:rPr>
      <w:rFonts w:ascii="Arial" w:hAnsi="Arial" w:eastAsia="Times New Roman" w:cs="Verdana"/>
      <w:b/>
      <w:kern w:val="2"/>
      <w:sz w:val="16"/>
      <w:szCs w:val="16"/>
      <w:lang w:eastAsia="en-US"/>
    </w:rPr>
  </w:style>
  <w:style w:type="character" w:customStyle="1" w:styleId="43">
    <w:name w:val="标题 Char"/>
    <w:link w:val="24"/>
    <w:qFormat/>
    <w:uiPriority w:val="0"/>
    <w:rPr>
      <w:rFonts w:ascii="Cambria" w:hAnsi="Cambria" w:eastAsia="Times New Roman" w:cs="Verdana"/>
      <w:b/>
      <w:bCs/>
      <w:kern w:val="2"/>
      <w:sz w:val="32"/>
      <w:szCs w:val="32"/>
      <w:lang w:eastAsia="en-US"/>
    </w:rPr>
  </w:style>
  <w:style w:type="character" w:customStyle="1" w:styleId="44">
    <w:name w:val="批注主题 Char"/>
    <w:link w:val="25"/>
    <w:semiHidden/>
    <w:qFormat/>
    <w:uiPriority w:val="99"/>
    <w:rPr>
      <w:rFonts w:ascii="Arial" w:hAnsi="Arial" w:eastAsia="Times New Roman" w:cs="Verdana"/>
      <w:b/>
      <w:bCs/>
      <w:kern w:val="2"/>
      <w:sz w:val="21"/>
      <w:szCs w:val="24"/>
      <w:lang w:eastAsia="en-US"/>
    </w:rPr>
  </w:style>
  <w:style w:type="character" w:customStyle="1" w:styleId="45">
    <w:name w:val="page number"/>
    <w:basedOn w:val="29"/>
    <w:qFormat/>
    <w:uiPriority w:val="0"/>
  </w:style>
  <w:style w:type="character" w:customStyle="1" w:styleId="46">
    <w:name w:val="纯文本 Char1"/>
    <w:qFormat/>
    <w:uiPriority w:val="0"/>
    <w:rPr>
      <w:rFonts w:ascii="宋体" w:hAnsi="Courier New" w:eastAsia="Times New Roman" w:cs="Courier New"/>
      <w:b/>
      <w:kern w:val="2"/>
      <w:sz w:val="21"/>
      <w:szCs w:val="21"/>
      <w:lang w:eastAsia="en-US"/>
    </w:rPr>
  </w:style>
  <w:style w:type="character" w:customStyle="1" w:styleId="47">
    <w:name w:val="段 Char Char"/>
    <w:link w:val="48"/>
    <w:qFormat/>
    <w:locked/>
    <w:uiPriority w:val="0"/>
    <w:rPr>
      <w:rFonts w:ascii="宋体" w:eastAsia="Times New Roman"/>
      <w:kern w:val="2"/>
      <w:sz w:val="21"/>
      <w:szCs w:val="22"/>
      <w:lang w:val="en-US" w:eastAsia="zh-CN" w:bidi="ar-SA"/>
    </w:rPr>
  </w:style>
  <w:style w:type="paragraph" w:customStyle="1" w:styleId="48">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1"/>
      <w:szCs w:val="22"/>
      <w:lang w:val="en-US" w:eastAsia="zh-CN" w:bidi="ar-SA"/>
    </w:rPr>
  </w:style>
  <w:style w:type="character" w:customStyle="1" w:styleId="49">
    <w:name w:val="apple-style-span"/>
    <w:basedOn w:val="29"/>
    <w:qFormat/>
    <w:uiPriority w:val="0"/>
  </w:style>
  <w:style w:type="character" w:customStyle="1" w:styleId="50">
    <w:name w:val="gpa"/>
    <w:basedOn w:val="29"/>
    <w:qFormat/>
    <w:uiPriority w:val="0"/>
    <w:rPr>
      <w:rFonts w:ascii="Arial" w:hAnsi="Arial" w:cs="Arial"/>
      <w:sz w:val="15"/>
      <w:szCs w:val="15"/>
    </w:rPr>
  </w:style>
  <w:style w:type="character" w:customStyle="1" w:styleId="51">
    <w:name w:val="displayarti"/>
    <w:basedOn w:val="29"/>
    <w:qFormat/>
    <w:uiPriority w:val="0"/>
    <w:rPr>
      <w:color w:val="FFFFFF"/>
      <w:shd w:val="clear" w:color="auto" w:fill="A00000"/>
    </w:rPr>
  </w:style>
  <w:style w:type="character" w:customStyle="1" w:styleId="52">
    <w:name w:val="selected"/>
    <w:basedOn w:val="29"/>
    <w:qFormat/>
    <w:uiPriority w:val="0"/>
    <w:rPr>
      <w:shd w:val="clear" w:color="auto" w:fill="B00006"/>
    </w:rPr>
  </w:style>
  <w:style w:type="character" w:customStyle="1" w:styleId="53">
    <w:name w:val="【正文】 Char"/>
    <w:link w:val="54"/>
    <w:qFormat/>
    <w:uiPriority w:val="0"/>
    <w:rPr>
      <w:rFonts w:ascii="仿宋" w:hAnsi="仿宋" w:eastAsia="仿宋" w:cs="仿宋_GB2312"/>
      <w:kern w:val="2"/>
      <w:sz w:val="24"/>
      <w:szCs w:val="28"/>
    </w:rPr>
  </w:style>
  <w:style w:type="paragraph" w:customStyle="1" w:styleId="54">
    <w:name w:val="【正文】"/>
    <w:basedOn w:val="21"/>
    <w:link w:val="53"/>
    <w:qFormat/>
    <w:uiPriority w:val="0"/>
    <w:pPr>
      <w:spacing w:after="0" w:line="360" w:lineRule="auto"/>
      <w:ind w:firstLine="200" w:firstLineChars="200"/>
    </w:pPr>
    <w:rPr>
      <w:rFonts w:ascii="仿宋" w:hAnsi="仿宋" w:eastAsia="仿宋"/>
      <w:sz w:val="24"/>
      <w:szCs w:val="28"/>
    </w:rPr>
  </w:style>
  <w:style w:type="character" w:customStyle="1" w:styleId="55">
    <w:name w:val="style5 style5"/>
    <w:basedOn w:val="29"/>
    <w:qFormat/>
    <w:uiPriority w:val="0"/>
  </w:style>
  <w:style w:type="character" w:customStyle="1" w:styleId="56">
    <w:name w:val="普通文字1 Char2"/>
    <w:qFormat/>
    <w:uiPriority w:val="0"/>
    <w:rPr>
      <w:rFonts w:ascii="宋体" w:hAnsi="Courier New" w:eastAsia="宋体"/>
      <w:kern w:val="2"/>
      <w:sz w:val="21"/>
      <w:lang w:val="en-US" w:eastAsia="zh-CN" w:bidi="ar-SA"/>
    </w:rPr>
  </w:style>
  <w:style w:type="paragraph" w:customStyle="1" w:styleId="57">
    <w:name w:val="样式 首行缩进:  0.8 厘米1"/>
    <w:basedOn w:val="1"/>
    <w:qFormat/>
    <w:uiPriority w:val="0"/>
    <w:pPr>
      <w:spacing w:before="60" w:after="60" w:line="288" w:lineRule="auto"/>
      <w:ind w:firstLine="454"/>
    </w:pPr>
    <w:rPr>
      <w:rFonts w:cs="宋体"/>
      <w:kern w:val="0"/>
      <w:sz w:val="24"/>
      <w:lang w:eastAsia="en-US"/>
    </w:rPr>
  </w:style>
  <w:style w:type="paragraph" w:customStyle="1" w:styleId="58">
    <w:name w:val="List Paragraph1"/>
    <w:basedOn w:val="1"/>
    <w:qFormat/>
    <w:uiPriority w:val="34"/>
    <w:pPr>
      <w:ind w:firstLine="420" w:firstLineChars="200"/>
    </w:pPr>
  </w:style>
  <w:style w:type="paragraph" w:customStyle="1" w:styleId="59">
    <w:name w:val="正文缩进1"/>
    <w:basedOn w:val="1"/>
    <w:qFormat/>
    <w:uiPriority w:val="0"/>
    <w:pPr>
      <w:ind w:firstLine="420" w:firstLineChars="200"/>
    </w:pPr>
  </w:style>
  <w:style w:type="paragraph" w:customStyle="1" w:styleId="60">
    <w:name w:val="表格标题"/>
    <w:basedOn w:val="1"/>
    <w:qFormat/>
    <w:uiPriority w:val="0"/>
    <w:pPr>
      <w:adjustRightInd w:val="0"/>
      <w:snapToGrid w:val="0"/>
      <w:spacing w:before="50" w:beforeLines="50" w:after="50" w:afterLines="50"/>
      <w:ind w:left="22" w:leftChars="8"/>
      <w:jc w:val="center"/>
    </w:pPr>
    <w:rPr>
      <w:b/>
      <w:bCs/>
      <w:color w:val="000000"/>
      <w:sz w:val="32"/>
      <w:szCs w:val="32"/>
    </w:rPr>
  </w:style>
  <w:style w:type="paragraph" w:customStyle="1" w:styleId="61">
    <w:name w:val="Body Text Indent 3"/>
    <w:basedOn w:val="1"/>
    <w:qFormat/>
    <w:uiPriority w:val="0"/>
    <w:pPr>
      <w:spacing w:line="410" w:lineRule="exact"/>
      <w:ind w:left="619" w:leftChars="295" w:firstLine="390" w:firstLineChars="179"/>
    </w:pPr>
    <w:rPr>
      <w:rFonts w:ascii="宋体" w:hAnsi="宋体"/>
      <w:spacing w:val="4"/>
    </w:rPr>
  </w:style>
  <w:style w:type="paragraph" w:customStyle="1" w:styleId="62">
    <w:name w:val="表格文字中"/>
    <w:basedOn w:val="1"/>
    <w:qFormat/>
    <w:uiPriority w:val="0"/>
    <w:pPr>
      <w:adjustRightInd w:val="0"/>
      <w:snapToGrid w:val="0"/>
      <w:ind w:left="22" w:leftChars="8"/>
      <w:jc w:val="center"/>
    </w:pPr>
    <w:rPr>
      <w:kern w:val="0"/>
      <w:szCs w:val="24"/>
    </w:rPr>
  </w:style>
  <w:style w:type="paragraph" w:customStyle="1" w:styleId="63">
    <w:name w:val="Normal"/>
    <w:qFormat/>
    <w:uiPriority w:val="0"/>
    <w:pPr>
      <w:widowControl w:val="0"/>
      <w:adjustRightInd w:val="0"/>
      <w:spacing w:line="315" w:lineRule="atLeast"/>
      <w:textAlignment w:val="baseline"/>
    </w:pPr>
    <w:rPr>
      <w:rFonts w:ascii="宋体" w:hAnsi="Times New Roman" w:eastAsia="宋体" w:cs="Times New Roman"/>
      <w:sz w:val="24"/>
      <w:szCs w:val="22"/>
      <w:lang w:val="en-US" w:eastAsia="zh-CN" w:bidi="ar-SA"/>
    </w:rPr>
  </w:style>
  <w:style w:type="paragraph" w:customStyle="1" w:styleId="64">
    <w:name w:val="Body Text Indent"/>
    <w:basedOn w:val="1"/>
    <w:qFormat/>
    <w:uiPriority w:val="0"/>
    <w:pPr>
      <w:widowControl/>
      <w:ind w:firstLine="652" w:firstLineChars="233"/>
    </w:pPr>
    <w:rPr>
      <w:kern w:val="0"/>
      <w:sz w:val="28"/>
    </w:rPr>
  </w:style>
  <w:style w:type="paragraph" w:customStyle="1" w:styleId="65">
    <w:name w:val="Char1"/>
    <w:basedOn w:val="1"/>
    <w:qFormat/>
    <w:uiPriority w:val="0"/>
    <w:pPr>
      <w:tabs>
        <w:tab w:val="left" w:pos="360"/>
      </w:tabs>
      <w:ind w:left="360" w:hanging="360" w:hangingChars="200"/>
    </w:pPr>
    <w:rPr>
      <w:sz w:val="24"/>
      <w:szCs w:val="24"/>
    </w:rPr>
  </w:style>
  <w:style w:type="paragraph" w:customStyle="1" w:styleId="66">
    <w:name w:val="Char Char Char Char"/>
    <w:basedOn w:val="1"/>
    <w:qFormat/>
    <w:uiPriority w:val="0"/>
    <w:pPr>
      <w:widowControl/>
      <w:spacing w:after="160" w:afterLines="0" w:line="240" w:lineRule="exact"/>
      <w:jc w:val="center"/>
    </w:pPr>
    <w:rPr>
      <w:rFonts w:ascii="宋体" w:hAnsi="宋体"/>
      <w:b/>
      <w:kern w:val="0"/>
      <w:sz w:val="28"/>
      <w:szCs w:val="28"/>
      <w:lang w:eastAsia="en-US"/>
    </w:rPr>
  </w:style>
  <w:style w:type="paragraph" w:customStyle="1" w:styleId="67">
    <w:name w:val="(a)正文"/>
    <w:basedOn w:val="1"/>
    <w:qFormat/>
    <w:uiPriority w:val="0"/>
    <w:pPr>
      <w:widowControl/>
      <w:tabs>
        <w:tab w:val="left" w:pos="1871"/>
        <w:tab w:val="left" w:pos="2081"/>
      </w:tabs>
      <w:spacing w:line="360" w:lineRule="exact"/>
      <w:ind w:left="1871" w:hanging="510"/>
    </w:pPr>
    <w:rPr>
      <w:sz w:val="24"/>
    </w:rPr>
  </w:style>
  <w:style w:type="paragraph" w:customStyle="1" w:styleId="68">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69">
    <w:name w:val="列出段落1"/>
    <w:basedOn w:val="1"/>
    <w:qFormat/>
    <w:uiPriority w:val="34"/>
    <w:pPr>
      <w:ind w:firstLine="420" w:firstLineChars="200"/>
    </w:pPr>
    <w:rPr>
      <w:rFonts w:ascii="Calibri" w:hAnsi="Calibri"/>
      <w:szCs w:val="22"/>
    </w:rPr>
  </w:style>
  <w:style w:type="paragraph" w:customStyle="1" w:styleId="70">
    <w:name w:val=" Char1"/>
    <w:basedOn w:val="1"/>
    <w:qFormat/>
    <w:uiPriority w:val="0"/>
    <w:pPr>
      <w:tabs>
        <w:tab w:val="left" w:pos="360"/>
      </w:tabs>
      <w:ind w:left="360" w:hanging="360" w:hangingChars="200"/>
    </w:pPr>
    <w:rPr>
      <w:sz w:val="24"/>
      <w:szCs w:val="24"/>
    </w:rPr>
  </w:style>
  <w:style w:type="paragraph" w:customStyle="1" w:styleId="7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2">
    <w:name w:val="_Style 71"/>
    <w:basedOn w:val="3"/>
    <w:next w:val="1"/>
    <w:qFormat/>
    <w:uiPriority w:val="0"/>
    <w:pPr>
      <w:keepLines/>
      <w:widowControl/>
      <w:spacing w:before="480" w:beforeLines="0" w:line="276" w:lineRule="auto"/>
      <w:jc w:val="left"/>
      <w:outlineLvl w:val="9"/>
    </w:pPr>
    <w:rPr>
      <w:rFonts w:ascii="Cambria" w:hAnsi="Cambria" w:eastAsia="宋体" w:cs="Times New Roman"/>
      <w:b/>
      <w:bCs/>
      <w:color w:val="365F91"/>
      <w:kern w:val="0"/>
      <w:szCs w:val="28"/>
    </w:rPr>
  </w:style>
  <w:style w:type="paragraph" w:styleId="73">
    <w:name w:val="List Paragraph"/>
    <w:basedOn w:val="1"/>
    <w:qFormat/>
    <w:uiPriority w:val="34"/>
    <w:pPr>
      <w:ind w:firstLine="420" w:firstLineChars="200"/>
    </w:pPr>
    <w:rPr>
      <w:rFonts w:ascii="Calibri" w:hAnsi="Calibri"/>
      <w:sz w:val="28"/>
      <w:szCs w:val="28"/>
    </w:rPr>
  </w:style>
  <w:style w:type="paragraph" w:customStyle="1" w:styleId="74">
    <w:name w:val=" Char Char3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75">
    <w:name w:val="方案正文"/>
    <w:basedOn w:val="1"/>
    <w:qFormat/>
    <w:uiPriority w:val="0"/>
    <w:pPr>
      <w:adjustRightInd w:val="0"/>
      <w:snapToGrid w:val="0"/>
      <w:spacing w:line="360" w:lineRule="auto"/>
      <w:ind w:firstLine="480" w:firstLineChars="200"/>
      <w:jc w:val="left"/>
    </w:pPr>
    <w:rPr>
      <w:sz w:val="24"/>
      <w:szCs w:val="24"/>
    </w:rPr>
  </w:style>
  <w:style w:type="paragraph" w:customStyle="1" w:styleId="76">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陕西招标局</Company>
  <Pages>62</Pages>
  <Words>27855</Words>
  <Characters>29469</Characters>
  <Lines>215</Lines>
  <Paragraphs>60</Paragraphs>
  <TotalTime>15</TotalTime>
  <ScaleCrop>false</ScaleCrop>
  <LinksUpToDate>false</LinksUpToDate>
  <CharactersWithSpaces>31383</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2016-03-16T16:58:00Z</dcterms:created>
  <dc:creator>HXZB</dc:creator>
  <cp:keywords>Birthday</cp:keywords>
  <cp:lastModifiedBy>Administrator</cp:lastModifiedBy>
  <cp:lastPrinted>2022-08-22T01:53:08Z</cp:lastPrinted>
  <dcterms:modified xsi:type="dcterms:W3CDTF">2022-08-22T01:53:25Z</dcterms:modified>
  <dc:subject>Birthday</dc:subject>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F2EEC4C957DB4115A0B2FC956C277DA1</vt:lpwstr>
  </property>
</Properties>
</file>