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宋体" w:hAnsi="宋体"/>
          <w:color w:val="auto"/>
          <w:sz w:val="24"/>
          <w:highlight w:val="none"/>
        </w:rPr>
      </w:pPr>
      <w:bookmarkStart w:id="0" w:name="_Toc183682338"/>
      <w:bookmarkStart w:id="1" w:name="_Toc217446030"/>
      <w:r>
        <w:rPr>
          <w:rFonts w:hint="eastAsia" w:ascii="宋体" w:hAnsi="宋体"/>
          <w:b/>
          <w:color w:val="auto"/>
          <w:sz w:val="28"/>
          <w:szCs w:val="28"/>
          <w:highlight w:val="none"/>
        </w:rPr>
        <w:t xml:space="preserve">专门面向中小企业政府采购项目 </w:t>
      </w:r>
    </w:p>
    <w:p>
      <w:pPr>
        <w:spacing w:line="360" w:lineRule="auto"/>
        <w:rPr>
          <w:rFonts w:hint="default" w:ascii="宋体" w:hAnsi="宋体" w:eastAsia="宋体" w:cs="宋体"/>
          <w:color w:val="auto"/>
          <w:sz w:val="22"/>
          <w:szCs w:val="22"/>
          <w:highlight w:val="none"/>
          <w:lang w:val="en-US" w:eastAsia="zh-CN"/>
        </w:rPr>
      </w:pPr>
      <w:r>
        <w:rPr>
          <w:rFonts w:hint="eastAsia" w:ascii="宋体" w:hAnsi="宋体" w:cs="宋体"/>
          <w:b/>
          <w:color w:val="auto"/>
          <w:sz w:val="28"/>
          <w:szCs w:val="28"/>
          <w:highlight w:val="none"/>
        </w:rPr>
        <w:t>采购项目编号：</w:t>
      </w:r>
      <w:r>
        <w:rPr>
          <w:rFonts w:hint="eastAsia" w:ascii="宋体" w:hAnsi="宋体" w:cs="宋体"/>
          <w:b/>
          <w:color w:val="auto"/>
          <w:sz w:val="28"/>
          <w:szCs w:val="28"/>
          <w:highlight w:val="none"/>
          <w:lang w:val="en-US" w:eastAsia="zh-CN"/>
        </w:rPr>
        <w:t>NEXXMGL2023-GK1016</w:t>
      </w:r>
    </w:p>
    <w:p>
      <w:pPr>
        <w:jc w:val="center"/>
        <w:rPr>
          <w:rFonts w:hint="eastAsia" w:ascii="宋体" w:hAnsi="宋体" w:cs="宋体"/>
          <w:b/>
          <w:color w:val="auto"/>
          <w:sz w:val="52"/>
          <w:szCs w:val="52"/>
          <w:highlight w:val="none"/>
        </w:rPr>
      </w:pPr>
    </w:p>
    <w:p>
      <w:pPr>
        <w:jc w:val="center"/>
        <w:rPr>
          <w:rFonts w:hint="eastAsia" w:ascii="宋体" w:hAnsi="宋体" w:cs="宋体"/>
          <w:b/>
          <w:color w:val="auto"/>
          <w:sz w:val="52"/>
          <w:szCs w:val="52"/>
          <w:highlight w:val="none"/>
        </w:rPr>
      </w:pPr>
    </w:p>
    <w:p>
      <w:pPr>
        <w:pStyle w:val="15"/>
        <w:adjustRightInd w:val="0"/>
        <w:snapToGrid w:val="0"/>
        <w:spacing w:line="360" w:lineRule="auto"/>
        <w:jc w:val="center"/>
        <w:outlineLvl w:val="9"/>
        <w:rPr>
          <w:rFonts w:hint="eastAsia" w:hAnsi="宋体" w:cs="宋体"/>
          <w:b/>
          <w:bCs/>
          <w:color w:val="auto"/>
          <w:sz w:val="56"/>
          <w:szCs w:val="72"/>
          <w:highlight w:val="none"/>
        </w:rPr>
      </w:pPr>
      <w:bookmarkStart w:id="2" w:name="_Toc10266"/>
      <w:r>
        <w:rPr>
          <w:rFonts w:hint="eastAsia" w:hAnsi="宋体" w:cs="宋体"/>
          <w:b/>
          <w:bCs/>
          <w:color w:val="auto"/>
          <w:sz w:val="56"/>
          <w:szCs w:val="72"/>
          <w:highlight w:val="none"/>
          <w:lang w:val="en-US" w:eastAsia="zh-CN"/>
        </w:rPr>
        <w:t>西安市莲湖区北院门街道办事处</w:t>
      </w:r>
      <w:bookmarkEnd w:id="2"/>
      <w:r>
        <w:rPr>
          <w:rFonts w:hint="eastAsia" w:hAnsi="宋体" w:cs="宋体"/>
          <w:b/>
          <w:bCs/>
          <w:color w:val="auto"/>
          <w:sz w:val="56"/>
          <w:szCs w:val="72"/>
          <w:highlight w:val="none"/>
          <w:lang w:val="en-US" w:eastAsia="zh-CN"/>
        </w:rPr>
        <w:t>保洁公司服务外包项目</w:t>
      </w:r>
    </w:p>
    <w:p>
      <w:pPr>
        <w:pStyle w:val="15"/>
        <w:adjustRightInd w:val="0"/>
        <w:snapToGrid w:val="0"/>
        <w:spacing w:line="360" w:lineRule="auto"/>
        <w:jc w:val="center"/>
        <w:rPr>
          <w:rFonts w:hint="eastAsia" w:hAnsi="宋体" w:cs="宋体"/>
          <w:b/>
          <w:bCs/>
          <w:color w:val="auto"/>
          <w:sz w:val="72"/>
          <w:szCs w:val="84"/>
          <w:highlight w:val="none"/>
        </w:rPr>
      </w:pPr>
    </w:p>
    <w:p>
      <w:pPr>
        <w:pStyle w:val="15"/>
        <w:adjustRightInd w:val="0"/>
        <w:snapToGrid w:val="0"/>
        <w:spacing w:line="360" w:lineRule="auto"/>
        <w:jc w:val="center"/>
        <w:rPr>
          <w:rFonts w:hint="eastAsia" w:hAnsi="宋体" w:cs="宋体"/>
          <w:b/>
          <w:bCs/>
          <w:color w:val="auto"/>
          <w:sz w:val="72"/>
          <w:szCs w:val="84"/>
          <w:highlight w:val="none"/>
        </w:rPr>
      </w:pPr>
      <w:r>
        <w:rPr>
          <w:rFonts w:hint="eastAsia" w:hAnsi="宋体" w:cs="宋体"/>
          <w:b/>
          <w:bCs/>
          <w:color w:val="auto"/>
          <w:sz w:val="72"/>
          <w:szCs w:val="84"/>
          <w:highlight w:val="none"/>
        </w:rPr>
        <w:t>招标文件</w:t>
      </w:r>
    </w:p>
    <w:p>
      <w:pPr>
        <w:pStyle w:val="15"/>
        <w:adjustRightInd w:val="0"/>
        <w:snapToGrid w:val="0"/>
        <w:spacing w:before="120" w:beforeLines="50" w:line="360" w:lineRule="auto"/>
        <w:ind w:left="846" w:leftChars="403" w:firstLine="157" w:firstLineChars="49"/>
        <w:rPr>
          <w:rFonts w:hint="eastAsia" w:hAnsi="宋体" w:cs="宋体"/>
          <w:b/>
          <w:color w:val="auto"/>
          <w:sz w:val="32"/>
          <w:szCs w:val="32"/>
          <w:highlight w:val="none"/>
        </w:rPr>
      </w:pPr>
    </w:p>
    <w:p>
      <w:pPr>
        <w:pStyle w:val="15"/>
        <w:adjustRightInd w:val="0"/>
        <w:snapToGrid w:val="0"/>
        <w:spacing w:before="120" w:beforeLines="50" w:line="360" w:lineRule="auto"/>
        <w:ind w:left="846" w:leftChars="403" w:firstLine="138" w:firstLineChars="49"/>
        <w:rPr>
          <w:rFonts w:hint="eastAsia" w:hAnsi="宋体" w:cs="宋体"/>
          <w:b/>
          <w:color w:val="auto"/>
          <w:sz w:val="28"/>
          <w:szCs w:val="28"/>
          <w:highlight w:val="none"/>
        </w:rPr>
      </w:pPr>
    </w:p>
    <w:p>
      <w:pPr>
        <w:pStyle w:val="15"/>
        <w:adjustRightInd w:val="0"/>
        <w:snapToGrid w:val="0"/>
        <w:spacing w:line="600" w:lineRule="auto"/>
        <w:ind w:firstLine="1662" w:firstLineChars="690"/>
        <w:rPr>
          <w:rFonts w:hint="eastAsia" w:hAnsi="宋体" w:cs="宋体"/>
          <w:b/>
          <w:color w:val="auto"/>
          <w:sz w:val="24"/>
          <w:szCs w:val="24"/>
          <w:highlight w:val="none"/>
        </w:rPr>
      </w:pPr>
    </w:p>
    <w:p>
      <w:pPr>
        <w:pStyle w:val="15"/>
        <w:adjustRightInd w:val="0"/>
        <w:snapToGrid w:val="0"/>
        <w:spacing w:line="600" w:lineRule="auto"/>
        <w:ind w:firstLine="1662" w:firstLineChars="690"/>
        <w:rPr>
          <w:rFonts w:hint="eastAsia" w:hAnsi="宋体" w:cs="宋体"/>
          <w:b/>
          <w:color w:val="auto"/>
          <w:sz w:val="24"/>
          <w:szCs w:val="24"/>
          <w:highlight w:val="none"/>
        </w:rPr>
      </w:pPr>
    </w:p>
    <w:p>
      <w:pPr>
        <w:pStyle w:val="15"/>
        <w:adjustRightInd w:val="0"/>
        <w:snapToGrid w:val="0"/>
        <w:spacing w:line="600" w:lineRule="auto"/>
        <w:jc w:val="center"/>
        <w:outlineLvl w:val="9"/>
        <w:rPr>
          <w:rFonts w:hint="eastAsia" w:hAnsi="宋体" w:eastAsia="宋体" w:cs="宋体"/>
          <w:b/>
          <w:color w:val="auto"/>
          <w:sz w:val="24"/>
          <w:szCs w:val="24"/>
          <w:highlight w:val="none"/>
          <w:lang w:eastAsia="zh-CN"/>
        </w:rPr>
      </w:pPr>
      <w:bookmarkStart w:id="3" w:name="_Toc26579"/>
      <w:bookmarkStart w:id="4" w:name="_Toc29703"/>
      <w:r>
        <w:rPr>
          <w:rFonts w:hint="eastAsia" w:hAnsi="宋体" w:cs="宋体"/>
          <w:b/>
          <w:color w:val="auto"/>
          <w:sz w:val="24"/>
          <w:szCs w:val="24"/>
          <w:highlight w:val="none"/>
          <w:lang w:eastAsia="zh-CN"/>
        </w:rPr>
        <w:t>采购人</w:t>
      </w:r>
      <w:r>
        <w:rPr>
          <w:rFonts w:hint="eastAsia" w:hAnsi="宋体" w:cs="宋体"/>
          <w:b/>
          <w:color w:val="auto"/>
          <w:sz w:val="24"/>
          <w:szCs w:val="24"/>
          <w:highlight w:val="none"/>
        </w:rPr>
        <w:t>：</w:t>
      </w:r>
      <w:bookmarkEnd w:id="3"/>
      <w:r>
        <w:rPr>
          <w:rFonts w:hint="eastAsia" w:hAnsi="宋体" w:cs="宋体"/>
          <w:b/>
          <w:color w:val="auto"/>
          <w:sz w:val="24"/>
          <w:szCs w:val="24"/>
          <w:highlight w:val="none"/>
          <w:lang w:val="en-US" w:eastAsia="zh-CN"/>
        </w:rPr>
        <w:t>西安市莲湖区北院门街道办事处</w:t>
      </w:r>
      <w:bookmarkEnd w:id="4"/>
    </w:p>
    <w:p>
      <w:pPr>
        <w:pStyle w:val="15"/>
        <w:adjustRightInd w:val="0"/>
        <w:snapToGrid w:val="0"/>
        <w:spacing w:line="360" w:lineRule="auto"/>
        <w:ind w:left="0" w:leftChars="0" w:firstLine="0" w:firstLineChars="0"/>
        <w:jc w:val="center"/>
        <w:outlineLvl w:val="9"/>
        <w:rPr>
          <w:rFonts w:hint="eastAsia" w:hAnsi="宋体" w:eastAsia="宋体" w:cs="宋体"/>
          <w:b/>
          <w:color w:val="auto"/>
          <w:sz w:val="24"/>
          <w:szCs w:val="24"/>
          <w:highlight w:val="none"/>
          <w:lang w:eastAsia="zh-CN"/>
        </w:rPr>
      </w:pPr>
      <w:bookmarkStart w:id="5" w:name="_Toc7450"/>
      <w:r>
        <w:rPr>
          <w:rFonts w:hint="eastAsia" w:hAnsi="宋体" w:cs="宋体"/>
          <w:b/>
          <w:color w:val="auto"/>
          <w:sz w:val="24"/>
          <w:szCs w:val="24"/>
          <w:highlight w:val="none"/>
          <w:lang w:eastAsia="zh-CN"/>
        </w:rPr>
        <w:t>采购</w:t>
      </w:r>
      <w:r>
        <w:rPr>
          <w:rFonts w:hint="eastAsia" w:hAnsi="宋体" w:cs="宋体"/>
          <w:b/>
          <w:color w:val="auto"/>
          <w:sz w:val="24"/>
          <w:szCs w:val="24"/>
          <w:highlight w:val="none"/>
        </w:rPr>
        <w:t>代理机构:</w:t>
      </w:r>
      <w:r>
        <w:rPr>
          <w:rFonts w:hint="eastAsia" w:hAnsi="宋体" w:cs="宋体"/>
          <w:b/>
          <w:color w:val="auto"/>
          <w:sz w:val="24"/>
          <w:szCs w:val="24"/>
          <w:highlight w:val="none"/>
          <w:lang w:val="en-US" w:eastAsia="zh-CN"/>
        </w:rPr>
        <w:t xml:space="preserve"> </w:t>
      </w:r>
      <w:bookmarkEnd w:id="5"/>
      <w:r>
        <w:rPr>
          <w:rFonts w:hint="eastAsia" w:hAnsi="宋体" w:cs="宋体"/>
          <w:b/>
          <w:color w:val="auto"/>
          <w:sz w:val="24"/>
          <w:szCs w:val="24"/>
          <w:highlight w:val="none"/>
          <w:lang w:eastAsia="zh-CN"/>
        </w:rPr>
        <w:t>陕西诺尔信项目管理有限公司</w:t>
      </w:r>
    </w:p>
    <w:p>
      <w:pPr>
        <w:spacing w:line="360" w:lineRule="auto"/>
        <w:jc w:val="center"/>
        <w:rPr>
          <w:rFonts w:hint="eastAsia" w:ascii="宋体" w:hAnsi="宋体" w:cs="宋体"/>
          <w:b/>
          <w:color w:val="auto"/>
          <w:sz w:val="28"/>
          <w:szCs w:val="28"/>
          <w:highlight w:val="none"/>
          <w:lang w:val="zh-CN"/>
        </w:rPr>
      </w:pPr>
    </w:p>
    <w:p>
      <w:pPr>
        <w:spacing w:line="360" w:lineRule="auto"/>
        <w:jc w:val="center"/>
        <w:rPr>
          <w:rFonts w:hint="eastAsia" w:ascii="宋体" w:hAnsi="宋体" w:cs="宋体"/>
          <w:b/>
          <w:bCs/>
          <w:color w:val="auto"/>
          <w:sz w:val="28"/>
          <w:szCs w:val="28"/>
          <w:highlight w:val="none"/>
          <w:lang w:val="zh-CN"/>
        </w:rPr>
      </w:pPr>
      <w:r>
        <w:rPr>
          <w:rFonts w:hint="eastAsia" w:ascii="宋体" w:hAnsi="宋体" w:cs="宋体"/>
          <w:b/>
          <w:color w:val="auto"/>
          <w:sz w:val="28"/>
          <w:szCs w:val="28"/>
          <w:highlight w:val="none"/>
          <w:lang w:val="zh-CN"/>
        </w:rPr>
        <w:t>二〇二三年三月</w:t>
      </w:r>
    </w:p>
    <w:p>
      <w:pPr>
        <w:spacing w:line="360" w:lineRule="auto"/>
        <w:ind w:firstLine="203" w:firstLineChars="46"/>
        <w:jc w:val="both"/>
        <w:rPr>
          <w:rFonts w:ascii="宋体" w:hAnsi="宋体" w:cs="宋体"/>
          <w:b/>
          <w:bCs/>
          <w:color w:val="auto"/>
          <w:sz w:val="44"/>
          <w:szCs w:val="44"/>
          <w:highlight w:val="none"/>
          <w:lang w:val="zh-CN"/>
        </w:rPr>
        <w:sectPr>
          <w:headerReference r:id="rId5" w:type="first"/>
          <w:headerReference r:id="rId3" w:type="default"/>
          <w:footerReference r:id="rId6" w:type="default"/>
          <w:headerReference r:id="rId4" w:type="even"/>
          <w:footerReference r:id="rId7" w:type="even"/>
          <w:pgSz w:w="11907" w:h="16840"/>
          <w:pgMar w:top="1440" w:right="1474" w:bottom="1440" w:left="1474" w:header="851" w:footer="992" w:gutter="0"/>
          <w:pgBorders>
            <w:top w:val="none" w:sz="0" w:space="0"/>
            <w:left w:val="none" w:sz="0" w:space="0"/>
            <w:bottom w:val="none" w:sz="0" w:space="0"/>
            <w:right w:val="none" w:sz="0" w:space="0"/>
          </w:pgBorders>
          <w:cols w:space="720" w:num="1"/>
          <w:titlePg/>
          <w:rtlGutter w:val="1"/>
        </w:sectPr>
      </w:pPr>
    </w:p>
    <w:p>
      <w:pPr>
        <w:jc w:val="center"/>
        <w:rPr>
          <w:rFonts w:hint="eastAsia" w:ascii="宋体" w:hAnsi="宋体" w:cs="宋体"/>
          <w:b/>
          <w:color w:val="auto"/>
          <w:sz w:val="36"/>
          <w:highlight w:val="none"/>
        </w:rPr>
      </w:pPr>
      <w:r>
        <w:rPr>
          <w:rFonts w:hint="eastAsia" w:ascii="宋体" w:hAnsi="宋体" w:cs="宋体"/>
          <w:b/>
          <w:color w:val="auto"/>
          <w:sz w:val="36"/>
          <w:highlight w:val="none"/>
        </w:rPr>
        <w:t>目    录</w:t>
      </w:r>
    </w:p>
    <w:sdt>
      <w:sdtPr>
        <w:rPr>
          <w:rFonts w:ascii="宋体" w:hAnsi="宋体" w:eastAsia="宋体" w:cs="Times New Roman"/>
          <w:kern w:val="2"/>
          <w:sz w:val="21"/>
          <w:szCs w:val="24"/>
          <w:lang w:val="en-US" w:eastAsia="zh-CN" w:bidi="ar-SA"/>
        </w:rPr>
        <w:id w:val="147462605"/>
        <w15:color w:val="DBDBDB"/>
        <w:docPartObj>
          <w:docPartGallery w:val="Table of Contents"/>
          <w:docPartUnique/>
        </w:docPartObj>
      </w:sdtPr>
      <w:sdtEndPr>
        <w:rPr>
          <w:rFonts w:hint="eastAsia" w:ascii="Times New Roman" w:hAnsi="Times New Roman" w:eastAsia="宋体" w:cs="Times New Roman"/>
          <w:b/>
          <w:kern w:val="2"/>
          <w:sz w:val="28"/>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07"/>
            <w:tabs>
              <w:tab w:val="right" w:leader="dot" w:pos="8959"/>
            </w:tabs>
          </w:pPr>
          <w:r>
            <w:rPr>
              <w:rFonts w:hint="eastAsia"/>
            </w:rPr>
            <w:fldChar w:fldCharType="begin"/>
          </w:r>
          <w:r>
            <w:rPr>
              <w:rFonts w:hint="eastAsia"/>
            </w:rPr>
            <w:instrText xml:space="preserve">TOC \o "1-1" \h \u </w:instrText>
          </w:r>
          <w:r>
            <w:rPr>
              <w:rFonts w:hint="eastAsia"/>
            </w:rPr>
            <w:fldChar w:fldCharType="separate"/>
          </w:r>
        </w:p>
        <w:p>
          <w:pPr>
            <w:pStyle w:val="107"/>
            <w:tabs>
              <w:tab w:val="right" w:leader="dot" w:pos="8959"/>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_Toc484 </w:instrText>
          </w:r>
          <w:r>
            <w:rPr>
              <w:rFonts w:hint="eastAsia" w:ascii="宋体" w:hAnsi="宋体" w:eastAsia="宋体" w:cs="宋体"/>
              <w:sz w:val="30"/>
              <w:szCs w:val="30"/>
            </w:rPr>
            <w:fldChar w:fldCharType="separate"/>
          </w:r>
          <w:r>
            <w:rPr>
              <w:rFonts w:hint="eastAsia" w:ascii="宋体" w:hAnsi="宋体" w:eastAsia="宋体" w:cs="宋体"/>
              <w:kern w:val="44"/>
              <w:sz w:val="30"/>
              <w:szCs w:val="30"/>
            </w:rPr>
            <w:t xml:space="preserve">第一章 </w:t>
          </w:r>
          <w:r>
            <w:rPr>
              <w:rFonts w:hint="eastAsia" w:ascii="宋体" w:hAnsi="宋体" w:eastAsia="宋体" w:cs="宋体"/>
              <w:kern w:val="44"/>
              <w:sz w:val="30"/>
              <w:szCs w:val="30"/>
              <w:highlight w:val="none"/>
            </w:rPr>
            <w:t>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_Toc484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07"/>
            <w:tabs>
              <w:tab w:val="right" w:leader="dot" w:pos="8959"/>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_Toc7634 </w:instrText>
          </w:r>
          <w:r>
            <w:rPr>
              <w:rFonts w:hint="eastAsia" w:ascii="宋体" w:hAnsi="宋体" w:eastAsia="宋体" w:cs="宋体"/>
              <w:sz w:val="30"/>
              <w:szCs w:val="30"/>
            </w:rPr>
            <w:fldChar w:fldCharType="separate"/>
          </w:r>
          <w:r>
            <w:rPr>
              <w:rFonts w:hint="eastAsia" w:ascii="宋体" w:hAnsi="宋体" w:eastAsia="宋体" w:cs="宋体"/>
              <w:kern w:val="44"/>
              <w:sz w:val="30"/>
              <w:szCs w:val="30"/>
              <w:highlight w:val="none"/>
            </w:rPr>
            <w:t>第二</w:t>
          </w:r>
          <w:r>
            <w:rPr>
              <w:rFonts w:hint="eastAsia" w:ascii="宋体" w:hAnsi="宋体" w:eastAsia="宋体" w:cs="宋体"/>
              <w:sz w:val="30"/>
              <w:szCs w:val="30"/>
              <w:highlight w:val="none"/>
            </w:rPr>
            <w:t>章 投标人须知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_Toc7634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07"/>
            <w:tabs>
              <w:tab w:val="right" w:leader="dot" w:pos="8959"/>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_Toc27179 </w:instrText>
          </w:r>
          <w:r>
            <w:rPr>
              <w:rFonts w:hint="eastAsia" w:ascii="宋体" w:hAnsi="宋体" w:eastAsia="宋体" w:cs="宋体"/>
              <w:sz w:val="30"/>
              <w:szCs w:val="30"/>
            </w:rPr>
            <w:fldChar w:fldCharType="separate"/>
          </w:r>
          <w:r>
            <w:rPr>
              <w:rFonts w:hint="eastAsia" w:ascii="宋体" w:hAnsi="宋体" w:eastAsia="宋体" w:cs="宋体"/>
              <w:sz w:val="30"/>
              <w:szCs w:val="30"/>
              <w:highlight w:val="none"/>
            </w:rPr>
            <w:t>第三章 资格审查办法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_Toc27179 \h </w:instrText>
          </w:r>
          <w:r>
            <w:rPr>
              <w:rFonts w:hint="eastAsia" w:ascii="宋体" w:hAnsi="宋体" w:eastAsia="宋体" w:cs="宋体"/>
              <w:sz w:val="30"/>
              <w:szCs w:val="30"/>
            </w:rPr>
            <w:fldChar w:fldCharType="separate"/>
          </w:r>
          <w:r>
            <w:rPr>
              <w:rFonts w:hint="eastAsia" w:ascii="宋体" w:hAnsi="宋体" w:eastAsia="宋体" w:cs="宋体"/>
              <w:sz w:val="30"/>
              <w:szCs w:val="30"/>
            </w:rPr>
            <w:t>33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07"/>
            <w:tabs>
              <w:tab w:val="right" w:leader="dot" w:pos="8959"/>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_Toc4775 </w:instrText>
          </w:r>
          <w:r>
            <w:rPr>
              <w:rFonts w:hint="eastAsia" w:ascii="宋体" w:hAnsi="宋体" w:eastAsia="宋体" w:cs="宋体"/>
              <w:sz w:val="30"/>
              <w:szCs w:val="30"/>
            </w:rPr>
            <w:fldChar w:fldCharType="separate"/>
          </w:r>
          <w:r>
            <w:rPr>
              <w:rFonts w:hint="eastAsia" w:ascii="宋体" w:hAnsi="宋体" w:eastAsia="宋体" w:cs="宋体"/>
              <w:kern w:val="44"/>
              <w:sz w:val="30"/>
              <w:szCs w:val="30"/>
              <w:highlight w:val="none"/>
            </w:rPr>
            <w:t>第</w:t>
          </w:r>
          <w:r>
            <w:rPr>
              <w:rFonts w:hint="eastAsia" w:ascii="宋体" w:hAnsi="宋体" w:eastAsia="宋体" w:cs="宋体"/>
              <w:kern w:val="44"/>
              <w:sz w:val="30"/>
              <w:szCs w:val="30"/>
              <w:highlight w:val="none"/>
              <w:lang w:eastAsia="zh-CN"/>
            </w:rPr>
            <w:t>四</w:t>
          </w:r>
          <w:r>
            <w:rPr>
              <w:rFonts w:hint="eastAsia" w:ascii="宋体" w:hAnsi="宋体" w:eastAsia="宋体" w:cs="宋体"/>
              <w:kern w:val="44"/>
              <w:sz w:val="30"/>
              <w:szCs w:val="30"/>
              <w:highlight w:val="none"/>
            </w:rPr>
            <w:t>章 评标办法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_Toc4775 \h </w:instrText>
          </w:r>
          <w:r>
            <w:rPr>
              <w:rFonts w:hint="eastAsia" w:ascii="宋体" w:hAnsi="宋体" w:eastAsia="宋体" w:cs="宋体"/>
              <w:sz w:val="30"/>
              <w:szCs w:val="30"/>
            </w:rPr>
            <w:fldChar w:fldCharType="separate"/>
          </w:r>
          <w:r>
            <w:rPr>
              <w:rFonts w:hint="eastAsia" w:ascii="宋体" w:hAnsi="宋体" w:eastAsia="宋体" w:cs="宋体"/>
              <w:sz w:val="30"/>
              <w:szCs w:val="30"/>
            </w:rPr>
            <w:t>37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07"/>
            <w:tabs>
              <w:tab w:val="right" w:leader="dot" w:pos="8959"/>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_Toc26316 </w:instrText>
          </w:r>
          <w:r>
            <w:rPr>
              <w:rFonts w:hint="eastAsia" w:ascii="宋体" w:hAnsi="宋体" w:eastAsia="宋体" w:cs="宋体"/>
              <w:sz w:val="30"/>
              <w:szCs w:val="30"/>
            </w:rPr>
            <w:fldChar w:fldCharType="separate"/>
          </w:r>
          <w:r>
            <w:rPr>
              <w:rFonts w:hint="eastAsia" w:ascii="宋体" w:hAnsi="宋体" w:eastAsia="宋体" w:cs="宋体"/>
              <w:kern w:val="44"/>
              <w:sz w:val="30"/>
              <w:szCs w:val="30"/>
              <w:highlight w:val="none"/>
            </w:rPr>
            <w:t>第</w:t>
          </w:r>
          <w:r>
            <w:rPr>
              <w:rFonts w:hint="eastAsia" w:ascii="宋体" w:hAnsi="宋体" w:eastAsia="宋体" w:cs="宋体"/>
              <w:kern w:val="44"/>
              <w:sz w:val="30"/>
              <w:szCs w:val="30"/>
              <w:highlight w:val="none"/>
              <w:lang w:eastAsia="zh-CN"/>
            </w:rPr>
            <w:t>五</w:t>
          </w:r>
          <w:r>
            <w:rPr>
              <w:rFonts w:hint="eastAsia" w:ascii="宋体" w:hAnsi="宋体" w:eastAsia="宋体" w:cs="宋体"/>
              <w:kern w:val="44"/>
              <w:sz w:val="30"/>
              <w:szCs w:val="30"/>
              <w:highlight w:val="none"/>
            </w:rPr>
            <w:t>章 采购</w:t>
          </w:r>
          <w:r>
            <w:rPr>
              <w:rFonts w:hint="eastAsia" w:ascii="宋体" w:hAnsi="宋体" w:eastAsia="宋体" w:cs="宋体"/>
              <w:kern w:val="44"/>
              <w:sz w:val="30"/>
              <w:szCs w:val="30"/>
              <w:highlight w:val="none"/>
              <w:lang w:eastAsia="zh-CN"/>
            </w:rPr>
            <w:t>需求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_Toc26316 \h </w:instrText>
          </w:r>
          <w:r>
            <w:rPr>
              <w:rFonts w:hint="eastAsia" w:ascii="宋体" w:hAnsi="宋体" w:eastAsia="宋体" w:cs="宋体"/>
              <w:sz w:val="30"/>
              <w:szCs w:val="30"/>
            </w:rPr>
            <w:fldChar w:fldCharType="separate"/>
          </w:r>
          <w:r>
            <w:rPr>
              <w:rFonts w:hint="eastAsia" w:ascii="宋体" w:hAnsi="宋体" w:eastAsia="宋体" w:cs="宋体"/>
              <w:sz w:val="30"/>
              <w:szCs w:val="30"/>
            </w:rPr>
            <w:t>45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07"/>
            <w:tabs>
              <w:tab w:val="right" w:leader="dot" w:pos="8959"/>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_Toc24324 </w:instrText>
          </w:r>
          <w:r>
            <w:rPr>
              <w:rFonts w:hint="eastAsia" w:ascii="宋体" w:hAnsi="宋体" w:eastAsia="宋体" w:cs="宋体"/>
              <w:sz w:val="30"/>
              <w:szCs w:val="30"/>
            </w:rPr>
            <w:fldChar w:fldCharType="separate"/>
          </w:r>
          <w:r>
            <w:rPr>
              <w:rFonts w:hint="eastAsia" w:ascii="宋体" w:hAnsi="宋体" w:eastAsia="宋体" w:cs="宋体"/>
              <w:kern w:val="44"/>
              <w:sz w:val="30"/>
              <w:szCs w:val="30"/>
              <w:highlight w:val="none"/>
            </w:rPr>
            <w:t>第</w:t>
          </w:r>
          <w:r>
            <w:rPr>
              <w:rFonts w:hint="eastAsia" w:ascii="宋体" w:hAnsi="宋体" w:eastAsia="宋体" w:cs="宋体"/>
              <w:kern w:val="44"/>
              <w:sz w:val="30"/>
              <w:szCs w:val="30"/>
              <w:highlight w:val="none"/>
              <w:lang w:eastAsia="zh-CN"/>
            </w:rPr>
            <w:t>六</w:t>
          </w:r>
          <w:r>
            <w:rPr>
              <w:rFonts w:hint="eastAsia" w:ascii="宋体" w:hAnsi="宋体" w:eastAsia="宋体" w:cs="宋体"/>
              <w:kern w:val="44"/>
              <w:sz w:val="30"/>
              <w:szCs w:val="30"/>
              <w:highlight w:val="none"/>
            </w:rPr>
            <w:t>章 政府采购合同格式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_Toc24324 \h </w:instrText>
          </w:r>
          <w:r>
            <w:rPr>
              <w:rFonts w:hint="eastAsia" w:ascii="宋体" w:hAnsi="宋体" w:eastAsia="宋体" w:cs="宋体"/>
              <w:sz w:val="30"/>
              <w:szCs w:val="30"/>
            </w:rPr>
            <w:fldChar w:fldCharType="separate"/>
          </w:r>
          <w:r>
            <w:rPr>
              <w:rFonts w:hint="eastAsia" w:ascii="宋体" w:hAnsi="宋体" w:eastAsia="宋体" w:cs="宋体"/>
              <w:sz w:val="30"/>
              <w:szCs w:val="30"/>
            </w:rPr>
            <w:t>53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07"/>
            <w:tabs>
              <w:tab w:val="right" w:leader="dot" w:pos="8959"/>
            </w:tabs>
            <w:spacing w:line="360" w:lineRule="auto"/>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_Toc16409 </w:instrText>
          </w:r>
          <w:r>
            <w:rPr>
              <w:rFonts w:hint="eastAsia" w:ascii="宋体" w:hAnsi="宋体" w:eastAsia="宋体" w:cs="宋体"/>
              <w:sz w:val="30"/>
              <w:szCs w:val="30"/>
            </w:rPr>
            <w:fldChar w:fldCharType="separate"/>
          </w:r>
          <w:r>
            <w:rPr>
              <w:rFonts w:hint="eastAsia" w:ascii="宋体" w:hAnsi="宋体" w:eastAsia="宋体" w:cs="宋体"/>
              <w:kern w:val="44"/>
              <w:sz w:val="30"/>
              <w:szCs w:val="30"/>
              <w:highlight w:val="none"/>
            </w:rPr>
            <w:t>第</w:t>
          </w:r>
          <w:r>
            <w:rPr>
              <w:rFonts w:hint="eastAsia" w:ascii="宋体" w:hAnsi="宋体" w:eastAsia="宋体" w:cs="宋体"/>
              <w:kern w:val="44"/>
              <w:sz w:val="30"/>
              <w:szCs w:val="30"/>
              <w:highlight w:val="none"/>
              <w:lang w:eastAsia="zh-CN"/>
            </w:rPr>
            <w:t>七</w:t>
          </w:r>
          <w:r>
            <w:rPr>
              <w:rFonts w:hint="eastAsia" w:ascii="宋体" w:hAnsi="宋体" w:eastAsia="宋体" w:cs="宋体"/>
              <w:kern w:val="44"/>
              <w:sz w:val="30"/>
              <w:szCs w:val="30"/>
              <w:highlight w:val="none"/>
            </w:rPr>
            <w:t>章 投标文件格式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_Toc16409 \h </w:instrText>
          </w:r>
          <w:r>
            <w:rPr>
              <w:rFonts w:hint="eastAsia" w:ascii="宋体" w:hAnsi="宋体" w:eastAsia="宋体" w:cs="宋体"/>
              <w:sz w:val="30"/>
              <w:szCs w:val="30"/>
            </w:rPr>
            <w:fldChar w:fldCharType="separate"/>
          </w:r>
          <w:r>
            <w:rPr>
              <w:rFonts w:hint="eastAsia" w:ascii="宋体" w:hAnsi="宋体" w:eastAsia="宋体" w:cs="宋体"/>
              <w:sz w:val="30"/>
              <w:szCs w:val="30"/>
            </w:rPr>
            <w:t>60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
            <w:rPr>
              <w:rFonts w:hint="eastAsia"/>
            </w:rPr>
          </w:pPr>
          <w:r>
            <w:rPr>
              <w:rFonts w:hint="eastAsia"/>
            </w:rPr>
            <w:fldChar w:fldCharType="end"/>
          </w:r>
        </w:p>
      </w:sdtContent>
    </w:sdt>
    <w:p>
      <w:pPr>
        <w:pStyle w:val="6"/>
        <w:rPr>
          <w:rFonts w:hint="eastAsia" w:ascii="宋体" w:hAnsi="宋体" w:cs="宋体"/>
          <w:color w:val="auto"/>
          <w:szCs w:val="21"/>
          <w:highlight w:val="none"/>
        </w:rPr>
      </w:pPr>
    </w:p>
    <w:p>
      <w:pPr>
        <w:pStyle w:val="6"/>
        <w:rPr>
          <w:rFonts w:hint="eastAsia" w:ascii="宋体" w:hAnsi="宋体" w:cs="宋体"/>
          <w:color w:val="auto"/>
          <w:szCs w:val="21"/>
          <w:highlight w:val="none"/>
        </w:rPr>
      </w:pPr>
    </w:p>
    <w:bookmarkEnd w:id="0"/>
    <w:bookmarkEnd w:id="1"/>
    <w:p>
      <w:pPr>
        <w:pStyle w:val="6"/>
        <w:spacing w:before="120" w:beforeLines="50" w:after="360" w:afterLines="150"/>
        <w:ind w:firstLine="0"/>
        <w:jc w:val="center"/>
        <w:rPr>
          <w:rFonts w:ascii="宋体" w:hAnsi="宋体" w:cs="宋体"/>
          <w:b/>
          <w:color w:val="auto"/>
          <w:kern w:val="44"/>
          <w:sz w:val="36"/>
          <w:szCs w:val="36"/>
          <w:highlight w:val="none"/>
        </w:rPr>
        <w:sectPr>
          <w:headerReference r:id="rId8" w:type="first"/>
          <w:footerReference r:id="rId9" w:type="first"/>
          <w:pgSz w:w="11907" w:h="16840"/>
          <w:pgMar w:top="1440" w:right="1474" w:bottom="1440" w:left="1474" w:header="1191" w:footer="992" w:gutter="0"/>
          <w:pgBorders>
            <w:top w:val="none" w:sz="0" w:space="0"/>
            <w:left w:val="none" w:sz="0" w:space="0"/>
            <w:bottom w:val="none" w:sz="0" w:space="0"/>
            <w:right w:val="none" w:sz="0" w:space="0"/>
          </w:pgBorders>
          <w:cols w:space="720" w:num="1"/>
          <w:titlePg/>
          <w:rtlGutter w:val="1"/>
        </w:sectPr>
      </w:pPr>
    </w:p>
    <w:p>
      <w:pPr>
        <w:numPr>
          <w:ilvl w:val="0"/>
          <w:numId w:val="1"/>
        </w:numPr>
        <w:spacing w:before="120" w:beforeLines="50" w:after="240" w:afterLines="100"/>
        <w:jc w:val="center"/>
        <w:outlineLvl w:val="0"/>
        <w:rPr>
          <w:rFonts w:hint="eastAsia" w:ascii="宋体" w:hAnsi="宋体" w:cs="宋体"/>
          <w:b/>
          <w:color w:val="auto"/>
          <w:kern w:val="44"/>
          <w:sz w:val="44"/>
          <w:szCs w:val="44"/>
          <w:highlight w:val="none"/>
        </w:rPr>
      </w:pPr>
      <w:r>
        <w:rPr>
          <w:rFonts w:hint="eastAsia" w:ascii="宋体" w:hAnsi="宋体" w:cs="宋体"/>
          <w:b/>
          <w:color w:val="auto"/>
          <w:kern w:val="44"/>
          <w:sz w:val="44"/>
          <w:szCs w:val="44"/>
          <w:highlight w:val="none"/>
        </w:rPr>
        <w:t xml:space="preserve"> </w:t>
      </w:r>
      <w:bookmarkStart w:id="6" w:name="_Toc9820"/>
      <w:bookmarkStart w:id="7" w:name="_Toc484"/>
      <w:bookmarkStart w:id="8" w:name="_Toc20543"/>
      <w:r>
        <w:rPr>
          <w:rFonts w:hint="eastAsia" w:ascii="宋体" w:hAnsi="宋体" w:cs="宋体"/>
          <w:b/>
          <w:color w:val="auto"/>
          <w:kern w:val="44"/>
          <w:sz w:val="44"/>
          <w:szCs w:val="44"/>
          <w:highlight w:val="none"/>
        </w:rPr>
        <w:t>招标公告</w:t>
      </w:r>
      <w:bookmarkEnd w:id="6"/>
      <w:bookmarkEnd w:id="7"/>
      <w:bookmarkEnd w:id="8"/>
    </w:p>
    <w:p>
      <w:pPr>
        <w:widowControl/>
        <w:tabs>
          <w:tab w:val="left" w:pos="1620"/>
        </w:tabs>
        <w:spacing w:line="360" w:lineRule="auto"/>
        <w:ind w:right="-197" w:rightChars="-94" w:firstLine="420" w:firstLineChars="200"/>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保洁公司服务外包项目招标项目的潜在投标人应在全国公共资源交易平台（陕西省-西安市）获取招标文件，并于 2023年04月21日 09时00分 （北京时间）前递交投标文件。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b w:val="0"/>
          <w:bCs w:val="0"/>
          <w:i w:val="0"/>
          <w:iCs w:val="0"/>
          <w:caps w:val="0"/>
          <w:color w:val="auto"/>
          <w:spacing w:val="0"/>
          <w:sz w:val="21"/>
          <w:szCs w:val="21"/>
        </w:rPr>
      </w:pPr>
      <w:r>
        <w:rPr>
          <w:rStyle w:val="32"/>
          <w:rFonts w:hint="eastAsia" w:asciiTheme="majorEastAsia" w:hAnsiTheme="majorEastAsia" w:eastAsiaTheme="majorEastAsia" w:cstheme="majorEastAsia"/>
          <w:b/>
          <w:bCs/>
          <w:i w:val="0"/>
          <w:iCs w:val="0"/>
          <w:caps w:val="0"/>
          <w:color w:val="auto"/>
          <w:spacing w:val="0"/>
          <w:sz w:val="21"/>
          <w:szCs w:val="21"/>
          <w:shd w:val="clear" w:fill="FFFFFF"/>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项目编号：NEXXMGL2023-GK1016</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项目名称：保洁公司服务外包项目</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采购方式：公开招标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预算金额：16,845,600.00元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采购需求：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合同包1(保洁公司服务外包):</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合同包预算金额：16,845,600.00元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合同包最高限价：15,675,363.00元</w:t>
      </w:r>
    </w:p>
    <w:tbl>
      <w:tblPr>
        <w:tblStyle w:val="29"/>
        <w:tblW w:w="890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33"/>
        <w:gridCol w:w="791"/>
        <w:gridCol w:w="1506"/>
        <w:gridCol w:w="1297"/>
        <w:gridCol w:w="975"/>
        <w:gridCol w:w="1677"/>
        <w:gridCol w:w="16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6" w:hRule="atLeast"/>
          <w:tblHeader/>
        </w:trPr>
        <w:tc>
          <w:tcPr>
            <w:tcW w:w="10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kern w:val="0"/>
                <w:sz w:val="21"/>
                <w:szCs w:val="21"/>
                <w:lang w:val="en-US" w:eastAsia="zh-CN" w:bidi="ar"/>
              </w:rPr>
              <w:t>品目号</w:t>
            </w:r>
          </w:p>
        </w:tc>
        <w:tc>
          <w:tcPr>
            <w:tcW w:w="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kern w:val="0"/>
                <w:sz w:val="21"/>
                <w:szCs w:val="21"/>
                <w:lang w:val="en-US" w:eastAsia="zh-CN" w:bidi="ar"/>
              </w:rPr>
              <w:t>品目名称</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kern w:val="0"/>
                <w:sz w:val="21"/>
                <w:szCs w:val="21"/>
                <w:lang w:val="en-US" w:eastAsia="zh-CN" w:bidi="ar"/>
              </w:rPr>
              <w:t>采购标的</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kern w:val="0"/>
                <w:sz w:val="21"/>
                <w:szCs w:val="21"/>
                <w:lang w:val="en-US" w:eastAsia="zh-CN" w:bidi="ar"/>
              </w:rPr>
              <w:t>数量（单位）</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kern w:val="0"/>
                <w:sz w:val="21"/>
                <w:szCs w:val="21"/>
                <w:lang w:val="en-US" w:eastAsia="zh-CN" w:bidi="ar"/>
              </w:rPr>
              <w:t>技术规格、参数及要求</w:t>
            </w:r>
          </w:p>
        </w:tc>
        <w:tc>
          <w:tcPr>
            <w:tcW w:w="1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kern w:val="0"/>
                <w:sz w:val="21"/>
                <w:szCs w:val="21"/>
                <w:lang w:val="en-US" w:eastAsia="zh-CN" w:bidi="ar"/>
              </w:rPr>
              <w:t>品目预算(元)</w:t>
            </w:r>
          </w:p>
        </w:tc>
        <w:tc>
          <w:tcPr>
            <w:tcW w:w="1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0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1-1</w:t>
            </w:r>
          </w:p>
        </w:tc>
        <w:tc>
          <w:tcPr>
            <w:tcW w:w="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清扫服务</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保洁公司服务外包项目</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1(项)</w:t>
            </w:r>
          </w:p>
        </w:tc>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详见采购文件</w:t>
            </w:r>
          </w:p>
        </w:tc>
        <w:tc>
          <w:tcPr>
            <w:tcW w:w="1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16,845,600.00</w:t>
            </w:r>
          </w:p>
        </w:tc>
        <w:tc>
          <w:tcPr>
            <w:tcW w:w="1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0"/>
                <w:sz w:val="21"/>
                <w:szCs w:val="21"/>
                <w:lang w:val="en-US" w:eastAsia="zh-CN" w:bidi="ar"/>
              </w:rPr>
              <w:t>15,675,363.00</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本合同包不接受联合体投标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合同履行期限：1年（从合同签订之日起至服务期满）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b w:val="0"/>
          <w:bCs w:val="0"/>
          <w:i w:val="0"/>
          <w:iCs w:val="0"/>
          <w:caps w:val="0"/>
          <w:color w:val="auto"/>
          <w:spacing w:val="0"/>
          <w:sz w:val="21"/>
          <w:szCs w:val="21"/>
        </w:rPr>
      </w:pPr>
      <w:r>
        <w:rPr>
          <w:rStyle w:val="32"/>
          <w:rFonts w:hint="eastAsia" w:asciiTheme="majorEastAsia" w:hAnsiTheme="majorEastAsia" w:eastAsiaTheme="majorEastAsia" w:cstheme="majorEastAsia"/>
          <w:b/>
          <w:bCs/>
          <w:i w:val="0"/>
          <w:iCs w:val="0"/>
          <w:caps w:val="0"/>
          <w:color w:val="auto"/>
          <w:spacing w:val="0"/>
          <w:sz w:val="21"/>
          <w:szCs w:val="21"/>
          <w:shd w:val="clear" w:fill="FFFFFF"/>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2.落实政府采购政策需满足的资格要求：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合同包1(保洁公司服务外包)落实政府采购政策需满足的资格要求如下: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本项目专门面向中小企业采购，投标人应当为中小微企业（含残疾人福利性单位、监狱企业）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3.本项目的特定资格要求：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合同包1(保洁公司服务外包)特定资格要求如下: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b w:val="0"/>
          <w:bCs w:val="0"/>
          <w:i w:val="0"/>
          <w:iCs w:val="0"/>
          <w:caps w:val="0"/>
          <w:color w:val="auto"/>
          <w:spacing w:val="0"/>
          <w:sz w:val="21"/>
          <w:szCs w:val="21"/>
        </w:rPr>
      </w:pPr>
      <w:r>
        <w:rPr>
          <w:rStyle w:val="32"/>
          <w:rFonts w:hint="eastAsia" w:asciiTheme="majorEastAsia" w:hAnsiTheme="majorEastAsia" w:eastAsiaTheme="majorEastAsia" w:cstheme="majorEastAsia"/>
          <w:b/>
          <w:bCs/>
          <w:i w:val="0"/>
          <w:iCs w:val="0"/>
          <w:caps w:val="0"/>
          <w:color w:val="auto"/>
          <w:spacing w:val="0"/>
          <w:sz w:val="21"/>
          <w:szCs w:val="21"/>
          <w:shd w:val="clear" w:fill="FFFFFF"/>
        </w:rPr>
        <w:t>三、获取招标文件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时间：2023年03月30日至2023年04月07日，每天上午00:00:00至12:00:00，下午12:00:00至23:59:59（北京时间）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途径：全国公共资源交易平台（陕西省-西安市）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方式：在线获取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售价：0元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b w:val="0"/>
          <w:bCs w:val="0"/>
          <w:i w:val="0"/>
          <w:iCs w:val="0"/>
          <w:caps w:val="0"/>
          <w:color w:val="auto"/>
          <w:spacing w:val="0"/>
          <w:sz w:val="21"/>
          <w:szCs w:val="21"/>
        </w:rPr>
      </w:pPr>
      <w:r>
        <w:rPr>
          <w:rStyle w:val="32"/>
          <w:rFonts w:hint="eastAsia" w:asciiTheme="majorEastAsia" w:hAnsiTheme="majorEastAsia" w:eastAsiaTheme="majorEastAsia" w:cstheme="majorEastAsia"/>
          <w:b/>
          <w:bCs/>
          <w:i w:val="0"/>
          <w:iCs w:val="0"/>
          <w:caps w:val="0"/>
          <w:color w:val="auto"/>
          <w:spacing w:val="0"/>
          <w:sz w:val="21"/>
          <w:szCs w:val="21"/>
          <w:shd w:val="clear" w:fill="FFFFFF"/>
        </w:rPr>
        <w:t>四、提交投标文件截止时间、开标时间和地点</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时间：2023年04月21日 09时00分00秒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提交投标文件地点：全国公共资源交易平台（陕西省·西安市）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开标地点：全国公共资源交易平台（陕西省·西安市）不见面开标大厅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b w:val="0"/>
          <w:bCs w:val="0"/>
          <w:i w:val="0"/>
          <w:iCs w:val="0"/>
          <w:caps w:val="0"/>
          <w:color w:val="auto"/>
          <w:spacing w:val="0"/>
          <w:sz w:val="21"/>
          <w:szCs w:val="21"/>
        </w:rPr>
      </w:pPr>
      <w:r>
        <w:rPr>
          <w:rStyle w:val="32"/>
          <w:rFonts w:hint="eastAsia" w:asciiTheme="majorEastAsia" w:hAnsiTheme="majorEastAsia" w:eastAsiaTheme="majorEastAsia" w:cstheme="majorEastAsia"/>
          <w:b/>
          <w:bCs/>
          <w:i w:val="0"/>
          <w:iCs w:val="0"/>
          <w:caps w:val="0"/>
          <w:color w:val="auto"/>
          <w:spacing w:val="0"/>
          <w:sz w:val="21"/>
          <w:szCs w:val="21"/>
          <w:shd w:val="clear" w:fill="FFFFFF"/>
        </w:rPr>
        <w:t>五、公告期限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i w:val="0"/>
          <w:iCs w:val="0"/>
          <w:caps w:val="0"/>
          <w:color w:val="auto"/>
          <w:spacing w:val="0"/>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b w:val="0"/>
          <w:bCs w:val="0"/>
          <w:i w:val="0"/>
          <w:iCs w:val="0"/>
          <w:caps w:val="0"/>
          <w:color w:val="auto"/>
          <w:spacing w:val="0"/>
          <w:sz w:val="21"/>
          <w:szCs w:val="21"/>
        </w:rPr>
      </w:pPr>
      <w:r>
        <w:rPr>
          <w:rStyle w:val="32"/>
          <w:rFonts w:hint="eastAsia" w:asciiTheme="majorEastAsia" w:hAnsiTheme="majorEastAsia" w:eastAsiaTheme="majorEastAsia" w:cstheme="majorEastAsia"/>
          <w:b/>
          <w:bCs/>
          <w:i w:val="0"/>
          <w:iCs w:val="0"/>
          <w:caps w:val="0"/>
          <w:color w:val="auto"/>
          <w:spacing w:val="0"/>
          <w:sz w:val="21"/>
          <w:szCs w:val="21"/>
          <w:shd w:val="clear" w:fill="FFFFFF"/>
        </w:rPr>
        <w:t>六、其他补充事宜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1.请潜在投标人务必按照《陕西省财政厅关于政府采购供应商注册登记有关事项的通知》要求，通过陕西省政府采购网（http://www.ccgp-shaanxi.gov.cn/）进行陕西政府采购统一身份认证注册登记。</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2.本项目需要落实的政府采购政策：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关于进一步加大政府采购支持中小企业力度的通知》财库〔2022〕19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（3）支持本国产业政策：《财政部关于印发&lt;进口产品管理办法&gt;的通知》（财库[2007]119号）；《财政部办公厅关于政府采购进口产品管理有关问题的通知》（财办库[2008]248号）。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（4）支持创新等政府采购政策。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3.本公告同时在陕西省政府采购网、全国公共资源交易平台（陕西省·西安市）平台发布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4.本项目采用“不见面开标”方式。为了确保不见面开标的顺利进行，投标人应提前一小时登录网上开标大厅。技术咨询电话：029-33585729。不见面开标大厅登录方式为：全国公共资源交易平台（陕西省·西安市）（http://sxggzyjy.xa.gov.cn/）→电子交易平台→西安市公共资源交易不见面开标系统，具体详见全国公共资源交易平台（陕西省·西安市）〖首页·〉服务指南·〉下载专区〗“关于在西安市公共资源交易活动中全面推行“不见面开标”有关事项的通知”（http://xxxq.sxggzyjy.cn/xwzx/002002/20210721/d7421699-e891-4f40-b441-dccc415e05b3.html。）</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5.（1）投标人须于文件发售时间内在全国公共资源交易平台（陕西省·西安市）（http://sxggzyjy.xa.gov.cn/）确认。在主页选择“电子交易平台—陕西政府采购交易系统—陕西省公共资源交易平台-主体单位”进行登录，登录后选择“交易乙方”身份进入投标人界面进行确认。（2）办理CA锁方式：电子交易平台现已接入陕西 CA、深圳 CA、西部 CA、北京 CA 四家数字证书公司,各投标人在交易过程中登录系统、加密/解密投标文件、文件签章等均可使用上述四家CA公司签发的数字证书。办理须知及所需资料详见</w:t>
      </w:r>
      <w:bookmarkStart w:id="191" w:name="_GoBack"/>
      <w:bookmarkEnd w:id="191"/>
      <w:r>
        <w:rPr>
          <w:rFonts w:hint="eastAsia" w:asciiTheme="majorEastAsia" w:hAnsiTheme="majorEastAsia" w:eastAsiaTheme="majorEastAsia" w:cstheme="majorEastAsia"/>
          <w:i w:val="0"/>
          <w:iCs w:val="0"/>
          <w:caps w:val="0"/>
          <w:color w:val="auto"/>
          <w:spacing w:val="0"/>
          <w:sz w:val="21"/>
          <w:szCs w:val="21"/>
          <w:shd w:val="clear" w:fill="FFFFFF"/>
        </w:rPr>
        <w:t>:http://www.sxggzyjy.cn/fwzn/004003/20220701/6972fe02-f996-4928-951e-545dab 02e53c.html</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b w:val="0"/>
          <w:bCs w:val="0"/>
          <w:i w:val="0"/>
          <w:iCs w:val="0"/>
          <w:caps w:val="0"/>
          <w:color w:val="auto"/>
          <w:spacing w:val="0"/>
          <w:sz w:val="21"/>
          <w:szCs w:val="21"/>
        </w:rPr>
      </w:pPr>
      <w:r>
        <w:rPr>
          <w:rStyle w:val="32"/>
          <w:rFonts w:hint="eastAsia" w:asciiTheme="majorEastAsia" w:hAnsiTheme="majorEastAsia" w:eastAsiaTheme="majorEastAsia" w:cstheme="majorEastAsia"/>
          <w:b/>
          <w:bCs/>
          <w:i w:val="0"/>
          <w:iCs w:val="0"/>
          <w:caps w:val="0"/>
          <w:color w:val="auto"/>
          <w:spacing w:val="0"/>
          <w:sz w:val="21"/>
          <w:szCs w:val="21"/>
          <w:shd w:val="clear" w:fill="FFFFFF"/>
        </w:rPr>
        <w:t>七、对本次招标提出询问，请按以下方式联系。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1.采购人信息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名称：西安市莲湖区北院门街道办事处</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地址：西安市莲湖区北院门133号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联系方式：029-87395109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名称：陕西诺尔信项目管理有限公司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地址：陕西省西安市莲湖区光远路16号新世纪大厦7层B区</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联系方式：029-88851617-813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i w:val="0"/>
          <w:iCs w:val="0"/>
          <w:caps w:val="0"/>
          <w:color w:val="auto"/>
          <w:spacing w:val="0"/>
          <w:sz w:val="21"/>
          <w:szCs w:val="21"/>
          <w:shd w:val="clear" w:fill="FFFFFF"/>
        </w:rPr>
        <w:t>3.项目联系方式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项目联系人：潘工、杨工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i w:val="0"/>
          <w:iCs w:val="0"/>
          <w:caps w:val="0"/>
          <w:color w:val="auto"/>
          <w:spacing w:val="0"/>
          <w:sz w:val="21"/>
          <w:szCs w:val="21"/>
          <w:shd w:val="clear" w:fill="FFFFFF"/>
        </w:rPr>
        <w:t>电话：029-88851617-813 13379185365</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Theme="majorEastAsia" w:hAnsiTheme="majorEastAsia" w:eastAsiaTheme="majorEastAsia" w:cstheme="majorEastAsia"/>
          <w:i w:val="0"/>
          <w:iCs w:val="0"/>
          <w:caps w:val="0"/>
          <w:color w:val="333333"/>
          <w:spacing w:val="0"/>
          <w:sz w:val="21"/>
          <w:szCs w:val="21"/>
        </w:rPr>
      </w:pPr>
      <w:r>
        <w:rPr>
          <w:rFonts w:hint="eastAsia" w:asciiTheme="majorEastAsia" w:hAnsiTheme="majorEastAsia" w:eastAsiaTheme="majorEastAsia" w:cstheme="majorEastAsia"/>
          <w:i w:val="0"/>
          <w:iCs w:val="0"/>
          <w:caps w:val="0"/>
          <w:color w:val="333333"/>
          <w:spacing w:val="0"/>
          <w:sz w:val="21"/>
          <w:szCs w:val="21"/>
          <w:shd w:val="clear" w:fill="FFFFFF"/>
        </w:rPr>
        <w:t>陕西诺尔信项目管理有限公司</w:t>
      </w:r>
    </w:p>
    <w:p>
      <w:pPr>
        <w:widowControl/>
        <w:spacing w:line="360" w:lineRule="auto"/>
        <w:ind w:right="-197" w:rightChars="-94" w:firstLine="5775" w:firstLineChars="2750"/>
        <w:jc w:val="center"/>
        <w:rPr>
          <w:rFonts w:hint="eastAsia" w:ascii="宋体" w:hAnsi="宋体" w:cs="宋体"/>
          <w:color w:val="auto"/>
          <w:kern w:val="0"/>
          <w:sz w:val="21"/>
          <w:szCs w:val="21"/>
          <w:highlight w:val="none"/>
        </w:rPr>
      </w:pPr>
      <w:r>
        <w:rPr>
          <w:rFonts w:hint="eastAsia" w:asciiTheme="majorEastAsia" w:hAnsiTheme="majorEastAsia" w:eastAsiaTheme="majorEastAsia" w:cstheme="majorEastAsia"/>
          <w:i w:val="0"/>
          <w:iCs w:val="0"/>
          <w:caps w:val="0"/>
          <w:color w:val="333333"/>
          <w:spacing w:val="0"/>
          <w:kern w:val="0"/>
          <w:sz w:val="21"/>
          <w:szCs w:val="21"/>
          <w:shd w:val="clear" w:fill="FFFFFF"/>
          <w:lang w:val="en-US" w:eastAsia="zh-CN" w:bidi="ar"/>
        </w:rPr>
        <w:t>2023年3月30日</w:t>
      </w:r>
    </w:p>
    <w:p>
      <w:pPr>
        <w:widowControl/>
        <w:spacing w:line="360" w:lineRule="auto"/>
        <w:ind w:right="-197" w:rightChars="-94"/>
        <w:jc w:val="center"/>
        <w:outlineLvl w:val="0"/>
        <w:rPr>
          <w:rFonts w:hint="eastAsia" w:ascii="宋体" w:hAnsi="宋体" w:cs="宋体"/>
          <w:b/>
          <w:color w:val="auto"/>
          <w:sz w:val="44"/>
          <w:szCs w:val="44"/>
          <w:highlight w:val="none"/>
        </w:rPr>
      </w:pPr>
      <w:r>
        <w:rPr>
          <w:rFonts w:hint="eastAsia" w:ascii="宋体" w:hAnsi="宋体" w:cs="宋体"/>
          <w:b/>
          <w:color w:val="auto"/>
          <w:kern w:val="44"/>
          <w:sz w:val="44"/>
          <w:szCs w:val="44"/>
          <w:highlight w:val="none"/>
        </w:rPr>
        <w:br w:type="page"/>
      </w:r>
      <w:bookmarkStart w:id="9" w:name="_Toc213496267"/>
      <w:bookmarkStart w:id="10" w:name="_Toc217446031"/>
      <w:bookmarkStart w:id="11" w:name="_Toc213396759"/>
      <w:bookmarkStart w:id="12" w:name="_Toc213396945"/>
      <w:bookmarkStart w:id="13" w:name="_Toc32763"/>
      <w:bookmarkStart w:id="14" w:name="_Toc213397009"/>
      <w:bookmarkStart w:id="15" w:name="_Toc7634"/>
      <w:bookmarkStart w:id="16" w:name="_Toc32295"/>
      <w:bookmarkStart w:id="17" w:name="_Toc89075871"/>
      <w:bookmarkStart w:id="18" w:name="_Toc183682339"/>
      <w:bookmarkStart w:id="19" w:name="_Toc77400776"/>
      <w:bookmarkStart w:id="20" w:name="_Toc183582202"/>
      <w:r>
        <w:rPr>
          <w:rFonts w:hint="eastAsia" w:ascii="宋体" w:hAnsi="宋体" w:cs="宋体"/>
          <w:b/>
          <w:color w:val="auto"/>
          <w:kern w:val="44"/>
          <w:sz w:val="44"/>
          <w:szCs w:val="44"/>
          <w:highlight w:val="none"/>
        </w:rPr>
        <w:t>第二</w:t>
      </w:r>
      <w:r>
        <w:rPr>
          <w:rFonts w:hint="eastAsia" w:ascii="宋体" w:hAnsi="宋体" w:cs="宋体"/>
          <w:b/>
          <w:color w:val="auto"/>
          <w:sz w:val="44"/>
          <w:szCs w:val="44"/>
          <w:highlight w:val="none"/>
        </w:rPr>
        <w:t>章 投标人须知</w:t>
      </w:r>
      <w:bookmarkEnd w:id="9"/>
      <w:bookmarkEnd w:id="10"/>
      <w:bookmarkEnd w:id="11"/>
      <w:bookmarkEnd w:id="12"/>
      <w:bookmarkEnd w:id="13"/>
      <w:bookmarkEnd w:id="14"/>
      <w:bookmarkEnd w:id="15"/>
      <w:bookmarkEnd w:id="16"/>
      <w:bookmarkStart w:id="21" w:name="_Toc213396760"/>
      <w:bookmarkStart w:id="22" w:name="_Toc184274915"/>
      <w:bookmarkStart w:id="23" w:name="_Toc213396946"/>
      <w:bookmarkStart w:id="24" w:name="_Toc213496268"/>
      <w:bookmarkStart w:id="25" w:name="_Toc189727030"/>
      <w:bookmarkStart w:id="26" w:name="_Toc213397010"/>
      <w:bookmarkStart w:id="27" w:name="_Toc184283909"/>
      <w:bookmarkStart w:id="28" w:name="_Toc217446032"/>
    </w:p>
    <w:p>
      <w:pPr>
        <w:spacing w:before="240" w:beforeLines="100" w:after="50"/>
        <w:jc w:val="center"/>
        <w:outlineLvl w:val="9"/>
        <w:rPr>
          <w:rFonts w:hint="eastAsia" w:ascii="宋体" w:hAnsi="宋体" w:cs="宋体"/>
          <w:b/>
          <w:color w:val="auto"/>
          <w:sz w:val="32"/>
          <w:szCs w:val="32"/>
          <w:highlight w:val="none"/>
        </w:rPr>
      </w:pPr>
      <w:bookmarkStart w:id="29" w:name="_Toc1845"/>
      <w:r>
        <w:rPr>
          <w:rFonts w:hint="eastAsia" w:ascii="宋体" w:hAnsi="宋体" w:cs="宋体"/>
          <w:color w:val="auto"/>
          <w:sz w:val="32"/>
          <w:szCs w:val="32"/>
          <w:highlight w:val="none"/>
        </w:rPr>
        <w:t>投标人须知前附表</w:t>
      </w:r>
      <w:bookmarkEnd w:id="21"/>
      <w:bookmarkEnd w:id="22"/>
      <w:bookmarkEnd w:id="23"/>
      <w:bookmarkEnd w:id="24"/>
      <w:bookmarkEnd w:id="25"/>
      <w:bookmarkEnd w:id="26"/>
      <w:bookmarkEnd w:id="27"/>
      <w:bookmarkEnd w:id="28"/>
      <w:bookmarkEnd w:id="29"/>
    </w:p>
    <w:tbl>
      <w:tblPr>
        <w:tblStyle w:val="29"/>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60"/>
        <w:gridCol w:w="653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exact"/>
          <w:tblHeader/>
          <w:jc w:val="center"/>
        </w:trPr>
        <w:tc>
          <w:tcPr>
            <w:tcW w:w="811" w:type="dxa"/>
            <w:tcBorders>
              <w:top w:val="single" w:color="auto" w:sz="18" w:space="0"/>
              <w:left w:val="single" w:color="auto" w:sz="18" w:space="0"/>
              <w:bottom w:val="single" w:color="auto" w:sz="8" w:space="0"/>
              <w:right w:val="single" w:color="auto" w:sz="8" w:space="0"/>
            </w:tcBorders>
            <w:noWrap w:val="0"/>
            <w:vAlign w:val="center"/>
          </w:tcPr>
          <w:p>
            <w:pPr>
              <w:pStyle w:val="99"/>
              <w:ind w:left="9"/>
              <w:jc w:val="center"/>
              <w:rPr>
                <w:rFonts w:hint="eastAsia"/>
                <w:b/>
                <w:color w:val="auto"/>
                <w:sz w:val="21"/>
                <w:szCs w:val="21"/>
                <w:highlight w:val="none"/>
                <w:lang w:val="zh-CN"/>
              </w:rPr>
            </w:pPr>
            <w:r>
              <w:rPr>
                <w:rFonts w:hint="eastAsia"/>
                <w:b/>
                <w:color w:val="auto"/>
                <w:sz w:val="21"/>
                <w:szCs w:val="21"/>
                <w:highlight w:val="none"/>
                <w:lang w:val="zh-CN"/>
              </w:rPr>
              <w:t xml:space="preserve">序号 </w:t>
            </w:r>
          </w:p>
        </w:tc>
        <w:tc>
          <w:tcPr>
            <w:tcW w:w="2160" w:type="dxa"/>
            <w:tcBorders>
              <w:top w:val="single" w:color="auto" w:sz="18" w:space="0"/>
              <w:left w:val="single" w:color="auto" w:sz="8" w:space="0"/>
              <w:bottom w:val="single" w:color="auto" w:sz="8" w:space="0"/>
              <w:right w:val="single" w:color="auto" w:sz="8" w:space="0"/>
            </w:tcBorders>
            <w:noWrap w:val="0"/>
            <w:vAlign w:val="center"/>
          </w:tcPr>
          <w:p>
            <w:pPr>
              <w:pStyle w:val="99"/>
              <w:ind w:left="38"/>
              <w:jc w:val="center"/>
              <w:rPr>
                <w:rFonts w:hint="eastAsia"/>
                <w:b/>
                <w:color w:val="auto"/>
                <w:sz w:val="21"/>
                <w:szCs w:val="21"/>
                <w:highlight w:val="none"/>
                <w:lang w:val="zh-CN"/>
              </w:rPr>
            </w:pPr>
            <w:r>
              <w:rPr>
                <w:rFonts w:hint="eastAsia"/>
                <w:b/>
                <w:color w:val="auto"/>
                <w:sz w:val="21"/>
                <w:szCs w:val="21"/>
                <w:highlight w:val="none"/>
                <w:lang w:val="zh-CN"/>
              </w:rPr>
              <w:t>内容</w:t>
            </w:r>
          </w:p>
        </w:tc>
        <w:tc>
          <w:tcPr>
            <w:tcW w:w="6530" w:type="dxa"/>
            <w:tcBorders>
              <w:top w:val="single" w:color="auto" w:sz="18" w:space="0"/>
              <w:left w:val="single" w:color="auto" w:sz="8" w:space="0"/>
              <w:bottom w:val="single" w:color="auto" w:sz="8" w:space="0"/>
              <w:right w:val="single" w:color="auto" w:sz="18" w:space="0"/>
            </w:tcBorders>
            <w:noWrap w:val="0"/>
            <w:vAlign w:val="center"/>
          </w:tcPr>
          <w:p>
            <w:pPr>
              <w:pStyle w:val="99"/>
              <w:jc w:val="center"/>
              <w:rPr>
                <w:rFonts w:hint="eastAsia"/>
                <w:b/>
                <w:color w:val="auto"/>
                <w:sz w:val="21"/>
                <w:szCs w:val="21"/>
                <w:highlight w:val="none"/>
                <w:lang w:val="zh-CN"/>
              </w:rPr>
            </w:pPr>
            <w:r>
              <w:rPr>
                <w:rFonts w:hint="eastAsia"/>
                <w:b/>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634" w:leftChars="102" w:hanging="420" w:hangingChars="200"/>
              <w:jc w:val="center"/>
              <w:rPr>
                <w:rFonts w:hint="eastAsia"/>
                <w:color w:val="auto"/>
                <w:sz w:val="21"/>
                <w:szCs w:val="21"/>
                <w:highlight w:val="none"/>
                <w:lang w:val="zh-CN"/>
              </w:rPr>
            </w:pPr>
            <w:r>
              <w:rPr>
                <w:rFonts w:hint="eastAsia"/>
                <w:color w:val="auto"/>
                <w:sz w:val="21"/>
                <w:szCs w:val="21"/>
                <w:highlight w:val="none"/>
                <w:lang w:val="zh-CN"/>
              </w:rPr>
              <w:t>采购人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lang w:val="zh-CN" w:eastAsia="zh-CN"/>
              </w:rPr>
            </w:pPr>
            <w:r>
              <w:rPr>
                <w:rFonts w:hint="eastAsia"/>
                <w:color w:val="auto"/>
                <w:sz w:val="21"/>
                <w:szCs w:val="21"/>
                <w:highlight w:val="none"/>
                <w:lang w:val="zh-CN"/>
              </w:rPr>
              <w:t xml:space="preserve">名  称: </w:t>
            </w:r>
            <w:r>
              <w:rPr>
                <w:rFonts w:hint="eastAsia"/>
                <w:color w:val="auto"/>
                <w:sz w:val="21"/>
                <w:szCs w:val="21"/>
                <w:highlight w:val="none"/>
                <w:lang w:val="en-US" w:eastAsia="zh-CN"/>
              </w:rPr>
              <w:t>西安市莲湖区北院门街道办事处</w:t>
            </w:r>
          </w:p>
          <w:p>
            <w:pPr>
              <w:pStyle w:val="99"/>
              <w:rPr>
                <w:rFonts w:hint="default"/>
                <w:color w:val="auto"/>
                <w:sz w:val="21"/>
                <w:szCs w:val="21"/>
                <w:highlight w:val="none"/>
                <w:lang w:val="en-US" w:eastAsia="zh-CN"/>
              </w:rPr>
            </w:pPr>
            <w:r>
              <w:rPr>
                <w:rFonts w:hint="eastAsia"/>
                <w:color w:val="auto"/>
                <w:sz w:val="21"/>
                <w:szCs w:val="21"/>
                <w:highlight w:val="none"/>
                <w:lang w:val="zh-CN"/>
              </w:rPr>
              <w:t xml:space="preserve">地  址: </w:t>
            </w:r>
            <w:r>
              <w:rPr>
                <w:rFonts w:hint="eastAsia"/>
                <w:color w:val="auto"/>
                <w:sz w:val="21"/>
                <w:szCs w:val="21"/>
                <w:highlight w:val="none"/>
                <w:lang w:val="en-US" w:eastAsia="zh-CN"/>
              </w:rPr>
              <w:t>西安市莲湖区北院门133号</w:t>
            </w:r>
          </w:p>
          <w:p>
            <w:pPr>
              <w:pStyle w:val="99"/>
              <w:rPr>
                <w:rFonts w:hint="eastAsia"/>
                <w:color w:val="auto"/>
                <w:sz w:val="21"/>
                <w:szCs w:val="21"/>
                <w:highlight w:val="none"/>
                <w:lang w:val="zh-CN"/>
              </w:rPr>
            </w:pPr>
            <w:r>
              <w:rPr>
                <w:rFonts w:hint="eastAsia"/>
                <w:color w:val="auto"/>
                <w:sz w:val="21"/>
                <w:szCs w:val="21"/>
                <w:highlight w:val="none"/>
                <w:lang w:val="zh-CN"/>
              </w:rPr>
              <w:t>联系人: 徐</w:t>
            </w:r>
            <w:r>
              <w:rPr>
                <w:rFonts w:hint="eastAsia"/>
                <w:color w:val="auto"/>
                <w:sz w:val="21"/>
                <w:szCs w:val="21"/>
                <w:highlight w:val="none"/>
                <w:lang w:val="en-US" w:eastAsia="zh-CN"/>
              </w:rPr>
              <w:t>老师</w:t>
            </w:r>
          </w:p>
          <w:p>
            <w:pPr>
              <w:pStyle w:val="99"/>
              <w:rPr>
                <w:rFonts w:hint="eastAsia"/>
                <w:color w:val="auto"/>
                <w:sz w:val="21"/>
                <w:szCs w:val="21"/>
                <w:highlight w:val="none"/>
                <w:lang w:val="zh-CN"/>
              </w:rPr>
            </w:pPr>
            <w:r>
              <w:rPr>
                <w:rFonts w:hint="eastAsia"/>
                <w:color w:val="auto"/>
                <w:sz w:val="21"/>
                <w:szCs w:val="21"/>
                <w:highlight w:val="none"/>
                <w:lang w:val="zh-CN"/>
              </w:rPr>
              <w:t xml:space="preserve">电  话: </w:t>
            </w:r>
            <w:r>
              <w:rPr>
                <w:rFonts w:hint="eastAsia"/>
                <w:color w:val="auto"/>
                <w:sz w:val="21"/>
                <w:szCs w:val="21"/>
                <w:highlight w:val="none"/>
                <w:lang w:val="en-US" w:eastAsia="zh-CN"/>
              </w:rPr>
              <w:t>029-87395109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jc w:val="center"/>
              <w:rPr>
                <w:rFonts w:hint="eastAsia"/>
                <w:color w:val="auto"/>
                <w:sz w:val="21"/>
                <w:szCs w:val="21"/>
                <w:highlight w:val="none"/>
                <w:lang w:val="zh-CN"/>
              </w:rPr>
            </w:pPr>
            <w:r>
              <w:rPr>
                <w:rFonts w:hint="eastAsia"/>
                <w:color w:val="auto"/>
                <w:sz w:val="21"/>
                <w:szCs w:val="21"/>
                <w:highlight w:val="none"/>
                <w:lang w:val="zh-CN"/>
              </w:rPr>
              <w:t>采购代理机构</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lang w:val="zh-CN"/>
              </w:rPr>
            </w:pPr>
            <w:r>
              <w:rPr>
                <w:rFonts w:hint="eastAsia"/>
                <w:color w:val="auto"/>
                <w:sz w:val="21"/>
                <w:szCs w:val="21"/>
                <w:highlight w:val="none"/>
                <w:lang w:val="zh-CN"/>
              </w:rPr>
              <w:t>名  称: 陕西诺尔信项目管理有限公司</w:t>
            </w:r>
          </w:p>
          <w:p>
            <w:pPr>
              <w:widowControl/>
              <w:tabs>
                <w:tab w:val="left" w:pos="1620"/>
              </w:tabs>
              <w:ind w:right="-197" w:rightChars="-94"/>
              <w:jc w:val="left"/>
              <w:rPr>
                <w:rFonts w:hint="eastAsia" w:ascii="宋体" w:hAnsi="宋体" w:eastAsia="宋体" w:cs="宋体"/>
                <w:color w:val="auto"/>
                <w:kern w:val="0"/>
                <w:sz w:val="24"/>
                <w:highlight w:val="none"/>
                <w:lang w:eastAsia="zh-CN"/>
              </w:rPr>
            </w:pPr>
            <w:r>
              <w:rPr>
                <w:rFonts w:hint="eastAsia" w:ascii="宋体" w:hAnsi="宋体" w:cs="宋体"/>
                <w:color w:val="auto"/>
                <w:szCs w:val="21"/>
                <w:highlight w:val="none"/>
                <w:lang w:val="zh-CN"/>
              </w:rPr>
              <w:t>地  址:</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西安市莲湖区光远路16号新世纪大厦7 层B区</w:t>
            </w:r>
          </w:p>
          <w:p>
            <w:pPr>
              <w:pStyle w:val="99"/>
              <w:rPr>
                <w:rFonts w:hint="default" w:eastAsia="宋体"/>
                <w:color w:val="FF0000"/>
                <w:sz w:val="21"/>
                <w:szCs w:val="21"/>
                <w:highlight w:val="none"/>
                <w:lang w:val="en-US" w:eastAsia="zh-CN"/>
              </w:rPr>
            </w:pPr>
            <w:r>
              <w:rPr>
                <w:rFonts w:hint="eastAsia"/>
                <w:color w:val="auto"/>
                <w:sz w:val="21"/>
                <w:szCs w:val="21"/>
                <w:highlight w:val="none"/>
                <w:lang w:val="zh-CN"/>
              </w:rPr>
              <w:t>联系人:</w:t>
            </w:r>
            <w:r>
              <w:rPr>
                <w:rFonts w:hint="eastAsia"/>
                <w:color w:val="auto"/>
                <w:sz w:val="21"/>
                <w:szCs w:val="21"/>
                <w:highlight w:val="none"/>
              </w:rPr>
              <w:t xml:space="preserve"> </w:t>
            </w:r>
            <w:r>
              <w:rPr>
                <w:rFonts w:hint="eastAsia"/>
                <w:color w:val="auto"/>
                <w:sz w:val="21"/>
                <w:szCs w:val="21"/>
                <w:highlight w:val="none"/>
                <w:lang w:val="en-US" w:eastAsia="zh-CN"/>
              </w:rPr>
              <w:t>潘工、杨工</w:t>
            </w:r>
          </w:p>
          <w:p>
            <w:pPr>
              <w:widowControl/>
              <w:tabs>
                <w:tab w:val="left" w:pos="1620"/>
              </w:tabs>
              <w:spacing w:line="360" w:lineRule="auto"/>
              <w:ind w:right="-197" w:rightChars="-94"/>
              <w:jc w:val="left"/>
              <w:rPr>
                <w:rFonts w:hint="default" w:eastAsia="宋体"/>
                <w:color w:val="auto"/>
                <w:sz w:val="21"/>
                <w:szCs w:val="21"/>
                <w:highlight w:val="none"/>
                <w:lang w:val="en-US" w:eastAsia="zh-CN"/>
              </w:rPr>
            </w:pPr>
            <w:r>
              <w:rPr>
                <w:rFonts w:hint="eastAsia"/>
                <w:color w:val="auto"/>
                <w:sz w:val="21"/>
                <w:szCs w:val="21"/>
                <w:highlight w:val="none"/>
                <w:lang w:val="zh-CN"/>
              </w:rPr>
              <w:t>电  话:</w:t>
            </w:r>
            <w:r>
              <w:rPr>
                <w:rFonts w:hint="eastAsia"/>
                <w:color w:val="auto"/>
                <w:sz w:val="21"/>
                <w:szCs w:val="21"/>
                <w:highlight w:val="none"/>
              </w:rPr>
              <w:t xml:space="preserve"> </w:t>
            </w:r>
            <w:r>
              <w:rPr>
                <w:rFonts w:hint="eastAsia" w:ascii="宋体" w:hAnsi="宋体" w:eastAsia="宋体" w:cs="Times New Roman"/>
                <w:bCs/>
                <w:color w:val="auto"/>
                <w:kern w:val="0"/>
                <w:sz w:val="21"/>
                <w:szCs w:val="21"/>
                <w:highlight w:val="none"/>
                <w:lang w:val="en-US" w:eastAsia="zh-CN"/>
              </w:rPr>
              <w:t>029-88851617-813</w:t>
            </w:r>
            <w:r>
              <w:rPr>
                <w:rFonts w:hint="eastAsia" w:ascii="宋体" w:hAnsi="宋体" w:cs="Times New Roman"/>
                <w:bCs/>
                <w:color w:val="auto"/>
                <w:kern w:val="0"/>
                <w:sz w:val="21"/>
                <w:szCs w:val="21"/>
                <w:highlight w:val="none"/>
                <w:lang w:val="en-US" w:eastAsia="zh-CN"/>
              </w:rPr>
              <w:t xml:space="preserve">   13379185365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9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jc w:val="center"/>
              <w:rPr>
                <w:rFonts w:hint="eastAsia"/>
                <w:color w:val="auto"/>
                <w:sz w:val="21"/>
                <w:szCs w:val="21"/>
                <w:highlight w:val="none"/>
                <w:lang w:val="zh-CN"/>
              </w:rPr>
            </w:pPr>
            <w:r>
              <w:rPr>
                <w:rFonts w:hint="eastAsia"/>
                <w:color w:val="auto"/>
                <w:sz w:val="21"/>
                <w:szCs w:val="21"/>
                <w:highlight w:val="none"/>
                <w:lang w:val="zh-CN"/>
              </w:rPr>
              <w:t>采购项目名称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ind w:right="158" w:rightChars="75"/>
              <w:rPr>
                <w:rFonts w:hint="eastAsia" w:ascii="宋体" w:hAnsi="宋体" w:eastAsia="宋体"/>
                <w:color w:val="auto"/>
                <w:highlight w:val="none"/>
                <w:lang w:eastAsia="zh-CN"/>
              </w:rPr>
            </w:pPr>
            <w:r>
              <w:rPr>
                <w:rFonts w:hint="eastAsia" w:ascii="宋体" w:hAnsi="宋体" w:cs="宋体"/>
                <w:color w:val="auto"/>
                <w:highlight w:val="none"/>
                <w:lang w:eastAsia="zh-CN"/>
              </w:rPr>
              <w:t>西安市莲湖区北院门街道办事处保洁公司服务外包项目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jc w:val="center"/>
              <w:rPr>
                <w:rFonts w:hint="eastAsia"/>
                <w:color w:val="auto"/>
                <w:sz w:val="21"/>
                <w:szCs w:val="21"/>
                <w:highlight w:val="none"/>
                <w:lang w:val="zh-CN"/>
              </w:rPr>
            </w:pPr>
            <w:r>
              <w:rPr>
                <w:rFonts w:hint="eastAsia"/>
                <w:color w:val="auto"/>
                <w:sz w:val="21"/>
                <w:szCs w:val="21"/>
                <w:highlight w:val="none"/>
                <w:lang w:val="zh-CN"/>
              </w:rPr>
              <w:t>采购项目编号</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宋体" w:hAnsi="宋体" w:eastAsia="宋体"/>
                <w:color w:val="auto"/>
                <w:highlight w:val="none"/>
                <w:lang w:eastAsia="zh-CN"/>
              </w:rPr>
            </w:pPr>
            <w:r>
              <w:rPr>
                <w:rFonts w:hint="eastAsia" w:ascii="宋体" w:hAnsi="宋体" w:cs="宋体"/>
                <w:color w:val="auto"/>
                <w:highlight w:val="none"/>
                <w:lang w:val="en-US" w:eastAsia="zh-CN"/>
              </w:rPr>
              <w:t>NEXXMGL2023-GK1016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3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jc w:val="center"/>
              <w:rPr>
                <w:rFonts w:hint="eastAsia"/>
                <w:color w:val="auto"/>
                <w:sz w:val="21"/>
                <w:szCs w:val="21"/>
                <w:highlight w:val="none"/>
                <w:lang w:val="zh-CN"/>
              </w:rPr>
            </w:pPr>
            <w:r>
              <w:rPr>
                <w:rFonts w:hint="eastAsia"/>
                <w:color w:val="auto"/>
                <w:sz w:val="21"/>
                <w:szCs w:val="21"/>
                <w:highlight w:val="none"/>
                <w:lang w:val="zh-CN"/>
              </w:rPr>
              <w:t>项目分包个数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ind w:right="158" w:rightChars="75"/>
              <w:rPr>
                <w:rFonts w:hint="eastAsia" w:ascii="宋体" w:hAnsi="宋体"/>
                <w:color w:val="auto"/>
                <w:highlight w:val="none"/>
              </w:rPr>
            </w:pPr>
            <w:r>
              <w:rPr>
                <w:rFonts w:hint="eastAsia" w:ascii="宋体" w:hAnsi="宋体" w:cs="宋体"/>
                <w:color w:val="auto"/>
                <w:szCs w:val="21"/>
                <w:highlight w:val="none"/>
              </w:rPr>
              <w:t>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07" w:hRule="exact"/>
          <w:jc w:val="center"/>
        </w:trPr>
        <w:tc>
          <w:tcPr>
            <w:tcW w:w="811" w:type="dxa"/>
            <w:vMerge w:val="restart"/>
            <w:tcBorders>
              <w:top w:val="single" w:color="auto" w:sz="8" w:space="0"/>
              <w:left w:val="single" w:color="auto" w:sz="1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jc w:val="center"/>
              <w:rPr>
                <w:rFonts w:hint="eastAsia"/>
                <w:color w:val="auto"/>
                <w:sz w:val="21"/>
                <w:szCs w:val="21"/>
                <w:highlight w:val="none"/>
                <w:lang w:val="zh-CN"/>
              </w:rPr>
            </w:pPr>
            <w:r>
              <w:rPr>
                <w:rFonts w:hint="eastAsia"/>
                <w:color w:val="auto"/>
                <w:sz w:val="21"/>
                <w:szCs w:val="21"/>
                <w:highlight w:val="none"/>
                <w:lang w:val="zh-CN"/>
              </w:rPr>
              <w:t>预算金额</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jc w:val="both"/>
              <w:rPr>
                <w:rFonts w:hint="eastAsia"/>
                <w:color w:val="auto"/>
                <w:sz w:val="21"/>
                <w:szCs w:val="21"/>
                <w:highlight w:val="none"/>
                <w:lang w:val="zh-CN"/>
              </w:rPr>
            </w:pPr>
            <w:r>
              <w:rPr>
                <w:rFonts w:hint="eastAsia"/>
                <w:color w:val="auto"/>
                <w:sz w:val="21"/>
                <w:szCs w:val="21"/>
                <w:highlight w:val="none"/>
              </w:rPr>
              <w:t>本项目预算金额</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16845600.00</w:t>
            </w:r>
            <w:r>
              <w:rPr>
                <w:rFonts w:hint="eastAsia"/>
                <w:color w:val="auto"/>
                <w:sz w:val="21"/>
                <w:szCs w:val="21"/>
                <w:highlight w:val="none"/>
                <w:lang w:val="en-US" w:eastAsia="zh-CN"/>
              </w:rPr>
              <w:t>元</w:t>
            </w:r>
            <w:r>
              <w:rPr>
                <w:rFonts w:hint="eastAsia"/>
                <w:color w:val="auto"/>
                <w:sz w:val="21"/>
                <w:szCs w:val="21"/>
                <w:highlight w:val="none"/>
              </w:rPr>
              <w:t>。投标人报价超出预算金额的，作为不实质性响应招标文件，按</w:t>
            </w:r>
            <w:r>
              <w:rPr>
                <w:rFonts w:hint="eastAsia"/>
                <w:b/>
                <w:bCs/>
                <w:color w:val="auto"/>
                <w:sz w:val="21"/>
                <w:szCs w:val="21"/>
                <w:highlight w:val="none"/>
              </w:rPr>
              <w:t>无效投标</w:t>
            </w:r>
            <w:r>
              <w:rPr>
                <w:rFonts w:hint="eastAsia"/>
                <w:color w:val="auto"/>
                <w:sz w:val="21"/>
                <w:szCs w:val="21"/>
                <w:highlight w:val="none"/>
              </w:rPr>
              <w:t>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2" w:hRule="exact"/>
          <w:jc w:val="center"/>
        </w:trPr>
        <w:tc>
          <w:tcPr>
            <w:tcW w:w="811" w:type="dxa"/>
            <w:vMerge w:val="continue"/>
            <w:tcBorders>
              <w:left w:val="single" w:color="auto" w:sz="18" w:space="0"/>
              <w:bottom w:val="single" w:color="auto" w:sz="8" w:space="0"/>
              <w:right w:val="single" w:color="auto" w:sz="8" w:space="0"/>
            </w:tcBorders>
            <w:noWrap w:val="0"/>
            <w:vAlign w:val="center"/>
          </w:tcPr>
          <w:p>
            <w:pPr>
              <w:pStyle w:val="99"/>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jc w:val="center"/>
              <w:rPr>
                <w:rFonts w:hint="eastAsia"/>
                <w:color w:val="auto"/>
                <w:sz w:val="21"/>
                <w:szCs w:val="21"/>
                <w:highlight w:val="none"/>
                <w:lang w:val="zh-CN"/>
              </w:rPr>
            </w:pPr>
            <w:r>
              <w:rPr>
                <w:rFonts w:hint="eastAsia"/>
                <w:color w:val="auto"/>
                <w:sz w:val="21"/>
                <w:szCs w:val="21"/>
                <w:highlight w:val="none"/>
                <w:lang w:val="zh-CN"/>
              </w:rPr>
              <w:t>最高限价</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jc w:val="both"/>
              <w:rPr>
                <w:rFonts w:hint="eastAsia"/>
                <w:color w:val="auto"/>
                <w:sz w:val="21"/>
                <w:szCs w:val="21"/>
                <w:highlight w:val="none"/>
              </w:rPr>
            </w:pPr>
            <w:r>
              <w:rPr>
                <w:rFonts w:hint="eastAsia"/>
                <w:color w:val="auto"/>
                <w:szCs w:val="21"/>
                <w:highlight w:val="none"/>
                <w:lang w:eastAsia="zh-CN"/>
              </w:rPr>
              <w:t>□</w:t>
            </w:r>
            <w:r>
              <w:rPr>
                <w:rFonts w:hint="eastAsia"/>
                <w:color w:val="auto"/>
                <w:sz w:val="21"/>
                <w:szCs w:val="21"/>
                <w:highlight w:val="none"/>
              </w:rPr>
              <w:t>无</w:t>
            </w:r>
          </w:p>
          <w:p>
            <w:pPr>
              <w:pStyle w:val="99"/>
              <w:jc w:val="both"/>
              <w:rPr>
                <w:rFonts w:hint="eastAsia" w:eastAsia="宋体"/>
                <w:color w:val="auto"/>
                <w:sz w:val="21"/>
                <w:szCs w:val="21"/>
                <w:highlight w:val="none"/>
                <w:lang w:val="zh-CN" w:eastAsia="zh-CN"/>
              </w:rPr>
            </w:pPr>
            <w:r>
              <w:rPr>
                <w:rFonts w:hint="eastAsia"/>
                <w:color w:val="auto"/>
                <w:szCs w:val="21"/>
                <w:highlight w:val="none"/>
                <w:lang w:eastAsia="zh-CN"/>
              </w:rPr>
              <w:t>☑</w:t>
            </w:r>
            <w:r>
              <w:rPr>
                <w:rFonts w:hint="eastAsia"/>
                <w:color w:val="auto"/>
                <w:sz w:val="21"/>
                <w:szCs w:val="21"/>
                <w:highlight w:val="none"/>
              </w:rPr>
              <w:t>有，本项目最高限价：</w:t>
            </w:r>
            <w:r>
              <w:rPr>
                <w:rFonts w:hint="eastAsia"/>
                <w:strike w:val="0"/>
                <w:dstrike w:val="0"/>
                <w:color w:val="auto"/>
                <w:sz w:val="21"/>
                <w:szCs w:val="21"/>
                <w:highlight w:val="none"/>
                <w:u w:val="single"/>
              </w:rPr>
              <w:t>￥</w:t>
            </w:r>
            <w:r>
              <w:rPr>
                <w:rFonts w:hint="eastAsia"/>
                <w:strike w:val="0"/>
                <w:dstrike w:val="0"/>
                <w:color w:val="auto"/>
                <w:sz w:val="21"/>
                <w:szCs w:val="21"/>
                <w:highlight w:val="none"/>
                <w:u w:val="single"/>
                <w:lang w:val="en-US" w:eastAsia="zh-CN"/>
              </w:rPr>
              <w:t>15675363.00元</w:t>
            </w:r>
            <w:r>
              <w:rPr>
                <w:rFonts w:hint="eastAsia"/>
                <w:strike w:val="0"/>
                <w:dstrike w:val="0"/>
                <w:color w:val="auto"/>
                <w:sz w:val="21"/>
                <w:szCs w:val="21"/>
                <w:highlight w:val="none"/>
                <w:u w:val="single"/>
              </w:rPr>
              <w:t>。</w:t>
            </w:r>
            <w:r>
              <w:rPr>
                <w:rFonts w:hint="eastAsia"/>
                <w:color w:val="auto"/>
                <w:sz w:val="21"/>
                <w:szCs w:val="21"/>
                <w:highlight w:val="none"/>
              </w:rPr>
              <w:t>投标人报价超出最高限价的，作为不实质性响应招标文件，按</w:t>
            </w:r>
            <w:r>
              <w:rPr>
                <w:rFonts w:hint="eastAsia"/>
                <w:b/>
                <w:bCs/>
                <w:color w:val="auto"/>
                <w:sz w:val="21"/>
                <w:szCs w:val="21"/>
                <w:highlight w:val="none"/>
              </w:rPr>
              <w:t>无效投标</w:t>
            </w:r>
            <w:r>
              <w:rPr>
                <w:rFonts w:hint="eastAsia"/>
                <w:color w:val="auto"/>
                <w:sz w:val="21"/>
                <w:szCs w:val="21"/>
                <w:highlight w:val="none"/>
              </w:rPr>
              <w:t>处理</w:t>
            </w:r>
            <w:r>
              <w:rPr>
                <w:rFonts w:hint="eastAsia"/>
                <w:color w:val="auto"/>
                <w:sz w:val="21"/>
                <w:szCs w:val="21"/>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8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jc w:val="center"/>
              <w:rPr>
                <w:rFonts w:hint="eastAsia"/>
                <w:color w:val="auto"/>
                <w:sz w:val="21"/>
                <w:szCs w:val="21"/>
                <w:highlight w:val="none"/>
                <w:lang w:val="zh-CN"/>
              </w:rPr>
            </w:pPr>
            <w:r>
              <w:rPr>
                <w:rFonts w:hint="eastAsia"/>
                <w:color w:val="auto"/>
                <w:sz w:val="21"/>
                <w:szCs w:val="21"/>
                <w:highlight w:val="none"/>
                <w:lang w:val="zh-CN"/>
              </w:rPr>
              <w:t>是否预留份额专门</w:t>
            </w:r>
          </w:p>
          <w:p>
            <w:pPr>
              <w:pStyle w:val="99"/>
              <w:ind w:left="38"/>
              <w:jc w:val="center"/>
              <w:rPr>
                <w:rFonts w:hint="eastAsia"/>
                <w:color w:val="auto"/>
                <w:sz w:val="21"/>
                <w:szCs w:val="21"/>
                <w:highlight w:val="none"/>
                <w:lang w:val="zh-CN"/>
              </w:rPr>
            </w:pPr>
            <w:r>
              <w:rPr>
                <w:rFonts w:hint="eastAsia"/>
                <w:color w:val="auto"/>
                <w:sz w:val="21"/>
                <w:szCs w:val="21"/>
                <w:highlight w:val="none"/>
                <w:lang w:val="zh-CN"/>
              </w:rPr>
              <w:t>面向中小企业采购</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jc w:val="both"/>
              <w:rPr>
                <w:rFonts w:hint="eastAsia" w:eastAsia="宋体"/>
                <w:color w:val="auto"/>
                <w:sz w:val="21"/>
                <w:szCs w:val="21"/>
                <w:highlight w:val="none"/>
                <w:lang w:val="zh-CN" w:eastAsia="zh-CN"/>
              </w:rPr>
            </w:pPr>
            <w:r>
              <w:rPr>
                <w:rFonts w:hint="eastAsia"/>
                <w:color w:val="auto"/>
                <w:sz w:val="21"/>
                <w:szCs w:val="21"/>
                <w:highlight w:val="none"/>
              </w:rPr>
              <w:t>是，投标人非中小</w:t>
            </w:r>
            <w:r>
              <w:rPr>
                <w:rFonts w:hint="eastAsia"/>
                <w:color w:val="auto"/>
                <w:sz w:val="21"/>
                <w:szCs w:val="21"/>
                <w:highlight w:val="none"/>
                <w:lang w:val="en-US" w:eastAsia="zh-CN"/>
              </w:rPr>
              <w:t>微</w:t>
            </w:r>
            <w:r>
              <w:rPr>
                <w:rFonts w:hint="eastAsia"/>
                <w:color w:val="auto"/>
                <w:sz w:val="21"/>
                <w:szCs w:val="21"/>
                <w:highlight w:val="none"/>
              </w:rPr>
              <w:t>企业（含残疾人福利性单位、监狱企业）</w:t>
            </w:r>
            <w:r>
              <w:rPr>
                <w:rFonts w:hint="eastAsia"/>
                <w:iCs/>
                <w:color w:val="auto"/>
                <w:sz w:val="21"/>
                <w:szCs w:val="21"/>
                <w:highlight w:val="none"/>
              </w:rPr>
              <w:t>的，其</w:t>
            </w:r>
            <w:r>
              <w:rPr>
                <w:rFonts w:hint="eastAsia"/>
                <w:b/>
                <w:iCs/>
                <w:color w:val="auto"/>
                <w:sz w:val="21"/>
                <w:szCs w:val="21"/>
                <w:highlight w:val="none"/>
              </w:rPr>
              <w:t>投标无效</w:t>
            </w:r>
            <w:r>
              <w:rPr>
                <w:rFonts w:hint="eastAsia"/>
                <w:b/>
                <w:iCs/>
                <w:color w:val="auto"/>
                <w:sz w:val="21"/>
                <w:szCs w:val="21"/>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11"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是否接受联合体投标</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ind w:right="105" w:rightChars="50"/>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否</w:t>
            </w:r>
          </w:p>
          <w:p>
            <w:pPr>
              <w:ind w:right="105" w:rightChars="50"/>
              <w:rPr>
                <w:rFonts w:hint="eastAsia"/>
                <w:color w:val="auto"/>
                <w:szCs w:val="21"/>
                <w:highlight w:val="none"/>
                <w:lang w:eastAsia="zh-CN"/>
              </w:rPr>
            </w:pPr>
            <w:r>
              <w:rPr>
                <w:rFonts w:hint="eastAsia"/>
                <w:color w:val="auto"/>
                <w:szCs w:val="21"/>
                <w:highlight w:val="none"/>
              </w:rPr>
              <w:t>□是，详见投标人须知第</w:t>
            </w:r>
            <w:r>
              <w:rPr>
                <w:rFonts w:hint="eastAsia" w:ascii="宋体" w:hAnsi="宋体"/>
                <w:color w:val="auto"/>
                <w:szCs w:val="21"/>
                <w:highlight w:val="none"/>
              </w:rPr>
              <w:t>3.3</w:t>
            </w:r>
            <w:r>
              <w:rPr>
                <w:rFonts w:hint="eastAsia"/>
                <w:color w:val="auto"/>
                <w:szCs w:val="21"/>
                <w:highlight w:val="none"/>
              </w:rPr>
              <w:t>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6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leftChars="0"/>
              <w:jc w:val="center"/>
              <w:rPr>
                <w:rFonts w:hint="eastAsia"/>
                <w:color w:val="auto"/>
                <w:sz w:val="21"/>
                <w:szCs w:val="21"/>
                <w:highlight w:val="none"/>
                <w:lang w:val="zh-CN"/>
              </w:rPr>
            </w:pPr>
            <w:r>
              <w:rPr>
                <w:rFonts w:hint="eastAsia"/>
                <w:color w:val="auto"/>
                <w:sz w:val="21"/>
                <w:szCs w:val="21"/>
                <w:highlight w:val="none"/>
                <w:lang w:val="zh-CN"/>
              </w:rPr>
              <w:t>采购需求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jc w:val="both"/>
              <w:rPr>
                <w:rFonts w:hint="eastAsia"/>
                <w:color w:val="auto"/>
                <w:sz w:val="21"/>
                <w:szCs w:val="21"/>
                <w:highlight w:val="none"/>
                <w:lang w:val="zh-CN"/>
              </w:rPr>
            </w:pPr>
            <w:r>
              <w:rPr>
                <w:rFonts w:hint="eastAsia"/>
                <w:color w:val="auto"/>
                <w:sz w:val="21"/>
                <w:szCs w:val="21"/>
                <w:highlight w:val="none"/>
                <w:lang w:val="zh-CN"/>
              </w:rPr>
              <w:t>详见招标文件第</w:t>
            </w:r>
            <w:r>
              <w:rPr>
                <w:rFonts w:hint="eastAsia"/>
                <w:color w:val="auto"/>
                <w:sz w:val="21"/>
                <w:szCs w:val="21"/>
                <w:highlight w:val="none"/>
                <w:lang w:val="en-US" w:eastAsia="zh-CN"/>
              </w:rPr>
              <w:t>五</w:t>
            </w:r>
            <w:r>
              <w:rPr>
                <w:rFonts w:hint="eastAsia"/>
                <w:color w:val="auto"/>
                <w:sz w:val="21"/>
                <w:szCs w:val="21"/>
                <w:highlight w:val="none"/>
                <w:lang w:val="zh-CN"/>
              </w:rPr>
              <w:t>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218"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8" w:leftChars="0"/>
              <w:jc w:val="center"/>
              <w:rPr>
                <w:rFonts w:hint="eastAsia"/>
                <w:color w:val="auto"/>
                <w:sz w:val="21"/>
                <w:szCs w:val="21"/>
                <w:highlight w:val="none"/>
                <w:lang w:val="zh-CN"/>
              </w:rPr>
            </w:pPr>
            <w:r>
              <w:rPr>
                <w:rFonts w:hint="eastAsia"/>
                <w:color w:val="auto"/>
                <w:sz w:val="21"/>
                <w:szCs w:val="21"/>
                <w:highlight w:val="none"/>
                <w:lang w:val="zh-CN"/>
              </w:rPr>
              <w:t>定价方式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固定总价报价方式</w:t>
            </w:r>
          </w:p>
          <w:p>
            <w:pPr>
              <w:pStyle w:val="99"/>
              <w:jc w:val="both"/>
              <w:rPr>
                <w:rFonts w:hint="eastAsia"/>
                <w:color w:val="auto"/>
                <w:sz w:val="21"/>
                <w:szCs w:val="21"/>
                <w:highlight w:val="none"/>
              </w:rPr>
            </w:pPr>
            <w:r>
              <w:rPr>
                <w:rFonts w:hint="eastAsia"/>
                <w:color w:val="auto"/>
                <w:sz w:val="21"/>
                <w:szCs w:val="21"/>
                <w:highlight w:val="none"/>
              </w:rPr>
              <w:t>□固定单价报价方式</w:t>
            </w:r>
          </w:p>
          <w:p>
            <w:pPr>
              <w:pStyle w:val="99"/>
              <w:jc w:val="both"/>
              <w:rPr>
                <w:rFonts w:hint="eastAsia"/>
                <w:color w:val="auto"/>
                <w:sz w:val="21"/>
                <w:szCs w:val="21"/>
                <w:highlight w:val="none"/>
              </w:rPr>
            </w:pPr>
            <w:r>
              <w:rPr>
                <w:rFonts w:hint="eastAsia"/>
                <w:color w:val="auto"/>
                <w:sz w:val="21"/>
                <w:szCs w:val="21"/>
                <w:highlight w:val="none"/>
              </w:rPr>
              <w:t>□费率报价方式</w:t>
            </w:r>
          </w:p>
          <w:p>
            <w:pPr>
              <w:pStyle w:val="99"/>
              <w:jc w:val="both"/>
              <w:rPr>
                <w:rFonts w:hint="eastAsia"/>
                <w:color w:val="auto"/>
                <w:sz w:val="21"/>
                <w:szCs w:val="21"/>
                <w:highlight w:val="none"/>
                <w:lang w:val="zh-CN"/>
              </w:rPr>
            </w:pPr>
            <w:r>
              <w:rPr>
                <w:rFonts w:hint="eastAsia"/>
                <w:color w:val="auto"/>
                <w:sz w:val="21"/>
                <w:szCs w:val="21"/>
                <w:highlight w:val="none"/>
              </w:rPr>
              <w:t>□折扣率报价方式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2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服务期限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jc w:val="both"/>
              <w:rPr>
                <w:rFonts w:hint="default"/>
                <w:color w:val="auto"/>
                <w:sz w:val="21"/>
                <w:szCs w:val="21"/>
                <w:highlight w:val="none"/>
                <w:lang w:val="en-US"/>
              </w:rPr>
            </w:pPr>
            <w:r>
              <w:rPr>
                <w:rFonts w:hint="default"/>
                <w:color w:val="auto"/>
                <w:sz w:val="21"/>
                <w:szCs w:val="21"/>
                <w:highlight w:val="none"/>
                <w:lang w:val="en-US" w:eastAsia="zh-CN"/>
              </w:rPr>
              <w:t>1</w:t>
            </w:r>
            <w:r>
              <w:rPr>
                <w:rFonts w:hint="default"/>
                <w:color w:val="auto"/>
                <w:sz w:val="21"/>
                <w:szCs w:val="21"/>
                <w:highlight w:val="none"/>
                <w:lang w:val="en-US"/>
              </w:rPr>
              <w:t>年（从合同签订</w:t>
            </w:r>
            <w:r>
              <w:rPr>
                <w:rFonts w:hint="default"/>
                <w:color w:val="auto"/>
                <w:sz w:val="21"/>
                <w:szCs w:val="21"/>
                <w:highlight w:val="none"/>
                <w:lang w:val="en-US" w:eastAsia="zh-CN"/>
              </w:rPr>
              <w:t>之日起至服务期满</w:t>
            </w:r>
            <w:r>
              <w:rPr>
                <w:rFonts w:hint="default"/>
                <w:color w:val="auto"/>
                <w:sz w:val="21"/>
                <w:szCs w:val="21"/>
                <w:highlight w:val="none"/>
                <w:lang w:val="en-US"/>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服务地点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lang w:val="zh-CN"/>
              </w:rPr>
            </w:pPr>
            <w:r>
              <w:rPr>
                <w:rFonts w:hint="eastAsia"/>
                <w:color w:val="auto"/>
                <w:sz w:val="21"/>
                <w:szCs w:val="21"/>
                <w:highlight w:val="none"/>
                <w:lang w:val="zh-CN"/>
              </w:rPr>
              <w:t>按采购人指定地点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1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质量要求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jc w:val="both"/>
              <w:rPr>
                <w:rFonts w:hint="eastAsia"/>
                <w:color w:val="auto"/>
                <w:sz w:val="21"/>
                <w:szCs w:val="21"/>
                <w:highlight w:val="none"/>
              </w:rPr>
            </w:pPr>
            <w:r>
              <w:rPr>
                <w:rFonts w:hint="eastAsia"/>
                <w:color w:val="auto"/>
                <w:sz w:val="21"/>
                <w:szCs w:val="21"/>
                <w:highlight w:val="none"/>
              </w:rPr>
              <w:t>详见招标文件第</w:t>
            </w:r>
            <w:r>
              <w:rPr>
                <w:rFonts w:hint="eastAsia"/>
                <w:color w:val="auto"/>
                <w:sz w:val="21"/>
                <w:szCs w:val="21"/>
                <w:highlight w:val="none"/>
                <w:lang w:eastAsia="zh-CN"/>
              </w:rPr>
              <w:t>五</w:t>
            </w:r>
            <w:r>
              <w:rPr>
                <w:rFonts w:hint="eastAsia"/>
                <w:color w:val="auto"/>
                <w:sz w:val="21"/>
                <w:szCs w:val="21"/>
                <w:highlight w:val="none"/>
              </w:rPr>
              <w:t>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cs="Courier New"/>
                <w:color w:val="auto"/>
                <w:sz w:val="21"/>
                <w:szCs w:val="21"/>
                <w:highlight w:val="none"/>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服务费用支付方式、时间和条件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line="340" w:lineRule="exact"/>
              <w:ind w:right="105" w:rightChars="50"/>
              <w:rPr>
                <w:rFonts w:hint="eastAsia" w:ascii="宋体" w:hAnsi="宋体"/>
                <w:color w:val="auto"/>
                <w:szCs w:val="21"/>
                <w:highlight w:val="none"/>
              </w:rPr>
            </w:pPr>
            <w:r>
              <w:rPr>
                <w:rFonts w:hint="eastAsia" w:ascii="宋体" w:hAnsi="宋体"/>
                <w:color w:val="auto"/>
                <w:szCs w:val="21"/>
                <w:highlight w:val="none"/>
                <w:u w:val="none" w:color="auto"/>
              </w:rPr>
              <w:t>详见招标文件第</w:t>
            </w:r>
            <w:r>
              <w:rPr>
                <w:rFonts w:hint="eastAsia" w:ascii="宋体" w:hAnsi="宋体"/>
                <w:color w:val="auto"/>
                <w:szCs w:val="21"/>
                <w:highlight w:val="none"/>
                <w:u w:val="none" w:color="auto"/>
                <w:lang w:eastAsia="zh-CN"/>
              </w:rPr>
              <w:t>六</w:t>
            </w:r>
            <w:r>
              <w:rPr>
                <w:rFonts w:hint="eastAsia" w:ascii="宋体" w:hAnsi="宋体"/>
                <w:color w:val="auto"/>
                <w:szCs w:val="21"/>
                <w:highlight w:val="none"/>
                <w:u w:val="none" w:color="auto"/>
              </w:rPr>
              <w:t>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2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rPr>
                <w:rFonts w:hint="eastAsia"/>
                <w:color w:val="auto"/>
                <w:sz w:val="21"/>
                <w:szCs w:val="21"/>
                <w:highlight w:val="none"/>
                <w:lang w:val="zh-CN"/>
              </w:rPr>
            </w:pPr>
            <w:r>
              <w:rPr>
                <w:rFonts w:hint="eastAsia"/>
                <w:color w:val="auto"/>
                <w:sz w:val="21"/>
                <w:szCs w:val="21"/>
                <w:highlight w:val="none"/>
                <w:lang w:val="zh-CN"/>
              </w:rPr>
              <w:t>考察现场、标前答疑会</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☑不组织</w:t>
            </w:r>
          </w:p>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□组织，时间、地点另行书面通知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2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转包与分包</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不得转包与分包</w:t>
            </w:r>
            <w:r>
              <w:rPr>
                <w:rFonts w:hint="eastAsia"/>
                <w:color w:val="auto"/>
                <w:sz w:val="21"/>
                <w:szCs w:val="21"/>
                <w:highlight w:val="none"/>
              </w:rPr>
              <w:t>（详见投标人须知第3.5条款）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11"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非实质性偏离</w:t>
            </w:r>
          </w:p>
          <w:p>
            <w:pPr>
              <w:pStyle w:val="99"/>
              <w:jc w:val="center"/>
              <w:rPr>
                <w:rFonts w:hint="eastAsia"/>
                <w:color w:val="auto"/>
                <w:sz w:val="21"/>
                <w:szCs w:val="21"/>
                <w:highlight w:val="none"/>
                <w:lang w:val="zh-CN"/>
              </w:rPr>
            </w:pPr>
            <w:r>
              <w:rPr>
                <w:rFonts w:hint="eastAsia"/>
                <w:color w:val="auto"/>
                <w:sz w:val="21"/>
                <w:szCs w:val="21"/>
                <w:highlight w:val="none"/>
                <w:lang w:val="zh-CN"/>
              </w:rPr>
              <w:t>（技术参数）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☑不允许</w:t>
            </w:r>
          </w:p>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□允许，偏差范围：</w:t>
            </w:r>
          </w:p>
          <w:p>
            <w:pPr>
              <w:pStyle w:val="99"/>
              <w:spacing w:line="320" w:lineRule="exact"/>
              <w:rPr>
                <w:rFonts w:hint="eastAsia"/>
                <w:color w:val="auto"/>
                <w:sz w:val="21"/>
                <w:szCs w:val="21"/>
                <w:highlight w:val="none"/>
              </w:rPr>
            </w:pPr>
            <w:r>
              <w:rPr>
                <w:rFonts w:hint="eastAsia"/>
                <w:color w:val="auto"/>
                <w:sz w:val="21"/>
                <w:szCs w:val="21"/>
                <w:highlight w:val="none"/>
                <w:lang w:val="zh-CN"/>
              </w:rPr>
              <w:t>最高项数：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1"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6"/>
              <w:ind w:firstLine="0"/>
              <w:jc w:val="center"/>
              <w:rPr>
                <w:rFonts w:hint="eastAsia"/>
                <w:color w:val="auto"/>
                <w:szCs w:val="21"/>
                <w:highlight w:val="none"/>
              </w:rPr>
            </w:pPr>
            <w:r>
              <w:rPr>
                <w:rFonts w:hint="eastAsia"/>
                <w:color w:val="auto"/>
                <w:szCs w:val="21"/>
                <w:highlight w:val="none"/>
              </w:rPr>
              <w:t>招标文件澄清</w:t>
            </w:r>
          </w:p>
          <w:p>
            <w:pPr>
              <w:pStyle w:val="6"/>
              <w:ind w:firstLine="0"/>
              <w:jc w:val="center"/>
              <w:rPr>
                <w:rFonts w:hint="eastAsia"/>
                <w:color w:val="auto"/>
                <w:szCs w:val="21"/>
                <w:highlight w:val="none"/>
                <w:lang w:val="zh-CN"/>
              </w:rPr>
            </w:pPr>
            <w:r>
              <w:rPr>
                <w:rFonts w:hint="eastAsia"/>
                <w:color w:val="auto"/>
                <w:szCs w:val="21"/>
                <w:highlight w:val="none"/>
              </w:rPr>
              <w:t>或修改时间、形式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6"/>
              <w:ind w:left="0" w:leftChars="0" w:firstLine="0" w:firstLineChars="0"/>
              <w:rPr>
                <w:rFonts w:hint="eastAsia" w:ascii="宋体" w:hAnsi="宋体"/>
                <w:color w:val="auto"/>
                <w:szCs w:val="21"/>
                <w:highlight w:val="none"/>
              </w:rPr>
            </w:pPr>
            <w:r>
              <w:rPr>
                <w:rFonts w:hint="eastAsia"/>
                <w:color w:val="auto"/>
                <w:szCs w:val="21"/>
                <w:highlight w:val="none"/>
                <w:lang w:val="zh-CN"/>
              </w:rPr>
              <w:t>时间：</w:t>
            </w:r>
            <w:r>
              <w:rPr>
                <w:rFonts w:hint="eastAsia" w:ascii="宋体" w:hAnsi="宋体"/>
                <w:color w:val="auto"/>
                <w:szCs w:val="21"/>
                <w:highlight w:val="none"/>
              </w:rPr>
              <w:t>递交投标文件截至时间15日前</w:t>
            </w:r>
          </w:p>
          <w:p>
            <w:pPr>
              <w:pStyle w:val="6"/>
              <w:ind w:left="0" w:leftChars="0" w:firstLine="0" w:firstLineChars="0"/>
              <w:rPr>
                <w:rFonts w:hint="eastAsia"/>
                <w:color w:val="auto"/>
                <w:szCs w:val="21"/>
                <w:highlight w:val="none"/>
                <w:lang w:val="zh-CN"/>
              </w:rPr>
            </w:pPr>
            <w:r>
              <w:rPr>
                <w:rFonts w:hint="eastAsia" w:ascii="宋体" w:hAnsi="宋体"/>
                <w:color w:val="auto"/>
                <w:szCs w:val="21"/>
                <w:highlight w:val="none"/>
              </w:rPr>
              <w:t>形式：</w:t>
            </w:r>
            <w:r>
              <w:rPr>
                <w:rFonts w:hint="eastAsia" w:ascii="宋体" w:hAnsi="宋体"/>
                <w:color w:val="auto"/>
                <w:szCs w:val="21"/>
                <w:highlight w:val="none"/>
                <w:lang w:eastAsia="zh-CN"/>
              </w:rPr>
              <w:t>在线（电子文件）和公告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52"/>
              <w:jc w:val="center"/>
              <w:rPr>
                <w:rFonts w:hint="eastAsia"/>
                <w:color w:val="auto"/>
                <w:sz w:val="21"/>
                <w:szCs w:val="21"/>
                <w:highlight w:val="none"/>
                <w:lang w:val="zh-CN"/>
              </w:rPr>
            </w:pPr>
            <w:r>
              <w:rPr>
                <w:rFonts w:hint="eastAsia"/>
                <w:color w:val="auto"/>
                <w:sz w:val="21"/>
                <w:szCs w:val="21"/>
                <w:highlight w:val="none"/>
                <w:lang w:val="zh-CN"/>
              </w:rPr>
              <w:t>构成招标文件的</w:t>
            </w:r>
          </w:p>
          <w:p>
            <w:pPr>
              <w:pStyle w:val="99"/>
              <w:jc w:val="center"/>
              <w:rPr>
                <w:rFonts w:hint="eastAsia"/>
                <w:color w:val="auto"/>
                <w:sz w:val="21"/>
                <w:szCs w:val="21"/>
                <w:highlight w:val="none"/>
                <w:lang w:val="zh-CN"/>
              </w:rPr>
            </w:pPr>
            <w:r>
              <w:rPr>
                <w:rFonts w:hint="eastAsia"/>
                <w:color w:val="auto"/>
                <w:sz w:val="21"/>
                <w:szCs w:val="21"/>
                <w:highlight w:val="none"/>
                <w:lang w:val="zh-CN"/>
              </w:rPr>
              <w:t>其他文件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lang w:val="zh-CN"/>
              </w:rPr>
            </w:pPr>
            <w:r>
              <w:rPr>
                <w:rFonts w:hint="eastAsia"/>
                <w:color w:val="auto"/>
                <w:sz w:val="21"/>
                <w:szCs w:val="21"/>
                <w:highlight w:val="none"/>
                <w:lang w:val="zh-CN"/>
              </w:rPr>
              <w:t>招标文件的澄清</w:t>
            </w:r>
            <w:r>
              <w:rPr>
                <w:rFonts w:hint="eastAsia"/>
                <w:color w:val="auto"/>
                <w:sz w:val="21"/>
                <w:szCs w:val="21"/>
                <w:highlight w:val="none"/>
              </w:rPr>
              <w:t>、修改书及有关补充通知为招标文件的有效组成部分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投标人对招标文件</w:t>
            </w:r>
          </w:p>
          <w:p>
            <w:pPr>
              <w:pStyle w:val="99"/>
              <w:jc w:val="center"/>
              <w:rPr>
                <w:rFonts w:hint="eastAsia"/>
                <w:color w:val="auto"/>
                <w:sz w:val="21"/>
                <w:szCs w:val="21"/>
                <w:highlight w:val="none"/>
                <w:lang w:val="zh-CN"/>
              </w:rPr>
            </w:pPr>
            <w:r>
              <w:rPr>
                <w:rFonts w:hint="eastAsia"/>
                <w:color w:val="auto"/>
                <w:sz w:val="21"/>
                <w:szCs w:val="21"/>
                <w:highlight w:val="none"/>
                <w:lang w:val="zh-CN"/>
              </w:rPr>
              <w:t>提出质疑的时间、形式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时间：自投标人下载招标文件之日起7个工作日内，超过期限的采购人或采购代理机构不再受理</w:t>
            </w:r>
          </w:p>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形式：□书面</w:t>
            </w:r>
          </w:p>
          <w:p>
            <w:pPr>
              <w:pStyle w:val="99"/>
              <w:spacing w:line="320" w:lineRule="exact"/>
              <w:ind w:firstLine="210" w:firstLineChars="100"/>
              <w:rPr>
                <w:rFonts w:hint="eastAsia"/>
                <w:color w:val="auto"/>
                <w:sz w:val="21"/>
                <w:szCs w:val="21"/>
                <w:highlight w:val="none"/>
                <w:lang w:val="zh-CN"/>
              </w:rPr>
            </w:pPr>
            <w:r>
              <w:rPr>
                <w:rFonts w:hint="eastAsia"/>
                <w:color w:val="auto"/>
                <w:sz w:val="21"/>
                <w:szCs w:val="21"/>
                <w:highlight w:val="none"/>
                <w:lang w:val="zh-CN"/>
              </w:rPr>
              <w:t xml:space="preserve">    ☑在线（电子文件）</w:t>
            </w:r>
          </w:p>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投标人认为采购过程、中标结果使自己的权益受到损害的，可以在知道或应知其权益受到损害之日起7个工作日内提出质疑，形式同上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9"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对投标人提出质疑</w:t>
            </w:r>
          </w:p>
          <w:p>
            <w:pPr>
              <w:pStyle w:val="99"/>
              <w:jc w:val="center"/>
              <w:rPr>
                <w:rFonts w:hint="eastAsia"/>
                <w:color w:val="auto"/>
                <w:sz w:val="21"/>
                <w:szCs w:val="21"/>
                <w:highlight w:val="none"/>
                <w:lang w:val="zh-CN"/>
              </w:rPr>
            </w:pPr>
            <w:r>
              <w:rPr>
                <w:rFonts w:hint="eastAsia"/>
                <w:color w:val="auto"/>
                <w:sz w:val="21"/>
                <w:szCs w:val="21"/>
                <w:highlight w:val="none"/>
                <w:lang w:val="zh-CN"/>
              </w:rPr>
              <w:t>答复时间、形式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lang w:val="zh-CN"/>
              </w:rPr>
            </w:pPr>
            <w:r>
              <w:rPr>
                <w:rFonts w:hint="eastAsia"/>
                <w:color w:val="auto"/>
                <w:sz w:val="21"/>
                <w:szCs w:val="21"/>
                <w:highlight w:val="none"/>
                <w:lang w:val="zh-CN"/>
              </w:rPr>
              <w:t>时间：自收到投标人质疑函之日起7个工作日内</w:t>
            </w:r>
          </w:p>
          <w:p>
            <w:pPr>
              <w:pStyle w:val="99"/>
              <w:rPr>
                <w:rFonts w:hint="eastAsia"/>
                <w:color w:val="auto"/>
                <w:sz w:val="21"/>
                <w:szCs w:val="21"/>
                <w:highlight w:val="none"/>
              </w:rPr>
            </w:pPr>
            <w:r>
              <w:rPr>
                <w:rFonts w:hint="eastAsia"/>
                <w:color w:val="auto"/>
                <w:sz w:val="21"/>
                <w:szCs w:val="21"/>
                <w:highlight w:val="none"/>
                <w:lang w:val="zh-CN"/>
              </w:rPr>
              <w:t>形式：全国公共资源交易平台（陕西省-西安市）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3"/>
              <w:jc w:val="center"/>
              <w:rPr>
                <w:rFonts w:hint="eastAsia"/>
                <w:color w:val="auto"/>
                <w:sz w:val="21"/>
                <w:szCs w:val="21"/>
                <w:highlight w:val="none"/>
                <w:lang w:val="zh-CN"/>
              </w:rPr>
            </w:pPr>
            <w:r>
              <w:rPr>
                <w:rFonts w:hint="eastAsia"/>
                <w:color w:val="auto"/>
                <w:sz w:val="21"/>
                <w:szCs w:val="21"/>
                <w:highlight w:val="none"/>
                <w:lang w:val="zh-CN"/>
              </w:rPr>
              <w:t>投标有效期</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jc w:val="both"/>
              <w:rPr>
                <w:rFonts w:hint="eastAsia"/>
                <w:color w:val="auto"/>
                <w:sz w:val="21"/>
                <w:szCs w:val="21"/>
                <w:highlight w:val="none"/>
                <w:lang w:val="zh-CN"/>
              </w:rPr>
            </w:pPr>
            <w:r>
              <w:rPr>
                <w:rFonts w:hint="eastAsia"/>
                <w:color w:val="auto"/>
                <w:sz w:val="21"/>
                <w:szCs w:val="21"/>
                <w:highlight w:val="none"/>
                <w:lang w:val="zh-CN"/>
              </w:rPr>
              <w:t>从投标截止日起90日历天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2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3"/>
              <w:jc w:val="center"/>
              <w:rPr>
                <w:rFonts w:hint="eastAsia"/>
                <w:color w:val="auto"/>
                <w:sz w:val="21"/>
                <w:szCs w:val="21"/>
                <w:highlight w:val="none"/>
                <w:lang w:val="zh-CN"/>
              </w:rPr>
            </w:pPr>
            <w:r>
              <w:rPr>
                <w:rFonts w:hint="eastAsia"/>
                <w:color w:val="auto"/>
                <w:sz w:val="21"/>
                <w:szCs w:val="21"/>
                <w:highlight w:val="none"/>
                <w:lang w:val="zh-CN"/>
              </w:rPr>
              <w:t>是否允许递交多个</w:t>
            </w:r>
          </w:p>
          <w:p>
            <w:pPr>
              <w:pStyle w:val="99"/>
              <w:ind w:left="33"/>
              <w:jc w:val="center"/>
              <w:rPr>
                <w:rFonts w:hint="eastAsia"/>
                <w:color w:val="auto"/>
                <w:sz w:val="21"/>
                <w:szCs w:val="21"/>
                <w:highlight w:val="none"/>
                <w:lang w:val="zh-CN"/>
              </w:rPr>
            </w:pPr>
            <w:r>
              <w:rPr>
                <w:rFonts w:hint="eastAsia"/>
                <w:color w:val="auto"/>
                <w:sz w:val="21"/>
                <w:szCs w:val="21"/>
                <w:highlight w:val="none"/>
                <w:lang w:val="zh-CN"/>
              </w:rPr>
              <w:t>备选投标方案</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☑不允许</w:t>
            </w:r>
          </w:p>
          <w:p>
            <w:pPr>
              <w:pStyle w:val="99"/>
              <w:jc w:val="both"/>
              <w:rPr>
                <w:rFonts w:hint="eastAsia"/>
                <w:color w:val="auto"/>
                <w:sz w:val="21"/>
                <w:szCs w:val="21"/>
                <w:highlight w:val="none"/>
                <w:lang w:val="zh-CN"/>
              </w:rPr>
            </w:pPr>
            <w:r>
              <w:rPr>
                <w:rFonts w:hint="eastAsia"/>
                <w:color w:val="auto"/>
                <w:sz w:val="21"/>
                <w:szCs w:val="21"/>
                <w:highlight w:val="none"/>
                <w:lang w:val="zh-CN"/>
              </w:rPr>
              <w:t>□允许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6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3"/>
              <w:jc w:val="center"/>
              <w:rPr>
                <w:rFonts w:hint="eastAsia"/>
                <w:color w:val="auto"/>
                <w:sz w:val="21"/>
                <w:szCs w:val="21"/>
                <w:highlight w:val="none"/>
                <w:lang w:val="zh-CN"/>
              </w:rPr>
            </w:pPr>
            <w:r>
              <w:rPr>
                <w:rFonts w:hint="eastAsia"/>
                <w:color w:val="auto"/>
                <w:sz w:val="21"/>
                <w:szCs w:val="21"/>
                <w:highlight w:val="none"/>
                <w:lang w:val="zh-CN"/>
              </w:rPr>
              <w:t>投标保证金</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是否要求投标人提交投标保证金：</w:t>
            </w:r>
          </w:p>
          <w:p>
            <w:pPr>
              <w:numPr>
                <w:ilvl w:val="0"/>
                <w:numId w:val="3"/>
              </w:numPr>
              <w:rPr>
                <w:rFonts w:hint="eastAsia" w:ascii="宋体" w:hAnsi="宋体"/>
                <w:color w:val="auto"/>
                <w:szCs w:val="21"/>
                <w:highlight w:val="none"/>
              </w:rPr>
            </w:pPr>
            <w:r>
              <w:rPr>
                <w:rFonts w:hint="eastAsia" w:ascii="宋体" w:hAnsi="宋体"/>
                <w:color w:val="auto"/>
                <w:szCs w:val="21"/>
                <w:highlight w:val="none"/>
              </w:rPr>
              <w:t>要求：</w:t>
            </w:r>
          </w:p>
          <w:p>
            <w:pPr>
              <w:spacing w:line="360" w:lineRule="auto"/>
              <w:rPr>
                <w:rFonts w:hint="eastAsia" w:ascii="宋体" w:hAnsi="宋体"/>
                <w:color w:val="auto"/>
                <w:szCs w:val="21"/>
                <w:highlight w:val="none"/>
              </w:rPr>
            </w:pPr>
            <w:r>
              <w:rPr>
                <w:rFonts w:hint="eastAsia" w:ascii="宋体" w:hAnsi="宋体"/>
                <w:color w:val="auto"/>
                <w:highlight w:val="none"/>
              </w:rPr>
              <w:t xml:space="preserve">  ☑ 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5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cs="Courier New"/>
                <w:color w:val="auto"/>
                <w:sz w:val="21"/>
                <w:szCs w:val="21"/>
                <w:highlight w:val="none"/>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投标文件份数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s="仿宋_GB2312"/>
                <w:color w:val="auto"/>
                <w:sz w:val="21"/>
                <w:szCs w:val="21"/>
                <w:highlight w:val="none"/>
              </w:rPr>
            </w:pPr>
            <w:r>
              <w:rPr>
                <w:rFonts w:hint="eastAsia" w:cs="仿宋_GB2312"/>
                <w:color w:val="auto"/>
                <w:sz w:val="21"/>
                <w:szCs w:val="21"/>
                <w:highlight w:val="none"/>
              </w:rPr>
              <w:t>投标人在投标时无需提供纸质投标文件，在中标后是否要求提供：</w:t>
            </w:r>
          </w:p>
          <w:p>
            <w:pPr>
              <w:pStyle w:val="99"/>
              <w:rPr>
                <w:rFonts w:hint="eastAsia" w:cs="仿宋_GB2312"/>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 xml:space="preserve"> 需要，</w:t>
            </w:r>
            <w:r>
              <w:rPr>
                <w:rFonts w:hint="eastAsia"/>
                <w:color w:val="auto"/>
                <w:sz w:val="21"/>
                <w:szCs w:val="21"/>
                <w:highlight w:val="none"/>
                <w:lang w:val="zh-CN"/>
              </w:rPr>
              <w:t>中标人在领取中标通知书时提供</w:t>
            </w:r>
            <w:r>
              <w:rPr>
                <w:rFonts w:hint="eastAsia" w:cs="仿宋_GB2312"/>
                <w:color w:val="auto"/>
                <w:sz w:val="21"/>
                <w:szCs w:val="21"/>
                <w:highlight w:val="none"/>
              </w:rPr>
              <w:t>一套正本</w:t>
            </w:r>
            <w:r>
              <w:rPr>
                <w:rFonts w:hint="eastAsia" w:cs="仿宋_GB2312"/>
                <w:color w:val="auto"/>
                <w:sz w:val="21"/>
                <w:szCs w:val="21"/>
                <w:highlight w:val="none"/>
                <w:u w:val="single"/>
                <w:lang w:eastAsia="zh-CN"/>
              </w:rPr>
              <w:t>两</w:t>
            </w:r>
            <w:r>
              <w:rPr>
                <w:rFonts w:hint="eastAsia" w:cs="仿宋_GB2312"/>
                <w:color w:val="auto"/>
                <w:sz w:val="21"/>
                <w:szCs w:val="21"/>
                <w:highlight w:val="none"/>
              </w:rPr>
              <w:t>套副本纸质投标文件，应通过专用制作软件直接打印，确保与电子投标文件保持一致，不允许修改和补充</w:t>
            </w:r>
          </w:p>
          <w:p>
            <w:pPr>
              <w:pStyle w:val="99"/>
              <w:rPr>
                <w:rFonts w:hint="eastAsia"/>
                <w:color w:val="auto"/>
                <w:sz w:val="21"/>
                <w:szCs w:val="21"/>
                <w:highlight w:val="none"/>
                <w:lang w:val="zh-CN"/>
              </w:rPr>
            </w:pPr>
            <w:r>
              <w:rPr>
                <w:rFonts w:hint="eastAsia"/>
                <w:color w:val="auto"/>
                <w:sz w:val="21"/>
                <w:szCs w:val="21"/>
                <w:highlight w:val="none"/>
              </w:rPr>
              <w:t>□ 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cs="Courier New"/>
                <w:color w:val="auto"/>
                <w:sz w:val="21"/>
                <w:szCs w:val="21"/>
                <w:highlight w:val="none"/>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投标文件签署</w:t>
            </w:r>
          </w:p>
          <w:p>
            <w:pPr>
              <w:pStyle w:val="99"/>
              <w:jc w:val="center"/>
              <w:rPr>
                <w:rFonts w:hint="eastAsia"/>
                <w:color w:val="auto"/>
                <w:sz w:val="21"/>
                <w:szCs w:val="21"/>
                <w:highlight w:val="none"/>
                <w:lang w:val="zh-CN"/>
              </w:rPr>
            </w:pPr>
            <w:r>
              <w:rPr>
                <w:rFonts w:hint="eastAsia"/>
                <w:color w:val="auto"/>
                <w:sz w:val="21"/>
                <w:szCs w:val="21"/>
                <w:highlight w:val="none"/>
                <w:lang w:val="zh-CN"/>
              </w:rPr>
              <w:t>盖章要求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lang w:val="zh-CN"/>
              </w:rPr>
            </w:pPr>
            <w:r>
              <w:rPr>
                <w:rFonts w:hint="eastAsia"/>
                <w:color w:val="auto"/>
                <w:sz w:val="21"/>
                <w:szCs w:val="21"/>
                <w:highlight w:val="none"/>
                <w:lang w:val="zh-CN"/>
              </w:rPr>
              <w:t>投标人应当按照招标文件的规定和要求签名、盖章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8"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color w:val="auto"/>
                <w:sz w:val="21"/>
                <w:szCs w:val="21"/>
                <w:highlight w:val="none"/>
                <w:lang w:val="zh-CN"/>
              </w:rPr>
            </w:pPr>
            <w:r>
              <w:rPr>
                <w:rFonts w:hint="eastAsia" w:ascii="宋体" w:hAnsi="宋体" w:cs="宋体"/>
                <w:color w:val="auto"/>
                <w:szCs w:val="21"/>
                <w:highlight w:val="none"/>
              </w:rPr>
              <w:t>电子投标注意事项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jc w:val="left"/>
              <w:rPr>
                <w:rFonts w:hint="eastAsia"/>
                <w:color w:val="auto"/>
                <w:sz w:val="21"/>
                <w:szCs w:val="21"/>
                <w:highlight w:val="none"/>
                <w:lang w:val="zh-CN"/>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应及时下载电子</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文件和答疑纪要等相关文件，在</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文件递交截止前必须上传电子</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文件；开标时需使用生成（加密）电子</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文件的加密锁（CA锁），在规定时间内对电子</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文件进行在线解密，因</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原因造成其电子</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文件无法解密的，按无效响应处理。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8"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default" w:eastAsia="宋体" w:cs="Courier New"/>
                <w:color w:val="auto"/>
                <w:sz w:val="21"/>
                <w:szCs w:val="21"/>
                <w:highlight w:val="none"/>
                <w:lang w:val="en-US" w:eastAsia="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color w:val="auto"/>
                <w:sz w:val="21"/>
                <w:szCs w:val="21"/>
                <w:highlight w:val="none"/>
                <w:lang w:val="zh-CN"/>
              </w:rPr>
            </w:pPr>
            <w:r>
              <w:rPr>
                <w:rFonts w:hint="eastAsia" w:ascii="宋体" w:hAnsi="宋体" w:cs="宋体"/>
                <w:color w:val="auto"/>
                <w:szCs w:val="21"/>
                <w:highlight w:val="none"/>
              </w:rPr>
              <w:t>电子投标文件解密失败处理措施</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jc w:val="left"/>
              <w:rPr>
                <w:rFonts w:hint="eastAsia"/>
                <w:color w:val="auto"/>
                <w:highlight w:val="none"/>
                <w:lang w:eastAsia="zh-CN"/>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未按规定时间完成解密或因</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原因造成</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文件无法解密、导入失败的，视为其撤销</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自行承担相应责任。因</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之外的原因造成</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文件未解密的，视为撤回其</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有权要求责任方赔偿因此遭受的直接损失。部分</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文件未解密的，其他</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文件的开标可以继续进行。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default" w:eastAsia="宋体" w:cs="Courier New"/>
                <w:color w:val="auto"/>
                <w:sz w:val="21"/>
                <w:szCs w:val="21"/>
                <w:highlight w:val="none"/>
                <w:lang w:val="en-US" w:eastAsia="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52"/>
              <w:rPr>
                <w:rFonts w:hint="eastAsia"/>
                <w:color w:val="auto"/>
                <w:sz w:val="21"/>
                <w:szCs w:val="21"/>
                <w:highlight w:val="none"/>
                <w:lang w:val="zh-CN"/>
              </w:rPr>
            </w:pPr>
            <w:r>
              <w:rPr>
                <w:rFonts w:hint="eastAsia"/>
                <w:color w:val="auto"/>
                <w:sz w:val="21"/>
                <w:szCs w:val="21"/>
                <w:highlight w:val="none"/>
                <w:lang w:val="zh-CN"/>
              </w:rPr>
              <w:t>投标截至时间</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highlight w:val="none"/>
              </w:rPr>
            </w:pPr>
            <w:r>
              <w:rPr>
                <w:rFonts w:hint="eastAsia"/>
                <w:color w:val="auto"/>
                <w:sz w:val="21"/>
                <w:szCs w:val="21"/>
                <w:highlight w:val="none"/>
                <w:u w:val="none" w:color="auto"/>
                <w:lang w:val="zh-CN"/>
              </w:rPr>
              <w:t>202</w:t>
            </w:r>
            <w:r>
              <w:rPr>
                <w:rFonts w:hint="eastAsia"/>
                <w:color w:val="auto"/>
                <w:sz w:val="21"/>
                <w:szCs w:val="21"/>
                <w:highlight w:val="none"/>
                <w:u w:val="none" w:color="auto"/>
                <w:lang w:val="en-US" w:eastAsia="zh-CN"/>
              </w:rPr>
              <w:t>3</w:t>
            </w:r>
            <w:r>
              <w:rPr>
                <w:rFonts w:hint="eastAsia"/>
                <w:color w:val="auto"/>
                <w:sz w:val="21"/>
                <w:szCs w:val="21"/>
                <w:highlight w:val="none"/>
                <w:u w:val="none" w:color="auto"/>
              </w:rPr>
              <w:t>年</w:t>
            </w:r>
            <w:r>
              <w:rPr>
                <w:rFonts w:hint="eastAsia"/>
                <w:color w:val="auto"/>
                <w:sz w:val="21"/>
                <w:szCs w:val="21"/>
                <w:highlight w:val="none"/>
                <w:u w:val="none" w:color="auto"/>
                <w:lang w:val="en-US" w:eastAsia="zh-CN"/>
              </w:rPr>
              <w:t>04</w:t>
            </w:r>
            <w:r>
              <w:rPr>
                <w:rFonts w:hint="eastAsia"/>
                <w:color w:val="auto"/>
                <w:sz w:val="21"/>
                <w:szCs w:val="21"/>
                <w:highlight w:val="none"/>
                <w:u w:val="none" w:color="auto"/>
              </w:rPr>
              <w:t>月</w:t>
            </w:r>
            <w:r>
              <w:rPr>
                <w:rFonts w:hint="eastAsia"/>
                <w:color w:val="auto"/>
                <w:sz w:val="21"/>
                <w:szCs w:val="21"/>
                <w:highlight w:val="none"/>
                <w:u w:val="none" w:color="auto"/>
                <w:lang w:val="en-US" w:eastAsia="zh-CN"/>
              </w:rPr>
              <w:t>21</w:t>
            </w:r>
            <w:r>
              <w:rPr>
                <w:rFonts w:hint="eastAsia"/>
                <w:color w:val="auto"/>
                <w:sz w:val="21"/>
                <w:szCs w:val="21"/>
                <w:highlight w:val="none"/>
                <w:u w:val="none" w:color="auto"/>
              </w:rPr>
              <w:t>日</w:t>
            </w:r>
            <w:r>
              <w:rPr>
                <w:rFonts w:hint="eastAsia"/>
                <w:color w:val="auto"/>
                <w:sz w:val="21"/>
                <w:szCs w:val="21"/>
                <w:highlight w:val="none"/>
                <w:u w:val="none" w:color="auto"/>
                <w:lang w:val="en-US" w:eastAsia="zh-CN"/>
              </w:rPr>
              <w:t>09</w:t>
            </w:r>
            <w:r>
              <w:rPr>
                <w:rFonts w:hint="eastAsia"/>
                <w:color w:val="auto"/>
                <w:sz w:val="21"/>
                <w:szCs w:val="21"/>
                <w:highlight w:val="none"/>
                <w:u w:val="none" w:color="auto"/>
                <w:lang w:val="zh-CN"/>
              </w:rPr>
              <w:t>时</w:t>
            </w:r>
            <w:r>
              <w:rPr>
                <w:rFonts w:hint="eastAsia"/>
                <w:color w:val="auto"/>
                <w:sz w:val="21"/>
                <w:szCs w:val="21"/>
                <w:highlight w:val="none"/>
                <w:u w:val="none" w:color="auto"/>
                <w:lang w:val="en-US" w:eastAsia="zh-CN"/>
              </w:rPr>
              <w:t>00</w:t>
            </w:r>
            <w:r>
              <w:rPr>
                <w:rFonts w:hint="eastAsia"/>
                <w:color w:val="auto"/>
                <w:sz w:val="21"/>
                <w:szCs w:val="21"/>
                <w:highlight w:val="none"/>
                <w:u w:val="none" w:color="auto"/>
                <w:lang w:val="zh-CN"/>
              </w:rPr>
              <w:t>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52"/>
              <w:rPr>
                <w:rFonts w:hint="eastAsia"/>
                <w:color w:val="auto"/>
                <w:sz w:val="21"/>
                <w:szCs w:val="21"/>
                <w:highlight w:val="none"/>
                <w:lang w:val="zh-CN"/>
              </w:rPr>
            </w:pPr>
            <w:r>
              <w:rPr>
                <w:rFonts w:hint="eastAsia"/>
                <w:color w:val="auto"/>
                <w:sz w:val="21"/>
                <w:szCs w:val="21"/>
                <w:highlight w:val="none"/>
                <w:lang w:val="zh-CN"/>
              </w:rPr>
              <w:t>递交投标文件地点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default" w:eastAsia="宋体"/>
                <w:color w:val="auto"/>
                <w:sz w:val="21"/>
                <w:szCs w:val="21"/>
                <w:highlight w:val="none"/>
                <w:lang w:val="en-US" w:eastAsia="zh-CN"/>
              </w:rPr>
            </w:pPr>
            <w:r>
              <w:rPr>
                <w:rFonts w:hint="eastAsia"/>
                <w:color w:val="auto"/>
                <w:sz w:val="21"/>
                <w:szCs w:val="21"/>
                <w:highlight w:val="none"/>
                <w:lang w:val="zh-CN"/>
              </w:rPr>
              <w:t>全国公共资源交易平台（陕西省-西安市）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350"/>
              <w:rPr>
                <w:rFonts w:hint="eastAsia"/>
                <w:color w:val="auto"/>
                <w:sz w:val="21"/>
                <w:szCs w:val="21"/>
                <w:highlight w:val="none"/>
                <w:lang w:val="zh-CN"/>
              </w:rPr>
            </w:pPr>
            <w:r>
              <w:rPr>
                <w:rFonts w:hint="eastAsia"/>
                <w:color w:val="auto"/>
                <w:sz w:val="21"/>
                <w:szCs w:val="21"/>
                <w:highlight w:val="none"/>
                <w:lang w:val="zh-CN"/>
              </w:rPr>
              <w:t>投标文件是否退还</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autoSpaceDE w:val="0"/>
              <w:autoSpaceDN w:val="0"/>
              <w:adjustRightInd w:val="0"/>
              <w:jc w:val="left"/>
              <w:rPr>
                <w:rFonts w:hint="eastAsia" w:ascii="宋体" w:hAnsi="宋体"/>
                <w:color w:val="auto"/>
                <w:highlight w:val="none"/>
              </w:rPr>
            </w:pPr>
            <w:r>
              <w:rPr>
                <w:rFonts w:hint="eastAsia" w:ascii="宋体" w:hAnsi="宋体"/>
                <w:color w:val="auto"/>
                <w:highlight w:val="none"/>
              </w:rPr>
              <w:t>☑否</w:t>
            </w:r>
          </w:p>
          <w:p>
            <w:pPr>
              <w:autoSpaceDE w:val="0"/>
              <w:autoSpaceDN w:val="0"/>
              <w:adjustRightInd w:val="0"/>
              <w:jc w:val="left"/>
              <w:rPr>
                <w:rFonts w:hint="eastAsia" w:ascii="宋体" w:hAnsi="宋体"/>
                <w:color w:val="auto"/>
                <w:highlight w:val="none"/>
              </w:rPr>
            </w:pPr>
            <w:r>
              <w:rPr>
                <w:rFonts w:hint="eastAsia" w:ascii="宋体" w:hAnsi="宋体"/>
                <w:color w:val="auto"/>
                <w:highlight w:val="none"/>
              </w:rPr>
              <w:t>□ 退还，退还时间：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Arial"/>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s="Arial"/>
                <w:color w:val="auto"/>
                <w:sz w:val="21"/>
                <w:szCs w:val="21"/>
                <w:highlight w:val="none"/>
                <w:lang w:val="zh-CN"/>
              </w:rPr>
            </w:pPr>
            <w:r>
              <w:rPr>
                <w:rFonts w:hint="eastAsia"/>
                <w:color w:val="auto"/>
                <w:sz w:val="21"/>
                <w:szCs w:val="21"/>
                <w:highlight w:val="none"/>
                <w:lang w:val="zh-CN"/>
              </w:rPr>
              <w:t>开标时间和地点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lang w:val="zh-CN"/>
              </w:rPr>
            </w:pPr>
            <w:r>
              <w:rPr>
                <w:rFonts w:hint="eastAsia"/>
                <w:color w:val="auto"/>
                <w:sz w:val="21"/>
                <w:szCs w:val="21"/>
                <w:highlight w:val="none"/>
                <w:lang w:val="zh-CN"/>
              </w:rPr>
              <w:t>开标时间：同投标截至时间</w:t>
            </w:r>
          </w:p>
          <w:p>
            <w:pPr>
              <w:pStyle w:val="99"/>
              <w:rPr>
                <w:rFonts w:hint="eastAsia"/>
                <w:color w:val="auto"/>
                <w:sz w:val="21"/>
                <w:szCs w:val="21"/>
                <w:highlight w:val="none"/>
                <w:lang w:val="zh-CN"/>
              </w:rPr>
            </w:pPr>
            <w:r>
              <w:rPr>
                <w:rFonts w:hint="eastAsia"/>
                <w:color w:val="auto"/>
                <w:sz w:val="21"/>
                <w:szCs w:val="21"/>
                <w:highlight w:val="none"/>
                <w:lang w:val="zh-CN"/>
              </w:rPr>
              <w:t>开标地点：全国公共资源交易平台（陕西省·西安市）不见面开标大厅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Arial"/>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开标形式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rPr>
            </w:pPr>
            <w:r>
              <w:rPr>
                <w:rFonts w:hint="eastAsia"/>
                <w:color w:val="auto"/>
                <w:sz w:val="21"/>
                <w:szCs w:val="21"/>
                <w:highlight w:val="none"/>
              </w:rPr>
              <w:t>本采购项目（包）采用电子开标形式，详见本章开标程序有关内容：</w:t>
            </w:r>
          </w:p>
          <w:p>
            <w:pPr>
              <w:pStyle w:val="99"/>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不见面开标</w:t>
            </w:r>
          </w:p>
          <w:p>
            <w:pPr>
              <w:pStyle w:val="99"/>
              <w:rPr>
                <w:rFonts w:hint="eastAsia"/>
                <w:color w:val="auto"/>
                <w:sz w:val="21"/>
                <w:szCs w:val="21"/>
                <w:highlight w:val="none"/>
                <w:lang w:val="zh-CN"/>
              </w:rPr>
            </w:pPr>
            <w:r>
              <w:rPr>
                <w:rFonts w:hint="eastAsia"/>
                <w:color w:val="auto"/>
                <w:sz w:val="21"/>
                <w:szCs w:val="21"/>
                <w:highlight w:val="none"/>
              </w:rPr>
              <w:t>□见面开标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评标委员会的组成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评标委员会构成形式、人数，评标专家确定方式：</w:t>
            </w:r>
          </w:p>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详见投标人须知第8.1.1条款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评标方法</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rPr>
            </w:pPr>
            <w:r>
              <w:rPr>
                <w:rFonts w:hint="eastAsia"/>
                <w:color w:val="auto"/>
                <w:sz w:val="21"/>
                <w:szCs w:val="21"/>
                <w:highlight w:val="none"/>
              </w:rPr>
              <w:t>□最低评标价法</w:t>
            </w:r>
          </w:p>
          <w:p>
            <w:pPr>
              <w:pStyle w:val="99"/>
              <w:rPr>
                <w:rFonts w:hint="eastAsia"/>
                <w:color w:val="auto"/>
                <w:sz w:val="21"/>
                <w:szCs w:val="21"/>
                <w:highlight w:val="none"/>
                <w:lang w:val="zh-CN"/>
              </w:rPr>
            </w:pPr>
            <w:r>
              <w:rPr>
                <w:rFonts w:hint="eastAsia"/>
                <w:color w:val="auto"/>
                <w:sz w:val="21"/>
                <w:szCs w:val="21"/>
                <w:highlight w:val="none"/>
                <w:lang w:eastAsia="zh-CN"/>
              </w:rPr>
              <w:t>☑</w:t>
            </w:r>
            <w:r>
              <w:rPr>
                <w:rFonts w:hint="eastAsia"/>
                <w:color w:val="auto"/>
                <w:sz w:val="21"/>
                <w:szCs w:val="21"/>
                <w:highlight w:val="none"/>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评标委员会推荐中标</w:t>
            </w:r>
          </w:p>
          <w:p>
            <w:pPr>
              <w:pStyle w:val="99"/>
              <w:ind w:left="96"/>
              <w:jc w:val="center"/>
              <w:rPr>
                <w:rFonts w:hint="eastAsia"/>
                <w:color w:val="auto"/>
                <w:sz w:val="21"/>
                <w:szCs w:val="21"/>
                <w:highlight w:val="none"/>
                <w:lang w:val="zh-CN"/>
              </w:rPr>
            </w:pPr>
            <w:r>
              <w:rPr>
                <w:rFonts w:hint="eastAsia"/>
                <w:color w:val="auto"/>
                <w:sz w:val="21"/>
                <w:szCs w:val="21"/>
                <w:highlight w:val="none"/>
                <w:lang w:val="zh-CN"/>
              </w:rPr>
              <w:t>候选人的人数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lang w:val="zh-CN"/>
              </w:rPr>
            </w:pPr>
            <w:r>
              <w:rPr>
                <w:rFonts w:hint="eastAsia"/>
                <w:color w:val="auto"/>
                <w:sz w:val="21"/>
                <w:szCs w:val="21"/>
                <w:highlight w:val="none"/>
                <w:lang w:val="zh-CN"/>
              </w:rPr>
              <w:t xml:space="preserve"> 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是否授权评标委员会确定中标人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rPr>
                <w:rFonts w:hint="eastAsia"/>
                <w:color w:val="auto"/>
                <w:sz w:val="21"/>
                <w:szCs w:val="21"/>
                <w:highlight w:val="none"/>
              </w:rPr>
            </w:pPr>
            <w:r>
              <w:rPr>
                <w:rFonts w:hint="eastAsia"/>
                <w:color w:val="auto"/>
                <w:sz w:val="21"/>
                <w:szCs w:val="21"/>
                <w:highlight w:val="none"/>
              </w:rPr>
              <w:t>☑否</w:t>
            </w:r>
          </w:p>
          <w:p>
            <w:pPr>
              <w:pStyle w:val="99"/>
              <w:rPr>
                <w:rFonts w:hint="eastAsia"/>
                <w:color w:val="auto"/>
                <w:sz w:val="21"/>
                <w:szCs w:val="21"/>
                <w:highlight w:val="none"/>
                <w:lang w:val="zh-CN"/>
              </w:rPr>
            </w:pPr>
            <w:r>
              <w:rPr>
                <w:rFonts w:hint="eastAsia"/>
                <w:color w:val="auto"/>
                <w:sz w:val="21"/>
                <w:szCs w:val="21"/>
                <w:highlight w:val="none"/>
              </w:rPr>
              <w:t>□是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5"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中标公告的时间、</w:t>
            </w:r>
          </w:p>
          <w:p>
            <w:pPr>
              <w:pStyle w:val="99"/>
              <w:ind w:left="96"/>
              <w:jc w:val="center"/>
              <w:rPr>
                <w:rFonts w:hint="eastAsia"/>
                <w:color w:val="auto"/>
                <w:sz w:val="21"/>
                <w:szCs w:val="21"/>
                <w:highlight w:val="none"/>
                <w:lang w:val="zh-CN"/>
              </w:rPr>
            </w:pPr>
            <w:r>
              <w:rPr>
                <w:rFonts w:hint="eastAsia"/>
                <w:color w:val="auto"/>
                <w:sz w:val="21"/>
                <w:szCs w:val="21"/>
                <w:highlight w:val="none"/>
                <w:lang w:val="zh-CN"/>
              </w:rPr>
              <w:t>媒介和期限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6"/>
              <w:spacing w:before="120" w:beforeLines="50"/>
              <w:ind w:left="0" w:leftChars="0" w:firstLine="0" w:firstLineChars="0"/>
              <w:rPr>
                <w:rFonts w:hint="eastAsia"/>
                <w:color w:val="auto"/>
                <w:szCs w:val="21"/>
                <w:highlight w:val="none"/>
                <w:lang w:val="zh-CN"/>
              </w:rPr>
            </w:pPr>
            <w:r>
              <w:rPr>
                <w:rFonts w:hint="eastAsia"/>
                <w:color w:val="auto"/>
                <w:szCs w:val="21"/>
                <w:highlight w:val="none"/>
                <w:lang w:val="zh-CN"/>
              </w:rPr>
              <w:t>公告时间：</w:t>
            </w:r>
            <w:r>
              <w:rPr>
                <w:rFonts w:hint="eastAsia" w:ascii="宋体" w:hAnsi="宋体"/>
                <w:color w:val="auto"/>
                <w:szCs w:val="21"/>
                <w:highlight w:val="none"/>
              </w:rPr>
              <w:t>在确定中标人之日起</w:t>
            </w:r>
            <w:r>
              <w:rPr>
                <w:rFonts w:hint="eastAsia" w:ascii="宋体" w:hAnsi="宋体"/>
                <w:b/>
                <w:color w:val="auto"/>
                <w:szCs w:val="21"/>
                <w:highlight w:val="none"/>
              </w:rPr>
              <w:t>2</w:t>
            </w:r>
            <w:r>
              <w:rPr>
                <w:rFonts w:hint="eastAsia" w:ascii="宋体" w:hAnsi="宋体"/>
                <w:color w:val="auto"/>
                <w:szCs w:val="21"/>
                <w:highlight w:val="none"/>
              </w:rPr>
              <w:t>个工作日内</w:t>
            </w:r>
          </w:p>
          <w:p>
            <w:pPr>
              <w:pStyle w:val="99"/>
              <w:rPr>
                <w:rFonts w:hint="eastAsia"/>
                <w:color w:val="auto"/>
                <w:sz w:val="21"/>
                <w:szCs w:val="21"/>
                <w:highlight w:val="none"/>
                <w:lang w:val="zh-CN"/>
              </w:rPr>
            </w:pPr>
            <w:r>
              <w:rPr>
                <w:rFonts w:hint="eastAsia"/>
                <w:color w:val="auto"/>
                <w:sz w:val="21"/>
                <w:szCs w:val="21"/>
                <w:highlight w:val="none"/>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ind w:left="96"/>
              <w:jc w:val="center"/>
              <w:rPr>
                <w:rFonts w:hint="eastAsia"/>
                <w:color w:val="auto"/>
                <w:sz w:val="21"/>
                <w:szCs w:val="21"/>
                <w:highlight w:val="none"/>
                <w:lang w:val="zh-CN"/>
              </w:rPr>
            </w:pPr>
            <w:r>
              <w:rPr>
                <w:rFonts w:hint="eastAsia"/>
                <w:color w:val="auto"/>
                <w:sz w:val="21"/>
                <w:szCs w:val="21"/>
                <w:highlight w:val="none"/>
                <w:lang w:val="zh-CN"/>
              </w:rPr>
              <w:t>履约保证金</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是否要求中标人提交履约保证金：</w:t>
            </w:r>
          </w:p>
          <w:p>
            <w:pPr>
              <w:pStyle w:val="99"/>
              <w:numPr>
                <w:ilvl w:val="0"/>
                <w:numId w:val="3"/>
              </w:numPr>
              <w:spacing w:line="320" w:lineRule="exact"/>
              <w:rPr>
                <w:rFonts w:hint="eastAsia"/>
                <w:color w:val="auto"/>
                <w:sz w:val="21"/>
                <w:szCs w:val="21"/>
                <w:highlight w:val="none"/>
                <w:lang w:val="zh-CN"/>
              </w:rPr>
            </w:pPr>
            <w:r>
              <w:rPr>
                <w:rFonts w:hint="eastAsia"/>
                <w:color w:val="auto"/>
                <w:sz w:val="21"/>
                <w:szCs w:val="21"/>
                <w:highlight w:val="none"/>
                <w:lang w:val="zh-CN"/>
              </w:rPr>
              <w:t>要求:</w:t>
            </w:r>
          </w:p>
          <w:p>
            <w:pPr>
              <w:pStyle w:val="99"/>
              <w:spacing w:line="320" w:lineRule="exact"/>
              <w:ind w:left="634" w:leftChars="102" w:hanging="420" w:hangingChars="200"/>
              <w:rPr>
                <w:rFonts w:hint="eastAsia"/>
                <w:color w:val="auto"/>
                <w:sz w:val="21"/>
                <w:szCs w:val="21"/>
                <w:highlight w:val="none"/>
                <w:lang w:val="zh-CN"/>
              </w:rPr>
            </w:pPr>
            <w:r>
              <w:rPr>
                <w:rFonts w:hint="eastAsia"/>
                <w:color w:val="auto"/>
                <w:sz w:val="21"/>
                <w:szCs w:val="21"/>
                <w:highlight w:val="none"/>
                <w:lang w:val="zh-CN"/>
              </w:rPr>
              <w:t xml:space="preserve">    履约保证金的金额：￥</w:t>
            </w:r>
            <w:r>
              <w:rPr>
                <w:rFonts w:hint="eastAsia"/>
                <w:color w:val="auto"/>
                <w:sz w:val="21"/>
                <w:szCs w:val="21"/>
                <w:highlight w:val="none"/>
                <w:u w:val="single"/>
                <w:lang w:val="zh-CN"/>
              </w:rPr>
              <w:t xml:space="preserve">      </w:t>
            </w:r>
          </w:p>
          <w:p>
            <w:pPr>
              <w:pStyle w:val="99"/>
              <w:spacing w:line="320" w:lineRule="exact"/>
              <w:ind w:left="634" w:leftChars="302"/>
              <w:rPr>
                <w:rFonts w:hint="eastAsia"/>
                <w:color w:val="auto"/>
                <w:sz w:val="21"/>
                <w:szCs w:val="21"/>
                <w:highlight w:val="none"/>
                <w:lang w:val="zh-CN"/>
              </w:rPr>
            </w:pPr>
            <w:r>
              <w:rPr>
                <w:rFonts w:hint="eastAsia"/>
                <w:color w:val="auto"/>
                <w:sz w:val="21"/>
                <w:szCs w:val="21"/>
                <w:highlight w:val="none"/>
                <w:lang w:val="zh-CN"/>
              </w:rPr>
              <w:t>履约保证金的形式：可采取银行转账或履约担保方式提交</w:t>
            </w:r>
          </w:p>
          <w:p>
            <w:pPr>
              <w:pStyle w:val="99"/>
              <w:spacing w:line="320" w:lineRule="exact"/>
              <w:rPr>
                <w:rFonts w:hint="eastAsia"/>
                <w:color w:val="auto"/>
                <w:sz w:val="21"/>
                <w:szCs w:val="21"/>
                <w:highlight w:val="none"/>
                <w:lang w:val="zh-CN"/>
              </w:rPr>
            </w:pPr>
            <w:r>
              <w:rPr>
                <w:rFonts w:hint="eastAsia"/>
                <w:color w:val="auto"/>
                <w:sz w:val="21"/>
                <w:szCs w:val="21"/>
                <w:highlight w:val="none"/>
                <w:lang w:val="zh-CN"/>
              </w:rPr>
              <w:t xml:space="preserve">  ☑ 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投标人信用信息</w:t>
            </w:r>
          </w:p>
          <w:p>
            <w:pPr>
              <w:pStyle w:val="99"/>
              <w:jc w:val="center"/>
              <w:rPr>
                <w:rFonts w:hint="eastAsia"/>
                <w:color w:val="auto"/>
                <w:sz w:val="21"/>
                <w:szCs w:val="21"/>
                <w:highlight w:val="none"/>
                <w:lang w:val="zh-CN"/>
              </w:rPr>
            </w:pPr>
            <w:r>
              <w:rPr>
                <w:rFonts w:hint="eastAsia"/>
                <w:color w:val="auto"/>
                <w:sz w:val="21"/>
                <w:szCs w:val="21"/>
                <w:highlight w:val="none"/>
                <w:lang w:val="zh-CN"/>
              </w:rPr>
              <w:t>查询截至时点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line="340" w:lineRule="exact"/>
              <w:ind w:right="105" w:rightChars="50"/>
              <w:rPr>
                <w:rFonts w:hint="eastAsia" w:ascii="宋体" w:hAnsi="宋体"/>
                <w:color w:val="auto"/>
                <w:szCs w:val="21"/>
                <w:highlight w:val="none"/>
              </w:rPr>
            </w:pPr>
            <w:r>
              <w:rPr>
                <w:rFonts w:hint="eastAsia" w:ascii="宋体" w:hAnsi="宋体"/>
                <w:color w:val="auto"/>
                <w:szCs w:val="21"/>
                <w:highlight w:val="none"/>
              </w:rPr>
              <w:t>招标公告期限截至日至今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41"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政府采购信息发布媒体</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99"/>
              <w:spacing w:line="320" w:lineRule="exact"/>
              <w:ind w:leftChars="-200" w:hanging="420" w:hangingChars="200"/>
              <w:rPr>
                <w:rFonts w:hint="eastAsia"/>
                <w:color w:val="auto"/>
                <w:sz w:val="21"/>
                <w:szCs w:val="21"/>
                <w:highlight w:val="none"/>
                <w:lang w:val="zh-CN"/>
              </w:rPr>
            </w:pPr>
            <w:r>
              <w:rPr>
                <w:rFonts w:hint="eastAsia"/>
                <w:color w:val="auto"/>
                <w:sz w:val="21"/>
                <w:szCs w:val="21"/>
                <w:highlight w:val="none"/>
                <w:lang w:val="zh-CN"/>
              </w:rPr>
              <w:t>采购招标公告、变更公告、中标公告、废标公告、终止公告由以下媒介同时发布：</w:t>
            </w:r>
          </w:p>
          <w:p>
            <w:pPr>
              <w:pStyle w:val="99"/>
              <w:spacing w:line="320" w:lineRule="exact"/>
              <w:ind w:left="634" w:leftChars="102" w:hanging="420" w:hangingChars="200"/>
              <w:rPr>
                <w:color w:val="auto"/>
                <w:sz w:val="21"/>
                <w:szCs w:val="21"/>
                <w:highlight w:val="none"/>
                <w:lang w:val="zh-CN"/>
              </w:rPr>
            </w:pPr>
            <w:r>
              <w:rPr>
                <w:rFonts w:hint="eastAsia"/>
                <w:color w:val="auto"/>
                <w:sz w:val="21"/>
                <w:szCs w:val="21"/>
                <w:highlight w:val="none"/>
                <w:lang w:val="zh-CN"/>
              </w:rPr>
              <w:t>（1）陕西省政府采购网，仅提供项目公告，官网地址：http://ccgp-shaanxi.gov.cn/</w:t>
            </w:r>
          </w:p>
          <w:p>
            <w:pPr>
              <w:pStyle w:val="99"/>
              <w:spacing w:line="320" w:lineRule="exact"/>
              <w:ind w:left="0" w:leftChars="-200" w:hanging="420" w:hangingChars="200"/>
              <w:rPr>
                <w:rFonts w:hint="eastAsia" w:ascii="宋体" w:hAnsi="宋体"/>
                <w:color w:val="auto"/>
                <w:szCs w:val="21"/>
                <w:highlight w:val="none"/>
              </w:rPr>
            </w:pPr>
            <w:r>
              <w:rPr>
                <w:rFonts w:hint="eastAsia"/>
                <w:color w:val="auto"/>
                <w:sz w:val="21"/>
                <w:szCs w:val="21"/>
                <w:highlight w:val="none"/>
                <w:lang w:val="zh-CN"/>
              </w:rPr>
              <w:t>（2） （2）全国公共资源交易平台（陕西省·西安市），提供项目公告和采购文件下载，官网地址：http://sxggzyjy.xa.gov.cn/</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开标现场是否</w:t>
            </w:r>
          </w:p>
          <w:p>
            <w:pPr>
              <w:pStyle w:val="99"/>
              <w:jc w:val="center"/>
              <w:rPr>
                <w:rFonts w:hint="eastAsia"/>
                <w:color w:val="auto"/>
                <w:sz w:val="21"/>
                <w:szCs w:val="21"/>
                <w:highlight w:val="none"/>
                <w:lang w:val="zh-CN"/>
              </w:rPr>
            </w:pPr>
            <w:r>
              <w:rPr>
                <w:rFonts w:hint="eastAsia"/>
                <w:color w:val="auto"/>
                <w:sz w:val="21"/>
                <w:szCs w:val="21"/>
                <w:highlight w:val="none"/>
                <w:lang w:val="zh-CN"/>
              </w:rPr>
              <w:t>演示与述标</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line="320" w:lineRule="exact"/>
              <w:ind w:left="210" w:right="105" w:rightChars="50"/>
              <w:rPr>
                <w:rFonts w:hint="eastAsia"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不需要</w:t>
            </w:r>
          </w:p>
          <w:p>
            <w:pPr>
              <w:numPr>
                <w:ilvl w:val="0"/>
                <w:numId w:val="3"/>
              </w:numPr>
              <w:spacing w:line="320" w:lineRule="exact"/>
              <w:ind w:left="567" w:right="105" w:rightChars="50" w:hanging="357"/>
              <w:rPr>
                <w:rFonts w:hint="eastAsia" w:ascii="宋体" w:hAnsi="宋体"/>
                <w:color w:val="auto"/>
                <w:szCs w:val="21"/>
                <w:highlight w:val="none"/>
              </w:rPr>
            </w:pPr>
            <w:r>
              <w:rPr>
                <w:rFonts w:hint="eastAsia" w:ascii="宋体" w:hAnsi="宋体"/>
                <w:color w:val="auto"/>
                <w:szCs w:val="21"/>
                <w:highlight w:val="none"/>
              </w:rPr>
              <w:t>需要，演示与述标要求：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开标现场是否</w:t>
            </w:r>
          </w:p>
          <w:p>
            <w:pPr>
              <w:pStyle w:val="99"/>
              <w:jc w:val="center"/>
              <w:rPr>
                <w:rFonts w:hint="eastAsia"/>
                <w:color w:val="auto"/>
                <w:sz w:val="21"/>
                <w:szCs w:val="21"/>
                <w:highlight w:val="none"/>
                <w:lang w:val="zh-CN"/>
              </w:rPr>
            </w:pPr>
            <w:r>
              <w:rPr>
                <w:rFonts w:hint="eastAsia"/>
                <w:color w:val="auto"/>
                <w:sz w:val="21"/>
                <w:szCs w:val="21"/>
                <w:highlight w:val="none"/>
                <w:lang w:val="zh-CN"/>
              </w:rPr>
              <w:t>提供样品</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line="320" w:lineRule="exact"/>
              <w:ind w:right="105" w:rightChars="50" w:firstLine="210" w:firstLineChars="100"/>
              <w:rPr>
                <w:rFonts w:hint="eastAsia" w:ascii="宋体" w:hAnsi="宋体"/>
                <w:color w:val="auto"/>
                <w:szCs w:val="21"/>
                <w:highlight w:val="none"/>
              </w:rPr>
            </w:pPr>
            <w:r>
              <w:rPr>
                <w:rFonts w:hint="eastAsia" w:ascii="宋体" w:hAnsi="宋体"/>
                <w:color w:val="auto"/>
                <w:szCs w:val="21"/>
                <w:highlight w:val="none"/>
              </w:rPr>
              <w:t>☑ 不需要</w:t>
            </w:r>
          </w:p>
          <w:p>
            <w:pPr>
              <w:ind w:left="105" w:leftChars="50" w:right="105" w:rightChars="50" w:firstLine="105" w:firstLineChars="50"/>
              <w:rPr>
                <w:rFonts w:hint="eastAsia" w:ascii="宋体" w:hAnsi="宋体"/>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 xml:space="preserve"> </w:t>
            </w:r>
            <w:r>
              <w:rPr>
                <w:rFonts w:hint="eastAsia" w:ascii="宋体" w:hAnsi="宋体"/>
                <w:color w:val="auto"/>
                <w:szCs w:val="21"/>
                <w:highlight w:val="none"/>
              </w:rPr>
              <w:t>需要，样品要求：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本项目所属行业</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ind w:left="105" w:leftChars="50" w:right="105" w:rightChars="50" w:firstLine="105" w:firstLineChars="50"/>
              <w:rPr>
                <w:rFonts w:hint="eastAsia"/>
                <w:color w:val="auto"/>
                <w:szCs w:val="21"/>
                <w:highlight w:val="none"/>
                <w:lang w:eastAsia="zh-CN"/>
              </w:rPr>
            </w:pPr>
            <w:r>
              <w:rPr>
                <w:rFonts w:hint="eastAsia"/>
                <w:color w:val="auto"/>
                <w:szCs w:val="21"/>
                <w:highlight w:val="none"/>
                <w:lang w:eastAsia="zh-CN"/>
              </w:rPr>
              <w:t>物业管理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99"/>
              <w:numPr>
                <w:ilvl w:val="0"/>
                <w:numId w:val="2"/>
              </w:numPr>
              <w:ind w:left="425" w:leftChars="0" w:hanging="425" w:firstLineChars="0"/>
              <w:jc w:val="center"/>
              <w:rPr>
                <w:rFonts w:hint="eastAsia" w:cs="Courier New"/>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99"/>
              <w:jc w:val="center"/>
              <w:rPr>
                <w:rFonts w:hint="eastAsia"/>
                <w:color w:val="auto"/>
                <w:sz w:val="21"/>
                <w:szCs w:val="21"/>
                <w:highlight w:val="none"/>
                <w:lang w:val="zh-CN"/>
              </w:rPr>
            </w:pPr>
            <w:r>
              <w:rPr>
                <w:rFonts w:hint="eastAsia"/>
                <w:color w:val="auto"/>
                <w:sz w:val="21"/>
                <w:szCs w:val="21"/>
                <w:highlight w:val="none"/>
                <w:lang w:val="zh-CN"/>
              </w:rPr>
              <w:t>其他</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numPr>
                <w:ilvl w:val="0"/>
                <w:numId w:val="4"/>
              </w:numPr>
              <w:adjustRightInd w:val="0"/>
              <w:snapToGrid w:val="0"/>
              <w:spacing w:line="360" w:lineRule="auto"/>
              <w:ind w:left="57" w:leftChars="0" w:hanging="57" w:firstLineChars="0"/>
              <w:jc w:val="left"/>
              <w:rPr>
                <w:rFonts w:hint="eastAsia"/>
                <w:color w:val="auto"/>
                <w:highlight w:val="none"/>
              </w:rPr>
            </w:pPr>
            <w:r>
              <w:rPr>
                <w:rFonts w:hint="eastAsia"/>
                <w:color w:val="auto"/>
                <w:highlight w:val="none"/>
              </w:rPr>
              <w:t>本项目采用电子化投标。投标人须使用数字认证证书对电子化投标文件进行签章、加密、递交及开标时解密等相关招投标事宜。</w:t>
            </w:r>
          </w:p>
          <w:p>
            <w:pPr>
              <w:numPr>
                <w:ilvl w:val="0"/>
                <w:numId w:val="4"/>
              </w:numPr>
              <w:adjustRightInd w:val="0"/>
              <w:snapToGrid w:val="0"/>
              <w:spacing w:line="360" w:lineRule="auto"/>
              <w:ind w:left="57" w:leftChars="0" w:hanging="57" w:firstLineChars="0"/>
              <w:jc w:val="left"/>
              <w:rPr>
                <w:rFonts w:hint="eastAsia" w:eastAsia="宋体"/>
                <w:color w:val="auto"/>
                <w:highlight w:val="none"/>
                <w:lang w:eastAsia="zh-CN"/>
              </w:rPr>
            </w:pPr>
            <w:r>
              <w:rPr>
                <w:rFonts w:hint="eastAsia"/>
                <w:color w:val="auto"/>
                <w:highlight w:val="none"/>
              </w:rPr>
              <w:t>制作电子投标文件。投标人须在“全国公共资源交易中心平台（陕西省）（http://www.sxggzyjy.cn/）”的“服务指南”栏目“下载专区”中，免费下载“陕西省公共资源交易平台政府采购电子标书制作工具”，并使用该客户端制作电子投标文件，制作扩展名为“.SXSTF”的电子投标文件</w:t>
            </w:r>
            <w:r>
              <w:rPr>
                <w:rFonts w:hint="eastAsia"/>
                <w:color w:val="auto"/>
                <w:highlight w:val="none"/>
                <w:lang w:eastAsia="zh-CN"/>
              </w:rPr>
              <w:t>。</w:t>
            </w:r>
          </w:p>
          <w:p>
            <w:pPr>
              <w:numPr>
                <w:ilvl w:val="0"/>
                <w:numId w:val="4"/>
              </w:numPr>
              <w:adjustRightInd w:val="0"/>
              <w:snapToGrid w:val="0"/>
              <w:spacing w:line="360" w:lineRule="auto"/>
              <w:ind w:left="57" w:leftChars="0" w:hanging="57" w:firstLineChars="0"/>
              <w:jc w:val="left"/>
              <w:rPr>
                <w:rFonts w:hint="eastAsia"/>
                <w:color w:val="auto"/>
                <w:highlight w:val="none"/>
              </w:rPr>
            </w:pPr>
            <w:r>
              <w:rPr>
                <w:rFonts w:hint="eastAsia"/>
                <w:color w:val="auto"/>
                <w:highlight w:val="none"/>
              </w:rPr>
              <w:t>递交电子投标文件。登录</w:t>
            </w:r>
            <w:r>
              <w:rPr>
                <w:rFonts w:hint="eastAsia"/>
                <w:color w:val="auto"/>
                <w:sz w:val="21"/>
                <w:szCs w:val="21"/>
                <w:highlight w:val="none"/>
                <w:lang w:val="zh-CN"/>
              </w:rPr>
              <w:t>全国公共资源交易平台（陕西省-西安市）</w:t>
            </w:r>
            <w:r>
              <w:rPr>
                <w:rFonts w:hint="eastAsia"/>
                <w:color w:val="auto"/>
                <w:highlight w:val="none"/>
              </w:rPr>
              <w:t>（</w:t>
            </w:r>
            <w:r>
              <w:rPr>
                <w:rFonts w:hint="eastAsia"/>
                <w:color w:val="auto"/>
                <w:highlight w:val="none"/>
                <w:lang w:eastAsia="zh-CN"/>
              </w:rPr>
              <w:t>http://sxggzyjy.xa.gov.cn/</w:t>
            </w:r>
            <w:r>
              <w:rPr>
                <w:rFonts w:hint="eastAsia"/>
                <w:color w:val="auto"/>
                <w:highlight w:val="none"/>
              </w:rPr>
              <w:t>），选择“电子交易平台-陕西政府采购交易系统-陕西省</w:t>
            </w:r>
            <w:r>
              <w:rPr>
                <w:rFonts w:hint="eastAsia"/>
                <w:color w:val="auto"/>
                <w:highlight w:val="none"/>
                <w:lang w:eastAsia="zh-CN"/>
              </w:rPr>
              <w:t>西安市</w:t>
            </w:r>
            <w:r>
              <w:rPr>
                <w:rFonts w:hint="eastAsia"/>
                <w:color w:val="auto"/>
                <w:highlight w:val="none"/>
              </w:rPr>
              <w:t>公共资源交易平台-投标人”进行登录，登录后选择“交易乙方”身份进入，选择“上传投标文件”菜单页面，上传加密的电子化投标文件。上传成功后，电子化平台将予以记录。</w:t>
            </w:r>
          </w:p>
          <w:p>
            <w:pPr>
              <w:numPr>
                <w:ilvl w:val="0"/>
                <w:numId w:val="4"/>
              </w:numPr>
              <w:adjustRightInd w:val="0"/>
              <w:snapToGrid w:val="0"/>
              <w:spacing w:line="360" w:lineRule="auto"/>
              <w:ind w:left="57" w:leftChars="0" w:hanging="57" w:firstLineChars="0"/>
              <w:jc w:val="left"/>
              <w:rPr>
                <w:rFonts w:hint="eastAsia"/>
                <w:color w:val="auto"/>
                <w:highlight w:val="none"/>
              </w:rPr>
            </w:pPr>
            <w:r>
              <w:rPr>
                <w:rFonts w:hint="eastAsia"/>
                <w:color w:val="auto"/>
                <w:highlight w:val="none"/>
              </w:rPr>
              <w:t>投标人应及时下载电子招标文件和答疑纪要等相关文件，在投标截止前必须上传电子投标文件；开标时需使用生成（加密）电子投标文件的加密锁（CA锁），在规定时间内对电子投标文件进行在线解密，因投标人原因造成其电子投标文件无法解密的，按无效投标处理。</w:t>
            </w:r>
          </w:p>
          <w:p>
            <w:pPr>
              <w:numPr>
                <w:ilvl w:val="0"/>
                <w:numId w:val="4"/>
              </w:numPr>
              <w:adjustRightInd w:val="0"/>
              <w:snapToGrid w:val="0"/>
              <w:spacing w:line="360" w:lineRule="auto"/>
              <w:ind w:left="57" w:leftChars="0" w:hanging="57" w:firstLineChars="0"/>
              <w:jc w:val="left"/>
              <w:rPr>
                <w:rFonts w:hint="eastAsia" w:ascii="宋体" w:hAnsi="宋体"/>
                <w:color w:val="auto"/>
                <w:szCs w:val="21"/>
                <w:highlight w:val="none"/>
              </w:rPr>
            </w:pPr>
            <w:r>
              <w:rPr>
                <w:rFonts w:hint="eastAsia"/>
                <w:color w:val="auto"/>
                <w:highlight w:val="none"/>
              </w:rPr>
              <w:t>投标人未按规定时间完成解密或因投标人原因造成投标文件无法解密、导入失败的，视为其撤销投标文件，投标人自行承担相应责任。因投标人之外的原因造成投标文件未解密的，视为撤回其投标文件，投标人有权要求责任方赔偿因此遭受的直接损失。部分投标文件未解密的，其他投标文件的开标可以继续进行。</w:t>
            </w:r>
          </w:p>
        </w:tc>
      </w:tr>
    </w:tbl>
    <w:p>
      <w:pPr>
        <w:pStyle w:val="4"/>
        <w:spacing w:after="120" w:afterLines="50" w:line="360" w:lineRule="auto"/>
        <w:jc w:val="left"/>
        <w:rPr>
          <w:rFonts w:hint="eastAsia" w:ascii="宋体" w:hAnsi="宋体" w:eastAsia="宋体" w:cs="宋体"/>
          <w:bCs/>
          <w:color w:val="auto"/>
          <w:szCs w:val="28"/>
          <w:highlight w:val="none"/>
        </w:rPr>
      </w:pPr>
      <w:r>
        <w:rPr>
          <w:rFonts w:hint="eastAsia" w:ascii="宋体" w:hAnsi="宋体" w:eastAsia="宋体" w:cs="宋体"/>
          <w:color w:val="auto"/>
          <w:highlight w:val="none"/>
        </w:rPr>
        <w:br w:type="page"/>
      </w:r>
      <w:bookmarkEnd w:id="17"/>
      <w:bookmarkEnd w:id="18"/>
      <w:bookmarkEnd w:id="19"/>
      <w:bookmarkEnd w:id="20"/>
      <w:bookmarkStart w:id="30" w:name="_Toc183682341"/>
      <w:bookmarkStart w:id="31" w:name="_Toc77400778"/>
      <w:bookmarkStart w:id="32" w:name="_Toc183582204"/>
      <w:bookmarkStart w:id="33" w:name="_Toc89075873"/>
      <w:bookmarkStart w:id="34" w:name="_Toc13154"/>
      <w:bookmarkStart w:id="35" w:name="_Toc17659"/>
      <w:bookmarkStart w:id="36" w:name="_Toc217446033"/>
      <w:r>
        <w:rPr>
          <w:rFonts w:hint="eastAsia" w:ascii="宋体" w:hAnsi="宋体" w:eastAsia="宋体" w:cs="宋体"/>
          <w:bCs/>
          <w:color w:val="auto"/>
          <w:szCs w:val="28"/>
          <w:highlight w:val="none"/>
        </w:rPr>
        <w:t>1.总  则</w:t>
      </w:r>
      <w:bookmarkEnd w:id="30"/>
      <w:bookmarkEnd w:id="31"/>
      <w:bookmarkEnd w:id="32"/>
      <w:bookmarkEnd w:id="33"/>
      <w:bookmarkEnd w:id="34"/>
      <w:bookmarkEnd w:id="35"/>
      <w:bookmarkEnd w:id="36"/>
      <w:bookmarkStart w:id="37" w:name="_Toc183682342"/>
      <w:bookmarkStart w:id="38" w:name="_Toc183582205"/>
      <w:bookmarkStart w:id="39" w:name="_Toc217446034"/>
    </w:p>
    <w:p>
      <w:pPr>
        <w:tabs>
          <w:tab w:val="left" w:pos="7665"/>
        </w:tabs>
        <w:spacing w:before="120" w:beforeLines="50" w:after="120" w:afterLines="50" w:line="360" w:lineRule="auto"/>
        <w:ind w:firstLine="1"/>
        <w:jc w:val="left"/>
        <w:rPr>
          <w:rFonts w:hint="eastAsia" w:ascii="宋体" w:hAnsi="宋体" w:cs="宋体"/>
          <w:b/>
          <w:color w:val="auto"/>
          <w:sz w:val="24"/>
          <w:highlight w:val="none"/>
        </w:rPr>
      </w:pPr>
      <w:r>
        <w:rPr>
          <w:rFonts w:hint="eastAsia" w:ascii="宋体" w:hAnsi="宋体" w:cs="宋体"/>
          <w:b/>
          <w:color w:val="auto"/>
          <w:sz w:val="24"/>
          <w:highlight w:val="none"/>
        </w:rPr>
        <w:t>1.</w:t>
      </w:r>
      <w:bookmarkEnd w:id="37"/>
      <w:bookmarkEnd w:id="38"/>
      <w:r>
        <w:rPr>
          <w:rFonts w:hint="eastAsia" w:ascii="宋体" w:hAnsi="宋体" w:cs="宋体"/>
          <w:b/>
          <w:color w:val="auto"/>
          <w:sz w:val="24"/>
          <w:highlight w:val="none"/>
        </w:rPr>
        <w:t>1适用范围</w:t>
      </w:r>
      <w:bookmarkEnd w:id="39"/>
      <w:r>
        <w:rPr>
          <w:rFonts w:hint="eastAsia" w:ascii="宋体" w:hAnsi="宋体" w:cs="宋体"/>
          <w:b/>
          <w:color w:val="auto"/>
          <w:sz w:val="24"/>
          <w:highlight w:val="none"/>
        </w:rPr>
        <w:tab/>
      </w:r>
    </w:p>
    <w:p>
      <w:pPr>
        <w:tabs>
          <w:tab w:val="left" w:pos="7665"/>
        </w:tabs>
        <w:spacing w:line="360" w:lineRule="auto"/>
        <w:ind w:firstLine="420" w:firstLineChars="200"/>
        <w:rPr>
          <w:rFonts w:hint="eastAsia"/>
          <w:color w:val="auto"/>
          <w:szCs w:val="21"/>
          <w:highlight w:val="none"/>
        </w:rPr>
      </w:pPr>
      <w:bookmarkStart w:id="40" w:name="_Toc183682343"/>
      <w:bookmarkStart w:id="41" w:name="_Toc217446035"/>
      <w:bookmarkStart w:id="42" w:name="_Toc183582206"/>
      <w:r>
        <w:rPr>
          <w:rFonts w:hint="eastAsia" w:ascii="宋体" w:hAnsi="宋体"/>
          <w:color w:val="auto"/>
          <w:szCs w:val="21"/>
          <w:highlight w:val="none"/>
        </w:rPr>
        <w:t>1.1.1</w:t>
      </w:r>
      <w:r>
        <w:rPr>
          <w:rFonts w:hint="eastAsia"/>
          <w:color w:val="auto"/>
          <w:szCs w:val="21"/>
          <w:highlight w:val="none"/>
        </w:rPr>
        <w:t>本招标文件仅适用于本次公开招标所叙述服务项目的采购活动。</w:t>
      </w:r>
    </w:p>
    <w:p>
      <w:pPr>
        <w:tabs>
          <w:tab w:val="left" w:pos="7665"/>
        </w:tabs>
        <w:spacing w:line="360" w:lineRule="auto"/>
        <w:ind w:firstLine="420" w:firstLineChars="200"/>
        <w:rPr>
          <w:rFonts w:hint="eastAsia"/>
          <w:color w:val="auto"/>
          <w:szCs w:val="21"/>
          <w:highlight w:val="none"/>
        </w:rPr>
      </w:pPr>
      <w:r>
        <w:rPr>
          <w:rFonts w:hint="eastAsia" w:ascii="宋体" w:hAnsi="宋体"/>
          <w:color w:val="auto"/>
          <w:szCs w:val="21"/>
          <w:highlight w:val="none"/>
        </w:rPr>
        <w:t>1.1.2本采购项目专门面向中小企业采购，仅适用提供服务的投标人为中小企业（包含残疾人福利性单位、监狱企业）</w:t>
      </w:r>
      <w:r>
        <w:rPr>
          <w:rFonts w:hint="eastAsia"/>
          <w:iCs/>
          <w:color w:val="auto"/>
          <w:szCs w:val="21"/>
          <w:highlight w:val="none"/>
        </w:rPr>
        <w:t>参加的政府采购活动</w:t>
      </w:r>
      <w:r>
        <w:rPr>
          <w:rFonts w:hint="eastAsia" w:ascii="宋体" w:hAnsi="宋体"/>
          <w:color w:val="auto"/>
          <w:szCs w:val="21"/>
          <w:highlight w:val="none"/>
        </w:rPr>
        <w:t>。</w:t>
      </w:r>
    </w:p>
    <w:p>
      <w:pPr>
        <w:tabs>
          <w:tab w:val="left" w:pos="7665"/>
        </w:tabs>
        <w:spacing w:before="120" w:beforeLines="50" w:after="120" w:afterLines="50" w:line="360" w:lineRule="auto"/>
        <w:ind w:firstLine="1"/>
        <w:jc w:val="left"/>
        <w:rPr>
          <w:rFonts w:hint="eastAsia" w:ascii="宋体" w:hAnsi="宋体" w:cs="宋体"/>
          <w:b/>
          <w:color w:val="auto"/>
          <w:sz w:val="24"/>
          <w:highlight w:val="none"/>
        </w:rPr>
      </w:pPr>
      <w:r>
        <w:rPr>
          <w:rFonts w:hint="eastAsia" w:ascii="宋体" w:hAnsi="宋体" w:cs="宋体"/>
          <w:b/>
          <w:color w:val="auto"/>
          <w:sz w:val="24"/>
          <w:highlight w:val="none"/>
        </w:rPr>
        <w:t>1.2</w:t>
      </w:r>
      <w:bookmarkEnd w:id="40"/>
      <w:bookmarkEnd w:id="41"/>
      <w:bookmarkEnd w:id="42"/>
      <w:r>
        <w:rPr>
          <w:rFonts w:hint="eastAsia" w:ascii="宋体" w:hAnsi="宋体" w:cs="宋体"/>
          <w:b/>
          <w:color w:val="auto"/>
          <w:sz w:val="24"/>
          <w:highlight w:val="none"/>
        </w:rPr>
        <w:t>名词解释</w:t>
      </w:r>
    </w:p>
    <w:p>
      <w:pPr>
        <w:adjustRightInd w:val="0"/>
        <w:snapToGrid w:val="0"/>
        <w:spacing w:before="120" w:beforeLines="50" w:line="360" w:lineRule="auto"/>
        <w:ind w:firstLine="420" w:firstLineChars="200"/>
        <w:rPr>
          <w:rFonts w:hint="eastAsia" w:ascii="宋体" w:hAnsi="宋体" w:cs="宋体"/>
          <w:color w:val="auto"/>
          <w:szCs w:val="21"/>
          <w:highlight w:val="none"/>
        </w:rPr>
      </w:pPr>
      <w:bookmarkStart w:id="43" w:name="_Toc217446036"/>
      <w:bookmarkStart w:id="44" w:name="_Toc217390843"/>
      <w:bookmarkStart w:id="45" w:name="_Toc183682344"/>
      <w:bookmarkStart w:id="46" w:name="_Toc183582207"/>
      <w:r>
        <w:rPr>
          <w:rFonts w:hint="eastAsia" w:ascii="宋体" w:hAnsi="宋体" w:cs="宋体"/>
          <w:color w:val="auto"/>
          <w:szCs w:val="21"/>
          <w:highlight w:val="none"/>
        </w:rPr>
        <w:t>1.2.1</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西安市莲湖区北院门街道办事处</w:t>
      </w:r>
      <w:r>
        <w:rPr>
          <w:rFonts w:hint="eastAsia" w:ascii="宋体" w:hAnsi="宋体" w:cs="宋体"/>
          <w:color w:val="auto"/>
          <w:szCs w:val="21"/>
          <w:highlight w:val="none"/>
        </w:rPr>
        <w:t>。</w:t>
      </w:r>
    </w:p>
    <w:p>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1.2.2</w:t>
      </w:r>
      <w:r>
        <w:rPr>
          <w:rFonts w:hint="eastAsia" w:ascii="宋体" w:hAnsi="宋体"/>
          <w:color w:val="auto"/>
          <w:szCs w:val="21"/>
          <w:highlight w:val="none"/>
          <w:lang w:val="en-US" w:eastAsia="zh-CN"/>
        </w:rPr>
        <w:t xml:space="preserve"> </w:t>
      </w:r>
      <w:r>
        <w:rPr>
          <w:rFonts w:hint="eastAsia" w:ascii="宋体" w:hAnsi="宋体"/>
          <w:b/>
          <w:color w:val="auto"/>
          <w:szCs w:val="21"/>
          <w:highlight w:val="none"/>
        </w:rPr>
        <w:t>监督机构</w:t>
      </w:r>
      <w:r>
        <w:rPr>
          <w:rFonts w:hint="eastAsia" w:ascii="宋体" w:hAnsi="宋体"/>
          <w:color w:val="auto"/>
          <w:szCs w:val="21"/>
          <w:highlight w:val="none"/>
        </w:rPr>
        <w:t>：陕西省</w:t>
      </w:r>
      <w:r>
        <w:rPr>
          <w:rFonts w:hint="eastAsia" w:ascii="宋体" w:hAnsi="宋体"/>
          <w:color w:val="auto"/>
          <w:szCs w:val="21"/>
          <w:highlight w:val="none"/>
          <w:lang w:eastAsia="zh-CN"/>
        </w:rPr>
        <w:t>西安市莲湖区财政局</w:t>
      </w:r>
      <w:r>
        <w:rPr>
          <w:rFonts w:hint="eastAsia" w:ascii="宋体" w:hAnsi="宋体"/>
          <w:color w:val="auto"/>
          <w:szCs w:val="21"/>
          <w:highlight w:val="none"/>
        </w:rPr>
        <w:t>。</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1.2.3 </w:t>
      </w:r>
      <w:r>
        <w:rPr>
          <w:rFonts w:hint="eastAsia" w:ascii="宋体" w:hAnsi="宋体" w:cs="宋体"/>
          <w:b/>
          <w:color w:val="auto"/>
          <w:szCs w:val="21"/>
          <w:highlight w:val="none"/>
          <w:lang w:eastAsia="zh-CN"/>
        </w:rPr>
        <w:t>采购</w:t>
      </w:r>
      <w:r>
        <w:rPr>
          <w:rFonts w:hint="eastAsia" w:ascii="宋体" w:hAnsi="宋体" w:cs="宋体"/>
          <w:b/>
          <w:color w:val="auto"/>
          <w:szCs w:val="21"/>
          <w:highlight w:val="none"/>
        </w:rPr>
        <w:t>代理机构</w:t>
      </w:r>
      <w:r>
        <w:rPr>
          <w:rFonts w:hint="eastAsia" w:ascii="宋体" w:hAnsi="宋体" w:cs="宋体"/>
          <w:color w:val="auto"/>
          <w:szCs w:val="21"/>
          <w:highlight w:val="none"/>
          <w:lang w:eastAsia="zh-CN"/>
        </w:rPr>
        <w:t>：陕西诺尔信项目管理有限公司</w:t>
      </w:r>
      <w:r>
        <w:rPr>
          <w:rFonts w:hint="eastAsia" w:ascii="宋体" w:hAnsi="宋体" w:cs="宋体"/>
          <w:color w:val="auto"/>
          <w:szCs w:val="21"/>
          <w:highlight w:val="none"/>
        </w:rPr>
        <w:t>。</w:t>
      </w:r>
    </w:p>
    <w:p>
      <w:pPr>
        <w:tabs>
          <w:tab w:val="left" w:pos="7665"/>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1.2.4 </w:t>
      </w:r>
      <w:r>
        <w:rPr>
          <w:rFonts w:hint="eastAsia" w:ascii="宋体" w:hAnsi="宋体" w:cs="宋体"/>
          <w:b/>
          <w:color w:val="auto"/>
          <w:szCs w:val="21"/>
          <w:highlight w:val="none"/>
        </w:rPr>
        <w:t>投标人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是指响应招标，参加投标竞争的法人或其他组织或个人。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1.2.5 </w:t>
      </w:r>
      <w:r>
        <w:rPr>
          <w:rFonts w:hint="eastAsia" w:ascii="宋体" w:hAnsi="宋体"/>
          <w:b/>
          <w:color w:val="auto"/>
          <w:szCs w:val="21"/>
          <w:highlight w:val="none"/>
        </w:rPr>
        <w:t>货物</w:t>
      </w:r>
      <w:r>
        <w:rPr>
          <w:rFonts w:hint="eastAsia" w:ascii="宋体" w:hAnsi="宋体"/>
          <w:b/>
          <w:color w:val="auto"/>
          <w:szCs w:val="21"/>
          <w:highlight w:val="none"/>
          <w:lang w:eastAsia="zh-CN"/>
        </w:rPr>
        <w:t>：</w:t>
      </w:r>
      <w:r>
        <w:rPr>
          <w:rFonts w:hint="eastAsia" w:ascii="宋体" w:hAnsi="宋体"/>
          <w:color w:val="auto"/>
          <w:szCs w:val="21"/>
          <w:highlight w:val="none"/>
        </w:rPr>
        <w:t>是指</w:t>
      </w:r>
      <w:r>
        <w:rPr>
          <w:rFonts w:hint="eastAsia"/>
          <w:color w:val="auto"/>
          <w:szCs w:val="21"/>
          <w:highlight w:val="none"/>
        </w:rPr>
        <w:t>本招标文件中第</w:t>
      </w:r>
      <w:r>
        <w:rPr>
          <w:rFonts w:hint="eastAsia"/>
          <w:color w:val="auto"/>
          <w:szCs w:val="21"/>
          <w:highlight w:val="none"/>
          <w:lang w:eastAsia="zh-CN"/>
        </w:rPr>
        <w:t>五</w:t>
      </w:r>
      <w:r>
        <w:rPr>
          <w:rFonts w:hint="eastAsia"/>
          <w:color w:val="auto"/>
          <w:szCs w:val="21"/>
          <w:highlight w:val="none"/>
        </w:rPr>
        <w:t>章所述所有货物。</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1.2.6 </w:t>
      </w:r>
      <w:r>
        <w:rPr>
          <w:rFonts w:hint="eastAsia" w:ascii="宋体" w:hAnsi="宋体"/>
          <w:b/>
          <w:color w:val="auto"/>
          <w:szCs w:val="21"/>
          <w:highlight w:val="none"/>
        </w:rPr>
        <w:t>服务</w:t>
      </w:r>
      <w:r>
        <w:rPr>
          <w:rFonts w:hint="eastAsia" w:ascii="宋体" w:hAnsi="宋体"/>
          <w:b/>
          <w:color w:val="auto"/>
          <w:szCs w:val="21"/>
          <w:highlight w:val="none"/>
          <w:lang w:eastAsia="zh-CN"/>
        </w:rPr>
        <w:t>：</w:t>
      </w:r>
      <w:r>
        <w:rPr>
          <w:rFonts w:hint="eastAsia" w:ascii="宋体" w:hAnsi="宋体"/>
          <w:color w:val="auto"/>
          <w:szCs w:val="21"/>
          <w:highlight w:val="none"/>
        </w:rPr>
        <w:t>是指人为满足招标文件要求而提供的服务。</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1.2.7 </w:t>
      </w:r>
      <w:r>
        <w:rPr>
          <w:rFonts w:hint="eastAsia" w:ascii="宋体" w:hAnsi="宋体"/>
          <w:b/>
          <w:color w:val="auto"/>
          <w:szCs w:val="21"/>
          <w:highlight w:val="none"/>
        </w:rPr>
        <w:t>节能产品</w:t>
      </w:r>
      <w:r>
        <w:rPr>
          <w:rFonts w:hint="eastAsia" w:ascii="宋体" w:hAnsi="宋体"/>
          <w:b/>
          <w:color w:val="auto"/>
          <w:szCs w:val="21"/>
          <w:highlight w:val="none"/>
          <w:lang w:eastAsia="zh-CN"/>
        </w:rPr>
        <w:t>：</w:t>
      </w:r>
      <w:r>
        <w:rPr>
          <w:rFonts w:hint="eastAsia" w:ascii="宋体" w:hAnsi="宋体"/>
          <w:color w:val="auto"/>
          <w:szCs w:val="21"/>
          <w:highlight w:val="none"/>
        </w:rPr>
        <w:t>指财政部、发展改革委、生态环境部等部门发布的《节能产品品目清单》中的产品。</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1.2.8 </w:t>
      </w:r>
      <w:r>
        <w:rPr>
          <w:rFonts w:hint="eastAsia" w:ascii="宋体" w:hAnsi="宋体"/>
          <w:b/>
          <w:color w:val="auto"/>
          <w:szCs w:val="21"/>
          <w:highlight w:val="none"/>
        </w:rPr>
        <w:t>环境标志产品</w:t>
      </w:r>
      <w:r>
        <w:rPr>
          <w:rFonts w:hint="eastAsia" w:ascii="宋体" w:hAnsi="宋体"/>
          <w:b/>
          <w:color w:val="auto"/>
          <w:szCs w:val="21"/>
          <w:highlight w:val="none"/>
          <w:lang w:eastAsia="zh-CN"/>
        </w:rPr>
        <w:t>：</w:t>
      </w:r>
      <w:r>
        <w:rPr>
          <w:rFonts w:hint="eastAsia" w:ascii="宋体" w:hAnsi="宋体"/>
          <w:color w:val="auto"/>
          <w:szCs w:val="21"/>
          <w:highlight w:val="none"/>
        </w:rPr>
        <w:t>是指财政部、发展改革委、生态环境部等部门发布的《环境标志产品品目清单》中的产品。</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1.2.9 </w:t>
      </w:r>
      <w:r>
        <w:rPr>
          <w:rFonts w:hint="eastAsia" w:ascii="宋体" w:hAnsi="宋体" w:cs="宋体"/>
          <w:b/>
          <w:color w:val="auto"/>
          <w:kern w:val="0"/>
          <w:szCs w:val="21"/>
          <w:highlight w:val="none"/>
        </w:rPr>
        <w:t>进口产品</w:t>
      </w:r>
      <w:r>
        <w:rPr>
          <w:rFonts w:hint="eastAsia" w:ascii="宋体" w:hAnsi="宋体" w:cs="宋体"/>
          <w:b/>
          <w:color w:val="auto"/>
          <w:kern w:val="0"/>
          <w:szCs w:val="21"/>
          <w:highlight w:val="none"/>
          <w:lang w:eastAsia="zh-CN"/>
        </w:rPr>
        <w:t>：</w:t>
      </w:r>
      <w:r>
        <w:rPr>
          <w:rFonts w:hint="eastAsia" w:ascii="宋体" w:hAnsi="宋体" w:cs="宋体"/>
          <w:color w:val="auto"/>
          <w:kern w:val="0"/>
          <w:szCs w:val="21"/>
          <w:highlight w:val="none"/>
        </w:rPr>
        <w:t>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1.2.10</w:t>
      </w:r>
      <w:r>
        <w:rPr>
          <w:rFonts w:hint="eastAsia" w:ascii="宋体" w:hAnsi="宋体" w:cs="宋体"/>
          <w:b/>
          <w:color w:val="auto"/>
          <w:kern w:val="0"/>
          <w:szCs w:val="21"/>
          <w:highlight w:val="none"/>
        </w:rPr>
        <w:t>中小企业</w:t>
      </w:r>
      <w:r>
        <w:rPr>
          <w:rFonts w:hint="eastAsia" w:ascii="宋体" w:hAnsi="宋体" w:cs="宋体"/>
          <w:b/>
          <w:color w:val="auto"/>
          <w:kern w:val="0"/>
          <w:szCs w:val="21"/>
          <w:highlight w:val="none"/>
          <w:lang w:eastAsia="zh-CN"/>
        </w:rPr>
        <w:t>：</w:t>
      </w:r>
      <w:r>
        <w:rPr>
          <w:rFonts w:ascii="宋体" w:hAnsi="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1.2.11 </w:t>
      </w:r>
      <w:r>
        <w:rPr>
          <w:rFonts w:hint="eastAsia" w:ascii="宋体" w:hAnsi="宋体"/>
          <w:b/>
          <w:color w:val="auto"/>
          <w:szCs w:val="21"/>
          <w:highlight w:val="none"/>
        </w:rPr>
        <w:t>监狱企业</w:t>
      </w:r>
      <w:r>
        <w:rPr>
          <w:rFonts w:hint="eastAsia" w:ascii="宋体" w:hAnsi="宋体"/>
          <w:b/>
          <w:color w:val="auto"/>
          <w:szCs w:val="21"/>
          <w:highlight w:val="none"/>
          <w:lang w:eastAsia="zh-CN"/>
        </w:rPr>
        <w:t>：</w:t>
      </w:r>
      <w:r>
        <w:rPr>
          <w:rFonts w:hint="eastAsia" w:ascii="宋体" w:hAnsi="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20" w:firstLineChars="200"/>
        <w:rPr>
          <w:rFonts w:hint="eastAsia" w:ascii="宋体" w:hAnsi="宋体"/>
          <w:color w:val="auto"/>
          <w:spacing w:val="6"/>
          <w:szCs w:val="21"/>
          <w:highlight w:val="none"/>
        </w:rPr>
      </w:pPr>
      <w:r>
        <w:rPr>
          <w:rFonts w:hint="eastAsia" w:ascii="宋体" w:hAnsi="宋体"/>
          <w:color w:val="auto"/>
          <w:szCs w:val="21"/>
          <w:highlight w:val="none"/>
        </w:rPr>
        <w:t>1.2.12</w:t>
      </w:r>
      <w:r>
        <w:rPr>
          <w:rFonts w:hint="eastAsia" w:ascii="宋体" w:hAnsi="宋体"/>
          <w:b/>
          <w:color w:val="auto"/>
          <w:szCs w:val="21"/>
          <w:highlight w:val="none"/>
        </w:rPr>
        <w:t xml:space="preserve"> </w:t>
      </w:r>
      <w:r>
        <w:rPr>
          <w:rFonts w:hint="eastAsia" w:ascii="宋体" w:hAnsi="宋体" w:cs="宋体"/>
          <w:b/>
          <w:color w:val="auto"/>
          <w:kern w:val="0"/>
          <w:szCs w:val="21"/>
          <w:highlight w:val="none"/>
        </w:rPr>
        <w:t>残疾人福利性单位</w:t>
      </w:r>
      <w:r>
        <w:rPr>
          <w:rFonts w:hint="eastAsia" w:ascii="宋体" w:hAnsi="宋体" w:cs="宋体"/>
          <w:b/>
          <w:color w:val="auto"/>
          <w:kern w:val="0"/>
          <w:szCs w:val="21"/>
          <w:highlight w:val="none"/>
          <w:lang w:eastAsia="zh-CN"/>
        </w:rPr>
        <w:t>：</w:t>
      </w:r>
      <w:r>
        <w:rPr>
          <w:rFonts w:hint="eastAsia" w:ascii="宋体" w:hAnsi="宋体" w:cs="宋体"/>
          <w:color w:val="auto"/>
          <w:kern w:val="0"/>
          <w:szCs w:val="21"/>
          <w:highlight w:val="none"/>
        </w:rPr>
        <w:t>是指符合</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pacing w:val="6"/>
          <w:szCs w:val="21"/>
          <w:highlight w:val="none"/>
        </w:rPr>
        <w:t>号）规定条件的单位。</w:t>
      </w:r>
    </w:p>
    <w:p>
      <w:pPr>
        <w:adjustRightInd w:val="0"/>
        <w:snapToGrid w:val="0"/>
        <w:spacing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1.2.13</w:t>
      </w:r>
      <w:r>
        <w:rPr>
          <w:rFonts w:hint="eastAsia" w:ascii="宋体" w:hAnsi="宋体"/>
          <w:b/>
          <w:color w:val="auto"/>
          <w:spacing w:val="6"/>
          <w:szCs w:val="21"/>
          <w:highlight w:val="none"/>
        </w:rPr>
        <w:t>签名</w:t>
      </w:r>
      <w:r>
        <w:rPr>
          <w:rFonts w:hint="eastAsia" w:ascii="宋体" w:hAnsi="宋体"/>
          <w:b/>
          <w:color w:val="auto"/>
          <w:spacing w:val="6"/>
          <w:szCs w:val="21"/>
          <w:highlight w:val="none"/>
          <w:lang w:eastAsia="zh-CN"/>
        </w:rPr>
        <w:t>：</w:t>
      </w:r>
      <w:r>
        <w:rPr>
          <w:rFonts w:hint="eastAsia" w:ascii="宋体" w:hAnsi="宋体"/>
          <w:color w:val="auto"/>
          <w:spacing w:val="6"/>
          <w:szCs w:val="21"/>
          <w:highlight w:val="none"/>
        </w:rPr>
        <w:t>是指手写签名或加盖</w:t>
      </w:r>
      <w:r>
        <w:rPr>
          <w:rFonts w:hint="eastAsia" w:ascii="宋体" w:hAnsi="宋体"/>
          <w:color w:val="auto"/>
          <w:spacing w:val="6"/>
          <w:szCs w:val="21"/>
          <w:highlight w:val="none"/>
          <w:lang w:eastAsia="zh-CN"/>
        </w:rPr>
        <w:t>签</w:t>
      </w:r>
      <w:r>
        <w:rPr>
          <w:rFonts w:hint="eastAsia" w:ascii="宋体" w:hAnsi="宋体"/>
          <w:color w:val="auto"/>
          <w:spacing w:val="6"/>
          <w:szCs w:val="21"/>
          <w:highlight w:val="none"/>
        </w:rPr>
        <w:t>名章（含电子），</w:t>
      </w:r>
      <w:r>
        <w:rPr>
          <w:rFonts w:hint="eastAsia" w:ascii="宋体" w:hAnsi="宋体"/>
          <w:b/>
          <w:color w:val="auto"/>
          <w:spacing w:val="6"/>
          <w:szCs w:val="21"/>
          <w:highlight w:val="none"/>
        </w:rPr>
        <w:t>盖章</w:t>
      </w:r>
      <w:r>
        <w:rPr>
          <w:rFonts w:hint="eastAsia" w:ascii="宋体" w:hAnsi="宋体"/>
          <w:color w:val="auto"/>
          <w:spacing w:val="6"/>
          <w:szCs w:val="21"/>
          <w:highlight w:val="none"/>
        </w:rPr>
        <w:t>是指加盖单位章（含电子）。</w:t>
      </w:r>
    </w:p>
    <w:p>
      <w:pPr>
        <w:adjustRightInd w:val="0"/>
        <w:snapToGrid w:val="0"/>
        <w:spacing w:line="360" w:lineRule="auto"/>
        <w:ind w:firstLine="444" w:firstLineChars="200"/>
        <w:rPr>
          <w:rFonts w:hint="eastAsia" w:ascii="宋体" w:hAnsi="宋体"/>
          <w:color w:val="auto"/>
          <w:szCs w:val="21"/>
          <w:highlight w:val="none"/>
        </w:rPr>
      </w:pPr>
      <w:r>
        <w:rPr>
          <w:rFonts w:hint="eastAsia" w:ascii="宋体" w:hAnsi="宋体"/>
          <w:color w:val="auto"/>
          <w:spacing w:val="6"/>
          <w:szCs w:val="21"/>
          <w:highlight w:val="none"/>
        </w:rPr>
        <w:t>1.2.14</w:t>
      </w:r>
      <w:r>
        <w:rPr>
          <w:rFonts w:hint="eastAsia" w:ascii="宋体" w:hAnsi="宋体"/>
          <w:b/>
          <w:color w:val="auto"/>
          <w:szCs w:val="21"/>
          <w:highlight w:val="none"/>
        </w:rPr>
        <w:t>较大数额罚款</w:t>
      </w:r>
      <w:r>
        <w:rPr>
          <w:rFonts w:hint="eastAsia" w:ascii="宋体" w:hAnsi="宋体"/>
          <w:b/>
          <w:color w:val="auto"/>
          <w:szCs w:val="21"/>
          <w:highlight w:val="none"/>
          <w:lang w:eastAsia="zh-CN"/>
        </w:rPr>
        <w:t>：</w:t>
      </w:r>
      <w:r>
        <w:rPr>
          <w:rFonts w:hint="eastAsia" w:ascii="宋体" w:hAnsi="宋体"/>
          <w:color w:val="auto"/>
          <w:szCs w:val="21"/>
          <w:highlight w:val="none"/>
        </w:rPr>
        <w:t>是指200万元以上罚款，法律、行政法规以及国务院有关部门明确规定相关领域“较大数额罚款”标准高于200万元的，从其规定。</w:t>
      </w:r>
    </w:p>
    <w:p>
      <w:pPr>
        <w:adjustRightInd w:val="0"/>
        <w:snapToGrid w:val="0"/>
        <w:spacing w:before="120" w:beforeLines="50" w:after="120" w:afterLines="50" w:line="360" w:lineRule="auto"/>
        <w:jc w:val="left"/>
        <w:rPr>
          <w:rFonts w:hint="eastAsia" w:ascii="宋体" w:hAnsi="宋体" w:cs="宋体"/>
          <w:b/>
          <w:color w:val="auto"/>
          <w:kern w:val="0"/>
          <w:sz w:val="24"/>
          <w:highlight w:val="none"/>
        </w:rPr>
      </w:pPr>
      <w:r>
        <w:rPr>
          <w:rFonts w:hint="eastAsia" w:ascii="宋体" w:hAnsi="宋体" w:cs="宋体"/>
          <w:b/>
          <w:color w:val="auto"/>
          <w:sz w:val="24"/>
          <w:highlight w:val="none"/>
        </w:rPr>
        <w:t>1.3 合格的投标</w:t>
      </w:r>
      <w:bookmarkEnd w:id="43"/>
      <w:bookmarkEnd w:id="44"/>
      <w:bookmarkEnd w:id="45"/>
      <w:bookmarkEnd w:id="46"/>
      <w:r>
        <w:rPr>
          <w:rFonts w:hint="eastAsia" w:ascii="宋体" w:hAnsi="宋体" w:cs="宋体"/>
          <w:b/>
          <w:color w:val="auto"/>
          <w:sz w:val="24"/>
          <w:highlight w:val="none"/>
        </w:rPr>
        <w:t>人</w:t>
      </w:r>
    </w:p>
    <w:p>
      <w:pPr>
        <w:tabs>
          <w:tab w:val="left" w:pos="7665"/>
        </w:tabs>
        <w:spacing w:line="360" w:lineRule="auto"/>
        <w:ind w:firstLine="411" w:firstLineChars="196"/>
        <w:rPr>
          <w:rFonts w:hint="eastAsia" w:ascii="宋体" w:hAnsi="宋体"/>
          <w:color w:val="auto"/>
          <w:szCs w:val="21"/>
          <w:highlight w:val="none"/>
        </w:rPr>
      </w:pPr>
      <w:bookmarkStart w:id="47" w:name="_Toc217446037"/>
      <w:bookmarkStart w:id="48" w:name="_Toc183682345"/>
      <w:bookmarkStart w:id="49" w:name="_Toc183582208"/>
      <w:r>
        <w:rPr>
          <w:rFonts w:hint="eastAsia" w:ascii="宋体" w:hAnsi="宋体"/>
          <w:color w:val="auto"/>
          <w:szCs w:val="21"/>
          <w:highlight w:val="none"/>
        </w:rPr>
        <w:t>1.3.1 合格的投标人应具备以下条件：</w:t>
      </w:r>
    </w:p>
    <w:p>
      <w:pPr>
        <w:tabs>
          <w:tab w:val="left" w:pos="7665"/>
        </w:tabs>
        <w:spacing w:line="360" w:lineRule="auto"/>
        <w:ind w:firstLine="420" w:firstLineChars="200"/>
        <w:rPr>
          <w:rFonts w:hint="eastAsia" w:ascii="宋体" w:hAnsi="宋体"/>
          <w:color w:val="auto"/>
          <w:spacing w:val="-4"/>
          <w:szCs w:val="21"/>
          <w:highlight w:val="none"/>
        </w:rPr>
      </w:pPr>
      <w:r>
        <w:rPr>
          <w:rFonts w:hint="eastAsia" w:ascii="宋体" w:hAnsi="宋体"/>
          <w:color w:val="auto"/>
          <w:szCs w:val="21"/>
          <w:highlight w:val="none"/>
        </w:rPr>
        <w:t>（1）具备且满足本招标文件规定的投标人资格条件</w:t>
      </w:r>
      <w:r>
        <w:rPr>
          <w:rFonts w:hint="eastAsia" w:ascii="宋体" w:hAnsi="宋体"/>
          <w:color w:val="auto"/>
          <w:spacing w:val="-4"/>
          <w:szCs w:val="21"/>
          <w:highlight w:val="none"/>
        </w:rPr>
        <w:t>；</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（2）从采购代理机构购获取了招标文件；</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（3）向采购代理机构交纳了投标保证金（仅限投标人须知前附表要求投标人提交保证金的）；</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（4）遵守国家和地方有关的法律法规、规章和规范性文件要求。</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投标人不得存在下列情形之一：</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隶属关系或者其他利害关系，且可能影响招标公正性；</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（2）与本采购项目其他投标人的法定代表人（或者负责人）为同一人；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（3）与本采购项目其他投标人存在控股、管理关系；</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（4）为本项目采购代理机构；</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（5）为本项目代理投标的为其采购代理机构；</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（6）为本项目提供整体设计、规范编制或者项目管理、监理、检测、咨询服务；</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受到刑事处罚；</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（8）受到“较大数额罚款</w:t>
      </w:r>
      <w:r>
        <w:rPr>
          <w:rFonts w:ascii="宋体" w:hAnsi="宋体"/>
          <w:bCs/>
          <w:color w:val="auto"/>
          <w:szCs w:val="21"/>
          <w:highlight w:val="none"/>
        </w:rPr>
        <w:t>”</w:t>
      </w:r>
      <w:r>
        <w:rPr>
          <w:rFonts w:hint="eastAsia" w:ascii="宋体" w:hAnsi="宋体"/>
          <w:bCs/>
          <w:color w:val="auto"/>
          <w:szCs w:val="21"/>
          <w:highlight w:val="none"/>
        </w:rPr>
        <w:t>的行政处罚；</w:t>
      </w:r>
    </w:p>
    <w:p>
      <w:pPr>
        <w:adjustRightInd w:val="0"/>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（9）被责令停产停业、暂扣或者吊销许可证、暂扣或者吊销执照的行政处罚；</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（10）</w:t>
      </w:r>
      <w:r>
        <w:rPr>
          <w:rFonts w:hint="eastAsia" w:ascii="宋体" w:hAnsi="宋体"/>
          <w:color w:val="auto"/>
          <w:szCs w:val="21"/>
          <w:highlight w:val="none"/>
        </w:rPr>
        <w:t>被列入失信被执行人名单；</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（11）被列入重大税收违法案件当事人名单；</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（12）被禁止在一至三年内参加政府采购活动或存在</w:t>
      </w:r>
      <w:r>
        <w:rPr>
          <w:rFonts w:hint="eastAsia" w:ascii="宋体" w:hAnsi="宋体"/>
          <w:color w:val="auto"/>
          <w:szCs w:val="21"/>
          <w:highlight w:val="none"/>
        </w:rPr>
        <w:t>财政部门认定的其他重大违法记录；</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（13）法律法规规定的其他情形。</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1.4合格的服务</w:t>
      </w:r>
    </w:p>
    <w:p>
      <w:pPr>
        <w:tabs>
          <w:tab w:val="left" w:pos="747"/>
        </w:tabs>
        <w:snapToGrid w:val="0"/>
        <w:spacing w:line="360" w:lineRule="auto"/>
        <w:ind w:firstLine="420" w:firstLineChars="200"/>
        <w:rPr>
          <w:rFonts w:ascii="宋体" w:hAnsi="宋体"/>
          <w:color w:val="auto"/>
          <w:szCs w:val="21"/>
          <w:highlight w:val="none"/>
        </w:rPr>
      </w:pPr>
      <w:bookmarkStart w:id="50" w:name="_Toc217446047"/>
      <w:r>
        <w:rPr>
          <w:rFonts w:hint="eastAsia" w:ascii="宋体" w:hAnsi="宋体"/>
          <w:color w:val="auto"/>
          <w:szCs w:val="21"/>
          <w:highlight w:val="none"/>
        </w:rPr>
        <w:t>1.4.1 投标人提供的所有服务，符合国家有关标准和规范，并满足招标文件规定的服务要求。</w:t>
      </w:r>
    </w:p>
    <w:p>
      <w:pPr>
        <w:tabs>
          <w:tab w:val="left" w:pos="747"/>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若本项目（包）包括采购货物的，所供货物必须是合法生产、合法来源，符合国家有关标准要求，并满足招标文件规定的规格、参数、质量、有效期、售后服务及</w:t>
      </w:r>
      <w:r>
        <w:rPr>
          <w:rFonts w:hint="eastAsia" w:ascii="宋体" w:hAnsi="宋体"/>
          <w:color w:val="auto"/>
          <w:szCs w:val="21"/>
          <w:highlight w:val="none"/>
          <w:lang w:eastAsia="zh-CN"/>
        </w:rPr>
        <w:t>投标人</w:t>
      </w:r>
      <w:r>
        <w:rPr>
          <w:rFonts w:hint="eastAsia" w:ascii="宋体" w:hAnsi="宋体"/>
          <w:color w:val="auto"/>
          <w:szCs w:val="21"/>
          <w:highlight w:val="none"/>
        </w:rPr>
        <w:t>须承担的运输、安装、技术支持、培训和招标文件规定的其它伴随服务等要求。</w:t>
      </w:r>
    </w:p>
    <w:p>
      <w:pPr>
        <w:tabs>
          <w:tab w:val="left" w:pos="747"/>
        </w:tabs>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 采购人有权拒绝接受任何不合格的服务，由此产生的费用及相关后果均由投标人自行承担。</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1.5知识产权</w:t>
      </w:r>
      <w:bookmarkEnd w:id="50"/>
    </w:p>
    <w:p>
      <w:pPr>
        <w:pStyle w:val="14"/>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1.5.1 投标人应保证在本项目提供的任何服务和产品（包括部分使用）时，不会产生因第三方提出侵犯其专利权、商标权或其它知识产权而引起的法律和经济纠纷，如因专利权、商标权或其它知识产权而引起法律和经济纠纷，由投标人承担所有相关责任。</w:t>
      </w:r>
    </w:p>
    <w:p>
      <w:pPr>
        <w:pStyle w:val="14"/>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1.5.2 采购人享有本项目实施过程中产生的知识成果及知识产权。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1.5.4 如采用投标人所不拥有的知识产权，则在投标报价中必须包括合法获取该知识产权的相关费用。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1.5.5 投标人提供计算机办公设备的，按照《国务院办公厅关于进一步做好政府机关使用正版软件工作的通知》（国办发〔</w:t>
      </w:r>
      <w:r>
        <w:rPr>
          <w:rFonts w:ascii="宋体" w:hAnsi="宋体"/>
          <w:color w:val="auto"/>
          <w:szCs w:val="21"/>
          <w:highlight w:val="none"/>
        </w:rPr>
        <w:t>2010</w:t>
      </w:r>
      <w:r>
        <w:rPr>
          <w:rFonts w:hint="eastAsia" w:ascii="宋体" w:hAnsi="宋体"/>
          <w:color w:val="auto"/>
          <w:szCs w:val="21"/>
          <w:highlight w:val="none"/>
        </w:rPr>
        <w:t>〕</w:t>
      </w:r>
      <w:r>
        <w:rPr>
          <w:rFonts w:ascii="宋体" w:hAnsi="宋体"/>
          <w:color w:val="auto"/>
          <w:szCs w:val="21"/>
          <w:highlight w:val="none"/>
        </w:rPr>
        <w:t xml:space="preserve">47 </w:t>
      </w:r>
      <w:r>
        <w:rPr>
          <w:rFonts w:hint="eastAsia" w:ascii="宋体" w:hAnsi="宋体"/>
          <w:color w:val="auto"/>
          <w:szCs w:val="21"/>
          <w:highlight w:val="none"/>
        </w:rPr>
        <w:t>号）和《财政部关于进一步做好政府机关使用正版软件工作的通知》（财预〔</w:t>
      </w:r>
      <w:r>
        <w:rPr>
          <w:rFonts w:ascii="宋体" w:hAnsi="宋体"/>
          <w:color w:val="auto"/>
          <w:szCs w:val="21"/>
          <w:highlight w:val="none"/>
        </w:rPr>
        <w:t>2010</w:t>
      </w:r>
      <w:r>
        <w:rPr>
          <w:rFonts w:hint="eastAsia" w:ascii="宋体" w:hAnsi="宋体"/>
          <w:color w:val="auto"/>
          <w:szCs w:val="21"/>
          <w:highlight w:val="none"/>
        </w:rPr>
        <w:t>〕</w:t>
      </w:r>
      <w:r>
        <w:rPr>
          <w:rFonts w:ascii="宋体" w:hAnsi="宋体"/>
          <w:color w:val="auto"/>
          <w:szCs w:val="21"/>
          <w:highlight w:val="none"/>
        </w:rPr>
        <w:t xml:space="preserve">536 </w:t>
      </w:r>
      <w:r>
        <w:rPr>
          <w:rFonts w:hint="eastAsia" w:ascii="宋体" w:hAnsi="宋体"/>
          <w:color w:val="auto"/>
          <w:szCs w:val="21"/>
          <w:highlight w:val="none"/>
        </w:rPr>
        <w:t>号）的要求，应当预装正版操作系统软件的计算机产品。</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1.6投标费用</w:t>
      </w:r>
      <w:bookmarkEnd w:id="47"/>
      <w:bookmarkEnd w:id="48"/>
      <w:bookmarkEnd w:id="49"/>
    </w:p>
    <w:p>
      <w:pPr>
        <w:tabs>
          <w:tab w:val="left" w:pos="7665"/>
        </w:tabs>
        <w:spacing w:line="360" w:lineRule="auto"/>
        <w:ind w:firstLine="430" w:firstLineChars="205"/>
        <w:jc w:val="left"/>
        <w:rPr>
          <w:rFonts w:hint="eastAsia" w:ascii="宋体" w:hAnsi="宋体" w:cs="宋体"/>
          <w:color w:val="auto"/>
          <w:szCs w:val="21"/>
          <w:highlight w:val="none"/>
        </w:rPr>
      </w:pPr>
      <w:r>
        <w:rPr>
          <w:rFonts w:hint="eastAsia" w:ascii="宋体" w:hAnsi="宋体" w:cs="宋体"/>
          <w:color w:val="auto"/>
          <w:szCs w:val="21"/>
          <w:highlight w:val="none"/>
        </w:rPr>
        <w:t>不论投标结果如何，投标人准备和参加投标活动发生的费用自理。</w:t>
      </w:r>
      <w:bookmarkStart w:id="51" w:name="_Toc183582209"/>
      <w:bookmarkStart w:id="52" w:name="_Toc89075875"/>
      <w:bookmarkStart w:id="53" w:name="_Toc77400779"/>
      <w:bookmarkStart w:id="54" w:name="_Toc183682346"/>
      <w:bookmarkStart w:id="55" w:name="_Toc217446038"/>
    </w:p>
    <w:p>
      <w:pPr>
        <w:adjustRightInd w:val="0"/>
        <w:snapToGrid w:val="0"/>
        <w:spacing w:before="120" w:beforeLines="50" w:after="120" w:afterLines="50"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1.7 保密</w:t>
      </w:r>
    </w:p>
    <w:p>
      <w:pPr>
        <w:autoSpaceDE w:val="0"/>
        <w:autoSpaceDN w:val="0"/>
        <w:spacing w:line="360" w:lineRule="auto"/>
        <w:ind w:firstLine="420" w:firstLineChars="200"/>
        <w:rPr>
          <w:rFonts w:hint="eastAsia" w:ascii="宋体" w:hAnsi="宋体"/>
          <w:b/>
          <w:color w:val="auto"/>
          <w:sz w:val="30"/>
          <w:szCs w:val="30"/>
          <w:highlight w:val="none"/>
        </w:rPr>
      </w:pPr>
      <w:r>
        <w:rPr>
          <w:rFonts w:ascii="宋体" w:hAnsi="宋体"/>
          <w:color w:val="auto"/>
          <w:szCs w:val="21"/>
          <w:highlight w:val="none"/>
          <w:lang w:val="zh-CN"/>
        </w:rPr>
        <w:t>参与采购活动的当事人应</w:t>
      </w:r>
      <w:r>
        <w:rPr>
          <w:rFonts w:hint="eastAsia" w:ascii="宋体" w:hAnsi="宋体"/>
          <w:color w:val="auto"/>
          <w:szCs w:val="21"/>
          <w:highlight w:val="none"/>
          <w:lang w:val="zh-CN"/>
        </w:rPr>
        <w:t>当</w:t>
      </w:r>
      <w:r>
        <w:rPr>
          <w:rFonts w:ascii="宋体" w:hAnsi="宋体"/>
          <w:color w:val="auto"/>
          <w:szCs w:val="21"/>
          <w:highlight w:val="none"/>
          <w:lang w:val="zh-CN"/>
        </w:rPr>
        <w:t>对</w:t>
      </w:r>
      <w:r>
        <w:rPr>
          <w:rFonts w:hint="eastAsia" w:ascii="宋体" w:hAnsi="宋体"/>
          <w:color w:val="auto"/>
          <w:szCs w:val="21"/>
          <w:highlight w:val="none"/>
          <w:lang w:val="zh-CN"/>
        </w:rPr>
        <w:t>招标文件</w:t>
      </w:r>
      <w:r>
        <w:rPr>
          <w:rFonts w:ascii="宋体" w:hAnsi="宋体"/>
          <w:color w:val="auto"/>
          <w:szCs w:val="21"/>
          <w:highlight w:val="none"/>
          <w:lang w:val="zh-CN"/>
        </w:rPr>
        <w:t>和</w:t>
      </w:r>
      <w:r>
        <w:rPr>
          <w:rFonts w:hint="eastAsia" w:ascii="宋体" w:hAnsi="宋体"/>
          <w:color w:val="auto"/>
          <w:szCs w:val="21"/>
          <w:highlight w:val="none"/>
          <w:lang w:val="zh-CN"/>
        </w:rPr>
        <w:t>投标</w:t>
      </w:r>
      <w:r>
        <w:rPr>
          <w:rFonts w:ascii="宋体" w:hAnsi="宋体"/>
          <w:color w:val="auto"/>
          <w:szCs w:val="21"/>
          <w:highlight w:val="none"/>
          <w:lang w:val="zh-CN"/>
        </w:rPr>
        <w:t>文件中的商业秘密、技术秘密和个人隐私等保密，违者应对由此造成的后果承担法律责任。</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1.8语言文字</w:t>
      </w:r>
    </w:p>
    <w:p>
      <w:pPr>
        <w:tabs>
          <w:tab w:val="left" w:pos="7665"/>
        </w:tabs>
        <w:spacing w:line="360" w:lineRule="auto"/>
        <w:ind w:firstLine="405"/>
        <w:rPr>
          <w:rFonts w:hint="eastAsia" w:ascii="宋体" w:hAnsi="宋体"/>
          <w:color w:val="auto"/>
          <w:szCs w:val="21"/>
          <w:highlight w:val="none"/>
        </w:rPr>
      </w:pPr>
      <w:r>
        <w:rPr>
          <w:rFonts w:hint="eastAsia" w:ascii="宋体" w:hAnsi="宋体"/>
          <w:color w:val="auto"/>
          <w:szCs w:val="21"/>
          <w:highlight w:val="none"/>
        </w:rPr>
        <w:t>1.8.1 招标投标文件使用的语言为中文。专用术语使用外文的，应附有中文注释。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1.8.2 投标文件中如附有外文资料，必须逐一对应翻译成中文并加盖投标人单位章后附在相关外文资料后面，否则，投标人的投标文件将作为无效投标处理。</w:t>
      </w:r>
    </w:p>
    <w:p>
      <w:pPr>
        <w:pStyle w:val="15"/>
        <w:adjustRightInd w:val="0"/>
        <w:snapToGrid w:val="0"/>
        <w:spacing w:line="360" w:lineRule="auto"/>
        <w:ind w:firstLine="420" w:firstLineChars="200"/>
        <w:rPr>
          <w:rFonts w:hint="eastAsia"/>
          <w:color w:val="auto"/>
          <w:highlight w:val="none"/>
        </w:rPr>
      </w:pPr>
      <w:r>
        <w:rPr>
          <w:rFonts w:hint="eastAsia"/>
          <w:color w:val="auto"/>
          <w:highlight w:val="none"/>
        </w:rPr>
        <w:t>1.8.3 投标文件中翻译的中文资料与外文资料如果出现差异和矛盾时，以中文为准。但不能故意错误翻译，否则，投标人的投标文件将作为无效投标处理。</w:t>
      </w:r>
      <w:r>
        <w:rPr>
          <w:rFonts w:hint="eastAsia"/>
          <w:color w:val="auto"/>
          <w:kern w:val="0"/>
          <w:highlight w:val="none"/>
        </w:rPr>
        <w:t>必要时采购人可以要求投标人提供附有公证书的中文翻译文件或者与原版文件签章相一致的中文翻译文件。</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1.9计量单位</w:t>
      </w:r>
    </w:p>
    <w:p>
      <w:pPr>
        <w:tabs>
          <w:tab w:val="left" w:pos="7665"/>
        </w:tabs>
        <w:spacing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rPr>
        <w:t>所有计量单位均采用中华人民共和国法定计量单位。</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1.10.答疑会或现场考察</w:t>
      </w:r>
    </w:p>
    <w:p>
      <w:pPr>
        <w:tabs>
          <w:tab w:val="left" w:pos="7665"/>
        </w:tabs>
        <w:spacing w:line="360" w:lineRule="auto"/>
        <w:ind w:firstLine="405"/>
        <w:rPr>
          <w:rFonts w:hint="eastAsia" w:ascii="宋体" w:hAnsi="宋体"/>
          <w:color w:val="auto"/>
          <w:szCs w:val="21"/>
          <w:highlight w:val="none"/>
        </w:rPr>
      </w:pPr>
      <w:r>
        <w:rPr>
          <w:rFonts w:hint="eastAsia" w:ascii="宋体" w:hAnsi="宋体"/>
          <w:color w:val="auto"/>
          <w:szCs w:val="21"/>
          <w:highlight w:val="none"/>
        </w:rPr>
        <w:t>1.10.1 根据本采购项目的具体情况，采购代理机构认为有必要，可以组织召开标前答疑会或组织投标人对项目现场进行考察，澄清投标人提出的问题。答疑会或进行现场考察的时间与地点，采购代理机构将以书面形式通知所有获取了招标文件的投标人，投标人可以按照要求在规定的时间和地点参加。</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1.10.2 答疑会或现场考察后，采购人或采购代理机构对投标人所提问题的澄清，以书面形式通知所有获取了招标文件的投标人。该澄清内容为招标文件的组成部分。</w:t>
      </w:r>
    </w:p>
    <w:p>
      <w:pPr>
        <w:adjustRightInd w:val="0"/>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1.10.3 采购人不对投标人现场考察而做出的推论、理解和结论负责。一旦成交，中标人不得以任何借口，提出额外补偿，或延长合同期限的要求。</w:t>
      </w:r>
    </w:p>
    <w:p>
      <w:pPr>
        <w:adjustRightInd w:val="0"/>
        <w:snapToGrid w:val="0"/>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1.10.4 由于未参加现场考察或标前答疑会而导致对项目实际情况不了解，影响投标文件编制、投标报价准确性、综合因素响应不全面等问题的，由投标人自行承担不利评审后果。</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1.11响应与偏离</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1.11.1投标文件应当对招标文件实质性要求和条件作出满足性或有利于采购人的响应，否则，投标人的投标无效。</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1.11.2</w:t>
      </w:r>
      <w:r>
        <w:rPr>
          <w:rFonts w:hint="eastAsia" w:ascii="宋体" w:hAnsi="宋体"/>
          <w:b/>
          <w:bCs/>
          <w:color w:val="auto"/>
          <w:highlight w:val="none"/>
        </w:rPr>
        <w:t>偏离</w:t>
      </w:r>
      <w:r>
        <w:rPr>
          <w:rFonts w:hint="eastAsia" w:ascii="宋体" w:hAnsi="宋体"/>
          <w:color w:val="auto"/>
          <w:highlight w:val="none"/>
        </w:rPr>
        <w:t>是指投标文件不响应或者不满足招标文件提出的要求和条件，分为实质性偏离和非实质性偏离。</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1.11.3除法律、法规和招标文件规定的其他投标无效情形外，招标文件中用“</w:t>
      </w:r>
      <w:r>
        <w:rPr>
          <w:rFonts w:hint="eastAsia" w:ascii="宋体" w:hAnsi="宋体"/>
          <w:bCs/>
          <w:color w:val="auto"/>
          <w:szCs w:val="21"/>
          <w:highlight w:val="none"/>
        </w:rPr>
        <w:t>☆</w:t>
      </w:r>
      <w:r>
        <w:rPr>
          <w:rFonts w:hint="eastAsia" w:ascii="宋体" w:hAnsi="宋体"/>
          <w:color w:val="auto"/>
          <w:highlight w:val="none"/>
        </w:rPr>
        <w:t>”符号标明的条款为实质性要求和条件，投标文件对其中任何一条的偏离，为实质性偏离，</w:t>
      </w:r>
      <w:r>
        <w:rPr>
          <w:rFonts w:hint="eastAsia" w:ascii="宋体" w:hAnsi="宋体"/>
          <w:b/>
          <w:bCs/>
          <w:color w:val="auto"/>
          <w:highlight w:val="none"/>
        </w:rPr>
        <w:t>其投标无效</w:t>
      </w:r>
      <w:r>
        <w:rPr>
          <w:rFonts w:hint="eastAsia" w:ascii="宋体" w:hAnsi="宋体"/>
          <w:color w:val="auto"/>
          <w:highlight w:val="none"/>
        </w:rPr>
        <w:t>。</w:t>
      </w:r>
    </w:p>
    <w:p>
      <w:pPr>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1.11.4投标</w:t>
      </w:r>
      <w:r>
        <w:rPr>
          <w:rFonts w:hint="eastAsia" w:ascii="宋体" w:hAnsi="宋体"/>
          <w:color w:val="auto"/>
          <w:szCs w:val="21"/>
          <w:highlight w:val="none"/>
        </w:rPr>
        <w:t>文件偏离招标文件的非实质性要求和条件，为非实质性偏离。非实质性偏离的范围和项数应当符合投标须知前附表的规定，超出偏离范围和最高项数的</w:t>
      </w:r>
      <w:r>
        <w:rPr>
          <w:rFonts w:hint="eastAsia" w:ascii="宋体" w:hAnsi="宋体"/>
          <w:color w:val="auto"/>
          <w:highlight w:val="none"/>
        </w:rPr>
        <w:t>投标无效。</w:t>
      </w:r>
    </w:p>
    <w:p>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1.11.5投标文件对招标文件的全部偏离，均应在投标文件商务条款偏离表和技术参数偏离表中列明，除列明的内容外，视为投标人响应招标文件的全部要求。</w:t>
      </w:r>
    </w:p>
    <w:p>
      <w:pPr>
        <w:pStyle w:val="4"/>
        <w:spacing w:after="120" w:afterLines="50" w:line="360" w:lineRule="auto"/>
        <w:jc w:val="left"/>
        <w:rPr>
          <w:rFonts w:hint="eastAsia" w:ascii="宋体" w:hAnsi="宋体" w:eastAsia="宋体" w:cs="宋体"/>
          <w:bCs/>
          <w:color w:val="auto"/>
          <w:szCs w:val="28"/>
          <w:highlight w:val="none"/>
        </w:rPr>
      </w:pPr>
      <w:bookmarkStart w:id="56" w:name="_Toc21262"/>
      <w:bookmarkStart w:id="57" w:name="_Toc14205"/>
      <w:r>
        <w:rPr>
          <w:rFonts w:hint="eastAsia" w:ascii="宋体" w:hAnsi="宋体" w:eastAsia="宋体" w:cs="宋体"/>
          <w:bCs/>
          <w:color w:val="auto"/>
          <w:szCs w:val="28"/>
          <w:highlight w:val="none"/>
        </w:rPr>
        <w:t>2.招标文件</w:t>
      </w:r>
      <w:bookmarkEnd w:id="51"/>
      <w:bookmarkEnd w:id="52"/>
      <w:bookmarkEnd w:id="53"/>
      <w:bookmarkEnd w:id="54"/>
      <w:bookmarkEnd w:id="55"/>
      <w:bookmarkEnd w:id="56"/>
      <w:bookmarkEnd w:id="57"/>
      <w:bookmarkStart w:id="58" w:name="_Toc217446039"/>
      <w:bookmarkStart w:id="59" w:name="_Toc183582210"/>
      <w:bookmarkStart w:id="60" w:name="_Toc183682347"/>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2.1招标文件的</w:t>
      </w:r>
      <w:bookmarkEnd w:id="58"/>
      <w:bookmarkEnd w:id="59"/>
      <w:bookmarkEnd w:id="60"/>
      <w:r>
        <w:rPr>
          <w:rFonts w:hint="eastAsia" w:ascii="宋体" w:hAnsi="宋体" w:cs="宋体"/>
          <w:b/>
          <w:bCs/>
          <w:color w:val="auto"/>
          <w:sz w:val="24"/>
          <w:highlight w:val="none"/>
        </w:rPr>
        <w:t>组成</w:t>
      </w:r>
    </w:p>
    <w:p>
      <w:pPr>
        <w:tabs>
          <w:tab w:val="left" w:pos="7665"/>
        </w:tabs>
        <w:spacing w:before="120"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本招标文件包括以下内容：</w:t>
      </w:r>
    </w:p>
    <w:p>
      <w:pPr>
        <w:tabs>
          <w:tab w:val="left" w:pos="7665"/>
        </w:tabs>
        <w:spacing w:line="360" w:lineRule="auto"/>
        <w:ind w:firstLine="420" w:firstLineChars="200"/>
        <w:rPr>
          <w:rFonts w:hint="eastAsia" w:ascii="宋体" w:hAnsi="宋体"/>
          <w:color w:val="auto"/>
          <w:szCs w:val="21"/>
          <w:highlight w:val="none"/>
        </w:rPr>
      </w:pPr>
      <w:bookmarkStart w:id="61" w:name="_Toc183582211"/>
      <w:bookmarkStart w:id="62" w:name="_Toc183682348"/>
      <w:bookmarkStart w:id="63" w:name="_Toc217446040"/>
      <w:r>
        <w:rPr>
          <w:rFonts w:hint="eastAsia" w:ascii="宋体" w:hAnsi="宋体"/>
          <w:color w:val="auto"/>
          <w:szCs w:val="21"/>
          <w:highlight w:val="none"/>
        </w:rPr>
        <w:t>（1）招标公告；</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（2）投标人须知；</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（3）资格审查办法；</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（4）评标办法；</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（5）采购需求；</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（6）政府采购合同文本；</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（7）投标文件格式；</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（8）投标人须知前附表规定的其他材料。</w:t>
      </w:r>
    </w:p>
    <w:p>
      <w:pPr>
        <w:tabs>
          <w:tab w:val="left" w:pos="7665"/>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根据本章第1.10款、第2.2款对招标文件所作的澄清、修改，构成招标文件组成部分。</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2.2招标文件的澄清</w:t>
      </w:r>
      <w:bookmarkEnd w:id="61"/>
      <w:bookmarkEnd w:id="62"/>
      <w:r>
        <w:rPr>
          <w:rFonts w:hint="eastAsia" w:ascii="宋体" w:hAnsi="宋体" w:cs="宋体"/>
          <w:b/>
          <w:bCs/>
          <w:color w:val="auto"/>
          <w:sz w:val="24"/>
          <w:highlight w:val="none"/>
        </w:rPr>
        <w:t>或修改</w:t>
      </w:r>
      <w:bookmarkEnd w:id="63"/>
    </w:p>
    <w:p>
      <w:pPr>
        <w:tabs>
          <w:tab w:val="left" w:pos="720"/>
        </w:tabs>
        <w:spacing w:line="360" w:lineRule="auto"/>
        <w:ind w:firstLine="420" w:firstLineChars="200"/>
        <w:rPr>
          <w:rFonts w:hint="eastAsia" w:ascii="宋体" w:hAnsi="宋体"/>
          <w:color w:val="auto"/>
          <w:szCs w:val="21"/>
          <w:highlight w:val="none"/>
        </w:rPr>
      </w:pPr>
      <w:bookmarkStart w:id="64" w:name="_Toc208848971"/>
      <w:bookmarkStart w:id="65" w:name="_Toc183682350"/>
      <w:bookmarkStart w:id="66" w:name="_Toc183582213"/>
      <w:bookmarkStart w:id="67" w:name="_Toc217446041"/>
      <w:r>
        <w:rPr>
          <w:rFonts w:hint="eastAsia" w:ascii="宋体" w:hAnsi="宋体"/>
          <w:color w:val="auto"/>
          <w:szCs w:val="21"/>
          <w:highlight w:val="none"/>
        </w:rPr>
        <w:t>2.2.1提交投标文件截止之日前，采购人或采购代理机构可以对已发出的招标文件进行澄清或者修改，但不得修改采购标的和资格条件，澄清或者修改的内容为招标文件的组成部分，</w:t>
      </w:r>
      <w:r>
        <w:rPr>
          <w:rFonts w:ascii="宋体" w:hAnsi="宋体"/>
          <w:color w:val="auto"/>
          <w:szCs w:val="21"/>
          <w:highlight w:val="none"/>
        </w:rPr>
        <w:t>并对所有获取招标文件的潜在投标人具有约束力。</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2.2.2当需要对已发出的招标文件进行必要的澄清或者修改时，澄清或修改的内容可能影响投标文件编制的，应当在投标文件截止时间</w:t>
      </w:r>
      <w:r>
        <w:rPr>
          <w:rFonts w:hint="eastAsia" w:ascii="宋体" w:hAnsi="宋体"/>
          <w:b/>
          <w:color w:val="auto"/>
          <w:szCs w:val="21"/>
          <w:highlight w:val="none"/>
        </w:rPr>
        <w:t>15</w:t>
      </w:r>
      <w:r>
        <w:rPr>
          <w:rFonts w:hint="eastAsia" w:ascii="宋体" w:hAnsi="宋体"/>
          <w:color w:val="auto"/>
          <w:szCs w:val="21"/>
          <w:highlight w:val="none"/>
        </w:rPr>
        <w:t>日前，并在原信息发布媒体上发布更正（澄清）公告。如果澄清或者修改发出的时间距规定的投标截止时间不足</w:t>
      </w:r>
      <w:r>
        <w:rPr>
          <w:rFonts w:hint="eastAsia" w:ascii="宋体" w:hAnsi="宋体" w:cs="TimesNewRomanPSMT"/>
          <w:b/>
          <w:color w:val="auto"/>
          <w:szCs w:val="21"/>
          <w:highlight w:val="none"/>
        </w:rPr>
        <w:t>15</w:t>
      </w:r>
      <w:r>
        <w:rPr>
          <w:rFonts w:hint="eastAsia" w:ascii="宋体" w:hAnsi="宋体"/>
          <w:color w:val="auto"/>
          <w:szCs w:val="21"/>
          <w:highlight w:val="none"/>
        </w:rPr>
        <w:t>日，将相应顺延投标截止时间。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w:t>
      </w:r>
      <w:r>
        <w:rPr>
          <w:rFonts w:hint="eastAsia" w:ascii="宋体" w:hAnsi="宋体"/>
          <w:b/>
          <w:bCs/>
          <w:color w:val="auto"/>
          <w:szCs w:val="21"/>
          <w:highlight w:val="none"/>
        </w:rPr>
        <w:t>.</w:t>
      </w:r>
      <w:r>
        <w:rPr>
          <w:rFonts w:hint="eastAsia" w:ascii="宋体" w:hAnsi="宋体"/>
          <w:color w:val="auto"/>
          <w:szCs w:val="21"/>
          <w:highlight w:val="none"/>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hint="eastAsia" w:ascii="宋体" w:hAnsi="宋体"/>
          <w:b/>
          <w:color w:val="auto"/>
          <w:szCs w:val="21"/>
          <w:highlight w:val="none"/>
        </w:rPr>
        <w:t>10</w:t>
      </w:r>
      <w:r>
        <w:rPr>
          <w:rFonts w:hint="eastAsia" w:ascii="宋体" w:hAnsi="宋体"/>
          <w:color w:val="auto"/>
          <w:szCs w:val="21"/>
          <w:highlight w:val="none"/>
        </w:rPr>
        <w:t>日前</w:t>
      </w:r>
      <w:r>
        <w:rPr>
          <w:rFonts w:hint="eastAsia" w:ascii="宋体" w:hAnsi="宋体"/>
          <w:bCs/>
          <w:color w:val="auto"/>
          <w:szCs w:val="21"/>
          <w:highlight w:val="none"/>
        </w:rPr>
        <w:t>通过“</w:t>
      </w:r>
      <w:r>
        <w:rPr>
          <w:rFonts w:hint="eastAsia" w:ascii="宋体" w:hAnsi="宋体"/>
          <w:bCs/>
          <w:color w:val="auto"/>
          <w:szCs w:val="21"/>
          <w:highlight w:val="none"/>
          <w:lang w:eastAsia="zh-CN"/>
        </w:rPr>
        <w:t>全国公共资源交易平台（陕西省·西安市）</w:t>
      </w:r>
      <w:r>
        <w:rPr>
          <w:rFonts w:hint="eastAsia" w:ascii="宋体" w:hAnsi="宋体"/>
          <w:bCs/>
          <w:color w:val="auto"/>
          <w:szCs w:val="21"/>
          <w:highlight w:val="none"/>
        </w:rPr>
        <w:t>”</w:t>
      </w:r>
      <w:r>
        <w:rPr>
          <w:rFonts w:hint="eastAsia" w:ascii="宋体" w:hAnsi="宋体"/>
          <w:color w:val="auto"/>
          <w:szCs w:val="21"/>
          <w:highlight w:val="none"/>
        </w:rPr>
        <w:t>，向采购代理机构提出，采购代理机构应当在</w:t>
      </w:r>
      <w:r>
        <w:rPr>
          <w:rFonts w:hint="eastAsia" w:ascii="宋体" w:hAnsi="宋体"/>
          <w:b/>
          <w:color w:val="auto"/>
          <w:szCs w:val="21"/>
          <w:highlight w:val="none"/>
        </w:rPr>
        <w:t>3</w:t>
      </w:r>
      <w:r>
        <w:rPr>
          <w:rFonts w:hint="eastAsia" w:ascii="宋体" w:hAnsi="宋体"/>
          <w:color w:val="auto"/>
          <w:szCs w:val="21"/>
          <w:highlight w:val="none"/>
        </w:rPr>
        <w:t>个工作日内，通过</w:t>
      </w:r>
      <w:r>
        <w:rPr>
          <w:rFonts w:hint="eastAsia" w:ascii="宋体" w:hAnsi="宋体"/>
          <w:bCs/>
          <w:color w:val="auto"/>
          <w:szCs w:val="21"/>
          <w:highlight w:val="none"/>
        </w:rPr>
        <w:t>“</w:t>
      </w:r>
      <w:r>
        <w:rPr>
          <w:rFonts w:hint="eastAsia" w:ascii="宋体" w:hAnsi="宋体"/>
          <w:bCs/>
          <w:color w:val="auto"/>
          <w:szCs w:val="21"/>
          <w:highlight w:val="none"/>
          <w:lang w:eastAsia="zh-CN"/>
        </w:rPr>
        <w:t>全国公共资源交易平台（陕西省·西安市）</w:t>
      </w:r>
      <w:r>
        <w:rPr>
          <w:rFonts w:hint="eastAsia" w:ascii="宋体" w:hAnsi="宋体"/>
          <w:bCs/>
          <w:color w:val="auto"/>
          <w:szCs w:val="21"/>
          <w:highlight w:val="none"/>
        </w:rPr>
        <w:t>”统一发布，</w:t>
      </w:r>
      <w:r>
        <w:rPr>
          <w:rFonts w:hint="eastAsia" w:ascii="宋体" w:hAnsi="宋体"/>
          <w:color w:val="auto"/>
          <w:szCs w:val="21"/>
          <w:highlight w:val="none"/>
        </w:rPr>
        <w:t>或认为有必要召开答疑会。超过该时间收到的需要询问或澄清的内容，采购代理机构有权不予答复。</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2.2.3 在投标截止时间前，采购代理机构可以视采购具体情况，延长投标截止时间和开标时间，并在招标文件要求提交投标文件的截止时间前，将变更时间在原信息发布媒体上发布更正（澄清）公告。</w:t>
      </w:r>
    </w:p>
    <w:p>
      <w:pPr>
        <w:tabs>
          <w:tab w:val="left" w:pos="7665"/>
        </w:tabs>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2.2.5 请各投标人在提交投标文件截止时间之前，务必随时关注“政府采购信息发布媒体”上发布的变更公告，采购代理机构不再另行通知，因</w:t>
      </w:r>
      <w:r>
        <w:rPr>
          <w:rFonts w:hint="eastAsia" w:ascii="宋体" w:hAnsi="宋体"/>
          <w:b/>
          <w:color w:val="auto"/>
          <w:szCs w:val="21"/>
          <w:highlight w:val="none"/>
          <w:lang w:eastAsia="zh-CN"/>
        </w:rPr>
        <w:t>投标人</w:t>
      </w:r>
      <w:r>
        <w:rPr>
          <w:rFonts w:hint="eastAsia" w:ascii="宋体" w:hAnsi="宋体"/>
          <w:b/>
          <w:color w:val="auto"/>
          <w:szCs w:val="21"/>
          <w:highlight w:val="none"/>
        </w:rPr>
        <w:t>未及时关注所造成的一切后果由投标人自行承担：</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fldChar w:fldCharType="begin"/>
      </w:r>
      <w:r>
        <w:rPr>
          <w:rFonts w:ascii="宋体" w:hAnsi="宋体"/>
          <w:color w:val="auto"/>
          <w:szCs w:val="21"/>
          <w:highlight w:val="none"/>
        </w:rPr>
        <w:instrText xml:space="preserve"> HYPERLINK "http://www.ccgp-shaanxi.gov.cn" </w:instrText>
      </w:r>
      <w:r>
        <w:rPr>
          <w:rFonts w:ascii="宋体" w:hAnsi="宋体"/>
          <w:color w:val="auto"/>
          <w:szCs w:val="21"/>
          <w:highlight w:val="none"/>
        </w:rPr>
        <w:fldChar w:fldCharType="separate"/>
      </w:r>
      <w:r>
        <w:rPr>
          <w:rFonts w:hint="eastAsia" w:ascii="宋体" w:hAnsi="宋体"/>
          <w:color w:val="auto"/>
          <w:szCs w:val="21"/>
          <w:highlight w:val="none"/>
        </w:rPr>
        <w:t>陕西省政府采购网</w:t>
      </w:r>
      <w:r>
        <w:rPr>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fldChar w:fldCharType="begin"/>
      </w:r>
      <w:r>
        <w:rPr>
          <w:rFonts w:ascii="宋体" w:hAnsi="宋体"/>
          <w:color w:val="auto"/>
          <w:szCs w:val="21"/>
          <w:highlight w:val="none"/>
        </w:rPr>
        <w:instrText xml:space="preserve"> HYPERLINK "http://www.ccgp-shaanxi.gov.cn/" </w:instrText>
      </w:r>
      <w:r>
        <w:rPr>
          <w:rFonts w:ascii="宋体" w:hAnsi="宋体"/>
          <w:color w:val="auto"/>
          <w:szCs w:val="21"/>
          <w:highlight w:val="none"/>
        </w:rPr>
        <w:fldChar w:fldCharType="separate"/>
      </w:r>
      <w:r>
        <w:rPr>
          <w:rFonts w:hint="eastAsia" w:ascii="宋体" w:hAnsi="宋体"/>
          <w:color w:val="auto"/>
          <w:szCs w:val="21"/>
          <w:highlight w:val="none"/>
        </w:rPr>
        <w:t>http://www.ccgp-shaanxi.gov.cn/</w:t>
      </w:r>
      <w:r>
        <w:rPr>
          <w:rFonts w:ascii="宋体" w:hAnsi="宋体"/>
          <w:color w:val="auto"/>
          <w:szCs w:val="21"/>
          <w:highlight w:val="none"/>
        </w:rPr>
        <w:fldChar w:fldCharType="end"/>
      </w:r>
      <w:r>
        <w:rPr>
          <w:rFonts w:hint="eastAsia" w:ascii="宋体" w:hAnsi="宋体"/>
          <w:color w:val="auto"/>
          <w:szCs w:val="21"/>
          <w:highlight w:val="none"/>
        </w:rPr>
        <w:t>）中的〖首页·〉信息公告·〉市级·〉西安市〗；</w:t>
      </w:r>
    </w:p>
    <w:p>
      <w:pPr>
        <w:tabs>
          <w:tab w:val="left" w:pos="7665"/>
        </w:tabs>
        <w:spacing w:line="360" w:lineRule="auto"/>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（2）“全国公共资源交易平台（陕西省·</w:t>
      </w:r>
      <w:r>
        <w:rPr>
          <w:rFonts w:hint="eastAsia" w:ascii="宋体" w:hAnsi="宋体"/>
          <w:color w:val="auto"/>
          <w:szCs w:val="21"/>
          <w:highlight w:val="none"/>
          <w:lang w:eastAsia="zh-CN"/>
        </w:rPr>
        <w:t>西安市</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r>
        <w:rPr>
          <w:rFonts w:hint="eastAsia"/>
          <w:color w:val="auto"/>
          <w:highlight w:val="none"/>
          <w:lang w:eastAsia="zh-CN"/>
        </w:rPr>
        <w:t>http://sxggzyjy.xa.gov.cn/</w:t>
      </w:r>
      <w:r>
        <w:rPr>
          <w:rFonts w:hint="eastAsia" w:ascii="宋体" w:hAnsi="宋体"/>
          <w:color w:val="auto"/>
          <w:szCs w:val="21"/>
          <w:highlight w:val="none"/>
        </w:rPr>
        <w:t>）中的〖首页·〉交易大厅·〉政府采购〗。</w:t>
      </w:r>
    </w:p>
    <w:bookmarkEnd w:id="64"/>
    <w:bookmarkEnd w:id="65"/>
    <w:bookmarkEnd w:id="66"/>
    <w:bookmarkEnd w:id="67"/>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2.3招标文件的解释权</w:t>
      </w:r>
    </w:p>
    <w:p>
      <w:pPr>
        <w:pStyle w:val="6"/>
        <w:spacing w:line="360" w:lineRule="auto"/>
        <w:ind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招标文件的解释权归</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，如发现招标文件内容与现行法律法规不相符的情况，以现行法律法规为准。</w:t>
      </w:r>
      <w:bookmarkStart w:id="68" w:name="_Toc77400780"/>
      <w:bookmarkStart w:id="69" w:name="_Toc217446042"/>
      <w:bookmarkStart w:id="70" w:name="_Toc89075876"/>
      <w:bookmarkStart w:id="71" w:name="_Toc183682351"/>
      <w:bookmarkStart w:id="72" w:name="_Toc183582214"/>
    </w:p>
    <w:p>
      <w:pPr>
        <w:pStyle w:val="4"/>
        <w:spacing w:after="120" w:afterLines="50" w:line="360" w:lineRule="auto"/>
        <w:jc w:val="left"/>
        <w:rPr>
          <w:rFonts w:hint="eastAsia" w:ascii="宋体" w:hAnsi="宋体" w:eastAsia="宋体" w:cs="宋体"/>
          <w:bCs/>
          <w:color w:val="auto"/>
          <w:szCs w:val="28"/>
          <w:highlight w:val="none"/>
        </w:rPr>
      </w:pPr>
      <w:bookmarkStart w:id="73" w:name="_Toc10730"/>
      <w:bookmarkStart w:id="74" w:name="_Toc356"/>
      <w:r>
        <w:rPr>
          <w:rFonts w:hint="eastAsia" w:ascii="宋体" w:hAnsi="宋体" w:eastAsia="宋体" w:cs="宋体"/>
          <w:bCs/>
          <w:color w:val="auto"/>
          <w:szCs w:val="28"/>
          <w:highlight w:val="none"/>
        </w:rPr>
        <w:t>3.投标人</w:t>
      </w:r>
      <w:bookmarkEnd w:id="73"/>
      <w:bookmarkEnd w:id="74"/>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3.1</w:t>
      </w:r>
      <w:bookmarkEnd w:id="68"/>
      <w:bookmarkEnd w:id="69"/>
      <w:bookmarkEnd w:id="70"/>
      <w:bookmarkEnd w:id="71"/>
      <w:bookmarkEnd w:id="72"/>
      <w:bookmarkStart w:id="75" w:name="_Toc183682352"/>
      <w:bookmarkStart w:id="76" w:name="_Toc183582215"/>
      <w:bookmarkStart w:id="77" w:name="_Toc217446043"/>
      <w:r>
        <w:rPr>
          <w:rFonts w:hint="eastAsia" w:ascii="宋体" w:hAnsi="宋体" w:cs="宋体"/>
          <w:b/>
          <w:bCs/>
          <w:color w:val="auto"/>
          <w:sz w:val="24"/>
          <w:highlight w:val="none"/>
        </w:rPr>
        <w:t>投标人资格要求</w:t>
      </w:r>
    </w:p>
    <w:p>
      <w:pPr>
        <w:widowControl/>
        <w:adjustRightInd w:val="0"/>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szCs w:val="21"/>
          <w:highlight w:val="none"/>
        </w:rPr>
        <w:t xml:space="preserve">3.1.1 </w:t>
      </w:r>
      <w:r>
        <w:rPr>
          <w:rFonts w:hint="eastAsia" w:ascii="宋体" w:hAnsi="宋体"/>
          <w:b/>
          <w:color w:val="auto"/>
          <w:szCs w:val="21"/>
          <w:highlight w:val="none"/>
        </w:rPr>
        <w:t>基本资格条件</w:t>
      </w:r>
      <w:r>
        <w:rPr>
          <w:rFonts w:hint="eastAsia" w:ascii="宋体" w:hAnsi="宋体"/>
          <w:color w:val="auto"/>
          <w:szCs w:val="21"/>
          <w:highlight w:val="none"/>
        </w:rPr>
        <w:t>。</w:t>
      </w:r>
      <w:r>
        <w:rPr>
          <w:rFonts w:hint="eastAsia" w:ascii="宋体" w:hAnsi="宋体" w:cs="宋体"/>
          <w:color w:val="auto"/>
          <w:kern w:val="0"/>
          <w:szCs w:val="21"/>
          <w:highlight w:val="none"/>
        </w:rPr>
        <w:t>投标人应符合《中华人民共和国政府采购法》第二十二条规定的条件，</w:t>
      </w:r>
      <w:r>
        <w:rPr>
          <w:rFonts w:hint="eastAsia" w:ascii="宋体" w:hAnsi="宋体" w:cs="宋体"/>
          <w:color w:val="auto"/>
          <w:kern w:val="0"/>
          <w:szCs w:val="21"/>
          <w:highlight w:val="none"/>
          <w:lang w:val="zh-CN"/>
        </w:rPr>
        <w:t>并根据《政府采购法实施条例》第十七条规定提供下列材料：</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（1）投标人的营业执照等证明文件，自然人的身份证明；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（2）法定代表人参加投标的，提供本人身份证复印件；法定代表人授权他人参加投标的，提供法定代表人委托授权书并出示被授权代表的身份证复印件；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（3）财务状况报告：</w:t>
      </w:r>
      <w:r>
        <w:rPr>
          <w:rFonts w:hint="eastAsia" w:ascii="宋体" w:hAnsi="宋体" w:cs="宋体"/>
          <w:color w:val="auto"/>
          <w:kern w:val="0"/>
          <w:szCs w:val="21"/>
          <w:highlight w:val="none"/>
        </w:rPr>
        <w:t>提供投标人</w:t>
      </w:r>
      <w:r>
        <w:rPr>
          <w:rFonts w:hint="eastAsia" w:ascii="宋体" w:hAnsi="宋体" w:cs="宋体"/>
          <w:color w:val="auto"/>
          <w:kern w:val="0"/>
          <w:szCs w:val="21"/>
          <w:highlight w:val="none"/>
          <w:lang w:val="en-US" w:eastAsia="zh-CN"/>
        </w:rPr>
        <w:t>2021</w:t>
      </w:r>
      <w:r>
        <w:rPr>
          <w:rFonts w:hint="eastAsia" w:ascii="宋体" w:hAnsi="宋体" w:cs="宋体"/>
          <w:color w:val="auto"/>
          <w:kern w:val="0"/>
          <w:szCs w:val="21"/>
          <w:highlight w:val="none"/>
        </w:rPr>
        <w:t>年度经审计的财务报告，或者提供开标前1个月内由</w:t>
      </w:r>
      <w:r>
        <w:rPr>
          <w:rFonts w:hint="eastAsia" w:ascii="宋体" w:hAnsi="宋体" w:cs="宋体"/>
          <w:color w:val="auto"/>
          <w:kern w:val="0"/>
          <w:szCs w:val="21"/>
          <w:highlight w:val="none"/>
          <w:lang w:val="en-US" w:eastAsia="zh-CN"/>
        </w:rPr>
        <w:t>开户</w:t>
      </w:r>
      <w:r>
        <w:rPr>
          <w:rFonts w:hint="eastAsia" w:ascii="宋体" w:hAnsi="宋体" w:cs="宋体"/>
          <w:color w:val="auto"/>
          <w:kern w:val="0"/>
          <w:szCs w:val="21"/>
          <w:highlight w:val="none"/>
        </w:rPr>
        <w:t>银行出具的资信证明</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（4）税收缴纳证明：提供投标人202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月至今</w:t>
      </w:r>
      <w:r>
        <w:rPr>
          <w:rFonts w:hint="eastAsia" w:ascii="宋体" w:hAnsi="宋体" w:cs="宋体"/>
          <w:color w:val="auto"/>
          <w:szCs w:val="21"/>
          <w:highlight w:val="none"/>
          <w:lang w:eastAsia="zh-CN"/>
        </w:rPr>
        <w:t>至少三</w:t>
      </w:r>
      <w:r>
        <w:rPr>
          <w:rFonts w:hint="eastAsia" w:ascii="宋体" w:hAnsi="宋体" w:cs="宋体"/>
          <w:color w:val="auto"/>
          <w:szCs w:val="21"/>
          <w:highlight w:val="none"/>
        </w:rPr>
        <w:t>个月已缴纳完税凭证或税务机关开具的完税证明（任意税种）；依法免税的应提供相关文件证明；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（5）社会保障资金缴纳证明：提供投标人20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月至今</w:t>
      </w:r>
      <w:r>
        <w:rPr>
          <w:rFonts w:hint="eastAsia" w:ascii="宋体" w:hAnsi="宋体" w:cs="宋体"/>
          <w:color w:val="auto"/>
          <w:szCs w:val="21"/>
          <w:highlight w:val="none"/>
          <w:lang w:eastAsia="zh-CN"/>
        </w:rPr>
        <w:t>至少三</w:t>
      </w:r>
      <w:r>
        <w:rPr>
          <w:rFonts w:hint="eastAsia" w:ascii="宋体" w:hAnsi="宋体" w:cs="宋体"/>
          <w:color w:val="auto"/>
          <w:szCs w:val="21"/>
          <w:highlight w:val="none"/>
        </w:rPr>
        <w:t>个月已缴纳的社会保障资金缴存单据或社保机构开具的社会保险参保缴费情况证明；依法不需要缴纳社会保障资金的应提供相关文件证明；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（6）提供投标人具备履行合同所必需的设备和专业技术能力的证明；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（7）参加本次招标前3年内，在经营活动中没有重大违法记录的书面声明；</w:t>
      </w:r>
    </w:p>
    <w:p>
      <w:pPr>
        <w:autoSpaceDE w:val="0"/>
        <w:autoSpaceDN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3.1.2 落实政府采购政策资格条件</w:t>
      </w:r>
      <w:r>
        <w:rPr>
          <w:rFonts w:hint="eastAsia" w:ascii="宋体" w:hAnsi="宋体"/>
          <w:color w:val="auto"/>
          <w:szCs w:val="21"/>
          <w:highlight w:val="none"/>
        </w:rPr>
        <w:t>。投标人应符合政府采购政策规定的中小企业条件，允许联合体投标的，联合体各方也应符合政府采购政策规定的中小企业条件，提供下列证明材料：</w:t>
      </w:r>
    </w:p>
    <w:p>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）《中小企业声明函》或者《残疾人福利性单位声明函》或者《监狱企业证明》。</w:t>
      </w:r>
    </w:p>
    <w:p>
      <w:pPr>
        <w:autoSpaceDE w:val="0"/>
        <w:autoSpaceDN w:val="0"/>
        <w:spacing w:line="360" w:lineRule="auto"/>
        <w:ind w:firstLine="422" w:firstLineChars="200"/>
        <w:rPr>
          <w:rFonts w:hint="eastAsia" w:ascii="宋体" w:hAnsi="宋体"/>
          <w:color w:val="auto"/>
          <w:szCs w:val="21"/>
          <w:highlight w:val="none"/>
        </w:rPr>
      </w:pPr>
      <w:r>
        <w:rPr>
          <w:rFonts w:hint="eastAsia" w:ascii="宋体" w:hAnsi="宋体" w:cs="宋体"/>
          <w:b/>
          <w:color w:val="auto"/>
          <w:kern w:val="0"/>
          <w:szCs w:val="21"/>
          <w:highlight w:val="none"/>
        </w:rPr>
        <w:t>3.1.3 特定资格条件。</w:t>
      </w:r>
      <w:r>
        <w:rPr>
          <w:rFonts w:hint="eastAsia" w:ascii="宋体" w:hAnsi="宋体" w:cs="宋体"/>
          <w:color w:val="auto"/>
          <w:kern w:val="0"/>
          <w:szCs w:val="21"/>
          <w:highlight w:val="none"/>
        </w:rPr>
        <w:t>本项目无特定资格条件。</w:t>
      </w:r>
    </w:p>
    <w:p>
      <w:pPr>
        <w:autoSpaceDE w:val="0"/>
        <w:autoSpaceDN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kern w:val="0"/>
          <w:szCs w:val="21"/>
          <w:highlight w:val="none"/>
        </w:rPr>
        <w:t>3.1.4 限定资格条件。</w:t>
      </w:r>
      <w:r>
        <w:rPr>
          <w:rFonts w:hint="eastAsia" w:ascii="宋体" w:hAnsi="宋体" w:cs="宋体"/>
          <w:color w:val="auto"/>
          <w:kern w:val="0"/>
          <w:szCs w:val="21"/>
          <w:highlight w:val="none"/>
        </w:rPr>
        <w:t>根据政府采购的法律法规、规章和规范性文件的规定，投标人不得存在本章第1.3.2规定的情形。</w:t>
      </w:r>
    </w:p>
    <w:p>
      <w:pPr>
        <w:autoSpaceDE w:val="0"/>
        <w:autoSpaceDN w:val="0"/>
        <w:spacing w:line="360" w:lineRule="auto"/>
        <w:ind w:firstLine="420" w:firstLineChars="200"/>
        <w:rPr>
          <w:rFonts w:ascii="宋体" w:hAnsi="宋体" w:cs="宋体"/>
          <w:color w:val="auto"/>
          <w:kern w:val="0"/>
          <w:szCs w:val="21"/>
          <w:highlight w:val="magent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）资格审查小组</w:t>
      </w:r>
      <w:r>
        <w:rPr>
          <w:rFonts w:hint="eastAsia" w:ascii="宋体" w:hAnsi="宋体"/>
          <w:color w:val="auto"/>
          <w:szCs w:val="21"/>
          <w:highlight w:val="none"/>
        </w:rPr>
        <w:t>将通过“信用中国”网站（www.creditchina.gov.cn）和中国政府采购网站（www.ccgp.gov.cn）查询投标人信用记录，被列入失信被执行人、重大税收违法案件当事人名单、政府采购严重违法失信行为记录名单的投标人将被拒绝参与本项目投标。</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3.1.5 投标人根据采购项目的具体情况，在投标文件正本中应附一套完整的资格证明材料，缺少一项或某项达不到招标文件要求的按无效投标文件处理，复印件加盖投标人单位公章；投标文件副本可采用正本的复印件并加盖投标人单位公章。</w:t>
      </w:r>
    </w:p>
    <w:p>
      <w:pPr>
        <w:autoSpaceDE w:val="0"/>
        <w:autoSpaceDN w:val="0"/>
        <w:spacing w:line="360" w:lineRule="auto"/>
        <w:ind w:firstLine="420" w:firstLineChars="200"/>
        <w:rPr>
          <w:rFonts w:hint="eastAsia" w:ascii="宋体" w:hAnsi="宋体"/>
          <w:b/>
          <w:color w:val="auto"/>
          <w:sz w:val="21"/>
          <w:szCs w:val="21"/>
          <w:highlight w:val="none"/>
        </w:rPr>
      </w:pPr>
      <w:r>
        <w:rPr>
          <w:rFonts w:hint="eastAsia" w:ascii="宋体" w:hAnsi="宋体" w:eastAsia="宋体" w:cs="宋体"/>
          <w:color w:val="auto"/>
          <w:kern w:val="0"/>
          <w:szCs w:val="21"/>
          <w:highlight w:val="none"/>
          <w:lang w:val="en-US" w:eastAsia="zh-CN"/>
        </w:rPr>
        <w:t>3.1.6分公司独立参与投标时，不能使用总公司的资质或业绩；总公司单独参与投标时，除总公司所投产品为分公司生产的产品外，不能使用分公司的资质或业绩。总公司授权分公司或分支机构参与投标，可以使用总公司的资质或业绩。</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3.2授权委托</w:t>
      </w:r>
    </w:p>
    <w:p>
      <w:pPr>
        <w:tabs>
          <w:tab w:val="left" w:pos="720"/>
        </w:tabs>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3.2.1投标人代表为法定代表人（单位负责人）的，应持有法定代表人（单位负责人）身份证明。投标人代表不是法定代表人（单位负责人）的，应持有法定代表人（单位负责人）授权委托书。</w:t>
      </w:r>
    </w:p>
    <w:p>
      <w:pPr>
        <w:tabs>
          <w:tab w:val="left" w:pos="720"/>
        </w:tabs>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3.2</w:t>
      </w:r>
      <w:r>
        <w:rPr>
          <w:rFonts w:ascii="宋体" w:hAnsi="宋体"/>
          <w:bCs/>
          <w:color w:val="auto"/>
          <w:szCs w:val="21"/>
          <w:highlight w:val="none"/>
        </w:rPr>
        <w:t>.2</w:t>
      </w:r>
      <w:r>
        <w:rPr>
          <w:rFonts w:hint="eastAsia" w:ascii="宋体" w:hAnsi="宋体"/>
          <w:bCs/>
          <w:color w:val="auto"/>
          <w:szCs w:val="21"/>
          <w:highlight w:val="none"/>
        </w:rPr>
        <w:t>投标</w:t>
      </w:r>
      <w:r>
        <w:rPr>
          <w:rFonts w:ascii="宋体" w:hAnsi="宋体"/>
          <w:bCs/>
          <w:color w:val="auto"/>
          <w:szCs w:val="21"/>
          <w:highlight w:val="none"/>
        </w:rPr>
        <w:t>人应</w:t>
      </w:r>
      <w:r>
        <w:rPr>
          <w:rFonts w:hint="eastAsia" w:ascii="宋体" w:hAnsi="宋体"/>
          <w:bCs/>
          <w:color w:val="auto"/>
          <w:szCs w:val="21"/>
          <w:highlight w:val="none"/>
        </w:rPr>
        <w:t>当</w:t>
      </w:r>
      <w:r>
        <w:rPr>
          <w:rFonts w:ascii="宋体" w:hAnsi="宋体"/>
          <w:bCs/>
          <w:color w:val="auto"/>
          <w:szCs w:val="21"/>
          <w:highlight w:val="none"/>
        </w:rPr>
        <w:t>委托本单位正式员工</w:t>
      </w:r>
      <w:r>
        <w:rPr>
          <w:rFonts w:hint="eastAsia" w:ascii="宋体" w:hAnsi="宋体"/>
          <w:bCs/>
          <w:color w:val="auto"/>
          <w:szCs w:val="21"/>
          <w:highlight w:val="none"/>
        </w:rPr>
        <w:t>作为投标人代表，且投标</w:t>
      </w:r>
      <w:r>
        <w:rPr>
          <w:rFonts w:ascii="宋体" w:hAnsi="宋体"/>
          <w:bCs/>
          <w:color w:val="auto"/>
          <w:szCs w:val="21"/>
          <w:highlight w:val="none"/>
        </w:rPr>
        <w:t>人代表只能接受一个</w:t>
      </w:r>
      <w:r>
        <w:rPr>
          <w:rFonts w:hint="eastAsia" w:ascii="宋体" w:hAnsi="宋体"/>
          <w:bCs/>
          <w:color w:val="auto"/>
          <w:szCs w:val="21"/>
          <w:highlight w:val="none"/>
        </w:rPr>
        <w:t>投标</w:t>
      </w:r>
      <w:r>
        <w:rPr>
          <w:rFonts w:ascii="宋体" w:hAnsi="宋体"/>
          <w:bCs/>
          <w:color w:val="auto"/>
          <w:szCs w:val="21"/>
          <w:highlight w:val="none"/>
        </w:rPr>
        <w:t>人的委托参加</w:t>
      </w:r>
      <w:r>
        <w:rPr>
          <w:rFonts w:hint="eastAsia" w:ascii="宋体" w:hAnsi="宋体"/>
          <w:bCs/>
          <w:color w:val="auto"/>
          <w:szCs w:val="21"/>
          <w:highlight w:val="none"/>
        </w:rPr>
        <w:t>投标</w:t>
      </w:r>
      <w:r>
        <w:rPr>
          <w:rFonts w:ascii="宋体" w:hAnsi="宋体"/>
          <w:bCs/>
          <w:color w:val="auto"/>
          <w:szCs w:val="21"/>
          <w:highlight w:val="none"/>
        </w:rPr>
        <w:t>。</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3.3联合体投标</w:t>
      </w:r>
    </w:p>
    <w:p>
      <w:pPr>
        <w:adjustRightInd w:val="0"/>
        <w:snapToGrid w:val="0"/>
        <w:spacing w:before="120" w:beforeLines="50" w:after="120" w:after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本项目不接受联合体投标。</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3.4享受的政府采购政策</w:t>
      </w:r>
    </w:p>
    <w:p>
      <w:pPr>
        <w:pStyle w:val="15"/>
        <w:adjustRightInd w:val="0"/>
        <w:snapToGrid w:val="0"/>
        <w:spacing w:line="360" w:lineRule="auto"/>
        <w:ind w:firstLine="422" w:firstLineChars="200"/>
        <w:rPr>
          <w:rFonts w:hint="eastAsia"/>
          <w:b/>
          <w:color w:val="auto"/>
          <w:highlight w:val="none"/>
        </w:rPr>
      </w:pPr>
      <w:r>
        <w:rPr>
          <w:rFonts w:hint="eastAsia"/>
          <w:b/>
          <w:color w:val="auto"/>
          <w:highlight w:val="none"/>
        </w:rPr>
        <w:t>3.4.1 绿色发展政策</w:t>
      </w:r>
    </w:p>
    <w:p>
      <w:pPr>
        <w:pStyle w:val="15"/>
        <w:adjustRightInd w:val="0"/>
        <w:snapToGrid w:val="0"/>
        <w:spacing w:line="360" w:lineRule="auto"/>
        <w:ind w:firstLine="630" w:firstLineChars="300"/>
        <w:rPr>
          <w:rFonts w:hint="eastAsia"/>
          <w:color w:val="auto"/>
          <w:highlight w:val="none"/>
        </w:rPr>
      </w:pPr>
      <w:r>
        <w:rPr>
          <w:rFonts w:hint="eastAsia"/>
          <w:color w:val="auto"/>
          <w:highlight w:val="none"/>
        </w:rPr>
        <w:t>3.4.1.1 若本项目（包）包括提供货物（产品）的，则适用本条。</w:t>
      </w:r>
    </w:p>
    <w:p>
      <w:pPr>
        <w:pStyle w:val="15"/>
        <w:adjustRightInd w:val="0"/>
        <w:snapToGrid w:val="0"/>
        <w:spacing w:line="360" w:lineRule="auto"/>
        <w:ind w:firstLine="630" w:firstLineChars="300"/>
        <w:rPr>
          <w:rFonts w:hint="eastAsia" w:hAnsi="宋体"/>
          <w:color w:val="auto"/>
          <w:highlight w:val="none"/>
        </w:rPr>
      </w:pPr>
      <w:r>
        <w:rPr>
          <w:rFonts w:hint="eastAsia"/>
          <w:color w:val="auto"/>
          <w:highlight w:val="none"/>
        </w:rPr>
        <w:t>3.4.1.2 投标人所投产品，将</w:t>
      </w:r>
      <w:r>
        <w:rPr>
          <w:rFonts w:hint="eastAsia" w:hAnsi="宋体"/>
          <w:color w:val="auto"/>
          <w:highlight w:val="none"/>
        </w:rPr>
        <w:t>依据《节能产品、环境标志产品品目清单》和认证证书实施政府优先采购和强制采购。</w:t>
      </w:r>
    </w:p>
    <w:p>
      <w:pPr>
        <w:pStyle w:val="15"/>
        <w:adjustRightInd w:val="0"/>
        <w:snapToGrid w:val="0"/>
        <w:spacing w:line="360" w:lineRule="auto"/>
        <w:ind w:firstLine="630" w:firstLineChars="300"/>
        <w:rPr>
          <w:rFonts w:hint="eastAsia"/>
          <w:color w:val="auto"/>
          <w:highlight w:val="none"/>
        </w:rPr>
      </w:pPr>
      <w:r>
        <w:rPr>
          <w:rFonts w:hint="eastAsia"/>
          <w:color w:val="auto"/>
          <w:highlight w:val="none"/>
        </w:rPr>
        <w:t>3.4.1.3 投标人可提供所投产品经</w:t>
      </w:r>
      <w:r>
        <w:rPr>
          <w:rFonts w:hint="eastAsia" w:hAnsi="宋体"/>
          <w:color w:val="auto"/>
          <w:highlight w:val="none"/>
        </w:rPr>
        <w:t>国家确定的认证机构出具的、处于有效期之内的节能产品、环境标志产品认证证书复印件。采购代理机构通过中国政府采购网（</w:t>
      </w:r>
      <w:r>
        <w:rPr>
          <w:rFonts w:hAnsi="宋体"/>
          <w:color w:val="auto"/>
          <w:highlight w:val="none"/>
        </w:rPr>
        <w:fldChar w:fldCharType="begin"/>
      </w:r>
      <w:r>
        <w:rPr>
          <w:rFonts w:hAnsi="宋体"/>
          <w:color w:val="auto"/>
          <w:highlight w:val="none"/>
        </w:rPr>
        <w:instrText xml:space="preserve"> HYPERLINK "</w:instrText>
      </w:r>
      <w:r>
        <w:rPr>
          <w:rFonts w:hint="eastAsia" w:hAnsi="宋体"/>
          <w:color w:val="auto"/>
          <w:highlight w:val="none"/>
        </w:rPr>
        <w:instrText xml:space="preserve">http://www.ccgp.gov.cn/</w:instrText>
      </w:r>
      <w:r>
        <w:rPr>
          <w:rFonts w:hAnsi="宋体"/>
          <w:color w:val="auto"/>
          <w:highlight w:val="none"/>
        </w:rPr>
        <w:instrText xml:space="preserve">" </w:instrText>
      </w:r>
      <w:r>
        <w:rPr>
          <w:rFonts w:hAnsi="宋体"/>
          <w:color w:val="auto"/>
          <w:highlight w:val="none"/>
        </w:rPr>
        <w:fldChar w:fldCharType="separate"/>
      </w:r>
      <w:r>
        <w:rPr>
          <w:rStyle w:val="40"/>
          <w:rFonts w:hint="eastAsia" w:hAnsi="宋体"/>
          <w:color w:val="auto"/>
          <w:highlight w:val="none"/>
        </w:rPr>
        <w:t>http://www.ccgp.gov.cn/</w:t>
      </w:r>
      <w:r>
        <w:rPr>
          <w:rFonts w:hAnsi="宋体"/>
          <w:color w:val="auto"/>
          <w:highlight w:val="none"/>
        </w:rPr>
        <w:fldChar w:fldCharType="end"/>
      </w:r>
      <w:r>
        <w:rPr>
          <w:rFonts w:hint="eastAsia" w:hAnsi="宋体"/>
          <w:color w:val="auto"/>
          <w:highlight w:val="none"/>
        </w:rPr>
        <w:t>）对获证产品信息进行核对。</w:t>
      </w:r>
    </w:p>
    <w:p>
      <w:pPr>
        <w:pStyle w:val="15"/>
        <w:adjustRightInd w:val="0"/>
        <w:snapToGrid w:val="0"/>
        <w:spacing w:line="360" w:lineRule="auto"/>
        <w:ind w:firstLine="630" w:firstLineChars="300"/>
        <w:rPr>
          <w:rFonts w:hint="eastAsia"/>
          <w:color w:val="auto"/>
          <w:highlight w:val="none"/>
        </w:rPr>
      </w:pPr>
      <w:r>
        <w:rPr>
          <w:rFonts w:hint="eastAsia" w:hAnsi="宋体"/>
          <w:color w:val="auto"/>
          <w:highlight w:val="none"/>
        </w:rPr>
        <w:t>3.4.1.4 投标人所投产品属于下列情形之一的，属于优先采购的不再享受优先采购政策，或者属于强制采购的按无效投标文件处理：</w:t>
      </w:r>
    </w:p>
    <w:p>
      <w:pPr>
        <w:pStyle w:val="15"/>
        <w:adjustRightInd w:val="0"/>
        <w:snapToGrid w:val="0"/>
        <w:spacing w:line="360" w:lineRule="auto"/>
        <w:ind w:firstLine="420" w:firstLineChars="200"/>
        <w:rPr>
          <w:rFonts w:hint="eastAsia" w:ascii="宋体" w:hAnsi="宋体" w:eastAsia="宋体" w:cs="Courier New"/>
          <w:color w:val="auto"/>
          <w:highlight w:val="none"/>
        </w:rPr>
      </w:pPr>
      <w:r>
        <w:rPr>
          <w:rFonts w:hint="eastAsia" w:ascii="宋体" w:hAnsi="宋体" w:eastAsia="宋体" w:cs="Courier New"/>
          <w:color w:val="auto"/>
          <w:highlight w:val="none"/>
        </w:rPr>
        <w:t>（1）不属于《节能产品、环境标志产品品目清单》中的产品；</w:t>
      </w:r>
    </w:p>
    <w:p>
      <w:pPr>
        <w:pStyle w:val="15"/>
        <w:adjustRightInd w:val="0"/>
        <w:snapToGrid w:val="0"/>
        <w:spacing w:line="360" w:lineRule="auto"/>
        <w:ind w:firstLine="420" w:firstLineChars="200"/>
        <w:rPr>
          <w:rFonts w:hint="eastAsia" w:ascii="宋体" w:hAnsi="宋体" w:eastAsia="宋体" w:cs="Courier New"/>
          <w:color w:val="auto"/>
          <w:highlight w:val="none"/>
          <w:lang w:eastAsia="zh-CN"/>
        </w:rPr>
      </w:pPr>
      <w:r>
        <w:rPr>
          <w:rFonts w:hint="eastAsia" w:ascii="宋体" w:hAnsi="宋体" w:eastAsia="宋体" w:cs="Courier New"/>
          <w:color w:val="auto"/>
          <w:highlight w:val="none"/>
        </w:rPr>
        <w:t>（2）未提供认证证书复印件或经核对认证证书存在信息有误的</w:t>
      </w:r>
      <w:r>
        <w:rPr>
          <w:rFonts w:hint="eastAsia" w:ascii="宋体" w:hAnsi="宋体" w:eastAsia="宋体" w:cs="Courier New"/>
          <w:color w:val="auto"/>
          <w:highlight w:val="none"/>
          <w:lang w:eastAsia="zh-CN"/>
        </w:rPr>
        <w:t>；</w:t>
      </w:r>
    </w:p>
    <w:p>
      <w:pPr>
        <w:pStyle w:val="15"/>
        <w:adjustRightInd w:val="0"/>
        <w:snapToGrid w:val="0"/>
        <w:spacing w:line="360" w:lineRule="auto"/>
        <w:ind w:firstLine="420" w:firstLineChars="200"/>
        <w:rPr>
          <w:rFonts w:hint="eastAsia" w:ascii="宋体" w:hAnsi="宋体" w:eastAsia="宋体" w:cs="Courier New"/>
          <w:color w:val="auto"/>
          <w:highlight w:val="none"/>
          <w:lang w:eastAsia="zh-CN"/>
        </w:rPr>
      </w:pPr>
      <w:r>
        <w:rPr>
          <w:rFonts w:hint="eastAsia" w:ascii="宋体" w:hAnsi="宋体" w:eastAsia="宋体" w:cs="Courier New"/>
          <w:color w:val="auto"/>
          <w:highlight w:val="none"/>
          <w:lang w:eastAsia="zh-CN"/>
        </w:rPr>
        <w:t>（</w:t>
      </w:r>
      <w:r>
        <w:rPr>
          <w:rFonts w:hint="eastAsia" w:ascii="宋体" w:hAnsi="宋体" w:eastAsia="宋体" w:cs="Courier New"/>
          <w:color w:val="auto"/>
          <w:highlight w:val="none"/>
          <w:lang w:val="en-US" w:eastAsia="zh-CN"/>
        </w:rPr>
        <w:t>3</w:t>
      </w:r>
      <w:r>
        <w:rPr>
          <w:rFonts w:hint="eastAsia" w:ascii="宋体" w:hAnsi="宋体" w:eastAsia="宋体" w:cs="Courier New"/>
          <w:color w:val="auto"/>
          <w:highlight w:val="none"/>
          <w:lang w:eastAsia="zh-CN"/>
        </w:rPr>
        <w:t>）认证证书过期的。</w:t>
      </w:r>
    </w:p>
    <w:p>
      <w:pPr>
        <w:adjustRightInd w:val="0"/>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3.4.2 中小企业发展政策</w:t>
      </w:r>
    </w:p>
    <w:p>
      <w:pPr>
        <w:widowControl/>
        <w:spacing w:line="360" w:lineRule="auto"/>
        <w:ind w:firstLine="630" w:firstLineChars="300"/>
        <w:jc w:val="left"/>
        <w:rPr>
          <w:rFonts w:hint="eastAsia"/>
          <w:color w:val="auto"/>
          <w:szCs w:val="21"/>
          <w:highlight w:val="none"/>
        </w:rPr>
      </w:pPr>
      <w:r>
        <w:rPr>
          <w:rFonts w:hint="eastAsia" w:ascii="宋体" w:hAnsi="宋体"/>
          <w:color w:val="auto"/>
          <w:szCs w:val="21"/>
          <w:highlight w:val="none"/>
        </w:rPr>
        <w:t>3.4</w:t>
      </w:r>
      <w:r>
        <w:rPr>
          <w:rFonts w:hint="eastAsia" w:ascii="宋体" w:hAnsi="宋体"/>
          <w:b/>
          <w:color w:val="auto"/>
          <w:szCs w:val="21"/>
          <w:highlight w:val="none"/>
        </w:rPr>
        <w:t>.</w:t>
      </w:r>
      <w:r>
        <w:rPr>
          <w:rFonts w:hint="eastAsia" w:ascii="宋体" w:hAnsi="宋体"/>
          <w:color w:val="auto"/>
          <w:szCs w:val="21"/>
          <w:highlight w:val="none"/>
        </w:rPr>
        <w:t>2.1投标人依据《中小企业划型标准规定》（工信部联企业[2011]300号）、</w:t>
      </w:r>
      <w:r>
        <w:rPr>
          <w:rFonts w:hint="eastAsia" w:ascii="宋体" w:hAnsi="宋体" w:cs="宋体"/>
          <w:color w:val="auto"/>
          <w:kern w:val="0"/>
          <w:szCs w:val="21"/>
          <w:highlight w:val="none"/>
        </w:rPr>
        <w:t>《金融业企业划型标准规定》（</w:t>
      </w:r>
      <w:r>
        <w:rPr>
          <w:rFonts w:hint="eastAsia" w:ascii="宋体" w:hAnsi="宋体" w:cs="宋体"/>
          <w:bCs/>
          <w:color w:val="auto"/>
          <w:kern w:val="0"/>
          <w:szCs w:val="21"/>
          <w:highlight w:val="none"/>
        </w:rPr>
        <w:t>银发〔2015〕309号</w:t>
      </w:r>
      <w:r>
        <w:rPr>
          <w:rFonts w:hint="eastAsia" w:ascii="宋体" w:hAnsi="宋体" w:cs="宋体"/>
          <w:b/>
          <w:bCs/>
          <w:color w:val="auto"/>
          <w:kern w:val="0"/>
          <w:szCs w:val="21"/>
          <w:highlight w:val="none"/>
        </w:rPr>
        <w:t>）</w:t>
      </w:r>
      <w:r>
        <w:rPr>
          <w:rFonts w:hint="eastAsia" w:ascii="宋体" w:hAnsi="宋体"/>
          <w:color w:val="auto"/>
          <w:szCs w:val="21"/>
          <w:highlight w:val="none"/>
        </w:rPr>
        <w:t>的划分标准，属于中小企业的，</w:t>
      </w:r>
      <w:r>
        <w:rPr>
          <w:rFonts w:hint="eastAsia"/>
          <w:color w:val="auto"/>
          <w:szCs w:val="21"/>
          <w:highlight w:val="none"/>
        </w:rPr>
        <w:t>可享受中小型企业发展扶持政策(</w:t>
      </w:r>
      <w:r>
        <w:rPr>
          <w:rFonts w:hint="eastAsia"/>
          <w:color w:val="auto"/>
          <w:szCs w:val="21"/>
          <w:highlight w:val="none"/>
          <w:u w:val="single"/>
        </w:rPr>
        <w:t>如为专门面向中小企业的采购项目（或采购包），不执行价格扣除或加分</w:t>
      </w:r>
      <w:r>
        <w:rPr>
          <w:rFonts w:hint="eastAsia"/>
          <w:color w:val="auto"/>
          <w:szCs w:val="21"/>
          <w:highlight w:val="none"/>
        </w:rPr>
        <w:t>)。</w:t>
      </w:r>
    </w:p>
    <w:p>
      <w:pPr>
        <w:widowControl/>
        <w:spacing w:line="360" w:lineRule="auto"/>
        <w:ind w:firstLine="630" w:firstLineChars="300"/>
        <w:jc w:val="left"/>
        <w:rPr>
          <w:rFonts w:hint="eastAsia" w:ascii="宋体" w:hAnsi="宋体"/>
          <w:color w:val="auto"/>
          <w:szCs w:val="21"/>
          <w:highlight w:val="none"/>
        </w:rPr>
      </w:pPr>
      <w:r>
        <w:rPr>
          <w:rFonts w:hint="eastAsia"/>
          <w:color w:val="auto"/>
          <w:szCs w:val="21"/>
          <w:highlight w:val="none"/>
        </w:rPr>
        <w:t>若本项目包括采购货物的，无论货物制造商是否属于中小企业，均不影响投标人享受中小型企业发展扶持政策(</w:t>
      </w:r>
      <w:r>
        <w:rPr>
          <w:rFonts w:hint="eastAsia"/>
          <w:color w:val="auto"/>
          <w:szCs w:val="21"/>
          <w:highlight w:val="none"/>
          <w:u w:val="single"/>
        </w:rPr>
        <w:t>如为专门面向中小企业的采购项目（或采购包），不执行价格扣除或加分</w:t>
      </w:r>
      <w:r>
        <w:rPr>
          <w:rFonts w:hint="eastAsia"/>
          <w:color w:val="auto"/>
          <w:szCs w:val="21"/>
          <w:highlight w:val="none"/>
        </w:rPr>
        <w:t>)。</w:t>
      </w:r>
    </w:p>
    <w:p>
      <w:pPr>
        <w:adjustRightInd w:val="0"/>
        <w:snapToGrid w:val="0"/>
        <w:spacing w:line="360" w:lineRule="auto"/>
        <w:ind w:firstLine="630" w:firstLineChars="300"/>
        <w:rPr>
          <w:rFonts w:hint="eastAsia" w:hAnsi="宋体"/>
          <w:color w:val="auto"/>
          <w:highlight w:val="none"/>
        </w:rPr>
      </w:pPr>
      <w:r>
        <w:rPr>
          <w:rFonts w:hint="eastAsia" w:ascii="宋体" w:hAnsi="宋体"/>
          <w:color w:val="auto"/>
          <w:highlight w:val="none"/>
        </w:rPr>
        <w:t>3.4.2.2</w:t>
      </w:r>
      <w:r>
        <w:rPr>
          <w:rFonts w:hint="eastAsia" w:hAnsi="宋体"/>
          <w:color w:val="auto"/>
          <w:highlight w:val="none"/>
        </w:rPr>
        <w:t>投标人作为中小企业参加政府采购活动，应当提供《中小企业声明函》（见第七章投标文件格式），不提供的在资格审查时不予通过，</w:t>
      </w:r>
      <w:r>
        <w:rPr>
          <w:rFonts w:hint="eastAsia" w:hAnsi="宋体"/>
          <w:b/>
          <w:color w:val="auto"/>
          <w:highlight w:val="none"/>
        </w:rPr>
        <w:t>其投标无效</w:t>
      </w:r>
      <w:r>
        <w:rPr>
          <w:rFonts w:hint="eastAsia" w:hAnsi="宋体"/>
          <w:color w:val="auto"/>
          <w:highlight w:val="none"/>
        </w:rPr>
        <w:t>。</w:t>
      </w:r>
    </w:p>
    <w:p>
      <w:pPr>
        <w:adjustRightInd w:val="0"/>
        <w:snapToGrid w:val="0"/>
        <w:spacing w:line="360" w:lineRule="auto"/>
        <w:ind w:firstLine="630" w:firstLineChars="300"/>
        <w:rPr>
          <w:rFonts w:hint="eastAsia" w:hAnsi="宋体"/>
          <w:color w:val="auto"/>
          <w:highlight w:val="none"/>
        </w:rPr>
      </w:pPr>
      <w:r>
        <w:rPr>
          <w:rFonts w:hint="eastAsia" w:ascii="宋体" w:hAnsi="宋体"/>
          <w:color w:val="auto"/>
          <w:highlight w:val="none"/>
        </w:rPr>
        <w:t>3.4.2.3</w:t>
      </w:r>
      <w:r>
        <w:rPr>
          <w:rFonts w:hint="eastAsia" w:hAnsi="宋体"/>
          <w:color w:val="auto"/>
          <w:highlight w:val="none"/>
        </w:rPr>
        <w:t xml:space="preserve"> 依据《财政部、司法部关于政府采购支持监狱企业发展有关问题的通知》（财库</w:t>
      </w:r>
      <w:r>
        <w:rPr>
          <w:rFonts w:hint="eastAsia" w:ascii="宋体" w:hAnsi="宋体"/>
          <w:color w:val="auto"/>
          <w:highlight w:val="none"/>
        </w:rPr>
        <w:t>〔2014〕68</w:t>
      </w:r>
      <w:r>
        <w:rPr>
          <w:rFonts w:hint="eastAsia" w:hAnsi="宋体"/>
          <w:color w:val="auto"/>
          <w:highlight w:val="none"/>
        </w:rPr>
        <w:t>号）之规定，监狱企业参加政府采购活动，视同小微企业。</w:t>
      </w:r>
    </w:p>
    <w:p>
      <w:pPr>
        <w:pStyle w:val="15"/>
        <w:adjustRightInd w:val="0"/>
        <w:snapToGrid w:val="0"/>
        <w:spacing w:line="360" w:lineRule="auto"/>
        <w:ind w:firstLine="630" w:firstLineChars="300"/>
        <w:rPr>
          <w:rFonts w:hint="eastAsia" w:ascii="方正仿宋_GBK" w:hAnsi="宋体" w:eastAsia="方正仿宋_GBK"/>
          <w:color w:val="auto"/>
          <w:highlight w:val="none"/>
        </w:rPr>
      </w:pPr>
      <w:r>
        <w:rPr>
          <w:rFonts w:hint="eastAsia" w:hAnsi="宋体"/>
          <w:color w:val="auto"/>
          <w:highlight w:val="none"/>
        </w:rPr>
        <w:t>投标人为监狱企业的，应当提供由省级以上监狱管理局、戒毒管理局出具的属于监狱企业的证明文件，未提供或</w:t>
      </w:r>
      <w:r>
        <w:rPr>
          <w:rFonts w:hint="eastAsia" w:hAnsi="宋体" w:cs="宋体"/>
          <w:color w:val="auto"/>
          <w:kern w:val="0"/>
          <w:highlight w:val="none"/>
        </w:rPr>
        <w:t>出具证明文件的单位不符合要求</w:t>
      </w:r>
      <w:r>
        <w:rPr>
          <w:rFonts w:hint="eastAsia" w:hAnsi="宋体"/>
          <w:color w:val="auto"/>
          <w:highlight w:val="none"/>
        </w:rPr>
        <w:t>的，不视为小微企业，在资格审查时不予通过，</w:t>
      </w:r>
      <w:r>
        <w:rPr>
          <w:rFonts w:hint="eastAsia" w:hAnsi="宋体"/>
          <w:b/>
          <w:color w:val="auto"/>
          <w:highlight w:val="none"/>
        </w:rPr>
        <w:t>其投标无效</w:t>
      </w:r>
      <w:r>
        <w:rPr>
          <w:rFonts w:hint="eastAsia" w:hAnsi="宋体"/>
          <w:color w:val="auto"/>
          <w:highlight w:val="none"/>
        </w:rPr>
        <w:t>。</w:t>
      </w:r>
    </w:p>
    <w:p>
      <w:pPr>
        <w:pStyle w:val="15"/>
        <w:adjustRightInd w:val="0"/>
        <w:snapToGrid w:val="0"/>
        <w:spacing w:line="360" w:lineRule="auto"/>
        <w:ind w:firstLine="630" w:firstLineChars="300"/>
        <w:rPr>
          <w:rFonts w:hint="eastAsia" w:hAnsi="宋体"/>
          <w:color w:val="auto"/>
          <w:highlight w:val="none"/>
        </w:rPr>
      </w:pPr>
      <w:r>
        <w:rPr>
          <w:rFonts w:hint="eastAsia" w:hAnsi="宋体"/>
          <w:color w:val="auto"/>
          <w:highlight w:val="none"/>
        </w:rPr>
        <w:t>3.4.2.4依据</w:t>
      </w:r>
      <w:r>
        <w:rPr>
          <w:rFonts w:hint="eastAsia" w:hAnsi="宋体"/>
          <w:color w:val="auto"/>
          <w:spacing w:val="6"/>
          <w:highlight w:val="none"/>
        </w:rPr>
        <w:t>《财政部、民政部、中国残疾人联合会关于促进残疾人就业政府采购政策的通知》（财库</w:t>
      </w:r>
      <w:r>
        <w:rPr>
          <w:rFonts w:hint="eastAsia" w:hAnsi="宋体"/>
          <w:color w:val="auto"/>
          <w:highlight w:val="none"/>
        </w:rPr>
        <w:t>〔</w:t>
      </w:r>
      <w:r>
        <w:rPr>
          <w:rFonts w:hAnsi="宋体"/>
          <w:color w:val="auto"/>
          <w:highlight w:val="none"/>
        </w:rPr>
        <w:t>2017</w:t>
      </w:r>
      <w:r>
        <w:rPr>
          <w:rFonts w:hint="eastAsia" w:hAnsi="宋体"/>
          <w:color w:val="auto"/>
          <w:highlight w:val="none"/>
        </w:rPr>
        <w:t>〕</w:t>
      </w:r>
      <w:r>
        <w:rPr>
          <w:rFonts w:hAnsi="宋体"/>
          <w:color w:val="auto"/>
          <w:highlight w:val="none"/>
        </w:rPr>
        <w:t>141</w:t>
      </w:r>
      <w:r>
        <w:rPr>
          <w:rFonts w:hint="eastAsia" w:hAnsi="宋体"/>
          <w:color w:val="auto"/>
          <w:spacing w:val="6"/>
          <w:highlight w:val="none"/>
        </w:rPr>
        <w:t>号）之规定，</w:t>
      </w:r>
      <w:r>
        <w:rPr>
          <w:rFonts w:hint="eastAsia" w:hAnsi="宋体" w:cs="宋体"/>
          <w:color w:val="auto"/>
          <w:kern w:val="0"/>
          <w:highlight w:val="none"/>
        </w:rPr>
        <w:t>残疾人福利性单位</w:t>
      </w:r>
      <w:r>
        <w:rPr>
          <w:rFonts w:hint="eastAsia" w:hAnsi="宋体"/>
          <w:color w:val="auto"/>
          <w:highlight w:val="none"/>
        </w:rPr>
        <w:t>参加政府采购活动，视同小微企业。</w:t>
      </w:r>
    </w:p>
    <w:p>
      <w:pPr>
        <w:pStyle w:val="15"/>
        <w:adjustRightInd w:val="0"/>
        <w:snapToGrid w:val="0"/>
        <w:spacing w:line="360" w:lineRule="auto"/>
        <w:ind w:firstLine="630" w:firstLineChars="300"/>
        <w:rPr>
          <w:rFonts w:hint="eastAsia" w:hAnsi="宋体" w:cs="宋体"/>
          <w:color w:val="auto"/>
          <w:kern w:val="0"/>
          <w:highlight w:val="none"/>
        </w:rPr>
      </w:pPr>
      <w:r>
        <w:rPr>
          <w:rFonts w:hint="eastAsia" w:hAnsi="宋体"/>
          <w:color w:val="auto"/>
          <w:highlight w:val="none"/>
        </w:rPr>
        <w:t>投标人为残疾人福利性单位的，应当提供《残疾人福利性单位声明函》，未提供的不视为小微企业，在资格审查时不予通过，</w:t>
      </w:r>
      <w:r>
        <w:rPr>
          <w:rFonts w:hint="eastAsia" w:hAnsi="宋体"/>
          <w:b/>
          <w:color w:val="auto"/>
          <w:highlight w:val="none"/>
        </w:rPr>
        <w:t>其投标无效</w:t>
      </w:r>
      <w:r>
        <w:rPr>
          <w:rFonts w:hint="eastAsia" w:hAnsi="宋体"/>
          <w:color w:val="auto"/>
          <w:highlight w:val="none"/>
        </w:rPr>
        <w:t>。</w:t>
      </w:r>
      <w:r>
        <w:rPr>
          <w:rFonts w:hint="eastAsia" w:hAnsi="宋体" w:cs="宋体"/>
          <w:color w:val="auto"/>
          <w:kern w:val="0"/>
          <w:highlight w:val="none"/>
        </w:rPr>
        <w:t xml:space="preserve"> </w:t>
      </w:r>
    </w:p>
    <w:p>
      <w:pPr>
        <w:pStyle w:val="15"/>
        <w:adjustRightInd w:val="0"/>
        <w:snapToGrid w:val="0"/>
        <w:spacing w:line="360" w:lineRule="auto"/>
        <w:ind w:firstLine="630" w:firstLineChars="300"/>
        <w:rPr>
          <w:rFonts w:hint="eastAsia" w:hAnsi="宋体"/>
          <w:color w:val="auto"/>
          <w:highlight w:val="none"/>
        </w:rPr>
      </w:pPr>
      <w:r>
        <w:rPr>
          <w:rFonts w:hint="eastAsia" w:hAnsi="宋体"/>
          <w:color w:val="auto"/>
          <w:highlight w:val="none"/>
        </w:rPr>
        <w:t>3.4.2.5 以联合体形式参加政府采购活动，联合体各方应均为中小企业，联合体牵头方应当提供《中小企业声明函》，未提供的在资格审查时不予通过，</w:t>
      </w:r>
      <w:r>
        <w:rPr>
          <w:rFonts w:hint="eastAsia" w:hAnsi="宋体"/>
          <w:b/>
          <w:color w:val="auto"/>
          <w:highlight w:val="none"/>
        </w:rPr>
        <w:t>其投标无效</w:t>
      </w:r>
      <w:r>
        <w:rPr>
          <w:rFonts w:hint="eastAsia" w:hAnsi="宋体"/>
          <w:color w:val="auto"/>
          <w:highlight w:val="none"/>
        </w:rPr>
        <w:t>。</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3.4.2.6 政府采购监督检查、投诉处理及政府采购行政处罚中对中小企业的认定，由服务商注册登记所在地的县级以上人民政府中小企业主管部门负责。</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3.5转包与分包</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中标人转包的，视同拒绝履行政府采购合同业务，将依法追究法律责任。</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3.5.2本项目严禁采取分包方式履行合同。中标人分包的，视同拒绝履行政府采购合同业务，将依法追究法律责任。</w:t>
      </w:r>
    </w:p>
    <w:p>
      <w:pPr>
        <w:widowControl/>
        <w:shd w:val="clear" w:color="auto" w:fill="FFFFFF"/>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3.6投标人的风险</w:t>
      </w:r>
    </w:p>
    <w:p>
      <w:pPr>
        <w:tabs>
          <w:tab w:val="left" w:pos="7665"/>
        </w:tabs>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投标人应认真阅读和充分理解招标文件中所有的事项、格式条款和规范要求，任何对</w:t>
      </w:r>
      <w:r>
        <w:rPr>
          <w:rFonts w:hint="eastAsia" w:ascii="宋体" w:hAnsi="宋体"/>
          <w:bCs/>
          <w:color w:val="auto"/>
          <w:szCs w:val="21"/>
          <w:highlight w:val="none"/>
        </w:rPr>
        <w:t>招标</w:t>
      </w:r>
      <w:r>
        <w:rPr>
          <w:rFonts w:hint="eastAsia" w:ascii="宋体" w:hAnsi="宋体"/>
          <w:color w:val="auto"/>
          <w:szCs w:val="21"/>
          <w:highlight w:val="none"/>
        </w:rPr>
        <w:t>文件的忽略或误解不能作为投标文件存在缺陷或瑕疵的理由；投标人</w:t>
      </w:r>
      <w:r>
        <w:rPr>
          <w:rFonts w:hint="eastAsia" w:ascii="宋体" w:hAnsi="宋体" w:cs="宋体"/>
          <w:color w:val="auto"/>
          <w:kern w:val="0"/>
          <w:szCs w:val="21"/>
          <w:highlight w:val="none"/>
        </w:rPr>
        <w:t>没有按照招标文件要求提供全部资料，</w:t>
      </w:r>
      <w:r>
        <w:rPr>
          <w:rFonts w:hint="eastAsia" w:ascii="宋体" w:hAnsi="宋体"/>
          <w:color w:val="auto"/>
          <w:szCs w:val="21"/>
          <w:highlight w:val="none"/>
        </w:rPr>
        <w:t>或对招标文件全面做出实质性响应是投标人的风险，</w:t>
      </w:r>
      <w:r>
        <w:rPr>
          <w:rFonts w:hint="eastAsia" w:ascii="宋体" w:hAnsi="宋体" w:cs="宋体"/>
          <w:color w:val="auto"/>
          <w:kern w:val="0"/>
          <w:szCs w:val="21"/>
          <w:highlight w:val="none"/>
        </w:rPr>
        <w:t>并可能导致其投标文件被拒绝。</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3.7投标人的纪律要求</w:t>
      </w:r>
    </w:p>
    <w:p>
      <w:pPr>
        <w:pStyle w:val="6"/>
        <w:spacing w:line="360" w:lineRule="auto"/>
        <w:ind w:firstLineChars="200"/>
        <w:rPr>
          <w:rFonts w:hint="eastAsia"/>
          <w:color w:val="auto"/>
          <w:szCs w:val="21"/>
          <w:highlight w:val="none"/>
        </w:rPr>
      </w:pPr>
      <w:bookmarkStart w:id="78" w:name="_Toc11262"/>
      <w:r>
        <w:rPr>
          <w:rFonts w:hint="eastAsia"/>
          <w:color w:val="auto"/>
          <w:szCs w:val="21"/>
          <w:highlight w:val="none"/>
        </w:rPr>
        <w:t>有下列情形之一的，属于不合格投标人，其投标或中标资格将被取消：</w:t>
      </w:r>
    </w:p>
    <w:p>
      <w:pPr>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（1）提供虚假材料谋取中标；</w:t>
      </w:r>
    </w:p>
    <w:p>
      <w:pPr>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（2）提供假冒伪劣产品；</w:t>
      </w:r>
    </w:p>
    <w:p>
      <w:pPr>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（3）采取不正当手段诋毁、排挤其他投标人；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（4）与采购人、采购代理机构、其他投标人恶意串通；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（5）向采购人、采购代理机构、评标委员会成员行贿或者提供其他不正当利益；</w:t>
      </w:r>
    </w:p>
    <w:p>
      <w:pPr>
        <w:pStyle w:val="17"/>
        <w:tabs>
          <w:tab w:val="left" w:pos="720"/>
        </w:tabs>
        <w:spacing w:line="360" w:lineRule="auto"/>
        <w:ind w:firstLine="403" w:firstLineChars="192"/>
        <w:rPr>
          <w:rFonts w:hint="eastAsia" w:ascii="宋体" w:hAnsi="宋体"/>
          <w:color w:val="auto"/>
          <w:sz w:val="21"/>
          <w:szCs w:val="21"/>
          <w:highlight w:val="none"/>
        </w:rPr>
      </w:pPr>
      <w:r>
        <w:rPr>
          <w:rFonts w:hint="eastAsia" w:ascii="宋体" w:hAnsi="宋体"/>
          <w:color w:val="auto"/>
          <w:sz w:val="21"/>
          <w:szCs w:val="21"/>
          <w:highlight w:val="none"/>
        </w:rPr>
        <w:t>（6）在招标过程中与采购人、采购代理机构进行协商谈判；</w:t>
      </w:r>
    </w:p>
    <w:p>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（7）拒绝有关部门的监督检查或者向监督检查部门提供虚假情况；</w:t>
      </w:r>
    </w:p>
    <w:p>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（8）法律法规规定的其他情形。</w:t>
      </w:r>
    </w:p>
    <w:p>
      <w:pPr>
        <w:pStyle w:val="4"/>
        <w:spacing w:after="120" w:afterLines="50" w:line="360" w:lineRule="auto"/>
        <w:jc w:val="left"/>
        <w:rPr>
          <w:rFonts w:hint="eastAsia" w:ascii="宋体" w:hAnsi="宋体" w:eastAsia="宋体" w:cs="宋体"/>
          <w:bCs/>
          <w:color w:val="auto"/>
          <w:szCs w:val="28"/>
          <w:highlight w:val="none"/>
        </w:rPr>
      </w:pPr>
      <w:bookmarkStart w:id="79" w:name="_Toc19579"/>
      <w:r>
        <w:rPr>
          <w:rFonts w:hint="eastAsia" w:ascii="宋体" w:hAnsi="宋体" w:eastAsia="宋体" w:cs="宋体"/>
          <w:bCs/>
          <w:color w:val="auto"/>
          <w:szCs w:val="28"/>
          <w:highlight w:val="none"/>
        </w:rPr>
        <w:t>4.投标文件</w:t>
      </w:r>
      <w:bookmarkEnd w:id="78"/>
      <w:bookmarkEnd w:id="79"/>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4.1投标文件的编写原则和要求</w:t>
      </w:r>
    </w:p>
    <w:p>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w:t>
      </w:r>
      <w:r>
        <w:rPr>
          <w:rFonts w:hint="eastAsia" w:ascii="宋体" w:hAnsi="宋体"/>
          <w:b/>
          <w:color w:val="auto"/>
          <w:szCs w:val="21"/>
          <w:highlight w:val="none"/>
        </w:rPr>
        <w:t>投标无效</w:t>
      </w:r>
      <w:r>
        <w:rPr>
          <w:rFonts w:hint="eastAsia" w:ascii="宋体" w:hAnsi="宋体"/>
          <w:color w:val="auto"/>
          <w:szCs w:val="21"/>
          <w:highlight w:val="none"/>
        </w:rPr>
        <w:t>。</w:t>
      </w:r>
    </w:p>
    <w:p>
      <w:pPr>
        <w:tabs>
          <w:tab w:val="left" w:pos="720"/>
        </w:tabs>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4.1.2 真实性原则</w:t>
      </w:r>
    </w:p>
    <w:p>
      <w:pPr>
        <w:tabs>
          <w:tab w:val="left" w:pos="720"/>
        </w:tabs>
        <w:snapToGri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4.1.2.1 投标人应保证所提供的投标文件和所有资料的真实性、准确性和完整性。</w:t>
      </w:r>
    </w:p>
    <w:p>
      <w:pPr>
        <w:tabs>
          <w:tab w:val="left" w:pos="720"/>
        </w:tabs>
        <w:snapToGri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4.1.2.2 投标人被认定为在政府采购活动中提供不真实材料的，无论其材料是否重要，招标人均有权拒绝，并取消其投标或中标资格，投标人需承担相应的法律后果。</w:t>
      </w:r>
    </w:p>
    <w:p>
      <w:pPr>
        <w:tabs>
          <w:tab w:val="left" w:pos="720"/>
        </w:tabs>
        <w:snapToGrid w:val="0"/>
        <w:spacing w:line="360" w:lineRule="auto"/>
        <w:ind w:firstLine="480"/>
        <w:jc w:val="left"/>
        <w:rPr>
          <w:rFonts w:hint="eastAsia" w:ascii="宋体" w:hAnsi="宋体" w:cs="宋体"/>
          <w:b/>
          <w:color w:val="auto"/>
          <w:szCs w:val="21"/>
          <w:highlight w:val="none"/>
        </w:rPr>
      </w:pPr>
      <w:r>
        <w:rPr>
          <w:rFonts w:hint="eastAsia" w:ascii="宋体" w:hAnsi="宋体" w:cs="宋体"/>
          <w:b/>
          <w:color w:val="auto"/>
          <w:szCs w:val="21"/>
          <w:highlight w:val="none"/>
        </w:rPr>
        <w:t>4.1.3 投标货币</w:t>
      </w:r>
    </w:p>
    <w:p>
      <w:pPr>
        <w:tabs>
          <w:tab w:val="left" w:pos="720"/>
        </w:tabs>
        <w:snapToGri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本项目的投标均以人民币报价。</w:t>
      </w:r>
    </w:p>
    <w:p>
      <w:pPr>
        <w:tabs>
          <w:tab w:val="left" w:pos="720"/>
        </w:tabs>
        <w:snapToGrid w:val="0"/>
        <w:spacing w:line="360" w:lineRule="auto"/>
        <w:ind w:firstLine="424" w:firstLineChars="201"/>
        <w:jc w:val="left"/>
        <w:rPr>
          <w:rFonts w:hint="eastAsia" w:ascii="宋体" w:hAnsi="宋体" w:cs="宋体"/>
          <w:b/>
          <w:color w:val="auto"/>
          <w:highlight w:val="none"/>
        </w:rPr>
      </w:pPr>
      <w:r>
        <w:rPr>
          <w:rFonts w:hint="eastAsia" w:ascii="宋体" w:hAnsi="宋体" w:cs="宋体"/>
          <w:b/>
          <w:color w:val="auto"/>
          <w:highlight w:val="none"/>
        </w:rPr>
        <w:t>4.1.4 投标文件形式</w:t>
      </w:r>
    </w:p>
    <w:p>
      <w:pPr>
        <w:pStyle w:val="15"/>
        <w:adjustRightInd w:val="0"/>
        <w:snapToGrid w:val="0"/>
        <w:spacing w:line="360" w:lineRule="auto"/>
        <w:ind w:firstLine="630" w:firstLineChars="300"/>
        <w:rPr>
          <w:rFonts w:hint="eastAsia"/>
          <w:color w:val="auto"/>
          <w:highlight w:val="none"/>
        </w:rPr>
      </w:pPr>
      <w:r>
        <w:rPr>
          <w:rFonts w:hint="eastAsia" w:hAnsi="宋体"/>
          <w:color w:val="auto"/>
          <w:highlight w:val="none"/>
        </w:rPr>
        <w:t>本项目投标</w:t>
      </w:r>
      <w:r>
        <w:rPr>
          <w:rFonts w:hint="eastAsia"/>
          <w:color w:val="auto"/>
          <w:highlight w:val="none"/>
        </w:rPr>
        <w:t>文件应采用电子投标文件，其他非电子投标文件不予接受。</w:t>
      </w:r>
    </w:p>
    <w:p>
      <w:pPr>
        <w:tabs>
          <w:tab w:val="left" w:pos="720"/>
        </w:tabs>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4.1.5 备选方案</w:t>
      </w:r>
    </w:p>
    <w:bookmarkEnd w:id="75"/>
    <w:bookmarkEnd w:id="76"/>
    <w:bookmarkEnd w:id="77"/>
    <w:p>
      <w:pPr>
        <w:tabs>
          <w:tab w:val="left" w:pos="720"/>
        </w:tabs>
        <w:snapToGrid w:val="0"/>
        <w:spacing w:line="360" w:lineRule="auto"/>
        <w:ind w:firstLine="630" w:firstLineChars="300"/>
        <w:rPr>
          <w:rFonts w:hint="eastAsia" w:hAnsi="宋体"/>
          <w:color w:val="auto"/>
          <w:szCs w:val="21"/>
          <w:highlight w:val="none"/>
        </w:rPr>
      </w:pPr>
      <w:bookmarkStart w:id="80" w:name="_Toc183582217"/>
      <w:bookmarkStart w:id="81" w:name="_Toc217446048"/>
      <w:bookmarkStart w:id="82" w:name="_Toc183682354"/>
      <w:r>
        <w:rPr>
          <w:rFonts w:hint="eastAsia" w:ascii="宋体" w:hAnsi="宋体"/>
          <w:color w:val="auto"/>
          <w:szCs w:val="21"/>
          <w:highlight w:val="none"/>
        </w:rPr>
        <w:t>4.1.5.1 除投标人须知前附表规定允许外，投标人不得递交备选投标方案，投标文件的报价只允许有一个报价，不接受具有附加条件的报价，否则，视为</w:t>
      </w:r>
      <w:r>
        <w:rPr>
          <w:rFonts w:hint="eastAsia" w:hAnsi="宋体"/>
          <w:b/>
          <w:color w:val="auto"/>
          <w:szCs w:val="21"/>
          <w:highlight w:val="none"/>
        </w:rPr>
        <w:t>无效投标</w:t>
      </w:r>
      <w:r>
        <w:rPr>
          <w:rFonts w:hint="eastAsia" w:hAnsi="宋体"/>
          <w:color w:val="auto"/>
          <w:szCs w:val="21"/>
          <w:highlight w:val="none"/>
        </w:rPr>
        <w:t>。</w:t>
      </w:r>
    </w:p>
    <w:p>
      <w:pPr>
        <w:tabs>
          <w:tab w:val="left" w:pos="720"/>
        </w:tabs>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4.1.5.2 允许投标人递交备选投标方案的，只有中标人所递交的备选投标方案方可予以考虑。评标委员会认为中标人的备选投标方案优于其按照招标文件要求编制的投标方案的，采购人可以接受该备选方案。</w:t>
      </w:r>
    </w:p>
    <w:p>
      <w:pPr>
        <w:tabs>
          <w:tab w:val="left" w:pos="720"/>
        </w:tabs>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4.1.5.3 投标人提供两个或两个以上投标报价，或者在投标文件中提供一个报价，但同时提供两个或两个以上供货方案的，视为提供备选方案。</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4.2 投标文件的组成</w:t>
      </w:r>
      <w:bookmarkEnd w:id="80"/>
      <w:bookmarkEnd w:id="81"/>
      <w:bookmarkEnd w:id="82"/>
    </w:p>
    <w:p>
      <w:pPr>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4.2.1投标文件由下列文件组成：</w:t>
      </w:r>
    </w:p>
    <w:p>
      <w:pPr>
        <w:tabs>
          <w:tab w:val="left" w:pos="2730"/>
        </w:tabs>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（1）资格</w:t>
      </w:r>
      <w:r>
        <w:rPr>
          <w:rFonts w:hint="eastAsia" w:ascii="宋体" w:hAnsi="宋体" w:cs="宋体"/>
          <w:color w:val="auto"/>
          <w:szCs w:val="21"/>
          <w:highlight w:val="none"/>
          <w:lang w:eastAsia="zh-CN"/>
        </w:rPr>
        <w:t>证明</w:t>
      </w:r>
      <w:r>
        <w:rPr>
          <w:rFonts w:hint="eastAsia" w:ascii="宋体" w:hAnsi="宋体" w:cs="宋体"/>
          <w:color w:val="auto"/>
          <w:szCs w:val="21"/>
          <w:highlight w:val="none"/>
        </w:rPr>
        <w:t>文件</w:t>
      </w:r>
      <w:r>
        <w:rPr>
          <w:rFonts w:hint="eastAsia" w:ascii="宋体" w:hAnsi="宋体" w:cs="宋体"/>
          <w:color w:val="auto"/>
          <w:szCs w:val="21"/>
          <w:highlight w:val="none"/>
        </w:rPr>
        <w:tab/>
      </w:r>
    </w:p>
    <w:p>
      <w:pPr>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（2）商务文件</w:t>
      </w:r>
    </w:p>
    <w:p>
      <w:pPr>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（3）技术文件</w:t>
      </w:r>
    </w:p>
    <w:p>
      <w:pPr>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 xml:space="preserve">4.2.2 </w:t>
      </w:r>
      <w:r>
        <w:rPr>
          <w:rFonts w:hint="eastAsia" w:ascii="宋体" w:hAnsi="宋体" w:cs="宋体"/>
          <w:b/>
          <w:color w:val="auto"/>
          <w:szCs w:val="21"/>
          <w:highlight w:val="none"/>
        </w:rPr>
        <w:t>资格</w:t>
      </w:r>
      <w:r>
        <w:rPr>
          <w:rFonts w:hint="eastAsia" w:ascii="宋体" w:hAnsi="宋体" w:cs="宋体"/>
          <w:b/>
          <w:color w:val="auto"/>
          <w:szCs w:val="21"/>
          <w:highlight w:val="none"/>
          <w:lang w:eastAsia="zh-CN"/>
        </w:rPr>
        <w:t>证明</w:t>
      </w:r>
      <w:r>
        <w:rPr>
          <w:rFonts w:hint="eastAsia" w:ascii="宋体" w:hAnsi="宋体" w:cs="宋体"/>
          <w:b/>
          <w:color w:val="auto"/>
          <w:szCs w:val="21"/>
          <w:highlight w:val="none"/>
        </w:rPr>
        <w:t>文件</w:t>
      </w:r>
      <w:r>
        <w:rPr>
          <w:rFonts w:hint="eastAsia" w:ascii="宋体" w:hAnsi="宋体" w:cs="宋体"/>
          <w:color w:val="auto"/>
          <w:szCs w:val="21"/>
          <w:highlight w:val="none"/>
        </w:rPr>
        <w:t>包括本章第</w:t>
      </w:r>
      <w:r>
        <w:rPr>
          <w:rFonts w:hint="eastAsia" w:ascii="宋体" w:hAnsi="宋体"/>
          <w:color w:val="auto"/>
          <w:szCs w:val="21"/>
          <w:highlight w:val="none"/>
        </w:rPr>
        <w:t>3.1.1、3.1.2、3.1.3</w:t>
      </w:r>
      <w:r>
        <w:rPr>
          <w:rFonts w:hint="eastAsia" w:ascii="宋体" w:hAnsi="宋体" w:cs="宋体"/>
          <w:color w:val="auto"/>
          <w:szCs w:val="21"/>
          <w:highlight w:val="none"/>
        </w:rPr>
        <w:t>条款内容。</w:t>
      </w:r>
    </w:p>
    <w:p>
      <w:pPr>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 xml:space="preserve">4.2.3 </w:t>
      </w:r>
      <w:r>
        <w:rPr>
          <w:rFonts w:hint="eastAsia" w:ascii="宋体" w:hAnsi="宋体" w:cs="宋体"/>
          <w:b/>
          <w:color w:val="auto"/>
          <w:szCs w:val="21"/>
          <w:highlight w:val="none"/>
        </w:rPr>
        <w:t>商务文件</w:t>
      </w:r>
      <w:r>
        <w:rPr>
          <w:rFonts w:hint="eastAsia" w:ascii="宋体" w:hAnsi="宋体" w:cs="宋体"/>
          <w:color w:val="auto"/>
          <w:szCs w:val="21"/>
          <w:highlight w:val="none"/>
        </w:rPr>
        <w:t>主要包括下列内容：</w:t>
      </w:r>
    </w:p>
    <w:p>
      <w:pPr>
        <w:spacing w:line="360" w:lineRule="auto"/>
        <w:ind w:left="504" w:leftChars="226" w:hanging="29" w:hangingChars="14"/>
        <w:rPr>
          <w:rFonts w:hint="eastAsia" w:ascii="宋体" w:hAnsi="宋体"/>
          <w:color w:val="auto"/>
          <w:szCs w:val="21"/>
          <w:highlight w:val="none"/>
        </w:rPr>
      </w:pPr>
      <w:r>
        <w:rPr>
          <w:rFonts w:hint="eastAsia" w:ascii="宋体" w:hAnsi="宋体"/>
          <w:color w:val="auto"/>
          <w:szCs w:val="21"/>
          <w:highlight w:val="none"/>
        </w:rPr>
        <w:t>（1）投标函；</w:t>
      </w:r>
    </w:p>
    <w:p>
      <w:pPr>
        <w:spacing w:line="360" w:lineRule="auto"/>
        <w:ind w:left="504" w:leftChars="226" w:hanging="29" w:hangingChars="14"/>
        <w:rPr>
          <w:rFonts w:hint="eastAsia" w:ascii="宋体" w:hAnsi="宋体"/>
          <w:color w:val="auto"/>
          <w:szCs w:val="21"/>
          <w:highlight w:val="none"/>
        </w:rPr>
      </w:pPr>
      <w:r>
        <w:rPr>
          <w:rFonts w:hint="eastAsia" w:ascii="宋体" w:hAnsi="宋体"/>
          <w:color w:val="auto"/>
          <w:szCs w:val="21"/>
          <w:highlight w:val="none"/>
        </w:rPr>
        <w:t>（2）投标报价；</w:t>
      </w:r>
    </w:p>
    <w:p>
      <w:pPr>
        <w:spacing w:line="360" w:lineRule="auto"/>
        <w:ind w:left="523" w:leftChars="236" w:hanging="27" w:hangingChars="13"/>
        <w:rPr>
          <w:rFonts w:hint="eastAsia" w:ascii="宋体" w:hAnsi="宋体"/>
          <w:color w:val="auto"/>
          <w:szCs w:val="21"/>
          <w:highlight w:val="none"/>
        </w:rPr>
      </w:pPr>
      <w:r>
        <w:rPr>
          <w:rFonts w:hint="eastAsia" w:ascii="宋体" w:hAnsi="宋体"/>
          <w:color w:val="auto"/>
          <w:szCs w:val="21"/>
          <w:highlight w:val="none"/>
        </w:rPr>
        <w:t>（3）证明投标货物（产品）的合格性（若有）；</w:t>
      </w:r>
    </w:p>
    <w:p>
      <w:pPr>
        <w:spacing w:line="360" w:lineRule="auto"/>
        <w:ind w:left="523" w:leftChars="236" w:hanging="27" w:hangingChars="13"/>
        <w:rPr>
          <w:rFonts w:hint="eastAsia" w:ascii="宋体" w:hAnsi="宋体"/>
          <w:color w:val="auto"/>
          <w:szCs w:val="21"/>
          <w:highlight w:val="none"/>
        </w:rPr>
      </w:pPr>
      <w:r>
        <w:rPr>
          <w:rFonts w:hint="eastAsia" w:ascii="宋体" w:hAnsi="宋体"/>
          <w:color w:val="auto"/>
          <w:szCs w:val="21"/>
          <w:highlight w:val="none"/>
        </w:rPr>
        <w:t>（4）商务条款偏离表；</w:t>
      </w:r>
    </w:p>
    <w:p>
      <w:pPr>
        <w:spacing w:line="360" w:lineRule="auto"/>
        <w:ind w:left="504" w:leftChars="226" w:hanging="29" w:hangingChars="14"/>
        <w:rPr>
          <w:rFonts w:hint="eastAsia" w:ascii="宋体" w:hAnsi="宋体"/>
          <w:color w:val="auto"/>
          <w:szCs w:val="21"/>
          <w:highlight w:val="none"/>
        </w:rPr>
      </w:pPr>
      <w:r>
        <w:rPr>
          <w:rFonts w:hint="eastAsia" w:ascii="宋体" w:hAnsi="宋体"/>
          <w:color w:val="auto"/>
          <w:szCs w:val="21"/>
          <w:highlight w:val="none"/>
        </w:rPr>
        <w:t>（5）合同条款偏离表；</w:t>
      </w:r>
    </w:p>
    <w:p>
      <w:pPr>
        <w:spacing w:line="360" w:lineRule="auto"/>
        <w:ind w:left="504" w:leftChars="226" w:hanging="29" w:hangingChars="14"/>
        <w:rPr>
          <w:rFonts w:hint="eastAsia" w:ascii="宋体" w:hAnsi="宋体"/>
          <w:color w:val="auto"/>
          <w:szCs w:val="21"/>
          <w:highlight w:val="none"/>
        </w:rPr>
      </w:pPr>
      <w:r>
        <w:rPr>
          <w:rFonts w:hint="eastAsia" w:ascii="宋体" w:hAnsi="宋体"/>
          <w:color w:val="auto"/>
          <w:szCs w:val="21"/>
          <w:highlight w:val="none"/>
        </w:rPr>
        <w:t>（6）承诺及售后服务；</w:t>
      </w:r>
    </w:p>
    <w:p>
      <w:pPr>
        <w:spacing w:line="360" w:lineRule="auto"/>
        <w:ind w:left="504" w:leftChars="226" w:hanging="29" w:hangingChars="14"/>
        <w:rPr>
          <w:rFonts w:hint="eastAsia" w:ascii="宋体" w:hAnsi="宋体"/>
          <w:color w:val="auto"/>
          <w:szCs w:val="21"/>
          <w:highlight w:val="none"/>
        </w:rPr>
      </w:pPr>
      <w:r>
        <w:rPr>
          <w:rFonts w:hint="eastAsia" w:ascii="宋体" w:hAnsi="宋体"/>
          <w:color w:val="auto"/>
          <w:szCs w:val="21"/>
          <w:highlight w:val="none"/>
        </w:rPr>
        <w:t>（7）其他证明材料。</w:t>
      </w:r>
    </w:p>
    <w:p>
      <w:pPr>
        <w:spacing w:line="360" w:lineRule="auto"/>
        <w:ind w:left="504" w:leftChars="226" w:hanging="29" w:hangingChars="14"/>
        <w:jc w:val="left"/>
        <w:rPr>
          <w:rFonts w:hint="eastAsia" w:ascii="宋体" w:hAnsi="宋体" w:cs="宋体"/>
          <w:color w:val="auto"/>
          <w:szCs w:val="21"/>
          <w:highlight w:val="none"/>
        </w:rPr>
      </w:pPr>
      <w:r>
        <w:rPr>
          <w:rFonts w:hint="eastAsia" w:ascii="宋体" w:hAnsi="宋体" w:cs="宋体"/>
          <w:color w:val="auto"/>
          <w:szCs w:val="21"/>
          <w:highlight w:val="none"/>
        </w:rPr>
        <w:t xml:space="preserve">4.2.4 </w:t>
      </w:r>
      <w:r>
        <w:rPr>
          <w:rFonts w:hint="eastAsia" w:ascii="宋体" w:hAnsi="宋体" w:cs="宋体"/>
          <w:b/>
          <w:color w:val="auto"/>
          <w:szCs w:val="21"/>
          <w:highlight w:val="none"/>
        </w:rPr>
        <w:t>技术文件</w:t>
      </w:r>
      <w:r>
        <w:rPr>
          <w:rFonts w:hint="eastAsia" w:ascii="宋体" w:hAnsi="宋体" w:cs="宋体"/>
          <w:color w:val="auto"/>
          <w:szCs w:val="21"/>
          <w:highlight w:val="none"/>
        </w:rPr>
        <w:t>主要包括下列内容：</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4.2.4.1 服务部分：</w:t>
      </w:r>
    </w:p>
    <w:p>
      <w:pPr>
        <w:spacing w:line="360" w:lineRule="auto"/>
        <w:ind w:left="475" w:leftChars="226" w:firstLine="195" w:firstLineChars="93"/>
        <w:rPr>
          <w:rFonts w:ascii="宋体" w:hAnsi="宋体"/>
          <w:color w:val="auto"/>
          <w:szCs w:val="21"/>
          <w:highlight w:val="none"/>
        </w:rPr>
      </w:pPr>
      <w:r>
        <w:rPr>
          <w:rFonts w:hint="eastAsia" w:ascii="宋体" w:hAnsi="宋体"/>
          <w:color w:val="auto"/>
          <w:szCs w:val="21"/>
          <w:highlight w:val="none"/>
        </w:rPr>
        <w:t>（1）服务方案方案；</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（2）服务技术支持资料；</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（3）服务工作环境条件；</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（4）服务要求偏离表；</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（5）项目验收标准和验收方法。</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4.2.4.2 货物部分，若本服务项目包括提供货物（产品）的，适用本条：</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（1）投标货物（产品）的品牌、型号、配置、本身的详细的技术指标和参数；</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（2）投标货物（产品）的检测报告、产品使用说明书和用户手册等材料；</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（3）投标货物（产品）工作环境条件；</w:t>
      </w:r>
    </w:p>
    <w:p>
      <w:pPr>
        <w:spacing w:line="360" w:lineRule="auto"/>
        <w:ind w:firstLine="630" w:firstLineChars="3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（4）投标货物（产品）验收清单、验收标准和验收方法（清单应注明各部件的品名、数量、价格、规格型号和生产企业）；</w:t>
      </w:r>
    </w:p>
    <w:p>
      <w:pPr>
        <w:spacing w:line="360" w:lineRule="auto"/>
        <w:ind w:firstLine="630" w:firstLineChars="3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（5）投标货物（产品）属于强制认证的，应提供强制认证复印件（比如：3C认证）。</w:t>
      </w:r>
    </w:p>
    <w:p>
      <w:pPr>
        <w:spacing w:line="360" w:lineRule="auto"/>
        <w:ind w:firstLine="630" w:firstLineChars="3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4.2.4.3 投标人认为需要提供的其他文件和资料。</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4.3投标报价</w:t>
      </w:r>
    </w:p>
    <w:p>
      <w:pPr>
        <w:spacing w:line="360" w:lineRule="auto"/>
        <w:ind w:firstLine="411" w:firstLineChars="196"/>
        <w:rPr>
          <w:rFonts w:hint="eastAsia" w:ascii="宋体" w:hAnsi="宋体"/>
          <w:color w:val="auto"/>
          <w:szCs w:val="21"/>
          <w:highlight w:val="none"/>
        </w:rPr>
      </w:pPr>
      <w:r>
        <w:rPr>
          <w:rFonts w:hint="eastAsia" w:ascii="宋体" w:hAnsi="宋体"/>
          <w:bCs/>
          <w:color w:val="auto"/>
          <w:szCs w:val="21"/>
          <w:highlight w:val="none"/>
        </w:rPr>
        <w:t>4.3.1 投标人应</w:t>
      </w:r>
      <w:r>
        <w:rPr>
          <w:rFonts w:hint="eastAsia" w:ascii="宋体" w:hAnsi="宋体"/>
          <w:color w:val="auto"/>
          <w:szCs w:val="21"/>
          <w:highlight w:val="none"/>
        </w:rPr>
        <w:t>按照招标文件要求填报投标报价，并充分了解该采购项目的总体情况以及影响投标报价的其他要素。</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4.3.2投标人的投标报价不得超过投标人须知前附表规定的预算金额，否则，作为不实质性响应招标文件，按无效投标处理；投标人须知前附表设定了最高限价的，投标人的投标报价也不得超过最高限价，否则，作为不实质性响应招标文件，按</w:t>
      </w:r>
      <w:r>
        <w:rPr>
          <w:rFonts w:hint="eastAsia" w:ascii="宋体" w:hAnsi="宋体"/>
          <w:b/>
          <w:color w:val="auto"/>
          <w:szCs w:val="21"/>
          <w:highlight w:val="none"/>
        </w:rPr>
        <w:t>无效投标</w:t>
      </w:r>
      <w:r>
        <w:rPr>
          <w:rFonts w:hint="eastAsia" w:ascii="宋体" w:hAnsi="宋体"/>
          <w:color w:val="auto"/>
          <w:szCs w:val="21"/>
          <w:highlight w:val="none"/>
        </w:rPr>
        <w:t>处理。</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4.3.3 投标人的报价是投标人响应招标项目要求的全部工作内容的价格体现，包括投标人完成本项目所需的直接费、间接费、利润、税金及其它相关的一切费用。在提供服务的过程中的任何遗漏，均由中标人免费提供，采购人将不再支付任何费用。中标后不允许擅自改变服务内容、质量标准、期限和追加项目预算。</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4.3.4 投标</w:t>
      </w:r>
      <w:r>
        <w:rPr>
          <w:rFonts w:hint="eastAsia" w:ascii="宋体" w:hAnsi="宋体" w:cs="宋体"/>
          <w:color w:val="auto"/>
          <w:kern w:val="0"/>
          <w:szCs w:val="21"/>
          <w:highlight w:val="none"/>
        </w:rPr>
        <w:t>人应按</w:t>
      </w:r>
      <w:r>
        <w:rPr>
          <w:rFonts w:hint="eastAsia" w:ascii="宋体" w:hAnsi="宋体"/>
          <w:color w:val="auto"/>
          <w:szCs w:val="21"/>
          <w:highlight w:val="none"/>
        </w:rPr>
        <w:t>“开标一览表”及“分项报价明细表”</w:t>
      </w:r>
      <w:r>
        <w:rPr>
          <w:rFonts w:hint="eastAsia" w:ascii="宋体" w:hAnsi="宋体" w:cs="宋体"/>
          <w:color w:val="auto"/>
          <w:kern w:val="0"/>
          <w:szCs w:val="21"/>
          <w:highlight w:val="none"/>
        </w:rPr>
        <w:t>的内容</w:t>
      </w:r>
      <w:r>
        <w:rPr>
          <w:rFonts w:hint="eastAsia" w:ascii="宋体" w:hAnsi="宋体"/>
          <w:color w:val="auto"/>
          <w:szCs w:val="21"/>
          <w:highlight w:val="none"/>
        </w:rPr>
        <w:t>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 xml:space="preserve">4.3.5 </w:t>
      </w:r>
      <w:r>
        <w:rPr>
          <w:rFonts w:hint="eastAsia" w:ascii="宋体" w:hAnsi="宋体"/>
          <w:color w:val="auto"/>
          <w:szCs w:val="21"/>
          <w:highlight w:val="none"/>
        </w:rPr>
        <w:t>投标人每种服务和产品（如有）只允许有一个报价，并且在合同履行过程中是固定不变的，任何有选择或可调整的报价将不予接受，并按</w:t>
      </w:r>
      <w:r>
        <w:rPr>
          <w:rFonts w:hint="eastAsia" w:ascii="宋体" w:hAnsi="宋体"/>
          <w:b/>
          <w:color w:val="auto"/>
          <w:szCs w:val="21"/>
          <w:highlight w:val="none"/>
        </w:rPr>
        <w:t>无效投标</w:t>
      </w:r>
      <w:r>
        <w:rPr>
          <w:rFonts w:hint="eastAsia" w:ascii="宋体" w:hAnsi="宋体"/>
          <w:color w:val="auto"/>
          <w:szCs w:val="21"/>
          <w:highlight w:val="none"/>
        </w:rPr>
        <w:t>处理。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4.3.6 采购人不接受投标人给予的赠品、回扣或者与采购无关的其他商品、服务。如有赠与行为，</w:t>
      </w:r>
      <w:r>
        <w:rPr>
          <w:rFonts w:hint="eastAsia" w:ascii="宋体" w:hAnsi="宋体"/>
          <w:b/>
          <w:color w:val="auto"/>
          <w:szCs w:val="21"/>
          <w:highlight w:val="none"/>
        </w:rPr>
        <w:t>其投标无效</w:t>
      </w:r>
      <w:r>
        <w:rPr>
          <w:rFonts w:hint="eastAsia" w:ascii="宋体" w:hAnsi="宋体"/>
          <w:color w:val="auto"/>
          <w:szCs w:val="21"/>
          <w:highlight w:val="none"/>
        </w:rPr>
        <w:t>。</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4.4投标有效期</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4.4.1投标有效期见投标人须知前附表。投标有效期见投标人须知前附表。</w:t>
      </w:r>
      <w:r>
        <w:rPr>
          <w:rFonts w:hint="eastAsia" w:hAnsi="宋体"/>
          <w:color w:val="auto"/>
          <w:highlight w:val="none"/>
        </w:rPr>
        <w:t>在此期间投标文件对投标人具有法律约束力，</w:t>
      </w:r>
      <w:r>
        <w:rPr>
          <w:rFonts w:hint="eastAsia" w:hAnsi="宋体" w:cs="Arial"/>
          <w:color w:val="auto"/>
          <w:highlight w:val="none"/>
        </w:rPr>
        <w:t>从</w:t>
      </w:r>
      <w:r>
        <w:rPr>
          <w:rFonts w:hint="eastAsia" w:hAnsi="宋体"/>
          <w:color w:val="auto"/>
          <w:highlight w:val="none"/>
        </w:rPr>
        <w:t>投标人须知前附表规定的</w:t>
      </w:r>
      <w:r>
        <w:rPr>
          <w:rFonts w:hint="eastAsia" w:hAnsi="宋体" w:cs="宋体"/>
          <w:color w:val="auto"/>
          <w:kern w:val="0"/>
          <w:highlight w:val="none"/>
        </w:rPr>
        <w:t>递交投标文件截止时间</w:t>
      </w:r>
      <w:r>
        <w:rPr>
          <w:rFonts w:hint="eastAsia" w:hAnsi="宋体"/>
          <w:color w:val="auto"/>
          <w:highlight w:val="none"/>
        </w:rPr>
        <w:t>之日</w:t>
      </w:r>
      <w:r>
        <w:rPr>
          <w:rFonts w:hint="eastAsia" w:hAnsi="宋体" w:cs="Arial"/>
          <w:color w:val="auto"/>
          <w:highlight w:val="none"/>
        </w:rPr>
        <w:t>起计算。</w:t>
      </w:r>
      <w:r>
        <w:rPr>
          <w:rFonts w:hint="eastAsia" w:ascii="宋体" w:hAnsi="宋体"/>
          <w:color w:val="auto"/>
          <w:szCs w:val="21"/>
          <w:highlight w:val="none"/>
        </w:rPr>
        <w:t>投标文件中必须载明投标有效期，载明的投标有效期可以长于招标文件规定的期限，但不得短于招标文件规定的期限，否则属于</w:t>
      </w:r>
      <w:r>
        <w:rPr>
          <w:rFonts w:hint="eastAsia" w:ascii="宋体" w:hAnsi="宋体"/>
          <w:color w:val="auto"/>
          <w:szCs w:val="21"/>
          <w:highlight w:val="none"/>
          <w:lang w:eastAsia="zh-CN"/>
        </w:rPr>
        <w:t>未</w:t>
      </w:r>
      <w:r>
        <w:rPr>
          <w:rFonts w:hint="eastAsia" w:ascii="宋体" w:hAnsi="宋体"/>
          <w:color w:val="auto"/>
          <w:szCs w:val="21"/>
          <w:highlight w:val="none"/>
        </w:rPr>
        <w:t>实质性响应，将按</w:t>
      </w:r>
      <w:r>
        <w:rPr>
          <w:rFonts w:hint="eastAsia" w:ascii="宋体" w:hAnsi="宋体"/>
          <w:b/>
          <w:color w:val="auto"/>
          <w:szCs w:val="21"/>
          <w:highlight w:val="none"/>
        </w:rPr>
        <w:t>无效投标</w:t>
      </w:r>
      <w:r>
        <w:rPr>
          <w:rFonts w:hint="eastAsia" w:ascii="宋体" w:hAnsi="宋体"/>
          <w:color w:val="auto"/>
          <w:szCs w:val="21"/>
          <w:highlight w:val="none"/>
        </w:rPr>
        <w:t>处理。</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4.4.2 出现特殊情况需要延长投标有效期的，采购代理机构或采购人可于投标有效期满之前，以书面形式通知所有投标人延长投标有效期。投标人应予书面答复，同意延长的，但不得要求或被允许修改其投标文件；投标人拒绝延长的，</w:t>
      </w:r>
      <w:r>
        <w:rPr>
          <w:rFonts w:hint="eastAsia" w:ascii="宋体" w:hAnsi="宋体"/>
          <w:b/>
          <w:color w:val="auto"/>
          <w:szCs w:val="21"/>
          <w:highlight w:val="none"/>
        </w:rPr>
        <w:t>其投标失效</w:t>
      </w:r>
      <w:r>
        <w:rPr>
          <w:rFonts w:hint="eastAsia" w:ascii="宋体" w:hAnsi="宋体"/>
          <w:color w:val="auto"/>
          <w:szCs w:val="21"/>
          <w:highlight w:val="none"/>
        </w:rPr>
        <w:t>。</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4.4.3 在投标有效期内，投标人撤销投标文件的，应承担招标文件和法律规定的责任。</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4.4.4 中标人的投标有效期自动延长至合同终止为止。</w:t>
      </w:r>
    </w:p>
    <w:p>
      <w:pPr>
        <w:adjustRightInd w:val="0"/>
        <w:snapToGrid w:val="0"/>
        <w:spacing w:before="120" w:beforeLines="50" w:after="120"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4.5 投标保证金</w:t>
      </w:r>
    </w:p>
    <w:p>
      <w:pPr>
        <w:tabs>
          <w:tab w:val="left" w:pos="7665"/>
        </w:tabs>
        <w:spacing w:line="360" w:lineRule="auto"/>
        <w:ind w:left="13" w:leftChars="6"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本项目不要求提交投标保证金。</w:t>
      </w:r>
    </w:p>
    <w:p>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4.6 商务文件</w:t>
      </w:r>
    </w:p>
    <w:p>
      <w:pPr>
        <w:spacing w:line="360" w:lineRule="auto"/>
        <w:ind w:firstLine="411" w:firstLineChars="196"/>
        <w:rPr>
          <w:rFonts w:hint="eastAsia" w:ascii="宋体" w:hAnsi="宋体"/>
          <w:color w:val="auto"/>
          <w:szCs w:val="21"/>
          <w:highlight w:val="none"/>
        </w:rPr>
      </w:pPr>
      <w:r>
        <w:rPr>
          <w:rFonts w:hint="eastAsia" w:ascii="宋体" w:hAnsi="宋体"/>
          <w:bCs/>
          <w:color w:val="auto"/>
          <w:szCs w:val="21"/>
          <w:highlight w:val="none"/>
        </w:rPr>
        <w:t>4.6.1投标人应当</w:t>
      </w:r>
      <w:r>
        <w:rPr>
          <w:rFonts w:hint="eastAsia" w:ascii="宋体" w:hAnsi="宋体"/>
          <w:color w:val="auto"/>
          <w:szCs w:val="21"/>
          <w:highlight w:val="none"/>
        </w:rPr>
        <w:t>按照招标文件商务要求做出明确响应。</w:t>
      </w:r>
    </w:p>
    <w:p>
      <w:pPr>
        <w:spacing w:line="360" w:lineRule="auto"/>
        <w:ind w:firstLine="411" w:firstLineChars="196"/>
        <w:rPr>
          <w:rFonts w:hint="eastAsia" w:ascii="宋体" w:hAnsi="宋体"/>
          <w:bCs/>
          <w:color w:val="auto"/>
          <w:szCs w:val="21"/>
          <w:highlight w:val="none"/>
        </w:rPr>
      </w:pPr>
      <w:r>
        <w:rPr>
          <w:rFonts w:hint="eastAsia" w:ascii="宋体" w:hAnsi="宋体"/>
          <w:bCs/>
          <w:color w:val="auto"/>
          <w:szCs w:val="21"/>
          <w:highlight w:val="none"/>
        </w:rPr>
        <w:t>4.6.2</w:t>
      </w:r>
      <w:r>
        <w:rPr>
          <w:rFonts w:hint="eastAsia" w:ascii="宋体" w:hAnsi="宋体"/>
          <w:b/>
          <w:bCs/>
          <w:color w:val="auto"/>
          <w:szCs w:val="21"/>
          <w:highlight w:val="none"/>
        </w:rPr>
        <w:t xml:space="preserve"> </w:t>
      </w:r>
      <w:r>
        <w:rPr>
          <w:rFonts w:hint="eastAsia" w:ascii="宋体" w:hAnsi="宋体"/>
          <w:bCs/>
          <w:color w:val="auto"/>
          <w:szCs w:val="21"/>
          <w:highlight w:val="none"/>
        </w:rPr>
        <w:t>投标人应按照招标文件中售后服务要求作出的积极响应。包括以下内容：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（1）投标人设立的售后服务机构网点清单、服务电话和服务人员名单（加盖公章）；</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（2）说明售后服务的响应机制、响应时间；如涉及产品还需说明产品的保修时间、保修期内的保修内容与范围、维修响应时间等并分别提供产品制造商和投标人的服务承诺和保障措施；</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（3）培训措施：说明培训内容及培训的时间、地点、目标、培训人数、收费标准和办法。</w:t>
      </w:r>
    </w:p>
    <w:p>
      <w:pPr>
        <w:spacing w:line="360" w:lineRule="auto"/>
        <w:ind w:left="2" w:leftChars="1" w:firstLine="420" w:firstLineChars="200"/>
        <w:rPr>
          <w:rFonts w:hint="eastAsia" w:ascii="宋体" w:hAnsi="宋体"/>
          <w:bCs/>
          <w:color w:val="auto"/>
          <w:szCs w:val="21"/>
          <w:highlight w:val="none"/>
        </w:rPr>
      </w:pPr>
      <w:r>
        <w:rPr>
          <w:rFonts w:hint="eastAsia" w:ascii="宋体" w:hAnsi="宋体"/>
          <w:bCs/>
          <w:color w:val="auto"/>
          <w:szCs w:val="21"/>
          <w:highlight w:val="none"/>
        </w:rPr>
        <w:t>4.6.3</w:t>
      </w:r>
      <w:r>
        <w:rPr>
          <w:rFonts w:hint="eastAsia" w:ascii="宋体" w:hAnsi="宋体"/>
          <w:b/>
          <w:bCs/>
          <w:color w:val="auto"/>
          <w:szCs w:val="21"/>
          <w:highlight w:val="none"/>
        </w:rPr>
        <w:t xml:space="preserve"> </w:t>
      </w:r>
      <w:r>
        <w:rPr>
          <w:rFonts w:hint="eastAsia" w:ascii="宋体" w:hAnsi="宋体"/>
          <w:bCs/>
          <w:color w:val="auto"/>
          <w:szCs w:val="21"/>
          <w:highlight w:val="none"/>
        </w:rPr>
        <w:t>投标人应对以下（不限于）要求作出承诺：</w:t>
      </w:r>
    </w:p>
    <w:p>
      <w:pPr>
        <w:spacing w:line="360" w:lineRule="auto"/>
        <w:ind w:left="2" w:leftChars="1" w:firstLine="420" w:firstLineChars="200"/>
        <w:rPr>
          <w:rFonts w:hint="eastAsia"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承诺给予采购人的各种优惠条件；</w:t>
      </w:r>
    </w:p>
    <w:p>
      <w:pPr>
        <w:spacing w:line="360" w:lineRule="auto"/>
        <w:ind w:left="2" w:leftChars="1" w:firstLine="420" w:firstLineChars="200"/>
        <w:rPr>
          <w:rFonts w:hint="eastAsia" w:ascii="宋体" w:hAnsi="宋体"/>
          <w:color w:val="auto"/>
          <w:szCs w:val="21"/>
          <w:highlight w:val="none"/>
        </w:rPr>
      </w:pPr>
      <w:r>
        <w:rPr>
          <w:rFonts w:hint="eastAsia" w:ascii="宋体" w:hAnsi="宋体"/>
          <w:bCs/>
          <w:color w:val="auto"/>
          <w:szCs w:val="21"/>
          <w:highlight w:val="none"/>
        </w:rPr>
        <w:t>（2）服务质量和</w:t>
      </w:r>
      <w:r>
        <w:rPr>
          <w:rFonts w:hint="eastAsia" w:ascii="宋体" w:hAnsi="宋体"/>
          <w:color w:val="auto"/>
          <w:szCs w:val="21"/>
          <w:highlight w:val="none"/>
        </w:rPr>
        <w:t>利于用户的售后服务承诺；</w:t>
      </w:r>
    </w:p>
    <w:p>
      <w:pPr>
        <w:spacing w:line="360" w:lineRule="auto"/>
        <w:ind w:left="2" w:leftChars="1" w:firstLine="420" w:firstLineChars="200"/>
        <w:rPr>
          <w:rFonts w:hint="eastAsia"/>
          <w:bCs/>
          <w:color w:val="auto"/>
          <w:szCs w:val="21"/>
          <w:highlight w:val="none"/>
        </w:rPr>
      </w:pPr>
      <w:r>
        <w:rPr>
          <w:rFonts w:hint="eastAsia"/>
          <w:bCs/>
          <w:color w:val="auto"/>
          <w:szCs w:val="21"/>
          <w:highlight w:val="none"/>
        </w:rPr>
        <w:t>（3）严格按照招标文件对本项目的要求，精心组织、合理安排提供各项服务和产品（如有）；</w:t>
      </w:r>
    </w:p>
    <w:p>
      <w:pPr>
        <w:spacing w:line="360" w:lineRule="auto"/>
        <w:ind w:left="2" w:leftChars="1" w:firstLine="420" w:firstLineChars="200"/>
        <w:rPr>
          <w:rFonts w:hint="eastAsia" w:ascii="宋体" w:hAnsi="宋体"/>
          <w:color w:val="auto"/>
          <w:szCs w:val="21"/>
          <w:highlight w:val="none"/>
        </w:rPr>
      </w:pPr>
      <w:r>
        <w:rPr>
          <w:rFonts w:hint="eastAsia" w:ascii="宋体" w:hAnsi="宋体"/>
          <w:color w:val="auto"/>
          <w:szCs w:val="21"/>
          <w:highlight w:val="none"/>
        </w:rPr>
        <w:t>（4）接受采购人或采购人委托相关单位对项目实施方案、服务进度、产品质量、售后服务、货款支付与结算审核等方面监督和管理；</w:t>
      </w:r>
    </w:p>
    <w:p>
      <w:pPr>
        <w:pStyle w:val="6"/>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（5）其它承诺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b/>
          <w:bCs/>
          <w:color w:val="auto"/>
          <w:sz w:val="30"/>
          <w:szCs w:val="30"/>
          <w:highlight w:val="none"/>
        </w:rPr>
      </w:pPr>
      <w:r>
        <w:rPr>
          <w:rFonts w:hint="eastAsia" w:ascii="宋体" w:hAnsi="宋体"/>
          <w:color w:val="auto"/>
          <w:szCs w:val="21"/>
          <w:highlight w:val="none"/>
        </w:rPr>
        <w:t>4.6.4 其他证明材料不是必备证明材料，仅作为评审因素；投标人未提供的，评标时不予考虑；包括投标人享受政府采购优惠政策产品的证明材料、近年类似业绩证明材料</w:t>
      </w:r>
      <w:r>
        <w:rPr>
          <w:rFonts w:hint="eastAsia" w:ascii="宋体" w:hAnsi="宋体"/>
          <w:color w:val="auto"/>
          <w:szCs w:val="21"/>
          <w:highlight w:val="none"/>
          <w:lang w:val="en-US" w:eastAsia="zh-CN"/>
        </w:rPr>
        <w:t>等</w:t>
      </w:r>
      <w:r>
        <w:rPr>
          <w:rFonts w:hint="eastAsia" w:ascii="宋体" w:hAnsi="宋体"/>
          <w:color w:val="auto"/>
          <w:szCs w:val="21"/>
          <w:highlight w:val="none"/>
        </w:rPr>
        <w:t>。</w:t>
      </w:r>
    </w:p>
    <w:p>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4.7 技术文件</w:t>
      </w:r>
    </w:p>
    <w:p>
      <w:pPr>
        <w:spacing w:line="360" w:lineRule="auto"/>
        <w:ind w:firstLine="420" w:firstLineChars="200"/>
        <w:rPr>
          <w:rFonts w:hint="eastAsia" w:ascii="宋体" w:hAnsi="宋体"/>
          <w:color w:val="auto"/>
          <w:szCs w:val="21"/>
          <w:highlight w:val="none"/>
        </w:rPr>
      </w:pPr>
      <w:bookmarkStart w:id="83" w:name="_Toc217446052"/>
      <w:bookmarkStart w:id="84" w:name="_Toc183582225"/>
      <w:bookmarkStart w:id="85" w:name="_Toc183682362"/>
      <w:r>
        <w:rPr>
          <w:rFonts w:hint="eastAsia" w:ascii="宋体" w:hAnsi="宋体"/>
          <w:bCs/>
          <w:color w:val="auto"/>
          <w:szCs w:val="21"/>
          <w:highlight w:val="none"/>
        </w:rPr>
        <w:t>4.7.1投标人应当</w:t>
      </w:r>
      <w:r>
        <w:rPr>
          <w:rFonts w:hint="eastAsia" w:ascii="宋体" w:hAnsi="宋体"/>
          <w:color w:val="auto"/>
          <w:szCs w:val="21"/>
          <w:highlight w:val="none"/>
        </w:rPr>
        <w:t xml:space="preserve">按照招标文件技术要求做出明确响应。 </w:t>
      </w:r>
    </w:p>
    <w:p>
      <w:pPr>
        <w:spacing w:line="360" w:lineRule="auto"/>
        <w:ind w:left="2" w:leftChars="1" w:firstLine="420" w:firstLineChars="200"/>
        <w:rPr>
          <w:rFonts w:hint="eastAsia" w:ascii="宋体" w:hAnsi="宋体"/>
          <w:color w:val="auto"/>
          <w:szCs w:val="21"/>
          <w:highlight w:val="none"/>
        </w:rPr>
      </w:pPr>
      <w:bookmarkStart w:id="86" w:name="_Toc183582218"/>
      <w:bookmarkStart w:id="87" w:name="_Toc183682355"/>
      <w:bookmarkStart w:id="88" w:name="_Toc217446049"/>
      <w:r>
        <w:rPr>
          <w:rFonts w:hint="eastAsia" w:ascii="宋体" w:hAnsi="宋体"/>
          <w:color w:val="auto"/>
          <w:szCs w:val="21"/>
          <w:highlight w:val="none"/>
        </w:rPr>
        <w:t>4.7.2 证明服务和产品（如有）符合招标文件规定相关文件可以是文字资料、图纸、数据、宣传彩页、检测报告等，所有证明文件，表达意思必须统一。</w:t>
      </w:r>
    </w:p>
    <w:p>
      <w:pPr>
        <w:spacing w:line="360" w:lineRule="auto"/>
        <w:ind w:left="2" w:leftChars="1" w:firstLine="422" w:firstLineChars="200"/>
        <w:rPr>
          <w:rFonts w:hint="eastAsia" w:ascii="宋体" w:hAnsi="宋体"/>
          <w:color w:val="auto"/>
          <w:szCs w:val="21"/>
          <w:highlight w:val="none"/>
        </w:rPr>
      </w:pPr>
      <w:r>
        <w:rPr>
          <w:rFonts w:hint="eastAsia" w:ascii="宋体" w:hAnsi="宋体"/>
          <w:b/>
          <w:color w:val="auto"/>
          <w:szCs w:val="21"/>
          <w:highlight w:val="none"/>
        </w:rPr>
        <w:t>投标人须知前附表规定</w:t>
      </w:r>
      <w:r>
        <w:rPr>
          <w:rFonts w:hint="eastAsia" w:ascii="宋体" w:hAnsi="宋体"/>
          <w:color w:val="auto"/>
          <w:szCs w:val="21"/>
          <w:highlight w:val="none"/>
        </w:rPr>
        <w:t>需投标人提供样品，证明文件的表述与投标人所提供样品必须完全符合，且是投标文件的组成部分，否则，按未实质响应招标文件予以拒绝。</w:t>
      </w:r>
      <w:bookmarkEnd w:id="86"/>
      <w:bookmarkEnd w:id="87"/>
      <w:bookmarkEnd w:id="88"/>
      <w:bookmarkStart w:id="89" w:name="_Toc183582223"/>
      <w:bookmarkStart w:id="90" w:name="_Toc217446050"/>
      <w:bookmarkStart w:id="91" w:name="_Toc183682360"/>
    </w:p>
    <w:bookmarkEnd w:id="89"/>
    <w:bookmarkEnd w:id="90"/>
    <w:bookmarkEnd w:id="91"/>
    <w:p>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4.8 投标文件的制作和签署</w:t>
      </w:r>
      <w:bookmarkEnd w:id="83"/>
      <w:bookmarkEnd w:id="84"/>
      <w:bookmarkEnd w:id="85"/>
    </w:p>
    <w:p>
      <w:pPr>
        <w:tabs>
          <w:tab w:val="left" w:pos="7665"/>
        </w:tabs>
        <w:spacing w:line="360" w:lineRule="auto"/>
        <w:ind w:left="13" w:leftChars="6" w:firstLine="420" w:firstLineChars="200"/>
        <w:jc w:val="left"/>
        <w:rPr>
          <w:rFonts w:hint="eastAsia" w:ascii="宋体" w:hAnsi="宋体" w:cs="宋体"/>
          <w:color w:val="auto"/>
          <w:szCs w:val="21"/>
          <w:highlight w:val="none"/>
        </w:rPr>
      </w:pPr>
      <w:bookmarkStart w:id="92" w:name="_Toc12874"/>
      <w:bookmarkStart w:id="93" w:name="_Toc183682363"/>
      <w:bookmarkStart w:id="94" w:name="_Toc183582226"/>
      <w:bookmarkStart w:id="95" w:name="_Toc217446053"/>
      <w:bookmarkStart w:id="96" w:name="_Toc77400781"/>
      <w:bookmarkStart w:id="97" w:name="_Toc89075877"/>
      <w:r>
        <w:rPr>
          <w:rFonts w:hint="eastAsia" w:ascii="宋体" w:hAnsi="宋体" w:cs="宋体"/>
          <w:color w:val="auto"/>
          <w:szCs w:val="21"/>
          <w:highlight w:val="none"/>
        </w:rPr>
        <w:t>4.8.1 投标文件应根据招标文件的要求制作。投标人应填写全称，同时加盖单位章。投标函、法定代表人授权委托书</w:t>
      </w:r>
      <w:r>
        <w:rPr>
          <w:rFonts w:hint="eastAsia" w:ascii="宋体" w:hAnsi="宋体" w:cs="宋体"/>
          <w:color w:val="auto"/>
          <w:szCs w:val="21"/>
          <w:highlight w:val="none"/>
          <w:lang w:eastAsia="zh-CN"/>
        </w:rPr>
        <w:t>签名</w:t>
      </w:r>
      <w:r>
        <w:rPr>
          <w:rFonts w:hint="eastAsia" w:ascii="宋体" w:hAnsi="宋体" w:cs="宋体"/>
          <w:color w:val="auto"/>
          <w:szCs w:val="21"/>
          <w:highlight w:val="none"/>
        </w:rPr>
        <w:t>、盖章和内容应完整，如有遗漏，将被视为无效投标。</w:t>
      </w:r>
    </w:p>
    <w:p>
      <w:pPr>
        <w:tabs>
          <w:tab w:val="left" w:pos="7665"/>
        </w:tabs>
        <w:spacing w:line="360" w:lineRule="auto"/>
        <w:ind w:left="13" w:leftChars="6"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 xml:space="preserve">4.8.2 </w:t>
      </w:r>
      <w:r>
        <w:rPr>
          <w:rFonts w:hint="eastAsia" w:ascii="宋体" w:hAnsi="宋体"/>
          <w:color w:val="auto"/>
          <w:szCs w:val="21"/>
          <w:highlight w:val="none"/>
        </w:rPr>
        <w:t>投标文件应当按照招标文件第七章“投标文件格式”进行编写，如有必要，可以增加附页，作为投标文件的组成部分。除明确允许投标人可以自行编写外，投标人不得以“投标文件格式”规定之外的方式编写相关内容；否则，</w:t>
      </w:r>
      <w:r>
        <w:rPr>
          <w:rFonts w:hint="eastAsia" w:ascii="宋体" w:hAnsi="宋体"/>
          <w:b/>
          <w:color w:val="auto"/>
          <w:szCs w:val="21"/>
          <w:highlight w:val="none"/>
        </w:rPr>
        <w:t>其投标无效。</w:t>
      </w:r>
      <w:r>
        <w:rPr>
          <w:rFonts w:hint="eastAsia" w:ascii="宋体" w:hAnsi="宋体"/>
          <w:color w:val="auto"/>
          <w:szCs w:val="21"/>
          <w:highlight w:val="none"/>
        </w:rPr>
        <w:t>对于没有格式要求的由投标人自行编写。</w:t>
      </w:r>
    </w:p>
    <w:p>
      <w:pPr>
        <w:tabs>
          <w:tab w:val="left" w:pos="7665"/>
        </w:tabs>
        <w:spacing w:line="360" w:lineRule="auto"/>
        <w:ind w:left="13" w:leftChars="6" w:firstLine="420" w:firstLineChars="200"/>
        <w:jc w:val="left"/>
        <w:rPr>
          <w:rFonts w:hint="eastAsia" w:ascii="宋体" w:hAnsi="宋体"/>
          <w:b/>
          <w:color w:val="auto"/>
          <w:szCs w:val="21"/>
          <w:highlight w:val="none"/>
        </w:rPr>
      </w:pPr>
      <w:r>
        <w:rPr>
          <w:rFonts w:hint="eastAsia" w:ascii="宋体" w:hAnsi="宋体"/>
          <w:color w:val="auto"/>
          <w:szCs w:val="21"/>
          <w:highlight w:val="none"/>
          <w:lang w:val="en-US" w:eastAsia="zh-CN"/>
        </w:rPr>
        <w:t>4.8.3</w:t>
      </w:r>
      <w:r>
        <w:rPr>
          <w:rFonts w:hint="eastAsia" w:ascii="宋体" w:hAnsi="宋体"/>
          <w:color w:val="auto"/>
          <w:szCs w:val="21"/>
          <w:highlight w:val="none"/>
        </w:rPr>
        <w:t>投标文件应填写投标人的全称，并与投标人的证件证书保持一致，按照本章第4.8.5条款规定</w:t>
      </w:r>
      <w:r>
        <w:rPr>
          <w:rFonts w:hint="eastAsia" w:ascii="宋体" w:hAnsi="宋体"/>
          <w:b/>
          <w:color w:val="auto"/>
          <w:szCs w:val="21"/>
          <w:highlight w:val="none"/>
        </w:rPr>
        <w:t>签名盖章。</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4.8.4使用原件的电子件（电子件指扫描件、照片等形式电子文件），要求</w:t>
      </w:r>
      <w:r>
        <w:rPr>
          <w:rFonts w:ascii="宋体" w:hAnsi="宋体"/>
          <w:color w:val="auto"/>
          <w:szCs w:val="21"/>
          <w:highlight w:val="none"/>
        </w:rPr>
        <w:t>第三方出具的盖章件原件（如联合协议、分包意向协议、制造商授权书等），投标文件中应当使用原件的电子件。</w:t>
      </w:r>
    </w:p>
    <w:p>
      <w:pPr>
        <w:tabs>
          <w:tab w:val="left" w:pos="7665"/>
        </w:tabs>
        <w:spacing w:line="360" w:lineRule="auto"/>
        <w:ind w:left="13" w:leftChars="6" w:firstLine="420" w:firstLineChars="200"/>
        <w:jc w:val="left"/>
        <w:rPr>
          <w:rFonts w:hint="eastAsia" w:ascii="宋体" w:hAnsi="宋体" w:cs="宋体"/>
          <w:color w:val="auto"/>
          <w:szCs w:val="21"/>
          <w:highlight w:val="none"/>
        </w:rPr>
      </w:pPr>
      <w:r>
        <w:rPr>
          <w:rFonts w:hint="eastAsia" w:ascii="宋体" w:hAnsi="宋体"/>
          <w:color w:val="auto"/>
          <w:szCs w:val="21"/>
          <w:highlight w:val="none"/>
          <w:lang w:val="en-US" w:eastAsia="zh-CN"/>
        </w:rPr>
        <w:t>4.8.5</w:t>
      </w:r>
      <w:r>
        <w:rPr>
          <w:rFonts w:hint="eastAsia" w:ascii="宋体" w:hAnsi="宋体"/>
          <w:color w:val="auto"/>
          <w:szCs w:val="21"/>
          <w:highlight w:val="none"/>
        </w:rPr>
        <w:t>投标文件应由投标人的法定代表人（单位负责人）或其委托代理人签名和盖单位章。由投标人的法定代表人（单位负责人）签名的，应附法定代表人身份证明，由其委托代理人签名的，应附授权委托书。其中：投标函必须由投标人的法定代表人（单位负责人）签名和盖单位章，授权委托书必须由投标人的法定代表人（单位负责人）签名和委托代理人签名并盖单位章，其余签名或者盖章即可，否则，按未实质性响应招标文件处理，</w:t>
      </w:r>
      <w:r>
        <w:rPr>
          <w:rFonts w:hint="eastAsia" w:ascii="宋体" w:hAnsi="宋体"/>
          <w:b/>
          <w:color w:val="auto"/>
          <w:szCs w:val="21"/>
          <w:highlight w:val="none"/>
        </w:rPr>
        <w:t>其投标无效</w:t>
      </w:r>
      <w:r>
        <w:rPr>
          <w:rFonts w:hint="eastAsia" w:ascii="宋体" w:hAnsi="宋体"/>
          <w:color w:val="auto"/>
          <w:szCs w:val="21"/>
          <w:highlight w:val="none"/>
        </w:rPr>
        <w:t>。</w:t>
      </w:r>
    </w:p>
    <w:p>
      <w:pP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4.8.</w:t>
      </w:r>
      <w:r>
        <w:rPr>
          <w:rFonts w:hint="eastAsia" w:ascii="宋体" w:hAnsi="宋体"/>
          <w:color w:val="auto"/>
          <w:szCs w:val="21"/>
          <w:highlight w:val="none"/>
          <w:lang w:val="en-US" w:eastAsia="zh-CN"/>
        </w:rPr>
        <w:t>6</w:t>
      </w:r>
      <w:r>
        <w:rPr>
          <w:rFonts w:hint="eastAsia" w:ascii="宋体" w:hAnsi="宋体"/>
          <w:color w:val="auto"/>
          <w:szCs w:val="21"/>
          <w:highlight w:val="none"/>
        </w:rPr>
        <w:t>电子投标文件制作过程中，</w:t>
      </w:r>
      <w:r>
        <w:rPr>
          <w:rFonts w:ascii="宋体" w:hAnsi="宋体"/>
          <w:color w:val="auto"/>
          <w:szCs w:val="21"/>
          <w:highlight w:val="none"/>
        </w:rPr>
        <w:t>要求签名盖章的内容，</w:t>
      </w:r>
      <w:r>
        <w:rPr>
          <w:rFonts w:hint="eastAsia" w:ascii="宋体" w:hAnsi="宋体"/>
          <w:color w:val="auto"/>
          <w:szCs w:val="21"/>
          <w:highlight w:val="none"/>
        </w:rPr>
        <w:t>应当</w:t>
      </w:r>
      <w:r>
        <w:rPr>
          <w:rFonts w:ascii="宋体" w:hAnsi="宋体"/>
          <w:color w:val="auto"/>
          <w:szCs w:val="21"/>
          <w:highlight w:val="none"/>
        </w:rPr>
        <w:t>通过投标文件编制工具加盖电子签章。</w:t>
      </w:r>
      <w:r>
        <w:rPr>
          <w:rFonts w:hint="eastAsia" w:ascii="宋体" w:hAnsi="宋体"/>
          <w:color w:val="auto"/>
          <w:szCs w:val="21"/>
          <w:highlight w:val="none"/>
        </w:rPr>
        <w:t>需要加盖投标人公章的地方，请使用“企业CA锁”进行签章；</w:t>
      </w:r>
      <w:r>
        <w:rPr>
          <w:rFonts w:hint="eastAsia" w:ascii="宋体" w:hAnsi="宋体"/>
          <w:color w:val="auto"/>
          <w:szCs w:val="21"/>
          <w:highlight w:val="none"/>
          <w:lang w:eastAsia="zh-CN"/>
        </w:rPr>
        <w:t>需要</w:t>
      </w:r>
      <w:r>
        <w:rPr>
          <w:rFonts w:hint="eastAsia" w:ascii="宋体" w:hAnsi="宋体"/>
          <w:color w:val="auto"/>
          <w:szCs w:val="21"/>
          <w:highlight w:val="none"/>
        </w:rPr>
        <w:t>签名的地方，投标人可以将电子投标文件中要求签字的页面先打印并按招标文件要求签署后，再将该页扫描为图片格式，插入到电子投标文件中的相应页码中，生成完整的电子投标文件，再使用CA数字证书加盖电子签章后储存或加密上传，或将签字以图片的形式插入投标文件中。</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4.8.</w:t>
      </w:r>
      <w:r>
        <w:rPr>
          <w:rFonts w:hint="eastAsia" w:ascii="宋体" w:hAnsi="宋体"/>
          <w:color w:val="auto"/>
          <w:szCs w:val="21"/>
          <w:highlight w:val="none"/>
          <w:lang w:val="en-US" w:eastAsia="zh-CN"/>
        </w:rPr>
        <w:t>7</w:t>
      </w:r>
      <w:r>
        <w:rPr>
          <w:rFonts w:hint="eastAsia" w:ascii="宋体" w:hAnsi="宋体"/>
          <w:color w:val="auto"/>
          <w:szCs w:val="21"/>
          <w:highlight w:val="none"/>
        </w:rPr>
        <w:t>投标文件全部采用电子文档，电子投标文件的编制要求见投标人须知前附表。</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4.8.</w:t>
      </w:r>
      <w:r>
        <w:rPr>
          <w:rFonts w:hint="eastAsia" w:ascii="宋体" w:hAnsi="宋体"/>
          <w:color w:val="auto"/>
          <w:szCs w:val="21"/>
          <w:highlight w:val="none"/>
          <w:lang w:val="en-US" w:eastAsia="zh-CN"/>
        </w:rPr>
        <w:t>8</w:t>
      </w:r>
      <w:r>
        <w:rPr>
          <w:rFonts w:hint="eastAsia" w:ascii="宋体" w:hAnsi="宋体"/>
          <w:color w:val="auto"/>
          <w:szCs w:val="21"/>
          <w:highlight w:val="none"/>
        </w:rPr>
        <w:t>电子投标注意事项见投标人须知前附表。</w:t>
      </w:r>
    </w:p>
    <w:p>
      <w:pPr>
        <w:tabs>
          <w:tab w:val="left" w:pos="7665"/>
        </w:tabs>
        <w:spacing w:line="360" w:lineRule="auto"/>
        <w:ind w:left="13" w:leftChars="6" w:firstLine="420" w:firstLineChars="200"/>
        <w:rPr>
          <w:rFonts w:hint="eastAsia" w:ascii="宋体" w:hAnsi="宋体"/>
          <w:color w:val="auto"/>
          <w:szCs w:val="21"/>
          <w:highlight w:val="none"/>
        </w:rPr>
      </w:pPr>
      <w:r>
        <w:rPr>
          <w:rFonts w:hint="eastAsia" w:ascii="宋体" w:hAnsi="宋体"/>
          <w:color w:val="auto"/>
          <w:szCs w:val="21"/>
          <w:highlight w:val="none"/>
        </w:rPr>
        <w:t>4.8.</w:t>
      </w:r>
      <w:r>
        <w:rPr>
          <w:rFonts w:hint="eastAsia" w:ascii="宋体" w:hAnsi="宋体"/>
          <w:color w:val="auto"/>
          <w:szCs w:val="21"/>
          <w:highlight w:val="none"/>
          <w:lang w:val="en-US" w:eastAsia="zh-CN"/>
        </w:rPr>
        <w:t>9</w:t>
      </w:r>
      <w:r>
        <w:rPr>
          <w:rFonts w:hint="eastAsia" w:ascii="宋体" w:hAnsi="宋体"/>
          <w:color w:val="auto"/>
          <w:szCs w:val="21"/>
          <w:highlight w:val="none"/>
        </w:rPr>
        <w:t>电子投标文件解密失败处理措施见投标人须知前附表。</w:t>
      </w:r>
    </w:p>
    <w:p>
      <w:pPr>
        <w:pStyle w:val="4"/>
        <w:spacing w:after="120" w:afterLines="50" w:line="360" w:lineRule="auto"/>
        <w:jc w:val="left"/>
        <w:rPr>
          <w:rFonts w:hint="eastAsia" w:ascii="宋体" w:hAnsi="宋体" w:eastAsia="宋体" w:cs="宋体"/>
          <w:bCs/>
          <w:color w:val="auto"/>
          <w:szCs w:val="28"/>
          <w:highlight w:val="none"/>
        </w:rPr>
      </w:pPr>
      <w:bookmarkStart w:id="98" w:name="_Toc12330"/>
      <w:r>
        <w:rPr>
          <w:rFonts w:hint="eastAsia" w:ascii="宋体" w:hAnsi="宋体" w:eastAsia="宋体" w:cs="宋体"/>
          <w:bCs/>
          <w:color w:val="auto"/>
          <w:szCs w:val="28"/>
          <w:highlight w:val="none"/>
        </w:rPr>
        <w:t>5.投标</w:t>
      </w:r>
      <w:bookmarkEnd w:id="92"/>
      <w:bookmarkEnd w:id="98"/>
    </w:p>
    <w:bookmarkEnd w:id="93"/>
    <w:bookmarkEnd w:id="94"/>
    <w:bookmarkEnd w:id="95"/>
    <w:bookmarkEnd w:id="96"/>
    <w:bookmarkEnd w:id="97"/>
    <w:p>
      <w:pPr>
        <w:spacing w:line="360" w:lineRule="auto"/>
        <w:jc w:val="left"/>
        <w:rPr>
          <w:rFonts w:hint="eastAsia" w:ascii="宋体" w:hAnsi="宋体" w:cs="宋体"/>
          <w:b/>
          <w:color w:val="auto"/>
          <w:sz w:val="24"/>
          <w:highlight w:val="none"/>
        </w:rPr>
      </w:pPr>
      <w:bookmarkStart w:id="99" w:name="_Toc183582231"/>
      <w:bookmarkStart w:id="100" w:name="_Toc217446056"/>
      <w:bookmarkStart w:id="101" w:name="_Toc77400782"/>
      <w:bookmarkStart w:id="102" w:name="_Toc22603"/>
      <w:bookmarkStart w:id="103" w:name="_Toc89075878"/>
      <w:bookmarkStart w:id="104" w:name="_Toc183682368"/>
      <w:r>
        <w:rPr>
          <w:rFonts w:hint="eastAsia" w:ascii="宋体" w:hAnsi="宋体" w:cs="宋体"/>
          <w:b/>
          <w:color w:val="auto"/>
          <w:sz w:val="24"/>
          <w:highlight w:val="none"/>
        </w:rPr>
        <w:t>5.1 电子投标文件的加密和数字证书认证</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1</w:t>
      </w:r>
      <w:r>
        <w:rPr>
          <w:rFonts w:hint="eastAsia" w:ascii="宋体" w:hAnsi="宋体"/>
          <w:color w:val="auto"/>
          <w:szCs w:val="21"/>
          <w:highlight w:val="none"/>
        </w:rPr>
        <w:t>.1投标人应当按照招标文件和电子招标投标交易平台的要求加密投标文件，具体要求见投标人须知前附表。</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1</w:t>
      </w:r>
      <w:r>
        <w:rPr>
          <w:rFonts w:hint="eastAsia" w:ascii="宋体" w:hAnsi="宋体"/>
          <w:color w:val="auto"/>
          <w:szCs w:val="21"/>
          <w:highlight w:val="none"/>
        </w:rPr>
        <w:t>.2未按本章5.</w:t>
      </w:r>
      <w:r>
        <w:rPr>
          <w:rFonts w:hint="eastAsia" w:ascii="宋体" w:hAnsi="宋体"/>
          <w:color w:val="auto"/>
          <w:szCs w:val="21"/>
          <w:highlight w:val="none"/>
          <w:lang w:val="en-US" w:eastAsia="zh-CN"/>
        </w:rPr>
        <w:t>1</w:t>
      </w:r>
      <w:r>
        <w:rPr>
          <w:rFonts w:hint="eastAsia" w:ascii="宋体" w:hAnsi="宋体"/>
          <w:color w:val="auto"/>
          <w:szCs w:val="21"/>
          <w:highlight w:val="none"/>
        </w:rPr>
        <w:t>.1条款要求加密和数字证书认证的投标文件，采购人不予受理。</w:t>
      </w:r>
    </w:p>
    <w:p>
      <w:pPr>
        <w:spacing w:line="360" w:lineRule="auto"/>
        <w:jc w:val="left"/>
        <w:rPr>
          <w:rFonts w:hint="eastAsia" w:ascii="宋体" w:hAnsi="宋体" w:cs="宋体"/>
          <w:b/>
          <w:color w:val="auto"/>
          <w:sz w:val="24"/>
          <w:highlight w:val="none"/>
        </w:rPr>
      </w:pPr>
      <w:bookmarkStart w:id="105" w:name="_Toc183582227"/>
      <w:bookmarkStart w:id="106" w:name="_Toc183682364"/>
      <w:bookmarkStart w:id="107" w:name="_Toc217446054"/>
      <w:r>
        <w:rPr>
          <w:rFonts w:hint="eastAsia" w:ascii="宋体" w:hAnsi="宋体" w:cs="宋体"/>
          <w:b/>
          <w:color w:val="auto"/>
          <w:sz w:val="24"/>
          <w:highlight w:val="none"/>
        </w:rPr>
        <w:t>5.2 投标文件的</w:t>
      </w:r>
      <w:bookmarkEnd w:id="105"/>
      <w:bookmarkEnd w:id="106"/>
      <w:r>
        <w:rPr>
          <w:rFonts w:hint="eastAsia" w:ascii="宋体" w:hAnsi="宋体" w:cs="宋体"/>
          <w:b/>
          <w:color w:val="auto"/>
          <w:sz w:val="24"/>
          <w:highlight w:val="none"/>
        </w:rPr>
        <w:t>递交</w:t>
      </w:r>
      <w:bookmarkEnd w:id="107"/>
    </w:p>
    <w:p>
      <w:pPr>
        <w:tabs>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5.2.1 投标人应在投标人须知前附表规定的投标截止时间前递交投标文件。</w:t>
      </w:r>
    </w:p>
    <w:p>
      <w:pPr>
        <w:tabs>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5.2.2 投标人递交投标文件地点：见投标人须知前附表。</w:t>
      </w:r>
    </w:p>
    <w:p>
      <w:pPr>
        <w:tabs>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5.2.3 除投标人须知前附表另有规定外，投标人递交的投标文件不予退还。</w:t>
      </w:r>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5.2.4</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电子投标文件未在投标文件提交截止前完成上传的视为逾期送达。</w:t>
      </w:r>
    </w:p>
    <w:p>
      <w:pPr>
        <w:tabs>
          <w:tab w:val="left" w:pos="851"/>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5.2.5 逾期送达的投标文件，采购代理机构将予以拒收。</w:t>
      </w:r>
    </w:p>
    <w:p>
      <w:pPr>
        <w:pStyle w:val="6"/>
        <w:spacing w:before="120" w:beforeLines="50" w:after="120" w:afterLines="50" w:line="360" w:lineRule="auto"/>
        <w:ind w:firstLine="0"/>
        <w:rPr>
          <w:rFonts w:hint="eastAsia" w:ascii="宋体" w:hAnsi="宋体" w:cs="宋体"/>
          <w:b/>
          <w:color w:val="auto"/>
          <w:sz w:val="24"/>
          <w:szCs w:val="24"/>
          <w:highlight w:val="none"/>
        </w:rPr>
      </w:pPr>
      <w:bookmarkStart w:id="108" w:name="_Toc183582228"/>
      <w:bookmarkStart w:id="109" w:name="_Toc183682365"/>
      <w:bookmarkStart w:id="110" w:name="_Toc217446055"/>
      <w:r>
        <w:rPr>
          <w:rFonts w:hint="eastAsia" w:ascii="宋体" w:hAnsi="宋体" w:cs="宋体"/>
          <w:b/>
          <w:color w:val="auto"/>
          <w:sz w:val="24"/>
          <w:szCs w:val="24"/>
          <w:highlight w:val="none"/>
        </w:rPr>
        <w:t>5.3 投标文件的修改和撤</w:t>
      </w:r>
      <w:bookmarkEnd w:id="108"/>
      <w:bookmarkEnd w:id="109"/>
      <w:r>
        <w:rPr>
          <w:rFonts w:hint="eastAsia" w:ascii="宋体" w:hAnsi="宋体" w:cs="宋体"/>
          <w:b/>
          <w:color w:val="auto"/>
          <w:sz w:val="24"/>
          <w:szCs w:val="24"/>
          <w:highlight w:val="none"/>
        </w:rPr>
        <w:t>回</w:t>
      </w:r>
      <w:bookmarkEnd w:id="110"/>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5.3.1 在投标人须知前附表规定的投标截止时间前，投标人可以修改或撤回已递交的投标文件。</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5.3.2投标人对已提交的电子投标文件进行补充、修改的，应先从电子交易平台上撤回旧文件，再重新提交新文件。</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5.3.3 投标人对已提交的电子投标文件进行撤回的，直接从电子交易平台撤回投标文件即可。</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5.3.4在投标截止时间之后，投标人将无法对其提交的投标文件做任何修改或者撤回投标。</w:t>
      </w:r>
    </w:p>
    <w:p>
      <w:pPr>
        <w:pStyle w:val="4"/>
        <w:spacing w:after="120" w:afterLines="50" w:line="360" w:lineRule="auto"/>
        <w:jc w:val="left"/>
        <w:rPr>
          <w:rFonts w:hint="eastAsia" w:ascii="宋体" w:hAnsi="宋体" w:eastAsia="宋体" w:cs="宋体"/>
          <w:bCs/>
          <w:color w:val="auto"/>
          <w:szCs w:val="28"/>
          <w:highlight w:val="none"/>
        </w:rPr>
      </w:pPr>
      <w:bookmarkStart w:id="111" w:name="_Toc14371"/>
      <w:r>
        <w:rPr>
          <w:rFonts w:hint="eastAsia" w:ascii="宋体" w:hAnsi="宋体" w:eastAsia="宋体" w:cs="宋体"/>
          <w:bCs/>
          <w:color w:val="auto"/>
          <w:szCs w:val="28"/>
          <w:highlight w:val="none"/>
        </w:rPr>
        <w:t>6.开标</w:t>
      </w:r>
      <w:bookmarkEnd w:id="99"/>
      <w:bookmarkEnd w:id="100"/>
      <w:bookmarkEnd w:id="101"/>
      <w:bookmarkEnd w:id="102"/>
      <w:bookmarkEnd w:id="103"/>
      <w:bookmarkEnd w:id="104"/>
      <w:bookmarkEnd w:id="111"/>
    </w:p>
    <w:p>
      <w:pPr>
        <w:spacing w:line="360" w:lineRule="auto"/>
        <w:jc w:val="left"/>
        <w:rPr>
          <w:rFonts w:hint="eastAsia" w:ascii="宋体" w:hAnsi="宋体" w:cs="宋体"/>
          <w:b/>
          <w:color w:val="auto"/>
          <w:sz w:val="24"/>
          <w:highlight w:val="none"/>
        </w:rPr>
      </w:pPr>
      <w:bookmarkStart w:id="112" w:name="_Toc217446058"/>
      <w:r>
        <w:rPr>
          <w:rFonts w:hint="eastAsia" w:ascii="宋体" w:hAnsi="宋体" w:cs="宋体"/>
          <w:b/>
          <w:color w:val="auto"/>
          <w:sz w:val="24"/>
          <w:highlight w:val="none"/>
        </w:rPr>
        <w:t>6.1开标时间和地点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6.1.1 采购代理机构在投标人须知前附表中规定的投标截止时间（开标时间）</w:t>
      </w:r>
      <w:r>
        <w:rPr>
          <w:rFonts w:hint="eastAsia" w:ascii="宋体" w:hAnsi="宋体"/>
          <w:color w:val="auto"/>
          <w:szCs w:val="21"/>
          <w:highlight w:val="none"/>
          <w:lang w:eastAsia="zh-CN"/>
        </w:rPr>
        <w:t>、</w:t>
      </w:r>
      <w:r>
        <w:rPr>
          <w:rFonts w:hint="eastAsia" w:ascii="宋体" w:hAnsi="宋体"/>
          <w:color w:val="auto"/>
          <w:szCs w:val="21"/>
          <w:highlight w:val="none"/>
        </w:rPr>
        <w:t>地点</w:t>
      </w:r>
      <w:r>
        <w:rPr>
          <w:rFonts w:hint="eastAsia" w:ascii="宋体" w:hAnsi="宋体"/>
          <w:color w:val="auto"/>
          <w:szCs w:val="21"/>
          <w:highlight w:val="none"/>
          <w:lang w:eastAsia="zh-CN"/>
        </w:rPr>
        <w:t>及开标形式</w:t>
      </w:r>
      <w:r>
        <w:rPr>
          <w:rFonts w:hint="eastAsia" w:ascii="宋体" w:hAnsi="宋体"/>
          <w:color w:val="auto"/>
          <w:szCs w:val="21"/>
          <w:highlight w:val="none"/>
        </w:rPr>
        <w:t>公开开标，通过</w:t>
      </w:r>
      <w:r>
        <w:rPr>
          <w:rFonts w:hint="eastAsia" w:ascii="宋体" w:hAnsi="宋体"/>
          <w:color w:val="auto"/>
          <w:szCs w:val="21"/>
          <w:highlight w:val="none"/>
          <w:lang w:eastAsia="zh-CN"/>
        </w:rPr>
        <w:t>全国公共资源交易平台（陕西省·西安市）</w:t>
      </w:r>
      <w:r>
        <w:rPr>
          <w:rFonts w:hint="eastAsia" w:ascii="宋体" w:hAnsi="宋体"/>
          <w:color w:val="auto"/>
          <w:szCs w:val="21"/>
          <w:highlight w:val="none"/>
        </w:rPr>
        <w:t>“不见面开标大厅</w:t>
      </w:r>
      <w:r>
        <w:rPr>
          <w:rFonts w:hint="eastAsia" w:ascii="宋体" w:hAnsi="宋体"/>
          <w:color w:val="auto"/>
          <w:szCs w:val="21"/>
          <w:highlight w:val="none"/>
          <w:lang w:eastAsia="zh-CN"/>
        </w:rPr>
        <w:t>”</w:t>
      </w:r>
      <w:r>
        <w:rPr>
          <w:rFonts w:hint="eastAsia" w:ascii="宋体" w:hAnsi="宋体"/>
          <w:color w:val="auto"/>
          <w:szCs w:val="21"/>
          <w:highlight w:val="none"/>
        </w:rPr>
        <w:t>公开开标，所有投标人的法定代表人或其委托代理人应当准时参加。</w:t>
      </w:r>
    </w:p>
    <w:p>
      <w:pPr>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6.1.2 投标人未参加开标的，视同认可开标结果。</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6.1.3 开标时，招标代理机构邀请有关监督管理机构对开标进行现场监督。</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6.1.4 投标人不足3家的，不得开标。</w:t>
      </w:r>
    </w:p>
    <w:p>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6.2 开标程序</w:t>
      </w:r>
      <w:bookmarkEnd w:id="112"/>
    </w:p>
    <w:p>
      <w:pPr>
        <w:pStyle w:val="23"/>
        <w:ind w:firstLine="422"/>
        <w:rPr>
          <w:rFonts w:hint="eastAsia" w:ascii="宋体" w:hAnsi="宋体" w:eastAsia="宋体"/>
          <w:b/>
          <w:color w:val="auto"/>
          <w:sz w:val="21"/>
          <w:szCs w:val="21"/>
          <w:highlight w:val="none"/>
        </w:rPr>
      </w:pPr>
      <w:bookmarkStart w:id="113" w:name="_Toc6665"/>
      <w:bookmarkStart w:id="114" w:name="_Toc217446059"/>
      <w:r>
        <w:rPr>
          <w:rFonts w:hint="eastAsia" w:ascii="宋体" w:hAnsi="宋体" w:eastAsia="宋体"/>
          <w:b/>
          <w:color w:val="auto"/>
          <w:sz w:val="21"/>
          <w:szCs w:val="21"/>
          <w:highlight w:val="none"/>
        </w:rPr>
        <w:t>6.2.1 不见面开标</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6.2.1.1 </w:t>
      </w:r>
      <w:r>
        <w:rPr>
          <w:rFonts w:hint="eastAsia" w:ascii="宋体" w:hAnsi="宋体"/>
          <w:b/>
          <w:color w:val="auto"/>
          <w:szCs w:val="21"/>
          <w:highlight w:val="none"/>
        </w:rPr>
        <w:t>投标人须知前附表规定本项目（包）进行不见面开标的，适用本条款。</w:t>
      </w:r>
      <w:r>
        <w:rPr>
          <w:rFonts w:hint="eastAsia" w:ascii="宋体" w:hAnsi="宋体"/>
          <w:color w:val="auto"/>
          <w:szCs w:val="21"/>
          <w:highlight w:val="none"/>
        </w:rPr>
        <w:t>“不见面开标”是依托</w:t>
      </w:r>
      <w:r>
        <w:rPr>
          <w:rFonts w:hint="eastAsia" w:ascii="宋体" w:hAnsi="宋体"/>
          <w:color w:val="auto"/>
          <w:szCs w:val="21"/>
          <w:highlight w:val="none"/>
          <w:lang w:eastAsia="zh-CN"/>
        </w:rPr>
        <w:t>全国公共资源交易平台（陕西省·西安市）</w:t>
      </w:r>
      <w:r>
        <w:rPr>
          <w:rFonts w:hint="eastAsia" w:ascii="宋体" w:hAnsi="宋体"/>
          <w:color w:val="auto"/>
          <w:szCs w:val="21"/>
          <w:highlight w:val="none"/>
        </w:rPr>
        <w:t>实现的投标人远程在线参与开标的一种组织形式。投标人无需抵达开标现场，即可在线实现开标、解密、澄清等操作。</w:t>
      </w:r>
    </w:p>
    <w:p>
      <w:pPr>
        <w:spacing w:line="360" w:lineRule="auto"/>
        <w:ind w:firstLine="630" w:firstLineChars="300"/>
        <w:rPr>
          <w:color w:val="auto"/>
          <w:highlight w:val="none"/>
        </w:rPr>
      </w:pPr>
      <w:r>
        <w:rPr>
          <w:rFonts w:hint="eastAsia" w:ascii="宋体" w:hAnsi="宋体"/>
          <w:color w:val="auto"/>
          <w:szCs w:val="21"/>
          <w:highlight w:val="none"/>
        </w:rPr>
        <w:t xml:space="preserve">6.2.1.2 </w:t>
      </w:r>
      <w:r>
        <w:rPr>
          <w:rFonts w:hint="eastAsia" w:ascii="宋体" w:hAnsi="宋体"/>
          <w:b/>
          <w:color w:val="auto"/>
          <w:szCs w:val="21"/>
          <w:highlight w:val="none"/>
        </w:rPr>
        <w:t>建议：</w:t>
      </w:r>
      <w:r>
        <w:rPr>
          <w:rFonts w:hint="eastAsia" w:ascii="宋体" w:hAnsi="宋体"/>
          <w:color w:val="auto"/>
          <w:szCs w:val="21"/>
          <w:highlight w:val="none"/>
        </w:rPr>
        <w:t>为顺利实现本项目开评标的远程交互，建议投标人配置较高的硬件设施，包括高配置电脑、高速稳定的网络、电源（不间断）、</w:t>
      </w:r>
      <w:r>
        <w:rPr>
          <w:rFonts w:ascii="宋体" w:hAnsi="宋体"/>
          <w:color w:val="auto"/>
          <w:szCs w:val="21"/>
          <w:highlight w:val="none"/>
        </w:rPr>
        <w:t>CA</w:t>
      </w:r>
      <w:r>
        <w:rPr>
          <w:rFonts w:hint="eastAsia" w:ascii="宋体" w:hAnsi="宋体"/>
          <w:color w:val="auto"/>
          <w:szCs w:val="21"/>
          <w:highlight w:val="none"/>
        </w:rPr>
        <w:t>锁、音视频设备（话筒、耳麦、高清摄像头、音响等），使用</w:t>
      </w:r>
      <w:r>
        <w:rPr>
          <w:rFonts w:ascii="宋体" w:hAnsi="宋体"/>
          <w:color w:val="auto"/>
          <w:szCs w:val="21"/>
          <w:highlight w:val="none"/>
        </w:rPr>
        <w:t>IE11</w:t>
      </w:r>
      <w:r>
        <w:rPr>
          <w:rFonts w:hint="eastAsia" w:ascii="宋体" w:hAnsi="宋体"/>
          <w:color w:val="auto"/>
          <w:szCs w:val="21"/>
          <w:highlight w:val="none"/>
        </w:rPr>
        <w:t>浏览器，且电脑已经正确安装了陕西省公共资源交易平台</w:t>
      </w:r>
      <w:r>
        <w:rPr>
          <w:rFonts w:ascii="宋体" w:hAnsi="宋体"/>
          <w:color w:val="auto"/>
          <w:szCs w:val="21"/>
          <w:highlight w:val="none"/>
        </w:rPr>
        <w:t>CA</w:t>
      </w:r>
      <w:r>
        <w:rPr>
          <w:rFonts w:hint="eastAsia" w:ascii="宋体" w:hAnsi="宋体"/>
          <w:color w:val="auto"/>
          <w:szCs w:val="21"/>
          <w:highlight w:val="none"/>
        </w:rPr>
        <w:t>驱动。</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 xml:space="preserve">6.2.1.3 </w:t>
      </w:r>
      <w:r>
        <w:rPr>
          <w:rFonts w:hint="eastAsia" w:ascii="宋体" w:hAnsi="宋体"/>
          <w:b/>
          <w:color w:val="auto"/>
          <w:szCs w:val="21"/>
          <w:highlight w:val="none"/>
        </w:rPr>
        <w:t>投标人登录签到：</w:t>
      </w:r>
      <w:r>
        <w:rPr>
          <w:rFonts w:hint="eastAsia" w:ascii="宋体" w:hAnsi="宋体"/>
          <w:color w:val="auto"/>
          <w:szCs w:val="21"/>
          <w:highlight w:val="none"/>
        </w:rPr>
        <w:t>开标前，请各投标人至少提前1小时登录</w:t>
      </w:r>
      <w:r>
        <w:rPr>
          <w:rFonts w:hint="eastAsia" w:ascii="宋体" w:hAnsi="宋体"/>
          <w:color w:val="auto"/>
          <w:szCs w:val="21"/>
          <w:highlight w:val="none"/>
          <w:lang w:eastAsia="zh-CN"/>
        </w:rPr>
        <w:t>全国公共资源交易平台（陕西省·西安市）</w:t>
      </w:r>
      <w:r>
        <w:rPr>
          <w:rFonts w:hint="eastAsia" w:ascii="宋体" w:hAnsi="宋体"/>
          <w:color w:val="auto"/>
          <w:szCs w:val="21"/>
          <w:highlight w:val="none"/>
        </w:rPr>
        <w:t>进入不见面开标大厅（首页→电子交易平台→</w:t>
      </w:r>
      <w:r>
        <w:rPr>
          <w:rFonts w:hint="eastAsia" w:ascii="宋体" w:hAnsi="宋体"/>
          <w:color w:val="auto"/>
          <w:szCs w:val="21"/>
          <w:highlight w:val="none"/>
          <w:lang w:eastAsia="zh-CN"/>
        </w:rPr>
        <w:t>西安市</w:t>
      </w:r>
      <w:r>
        <w:rPr>
          <w:rFonts w:hint="eastAsia" w:ascii="宋体" w:hAnsi="宋体"/>
          <w:color w:val="auto"/>
          <w:szCs w:val="21"/>
          <w:highlight w:val="none"/>
        </w:rPr>
        <w:t>公共资源交易不见面开标系统），并及时签到（开标前</w:t>
      </w:r>
      <w:r>
        <w:rPr>
          <w:rFonts w:ascii="宋体" w:hAnsi="宋体"/>
          <w:color w:val="auto"/>
          <w:szCs w:val="21"/>
          <w:highlight w:val="none"/>
        </w:rPr>
        <w:t>60</w:t>
      </w:r>
      <w:r>
        <w:rPr>
          <w:rFonts w:hint="eastAsia" w:ascii="宋体" w:hAnsi="宋体"/>
          <w:color w:val="auto"/>
          <w:szCs w:val="21"/>
          <w:highlight w:val="none"/>
        </w:rPr>
        <w:t>分钟开始签到），遇到问题可寻求技术支持029-33585729</w:t>
      </w:r>
      <w:r>
        <w:rPr>
          <w:rFonts w:ascii="宋体" w:hAnsi="宋体"/>
          <w:color w:val="auto"/>
          <w:szCs w:val="21"/>
          <w:highlight w:val="none"/>
        </w:rPr>
        <w:t>。</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6.2.1.4 </w:t>
      </w:r>
      <w:r>
        <w:rPr>
          <w:rFonts w:hint="eastAsia" w:ascii="宋体" w:hAnsi="宋体"/>
          <w:b/>
          <w:color w:val="auto"/>
          <w:szCs w:val="21"/>
          <w:highlight w:val="none"/>
        </w:rPr>
        <w:t>主持人宣布开标：</w:t>
      </w:r>
      <w:r>
        <w:rPr>
          <w:rFonts w:hint="eastAsia" w:ascii="宋体" w:hAnsi="宋体"/>
          <w:color w:val="auto"/>
          <w:szCs w:val="21"/>
          <w:highlight w:val="none"/>
        </w:rPr>
        <w:t>超过提交投标文件截止时间的，电子交易平台将不再接收任何投标文件。</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6.2.1.5 </w:t>
      </w:r>
      <w:r>
        <w:rPr>
          <w:rFonts w:hint="eastAsia" w:ascii="宋体" w:hAnsi="宋体"/>
          <w:b/>
          <w:color w:val="auto"/>
          <w:szCs w:val="21"/>
          <w:highlight w:val="none"/>
        </w:rPr>
        <w:t>解密投标文件：</w:t>
      </w:r>
      <w:r>
        <w:rPr>
          <w:rFonts w:hint="eastAsia" w:ascii="宋体" w:hAnsi="宋体"/>
          <w:color w:val="auto"/>
          <w:szCs w:val="21"/>
          <w:highlight w:val="none"/>
        </w:rPr>
        <w:t>投标人在收到主持人“开始解密”指令后，应当使用“加密该投标文件的CA锁（确保是同一把锁）”在线完成投标文件远程解密。除因“</w:t>
      </w:r>
      <w:r>
        <w:rPr>
          <w:rFonts w:hint="eastAsia" w:ascii="宋体" w:hAnsi="宋体"/>
          <w:color w:val="auto"/>
          <w:szCs w:val="21"/>
          <w:highlight w:val="none"/>
          <w:lang w:eastAsia="zh-CN"/>
        </w:rPr>
        <w:t>西安市</w:t>
      </w:r>
      <w:r>
        <w:rPr>
          <w:rFonts w:hint="eastAsia" w:ascii="宋体" w:hAnsi="宋体"/>
          <w:color w:val="auto"/>
          <w:szCs w:val="21"/>
          <w:highlight w:val="none"/>
        </w:rPr>
        <w:t>公共资源交易中心</w:t>
      </w:r>
      <w:r>
        <w:rPr>
          <w:rFonts w:ascii="宋体" w:hAnsi="宋体"/>
          <w:color w:val="auto"/>
          <w:szCs w:val="21"/>
          <w:highlight w:val="none"/>
        </w:rPr>
        <w:t>”</w:t>
      </w:r>
      <w:r>
        <w:rPr>
          <w:rFonts w:hint="eastAsia" w:ascii="宋体" w:hAnsi="宋体"/>
          <w:color w:val="auto"/>
          <w:szCs w:val="21"/>
          <w:highlight w:val="none"/>
        </w:rPr>
        <w:t>断电、断网、系统故障及其他不可抗力等因素，导致“不见面开标”系统无法正常运行外，投标人应在规定的解密时间内完成解密。</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val="en-US" w:eastAsia="zh-CN"/>
        </w:rPr>
        <w:t>6.2.1.6</w:t>
      </w:r>
      <w:r>
        <w:rPr>
          <w:rFonts w:hint="eastAsia" w:ascii="宋体" w:hAnsi="宋体"/>
          <w:b/>
          <w:color w:val="auto"/>
          <w:szCs w:val="21"/>
          <w:highlight w:val="none"/>
          <w:lang w:eastAsia="zh-CN"/>
        </w:rPr>
        <w:t>批量导入投标文件：</w:t>
      </w:r>
      <w:r>
        <w:rPr>
          <w:rFonts w:hint="eastAsia" w:ascii="宋体" w:hAnsi="宋体"/>
          <w:color w:val="auto"/>
          <w:szCs w:val="21"/>
          <w:highlight w:val="none"/>
          <w:lang w:eastAsia="zh-CN"/>
        </w:rPr>
        <w:t>采购</w:t>
      </w:r>
      <w:r>
        <w:rPr>
          <w:rFonts w:hint="eastAsia" w:ascii="宋体" w:hAnsi="宋体"/>
          <w:color w:val="auto"/>
          <w:szCs w:val="21"/>
          <w:highlight w:val="none"/>
        </w:rPr>
        <w:t>代理</w:t>
      </w:r>
      <w:r>
        <w:rPr>
          <w:rFonts w:hint="eastAsia" w:ascii="宋体" w:hAnsi="宋体"/>
          <w:color w:val="auto"/>
          <w:szCs w:val="21"/>
          <w:highlight w:val="none"/>
          <w:lang w:eastAsia="zh-CN"/>
        </w:rPr>
        <w:t>机构</w:t>
      </w:r>
      <w:r>
        <w:rPr>
          <w:rFonts w:hint="eastAsia" w:ascii="宋体" w:hAnsi="宋体"/>
          <w:color w:val="auto"/>
          <w:szCs w:val="21"/>
          <w:highlight w:val="none"/>
        </w:rPr>
        <w:t>在</w:t>
      </w:r>
      <w:r>
        <w:rPr>
          <w:rFonts w:hint="eastAsia" w:ascii="宋体" w:hAnsi="宋体"/>
          <w:color w:val="auto"/>
          <w:szCs w:val="21"/>
          <w:highlight w:val="none"/>
          <w:lang w:eastAsia="zh-CN"/>
        </w:rPr>
        <w:t>“</w:t>
      </w:r>
      <w:r>
        <w:rPr>
          <w:rFonts w:hint="eastAsia" w:ascii="宋体" w:hAnsi="宋体"/>
          <w:color w:val="auto"/>
          <w:szCs w:val="21"/>
          <w:highlight w:val="none"/>
        </w:rPr>
        <w:t>不见面开标</w:t>
      </w:r>
      <w:r>
        <w:rPr>
          <w:rFonts w:hint="eastAsia" w:ascii="宋体" w:hAnsi="宋体"/>
          <w:color w:val="auto"/>
          <w:szCs w:val="21"/>
          <w:highlight w:val="none"/>
          <w:lang w:eastAsia="zh-CN"/>
        </w:rPr>
        <w:t>”</w:t>
      </w:r>
      <w:r>
        <w:rPr>
          <w:rFonts w:hint="eastAsia" w:ascii="宋体" w:hAnsi="宋体"/>
          <w:color w:val="auto"/>
          <w:szCs w:val="21"/>
          <w:highlight w:val="none"/>
        </w:rPr>
        <w:t>系统点击批量导入按钮，完成批量导入操作。</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6.2.1.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w:t>
      </w:r>
      <w:r>
        <w:rPr>
          <w:rFonts w:hint="eastAsia" w:ascii="宋体" w:hAnsi="宋体"/>
          <w:b/>
          <w:color w:val="auto"/>
          <w:szCs w:val="21"/>
          <w:highlight w:val="none"/>
        </w:rPr>
        <w:t>唱标：</w:t>
      </w:r>
      <w:r>
        <w:rPr>
          <w:rFonts w:hint="eastAsia" w:ascii="宋体" w:hAnsi="宋体"/>
          <w:color w:val="auto"/>
          <w:szCs w:val="21"/>
          <w:highlight w:val="none"/>
        </w:rPr>
        <w:t>“不见面开标”系统将自动展示投标人名单及其投标报价。</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6.2.1.</w:t>
      </w:r>
      <w:r>
        <w:rPr>
          <w:rFonts w:hint="eastAsia" w:ascii="宋体" w:hAnsi="宋体"/>
          <w:color w:val="auto"/>
          <w:szCs w:val="21"/>
          <w:highlight w:val="none"/>
          <w:lang w:val="en-US" w:eastAsia="zh-CN"/>
        </w:rPr>
        <w:t>8</w:t>
      </w:r>
      <w:r>
        <w:rPr>
          <w:rFonts w:hint="eastAsia" w:ascii="宋体" w:hAnsi="宋体"/>
          <w:color w:val="auto"/>
          <w:szCs w:val="21"/>
          <w:highlight w:val="none"/>
        </w:rPr>
        <w:t xml:space="preserve"> </w:t>
      </w:r>
      <w:r>
        <w:rPr>
          <w:rFonts w:hint="eastAsia" w:ascii="宋体" w:hAnsi="宋体"/>
          <w:b/>
          <w:color w:val="auto"/>
          <w:szCs w:val="21"/>
          <w:highlight w:val="none"/>
        </w:rPr>
        <w:t>开标结束：</w:t>
      </w:r>
      <w:r>
        <w:rPr>
          <w:rFonts w:hint="eastAsia" w:ascii="宋体" w:hAnsi="宋体"/>
          <w:color w:val="auto"/>
          <w:szCs w:val="21"/>
          <w:highlight w:val="none"/>
        </w:rPr>
        <w:t>开标结束后进入评标环节，投标人应保持在线，评标期间评标委员会可能会要求投标人做必要的澄清、说明和纠正。因投标人擅自离席造成的不利后果，由投标人自行承担。</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6.2.1.</w:t>
      </w:r>
      <w:r>
        <w:rPr>
          <w:rFonts w:hint="eastAsia" w:ascii="宋体" w:hAnsi="宋体"/>
          <w:color w:val="auto"/>
          <w:szCs w:val="21"/>
          <w:highlight w:val="none"/>
          <w:lang w:val="en-US" w:eastAsia="zh-CN"/>
        </w:rPr>
        <w:t>9</w:t>
      </w:r>
      <w:r>
        <w:rPr>
          <w:rFonts w:hint="eastAsia" w:ascii="宋体" w:hAnsi="宋体"/>
          <w:color w:val="auto"/>
          <w:szCs w:val="21"/>
          <w:highlight w:val="none"/>
        </w:rPr>
        <w:t xml:space="preserve"> </w:t>
      </w:r>
      <w:r>
        <w:rPr>
          <w:rFonts w:hint="eastAsia" w:ascii="宋体" w:hAnsi="宋体"/>
          <w:b/>
          <w:color w:val="auto"/>
          <w:szCs w:val="21"/>
          <w:highlight w:val="none"/>
        </w:rPr>
        <w:t>开标文字咨询：</w:t>
      </w:r>
      <w:r>
        <w:rPr>
          <w:rFonts w:hint="eastAsia" w:ascii="宋体" w:hAnsi="宋体"/>
          <w:color w:val="auto"/>
          <w:szCs w:val="21"/>
          <w:highlight w:val="none"/>
        </w:rPr>
        <w:t>投标人对开标过程有疑问的，可通过开标咨询文字提问进行，投标人也可通过咨询查看功能查看自己或其他投标人提出的咨询及交易平台回复内容。</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6.2.1.</w:t>
      </w:r>
      <w:r>
        <w:rPr>
          <w:rFonts w:hint="eastAsia" w:ascii="宋体" w:hAnsi="宋体"/>
          <w:color w:val="auto"/>
          <w:szCs w:val="21"/>
          <w:highlight w:val="none"/>
          <w:lang w:val="en-US" w:eastAsia="zh-CN"/>
        </w:rPr>
        <w:t>10</w:t>
      </w:r>
      <w:r>
        <w:rPr>
          <w:rFonts w:hint="eastAsia" w:ascii="宋体" w:hAnsi="宋体"/>
          <w:color w:val="auto"/>
          <w:szCs w:val="21"/>
          <w:highlight w:val="none"/>
        </w:rPr>
        <w:t xml:space="preserve"> </w:t>
      </w:r>
      <w:r>
        <w:rPr>
          <w:rFonts w:hint="eastAsia" w:ascii="宋体" w:hAnsi="宋体"/>
          <w:b/>
          <w:color w:val="auto"/>
          <w:szCs w:val="21"/>
          <w:highlight w:val="none"/>
        </w:rPr>
        <w:t>互动交流：</w:t>
      </w:r>
      <w:r>
        <w:rPr>
          <w:rFonts w:hint="eastAsia" w:ascii="宋体" w:hAnsi="宋体"/>
          <w:color w:val="auto"/>
          <w:szCs w:val="21"/>
          <w:highlight w:val="none"/>
        </w:rPr>
        <w:t>投标人可在互动交流页面查看代理机构发出的文字、语音信息，当代理发起群聊的时候，投标人可以文字、语音方式在其中进行响应或回复。</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6.2.</w:t>
      </w:r>
      <w:r>
        <w:rPr>
          <w:rFonts w:hint="eastAsia" w:ascii="宋体" w:hAnsi="宋体"/>
          <w:b/>
          <w:color w:val="auto"/>
          <w:szCs w:val="21"/>
          <w:highlight w:val="none"/>
          <w:lang w:val="en-US" w:eastAsia="zh-CN"/>
        </w:rPr>
        <w:t>2</w:t>
      </w:r>
      <w:r>
        <w:rPr>
          <w:rFonts w:hint="eastAsia" w:ascii="宋体" w:hAnsi="宋体"/>
          <w:b/>
          <w:color w:val="auto"/>
          <w:szCs w:val="21"/>
          <w:highlight w:val="none"/>
        </w:rPr>
        <w:t xml:space="preserve">  </w:t>
      </w:r>
      <w:r>
        <w:rPr>
          <w:rFonts w:hint="eastAsia" w:ascii="宋体" w:hAnsi="宋体"/>
          <w:color w:val="auto"/>
          <w:szCs w:val="21"/>
          <w:highlight w:val="none"/>
        </w:rPr>
        <w:t>开标环节投标人存在以下情形之一的</w:t>
      </w:r>
      <w:r>
        <w:rPr>
          <w:rFonts w:hint="eastAsia" w:ascii="宋体" w:hAnsi="宋体"/>
          <w:b/>
          <w:color w:val="auto"/>
          <w:szCs w:val="21"/>
          <w:highlight w:val="none"/>
        </w:rPr>
        <w:t>，其投标无效：</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（1）投标人放弃或拒绝对电子投标文件进行解密的；</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（2）投标人上传的电子投标文件无法正常打开的；</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（3）因投标人自身原因，导致未在规定的解密时限内完整解密的（如忘带CA锁、或CA锁与加密文件的CA锁不同等）；</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（4）法律法规规定的其他无效情形。</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6.2.</w:t>
      </w:r>
      <w:r>
        <w:rPr>
          <w:rFonts w:hint="eastAsia" w:ascii="宋体" w:hAnsi="宋体"/>
          <w:b/>
          <w:color w:val="auto"/>
          <w:szCs w:val="21"/>
          <w:highlight w:val="none"/>
          <w:lang w:val="en-US" w:eastAsia="zh-CN"/>
        </w:rPr>
        <w:t>3</w:t>
      </w:r>
      <w:r>
        <w:rPr>
          <w:rFonts w:hint="eastAsia" w:ascii="宋体" w:hAnsi="宋体"/>
          <w:b/>
          <w:color w:val="auto"/>
          <w:szCs w:val="21"/>
          <w:highlight w:val="none"/>
        </w:rPr>
        <w:t xml:space="preserve"> 突发状况的应急处置</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在开评标过程中，因停电、断网、电子交易系统故障等特殊情况导致电子开标、评标工作无法正常进行的，采购代理机构应当及时向政府采购监管部门报告，并等待指令，是否中止后续采购活动。</w:t>
      </w:r>
    </w:p>
    <w:p>
      <w:pPr>
        <w:pStyle w:val="4"/>
        <w:spacing w:after="120" w:afterLines="50" w:line="360" w:lineRule="auto"/>
        <w:jc w:val="left"/>
        <w:rPr>
          <w:rFonts w:hint="eastAsia" w:ascii="宋体" w:hAnsi="宋体" w:eastAsia="宋体" w:cs="宋体"/>
          <w:bCs/>
          <w:color w:val="auto"/>
          <w:szCs w:val="28"/>
          <w:highlight w:val="none"/>
        </w:rPr>
      </w:pPr>
      <w:bookmarkStart w:id="115" w:name="_Toc1945"/>
      <w:r>
        <w:rPr>
          <w:rFonts w:hint="eastAsia" w:ascii="宋体" w:hAnsi="宋体" w:eastAsia="宋体" w:cs="宋体"/>
          <w:bCs/>
          <w:color w:val="auto"/>
          <w:szCs w:val="28"/>
          <w:highlight w:val="none"/>
        </w:rPr>
        <w:t>7.资格审查</w:t>
      </w:r>
      <w:bookmarkEnd w:id="113"/>
      <w:bookmarkEnd w:id="115"/>
    </w:p>
    <w:p>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7.1 资格审查小组</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7.1.1按照《政府采购货物和服务招标投标管理办法》（财政部第87号令）有关规定，采购人或者采购代理机构依法对投标人的资格进行审查，并组建资格审查小组。</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7.1.2 资格审查小组，由</w:t>
      </w:r>
      <w:r>
        <w:rPr>
          <w:rFonts w:hint="eastAsia" w:ascii="宋体" w:hAnsi="宋体"/>
          <w:color w:val="auto"/>
          <w:szCs w:val="21"/>
          <w:highlight w:val="none"/>
          <w:lang w:val="en-US" w:eastAsia="zh-CN"/>
        </w:rPr>
        <w:t>2</w:t>
      </w:r>
      <w:r>
        <w:rPr>
          <w:rFonts w:hint="eastAsia" w:ascii="宋体" w:hAnsi="宋体"/>
          <w:color w:val="auto"/>
          <w:szCs w:val="21"/>
          <w:highlight w:val="none"/>
        </w:rPr>
        <w:t>名采购人代表和</w:t>
      </w:r>
      <w:r>
        <w:rPr>
          <w:rFonts w:hint="eastAsia" w:ascii="宋体" w:hAnsi="宋体"/>
          <w:color w:val="auto"/>
          <w:szCs w:val="21"/>
          <w:highlight w:val="none"/>
          <w:lang w:val="en-US" w:eastAsia="zh-CN"/>
        </w:rPr>
        <w:t>1</w:t>
      </w:r>
      <w:r>
        <w:rPr>
          <w:rFonts w:hint="eastAsia" w:ascii="宋体" w:hAnsi="宋体"/>
          <w:color w:val="auto"/>
          <w:szCs w:val="21"/>
          <w:highlight w:val="none"/>
        </w:rPr>
        <w:t>名采购代理机构工作人员组成，采购代理机构项目经理担任资格审查小组组长。</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7.1.3 资格审查小组成立后，全体小组成员应当在签到表中签到。</w:t>
      </w:r>
    </w:p>
    <w:p>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7.2 资格审查办法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7.2.1资格审查小组根据招标文件第三章“资格审查办法”规定的方法、标准和程序，对投标人的资格进行审查。 “资格审查办法”没有规定的方法、标准，不作为审查的依据。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7.2.2 《投标人资格审查表》应当经资格审查小组全体成员签名确认</w:t>
      </w:r>
      <w:r>
        <w:rPr>
          <w:rFonts w:hint="eastAsia" w:ascii="宋体" w:hAnsi="宋体"/>
          <w:color w:val="auto"/>
          <w:szCs w:val="21"/>
          <w:highlight w:val="none"/>
          <w:lang w:eastAsia="zh-CN"/>
        </w:rPr>
        <w:t>，</w:t>
      </w:r>
      <w:r>
        <w:rPr>
          <w:rFonts w:hint="eastAsia" w:ascii="宋体" w:hAnsi="宋体"/>
          <w:color w:val="auto"/>
          <w:szCs w:val="21"/>
          <w:highlight w:val="none"/>
        </w:rPr>
        <w:t>以采购代理机构名义向采购人提交。采购人确认</w:t>
      </w:r>
      <w:r>
        <w:rPr>
          <w:rFonts w:hint="eastAsia" w:ascii="宋体" w:hAnsi="宋体"/>
          <w:color w:val="auto"/>
          <w:szCs w:val="21"/>
          <w:highlight w:val="none"/>
          <w:lang w:val="en-US" w:eastAsia="zh-CN"/>
        </w:rPr>
        <w:t>签字</w:t>
      </w:r>
      <w:r>
        <w:rPr>
          <w:rFonts w:hint="eastAsia" w:ascii="宋体" w:hAnsi="宋体"/>
          <w:color w:val="auto"/>
          <w:szCs w:val="21"/>
          <w:highlight w:val="none"/>
        </w:rPr>
        <w:t>后随采购文件一并存档。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7.2.3对未通过资格审查的投标人，资格审查小组应当场告知其未通过的原因。</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7.2.4信用查询结果的截屏资料，作为资格审查</w:t>
      </w:r>
      <w:r>
        <w:rPr>
          <w:rFonts w:hint="eastAsia" w:ascii="宋体" w:hAnsi="宋体" w:cs="宋体"/>
          <w:color w:val="auto"/>
          <w:kern w:val="0"/>
          <w:szCs w:val="21"/>
          <w:highlight w:val="none"/>
          <w:lang w:val="en-US" w:eastAsia="zh-CN"/>
        </w:rPr>
        <w:t>表</w:t>
      </w:r>
      <w:r>
        <w:rPr>
          <w:rFonts w:hint="eastAsia" w:ascii="宋体" w:hAnsi="宋体" w:cs="宋体"/>
          <w:color w:val="auto"/>
          <w:kern w:val="0"/>
          <w:szCs w:val="21"/>
          <w:highlight w:val="none"/>
        </w:rPr>
        <w:t>附件随采购文件一起存档。</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7.2.5</w:t>
      </w:r>
      <w:r>
        <w:rPr>
          <w:rFonts w:hint="eastAsia" w:ascii="宋体" w:hAnsi="宋体"/>
          <w:color w:val="auto"/>
          <w:szCs w:val="21"/>
          <w:highlight w:val="none"/>
        </w:rPr>
        <w:t>资格审查结束后，采购代理机构应将资格审查结果告知评标委员会。</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7.2.6合格投标人不足2家的，不得评审。</w:t>
      </w:r>
    </w:p>
    <w:p>
      <w:pPr>
        <w:spacing w:line="360" w:lineRule="auto"/>
        <w:rPr>
          <w:rFonts w:hint="eastAsia" w:ascii="宋体" w:hAnsi="宋体"/>
          <w:color w:val="auto"/>
          <w:szCs w:val="21"/>
          <w:highlight w:val="none"/>
        </w:rPr>
      </w:pPr>
      <w:r>
        <w:rPr>
          <w:rFonts w:hint="eastAsia" w:ascii="宋体" w:hAnsi="宋体"/>
          <w:b/>
          <w:color w:val="auto"/>
          <w:szCs w:val="21"/>
          <w:highlight w:val="none"/>
        </w:rPr>
        <w:t xml:space="preserve">    7.2.7不合格的投标人，不得进入评标环节。</w:t>
      </w:r>
    </w:p>
    <w:p>
      <w:pPr>
        <w:pStyle w:val="4"/>
        <w:spacing w:after="120" w:afterLines="50" w:line="360" w:lineRule="auto"/>
        <w:jc w:val="left"/>
        <w:rPr>
          <w:rFonts w:hint="eastAsia" w:ascii="宋体" w:hAnsi="宋体" w:eastAsia="宋体" w:cs="宋体"/>
          <w:bCs/>
          <w:color w:val="auto"/>
          <w:szCs w:val="28"/>
          <w:highlight w:val="none"/>
        </w:rPr>
      </w:pPr>
      <w:bookmarkStart w:id="116" w:name="_Toc8647"/>
      <w:bookmarkStart w:id="117" w:name="_Toc24124"/>
      <w:r>
        <w:rPr>
          <w:rFonts w:hint="eastAsia" w:ascii="宋体" w:hAnsi="宋体" w:eastAsia="宋体" w:cs="宋体"/>
          <w:bCs/>
          <w:color w:val="auto"/>
          <w:szCs w:val="28"/>
          <w:highlight w:val="none"/>
        </w:rPr>
        <w:t>8.评标</w:t>
      </w:r>
      <w:bookmarkEnd w:id="116"/>
      <w:bookmarkEnd w:id="117"/>
    </w:p>
    <w:p>
      <w:pPr>
        <w:spacing w:after="120" w:afterLines="50" w:line="360" w:lineRule="auto"/>
        <w:ind w:left="117" w:leftChars="50" w:hanging="12" w:hangingChars="5"/>
        <w:rPr>
          <w:rFonts w:hint="eastAsia" w:ascii="宋体" w:hAnsi="宋体" w:cs="宋体"/>
          <w:color w:val="auto"/>
          <w:sz w:val="24"/>
          <w:highlight w:val="none"/>
        </w:rPr>
      </w:pPr>
      <w:r>
        <w:rPr>
          <w:rFonts w:hint="eastAsia" w:ascii="宋体" w:hAnsi="宋体" w:cs="宋体"/>
          <w:b/>
          <w:color w:val="auto"/>
          <w:sz w:val="24"/>
          <w:highlight w:val="none"/>
        </w:rPr>
        <w:t>8.1 评标委员会</w:t>
      </w:r>
    </w:p>
    <w:p>
      <w:pPr>
        <w:spacing w:line="360" w:lineRule="auto"/>
        <w:ind w:left="120" w:leftChars="57" w:firstLine="315" w:firstLineChars="150"/>
        <w:rPr>
          <w:rFonts w:hint="eastAsia" w:ascii="宋体" w:hAnsi="宋体"/>
          <w:color w:val="auto"/>
          <w:szCs w:val="21"/>
          <w:highlight w:val="none"/>
        </w:rPr>
      </w:pPr>
      <w:r>
        <w:rPr>
          <w:rFonts w:hint="eastAsia" w:ascii="宋体" w:hAnsi="宋体"/>
          <w:color w:val="auto"/>
          <w:szCs w:val="21"/>
          <w:highlight w:val="none"/>
        </w:rPr>
        <w:t>8.1.1 评标由采购代理机构依法组建的评标委员会负责。评标委员会由采购人代表和评审专家组成，成员由5人以上单数组成。</w:t>
      </w:r>
      <w:r>
        <w:rPr>
          <w:rFonts w:ascii="宋体" w:hAnsi="宋体"/>
          <w:color w:val="auto"/>
          <w:szCs w:val="21"/>
          <w:highlight w:val="none"/>
        </w:rPr>
        <w:t>其中评</w:t>
      </w:r>
      <w:r>
        <w:rPr>
          <w:rFonts w:hint="eastAsia" w:ascii="宋体" w:hAnsi="宋体"/>
          <w:color w:val="auto"/>
          <w:szCs w:val="21"/>
          <w:highlight w:val="none"/>
        </w:rPr>
        <w:t>审</w:t>
      </w:r>
      <w:r>
        <w:rPr>
          <w:rFonts w:ascii="宋体" w:hAnsi="宋体"/>
          <w:color w:val="auto"/>
          <w:szCs w:val="21"/>
          <w:highlight w:val="none"/>
        </w:rPr>
        <w:t>专家不得少于成员总数的三分之二。采购预算金额在</w:t>
      </w:r>
      <w:r>
        <w:rPr>
          <w:rFonts w:hint="eastAsia" w:ascii="宋体" w:hAnsi="宋体"/>
          <w:color w:val="auto"/>
          <w:szCs w:val="21"/>
          <w:highlight w:val="none"/>
        </w:rPr>
        <w:t>1000</w:t>
      </w:r>
      <w:r>
        <w:rPr>
          <w:rFonts w:ascii="宋体" w:hAnsi="宋体"/>
          <w:color w:val="auto"/>
          <w:szCs w:val="21"/>
          <w:highlight w:val="none"/>
        </w:rPr>
        <w:t>万元以上、技术复杂的项目或者社会影响较大的项目，评标委员会</w:t>
      </w:r>
      <w:r>
        <w:rPr>
          <w:rFonts w:hint="eastAsia" w:ascii="宋体" w:hAnsi="宋体"/>
          <w:color w:val="auto"/>
          <w:szCs w:val="21"/>
          <w:highlight w:val="none"/>
        </w:rPr>
        <w:t>成员</w:t>
      </w:r>
      <w:r>
        <w:rPr>
          <w:rFonts w:ascii="宋体" w:hAnsi="宋体"/>
          <w:color w:val="auto"/>
          <w:szCs w:val="21"/>
          <w:highlight w:val="none"/>
        </w:rPr>
        <w:t>应当为</w:t>
      </w:r>
      <w:r>
        <w:rPr>
          <w:rFonts w:hint="eastAsia" w:ascii="宋体" w:hAnsi="宋体"/>
          <w:color w:val="auto"/>
          <w:szCs w:val="21"/>
          <w:highlight w:val="none"/>
        </w:rPr>
        <w:t>7</w:t>
      </w:r>
      <w:r>
        <w:rPr>
          <w:rFonts w:ascii="宋体" w:hAnsi="宋体"/>
          <w:color w:val="auto"/>
          <w:szCs w:val="21"/>
          <w:highlight w:val="none"/>
        </w:rPr>
        <w:t>人以上。</w:t>
      </w:r>
      <w:r>
        <w:rPr>
          <w:rFonts w:hint="eastAsia" w:ascii="宋体" w:hAnsi="宋体"/>
          <w:color w:val="auto"/>
          <w:szCs w:val="21"/>
          <w:highlight w:val="none"/>
        </w:rPr>
        <w:t>评审专家人选在省级财政部门设立的政府采购评审专家库中随机抽取。</w:t>
      </w:r>
    </w:p>
    <w:p>
      <w:pPr>
        <w:spacing w:line="360" w:lineRule="auto"/>
        <w:ind w:left="120" w:leftChars="57" w:firstLine="315" w:firstLineChars="150"/>
        <w:rPr>
          <w:rFonts w:hint="eastAsia" w:ascii="宋体" w:hAnsi="宋体"/>
          <w:color w:val="auto"/>
          <w:szCs w:val="21"/>
          <w:highlight w:val="none"/>
        </w:rPr>
      </w:pPr>
      <w:r>
        <w:rPr>
          <w:rFonts w:ascii="宋体" w:hAnsi="宋体"/>
          <w:color w:val="auto"/>
          <w:szCs w:val="21"/>
          <w:highlight w:val="none"/>
        </w:rPr>
        <w:t>对技术复杂、专业性强的采购项目，通过随机方式难以确定合适评</w:t>
      </w:r>
      <w:r>
        <w:rPr>
          <w:rFonts w:hint="eastAsia" w:ascii="宋体" w:hAnsi="宋体"/>
          <w:color w:val="auto"/>
          <w:szCs w:val="21"/>
          <w:highlight w:val="none"/>
        </w:rPr>
        <w:t>审</w:t>
      </w:r>
      <w:r>
        <w:rPr>
          <w:rFonts w:ascii="宋体" w:hAnsi="宋体"/>
          <w:color w:val="auto"/>
          <w:szCs w:val="21"/>
          <w:highlight w:val="none"/>
        </w:rPr>
        <w:t>专家的，经主管预算单位同意，采购人</w:t>
      </w:r>
      <w:r>
        <w:rPr>
          <w:rFonts w:hint="eastAsia" w:ascii="宋体" w:hAnsi="宋体"/>
          <w:color w:val="auto"/>
          <w:szCs w:val="21"/>
          <w:highlight w:val="none"/>
        </w:rPr>
        <w:t>或采购代理机构</w:t>
      </w:r>
      <w:r>
        <w:rPr>
          <w:rFonts w:ascii="宋体" w:hAnsi="宋体"/>
          <w:color w:val="auto"/>
          <w:szCs w:val="21"/>
          <w:highlight w:val="none"/>
        </w:rPr>
        <w:t>可以自行选定相应专业领域的评</w:t>
      </w:r>
      <w:r>
        <w:rPr>
          <w:rFonts w:hint="eastAsia" w:ascii="宋体" w:hAnsi="宋体"/>
          <w:color w:val="auto"/>
          <w:szCs w:val="21"/>
          <w:highlight w:val="none"/>
        </w:rPr>
        <w:t>审</w:t>
      </w:r>
      <w:r>
        <w:rPr>
          <w:rFonts w:ascii="宋体" w:hAnsi="宋体"/>
          <w:color w:val="auto"/>
          <w:szCs w:val="21"/>
          <w:highlight w:val="none"/>
        </w:rPr>
        <w:t>专家。</w:t>
      </w:r>
    </w:p>
    <w:p>
      <w:pPr>
        <w:spacing w:line="360" w:lineRule="auto"/>
        <w:ind w:left="120" w:leftChars="57" w:firstLine="315" w:firstLineChars="150"/>
        <w:rPr>
          <w:rFonts w:hint="eastAsia" w:ascii="宋体" w:hAnsi="宋体"/>
          <w:color w:val="auto"/>
          <w:szCs w:val="21"/>
          <w:highlight w:val="none"/>
        </w:rPr>
      </w:pPr>
      <w:r>
        <w:rPr>
          <w:rFonts w:hint="eastAsia" w:ascii="宋体" w:hAnsi="宋体"/>
          <w:color w:val="auto"/>
          <w:szCs w:val="21"/>
          <w:highlight w:val="none"/>
        </w:rPr>
        <w:t>8.1.2 评标委员会成员到位后，推荐一名评审专家担任评标组长，并由评标组长牵头组织该项目评标工作，采购人代表，不得担任评标组长。</w:t>
      </w:r>
    </w:p>
    <w:p>
      <w:pPr>
        <w:spacing w:line="360" w:lineRule="auto"/>
        <w:ind w:left="120" w:leftChars="57" w:firstLine="315" w:firstLineChars="150"/>
        <w:rPr>
          <w:rFonts w:hint="eastAsia" w:ascii="宋体" w:hAnsi="宋体"/>
          <w:color w:val="auto"/>
          <w:szCs w:val="21"/>
          <w:highlight w:val="none"/>
        </w:rPr>
      </w:pPr>
      <w:r>
        <w:rPr>
          <w:rFonts w:hint="eastAsia" w:ascii="宋体" w:hAnsi="宋体"/>
          <w:color w:val="auto"/>
          <w:szCs w:val="21"/>
          <w:highlight w:val="none"/>
        </w:rPr>
        <w:t>8.1.3 评委会成员有下列情形之一的，应当回避：</w:t>
      </w:r>
    </w:p>
    <w:p>
      <w:pPr>
        <w:spacing w:line="360" w:lineRule="auto"/>
        <w:ind w:left="120" w:leftChars="57" w:firstLine="315" w:firstLineChars="150"/>
        <w:rPr>
          <w:rFonts w:hint="eastAsia" w:ascii="宋体" w:hAnsi="宋体"/>
          <w:color w:val="auto"/>
          <w:szCs w:val="21"/>
          <w:highlight w:val="none"/>
        </w:rPr>
      </w:pPr>
      <w:r>
        <w:rPr>
          <w:rFonts w:hint="eastAsia" w:ascii="宋体" w:hAnsi="宋体"/>
          <w:color w:val="auto"/>
          <w:szCs w:val="21"/>
          <w:highlight w:val="none"/>
        </w:rPr>
        <w:t>（1）采购人或投标人主要负责人的近亲属；</w:t>
      </w:r>
    </w:p>
    <w:p>
      <w:pPr>
        <w:spacing w:line="360" w:lineRule="auto"/>
        <w:ind w:left="120" w:leftChars="57" w:firstLine="315" w:firstLineChars="150"/>
        <w:rPr>
          <w:rFonts w:hint="eastAsia" w:ascii="宋体" w:hAnsi="宋体"/>
          <w:color w:val="auto"/>
          <w:szCs w:val="21"/>
          <w:highlight w:val="none"/>
        </w:rPr>
      </w:pPr>
      <w:r>
        <w:rPr>
          <w:rFonts w:hint="eastAsia" w:ascii="宋体" w:hAnsi="宋体"/>
          <w:color w:val="auto"/>
          <w:szCs w:val="21"/>
          <w:highlight w:val="none"/>
        </w:rPr>
        <w:t>（2）项目主管部门或者行政监督部门的人员；</w:t>
      </w:r>
    </w:p>
    <w:p>
      <w:pPr>
        <w:spacing w:line="360" w:lineRule="auto"/>
        <w:ind w:left="120" w:leftChars="57" w:firstLine="315" w:firstLineChars="150"/>
        <w:rPr>
          <w:rFonts w:hint="eastAsia" w:ascii="宋体" w:hAnsi="宋体"/>
          <w:color w:val="auto"/>
          <w:szCs w:val="21"/>
          <w:highlight w:val="none"/>
        </w:rPr>
      </w:pPr>
      <w:r>
        <w:rPr>
          <w:rFonts w:hint="eastAsia" w:ascii="宋体" w:hAnsi="宋体"/>
          <w:color w:val="auto"/>
          <w:szCs w:val="21"/>
          <w:highlight w:val="none"/>
        </w:rPr>
        <w:t>（3）与投标人有经济利益关系，可能影响对投标公正评审的；</w:t>
      </w:r>
    </w:p>
    <w:p>
      <w:pPr>
        <w:spacing w:line="360" w:lineRule="auto"/>
        <w:ind w:left="120" w:leftChars="57" w:firstLine="315" w:firstLineChars="150"/>
        <w:rPr>
          <w:rFonts w:hint="eastAsia" w:ascii="宋体" w:hAnsi="宋体"/>
          <w:color w:val="auto"/>
          <w:szCs w:val="21"/>
          <w:highlight w:val="none"/>
        </w:rPr>
      </w:pPr>
      <w:r>
        <w:rPr>
          <w:rFonts w:hint="eastAsia" w:ascii="宋体" w:hAnsi="宋体"/>
          <w:color w:val="auto"/>
          <w:szCs w:val="21"/>
          <w:highlight w:val="none"/>
        </w:rPr>
        <w:t>（3）曾因在招标、评标以及其他与招标投标有关活动中从事违法行为而受过行政处罚或刑事处罚的。</w:t>
      </w:r>
    </w:p>
    <w:p>
      <w:pPr>
        <w:autoSpaceDE w:val="0"/>
        <w:autoSpaceDN w:val="0"/>
        <w:spacing w:line="360" w:lineRule="auto"/>
        <w:ind w:firstLine="420" w:firstLineChars="200"/>
        <w:rPr>
          <w:rFonts w:hint="eastAsia" w:ascii="宋体" w:hAnsi="宋体" w:cs="宋体"/>
          <w:color w:val="auto"/>
          <w:kern w:val="0"/>
          <w:highlight w:val="none"/>
          <w:lang w:val="zh-CN"/>
        </w:rPr>
      </w:pPr>
      <w:r>
        <w:rPr>
          <w:rFonts w:hint="eastAsia" w:ascii="宋体" w:hAnsi="宋体"/>
          <w:color w:val="auto"/>
          <w:szCs w:val="21"/>
          <w:highlight w:val="none"/>
        </w:rPr>
        <w:t xml:space="preserve">8.1.4 </w:t>
      </w:r>
      <w:r>
        <w:rPr>
          <w:rFonts w:hint="eastAsia" w:ascii="宋体" w:hAnsi="宋体" w:cs="宋体"/>
          <w:color w:val="auto"/>
          <w:kern w:val="0"/>
          <w:highlight w:val="none"/>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ascii="宋体" w:hAnsi="宋体" w:cs="宋体"/>
          <w:color w:val="auto"/>
          <w:kern w:val="0"/>
          <w:highlight w:val="none"/>
          <w:lang w:val="zh-CN"/>
        </w:rPr>
        <w:t>采购代理机构</w:t>
      </w:r>
      <w:r>
        <w:rPr>
          <w:rFonts w:hint="eastAsia" w:ascii="宋体" w:hAnsi="宋体" w:cs="宋体"/>
          <w:color w:val="auto"/>
          <w:kern w:val="0"/>
          <w:highlight w:val="none"/>
        </w:rPr>
        <w:t>应当将变更、重新组建评标委员会的情况予以记录，并随采购文件一并存档。</w:t>
      </w:r>
    </w:p>
    <w:p>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8.1.5 评委会成员名单在中标结果公告前，应当保密。</w:t>
      </w:r>
    </w:p>
    <w:p>
      <w:pPr>
        <w:widowControl/>
        <w:autoSpaceDE w:val="0"/>
        <w:autoSpaceDN w:val="0"/>
        <w:spacing w:line="360" w:lineRule="auto"/>
        <w:ind w:right="51" w:firstLine="422" w:firstLineChars="200"/>
        <w:textAlignment w:val="bottom"/>
        <w:rPr>
          <w:rFonts w:hint="eastAsia"/>
          <w:color w:val="auto"/>
          <w:szCs w:val="21"/>
          <w:highlight w:val="none"/>
        </w:rPr>
      </w:pPr>
      <w:r>
        <w:rPr>
          <w:rFonts w:hint="eastAsia" w:ascii="宋体" w:hAnsi="宋体"/>
          <w:b/>
          <w:color w:val="auto"/>
          <w:szCs w:val="21"/>
          <w:highlight w:val="none"/>
        </w:rPr>
        <w:t xml:space="preserve">8.1.6  </w:t>
      </w:r>
      <w:r>
        <w:rPr>
          <w:b/>
          <w:color w:val="auto"/>
          <w:szCs w:val="21"/>
          <w:highlight w:val="none"/>
        </w:rPr>
        <w:t>评标委员会及其成员不得有下列行为：</w:t>
      </w:r>
    </w:p>
    <w:p>
      <w:pPr>
        <w:widowControl/>
        <w:spacing w:line="360" w:lineRule="auto"/>
        <w:jc w:val="left"/>
        <w:rPr>
          <w:rFonts w:hint="eastAsia" w:ascii="宋体" w:hAnsi="宋体" w:cs="宋体"/>
          <w:color w:val="auto"/>
          <w:kern w:val="0"/>
          <w:szCs w:val="21"/>
          <w:highlight w:val="none"/>
        </w:rPr>
      </w:pPr>
      <w:r>
        <w:rPr>
          <w:rFonts w:hint="eastAsia" w:ascii="仿宋_GB2312" w:hAnsi="宋体" w:eastAsia="仿宋_GB2312" w:cs="宋体"/>
          <w:color w:val="auto"/>
          <w:kern w:val="0"/>
          <w:sz w:val="28"/>
          <w:szCs w:val="28"/>
          <w:highlight w:val="none"/>
        </w:rPr>
        <w:t xml:space="preserve">   </w:t>
      </w:r>
      <w:r>
        <w:rPr>
          <w:rFonts w:hint="eastAsia" w:ascii="宋体" w:hAnsi="宋体" w:cs="宋体"/>
          <w:color w:val="auto"/>
          <w:kern w:val="0"/>
          <w:szCs w:val="21"/>
          <w:highlight w:val="none"/>
        </w:rPr>
        <w:t>（1）确定参与评标至评标结束前私自接触投标人；</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（2）接受投标人提出的与投标文件不一致的澄清或者说明；</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（3）违反评标纪律发表倾向性意见或者征询采购人的倾向性意见；</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（4）对需要专业判断的主观评审因素协商评分；</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（5）在评标过程中擅离职守，影响评标程序正常进行的；</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（6）记录、复制或者带走任何评标资料；</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（7）其他不遵守评标纪律的行为。</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评标委员会成员有前款第一至五项行为之一的，其评审意见无效，并不得获取评审劳务报酬和报销异地评审差旅费。</w:t>
      </w:r>
    </w:p>
    <w:p>
      <w:pPr>
        <w:spacing w:after="120" w:afterLines="50" w:line="360" w:lineRule="auto"/>
        <w:ind w:left="117" w:leftChars="50" w:hanging="12" w:hangingChars="5"/>
        <w:rPr>
          <w:rFonts w:hint="eastAsia" w:ascii="宋体" w:hAnsi="宋体" w:cs="宋体"/>
          <w:b/>
          <w:color w:val="auto"/>
          <w:sz w:val="24"/>
          <w:highlight w:val="none"/>
        </w:rPr>
      </w:pPr>
      <w:r>
        <w:rPr>
          <w:rFonts w:hint="eastAsia" w:ascii="宋体" w:hAnsi="宋体" w:cs="宋体"/>
          <w:b/>
          <w:color w:val="auto"/>
          <w:sz w:val="24"/>
          <w:highlight w:val="none"/>
        </w:rPr>
        <w:t>8.2 评标原则</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8.2.1“公平、公正、科学、择优”为本次评标的基本原则，评标委员会按照这一原则的要求，公正、平等地对待各投标人。同时，在评审中恪守以下原则：</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（1）统一性原则：评标委员会将按照统一的评标原则和评审方法，用统一标准进行评审。</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（2）独立性原则：评标工作在评标委员会内部独立进行，不受外界任何因素的干扰和影响。评标委员会成员对其出具的意见承担个人责任。投标</w:t>
      </w:r>
      <w:r>
        <w:rPr>
          <w:rFonts w:hint="eastAsia" w:ascii="宋体" w:hAnsi="宋体" w:cs="宋体"/>
          <w:color w:val="auto"/>
          <w:kern w:val="0"/>
          <w:szCs w:val="21"/>
          <w:highlight w:val="none"/>
        </w:rPr>
        <w:t>人试图影响或干预评审的任何行为，将导致其丧失投标的资格，并承担相应的法律责任。</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（3）客观性原则：评标委员会将严格按照招标文件要求，对投标人的投标文件进行认真评审；评标委员会对投标文件的评审仅依据投标文件本身，而不依据投标文件以外的任何因素。</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（4）保密性原则：采购代理机构应当采取必要的措施，保证评标在严格保密情况下进行。</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（6）综合性原则：评标委员会将综合分析、评审投标人的各项指标，而不以单项指标的优劣评定出中标人。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8.2.2 评标委员会有权对整个招标过程中出现的一切问题，根据《中华人民共和国政府采购法》及实施条例和《政府采购货物和服务招标投标管理办法》等相关规定进行处理。</w:t>
      </w:r>
    </w:p>
    <w:p>
      <w:pPr>
        <w:spacing w:after="120" w:afterLines="50" w:line="360" w:lineRule="auto"/>
        <w:ind w:left="117" w:leftChars="50" w:hanging="12" w:hangingChars="5"/>
        <w:rPr>
          <w:rFonts w:hint="eastAsia" w:ascii="宋体" w:hAnsi="宋体" w:cs="宋体"/>
          <w:b/>
          <w:color w:val="auto"/>
          <w:sz w:val="24"/>
          <w:highlight w:val="none"/>
        </w:rPr>
      </w:pPr>
      <w:r>
        <w:rPr>
          <w:rFonts w:hint="eastAsia" w:ascii="宋体" w:hAnsi="宋体" w:cs="宋体"/>
          <w:b/>
          <w:color w:val="auto"/>
          <w:sz w:val="24"/>
          <w:highlight w:val="none"/>
        </w:rPr>
        <w:t>8.3 评标</w:t>
      </w:r>
    </w:p>
    <w:p>
      <w:pPr>
        <w:spacing w:line="360" w:lineRule="auto"/>
        <w:ind w:firstLine="420" w:firstLineChars="200"/>
        <w:rPr>
          <w:rFonts w:hint="eastAsia" w:ascii="宋体" w:hAnsi="宋体"/>
          <w:color w:val="auto"/>
          <w:szCs w:val="21"/>
          <w:highlight w:val="none"/>
        </w:rPr>
      </w:pPr>
      <w:bookmarkStart w:id="118" w:name="_Toc217446060"/>
      <w:bookmarkStart w:id="119" w:name="_Toc18256"/>
      <w:r>
        <w:rPr>
          <w:rFonts w:hint="eastAsia" w:ascii="宋体" w:hAnsi="宋体"/>
          <w:color w:val="auto"/>
          <w:szCs w:val="21"/>
          <w:highlight w:val="none"/>
        </w:rPr>
        <w:t>8.3.1 评标委员会按照招标文件第四章“评标办法”规定的方法、评审因素、标准和程序对投标文件进行评审。第四章“评标办法”没有规定的方法、评审因素和标准，不作为评标依据。</w:t>
      </w:r>
    </w:p>
    <w:p>
      <w:pPr>
        <w:pStyle w:val="67"/>
        <w:spacing w:line="360" w:lineRule="auto"/>
        <w:ind w:firstLine="420" w:firstLineChars="200"/>
        <w:rPr>
          <w:rFonts w:hint="eastAsia" w:ascii="宋体" w:hAnsi="宋体"/>
          <w:color w:val="auto"/>
          <w:highlight w:val="none"/>
        </w:rPr>
      </w:pPr>
      <w:r>
        <w:rPr>
          <w:rFonts w:hint="eastAsia" w:ascii="宋体" w:hAnsi="宋体"/>
          <w:color w:val="auto"/>
          <w:highlight w:val="none"/>
        </w:rPr>
        <w:t>8.3.2 评标委员会</w:t>
      </w:r>
      <w:r>
        <w:rPr>
          <w:rFonts w:ascii="宋体" w:hAnsi="宋体"/>
          <w:color w:val="auto"/>
          <w:highlight w:val="none"/>
        </w:rPr>
        <w:t>负责具体评标事务，并独立履行下列职责：</w:t>
      </w:r>
    </w:p>
    <w:p>
      <w:pPr>
        <w:pStyle w:val="67"/>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）审查、评价投标文件是否符合招标文件的商务、技术、服务等实质性要求；</w:t>
      </w:r>
    </w:p>
    <w:p>
      <w:pPr>
        <w:pStyle w:val="67"/>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）要求投标</w:t>
      </w:r>
      <w:r>
        <w:rPr>
          <w:rFonts w:hint="eastAsia" w:ascii="宋体" w:hAnsi="宋体"/>
          <w:color w:val="auto"/>
          <w:highlight w:val="none"/>
        </w:rPr>
        <w:t>人</w:t>
      </w:r>
      <w:r>
        <w:rPr>
          <w:rFonts w:ascii="宋体" w:hAnsi="宋体"/>
          <w:color w:val="auto"/>
          <w:highlight w:val="none"/>
        </w:rPr>
        <w:t>对投标文件有关事项作出澄清或者说明；</w:t>
      </w:r>
    </w:p>
    <w:p>
      <w:pPr>
        <w:pStyle w:val="67"/>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）对投标文件进行比较和评价；</w:t>
      </w:r>
    </w:p>
    <w:p>
      <w:pPr>
        <w:pStyle w:val="67"/>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确定</w:t>
      </w:r>
      <w:r>
        <w:rPr>
          <w:rFonts w:ascii="宋体" w:hAnsi="宋体"/>
          <w:color w:val="auto"/>
          <w:highlight w:val="none"/>
        </w:rPr>
        <w:t>中标候选人名单，</w:t>
      </w:r>
      <w:r>
        <w:rPr>
          <w:rFonts w:hint="eastAsia" w:ascii="宋体" w:hAnsi="宋体"/>
          <w:color w:val="auto"/>
          <w:highlight w:val="none"/>
        </w:rPr>
        <w:t>以及</w:t>
      </w:r>
      <w:r>
        <w:rPr>
          <w:rFonts w:ascii="宋体" w:hAnsi="宋体"/>
          <w:color w:val="auto"/>
          <w:highlight w:val="none"/>
        </w:rPr>
        <w:t>根据采购人委托直接确定中标</w:t>
      </w:r>
      <w:r>
        <w:rPr>
          <w:rFonts w:hint="eastAsia" w:ascii="宋体" w:hAnsi="宋体"/>
          <w:color w:val="auto"/>
          <w:highlight w:val="none"/>
        </w:rPr>
        <w:t>人</w:t>
      </w:r>
      <w:r>
        <w:rPr>
          <w:rFonts w:ascii="宋体" w:hAnsi="宋体"/>
          <w:color w:val="auto"/>
          <w:highlight w:val="none"/>
        </w:rPr>
        <w:t>；</w:t>
      </w:r>
    </w:p>
    <w:p>
      <w:pPr>
        <w:pStyle w:val="67"/>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）向采购人、采购代理机构或者有关部门报告评标中发现的违法行为。</w:t>
      </w:r>
    </w:p>
    <w:p>
      <w:pPr>
        <w:pStyle w:val="25"/>
        <w:snapToGrid w:val="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8.3.3评标委员会成员应当履行下列义务：</w:t>
      </w:r>
    </w:p>
    <w:p>
      <w:pPr>
        <w:pStyle w:val="25"/>
        <w:snapToGrid w:val="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（1）遵纪守法，客观、公正、廉洁地履行职责；</w:t>
      </w:r>
    </w:p>
    <w:p>
      <w:pPr>
        <w:pStyle w:val="25"/>
        <w:snapToGrid w:val="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（2）根据采购文件的规定独立进行评审，对个人的评审意见承担法律责任；</w:t>
      </w:r>
    </w:p>
    <w:p>
      <w:pPr>
        <w:pStyle w:val="25"/>
        <w:snapToGrid w:val="0"/>
        <w:spacing w:before="0" w:beforeAutospacing="0" w:after="0" w:afterAutospacing="0" w:line="360" w:lineRule="auto"/>
        <w:rPr>
          <w:rFonts w:hint="eastAsia"/>
          <w:color w:val="auto"/>
          <w:sz w:val="21"/>
          <w:szCs w:val="21"/>
          <w:highlight w:val="none"/>
        </w:rPr>
      </w:pPr>
      <w:r>
        <w:rPr>
          <w:rFonts w:hint="eastAsia"/>
          <w:color w:val="auto"/>
          <w:sz w:val="21"/>
          <w:szCs w:val="21"/>
          <w:highlight w:val="none"/>
        </w:rPr>
        <w:t>　　（3）参与评标报告的起草；</w:t>
      </w:r>
    </w:p>
    <w:p>
      <w:pPr>
        <w:pStyle w:val="25"/>
        <w:snapToGrid w:val="0"/>
        <w:spacing w:before="0" w:beforeAutospacing="0" w:after="0" w:afterAutospacing="0" w:line="360" w:lineRule="auto"/>
        <w:rPr>
          <w:rFonts w:hint="eastAsia"/>
          <w:color w:val="auto"/>
          <w:sz w:val="21"/>
          <w:szCs w:val="21"/>
          <w:highlight w:val="none"/>
        </w:rPr>
      </w:pPr>
      <w:r>
        <w:rPr>
          <w:rFonts w:hint="eastAsia"/>
          <w:color w:val="auto"/>
          <w:sz w:val="21"/>
          <w:szCs w:val="21"/>
          <w:highlight w:val="none"/>
        </w:rPr>
        <w:t>　　（4）配合采购人、采购代理机构答复供应商提出的质疑；</w:t>
      </w:r>
    </w:p>
    <w:p>
      <w:pPr>
        <w:pStyle w:val="25"/>
        <w:snapToGrid w:val="0"/>
        <w:spacing w:before="0" w:beforeAutospacing="0" w:after="0" w:afterAutospacing="0" w:line="360" w:lineRule="auto"/>
        <w:rPr>
          <w:rFonts w:hint="eastAsia"/>
          <w:color w:val="auto"/>
          <w:sz w:val="21"/>
          <w:szCs w:val="21"/>
          <w:highlight w:val="none"/>
        </w:rPr>
      </w:pPr>
      <w:r>
        <w:rPr>
          <w:rFonts w:hint="eastAsia"/>
          <w:color w:val="auto"/>
          <w:sz w:val="21"/>
          <w:szCs w:val="21"/>
          <w:highlight w:val="none"/>
        </w:rPr>
        <w:t>　　（5）配合财政部门的投诉处理和监督检查工作。</w:t>
      </w:r>
    </w:p>
    <w:p>
      <w:pPr>
        <w:pStyle w:val="67"/>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8.3.4 </w:t>
      </w:r>
      <w:r>
        <w:rPr>
          <w:rFonts w:ascii="宋体" w:hAnsi="宋体"/>
          <w:color w:val="auto"/>
          <w:highlight w:val="none"/>
        </w:rPr>
        <w:t>采购代理机构负责组织评标工作并履行下列职责：</w:t>
      </w:r>
    </w:p>
    <w:p>
      <w:pPr>
        <w:widowControl/>
        <w:spacing w:line="360" w:lineRule="auto"/>
        <w:ind w:firstLine="420" w:firstLineChars="200"/>
        <w:jc w:val="left"/>
        <w:rPr>
          <w:rFonts w:hint="eastAsia" w:ascii="宋体" w:hAnsi="宋体"/>
          <w:bCs/>
          <w:color w:val="auto"/>
          <w:szCs w:val="21"/>
          <w:highlight w:val="none"/>
        </w:rPr>
      </w:pPr>
      <w:r>
        <w:rPr>
          <w:rFonts w:ascii="宋体" w:hAnsi="宋体"/>
          <w:bCs/>
          <w:color w:val="auto"/>
          <w:szCs w:val="21"/>
          <w:highlight w:val="none"/>
        </w:rPr>
        <w:t>（</w:t>
      </w: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color w:val="auto"/>
          <w:kern w:val="0"/>
          <w:szCs w:val="21"/>
          <w:highlight w:val="none"/>
        </w:rPr>
        <w:t>核对评审专家身份和采购人代表授权函，对评审专家在政府采购活动中的职责履行情况予以记录，并及时将有关违法违规行为向财政部门报告；</w:t>
      </w:r>
    </w:p>
    <w:p>
      <w:pPr>
        <w:pStyle w:val="67"/>
        <w:spacing w:line="360" w:lineRule="auto"/>
        <w:ind w:firstLine="420" w:firstLineChars="200"/>
        <w:rPr>
          <w:rFonts w:hint="eastAsia" w:ascii="宋体" w:hAnsi="宋体"/>
          <w:bCs/>
          <w:color w:val="auto"/>
          <w:highlight w:val="none"/>
        </w:rPr>
      </w:pPr>
      <w:r>
        <w:rPr>
          <w:rFonts w:ascii="宋体" w:hAnsi="宋体"/>
          <w:bCs/>
          <w:color w:val="auto"/>
          <w:highlight w:val="none"/>
        </w:rPr>
        <w:t>（</w:t>
      </w:r>
      <w:r>
        <w:rPr>
          <w:rFonts w:hint="eastAsia" w:ascii="宋体" w:hAnsi="宋体"/>
          <w:bCs/>
          <w:color w:val="auto"/>
          <w:highlight w:val="none"/>
        </w:rPr>
        <w:t>2</w:t>
      </w:r>
      <w:r>
        <w:rPr>
          <w:rFonts w:ascii="宋体" w:hAnsi="宋体"/>
          <w:bCs/>
          <w:color w:val="auto"/>
          <w:highlight w:val="none"/>
        </w:rPr>
        <w:t>）宣布评标纪律</w:t>
      </w:r>
      <w:r>
        <w:rPr>
          <w:rFonts w:hint="eastAsia" w:ascii="宋体" w:hAnsi="宋体"/>
          <w:bCs/>
          <w:color w:val="auto"/>
          <w:highlight w:val="none"/>
        </w:rPr>
        <w:t>和开启录音录像设备</w:t>
      </w:r>
      <w:r>
        <w:rPr>
          <w:rFonts w:ascii="宋体" w:hAnsi="宋体"/>
          <w:bCs/>
          <w:color w:val="auto"/>
          <w:highlight w:val="none"/>
        </w:rPr>
        <w:t>；</w:t>
      </w:r>
    </w:p>
    <w:p>
      <w:pPr>
        <w:pStyle w:val="67"/>
        <w:spacing w:line="360" w:lineRule="auto"/>
        <w:ind w:firstLine="420" w:firstLineChars="200"/>
        <w:rPr>
          <w:rFonts w:hint="eastAsia" w:ascii="宋体" w:hAnsi="宋体"/>
          <w:bCs/>
          <w:color w:val="auto"/>
          <w:highlight w:val="none"/>
        </w:rPr>
      </w:pPr>
      <w:r>
        <w:rPr>
          <w:rFonts w:ascii="宋体" w:hAnsi="宋体"/>
          <w:bCs/>
          <w:color w:val="auto"/>
          <w:highlight w:val="none"/>
        </w:rPr>
        <w:t>（</w:t>
      </w:r>
      <w:r>
        <w:rPr>
          <w:rFonts w:hint="eastAsia" w:ascii="宋体" w:hAnsi="宋体"/>
          <w:bCs/>
          <w:color w:val="auto"/>
          <w:highlight w:val="none"/>
        </w:rPr>
        <w:t>3</w:t>
      </w:r>
      <w:r>
        <w:rPr>
          <w:rFonts w:ascii="宋体" w:hAnsi="宋体"/>
          <w:bCs/>
          <w:color w:val="auto"/>
          <w:highlight w:val="none"/>
        </w:rPr>
        <w:t>）公布投标</w:t>
      </w:r>
      <w:r>
        <w:rPr>
          <w:rFonts w:hint="eastAsia" w:ascii="宋体" w:hAnsi="宋体"/>
          <w:bCs/>
          <w:color w:val="auto"/>
          <w:highlight w:val="none"/>
        </w:rPr>
        <w:t>人</w:t>
      </w:r>
      <w:r>
        <w:rPr>
          <w:rFonts w:ascii="宋体" w:hAnsi="宋体"/>
          <w:bCs/>
          <w:color w:val="auto"/>
          <w:highlight w:val="none"/>
        </w:rPr>
        <w:t>名单，告知评标专家应当回避的情形；</w:t>
      </w:r>
    </w:p>
    <w:p>
      <w:pPr>
        <w:pStyle w:val="67"/>
        <w:spacing w:line="360" w:lineRule="auto"/>
        <w:ind w:firstLine="420" w:firstLineChars="200"/>
        <w:rPr>
          <w:rFonts w:hint="eastAsia" w:ascii="宋体" w:hAnsi="宋体"/>
          <w:bCs/>
          <w:color w:val="auto"/>
          <w:highlight w:val="none"/>
        </w:rPr>
      </w:pPr>
      <w:r>
        <w:rPr>
          <w:rFonts w:ascii="宋体" w:hAnsi="宋体"/>
          <w:bCs/>
          <w:color w:val="auto"/>
          <w:highlight w:val="none"/>
        </w:rPr>
        <w:t>（</w:t>
      </w:r>
      <w:r>
        <w:rPr>
          <w:rFonts w:hint="eastAsia" w:ascii="宋体" w:hAnsi="宋体"/>
          <w:bCs/>
          <w:color w:val="auto"/>
          <w:highlight w:val="none"/>
        </w:rPr>
        <w:t>4</w:t>
      </w:r>
      <w:r>
        <w:rPr>
          <w:rFonts w:ascii="宋体" w:hAnsi="宋体"/>
          <w:bCs/>
          <w:color w:val="auto"/>
          <w:highlight w:val="none"/>
        </w:rPr>
        <w:t>）组织评标委员会推选评标组长，采购人代表不得担任组长；</w:t>
      </w:r>
    </w:p>
    <w:p>
      <w:pPr>
        <w:widowControl/>
        <w:spacing w:line="360" w:lineRule="auto"/>
        <w:ind w:firstLine="420" w:firstLineChars="200"/>
        <w:jc w:val="left"/>
        <w:rPr>
          <w:rFonts w:hint="eastAsia" w:ascii="宋体" w:hAnsi="宋体" w:cs="宋体"/>
          <w:color w:val="auto"/>
          <w:kern w:val="0"/>
          <w:szCs w:val="21"/>
          <w:highlight w:val="none"/>
        </w:rPr>
      </w:pPr>
      <w:r>
        <w:rPr>
          <w:rFonts w:ascii="宋体" w:hAnsi="宋体"/>
          <w:bCs/>
          <w:color w:val="auto"/>
          <w:szCs w:val="21"/>
          <w:highlight w:val="none"/>
        </w:rPr>
        <w:t>（</w:t>
      </w:r>
      <w:r>
        <w:rPr>
          <w:rFonts w:hint="eastAsia" w:ascii="宋体" w:hAnsi="宋体"/>
          <w:bCs/>
          <w:color w:val="auto"/>
          <w:szCs w:val="21"/>
          <w:highlight w:val="none"/>
        </w:rPr>
        <w:t>5</w:t>
      </w:r>
      <w:r>
        <w:rPr>
          <w:rFonts w:ascii="宋体" w:hAnsi="宋体"/>
          <w:bCs/>
          <w:color w:val="auto"/>
          <w:szCs w:val="21"/>
          <w:highlight w:val="none"/>
        </w:rPr>
        <w:t>）</w:t>
      </w:r>
      <w:r>
        <w:rPr>
          <w:rFonts w:hint="eastAsia" w:ascii="宋体" w:hAnsi="宋体" w:cs="宋体"/>
          <w:color w:val="auto"/>
          <w:kern w:val="0"/>
          <w:szCs w:val="21"/>
          <w:highlight w:val="none"/>
        </w:rPr>
        <w:t>在评标期间采取必要的通讯管理措施，保证评标活动不受外界干扰；</w:t>
      </w:r>
    </w:p>
    <w:p>
      <w:pPr>
        <w:pStyle w:val="67"/>
        <w:spacing w:line="360" w:lineRule="auto"/>
        <w:ind w:firstLine="420" w:firstLineChars="200"/>
        <w:rPr>
          <w:rFonts w:hint="eastAsia" w:ascii="宋体" w:hAnsi="宋体"/>
          <w:bCs/>
          <w:color w:val="auto"/>
          <w:highlight w:val="none"/>
        </w:rPr>
      </w:pPr>
      <w:r>
        <w:rPr>
          <w:rFonts w:ascii="宋体" w:hAnsi="宋体"/>
          <w:bCs/>
          <w:color w:val="auto"/>
          <w:highlight w:val="none"/>
        </w:rPr>
        <w:t>（</w:t>
      </w:r>
      <w:r>
        <w:rPr>
          <w:rFonts w:hint="eastAsia" w:ascii="宋体" w:hAnsi="宋体"/>
          <w:bCs/>
          <w:color w:val="auto"/>
          <w:highlight w:val="none"/>
        </w:rPr>
        <w:t>6</w:t>
      </w:r>
      <w:r>
        <w:rPr>
          <w:rFonts w:ascii="宋体" w:hAnsi="宋体"/>
          <w:bCs/>
          <w:color w:val="auto"/>
          <w:highlight w:val="none"/>
        </w:rPr>
        <w:t>）根据评标委员会的要求介绍政府采购相关政策法规、招标文件；</w:t>
      </w:r>
    </w:p>
    <w:p>
      <w:pPr>
        <w:pStyle w:val="67"/>
        <w:spacing w:line="360" w:lineRule="auto"/>
        <w:ind w:firstLine="420" w:firstLineChars="200"/>
        <w:rPr>
          <w:rFonts w:hint="eastAsia" w:ascii="宋体" w:hAnsi="宋体"/>
          <w:bCs/>
          <w:color w:val="auto"/>
          <w:highlight w:val="none"/>
        </w:rPr>
      </w:pPr>
      <w:r>
        <w:rPr>
          <w:rFonts w:ascii="宋体" w:hAnsi="宋体"/>
          <w:bCs/>
          <w:color w:val="auto"/>
          <w:highlight w:val="none"/>
        </w:rPr>
        <w:t>（</w:t>
      </w:r>
      <w:r>
        <w:rPr>
          <w:rFonts w:hint="eastAsia" w:ascii="宋体" w:hAnsi="宋体"/>
          <w:bCs/>
          <w:color w:val="auto"/>
          <w:highlight w:val="none"/>
        </w:rPr>
        <w:t>7</w:t>
      </w:r>
      <w:r>
        <w:rPr>
          <w:rFonts w:ascii="宋体" w:hAnsi="宋体"/>
          <w:bCs/>
          <w:color w:val="auto"/>
          <w:highlight w:val="none"/>
        </w:rPr>
        <w:t>）维护评标秩序，监督评标委员会依照评标文件规定的评审程序、方法和标准进行独立评审，及时制止和纠正采购人代表、评审专家的倾向性言论或违法违规行为</w:t>
      </w:r>
      <w:r>
        <w:rPr>
          <w:rFonts w:hint="eastAsia" w:ascii="宋体" w:hAnsi="宋体"/>
          <w:bCs/>
          <w:color w:val="auto"/>
          <w:highlight w:val="none"/>
        </w:rPr>
        <w:t xml:space="preserve">； </w:t>
      </w:r>
    </w:p>
    <w:p>
      <w:pPr>
        <w:pStyle w:val="67"/>
        <w:spacing w:line="360" w:lineRule="auto"/>
        <w:ind w:firstLine="420" w:firstLineChars="200"/>
        <w:rPr>
          <w:rFonts w:hint="eastAsia" w:ascii="宋体" w:hAnsi="宋体"/>
          <w:bCs/>
          <w:color w:val="auto"/>
          <w:highlight w:val="none"/>
        </w:rPr>
      </w:pPr>
      <w:r>
        <w:rPr>
          <w:rFonts w:ascii="宋体" w:hAnsi="宋体"/>
          <w:bCs/>
          <w:color w:val="auto"/>
          <w:highlight w:val="none"/>
        </w:rPr>
        <w:t>（</w:t>
      </w:r>
      <w:r>
        <w:rPr>
          <w:rFonts w:hint="eastAsia" w:ascii="宋体" w:hAnsi="宋体"/>
          <w:bCs/>
          <w:color w:val="auto"/>
          <w:highlight w:val="none"/>
        </w:rPr>
        <w:t>8</w:t>
      </w:r>
      <w:r>
        <w:rPr>
          <w:rFonts w:ascii="宋体" w:hAnsi="宋体"/>
          <w:bCs/>
          <w:color w:val="auto"/>
          <w:highlight w:val="none"/>
        </w:rPr>
        <w:t>）核对评标结果，有</w:t>
      </w:r>
      <w:r>
        <w:rPr>
          <w:rFonts w:hint="eastAsia" w:ascii="宋体" w:hAnsi="宋体"/>
          <w:bCs/>
          <w:color w:val="auto"/>
          <w:highlight w:val="none"/>
        </w:rPr>
        <w:t>《政府采购货物和服务招标投标管理办法》</w:t>
      </w:r>
      <w:r>
        <w:rPr>
          <w:rFonts w:ascii="宋体" w:hAnsi="宋体"/>
          <w:bCs/>
          <w:color w:val="auto"/>
          <w:highlight w:val="none"/>
        </w:rPr>
        <w:t>第</w:t>
      </w:r>
      <w:r>
        <w:rPr>
          <w:rFonts w:hint="eastAsia" w:ascii="宋体" w:hAnsi="宋体"/>
          <w:bCs/>
          <w:color w:val="auto"/>
          <w:highlight w:val="none"/>
        </w:rPr>
        <w:t>六十四</w:t>
      </w:r>
      <w:r>
        <w:rPr>
          <w:rFonts w:ascii="宋体" w:hAnsi="宋体"/>
          <w:bCs/>
          <w:color w:val="auto"/>
          <w:highlight w:val="none"/>
        </w:rPr>
        <w:t>条规定情形的，要求评标委员会复核或书面说明理由，评标委员会拒绝的，应予记录并向本级财政部门报告；</w:t>
      </w:r>
    </w:p>
    <w:p>
      <w:pPr>
        <w:widowControl/>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（9）</w:t>
      </w:r>
      <w:r>
        <w:rPr>
          <w:rFonts w:hint="eastAsia" w:ascii="宋体" w:hAnsi="宋体"/>
          <w:color w:val="auto"/>
          <w:kern w:val="0"/>
          <w:szCs w:val="21"/>
          <w:highlight w:val="none"/>
        </w:rPr>
        <w:t>评审工作完成后，按照规定向评审专家支付劳务报酬和异地评审差旅费，不得向评审专家以外的其他人员支付评审劳务报酬；</w:t>
      </w:r>
    </w:p>
    <w:p>
      <w:pPr>
        <w:spacing w:line="360" w:lineRule="auto"/>
        <w:ind w:firstLine="441" w:firstLineChars="21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10</w:t>
      </w:r>
      <w:r>
        <w:rPr>
          <w:rFonts w:ascii="宋体" w:hAnsi="宋体"/>
          <w:color w:val="auto"/>
          <w:szCs w:val="21"/>
          <w:highlight w:val="none"/>
        </w:rPr>
        <w:t>）处理与评标有关的其他事项。</w:t>
      </w:r>
    </w:p>
    <w:p>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rPr>
        <w:t xml:space="preserve">8.3.5 </w:t>
      </w:r>
      <w:r>
        <w:rPr>
          <w:rFonts w:ascii="宋体" w:hAnsi="宋体"/>
          <w:color w:val="auto"/>
          <w:szCs w:val="21"/>
          <w:highlight w:val="none"/>
        </w:rPr>
        <w:t>采购人可以在评标前介绍项目背景和采购需求，介绍内容不得含有歧视性、倾向性意见，不得超出招标文件所述范围。</w:t>
      </w:r>
    </w:p>
    <w:p>
      <w:pPr>
        <w:spacing w:line="360" w:lineRule="auto"/>
        <w:ind w:left="120" w:leftChars="57" w:firstLine="315" w:firstLineChars="150"/>
        <w:rPr>
          <w:rFonts w:hint="eastAsia" w:ascii="宋体" w:hAnsi="宋体"/>
          <w:color w:val="auto"/>
          <w:szCs w:val="21"/>
          <w:highlight w:val="none"/>
        </w:rPr>
      </w:pPr>
      <w:r>
        <w:rPr>
          <w:rFonts w:hint="eastAsia" w:ascii="宋体" w:hAnsi="宋体"/>
          <w:color w:val="auto"/>
          <w:szCs w:val="21"/>
          <w:highlight w:val="none"/>
        </w:rPr>
        <w:t>8.3.6 评标过程严格保密</w:t>
      </w:r>
    </w:p>
    <w:p>
      <w:pPr>
        <w:autoSpaceDE w:val="0"/>
        <w:autoSpaceDN w:val="0"/>
        <w:spacing w:line="360" w:lineRule="auto"/>
        <w:ind w:firstLine="630" w:firstLineChars="300"/>
        <w:rPr>
          <w:rFonts w:hint="eastAsia" w:ascii="宋体" w:hAnsi="宋体" w:cs="宋体"/>
          <w:color w:val="auto"/>
          <w:kern w:val="0"/>
          <w:highlight w:val="none"/>
        </w:rPr>
      </w:pPr>
      <w:r>
        <w:rPr>
          <w:rFonts w:hint="eastAsia" w:ascii="宋体" w:hAnsi="宋体"/>
          <w:color w:val="auto"/>
          <w:szCs w:val="21"/>
          <w:highlight w:val="none"/>
        </w:rPr>
        <w:t xml:space="preserve">8.3.6.1 </w:t>
      </w:r>
      <w:r>
        <w:rPr>
          <w:rFonts w:hint="eastAsia" w:ascii="宋体" w:hAnsi="宋体" w:cs="宋体"/>
          <w:color w:val="auto"/>
          <w:kern w:val="0"/>
          <w:highlight w:val="none"/>
        </w:rPr>
        <w:t>采购人、采购代理机构应当采取必要措施，保证评标在严格保密的情况下进行。除采购人代表、评标现场组织人员外，采购人的其他工作人员以及与评标工作无关的人员不得进入评标现场。</w:t>
      </w:r>
    </w:p>
    <w:p>
      <w:pPr>
        <w:autoSpaceDE w:val="0"/>
        <w:autoSpaceDN w:val="0"/>
        <w:spacing w:line="360" w:lineRule="auto"/>
        <w:ind w:firstLine="630" w:firstLineChars="300"/>
        <w:rPr>
          <w:rFonts w:hint="eastAsia" w:ascii="宋体" w:hAnsi="宋体"/>
          <w:color w:val="auto"/>
          <w:szCs w:val="21"/>
          <w:highlight w:val="none"/>
        </w:rPr>
      </w:pPr>
      <w:r>
        <w:rPr>
          <w:rFonts w:hint="eastAsia" w:ascii="宋体" w:hAnsi="宋体" w:cs="宋体"/>
          <w:color w:val="auto"/>
          <w:kern w:val="0"/>
          <w:highlight w:val="none"/>
        </w:rPr>
        <w:t>8.3.6.2 有关人员对评标情况以及在评标过程中获悉的国家秘密、商业秘密负有保密责任。</w:t>
      </w:r>
      <w:r>
        <w:rPr>
          <w:rFonts w:hint="eastAsia" w:ascii="宋体" w:hAnsi="宋体"/>
          <w:color w:val="auto"/>
          <w:szCs w:val="21"/>
          <w:highlight w:val="none"/>
        </w:rPr>
        <w:t>开标后，直至授予中标人合同为止，凡属于对投标文件的审查、澄清、评价和比较的有关资料以及中标候选人的推荐情况，与评标有关的其他任何情况均严格保密。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8.3.7 投标人对评标委员会的评标过程或合同授予决定施加影响的任何行为都可能导致其投标被拒绝。</w:t>
      </w:r>
    </w:p>
    <w:p>
      <w:pPr>
        <w:tabs>
          <w:tab w:val="left" w:pos="426"/>
        </w:tabs>
        <w:spacing w:line="360" w:lineRule="auto"/>
        <w:rPr>
          <w:rFonts w:hint="eastAsia" w:ascii="宋体" w:hAnsi="宋体"/>
          <w:color w:val="auto"/>
          <w:szCs w:val="21"/>
          <w:highlight w:val="none"/>
        </w:rPr>
      </w:pPr>
      <w:r>
        <w:rPr>
          <w:rFonts w:hint="eastAsia" w:ascii="宋体" w:hAnsi="宋体"/>
          <w:color w:val="auto"/>
          <w:szCs w:val="21"/>
          <w:highlight w:val="none"/>
        </w:rPr>
        <w:t xml:space="preserve">    8.3.8 评标完成后，评标委员会应当向采购人提交书面评标报告，并由采购代理机构转送。</w:t>
      </w:r>
    </w:p>
    <w:p>
      <w:pPr>
        <w:pStyle w:val="4"/>
        <w:spacing w:after="120" w:afterLines="50" w:line="360" w:lineRule="auto"/>
        <w:jc w:val="left"/>
        <w:rPr>
          <w:rFonts w:hint="eastAsia" w:ascii="宋体" w:hAnsi="宋体" w:eastAsia="宋体" w:cs="宋体"/>
          <w:bCs/>
          <w:color w:val="auto"/>
          <w:szCs w:val="28"/>
          <w:highlight w:val="none"/>
        </w:rPr>
      </w:pPr>
      <w:bookmarkStart w:id="120" w:name="_Toc15740"/>
      <w:r>
        <w:rPr>
          <w:rFonts w:hint="eastAsia" w:ascii="宋体" w:hAnsi="宋体" w:eastAsia="宋体" w:cs="宋体"/>
          <w:bCs/>
          <w:color w:val="auto"/>
          <w:szCs w:val="28"/>
          <w:highlight w:val="none"/>
        </w:rPr>
        <w:t>9.定标</w:t>
      </w:r>
      <w:bookmarkEnd w:id="118"/>
      <w:bookmarkEnd w:id="119"/>
      <w:bookmarkEnd w:id="120"/>
      <w:bookmarkStart w:id="121" w:name="_Toc217446061"/>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9.1 定标原则</w:t>
      </w:r>
      <w:bookmarkEnd w:id="121"/>
    </w:p>
    <w:p>
      <w:pPr>
        <w:spacing w:line="360" w:lineRule="auto"/>
        <w:ind w:firstLine="411" w:firstLineChars="196"/>
        <w:rPr>
          <w:rFonts w:hint="eastAsia" w:ascii="宋体" w:hAnsi="宋体"/>
          <w:color w:val="auto"/>
          <w:szCs w:val="21"/>
          <w:highlight w:val="none"/>
        </w:rPr>
      </w:pPr>
      <w:bookmarkStart w:id="122" w:name="_Toc217446062"/>
      <w:r>
        <w:rPr>
          <w:rFonts w:hint="eastAsia" w:ascii="宋体" w:hAnsi="宋体"/>
          <w:color w:val="auto"/>
          <w:szCs w:val="21"/>
          <w:highlight w:val="none"/>
        </w:rPr>
        <w:t>采购人或其授权的评标委员会按照评标报告中推荐的中标候选人名单，按顺序确定中标人。</w:t>
      </w: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9.2 定标程序</w:t>
      </w:r>
      <w:bookmarkEnd w:id="122"/>
    </w:p>
    <w:p>
      <w:pPr>
        <w:spacing w:line="360" w:lineRule="auto"/>
        <w:ind w:firstLine="420" w:firstLineChars="200"/>
        <w:rPr>
          <w:rFonts w:hint="eastAsia" w:ascii="宋体" w:hAnsi="宋体"/>
          <w:color w:val="auto"/>
          <w:szCs w:val="21"/>
          <w:highlight w:val="none"/>
        </w:rPr>
      </w:pPr>
      <w:bookmarkStart w:id="123" w:name="_Toc183682375"/>
      <w:bookmarkStart w:id="124" w:name="_Toc183582238"/>
      <w:bookmarkStart w:id="125" w:name="_Toc217446063"/>
      <w:r>
        <w:rPr>
          <w:rFonts w:hint="eastAsia" w:ascii="宋体" w:hAnsi="宋体"/>
          <w:color w:val="auto"/>
          <w:szCs w:val="21"/>
          <w:highlight w:val="none"/>
        </w:rPr>
        <w:t>9.2.1投标人前附表规定采用综合评分法的，评标委员会将评标情况编写出书面报告，推荐3个中标候选人，并按照综合得分高低标明排列顺序。得分相同的，按投标报价由低到高顺序排列；得分且投标报价相同的并列。投标文件满足全部实质性要求，且得分最高的投标人为排名第一的中标候选人。</w:t>
      </w:r>
    </w:p>
    <w:p>
      <w:pPr>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9.2.</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采购代理机构在评标结束后2个工作日内将评标报告送采购人。</w:t>
      </w:r>
    </w:p>
    <w:p>
      <w:pPr>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9.2.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采购人应当在收到评标报告后5个工作日内，按照评标报告中推荐的中标候选人顺序和有关规定确定中标人，第一名中标候选人并列的，由采购人根据</w:t>
      </w:r>
      <w:r>
        <w:rPr>
          <w:rFonts w:hint="eastAsia" w:ascii="宋体" w:hAnsi="宋体"/>
          <w:color w:val="auto"/>
          <w:szCs w:val="21"/>
          <w:highlight w:val="none"/>
          <w:u w:val="single"/>
          <w:lang w:val="en-US" w:eastAsia="zh-CN"/>
        </w:rPr>
        <w:t>技术方案得分由高到低顺序</w:t>
      </w:r>
      <w:r>
        <w:rPr>
          <w:rFonts w:hint="eastAsia" w:ascii="宋体" w:hAnsi="宋体"/>
          <w:color w:val="auto"/>
          <w:szCs w:val="21"/>
          <w:highlight w:val="none"/>
        </w:rPr>
        <w:t>确定。同时，将中标结果复函至采购代理机构。</w:t>
      </w:r>
    </w:p>
    <w:p>
      <w:pPr>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9.2.5 采购代理机构应当在接到采购人“定标”复函之日起2个工作日内，根据采购人确定的中标人，在省级以上财政部门指定的媒体上公告中标结果，招标文件应当随中标结果同时公告；中标人的《中小企业声明函》或者《残疾人福利性单位声明函》也应随中标结果同时公告。</w:t>
      </w:r>
    </w:p>
    <w:p>
      <w:pPr>
        <w:spacing w:line="360" w:lineRule="auto"/>
        <w:ind w:firstLine="367" w:firstLineChars="175"/>
        <w:rPr>
          <w:rFonts w:hint="eastAsia" w:ascii="宋体" w:hAnsi="宋体"/>
          <w:color w:val="auto"/>
          <w:szCs w:val="21"/>
          <w:highlight w:val="none"/>
        </w:rPr>
      </w:pPr>
      <w:r>
        <w:rPr>
          <w:rFonts w:hint="eastAsia" w:ascii="宋体" w:hAnsi="宋体"/>
          <w:color w:val="auto"/>
          <w:szCs w:val="21"/>
          <w:highlight w:val="none"/>
        </w:rPr>
        <w:t>在公告中标结果的同时，采购人或采购代理机构应当向中标人发出《中标通知书》。</w:t>
      </w:r>
      <w:r>
        <w:rPr>
          <w:rFonts w:hint="eastAsia" w:ascii="宋体" w:hAnsi="宋体" w:cs="宋体"/>
          <w:color w:val="auto"/>
          <w:kern w:val="0"/>
          <w:szCs w:val="21"/>
          <w:highlight w:val="none"/>
        </w:rPr>
        <w:t>对未通过资格审查或未通符合性审查的投标人，应告知其未通过的原因；对于其他参与评分的未中标人，应当告知其本人的评审得分与排序。</w:t>
      </w: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9.3 中标通知</w:t>
      </w:r>
      <w:bookmarkEnd w:id="123"/>
      <w:bookmarkEnd w:id="124"/>
      <w:r>
        <w:rPr>
          <w:rFonts w:hint="eastAsia" w:ascii="宋体" w:hAnsi="宋体" w:cs="宋体"/>
          <w:b/>
          <w:color w:val="auto"/>
          <w:sz w:val="24"/>
          <w:highlight w:val="none"/>
        </w:rPr>
        <w:t>书</w:t>
      </w:r>
      <w:bookmarkEnd w:id="125"/>
    </w:p>
    <w:p>
      <w:pPr>
        <w:tabs>
          <w:tab w:val="left" w:pos="7665"/>
        </w:tabs>
        <w:spacing w:line="360" w:lineRule="auto"/>
        <w:ind w:firstLine="420" w:firstLineChars="200"/>
        <w:rPr>
          <w:rFonts w:hint="eastAsia" w:ascii="宋体" w:hAnsi="宋体"/>
          <w:color w:val="auto"/>
          <w:szCs w:val="21"/>
          <w:highlight w:val="none"/>
        </w:rPr>
      </w:pPr>
      <w:bookmarkStart w:id="126" w:name="_Toc217446064"/>
      <w:bookmarkStart w:id="127" w:name="_Toc13630"/>
      <w:bookmarkStart w:id="128" w:name="_Toc183682377"/>
      <w:bookmarkStart w:id="129" w:name="_Toc183582240"/>
      <w:r>
        <w:rPr>
          <w:rFonts w:hint="eastAsia" w:ascii="宋体" w:hAnsi="宋体"/>
          <w:color w:val="auto"/>
          <w:szCs w:val="21"/>
          <w:highlight w:val="none"/>
        </w:rPr>
        <w:t>9.3</w:t>
      </w:r>
      <w:r>
        <w:rPr>
          <w:rFonts w:hint="eastAsia" w:ascii="宋体" w:hAnsi="宋体"/>
          <w:b/>
          <w:bCs/>
          <w:color w:val="auto"/>
          <w:szCs w:val="21"/>
          <w:highlight w:val="none"/>
        </w:rPr>
        <w:t>.</w:t>
      </w:r>
      <w:r>
        <w:rPr>
          <w:rFonts w:hint="eastAsia" w:ascii="宋体" w:hAnsi="宋体"/>
          <w:color w:val="auto"/>
          <w:szCs w:val="21"/>
          <w:highlight w:val="none"/>
        </w:rPr>
        <w:t>1 中标通知书为签订政府采购合同的依据之一，是合同的有效组成部分。</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9.3.2 中标通知书对采购人和中标人均具有法律效力。中标通知书发出后，采购人改变中标结果，或者中标人无正当理由放弃中标的，应当承担相应的法律责任。</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9.3.3 中标人应当在接到采购代理机构通知之日起2个工作日内领取《中标通知书》。</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9.3.4 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pPr>
        <w:pStyle w:val="4"/>
        <w:spacing w:after="120" w:afterLines="50" w:line="360" w:lineRule="auto"/>
        <w:jc w:val="left"/>
        <w:rPr>
          <w:rFonts w:hint="eastAsia" w:ascii="宋体" w:hAnsi="宋体" w:eastAsia="宋体" w:cs="宋体"/>
          <w:bCs/>
          <w:color w:val="auto"/>
          <w:szCs w:val="28"/>
          <w:highlight w:val="none"/>
        </w:rPr>
      </w:pPr>
      <w:bookmarkStart w:id="130" w:name="_Toc24527"/>
      <w:r>
        <w:rPr>
          <w:rFonts w:hint="eastAsia" w:ascii="宋体" w:hAnsi="宋体" w:eastAsia="宋体" w:cs="宋体"/>
          <w:bCs/>
          <w:color w:val="auto"/>
          <w:szCs w:val="28"/>
          <w:highlight w:val="none"/>
        </w:rPr>
        <w:t>10.合同</w:t>
      </w:r>
      <w:bookmarkEnd w:id="126"/>
      <w:r>
        <w:rPr>
          <w:rFonts w:hint="eastAsia" w:ascii="宋体" w:hAnsi="宋体" w:eastAsia="宋体" w:cs="宋体"/>
          <w:bCs/>
          <w:color w:val="auto"/>
          <w:szCs w:val="28"/>
          <w:highlight w:val="none"/>
        </w:rPr>
        <w:t>授予</w:t>
      </w:r>
      <w:bookmarkEnd w:id="127"/>
      <w:bookmarkEnd w:id="130"/>
      <w:bookmarkStart w:id="131" w:name="_Toc217446065"/>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10.1 履约保证金</w:t>
      </w:r>
    </w:p>
    <w:p>
      <w:pPr>
        <w:tabs>
          <w:tab w:val="left" w:pos="7665"/>
        </w:tabs>
        <w:spacing w:line="360" w:lineRule="auto"/>
        <w:ind w:firstLine="482"/>
        <w:rPr>
          <w:rFonts w:hint="eastAsia" w:ascii="宋体" w:hAnsi="宋体"/>
          <w:color w:val="auto"/>
          <w:szCs w:val="21"/>
          <w:highlight w:val="none"/>
        </w:rPr>
      </w:pPr>
      <w:r>
        <w:rPr>
          <w:rFonts w:hint="eastAsia" w:ascii="宋体" w:hAnsi="宋体"/>
          <w:color w:val="auto"/>
          <w:szCs w:val="21"/>
          <w:highlight w:val="none"/>
        </w:rPr>
        <w:t>10.1.1 本项目投标人须知前附表规定提交履约保证金的，中标人在收到采购代理机构的中标通知书后10日内，应当按照</w:t>
      </w:r>
      <w:r>
        <w:rPr>
          <w:rFonts w:hint="eastAsia" w:ascii="宋体" w:hAnsi="宋体"/>
          <w:b/>
          <w:color w:val="auto"/>
          <w:szCs w:val="21"/>
          <w:highlight w:val="none"/>
        </w:rPr>
        <w:t>投标人须知前附表</w:t>
      </w:r>
      <w:r>
        <w:rPr>
          <w:rFonts w:hint="eastAsia" w:ascii="宋体" w:hAnsi="宋体"/>
          <w:color w:val="auto"/>
          <w:szCs w:val="21"/>
          <w:highlight w:val="none"/>
        </w:rPr>
        <w:t>规定的形式、金额，向采购人提交履约保证金或履约担保。联合体中标的，履约保证金或履约担保由联合体各方或者联合体中牵头人的名义提交。</w:t>
      </w:r>
    </w:p>
    <w:p>
      <w:pPr>
        <w:tabs>
          <w:tab w:val="left" w:pos="7665"/>
        </w:tabs>
        <w:spacing w:line="360" w:lineRule="auto"/>
        <w:ind w:firstLine="482"/>
        <w:rPr>
          <w:rFonts w:hint="eastAsia" w:ascii="宋体" w:hAnsi="宋体"/>
          <w:b/>
          <w:color w:val="auto"/>
          <w:szCs w:val="21"/>
          <w:highlight w:val="none"/>
        </w:rPr>
      </w:pPr>
      <w:r>
        <w:rPr>
          <w:rFonts w:hint="eastAsia" w:ascii="宋体" w:hAnsi="宋体"/>
          <w:color w:val="auto"/>
          <w:szCs w:val="21"/>
          <w:highlight w:val="none"/>
        </w:rPr>
        <w:t>10.1.2 中标人</w:t>
      </w:r>
      <w:r>
        <w:rPr>
          <w:rFonts w:hint="eastAsia" w:ascii="宋体" w:hAnsi="宋体"/>
          <w:color w:val="auto"/>
          <w:spacing w:val="4"/>
          <w:szCs w:val="21"/>
          <w:highlight w:val="none"/>
        </w:rPr>
        <w:t>不能按照本章第10.1.1项规定</w:t>
      </w:r>
      <w:r>
        <w:rPr>
          <w:rFonts w:hint="eastAsia" w:ascii="宋体" w:hAnsi="宋体"/>
          <w:color w:val="auto"/>
          <w:szCs w:val="21"/>
          <w:highlight w:val="none"/>
        </w:rPr>
        <w:t>提交履约保证金或履约担保的</w:t>
      </w:r>
      <w:r>
        <w:rPr>
          <w:rFonts w:hint="eastAsia" w:ascii="宋体" w:hAnsi="宋体"/>
          <w:color w:val="auto"/>
          <w:spacing w:val="4"/>
          <w:szCs w:val="21"/>
          <w:highlight w:val="none"/>
        </w:rPr>
        <w:t>，视为放弃</w:t>
      </w:r>
      <w:r>
        <w:rPr>
          <w:rFonts w:hint="eastAsia" w:ascii="宋体" w:hAnsi="宋体"/>
          <w:color w:val="auto"/>
          <w:szCs w:val="21"/>
          <w:highlight w:val="none"/>
        </w:rPr>
        <w:t>中标资格</w:t>
      </w:r>
      <w:r>
        <w:rPr>
          <w:rFonts w:hint="eastAsia" w:ascii="宋体" w:hAnsi="宋体"/>
          <w:color w:val="auto"/>
          <w:spacing w:val="4"/>
          <w:szCs w:val="21"/>
          <w:highlight w:val="none"/>
        </w:rPr>
        <w:t>，</w:t>
      </w:r>
      <w:r>
        <w:rPr>
          <w:rFonts w:hint="eastAsia" w:ascii="宋体" w:hAnsi="宋体"/>
          <w:color w:val="auto"/>
          <w:spacing w:val="2"/>
          <w:szCs w:val="21"/>
          <w:highlight w:val="none"/>
        </w:rPr>
        <w:t>有投标保证金的不予退还，给采购人造成损失的，中标人应当予以赔偿。</w:t>
      </w: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10.2 签订合同</w:t>
      </w:r>
      <w:bookmarkEnd w:id="131"/>
    </w:p>
    <w:p>
      <w:pPr>
        <w:spacing w:line="360" w:lineRule="auto"/>
        <w:ind w:firstLine="420" w:firstLineChars="200"/>
        <w:rPr>
          <w:rFonts w:hint="eastAsia" w:ascii="宋体" w:hAnsi="宋体"/>
          <w:color w:val="auto"/>
          <w:szCs w:val="21"/>
          <w:highlight w:val="none"/>
        </w:rPr>
      </w:pPr>
      <w:bookmarkStart w:id="132" w:name="_Toc322606648"/>
      <w:bookmarkStart w:id="133" w:name="_Toc217446066"/>
      <w:r>
        <w:rPr>
          <w:rFonts w:hint="eastAsia" w:ascii="宋体" w:hAnsi="宋体"/>
          <w:color w:val="auto"/>
          <w:szCs w:val="21"/>
          <w:highlight w:val="none"/>
        </w:rPr>
        <w:t>10.2.1采购人应当自《中标通知书》发出之日起30日内，</w:t>
      </w:r>
      <w:r>
        <w:rPr>
          <w:rFonts w:hint="eastAsia"/>
          <w:color w:val="auto"/>
          <w:szCs w:val="21"/>
          <w:highlight w:val="none"/>
        </w:rPr>
        <w:t>按照招标文件和中标人投标文件的的规定，与中标人签订书面合同。</w:t>
      </w:r>
      <w:r>
        <w:rPr>
          <w:rFonts w:hint="eastAsia" w:ascii="宋体" w:hAnsi="宋体"/>
          <w:color w:val="auto"/>
          <w:szCs w:val="21"/>
          <w:highlight w:val="none"/>
        </w:rPr>
        <w:t>中标人拒签合同，或者在签订合同时向采购人提出附件条件，采购人有权取消其中标资格，给采购人造成损失的，</w:t>
      </w:r>
      <w:r>
        <w:rPr>
          <w:rFonts w:hint="eastAsia"/>
          <w:color w:val="auto"/>
          <w:spacing w:val="2"/>
          <w:szCs w:val="21"/>
          <w:highlight w:val="none"/>
        </w:rPr>
        <w:t>中标人应当予以赔偿。采购人可以</w:t>
      </w:r>
      <w:r>
        <w:rPr>
          <w:rFonts w:hint="eastAsia" w:ascii="宋体" w:hAnsi="宋体"/>
          <w:color w:val="auto"/>
          <w:szCs w:val="21"/>
          <w:highlight w:val="none"/>
        </w:rPr>
        <w:t>按照《政府采购法实施条例》第四十九条规定，依据评标报告推荐的中标候选人名单排序确定下一候选人为中标人并签订合同，或者重新开展采购活动。拒绝签订政府采购合同的中标人不得参加对该项目重新开展的采购活动。</w:t>
      </w:r>
    </w:p>
    <w:p>
      <w:pPr>
        <w:tabs>
          <w:tab w:val="left" w:pos="7665"/>
        </w:tabs>
        <w:spacing w:line="360" w:lineRule="auto"/>
        <w:ind w:firstLine="482"/>
        <w:rPr>
          <w:rFonts w:hint="eastAsia" w:ascii="宋体" w:hAnsi="宋体"/>
          <w:color w:val="auto"/>
          <w:szCs w:val="21"/>
          <w:highlight w:val="none"/>
        </w:rPr>
      </w:pPr>
      <w:r>
        <w:rPr>
          <w:rFonts w:hint="eastAsia" w:ascii="宋体" w:hAnsi="宋体"/>
          <w:color w:val="auto"/>
          <w:szCs w:val="21"/>
          <w:highlight w:val="none"/>
        </w:rPr>
        <w:t>10.2.2 发出中标通知书后，采购人不得向中标人提出任何不合理要求，作为签订合同的条件，不得与中标人私下订立背离合同实质性内容的任何协议，所签订的合同不得对招标文件确定的事项和中标人投标文件做实质性修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10.2.3 联合体中标的，联合体各方应当与采购人签订采购合同，就中标项目向采购人承担连带责任。</w:t>
      </w:r>
    </w:p>
    <w:p>
      <w:pPr>
        <w:tabs>
          <w:tab w:val="left" w:pos="426"/>
        </w:tabs>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10.2.4 采购人应当自政府采购合同签订之日起2个工作日内，在</w:t>
      </w:r>
      <w:r>
        <w:rPr>
          <w:rFonts w:hint="eastAsia" w:ascii="宋体" w:hAnsi="宋体"/>
          <w:color w:val="auto"/>
          <w:szCs w:val="21"/>
          <w:highlight w:val="none"/>
        </w:rPr>
        <w:t>省级以上财政部门指定的媒体上</w:t>
      </w:r>
      <w:r>
        <w:rPr>
          <w:rFonts w:hint="eastAsia" w:ascii="宋体" w:hAnsi="宋体" w:cs="宋体"/>
          <w:color w:val="auto"/>
          <w:szCs w:val="21"/>
          <w:highlight w:val="none"/>
        </w:rPr>
        <w:t>对合同进行公示，但政府采购合同中涉及国家秘密、商业秘密的内容除外。</w:t>
      </w:r>
    </w:p>
    <w:p>
      <w:pPr>
        <w:tabs>
          <w:tab w:val="left" w:pos="426"/>
        </w:tabs>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10.2.5 采购人应当自合同签订之日起7个工作日内将政府采购合同报送监管机构备案。</w:t>
      </w: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10.3 合同履行</w:t>
      </w:r>
      <w:bookmarkEnd w:id="132"/>
    </w:p>
    <w:p>
      <w:pPr>
        <w:tabs>
          <w:tab w:val="left" w:pos="426"/>
        </w:tabs>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10.3.1 政府采购合同一经签订，双方应严格履行合同规定的义务。在合同履行过程中，如发生合同纠纷，合同双方应按照《中华人民共和国民法典》及合同条款的有关规定进行处理。</w:t>
      </w:r>
    </w:p>
    <w:bookmarkEnd w:id="128"/>
    <w:bookmarkEnd w:id="129"/>
    <w:bookmarkEnd w:id="133"/>
    <w:p>
      <w:pPr>
        <w:tabs>
          <w:tab w:val="left" w:pos="426"/>
        </w:tabs>
        <w:autoSpaceDE w:val="0"/>
        <w:autoSpaceDN w:val="0"/>
        <w:adjustRightInd w:val="0"/>
        <w:snapToGrid w:val="0"/>
        <w:spacing w:line="360" w:lineRule="auto"/>
        <w:ind w:firstLine="420" w:firstLineChars="200"/>
        <w:rPr>
          <w:rFonts w:hint="eastAsia" w:ascii="宋体" w:hAnsi="宋体" w:cs="黑体"/>
          <w:b/>
          <w:bCs/>
          <w:color w:val="auto"/>
          <w:szCs w:val="21"/>
          <w:highlight w:val="none"/>
        </w:rPr>
      </w:pPr>
      <w:bookmarkStart w:id="134" w:name="_Toc20837"/>
      <w:r>
        <w:rPr>
          <w:rFonts w:hint="eastAsia" w:ascii="宋体" w:hAnsi="宋体" w:cs="宋体"/>
          <w:color w:val="auto"/>
          <w:szCs w:val="21"/>
          <w:highlight w:val="none"/>
        </w:rPr>
        <w:t xml:space="preserve">10.3.2 </w:t>
      </w:r>
      <w:r>
        <w:rPr>
          <w:rFonts w:hint="eastAsia" w:ascii="宋体" w:hAnsi="宋体" w:cs="宋体"/>
          <w:color w:val="auto"/>
          <w:szCs w:val="21"/>
          <w:highlight w:val="none"/>
          <w:lang w:eastAsia="zh-TW"/>
        </w:rPr>
        <w:t>政府采购合同订立后，合同各方不得擅自变更</w:t>
      </w:r>
      <w:r>
        <w:rPr>
          <w:rFonts w:hint="eastAsia" w:ascii="宋体" w:hAnsi="宋体" w:cs="宋体"/>
          <w:color w:val="auto"/>
          <w:szCs w:val="21"/>
          <w:highlight w:val="none"/>
        </w:rPr>
        <w:t>或者</w:t>
      </w:r>
      <w:r>
        <w:rPr>
          <w:rFonts w:hint="eastAsia" w:ascii="宋体" w:hAnsi="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pPr>
        <w:tabs>
          <w:tab w:val="left" w:pos="426"/>
        </w:tabs>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10.3.3 </w:t>
      </w:r>
      <w:r>
        <w:rPr>
          <w:rFonts w:hint="eastAsia" w:ascii="宋体" w:hAnsi="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cs="宋体"/>
          <w:color w:val="auto"/>
          <w:szCs w:val="21"/>
          <w:highlight w:val="none"/>
        </w:rPr>
        <w:t>中标人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w:t>
      </w:r>
      <w:r>
        <w:rPr>
          <w:rFonts w:hint="eastAsia" w:ascii="宋体" w:hAnsi="宋体" w:cs="宋体"/>
          <w:color w:val="auto"/>
          <w:szCs w:val="21"/>
          <w:highlight w:val="none"/>
        </w:rPr>
        <w:t>应</w:t>
      </w:r>
      <w:r>
        <w:rPr>
          <w:rFonts w:hint="eastAsia" w:ascii="宋体" w:hAnsi="宋体" w:cs="宋体"/>
          <w:color w:val="auto"/>
          <w:szCs w:val="21"/>
          <w:highlight w:val="none"/>
          <w:lang w:eastAsia="zh-TW"/>
        </w:rPr>
        <w:t>按规定备案。</w:t>
      </w:r>
    </w:p>
    <w:p>
      <w:pPr>
        <w:pStyle w:val="4"/>
        <w:spacing w:after="120" w:afterLines="50" w:line="360" w:lineRule="auto"/>
        <w:jc w:val="left"/>
        <w:rPr>
          <w:rFonts w:hint="eastAsia" w:ascii="宋体" w:hAnsi="宋体" w:eastAsia="宋体" w:cs="宋体"/>
          <w:bCs/>
          <w:color w:val="auto"/>
          <w:szCs w:val="28"/>
          <w:highlight w:val="none"/>
        </w:rPr>
      </w:pPr>
      <w:bookmarkStart w:id="135" w:name="_Toc15344"/>
      <w:r>
        <w:rPr>
          <w:rFonts w:hint="eastAsia" w:ascii="宋体" w:hAnsi="宋体" w:eastAsia="宋体" w:cs="宋体"/>
          <w:bCs/>
          <w:color w:val="auto"/>
          <w:szCs w:val="28"/>
          <w:highlight w:val="none"/>
        </w:rPr>
        <w:t>11.废标或变更采购方式</w:t>
      </w:r>
      <w:bookmarkEnd w:id="134"/>
      <w:bookmarkEnd w:id="135"/>
      <w:bookmarkStart w:id="136" w:name="_Toc217446072"/>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11.1废标的情形</w:t>
      </w:r>
      <w:bookmarkEnd w:id="136"/>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1.1.1 招标采购中，出现下列情形之一的，应予以废标：</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（1）符合专业条件的投标人或者对招标文件作实质响应的投标人不足3家的；</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（3）投标人的报价均超过了采购预算或最高限价，采购人不能支付的；</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（4）因重大变故，采购任务取消的。</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11.1.2 废标后，采购人、采购代理机构应当将废标理由通知所有投标人。</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符合资格条件或</w:t>
      </w:r>
      <w:r>
        <w:rPr>
          <w:rFonts w:hint="eastAsia" w:ascii="宋体" w:hAnsi="宋体"/>
          <w:b/>
          <w:color w:val="auto"/>
          <w:szCs w:val="21"/>
          <w:highlight w:val="none"/>
        </w:rPr>
        <w:t>技术要求（参数）实质性响应</w:t>
      </w:r>
      <w:r>
        <w:rPr>
          <w:rFonts w:hint="eastAsia" w:ascii="宋体" w:hAnsi="宋体"/>
          <w:color w:val="auto"/>
          <w:szCs w:val="21"/>
          <w:highlight w:val="none"/>
        </w:rPr>
        <w:t>的投标人少于3家情形的，应当按照《政府采购促进中小企业发展管理办法》（财库[2020]46号）第十条的规定，视同未预留份额的采购项目或者采购包，重新组织采购活动。</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11.1.3 因重大变故，采购任务取消终止招标的，采购人、采购代理机构应当及时在原公告发布媒体上发布终止公告，以书面形式通知已经获取招标文件</w:t>
      </w:r>
      <w:r>
        <w:rPr>
          <w:rFonts w:hint="eastAsia" w:ascii="宋体" w:hAnsi="宋体"/>
          <w:b/>
          <w:color w:val="auto"/>
          <w:szCs w:val="21"/>
          <w:highlight w:val="none"/>
        </w:rPr>
        <w:t>潜在投标人</w:t>
      </w:r>
      <w:r>
        <w:rPr>
          <w:rFonts w:hint="eastAsia" w:ascii="宋体" w:hAnsi="宋体"/>
          <w:color w:val="auto"/>
          <w:szCs w:val="21"/>
          <w:highlight w:val="none"/>
        </w:rPr>
        <w:t>，并将项目实施情况和采购任务取消原因报告本级财政部门。已经收取招标文件费用或者投标保证金的，采购人或者采购代理机构应当在终止采购活动后5个工作日内，退还所收取的招标文件费用和所收取的投标保证金。</w:t>
      </w: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11.2 变更采购方式</w:t>
      </w:r>
    </w:p>
    <w:p>
      <w:pPr>
        <w:pStyle w:val="6"/>
        <w:spacing w:line="360" w:lineRule="auto"/>
        <w:ind w:firstLine="525"/>
        <w:rPr>
          <w:rFonts w:hint="eastAsia" w:ascii="宋体" w:hAnsi="宋体"/>
          <w:color w:val="auto"/>
          <w:szCs w:val="21"/>
          <w:highlight w:val="none"/>
        </w:rPr>
      </w:pPr>
      <w:bookmarkStart w:id="137" w:name="_Toc26310"/>
      <w:r>
        <w:rPr>
          <w:rFonts w:hint="eastAsia" w:ascii="宋体" w:hAnsi="宋体"/>
          <w:color w:val="auto"/>
          <w:szCs w:val="21"/>
          <w:highlight w:val="none"/>
        </w:rPr>
        <w:t>11.2.1 存在下列情形之一的，</w:t>
      </w:r>
      <w:r>
        <w:rPr>
          <w:rFonts w:ascii="宋体" w:hAnsi="宋体"/>
          <w:color w:val="auto"/>
          <w:szCs w:val="21"/>
          <w:highlight w:val="none"/>
        </w:rPr>
        <w:t>除采购任务取消情形外，</w:t>
      </w:r>
      <w:r>
        <w:rPr>
          <w:rFonts w:hint="eastAsia" w:ascii="宋体" w:hAnsi="宋体"/>
          <w:color w:val="auto"/>
          <w:szCs w:val="21"/>
          <w:highlight w:val="none"/>
        </w:rPr>
        <w:t>采购人经同级财政部门同意后，可以按《政府采购货物和服务招标投标管理办法》（财政部87号令）第四十三条规定的方式处理：</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投标截止后参加投标的人不足3家</w:t>
      </w:r>
      <w:r>
        <w:rPr>
          <w:rFonts w:hint="eastAsia" w:ascii="宋体" w:hAnsi="宋体"/>
          <w:color w:val="auto"/>
          <w:szCs w:val="21"/>
          <w:highlight w:val="none"/>
        </w:rPr>
        <w:t>的；</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（2）通过资格审查的</w:t>
      </w:r>
      <w:r>
        <w:rPr>
          <w:rFonts w:ascii="宋体" w:hAnsi="宋体"/>
          <w:color w:val="auto"/>
          <w:szCs w:val="21"/>
          <w:highlight w:val="none"/>
        </w:rPr>
        <w:t>投标人不足3家</w:t>
      </w:r>
      <w:r>
        <w:rPr>
          <w:rFonts w:hint="eastAsia" w:ascii="宋体" w:hAnsi="宋体"/>
          <w:color w:val="auto"/>
          <w:szCs w:val="21"/>
          <w:highlight w:val="none"/>
        </w:rPr>
        <w:t>的；</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（3）通过符合性审查的</w:t>
      </w:r>
      <w:r>
        <w:rPr>
          <w:rFonts w:ascii="宋体" w:hAnsi="宋体"/>
          <w:color w:val="auto"/>
          <w:szCs w:val="21"/>
          <w:highlight w:val="none"/>
        </w:rPr>
        <w:t>投标</w:t>
      </w:r>
      <w:r>
        <w:rPr>
          <w:rFonts w:hint="eastAsia" w:ascii="宋体" w:hAnsi="宋体"/>
          <w:color w:val="auto"/>
          <w:szCs w:val="21"/>
          <w:highlight w:val="none"/>
        </w:rPr>
        <w:t>人</w:t>
      </w:r>
      <w:r>
        <w:rPr>
          <w:rFonts w:ascii="宋体" w:hAnsi="宋体"/>
          <w:color w:val="auto"/>
          <w:szCs w:val="21"/>
          <w:highlight w:val="none"/>
        </w:rPr>
        <w:t>不足3家的</w:t>
      </w:r>
      <w:r>
        <w:rPr>
          <w:rFonts w:hint="eastAsia" w:ascii="宋体" w:hAnsi="宋体"/>
          <w:color w:val="auto"/>
          <w:szCs w:val="21"/>
          <w:highlight w:val="none"/>
        </w:rPr>
        <w:t>。</w:t>
      </w:r>
    </w:p>
    <w:p>
      <w:pPr>
        <w:pStyle w:val="6"/>
        <w:spacing w:line="360" w:lineRule="auto"/>
        <w:ind w:firstLine="525"/>
        <w:rPr>
          <w:rFonts w:hint="eastAsia" w:ascii="宋体" w:hAnsi="宋体"/>
          <w:b/>
          <w:color w:val="auto"/>
          <w:szCs w:val="21"/>
          <w:highlight w:val="none"/>
        </w:rPr>
      </w:pPr>
      <w:r>
        <w:rPr>
          <w:rFonts w:hint="eastAsia" w:ascii="宋体" w:hAnsi="宋体"/>
          <w:color w:val="auto"/>
          <w:szCs w:val="21"/>
          <w:highlight w:val="none"/>
        </w:rPr>
        <w:t>11.2.2 通过符合性审查的投标人只有2家时，采购人经同级财政部门同意后，可以按《政府采购非招标采购方式管理办法》（财政部第74号令）的规定与该2家投标人进行竞争性谈判采购。</w:t>
      </w:r>
    </w:p>
    <w:p>
      <w:pPr>
        <w:pStyle w:val="4"/>
        <w:spacing w:after="120" w:afterLines="50" w:line="360" w:lineRule="auto"/>
        <w:jc w:val="left"/>
        <w:rPr>
          <w:rFonts w:hint="eastAsia" w:ascii="宋体" w:hAnsi="宋体" w:eastAsia="宋体" w:cs="宋体"/>
          <w:bCs/>
          <w:color w:val="auto"/>
          <w:szCs w:val="28"/>
          <w:highlight w:val="none"/>
        </w:rPr>
      </w:pPr>
      <w:bookmarkStart w:id="138" w:name="_Toc13295"/>
      <w:r>
        <w:rPr>
          <w:rFonts w:hint="eastAsia" w:ascii="宋体" w:hAnsi="宋体" w:eastAsia="宋体" w:cs="宋体"/>
          <w:bCs/>
          <w:color w:val="auto"/>
          <w:szCs w:val="28"/>
          <w:highlight w:val="none"/>
        </w:rPr>
        <w:t>1</w:t>
      </w:r>
      <w:r>
        <w:rPr>
          <w:rFonts w:hint="eastAsia" w:ascii="宋体" w:hAnsi="宋体" w:eastAsia="宋体" w:cs="宋体"/>
          <w:bCs/>
          <w:color w:val="auto"/>
          <w:szCs w:val="28"/>
          <w:highlight w:val="none"/>
          <w:lang w:val="en-US" w:eastAsia="zh-CN"/>
        </w:rPr>
        <w:t>2</w:t>
      </w:r>
      <w:r>
        <w:rPr>
          <w:rFonts w:hint="eastAsia" w:ascii="宋体" w:hAnsi="宋体" w:eastAsia="宋体" w:cs="宋体"/>
          <w:bCs/>
          <w:color w:val="auto"/>
          <w:szCs w:val="28"/>
          <w:highlight w:val="none"/>
        </w:rPr>
        <w:t>.质疑与投诉</w:t>
      </w:r>
      <w:bookmarkEnd w:id="137"/>
      <w:bookmarkEnd w:id="138"/>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12.1质疑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12.1.1 如投标人对本次采购活动有疑问，认为需要提出质疑和投诉的，应当按照《政府采购质疑投诉办法》（财政部94号令）的有关规定办理。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12.1.2 投标人对采购文件、采购过程或中标结果使自身的合法权益受到损害，应当在法定期限内，按照质疑函范本格式要求以书面形式向采购代理机构或采购人提出质疑，并附必要的证明材料。</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12.1.3 质疑函应当包括下列内容：</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（1）投标人的姓名或者名称、地址、邮编、联系人及联系电话；</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（6）提出质疑的日期。</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投标人为自然人的，应当由本人签名；投标人为法人或者其他组织的，应当由法定代表人、主要负责人，或者其授权代表签名或者盖章，并加盖单位章。</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12.1.4质疑人可以委托代理人办理质疑事项，代理人办理质疑事项时，除提交质疑函外，还应当提交质疑人的授权委托书及代理人的有效身份证明，授权委托书应当载明委托代理的具体权限期限和相关事项。</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12.1.5 质疑函范本格式在中国政府采购网站（</w:t>
      </w:r>
      <w:r>
        <w:rPr>
          <w:rFonts w:ascii="宋体" w:hAnsi="宋体"/>
          <w:color w:val="auto"/>
          <w:szCs w:val="21"/>
          <w:highlight w:val="none"/>
        </w:rPr>
        <w:t>http://www.ccgp.gov.cn/</w:t>
      </w:r>
      <w:r>
        <w:rPr>
          <w:rFonts w:hint="eastAsia" w:ascii="宋体" w:hAnsi="宋体"/>
          <w:color w:val="auto"/>
          <w:szCs w:val="21"/>
          <w:highlight w:val="none"/>
        </w:rPr>
        <w:t>）自行下载。</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12.1.6 接收质疑函的联系部门、联系电话和通讯地址同招标公告。</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12.1.7 有下列情形之一的，属于无效质疑，采购代理机构和采购人不予受理：</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（1）对招标文件提出质疑的质疑人不是依法获取招标文件的潜在投标人；对采购过程、中标结果提出质疑的不是参与本次政府采购项目的投标人；</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（2）质疑人与质疑事项不存在利害关系的；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（3）未在法定期限内提出质疑的；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（4）质疑未以书面形式提出，以传真、电子邮件、移动通信等形式即时收悉提交的质疑材料；</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（5）质疑未按质疑函范本格式提出的；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（6）质疑书主要内容构成不完整的；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（7）未提交营业执照或法人证书复印件，由授权代表签名的，未提交授权委托书；</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（8）质疑书没有合法有效的签名、盖章或授权的；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（9）以非法手段取得证据、材料的；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（10）质疑答复后，同一质疑人就同一事项再次提出质疑的；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（11）不符合法律、法规、规章和政府采购监管机构规定的其他条件的。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12.1.8 投标人须知前附表规定以书面形式提出质疑的，质疑人应当按照财政部规定格式和要求向采购代理机构提出。</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12.1.9无论那种质疑方式，采购代理机构都应当在收到质疑后7个工作日内做出答复，并以书面形式通知质疑人和其他有关投标人。</w:t>
      </w:r>
    </w:p>
    <w:p>
      <w:pPr>
        <w:widowControl/>
        <w:spacing w:line="360" w:lineRule="auto"/>
        <w:ind w:firstLine="420" w:firstLineChars="200"/>
        <w:rPr>
          <w:rFonts w:hint="eastAsia" w:ascii="宋体" w:hAnsi="宋体"/>
          <w:color w:val="auto"/>
          <w:szCs w:val="21"/>
          <w:highlight w:val="none"/>
        </w:rPr>
      </w:pP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12.2 投诉</w:t>
      </w:r>
    </w:p>
    <w:p>
      <w:pPr>
        <w:spacing w:before="120" w:beforeLines="50" w:after="120" w:afterLines="50"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12.2.1 质疑人对采购代理机构或采购人的答复不满意，或者采购人、采购代理机构未在规定时间内作出答复的，可以在答复期满后15个工作日内向</w:t>
      </w:r>
      <w:r>
        <w:rPr>
          <w:rFonts w:hint="eastAsia" w:ascii="宋体" w:hAnsi="宋体"/>
          <w:color w:val="auto"/>
          <w:szCs w:val="21"/>
          <w:highlight w:val="none"/>
          <w:u w:val="single"/>
          <w:lang w:val="en-US" w:eastAsia="zh-CN"/>
        </w:rPr>
        <w:t>陕西省西安市莲湖区财政局</w:t>
      </w:r>
      <w:r>
        <w:rPr>
          <w:rFonts w:hint="eastAsia" w:ascii="宋体" w:hAnsi="宋体"/>
          <w:color w:val="auto"/>
          <w:szCs w:val="21"/>
          <w:highlight w:val="none"/>
        </w:rPr>
        <w:t>提出投诉</w:t>
      </w:r>
      <w:r>
        <w:rPr>
          <w:rFonts w:hint="eastAsia" w:ascii="宋体" w:hAnsi="宋体"/>
          <w:color w:val="auto"/>
          <w:szCs w:val="21"/>
          <w:highlight w:val="none"/>
          <w:lang w:eastAsia="zh-CN"/>
        </w:rPr>
        <w:t>。</w:t>
      </w:r>
    </w:p>
    <w:p>
      <w:pPr>
        <w:widowControl/>
        <w:spacing w:line="360" w:lineRule="auto"/>
        <w:ind w:firstLine="420" w:firstLineChars="200"/>
        <w:rPr>
          <w:rFonts w:ascii="宋体" w:hAnsi="宋体"/>
          <w:color w:val="auto"/>
          <w:szCs w:val="21"/>
          <w:highlight w:val="none"/>
        </w:rPr>
      </w:pPr>
      <w:bookmarkStart w:id="139" w:name="_Toc22032"/>
      <w:r>
        <w:rPr>
          <w:rFonts w:hint="eastAsia" w:ascii="宋体" w:hAnsi="宋体"/>
          <w:color w:val="auto"/>
          <w:szCs w:val="21"/>
          <w:highlight w:val="none"/>
        </w:rPr>
        <w:t>12.2.2 投诉人投诉时,应当提交投诉书和必要的证明材料，并按照被投诉采购人、采购代理机构（以下简称被投诉人）和与投诉事项有关的供应商数量提供投诉书的副本。投诉书应当包括下列内容：</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（1）投诉人和被投诉人的姓名或者名称、通讯地址、邮编、联系人及联系电话；</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（2）质疑和质疑答复情况说明及相关证明材料；</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（3）具体、明确的投诉事项和与投诉事项相关的投诉请求；</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（4）事实依据；</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（5）法律依据；</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（6）提起投诉的日期。</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投诉人为自然人的，应当由本人签名；投诉人为法人或者其他组织的，应当由法定代表人、主要负责人，或者其授权代表签名或者盖章，并加盖单位章。</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12.2.3 投诉书范本格式在中国政府采购网站（</w:t>
      </w:r>
      <w:r>
        <w:rPr>
          <w:rFonts w:ascii="宋体" w:hAnsi="宋体"/>
          <w:color w:val="auto"/>
          <w:szCs w:val="21"/>
          <w:highlight w:val="none"/>
        </w:rPr>
        <w:t>http://www.ccgp.gov.cn/</w:t>
      </w:r>
      <w:r>
        <w:rPr>
          <w:rFonts w:hint="eastAsia" w:ascii="宋体" w:hAnsi="宋体"/>
          <w:color w:val="auto"/>
          <w:szCs w:val="21"/>
          <w:highlight w:val="none"/>
        </w:rPr>
        <w:t>）自行下载。</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12.2.4 投诉人提起投诉应当符合下列条件：</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（1）提起投诉前已依法进行质疑；</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（2）投诉书内容符合财政部94号令的规定；</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（3）在投诉有效期限内提起投诉；</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（4）同一投诉事项未经财政部门投诉处理；</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（5）财政部规定的其他条件。</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12.2.5  投诉人投诉的事项不得超出已质疑事项的范围，但基于质疑答复内容提出的投诉事项除外。</w:t>
      </w:r>
    </w:p>
    <w:p>
      <w:pPr>
        <w:spacing w:after="120"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12.3恶意质疑、投诉的法律后果</w:t>
      </w:r>
    </w:p>
    <w:p>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12.3.1对捏造事实、提供虚假材料进行质疑、投诉的行为将予以严肃处理：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12.3.2对捏造事实诬告陷害他人、诽谤他人的法律适用：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（2）《中华人民共和国刑法》第246条【侮辱罪、诽谤罪】以暴力或者其他方法公然侮辱他人或者捏造事实诽谤他人，情节严重的，处三年以下有期徒刑、拘役、管制或者剥夺政治权利。</w:t>
      </w:r>
    </w:p>
    <w:p>
      <w:pPr>
        <w:pStyle w:val="4"/>
        <w:spacing w:after="120" w:afterLines="50" w:line="360" w:lineRule="auto"/>
        <w:jc w:val="left"/>
        <w:rPr>
          <w:rFonts w:hint="eastAsia" w:ascii="宋体" w:hAnsi="宋体" w:eastAsia="宋体" w:cs="宋体"/>
          <w:bCs/>
          <w:color w:val="auto"/>
          <w:szCs w:val="28"/>
          <w:highlight w:val="none"/>
        </w:rPr>
      </w:pPr>
      <w:bookmarkStart w:id="140" w:name="_Toc26042"/>
      <w:r>
        <w:rPr>
          <w:rFonts w:hint="eastAsia" w:ascii="宋体" w:hAnsi="宋体" w:eastAsia="宋体" w:cs="宋体"/>
          <w:bCs/>
          <w:color w:val="auto"/>
          <w:szCs w:val="28"/>
          <w:highlight w:val="none"/>
        </w:rPr>
        <w:t>13.其他</w:t>
      </w:r>
      <w:bookmarkEnd w:id="139"/>
      <w:bookmarkEnd w:id="140"/>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13.1中标人融资</w:t>
      </w:r>
    </w:p>
    <w:p>
      <w:pPr>
        <w:spacing w:before="120" w:beforeLines="50" w:after="120" w:after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为进一步贯彻落实国务院和陕西省关于支持中小企业发展的政策措施，发挥政府采购政策导向作用，充分利用信息化技术，通过搭建信息对称、相互对接的平台，有效缓解中小企业融资难、融资贵问题。</w:t>
      </w:r>
      <w:r>
        <w:rPr>
          <w:rFonts w:hint="eastAsia" w:ascii="宋体" w:hAnsi="宋体" w:cs="Helvetica"/>
          <w:color w:val="auto"/>
          <w:szCs w:val="21"/>
          <w:highlight w:val="none"/>
        </w:rPr>
        <w:t>本着</w:t>
      </w:r>
      <w:r>
        <w:rPr>
          <w:rFonts w:hint="eastAsia" w:ascii="宋体" w:hAnsi="宋体" w:cs="Helvetica"/>
          <w:color w:val="auto"/>
          <w:szCs w:val="21"/>
          <w:highlight w:val="none"/>
          <w:lang w:val="en"/>
        </w:rPr>
        <w:t xml:space="preserve"> “银企自愿，风险自担”的原则，</w:t>
      </w:r>
      <w:r>
        <w:rPr>
          <w:rFonts w:hint="eastAsia" w:ascii="宋体" w:hAnsi="宋体"/>
          <w:color w:val="auto"/>
          <w:szCs w:val="21"/>
          <w:highlight w:val="none"/>
        </w:rPr>
        <w:t>中标人可以自愿选择</w:t>
      </w:r>
      <w:r>
        <w:rPr>
          <w:rFonts w:ascii="宋体" w:hAnsi="宋体" w:cs="Helvetica"/>
          <w:color w:val="auto"/>
          <w:szCs w:val="21"/>
          <w:highlight w:val="none"/>
          <w:lang w:val="en"/>
        </w:rPr>
        <w:t>政府采购贷</w:t>
      </w:r>
      <w:r>
        <w:rPr>
          <w:rFonts w:hint="eastAsia" w:ascii="宋体" w:hAnsi="宋体" w:cs="Helvetica"/>
          <w:color w:val="auto"/>
          <w:szCs w:val="21"/>
          <w:highlight w:val="none"/>
          <w:lang w:val="en"/>
        </w:rPr>
        <w:t>进行融资，通过“陕西省政府采购合同融资平台”（</w:t>
      </w:r>
      <w:r>
        <w:rPr>
          <w:rFonts w:ascii="宋体" w:hAnsi="宋体" w:cs="Helvetica"/>
          <w:color w:val="auto"/>
          <w:szCs w:val="21"/>
          <w:highlight w:val="none"/>
          <w:lang w:val="en"/>
        </w:rPr>
        <w:t>http://www.ccgp-shaanxi.gov.cn/</w:t>
      </w:r>
      <w:r>
        <w:rPr>
          <w:rFonts w:hint="eastAsia" w:ascii="宋体" w:hAnsi="宋体" w:cs="Helvetica"/>
          <w:color w:val="auto"/>
          <w:szCs w:val="21"/>
          <w:highlight w:val="none"/>
          <w:lang w:val="en"/>
        </w:rPr>
        <w:t>）实施政采贷。</w:t>
      </w:r>
      <w:r>
        <w:rPr>
          <w:rFonts w:hint="eastAsia" w:ascii="宋体" w:hAnsi="宋体"/>
          <w:color w:val="auto"/>
          <w:szCs w:val="21"/>
          <w:highlight w:val="none"/>
        </w:rPr>
        <w:t xml:space="preserve"> </w:t>
      </w: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13.2 招标代理服务费</w:t>
      </w:r>
    </w:p>
    <w:p>
      <w:pPr>
        <w:spacing w:line="360" w:lineRule="auto"/>
        <w:ind w:firstLine="573"/>
        <w:rPr>
          <w:rFonts w:hint="eastAsia" w:ascii="宋体" w:hAnsi="宋体"/>
          <w:color w:val="auto"/>
          <w:szCs w:val="21"/>
          <w:highlight w:val="none"/>
        </w:rPr>
      </w:pPr>
      <w:r>
        <w:rPr>
          <w:rFonts w:hint="eastAsia" w:ascii="宋体" w:hAnsi="宋体"/>
          <w:color w:val="auto"/>
          <w:szCs w:val="21"/>
          <w:highlight w:val="none"/>
        </w:rPr>
        <w:t>13.2.1 采购人与采购代理机构约定，由中标人支付招标代理服务费的，中标人在领取《中标通知书》之前，应当向采购代理机构交纳招标代理服务费。</w:t>
      </w:r>
    </w:p>
    <w:p>
      <w:pPr>
        <w:spacing w:line="360" w:lineRule="auto"/>
        <w:ind w:firstLine="573"/>
        <w:rPr>
          <w:rFonts w:hint="eastAsia" w:ascii="宋体" w:hAnsi="宋体"/>
          <w:color w:val="auto"/>
          <w:szCs w:val="21"/>
          <w:highlight w:val="none"/>
        </w:rPr>
      </w:pPr>
      <w:r>
        <w:rPr>
          <w:rFonts w:hint="eastAsia" w:ascii="宋体" w:hAnsi="宋体"/>
          <w:color w:val="auto"/>
          <w:szCs w:val="21"/>
          <w:highlight w:val="none"/>
        </w:rPr>
        <w:t>13.2.2 招标代理服务费依据《国家计委关于印发招标代理服务收费管理暂行办法的通知》（计价格〔2002〕1980号）和国家发改委办公厅《关于招标代理服务收费有关问题的通知》（发改办价格〔2003〕857号）文件规定标准收取。具体收费金额将在中标公告中公布。</w:t>
      </w:r>
    </w:p>
    <w:p>
      <w:pPr>
        <w:spacing w:line="360" w:lineRule="auto"/>
        <w:ind w:firstLine="573"/>
        <w:rPr>
          <w:rFonts w:hint="eastAsia" w:ascii="宋体" w:hAnsi="宋体"/>
          <w:color w:val="auto"/>
          <w:szCs w:val="21"/>
          <w:highlight w:val="none"/>
        </w:rPr>
      </w:pPr>
      <w:r>
        <w:rPr>
          <w:rFonts w:hint="eastAsia" w:ascii="宋体" w:hAnsi="宋体"/>
          <w:color w:val="auto"/>
          <w:szCs w:val="21"/>
          <w:highlight w:val="none"/>
        </w:rPr>
        <w:t>13.2.3 招标代理服务费，中标人可以采取现金或者支票、银行汇票、电汇、网银等金融机构转账方式交纳。</w:t>
      </w:r>
    </w:p>
    <w:p>
      <w:pPr>
        <w:spacing w:line="360" w:lineRule="auto"/>
        <w:ind w:firstLine="573"/>
        <w:rPr>
          <w:rFonts w:hint="eastAsia" w:ascii="宋体" w:hAnsi="宋体"/>
          <w:b/>
          <w:color w:val="auto"/>
          <w:szCs w:val="21"/>
          <w:highlight w:val="none"/>
        </w:rPr>
      </w:pPr>
      <w:r>
        <w:rPr>
          <w:rFonts w:hint="eastAsia" w:ascii="宋体" w:hAnsi="宋体"/>
          <w:color w:val="auto"/>
          <w:szCs w:val="21"/>
          <w:highlight w:val="none"/>
        </w:rPr>
        <w:t>13.2.4 投标人须知前附表要求投标人提交投标保证金的，中标人不得用投标保证金冲抵，未按本章第13.2.1项规定交纳招标代理服务费的，其投标保证金将被采购代理机构全额没收。</w:t>
      </w: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13.3 录音录像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采购代理机构对开标、投标人资格审查和评标过程进行全程录音录像、文字记录，并存档备查。</w:t>
      </w:r>
    </w:p>
    <w:p>
      <w:pPr>
        <w:spacing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13.4需要补充的其他内容</w:t>
      </w:r>
    </w:p>
    <w:p>
      <w:pPr>
        <w:adjustRightInd w:val="0"/>
        <w:snapToGrid w:val="0"/>
        <w:spacing w:before="120" w:beforeLines="50" w:line="360" w:lineRule="auto"/>
        <w:ind w:firstLine="420" w:firstLineChars="200"/>
        <w:jc w:val="left"/>
        <w:rPr>
          <w:rFonts w:hint="eastAsia" w:ascii="宋体" w:hAnsi="宋体"/>
          <w:color w:val="auto"/>
          <w:highlight w:val="none"/>
        </w:rPr>
      </w:pPr>
      <w:r>
        <w:rPr>
          <w:rFonts w:hint="eastAsia" w:ascii="宋体" w:hAnsi="宋体"/>
          <w:color w:val="auto"/>
          <w:highlight w:val="none"/>
          <w:lang w:val="en-US" w:eastAsia="zh-CN"/>
        </w:rPr>
        <w:t>13.4.1</w:t>
      </w:r>
      <w:r>
        <w:rPr>
          <w:rFonts w:hint="eastAsia" w:ascii="宋体" w:hAnsi="宋体"/>
          <w:color w:val="auto"/>
          <w:highlight w:val="none"/>
        </w:rPr>
        <w:t>招标文件需要补充的其</w:t>
      </w:r>
      <w:r>
        <w:rPr>
          <w:rFonts w:hint="eastAsia" w:ascii="宋体" w:hAnsi="宋体"/>
          <w:color w:val="auto"/>
          <w:szCs w:val="21"/>
          <w:highlight w:val="none"/>
        </w:rPr>
        <w:t>他内容见</w:t>
      </w:r>
      <w:r>
        <w:rPr>
          <w:rFonts w:hint="eastAsia" w:ascii="宋体" w:hAnsi="宋体"/>
          <w:b/>
          <w:color w:val="auto"/>
          <w:szCs w:val="21"/>
          <w:highlight w:val="none"/>
        </w:rPr>
        <w:t>投标人须知前附表</w:t>
      </w:r>
      <w:r>
        <w:rPr>
          <w:rFonts w:hint="eastAsia" w:ascii="宋体" w:hAnsi="宋体"/>
          <w:color w:val="auto"/>
          <w:szCs w:val="21"/>
          <w:highlight w:val="none"/>
        </w:rPr>
        <w:t>。</w:t>
      </w:r>
      <w:r>
        <w:rPr>
          <w:rFonts w:hint="eastAsia" w:ascii="宋体" w:hAnsi="宋体"/>
          <w:color w:val="auto"/>
          <w:highlight w:val="none"/>
        </w:rPr>
        <w:t>13.4.1采购代理机构向采购人提交评标报告、采购人确定中标人、采购代理机构发布中标结果公告和采购人或采购代理机构发出中标通知书的期限要求，均在法定期限要求基础上提前1个工作日。</w:t>
      </w:r>
    </w:p>
    <w:p>
      <w:pPr>
        <w:adjustRightInd w:val="0"/>
        <w:snapToGrid w:val="0"/>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13.4.2招标文件内所附网络链接仅供参考，不保证其长期有效性。</w:t>
      </w:r>
    </w:p>
    <w:p>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13.4.3 招标文件需要补充的其他内容，见投标人须知前附表。</w:t>
      </w:r>
    </w:p>
    <w:p>
      <w:pPr>
        <w:adjustRightInd w:val="0"/>
        <w:snapToGrid w:val="0"/>
        <w:spacing w:before="120" w:beforeLines="50" w:line="360" w:lineRule="auto"/>
        <w:ind w:firstLine="723" w:firstLineChars="200"/>
        <w:jc w:val="left"/>
        <w:rPr>
          <w:rFonts w:ascii="宋体" w:hAnsi="宋体" w:cs="宋体"/>
          <w:b/>
          <w:color w:val="auto"/>
          <w:sz w:val="36"/>
          <w:szCs w:val="36"/>
          <w:highlight w:val="none"/>
        </w:rPr>
      </w:pPr>
    </w:p>
    <w:p>
      <w:pPr>
        <w:pStyle w:val="2"/>
        <w:rPr>
          <w:color w:val="auto"/>
          <w:highlight w:val="none"/>
        </w:rPr>
        <w:sectPr>
          <w:footerReference r:id="rId11" w:type="first"/>
          <w:footerReference r:id="rId10" w:type="default"/>
          <w:pgSz w:w="11907" w:h="16840"/>
          <w:pgMar w:top="1440" w:right="1474" w:bottom="1440" w:left="1474" w:header="1191" w:footer="992" w:gutter="0"/>
          <w:pgBorders>
            <w:top w:val="none" w:sz="0" w:space="0"/>
            <w:left w:val="none" w:sz="0" w:space="0"/>
            <w:bottom w:val="none" w:sz="0" w:space="0"/>
            <w:right w:val="none" w:sz="0" w:space="0"/>
          </w:pgBorders>
          <w:pgNumType w:fmt="decimal" w:start="1"/>
          <w:cols w:space="720" w:num="1"/>
          <w:titlePg/>
          <w:rtlGutter w:val="1"/>
        </w:sectPr>
      </w:pPr>
    </w:p>
    <w:p>
      <w:pPr>
        <w:spacing w:after="120" w:afterLines="50" w:line="360" w:lineRule="auto"/>
        <w:jc w:val="center"/>
        <w:outlineLvl w:val="0"/>
        <w:rPr>
          <w:rFonts w:hint="eastAsia" w:ascii="宋体" w:hAnsi="宋体"/>
          <w:b/>
          <w:color w:val="auto"/>
          <w:sz w:val="24"/>
          <w:highlight w:val="none"/>
        </w:rPr>
      </w:pPr>
      <w:bookmarkStart w:id="141" w:name="_Toc1589"/>
      <w:bookmarkStart w:id="142" w:name="_Toc27179"/>
      <w:r>
        <w:rPr>
          <w:rFonts w:hint="eastAsia" w:ascii="宋体" w:hAnsi="宋体"/>
          <w:b/>
          <w:color w:val="auto"/>
          <w:sz w:val="44"/>
          <w:szCs w:val="44"/>
          <w:highlight w:val="none"/>
        </w:rPr>
        <w:t>第三章 资格审查办法</w:t>
      </w:r>
      <w:bookmarkEnd w:id="141"/>
      <w:bookmarkEnd w:id="142"/>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根据《中华人民共和国政府采购法》及其实施条例和《政府采购货物和服务招标投标管理办法办法》（财政部第87号令）等法律法规的规定，结合采购项目特点，制定本资格审查办法。</w:t>
      </w:r>
    </w:p>
    <w:p>
      <w:pPr>
        <w:spacing w:before="120" w:beforeLines="50" w:after="120" w:afterLines="50" w:line="360" w:lineRule="auto"/>
        <w:outlineLvl w:val="1"/>
        <w:rPr>
          <w:rFonts w:hint="eastAsia" w:ascii="黑体" w:hAnsi="宋体" w:eastAsia="黑体"/>
          <w:color w:val="auto"/>
          <w:sz w:val="36"/>
          <w:szCs w:val="36"/>
          <w:highlight w:val="none"/>
        </w:rPr>
      </w:pPr>
      <w:bookmarkStart w:id="143" w:name="_Toc14755"/>
      <w:r>
        <w:rPr>
          <w:rFonts w:hint="eastAsia" w:ascii="黑体" w:hAnsi="宋体" w:eastAsia="黑体"/>
          <w:color w:val="auto"/>
          <w:sz w:val="36"/>
          <w:szCs w:val="36"/>
          <w:highlight w:val="none"/>
        </w:rPr>
        <w:t>1.资格审查程序</w:t>
      </w:r>
      <w:bookmarkEnd w:id="143"/>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1.1 资格审查时间</w:t>
      </w:r>
    </w:p>
    <w:p>
      <w:pPr>
        <w:tabs>
          <w:tab w:val="left" w:pos="0"/>
        </w:tabs>
        <w:adjustRightInd w:val="0"/>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资格审查在开标结束之后评标开始之前进行。</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1.2资格审查按下列程序进行：</w:t>
      </w:r>
    </w:p>
    <w:p>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（1）投标人基本资格条件审查；</w:t>
      </w:r>
    </w:p>
    <w:p>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（2）投标人</w:t>
      </w:r>
      <w:r>
        <w:rPr>
          <w:rFonts w:hint="eastAsia" w:ascii="宋体" w:hAnsi="宋体"/>
          <w:color w:val="auto"/>
          <w:szCs w:val="21"/>
          <w:highlight w:val="none"/>
        </w:rPr>
        <w:t>落实政府采购政策资格条件审查；</w:t>
      </w:r>
    </w:p>
    <w:p>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（3）投标人特定资格条件审查（如有）；</w:t>
      </w:r>
    </w:p>
    <w:p>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（4）投标人限定资格条件审查；</w:t>
      </w:r>
    </w:p>
    <w:p>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填写</w:t>
      </w:r>
      <w:r>
        <w:rPr>
          <w:rFonts w:hint="eastAsia" w:ascii="宋体" w:hAnsi="宋体" w:cs="宋体"/>
          <w:color w:val="auto"/>
          <w:kern w:val="0"/>
          <w:szCs w:val="21"/>
          <w:highlight w:val="none"/>
        </w:rPr>
        <w:t>投标人资格审查</w:t>
      </w:r>
      <w:r>
        <w:rPr>
          <w:rFonts w:hint="eastAsia" w:ascii="宋体" w:hAnsi="宋体" w:cs="宋体"/>
          <w:color w:val="auto"/>
          <w:kern w:val="0"/>
          <w:szCs w:val="21"/>
          <w:highlight w:val="none"/>
          <w:lang w:val="en-US" w:eastAsia="zh-CN"/>
        </w:rPr>
        <w:t>表</w:t>
      </w:r>
      <w:r>
        <w:rPr>
          <w:rFonts w:hint="eastAsia" w:ascii="宋体" w:hAnsi="宋体" w:cs="宋体"/>
          <w:color w:val="auto"/>
          <w:kern w:val="0"/>
          <w:szCs w:val="21"/>
          <w:highlight w:val="none"/>
        </w:rPr>
        <w:t>。</w:t>
      </w:r>
    </w:p>
    <w:p>
      <w:pPr>
        <w:spacing w:before="120" w:beforeLines="50" w:after="120" w:afterLines="50" w:line="360" w:lineRule="auto"/>
        <w:outlineLvl w:val="1"/>
        <w:rPr>
          <w:rFonts w:hint="eastAsia" w:ascii="黑体" w:hAnsi="宋体" w:eastAsia="黑体"/>
          <w:color w:val="auto"/>
          <w:sz w:val="36"/>
          <w:szCs w:val="36"/>
          <w:highlight w:val="none"/>
        </w:rPr>
      </w:pPr>
      <w:bookmarkStart w:id="144" w:name="_Toc32105"/>
      <w:r>
        <w:rPr>
          <w:rFonts w:hint="eastAsia" w:ascii="黑体" w:hAnsi="宋体" w:eastAsia="黑体"/>
          <w:color w:val="auto"/>
          <w:sz w:val="36"/>
          <w:szCs w:val="36"/>
          <w:highlight w:val="none"/>
        </w:rPr>
        <w:t>2.资格审查方法和标准</w:t>
      </w:r>
      <w:bookmarkEnd w:id="144"/>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2.1 资格审查依据</w:t>
      </w:r>
    </w:p>
    <w:p>
      <w:pPr>
        <w:tabs>
          <w:tab w:val="left" w:pos="0"/>
        </w:tabs>
        <w:adjustRightInd w:val="0"/>
        <w:snapToGrid w:val="0"/>
        <w:spacing w:line="360" w:lineRule="auto"/>
        <w:ind w:firstLine="411" w:firstLineChars="196"/>
        <w:rPr>
          <w:rFonts w:hint="eastAsia" w:ascii="宋体" w:hAnsi="宋体" w:cs="宋体"/>
          <w:color w:val="auto"/>
          <w:kern w:val="0"/>
          <w:szCs w:val="21"/>
          <w:highlight w:val="none"/>
        </w:rPr>
      </w:pPr>
      <w:r>
        <w:rPr>
          <w:rFonts w:hint="eastAsia" w:ascii="宋体" w:hAnsi="宋体"/>
          <w:color w:val="auto"/>
          <w:szCs w:val="21"/>
          <w:highlight w:val="none"/>
        </w:rPr>
        <w:t>2.1.1 资格审查小组将依据投标人投标文件之资格证明文件，按照第二章第3.1条款所述资格要求对投标人进行资格审查，以确定其是否具备相应的资格条件。</w:t>
      </w:r>
      <w:r>
        <w:rPr>
          <w:rFonts w:hint="eastAsia" w:ascii="宋体" w:hAnsi="宋体" w:cs="宋体"/>
          <w:color w:val="auto"/>
          <w:kern w:val="0"/>
          <w:szCs w:val="21"/>
          <w:highlight w:val="none"/>
        </w:rPr>
        <w:t>如果投标人不具备或者不满足招标文件所规定的资格条件,将视为未实质性响应招标文件,</w:t>
      </w:r>
      <w:r>
        <w:rPr>
          <w:rFonts w:hint="eastAsia" w:ascii="宋体" w:hAnsi="宋体" w:cs="宋体"/>
          <w:b/>
          <w:color w:val="auto"/>
          <w:kern w:val="0"/>
          <w:szCs w:val="21"/>
          <w:highlight w:val="none"/>
        </w:rPr>
        <w:t>其投标文件无效</w:t>
      </w:r>
      <w:r>
        <w:rPr>
          <w:rFonts w:hint="eastAsia" w:ascii="宋体" w:hAnsi="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2.1.2 信用信息查询时间截至时点，见</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须知前附表，其查询结果在投标人限制性资格条件审查时使用。</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2.2投标人基本资格条件的审查</w:t>
      </w:r>
    </w:p>
    <w:p>
      <w:pPr>
        <w:tabs>
          <w:tab w:val="left" w:pos="0"/>
        </w:tabs>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2.2.1 基本资格条件审查方法：</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（1）投标人属企业法人的，其营业执照，通过国家企业信用信息公示系统（</w:t>
      </w:r>
      <w:r>
        <w:rPr>
          <w:rFonts w:ascii="宋体" w:hAnsi="宋体" w:cs="宋体"/>
          <w:color w:val="auto"/>
          <w:kern w:val="0"/>
          <w:szCs w:val="21"/>
          <w:highlight w:val="none"/>
        </w:rPr>
        <w:t>http://www.gsxt.gov.cn/index.html</w:t>
      </w:r>
      <w:r>
        <w:rPr>
          <w:rFonts w:hint="eastAsia" w:ascii="宋体" w:hAnsi="宋体" w:cs="宋体"/>
          <w:color w:val="auto"/>
          <w:kern w:val="0"/>
          <w:szCs w:val="21"/>
          <w:highlight w:val="none"/>
        </w:rPr>
        <w:t>）进行相关信息的核实；</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（2）投标人属于个体工商户的：其个体工商户营业执照，通过国家企业信用信息公示系统（</w:t>
      </w:r>
      <w:r>
        <w:rPr>
          <w:rFonts w:ascii="宋体" w:hAnsi="宋体" w:cs="宋体"/>
          <w:color w:val="auto"/>
          <w:kern w:val="0"/>
          <w:szCs w:val="21"/>
          <w:highlight w:val="none"/>
        </w:rPr>
        <w:t>http://www.gsxt.gov.cn/index.html</w:t>
      </w:r>
      <w:r>
        <w:rPr>
          <w:rFonts w:hint="eastAsia" w:ascii="宋体" w:hAnsi="宋体" w:cs="宋体"/>
          <w:color w:val="auto"/>
          <w:kern w:val="0"/>
          <w:szCs w:val="21"/>
          <w:highlight w:val="none"/>
        </w:rPr>
        <w:t>）进行相关信息的核实。</w:t>
      </w:r>
    </w:p>
    <w:p>
      <w:pPr>
        <w:tabs>
          <w:tab w:val="left" w:pos="0"/>
        </w:tabs>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2.2.2基本资格条件审查标准：</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（1）资格审查小组将按下表所列举的审查标准对投标人基本资格条件进行审查，投标人若有一项不合格，即判定其基本资格条件审查结果为不合格，</w:t>
      </w:r>
      <w:r>
        <w:rPr>
          <w:rFonts w:hint="eastAsia" w:ascii="宋体" w:hAnsi="宋体" w:cs="宋体"/>
          <w:b/>
          <w:color w:val="auto"/>
          <w:kern w:val="0"/>
          <w:szCs w:val="21"/>
          <w:highlight w:val="none"/>
        </w:rPr>
        <w:t>其投标文件无效</w:t>
      </w:r>
      <w:r>
        <w:rPr>
          <w:rFonts w:hint="eastAsia" w:ascii="宋体" w:hAnsi="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除银行、保险、石油石化、电力、电信行业外，其他行业分支机构在参与投标时，应当同时提供分支机构主体资格证明文件和总公司出具的授权书，总公司只能授权一家分支机构。经总公司（总所）授权后，总公司取得的相关资质证书对分支机构有效（法律法规或行业另有规定的除外）。</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56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51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15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审查标准</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51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主体资格证明：</w:t>
            </w:r>
          </w:p>
          <w:p>
            <w:pPr>
              <w:tabs>
                <w:tab w:val="left" w:pos="0"/>
              </w:tabs>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(1)企业投标的：营业执照 </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(2)个体工商户投标的：个体工商户营业执照</w:t>
            </w:r>
          </w:p>
        </w:tc>
        <w:tc>
          <w:tcPr>
            <w:tcW w:w="15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合法有效</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原件的扫描件或电子证照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51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（1）法定代表人（负责人）投标的：法定代表人（负责人）身份证明及身份证复印件</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（2）法定代表人授权他人参加投标的：提供法定代表人委托授权书并出示被授权代表的身份证复印件</w:t>
            </w:r>
          </w:p>
        </w:tc>
        <w:tc>
          <w:tcPr>
            <w:tcW w:w="15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合法有效</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招标文件提供的格式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51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b/>
                <w:bCs/>
                <w:color w:val="auto"/>
                <w:kern w:val="0"/>
                <w:szCs w:val="21"/>
                <w:highlight w:val="none"/>
              </w:rPr>
              <w:t>财务状况报告:</w:t>
            </w:r>
            <w:r>
              <w:rPr>
                <w:rFonts w:hint="eastAsia" w:ascii="宋体" w:hAnsi="宋体" w:cs="宋体"/>
                <w:color w:val="auto"/>
                <w:kern w:val="0"/>
                <w:szCs w:val="21"/>
                <w:highlight w:val="none"/>
              </w:rPr>
              <w:t>提供投标人</w:t>
            </w:r>
            <w:r>
              <w:rPr>
                <w:rFonts w:hint="eastAsia" w:ascii="宋体" w:hAnsi="宋体" w:cs="宋体"/>
                <w:color w:val="auto"/>
                <w:kern w:val="0"/>
                <w:szCs w:val="21"/>
                <w:highlight w:val="none"/>
                <w:lang w:val="en-US" w:eastAsia="zh-CN"/>
              </w:rPr>
              <w:t>2021</w:t>
            </w:r>
            <w:r>
              <w:rPr>
                <w:rFonts w:hint="eastAsia" w:ascii="宋体" w:hAnsi="宋体" w:cs="宋体"/>
                <w:color w:val="auto"/>
                <w:kern w:val="0"/>
                <w:szCs w:val="21"/>
                <w:highlight w:val="none"/>
              </w:rPr>
              <w:t>年度经审计的财务报告，或者提供开标前1个月内由银行出具的资信证明</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要求：</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（1）投标人是法人的，应提供20</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rPr>
              <w:t>年度经审计的投标人财务报告，包括 “四表一注”即《资产负债表》《利润表》《现金流量表》《所有者权益变动表》及其附注复印件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或者提供开标前1个月内由银行出具的资信证明。</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（2）投标人成立不到1年的，提供开标前</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个月内由银行出具的资信证明。</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（3）部分其他组织和自然人，提供开标前</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个月内由银行出具的资信证明。</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（4）公益类事业单位无需提供财务审计报告。</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（5）复印件直接装订，并加盖投标人单位章。</w:t>
            </w:r>
          </w:p>
        </w:tc>
        <w:tc>
          <w:tcPr>
            <w:tcW w:w="15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color w:val="auto"/>
                <w:highlight w:val="none"/>
              </w:rPr>
            </w:pPr>
            <w:r>
              <w:rPr>
                <w:rFonts w:hint="eastAsia" w:ascii="宋体" w:hAnsi="宋体" w:cs="宋体"/>
                <w:color w:val="auto"/>
                <w:kern w:val="0"/>
                <w:szCs w:val="21"/>
                <w:highlight w:val="none"/>
              </w:rPr>
              <w:t>合法有效</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原件扫描件；“四表一注”不齐全的，为不合格；资信证明为基本账户开出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51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b/>
                <w:bCs/>
                <w:color w:val="auto"/>
                <w:kern w:val="0"/>
                <w:szCs w:val="21"/>
                <w:highlight w:val="none"/>
              </w:rPr>
            </w:pPr>
            <w:r>
              <w:rPr>
                <w:rFonts w:hint="eastAsia" w:ascii="宋体" w:hAnsi="宋体"/>
                <w:b/>
                <w:bCs/>
                <w:color w:val="auto"/>
                <w:kern w:val="0"/>
                <w:szCs w:val="21"/>
                <w:highlight w:val="none"/>
              </w:rPr>
              <w:t>税收缴纳证明</w:t>
            </w:r>
          </w:p>
          <w:p>
            <w:pP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要求：</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（1）提供投标人202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月至今</w:t>
            </w:r>
            <w:r>
              <w:rPr>
                <w:rFonts w:hint="eastAsia" w:ascii="宋体" w:hAnsi="宋体" w:cs="宋体"/>
                <w:color w:val="auto"/>
                <w:kern w:val="0"/>
                <w:szCs w:val="21"/>
                <w:highlight w:val="none"/>
                <w:lang w:eastAsia="zh-CN"/>
              </w:rPr>
              <w:t>至少三</w:t>
            </w:r>
            <w:r>
              <w:rPr>
                <w:rFonts w:hint="eastAsia" w:ascii="宋体" w:hAnsi="宋体" w:cs="宋体"/>
                <w:color w:val="auto"/>
                <w:kern w:val="0"/>
                <w:szCs w:val="21"/>
                <w:highlight w:val="none"/>
              </w:rPr>
              <w:t>个月已缴纳完税凭证或税务机关开具的完税证明（任意税种）；</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（2）依法免税的应提供相关文件证明；</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（3）公益类事业单位无需提供；</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（4）新成立未发生缴纳税收事项的投标人，应提供纳税书面承诺；</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（5）原件或复印件可直接装订，复印件加盖投标人单位章。</w:t>
            </w:r>
          </w:p>
        </w:tc>
        <w:tc>
          <w:tcPr>
            <w:tcW w:w="15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合法有效</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原件的扫描件；</w:t>
            </w:r>
          </w:p>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纳税凭证或完税证明上应有代收机构或税务机关的公章或业务专用章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51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宋体" w:hAnsi="宋体"/>
                <w:b/>
                <w:bCs/>
                <w:color w:val="auto"/>
                <w:kern w:val="0"/>
                <w:szCs w:val="21"/>
                <w:highlight w:val="none"/>
              </w:rPr>
            </w:pPr>
            <w:r>
              <w:rPr>
                <w:rFonts w:ascii="宋体" w:hAnsi="宋体"/>
                <w:b/>
                <w:bCs/>
                <w:color w:val="auto"/>
                <w:kern w:val="0"/>
                <w:szCs w:val="21"/>
                <w:highlight w:val="none"/>
              </w:rPr>
              <w:t>社会保障资金缴纳证明</w:t>
            </w:r>
          </w:p>
          <w:p>
            <w:pP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要求：</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（1）提供投标人202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月至今</w:t>
            </w:r>
            <w:r>
              <w:rPr>
                <w:rFonts w:hint="eastAsia" w:ascii="宋体" w:hAnsi="宋体" w:cs="宋体"/>
                <w:color w:val="auto"/>
                <w:kern w:val="0"/>
                <w:szCs w:val="21"/>
                <w:highlight w:val="none"/>
                <w:lang w:eastAsia="zh-CN"/>
              </w:rPr>
              <w:t>至少三</w:t>
            </w:r>
            <w:r>
              <w:rPr>
                <w:rFonts w:hint="eastAsia" w:ascii="宋体" w:hAnsi="宋体" w:cs="宋体"/>
                <w:color w:val="auto"/>
                <w:kern w:val="0"/>
                <w:szCs w:val="21"/>
                <w:highlight w:val="none"/>
              </w:rPr>
              <w:t>个月已缴纳的社会保障资金缴存单据或社保机构开具的社会保险参保缴费情况证明；依法不需要缴纳社会保障资金的应提供相关文件证明；</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（2）依法不需要缴纳社会保障资金的投标人应提供相关文件证明；</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（3）公益类事业单位无需提供；</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（4）新成立未发生缴纳社保资金事项的投标人，应提供缴纳社保资金的书面承诺；</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（5）原件或复印件可直接装订，复印件加盖投标人单位章。</w:t>
            </w:r>
          </w:p>
        </w:tc>
        <w:tc>
          <w:tcPr>
            <w:tcW w:w="15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合法有效</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原件的扫描件；</w:t>
            </w:r>
          </w:p>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缴纳单据或证明上应有社保机构或代收机构的公章或业务专用章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51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highlight w:val="none"/>
                <w:lang w:val="zh-CN"/>
              </w:rPr>
              <w:t>提供投标人具备履行合同所必需的设备和专业技术能力的证明</w:t>
            </w:r>
          </w:p>
        </w:tc>
        <w:tc>
          <w:tcPr>
            <w:tcW w:w="15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招标文件提供的格式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51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投标声明书：</w:t>
            </w:r>
          </w:p>
          <w:p>
            <w:pPr>
              <w:tabs>
                <w:tab w:val="left" w:pos="0"/>
              </w:tabs>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投标人参加本次采购活动3年内，在经营活动中没有重大违法记录以及未被列入失信被执行人、重大税收违法案件当事人名单、政府采购严重违法失信行为记录名单的书面声明</w:t>
            </w:r>
          </w:p>
        </w:tc>
        <w:tc>
          <w:tcPr>
            <w:tcW w:w="156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6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招标文件提供的格式</w:t>
            </w:r>
          </w:p>
        </w:tc>
      </w:tr>
    </w:tbl>
    <w:p>
      <w:pPr>
        <w:spacing w:before="360" w:beforeLines="1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2.3投标人落实政府采购政策资格条件审查</w:t>
      </w:r>
    </w:p>
    <w:p>
      <w:pPr>
        <w:tabs>
          <w:tab w:val="left" w:pos="0"/>
        </w:tabs>
        <w:adjustRightInd w:val="0"/>
        <w:snapToGrid w:val="0"/>
        <w:spacing w:before="240" w:beforeLines="100" w:line="360" w:lineRule="auto"/>
        <w:ind w:firstLine="517" w:firstLineChars="245"/>
        <w:rPr>
          <w:rFonts w:hint="eastAsia" w:ascii="宋体" w:hAnsi="宋体"/>
          <w:b/>
          <w:color w:val="auto"/>
          <w:szCs w:val="21"/>
          <w:highlight w:val="none"/>
        </w:rPr>
      </w:pPr>
      <w:r>
        <w:rPr>
          <w:rFonts w:hint="eastAsia" w:ascii="宋体" w:hAnsi="宋体" w:cs="宋体"/>
          <w:b/>
          <w:color w:val="auto"/>
          <w:kern w:val="0"/>
          <w:szCs w:val="21"/>
          <w:highlight w:val="none"/>
        </w:rPr>
        <w:t>2.3.1落实政府采购政策资格条件审查</w:t>
      </w:r>
      <w:r>
        <w:rPr>
          <w:rFonts w:hint="eastAsia" w:ascii="宋体" w:hAnsi="宋体"/>
          <w:b/>
          <w:color w:val="auto"/>
          <w:szCs w:val="21"/>
          <w:highlight w:val="none"/>
        </w:rPr>
        <w:t>方法：</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审查投标人提供的《中小企业声明函》或者《残疾人福利性单位声明函》或者《监狱企业证明》原件。</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提供的《中小企业声明函》或者《残疾人福利性单位声明函》存在明显错误的，资格审查小组可以按照第四章第1.3条款的规定，要求投标人作出澄清；澄清后，符合中小企业条件的，予以通过资格审查；否则，</w:t>
      </w:r>
      <w:r>
        <w:rPr>
          <w:rFonts w:hint="eastAsia" w:ascii="宋体" w:hAnsi="宋体" w:cs="宋体"/>
          <w:color w:val="auto"/>
          <w:kern w:val="0"/>
          <w:szCs w:val="21"/>
          <w:highlight w:val="none"/>
        </w:rPr>
        <w:t>资格不予审查通过，</w:t>
      </w:r>
      <w:r>
        <w:rPr>
          <w:rFonts w:hint="eastAsia" w:ascii="宋体" w:hAnsi="宋体"/>
          <w:b/>
          <w:color w:val="auto"/>
          <w:szCs w:val="21"/>
          <w:highlight w:val="none"/>
        </w:rPr>
        <w:t>其投标无效</w:t>
      </w:r>
      <w:r>
        <w:rPr>
          <w:rFonts w:hint="eastAsia" w:ascii="宋体" w:hAnsi="宋体"/>
          <w:color w:val="auto"/>
          <w:szCs w:val="21"/>
          <w:highlight w:val="none"/>
        </w:rPr>
        <w:t>。</w:t>
      </w:r>
    </w:p>
    <w:p>
      <w:pPr>
        <w:tabs>
          <w:tab w:val="left" w:pos="0"/>
        </w:tabs>
        <w:adjustRightInd w:val="0"/>
        <w:snapToGrid w:val="0"/>
        <w:spacing w:line="360" w:lineRule="auto"/>
        <w:ind w:firstLine="632" w:firstLineChars="300"/>
        <w:rPr>
          <w:rFonts w:hint="eastAsia" w:ascii="宋体" w:hAnsi="宋体"/>
          <w:b/>
          <w:color w:val="auto"/>
          <w:szCs w:val="21"/>
          <w:highlight w:val="none"/>
        </w:rPr>
      </w:pPr>
      <w:r>
        <w:rPr>
          <w:rFonts w:hint="eastAsia" w:ascii="宋体" w:hAnsi="宋体"/>
          <w:b/>
          <w:color w:val="auto"/>
          <w:szCs w:val="21"/>
          <w:highlight w:val="none"/>
        </w:rPr>
        <w:t>2.3.2</w:t>
      </w:r>
      <w:r>
        <w:rPr>
          <w:rFonts w:hint="eastAsia" w:ascii="宋体" w:hAnsi="宋体" w:cs="宋体"/>
          <w:b/>
          <w:color w:val="auto"/>
          <w:kern w:val="0"/>
          <w:szCs w:val="21"/>
          <w:highlight w:val="none"/>
        </w:rPr>
        <w:t>落实政府采购政策资格条件审查</w:t>
      </w:r>
      <w:r>
        <w:rPr>
          <w:rFonts w:hint="eastAsia" w:ascii="宋体" w:hAnsi="宋体"/>
          <w:b/>
          <w:color w:val="auto"/>
          <w:szCs w:val="21"/>
          <w:highlight w:val="none"/>
        </w:rPr>
        <w:t>标准：</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投标人未提供《中小企业声明函》或者《残疾人福利性单位声明函》或者《监狱企业证明》原件的，即判定其不满足资格条件要求，资格不予审查通过，</w:t>
      </w:r>
      <w:r>
        <w:rPr>
          <w:rFonts w:hint="eastAsia" w:ascii="宋体" w:hAnsi="宋体" w:cs="宋体"/>
          <w:b/>
          <w:color w:val="auto"/>
          <w:kern w:val="0"/>
          <w:szCs w:val="21"/>
          <w:highlight w:val="none"/>
        </w:rPr>
        <w:t>其投标无效</w:t>
      </w:r>
      <w:r>
        <w:rPr>
          <w:rFonts w:hint="eastAsia" w:ascii="宋体" w:hAnsi="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（2）投标人（含联合体）提供《中小企业声明函》的，存在大型企业提供本服务项目情形的，即判定其不满足资格条件要求，资格不予审查通过，</w:t>
      </w:r>
      <w:r>
        <w:rPr>
          <w:rFonts w:hint="eastAsia" w:ascii="宋体" w:hAnsi="宋体" w:cs="宋体"/>
          <w:b/>
          <w:color w:val="auto"/>
          <w:kern w:val="0"/>
          <w:szCs w:val="21"/>
          <w:highlight w:val="none"/>
        </w:rPr>
        <w:t>其投标无效</w:t>
      </w:r>
      <w:r>
        <w:rPr>
          <w:rFonts w:hint="eastAsia" w:ascii="宋体" w:hAnsi="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（3）投标人提供《残疾人福利性单位声明函》的，存在非残疾人福利性单位提供本服务项目情形的，资格不予审查通过，</w:t>
      </w:r>
      <w:r>
        <w:rPr>
          <w:rFonts w:hint="eastAsia" w:ascii="宋体" w:hAnsi="宋体" w:cs="宋体"/>
          <w:b/>
          <w:color w:val="auto"/>
          <w:kern w:val="0"/>
          <w:szCs w:val="21"/>
          <w:highlight w:val="none"/>
        </w:rPr>
        <w:t>其投标无效</w:t>
      </w:r>
      <w:r>
        <w:rPr>
          <w:rFonts w:hint="eastAsia" w:ascii="宋体" w:hAnsi="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（4）投标人提供《监狱企业证明》的，存在非监狱企业提供本服务项目或开具证明的单位不符合要求的，资格不予审查通过，</w:t>
      </w:r>
      <w:r>
        <w:rPr>
          <w:rFonts w:hint="eastAsia" w:ascii="宋体" w:hAnsi="宋体" w:cs="宋体"/>
          <w:b/>
          <w:color w:val="auto"/>
          <w:kern w:val="0"/>
          <w:szCs w:val="21"/>
          <w:highlight w:val="none"/>
        </w:rPr>
        <w:t>其投标无效</w:t>
      </w:r>
      <w:r>
        <w:rPr>
          <w:rFonts w:hint="eastAsia" w:ascii="宋体" w:hAnsi="宋体" w:cs="宋体"/>
          <w:color w:val="auto"/>
          <w:kern w:val="0"/>
          <w:szCs w:val="21"/>
          <w:highlight w:val="none"/>
        </w:rPr>
        <w:t>。</w:t>
      </w:r>
    </w:p>
    <w:p>
      <w:pPr>
        <w:tabs>
          <w:tab w:val="left" w:pos="0"/>
        </w:tabs>
        <w:adjustRightInd w:val="0"/>
        <w:snapToGrid w:val="0"/>
        <w:spacing w:line="360" w:lineRule="auto"/>
        <w:rPr>
          <w:rFonts w:hint="eastAsia" w:ascii="宋体" w:hAnsi="宋体" w:cs="宋体"/>
          <w:bCs/>
          <w:color w:val="auto"/>
          <w:kern w:val="0"/>
          <w:szCs w:val="21"/>
          <w:highlight w:val="none"/>
        </w:rPr>
      </w:pPr>
      <w:r>
        <w:rPr>
          <w:rFonts w:hint="eastAsia" w:ascii="宋体" w:hAnsi="宋体"/>
          <w:b/>
          <w:color w:val="auto"/>
          <w:sz w:val="30"/>
          <w:szCs w:val="30"/>
          <w:highlight w:val="none"/>
        </w:rPr>
        <w:t>2.4投标人特定资格条件的审查</w:t>
      </w:r>
      <w:r>
        <w:rPr>
          <w:rFonts w:hint="eastAsia" w:ascii="宋体" w:hAnsi="宋体"/>
          <w:b/>
          <w:color w:val="auto"/>
          <w:sz w:val="30"/>
          <w:szCs w:val="30"/>
          <w:highlight w:val="none"/>
          <w:lang w:eastAsia="zh-CN"/>
        </w:rPr>
        <w:t>（</w:t>
      </w:r>
      <w:r>
        <w:rPr>
          <w:rFonts w:hint="eastAsia" w:ascii="宋体" w:hAnsi="宋体" w:eastAsia="宋体" w:cs="Times New Roman"/>
          <w:b/>
          <w:color w:val="auto"/>
          <w:sz w:val="30"/>
          <w:szCs w:val="30"/>
          <w:highlight w:val="none"/>
        </w:rPr>
        <w:t>本项目无特定资格条件</w:t>
      </w:r>
      <w:r>
        <w:rPr>
          <w:rFonts w:hint="eastAsia" w:ascii="宋体" w:hAnsi="宋体"/>
          <w:b/>
          <w:color w:val="auto"/>
          <w:sz w:val="30"/>
          <w:szCs w:val="30"/>
          <w:highlight w:val="none"/>
          <w:lang w:eastAsia="zh-CN"/>
        </w:rPr>
        <w:t>）</w:t>
      </w:r>
      <w:r>
        <w:rPr>
          <w:rFonts w:hint="eastAsia" w:ascii="宋体" w:hAnsi="宋体" w:eastAsia="宋体" w:cs="Times New Roman"/>
          <w:b/>
          <w:color w:val="auto"/>
          <w:sz w:val="30"/>
          <w:szCs w:val="30"/>
          <w:highlight w:val="none"/>
        </w:rPr>
        <w:t>。</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2.4.1 如本项目属于特定行业，招标文件规定了</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 xml:space="preserve">特定资格条件的，资格审查小组将对投标人特定资格条件进行审查。 </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rPr>
        <w:t>2.5投标人限定资格条件的审查</w:t>
      </w:r>
    </w:p>
    <w:p>
      <w:pPr>
        <w:tabs>
          <w:tab w:val="left" w:pos="0"/>
        </w:tabs>
        <w:adjustRightInd w:val="0"/>
        <w:snapToGrid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2.5.1 限定资格条件审查方法：</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（1）资格审查小组将通过信用中国网（</w:t>
      </w:r>
      <w:r>
        <w:rPr>
          <w:rFonts w:ascii="宋体" w:hAnsi="宋体" w:cs="宋体"/>
          <w:color w:val="auto"/>
          <w:kern w:val="0"/>
          <w:szCs w:val="21"/>
          <w:highlight w:val="none"/>
        </w:rPr>
        <w:t>http://www.creditchina.gov.cn/</w:t>
      </w:r>
      <w:r>
        <w:rPr>
          <w:rFonts w:hint="eastAsia" w:ascii="宋体" w:hAnsi="宋体" w:cs="宋体"/>
          <w:color w:val="auto"/>
          <w:kern w:val="0"/>
          <w:szCs w:val="21"/>
          <w:highlight w:val="none"/>
        </w:rPr>
        <w:t>）和中国政府采购网（</w:t>
      </w:r>
      <w:r>
        <w:rPr>
          <w:rFonts w:ascii="宋体" w:hAnsi="宋体" w:cs="宋体"/>
          <w:color w:val="auto"/>
          <w:kern w:val="0"/>
          <w:szCs w:val="21"/>
          <w:highlight w:val="none"/>
        </w:rPr>
        <w:t>http://www.ccgp.gov.cn/cr/list</w:t>
      </w:r>
      <w:r>
        <w:rPr>
          <w:rFonts w:hint="eastAsia" w:ascii="宋体" w:hAnsi="宋体" w:cs="宋体"/>
          <w:color w:val="auto"/>
          <w:kern w:val="0"/>
          <w:szCs w:val="21"/>
          <w:highlight w:val="none"/>
        </w:rPr>
        <w:t>）对投标人的信用信息进行查询核实。</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（2）资格审查小组将依据投标人投标文件之资格证明文件和通过国家企业信用信息公示系统（</w:t>
      </w:r>
      <w:r>
        <w:rPr>
          <w:rFonts w:ascii="宋体" w:hAnsi="宋体" w:cs="宋体"/>
          <w:color w:val="auto"/>
          <w:kern w:val="0"/>
          <w:szCs w:val="21"/>
          <w:highlight w:val="none"/>
        </w:rPr>
        <w:t>http://www.gsxt.gov.cn/index.html</w:t>
      </w:r>
      <w:r>
        <w:rPr>
          <w:rFonts w:hint="eastAsia" w:ascii="宋体" w:hAnsi="宋体" w:cs="宋体"/>
          <w:color w:val="auto"/>
          <w:kern w:val="0"/>
          <w:szCs w:val="21"/>
          <w:highlight w:val="none"/>
        </w:rPr>
        <w:t>）对投标人之间存在隶属关系或者其他利害关系进行相关信息的核实。</w:t>
      </w:r>
    </w:p>
    <w:p>
      <w:pPr>
        <w:tabs>
          <w:tab w:val="left" w:pos="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投标人不良信用记录以</w:t>
      </w:r>
      <w:r>
        <w:rPr>
          <w:rFonts w:hint="eastAsia" w:ascii="宋体" w:hAnsi="宋体" w:cs="宋体"/>
          <w:color w:val="auto"/>
          <w:kern w:val="0"/>
          <w:szCs w:val="21"/>
          <w:highlight w:val="none"/>
        </w:rPr>
        <w:t>资格审查小组</w:t>
      </w:r>
      <w:r>
        <w:rPr>
          <w:rFonts w:ascii="宋体" w:hAnsi="宋体" w:cs="宋体"/>
          <w:color w:val="auto"/>
          <w:kern w:val="0"/>
          <w:szCs w:val="21"/>
          <w:highlight w:val="none"/>
        </w:rPr>
        <w:t>查询结果为准</w:t>
      </w:r>
      <w:r>
        <w:rPr>
          <w:rFonts w:hint="eastAsia" w:ascii="宋体" w:hAnsi="宋体" w:cs="宋体"/>
          <w:color w:val="auto"/>
          <w:kern w:val="0"/>
          <w:szCs w:val="21"/>
          <w:highlight w:val="none"/>
        </w:rPr>
        <w:t>。</w:t>
      </w:r>
    </w:p>
    <w:bookmarkEnd w:id="114"/>
    <w:p>
      <w:pPr>
        <w:tabs>
          <w:tab w:val="left" w:pos="0"/>
        </w:tabs>
        <w:adjustRightInd w:val="0"/>
        <w:snapToGrid w:val="0"/>
        <w:spacing w:line="360" w:lineRule="auto"/>
        <w:ind w:firstLine="422" w:firstLineChars="200"/>
        <w:rPr>
          <w:rFonts w:hint="eastAsia" w:ascii="宋体" w:hAnsi="宋体" w:cs="宋体"/>
          <w:b/>
          <w:color w:val="auto"/>
          <w:kern w:val="0"/>
          <w:szCs w:val="21"/>
          <w:highlight w:val="none"/>
        </w:rPr>
      </w:pPr>
      <w:bookmarkStart w:id="145" w:name="_Toc29470"/>
      <w:bookmarkStart w:id="146" w:name="_Toc217446081"/>
      <w:r>
        <w:rPr>
          <w:rFonts w:hint="eastAsia" w:ascii="宋体" w:hAnsi="宋体" w:cs="宋体"/>
          <w:b/>
          <w:color w:val="auto"/>
          <w:kern w:val="0"/>
          <w:szCs w:val="21"/>
          <w:highlight w:val="none"/>
        </w:rPr>
        <w:t>2.5.2限定资格条件审查标准：</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（1）投标人存在第二章第1.3.2条列举情形之一的，审查不予通过，即判定其限定资格条件审查结果为不合格，</w:t>
      </w:r>
      <w:r>
        <w:rPr>
          <w:rFonts w:hint="eastAsia" w:ascii="宋体" w:hAnsi="宋体" w:cs="宋体"/>
          <w:b/>
          <w:color w:val="auto"/>
          <w:kern w:val="0"/>
          <w:szCs w:val="21"/>
          <w:highlight w:val="none"/>
        </w:rPr>
        <w:t>其投标文件无效</w:t>
      </w:r>
      <w:r>
        <w:rPr>
          <w:rFonts w:hint="eastAsia" w:ascii="宋体" w:hAnsi="宋体" w:cs="宋体"/>
          <w:color w:val="auto"/>
          <w:kern w:val="0"/>
          <w:szCs w:val="21"/>
          <w:highlight w:val="none"/>
        </w:rPr>
        <w:t>。</w:t>
      </w:r>
    </w:p>
    <w:p>
      <w:pPr>
        <w:tabs>
          <w:tab w:val="left" w:pos="0"/>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（2）投标人须知前附表规定接受联合体投标的，联合体任何一方存在第二章第</w:t>
      </w:r>
      <w:r>
        <w:rPr>
          <w:rFonts w:hint="eastAsia" w:ascii="宋体" w:hAnsi="宋体"/>
          <w:color w:val="auto"/>
          <w:szCs w:val="21"/>
          <w:highlight w:val="none"/>
        </w:rPr>
        <w:t>1.3.2条列举</w:t>
      </w:r>
      <w:r>
        <w:rPr>
          <w:rFonts w:hint="eastAsia" w:ascii="宋体" w:hAnsi="宋体" w:cs="宋体"/>
          <w:color w:val="auto"/>
          <w:kern w:val="0"/>
          <w:szCs w:val="21"/>
          <w:highlight w:val="none"/>
        </w:rPr>
        <w:t>情形之一的，视同联合体存在相同情形，审查不予通过，即判定其限定资格条件审查结果为不合格，将不具备投标资格，</w:t>
      </w:r>
      <w:r>
        <w:rPr>
          <w:rFonts w:hint="eastAsia" w:ascii="宋体" w:hAnsi="宋体" w:cs="宋体"/>
          <w:b/>
          <w:color w:val="auto"/>
          <w:kern w:val="0"/>
          <w:szCs w:val="21"/>
          <w:highlight w:val="none"/>
        </w:rPr>
        <w:t>其投标无效</w:t>
      </w:r>
      <w:r>
        <w:rPr>
          <w:rFonts w:hint="eastAsia" w:ascii="宋体" w:hAnsi="宋体" w:cs="宋体"/>
          <w:color w:val="auto"/>
          <w:kern w:val="0"/>
          <w:szCs w:val="21"/>
          <w:highlight w:val="none"/>
        </w:rPr>
        <w:t>。</w:t>
      </w:r>
    </w:p>
    <w:p>
      <w:pPr>
        <w:spacing w:before="120" w:beforeLines="50" w:after="120" w:afterLines="50" w:line="360" w:lineRule="auto"/>
        <w:outlineLvl w:val="1"/>
        <w:rPr>
          <w:rFonts w:hint="eastAsia" w:ascii="黑体" w:hAnsi="宋体" w:eastAsia="黑体"/>
          <w:color w:val="auto"/>
          <w:sz w:val="36"/>
          <w:szCs w:val="36"/>
          <w:highlight w:val="none"/>
          <w:lang w:eastAsia="zh-CN"/>
        </w:rPr>
      </w:pPr>
      <w:bookmarkStart w:id="147" w:name="_Toc466"/>
      <w:r>
        <w:rPr>
          <w:rFonts w:hint="eastAsia" w:ascii="黑体" w:hAnsi="宋体" w:eastAsia="黑体"/>
          <w:color w:val="auto"/>
          <w:sz w:val="36"/>
          <w:szCs w:val="36"/>
          <w:highlight w:val="none"/>
        </w:rPr>
        <w:t>3.资格审查</w:t>
      </w:r>
      <w:bookmarkEnd w:id="147"/>
      <w:r>
        <w:rPr>
          <w:rFonts w:hint="eastAsia" w:ascii="黑体" w:hAnsi="宋体" w:eastAsia="黑体"/>
          <w:color w:val="auto"/>
          <w:sz w:val="36"/>
          <w:szCs w:val="36"/>
          <w:highlight w:val="none"/>
          <w:lang w:val="en-US" w:eastAsia="zh-CN"/>
        </w:rPr>
        <w:t>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《投标人资格审查表》应当经资格审查小组全体成员签名确认</w:t>
      </w:r>
      <w:r>
        <w:rPr>
          <w:rFonts w:hint="eastAsia" w:ascii="宋体" w:hAnsi="宋体"/>
          <w:color w:val="auto"/>
          <w:szCs w:val="21"/>
          <w:highlight w:val="none"/>
          <w:lang w:eastAsia="zh-CN"/>
        </w:rPr>
        <w:t>，</w:t>
      </w:r>
      <w:r>
        <w:rPr>
          <w:rFonts w:hint="eastAsia" w:ascii="宋体" w:hAnsi="宋体"/>
          <w:color w:val="auto"/>
          <w:szCs w:val="21"/>
          <w:highlight w:val="none"/>
        </w:rPr>
        <w:t>以采购代理机构名义向采购人提交。采购人确认</w:t>
      </w:r>
      <w:r>
        <w:rPr>
          <w:rFonts w:hint="eastAsia" w:ascii="宋体" w:hAnsi="宋体"/>
          <w:color w:val="auto"/>
          <w:szCs w:val="21"/>
          <w:highlight w:val="none"/>
          <w:lang w:val="en-US" w:eastAsia="zh-CN"/>
        </w:rPr>
        <w:t>签字</w:t>
      </w:r>
      <w:r>
        <w:rPr>
          <w:rFonts w:hint="eastAsia" w:ascii="宋体" w:hAnsi="宋体"/>
          <w:color w:val="auto"/>
          <w:szCs w:val="21"/>
          <w:highlight w:val="none"/>
        </w:rPr>
        <w:t>后随采购文件一并存档。</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3.2</w:t>
      </w:r>
      <w:r>
        <w:rPr>
          <w:rFonts w:hint="eastAsia" w:ascii="宋体" w:hAnsi="宋体" w:cs="宋体"/>
          <w:color w:val="auto"/>
          <w:kern w:val="0"/>
          <w:szCs w:val="21"/>
          <w:highlight w:val="none"/>
        </w:rPr>
        <w:t>信用查询结果的截屏资料，作为资格审查</w:t>
      </w:r>
      <w:r>
        <w:rPr>
          <w:rFonts w:hint="eastAsia" w:ascii="宋体" w:hAnsi="宋体" w:cs="宋体"/>
          <w:color w:val="auto"/>
          <w:kern w:val="0"/>
          <w:szCs w:val="21"/>
          <w:highlight w:val="none"/>
          <w:lang w:val="en-US" w:eastAsia="zh-CN"/>
        </w:rPr>
        <w:t>表</w:t>
      </w:r>
      <w:r>
        <w:rPr>
          <w:rFonts w:hint="eastAsia" w:ascii="宋体" w:hAnsi="宋体" w:cs="宋体"/>
          <w:color w:val="auto"/>
          <w:kern w:val="0"/>
          <w:szCs w:val="21"/>
          <w:highlight w:val="none"/>
        </w:rPr>
        <w:t>附件随采购文件一起存档。</w:t>
      </w:r>
    </w:p>
    <w:p>
      <w:pPr>
        <w:spacing w:before="120" w:beforeLines="50" w:after="240" w:afterLines="100"/>
        <w:jc w:val="center"/>
        <w:outlineLvl w:val="0"/>
        <w:rPr>
          <w:rFonts w:hint="eastAsia" w:ascii="宋体" w:hAnsi="宋体" w:cs="宋体"/>
          <w:b/>
          <w:color w:val="auto"/>
          <w:kern w:val="44"/>
          <w:sz w:val="44"/>
          <w:szCs w:val="44"/>
          <w:highlight w:val="none"/>
        </w:rPr>
      </w:pPr>
      <w:r>
        <w:rPr>
          <w:rFonts w:hint="eastAsia" w:ascii="宋体" w:hAnsi="宋体" w:cs="宋体"/>
          <w:b/>
          <w:color w:val="auto"/>
          <w:kern w:val="44"/>
          <w:sz w:val="44"/>
          <w:szCs w:val="44"/>
          <w:highlight w:val="none"/>
        </w:rPr>
        <w:br w:type="page"/>
      </w:r>
      <w:bookmarkStart w:id="148" w:name="_Toc4775"/>
      <w:bookmarkStart w:id="149" w:name="_Toc30388"/>
      <w:r>
        <w:rPr>
          <w:rFonts w:hint="eastAsia" w:ascii="宋体" w:hAnsi="宋体" w:cs="宋体"/>
          <w:b/>
          <w:color w:val="auto"/>
          <w:kern w:val="44"/>
          <w:sz w:val="44"/>
          <w:szCs w:val="44"/>
          <w:highlight w:val="none"/>
        </w:rPr>
        <w:t>第</w:t>
      </w:r>
      <w:r>
        <w:rPr>
          <w:rFonts w:hint="eastAsia" w:ascii="宋体" w:hAnsi="宋体" w:cs="宋体"/>
          <w:b/>
          <w:color w:val="auto"/>
          <w:kern w:val="44"/>
          <w:sz w:val="44"/>
          <w:szCs w:val="44"/>
          <w:highlight w:val="none"/>
          <w:lang w:eastAsia="zh-CN"/>
        </w:rPr>
        <w:t>四</w:t>
      </w:r>
      <w:r>
        <w:rPr>
          <w:rFonts w:hint="eastAsia" w:ascii="宋体" w:hAnsi="宋体" w:cs="宋体"/>
          <w:b/>
          <w:color w:val="auto"/>
          <w:kern w:val="44"/>
          <w:sz w:val="44"/>
          <w:szCs w:val="44"/>
          <w:highlight w:val="none"/>
        </w:rPr>
        <w:t>章</w:t>
      </w:r>
      <w:bookmarkStart w:id="150" w:name="_Toc217446093"/>
      <w:r>
        <w:rPr>
          <w:rFonts w:hint="eastAsia" w:ascii="宋体" w:hAnsi="宋体" w:cs="宋体"/>
          <w:b/>
          <w:color w:val="auto"/>
          <w:kern w:val="44"/>
          <w:sz w:val="44"/>
          <w:szCs w:val="44"/>
          <w:highlight w:val="none"/>
        </w:rPr>
        <w:t xml:space="preserve">  评标办法</w:t>
      </w:r>
      <w:bookmarkEnd w:id="145"/>
      <w:bookmarkEnd w:id="148"/>
      <w:bookmarkEnd w:id="149"/>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根据《中华人民共和国政府采购法》及其实施条例和《政府采购货物和服务招标投标管理办法》（财政部87号令）等法律法规规定，结合采购项目特点制定本评标办法。</w:t>
      </w:r>
    </w:p>
    <w:p>
      <w:pPr>
        <w:pStyle w:val="4"/>
        <w:spacing w:after="120" w:afterLines="50" w:line="360" w:lineRule="auto"/>
        <w:jc w:val="left"/>
        <w:rPr>
          <w:rFonts w:hint="eastAsia" w:ascii="宋体" w:hAnsi="宋体" w:eastAsia="宋体" w:cs="宋体"/>
          <w:bCs/>
          <w:color w:val="auto"/>
          <w:szCs w:val="28"/>
          <w:highlight w:val="none"/>
        </w:rPr>
      </w:pPr>
      <w:bookmarkStart w:id="151" w:name="_Toc15294"/>
      <w:bookmarkStart w:id="152" w:name="_Toc12198"/>
      <w:r>
        <w:rPr>
          <w:rFonts w:hint="eastAsia" w:ascii="宋体" w:hAnsi="宋体" w:eastAsia="宋体" w:cs="宋体"/>
          <w:bCs/>
          <w:color w:val="auto"/>
          <w:szCs w:val="28"/>
          <w:highlight w:val="none"/>
        </w:rPr>
        <w:t>1.评标程序</w:t>
      </w:r>
      <w:bookmarkEnd w:id="151"/>
      <w:bookmarkEnd w:id="152"/>
    </w:p>
    <w:p>
      <w:pPr>
        <w:spacing w:before="120" w:beforeLines="50"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1.1 评标按照下列程序进行：</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（1）投标文件符合性审查；</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（2）澄清有关问题；</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（3）比较与评价；</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（4）复核与核对评标结果；</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（5）确定中标候选人名单；</w:t>
      </w:r>
    </w:p>
    <w:p>
      <w:pPr>
        <w:spacing w:line="360" w:lineRule="auto"/>
        <w:ind w:firstLine="495"/>
        <w:rPr>
          <w:rFonts w:hint="eastAsia" w:ascii="宋体" w:hAnsi="宋体"/>
          <w:color w:val="auto"/>
          <w:szCs w:val="21"/>
          <w:highlight w:val="none"/>
        </w:rPr>
      </w:pPr>
      <w:r>
        <w:rPr>
          <w:rFonts w:hint="eastAsia" w:ascii="宋体" w:hAnsi="宋体"/>
          <w:color w:val="auto"/>
          <w:szCs w:val="21"/>
          <w:highlight w:val="none"/>
        </w:rPr>
        <w:t>（6）编写评标报告。</w:t>
      </w:r>
    </w:p>
    <w:p>
      <w:pPr>
        <w:spacing w:before="120" w:beforeLines="50"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1.2 投标文件符合性审查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评标委员会依法对符合资格投标人的投标文件进行符合性审查。评标委员会从投标文件的有效性、完整性和对招标文件的响应程度进行审查，以确定其是否对招标文件实质性内容作出响应，有无串通投标行为。</w:t>
      </w:r>
    </w:p>
    <w:p>
      <w:pPr>
        <w:spacing w:after="120" w:afterLines="50" w:line="360" w:lineRule="auto"/>
        <w:ind w:firstLine="411" w:firstLineChars="196"/>
        <w:rPr>
          <w:rFonts w:hint="eastAsia" w:ascii="宋体" w:hAnsi="宋体" w:cs="宋体"/>
          <w:color w:val="auto"/>
          <w:szCs w:val="21"/>
          <w:highlight w:val="none"/>
        </w:rPr>
      </w:pPr>
      <w:r>
        <w:rPr>
          <w:rFonts w:hint="eastAsia" w:ascii="宋体" w:hAnsi="宋体"/>
          <w:color w:val="auto"/>
          <w:szCs w:val="21"/>
          <w:highlight w:val="none"/>
        </w:rPr>
        <w:t>11.2.2 评标委员会将按下列评审标准对投标人的投标文件进行符合性审查，投标人</w:t>
      </w:r>
      <w:r>
        <w:rPr>
          <w:rFonts w:hint="eastAsia" w:ascii="宋体" w:cs="宋体"/>
          <w:bCs/>
          <w:color w:val="auto"/>
          <w:szCs w:val="21"/>
          <w:highlight w:val="none"/>
        </w:rPr>
        <w:t>若</w:t>
      </w:r>
      <w:r>
        <w:rPr>
          <w:rFonts w:hint="eastAsia" w:ascii="宋体" w:hAnsi="宋体" w:cs="宋体"/>
          <w:color w:val="auto"/>
          <w:kern w:val="0"/>
          <w:szCs w:val="21"/>
          <w:highlight w:val="none"/>
        </w:rPr>
        <w:t>有一项不合格，即判定其符合性审查结果为不合格，将不具备投标资格，</w:t>
      </w:r>
      <w:r>
        <w:rPr>
          <w:rFonts w:hint="eastAsia" w:ascii="宋体" w:hAnsi="宋体" w:cs="宋体"/>
          <w:b/>
          <w:color w:val="auto"/>
          <w:kern w:val="0"/>
          <w:szCs w:val="21"/>
          <w:highlight w:val="none"/>
        </w:rPr>
        <w:t>其投标无效</w:t>
      </w:r>
      <w:r>
        <w:rPr>
          <w:rFonts w:hint="eastAsia" w:ascii="宋体" w:hAnsi="宋体" w:cs="宋体"/>
          <w:color w:val="auto"/>
          <w:kern w:val="0"/>
          <w:szCs w:val="21"/>
          <w:highlight w:val="none"/>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5" w:type="dxa"/>
            <w:noWrap w:val="0"/>
            <w:vAlign w:val="center"/>
          </w:tcPr>
          <w:p>
            <w:pPr>
              <w:tabs>
                <w:tab w:val="left" w:pos="0"/>
              </w:tabs>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322" w:type="dxa"/>
            <w:gridSpan w:val="2"/>
            <w:noWrap w:val="0"/>
            <w:vAlign w:val="center"/>
          </w:tcPr>
          <w:p>
            <w:pPr>
              <w:tabs>
                <w:tab w:val="left" w:pos="0"/>
              </w:tabs>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评审因素</w:t>
            </w:r>
          </w:p>
        </w:tc>
        <w:tc>
          <w:tcPr>
            <w:tcW w:w="4338" w:type="dxa"/>
            <w:noWrap w:val="0"/>
            <w:vAlign w:val="center"/>
          </w:tcPr>
          <w:p>
            <w:pPr>
              <w:tabs>
                <w:tab w:val="left" w:pos="0"/>
              </w:tabs>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7" w:type="dxa"/>
            <w:vMerge w:val="restart"/>
            <w:noWrap w:val="0"/>
            <w:vAlign w:val="center"/>
          </w:tcPr>
          <w:p>
            <w:pPr>
              <w:tabs>
                <w:tab w:val="left" w:pos="0"/>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有效性审查</w:t>
            </w:r>
          </w:p>
        </w:tc>
        <w:tc>
          <w:tcPr>
            <w:tcW w:w="3695" w:type="dxa"/>
            <w:noWrap w:val="0"/>
            <w:vAlign w:val="center"/>
          </w:tcPr>
          <w:p>
            <w:pPr>
              <w:tabs>
                <w:tab w:val="left" w:pos="0"/>
              </w:tabs>
              <w:adjustRightInd w:val="0"/>
              <w:snapToGrid w:val="0"/>
              <w:rPr>
                <w:rFonts w:hint="eastAsia" w:ascii="宋体" w:hAnsi="宋体" w:cs="宋体"/>
                <w:b/>
                <w:color w:val="auto"/>
                <w:sz w:val="24"/>
                <w:highlight w:val="none"/>
              </w:rPr>
            </w:pPr>
            <w:r>
              <w:rPr>
                <w:rFonts w:hint="eastAsia" w:ascii="宋体" w:hAnsi="宋体"/>
                <w:color w:val="auto"/>
                <w:szCs w:val="21"/>
                <w:highlight w:val="none"/>
              </w:rPr>
              <w:t>（1）文件制作机器码</w:t>
            </w:r>
          </w:p>
        </w:tc>
        <w:tc>
          <w:tcPr>
            <w:tcW w:w="4338" w:type="dxa"/>
            <w:noWrap w:val="0"/>
            <w:vAlign w:val="center"/>
          </w:tcPr>
          <w:p>
            <w:pPr>
              <w:tabs>
                <w:tab w:val="left" w:pos="0"/>
              </w:tabs>
              <w:adjustRightInd w:val="0"/>
              <w:snapToGrid w:val="0"/>
              <w:rPr>
                <w:rFonts w:hint="eastAsia" w:ascii="宋体" w:hAnsi="宋体" w:cs="宋体"/>
                <w:b/>
                <w:color w:val="auto"/>
                <w:sz w:val="24"/>
                <w:highlight w:val="none"/>
              </w:rPr>
            </w:pPr>
            <w:r>
              <w:rPr>
                <w:rFonts w:hint="eastAsia" w:ascii="宋体" w:hAnsi="宋体"/>
                <w:color w:val="auto"/>
                <w:szCs w:val="21"/>
                <w:highlight w:val="none"/>
              </w:rPr>
              <w:t>不同投标人的文件制作机器码不一致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15" w:type="dxa"/>
            <w:vMerge w:val="continue"/>
            <w:noWrap w:val="0"/>
            <w:vAlign w:val="center"/>
          </w:tcPr>
          <w:p>
            <w:pPr>
              <w:tabs>
                <w:tab w:val="left" w:pos="0"/>
              </w:tabs>
              <w:adjustRightInd w:val="0"/>
              <w:snapToGrid w:val="0"/>
              <w:jc w:val="center"/>
              <w:rPr>
                <w:rFonts w:hint="eastAsia" w:ascii="宋体" w:hAnsi="宋体" w:cs="宋体"/>
                <w:b/>
                <w:color w:val="auto"/>
                <w:sz w:val="24"/>
                <w:highlight w:val="none"/>
              </w:rPr>
            </w:pPr>
          </w:p>
        </w:tc>
        <w:tc>
          <w:tcPr>
            <w:tcW w:w="627" w:type="dxa"/>
            <w:vMerge w:val="continue"/>
            <w:noWrap w:val="0"/>
            <w:vAlign w:val="center"/>
          </w:tcPr>
          <w:p>
            <w:pPr>
              <w:tabs>
                <w:tab w:val="left" w:pos="0"/>
              </w:tabs>
              <w:adjustRightInd w:val="0"/>
              <w:snapToGrid w:val="0"/>
              <w:jc w:val="center"/>
              <w:rPr>
                <w:rFonts w:hint="eastAsia" w:ascii="宋体" w:hAnsi="宋体" w:cs="宋体"/>
                <w:b/>
                <w:color w:val="auto"/>
                <w:sz w:val="24"/>
                <w:highlight w:val="none"/>
              </w:rPr>
            </w:pPr>
          </w:p>
        </w:tc>
        <w:tc>
          <w:tcPr>
            <w:tcW w:w="3695" w:type="dxa"/>
            <w:noWrap w:val="0"/>
            <w:vAlign w:val="center"/>
          </w:tcPr>
          <w:p>
            <w:pPr>
              <w:tabs>
                <w:tab w:val="left" w:pos="0"/>
              </w:tabs>
              <w:adjustRightInd w:val="0"/>
              <w:snapToGrid w:val="0"/>
              <w:rPr>
                <w:rFonts w:hint="eastAsia" w:ascii="宋体" w:hAnsi="宋体" w:cs="宋体"/>
                <w:b/>
                <w:color w:val="auto"/>
                <w:sz w:val="24"/>
                <w:highlight w:val="none"/>
              </w:rPr>
            </w:pPr>
            <w:r>
              <w:rPr>
                <w:rFonts w:hint="eastAsia" w:ascii="宋体" w:hAnsi="宋体"/>
                <w:color w:val="auto"/>
                <w:szCs w:val="21"/>
                <w:highlight w:val="none"/>
              </w:rPr>
              <w:t>（2）文件创建标识码</w:t>
            </w:r>
          </w:p>
        </w:tc>
        <w:tc>
          <w:tcPr>
            <w:tcW w:w="4338" w:type="dxa"/>
            <w:noWrap w:val="0"/>
            <w:vAlign w:val="center"/>
          </w:tcPr>
          <w:p>
            <w:pPr>
              <w:tabs>
                <w:tab w:val="left" w:pos="0"/>
              </w:tabs>
              <w:adjustRightInd w:val="0"/>
              <w:snapToGrid w:val="0"/>
              <w:rPr>
                <w:rFonts w:hint="eastAsia" w:ascii="宋体" w:hAnsi="宋体" w:cs="宋体"/>
                <w:b/>
                <w:color w:val="auto"/>
                <w:sz w:val="24"/>
                <w:highlight w:val="none"/>
              </w:rPr>
            </w:pPr>
            <w:r>
              <w:rPr>
                <w:rFonts w:hint="eastAsia" w:ascii="宋体" w:hAnsi="宋体"/>
                <w:color w:val="auto"/>
                <w:szCs w:val="21"/>
                <w:highlight w:val="none"/>
              </w:rPr>
              <w:t>不同投标人的文件创建标识码不一致，若一致由</w:t>
            </w:r>
            <w:r>
              <w:rPr>
                <w:rFonts w:hint="eastAsia" w:ascii="宋体" w:hAnsi="宋体"/>
                <w:color w:val="auto"/>
                <w:szCs w:val="21"/>
                <w:highlight w:val="none"/>
                <w:lang w:eastAsia="zh-CN"/>
              </w:rPr>
              <w:t>评标委员会</w:t>
            </w:r>
            <w:r>
              <w:rPr>
                <w:rFonts w:hint="eastAsia" w:ascii="宋体" w:hAnsi="宋体"/>
                <w:color w:val="auto"/>
                <w:szCs w:val="21"/>
                <w:highlight w:val="none"/>
              </w:rPr>
              <w:t>结合项目情况综合判定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15" w:type="dxa"/>
            <w:vMerge w:val="continue"/>
            <w:noWrap w:val="0"/>
            <w:vAlign w:val="center"/>
          </w:tcPr>
          <w:p>
            <w:pPr>
              <w:tabs>
                <w:tab w:val="left" w:pos="0"/>
              </w:tabs>
              <w:adjustRightInd w:val="0"/>
              <w:snapToGrid w:val="0"/>
              <w:spacing w:line="360" w:lineRule="auto"/>
              <w:jc w:val="center"/>
              <w:rPr>
                <w:rFonts w:hint="eastAsia" w:ascii="宋体" w:hAnsi="宋体" w:cs="宋体"/>
                <w:color w:val="auto"/>
                <w:szCs w:val="21"/>
                <w:highlight w:val="none"/>
              </w:rPr>
            </w:pPr>
          </w:p>
        </w:tc>
        <w:tc>
          <w:tcPr>
            <w:tcW w:w="627" w:type="dxa"/>
            <w:vMerge w:val="continue"/>
            <w:noWrap w:val="0"/>
            <w:vAlign w:val="center"/>
          </w:tcPr>
          <w:p>
            <w:pPr>
              <w:tabs>
                <w:tab w:val="left" w:pos="0"/>
              </w:tabs>
              <w:adjustRightInd w:val="0"/>
              <w:snapToGrid w:val="0"/>
              <w:jc w:val="center"/>
              <w:rPr>
                <w:rFonts w:hint="eastAsia" w:ascii="宋体" w:hAnsi="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（3）投标文件的签署盖章</w:t>
            </w:r>
          </w:p>
        </w:tc>
        <w:tc>
          <w:tcPr>
            <w:tcW w:w="4338"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投标文件上法定代表人或其授权代表人的签名齐全并加盖公章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（4）投标文件格式</w:t>
            </w:r>
          </w:p>
        </w:tc>
        <w:tc>
          <w:tcPr>
            <w:tcW w:w="4338"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应符合“投标文件格式”和招标文件要求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（5）报价唯一</w:t>
            </w:r>
          </w:p>
        </w:tc>
        <w:tc>
          <w:tcPr>
            <w:tcW w:w="4338"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515" w:type="dxa"/>
            <w:noWrap w:val="0"/>
            <w:vAlign w:val="center"/>
          </w:tcPr>
          <w:p>
            <w:pPr>
              <w:tabs>
                <w:tab w:val="left" w:pos="0"/>
              </w:tabs>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27" w:type="dxa"/>
            <w:noWrap w:val="0"/>
            <w:vAlign w:val="center"/>
          </w:tcPr>
          <w:p>
            <w:pPr>
              <w:tabs>
                <w:tab w:val="left" w:pos="0"/>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完整性审查</w:t>
            </w:r>
          </w:p>
        </w:tc>
        <w:tc>
          <w:tcPr>
            <w:tcW w:w="3695"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（6）投标内容</w:t>
            </w:r>
          </w:p>
        </w:tc>
        <w:tc>
          <w:tcPr>
            <w:tcW w:w="4338"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投标内容齐全、无遗漏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627" w:type="dxa"/>
            <w:vMerge w:val="restart"/>
            <w:noWrap w:val="0"/>
            <w:vAlign w:val="center"/>
          </w:tcPr>
          <w:p>
            <w:pPr>
              <w:tabs>
                <w:tab w:val="left" w:pos="0"/>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响应性审查</w:t>
            </w:r>
          </w:p>
        </w:tc>
        <w:tc>
          <w:tcPr>
            <w:tcW w:w="3695"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）对招标文件响应程度</w:t>
            </w:r>
          </w:p>
        </w:tc>
        <w:tc>
          <w:tcPr>
            <w:tcW w:w="4338"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要求全面响应，不能有任何招标人不能接受的附加条件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）拟提供服务要求（技术参数）</w:t>
            </w:r>
          </w:p>
        </w:tc>
        <w:tc>
          <w:tcPr>
            <w:tcW w:w="4338"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olor w:val="auto"/>
                <w:szCs w:val="21"/>
                <w:highlight w:val="none"/>
              </w:rPr>
              <w:t>应满足招标文件提出的技术和功能要求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）服务期限</w:t>
            </w:r>
          </w:p>
        </w:tc>
        <w:tc>
          <w:tcPr>
            <w:tcW w:w="4338" w:type="dxa"/>
            <w:noWrap w:val="0"/>
            <w:vAlign w:val="center"/>
          </w:tcPr>
          <w:p>
            <w:pPr>
              <w:tabs>
                <w:tab w:val="left" w:pos="0"/>
              </w:tabs>
              <w:adjustRightInd w:val="0"/>
              <w:snapToGrid w:val="0"/>
              <w:rPr>
                <w:rFonts w:hint="eastAsia" w:ascii="宋体" w:hAnsi="宋体" w:cs="宋体"/>
                <w:color w:val="auto"/>
                <w:szCs w:val="21"/>
                <w:highlight w:val="none"/>
              </w:rPr>
            </w:pPr>
            <w:r>
              <w:rPr>
                <w:rFonts w:hint="eastAsia" w:ascii="宋体" w:hAnsi="宋体"/>
                <w:color w:val="auto"/>
                <w:szCs w:val="21"/>
                <w:highlight w:val="none"/>
              </w:rPr>
              <w:t>应满足招标文件中要求的服务期限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）投标有效期</w:t>
            </w:r>
          </w:p>
        </w:tc>
        <w:tc>
          <w:tcPr>
            <w:tcW w:w="4338" w:type="dxa"/>
            <w:noWrap w:val="0"/>
            <w:vAlign w:val="center"/>
          </w:tcPr>
          <w:p>
            <w:pPr>
              <w:tabs>
                <w:tab w:val="left" w:pos="0"/>
              </w:tabs>
              <w:adjustRightInd w:val="0"/>
              <w:snapToGrid w:val="0"/>
              <w:rPr>
                <w:rFonts w:hint="eastAsia" w:ascii="宋体" w:hAnsi="宋体"/>
                <w:color w:val="auto"/>
                <w:szCs w:val="21"/>
                <w:highlight w:val="none"/>
              </w:rPr>
            </w:pPr>
            <w:r>
              <w:rPr>
                <w:rFonts w:hint="eastAsia" w:ascii="宋体" w:hAnsi="宋体"/>
                <w:color w:val="auto"/>
                <w:szCs w:val="21"/>
                <w:highlight w:val="none"/>
              </w:rPr>
              <w:t>应满足招标文件中的规定</w:t>
            </w:r>
          </w:p>
        </w:tc>
      </w:tr>
    </w:tbl>
    <w:p>
      <w:pPr>
        <w:spacing w:before="360" w:beforeLines="150"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1.2.3</w:t>
      </w:r>
      <w:r>
        <w:rPr>
          <w:rFonts w:ascii="宋体" w:hAnsi="宋体"/>
          <w:color w:val="auto"/>
          <w:szCs w:val="21"/>
          <w:highlight w:val="none"/>
        </w:rPr>
        <w:t>有下列情形之一的，视为投标</w:t>
      </w:r>
      <w:r>
        <w:rPr>
          <w:rFonts w:hint="eastAsia" w:ascii="宋体" w:hAnsi="宋体"/>
          <w:color w:val="auto"/>
          <w:szCs w:val="21"/>
          <w:highlight w:val="none"/>
        </w:rPr>
        <w:t>人</w:t>
      </w:r>
      <w:r>
        <w:rPr>
          <w:rFonts w:ascii="宋体" w:hAnsi="宋体"/>
          <w:color w:val="auto"/>
          <w:szCs w:val="21"/>
          <w:highlight w:val="none"/>
        </w:rPr>
        <w:t>相互恶意串通投标</w:t>
      </w:r>
      <w:r>
        <w:rPr>
          <w:rFonts w:hint="eastAsia" w:ascii="宋体" w:hAnsi="宋体"/>
          <w:color w:val="auto"/>
          <w:szCs w:val="21"/>
          <w:highlight w:val="none"/>
        </w:rPr>
        <w:t>，</w:t>
      </w:r>
      <w:r>
        <w:rPr>
          <w:rFonts w:hint="eastAsia" w:ascii="宋体" w:hAnsi="宋体"/>
          <w:b/>
          <w:color w:val="auto"/>
          <w:szCs w:val="21"/>
          <w:highlight w:val="none"/>
        </w:rPr>
        <w:t>投标无效</w:t>
      </w:r>
      <w:r>
        <w:rPr>
          <w:rFonts w:ascii="宋体" w:hAnsi="宋体"/>
          <w:b/>
          <w:color w:val="auto"/>
          <w:szCs w:val="21"/>
          <w:highlight w:val="none"/>
        </w:rPr>
        <w:t>：</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（3）不同投标人的投标文件载明的项目管理成员为同一人；</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1.2.4投标文件存在下列情况之一的，投标无效：</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（1）不符合招标文件中规定的资格要求的；</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（2）不符合招标文件中规定的实质性要求的；</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（3）未按照招标文件的规定提交投标保证金的（仅限投标人须知前附表要求投标人提交投标保证金的）；</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（4）投标文件未按照招标文件要求签署、盖章的；</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（5）投标报价超过了招标文件中规定的预算金额或者最高限价的；</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（6）投标文件中含有采购人不能接受的附加条件的；</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（7）投标产品不符合强制执行的国家标准、行业标准的；</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（8）投标产品不是国家强制节能产品品目清单中的产品（如有）；</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（9）投标产品属于强制性认证产品的未提供强制性产品认证证书复印件的；</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）法律、行政法规和招标文件规定的其他无效情形。</w:t>
      </w:r>
    </w:p>
    <w:p>
      <w:pPr>
        <w:pStyle w:val="14"/>
        <w:tabs>
          <w:tab w:val="left" w:pos="600"/>
        </w:tabs>
        <w:spacing w:line="360" w:lineRule="auto"/>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投标文件存在以上情况（1）（3）的，由资格审查小组认定，其余情况由评标委员会认定。</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1.2.5 非实质性偏离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（1）文字表述的内容含义不明确；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（2）同类问题表述不一致；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（3）有明显文字和计算错误；</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（4）提供的技术信息和数据资料不完整；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（7）评标委员会认定的其他非实质性偏离。</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投标文件有上述（1）至（</w:t>
      </w:r>
      <w:r>
        <w:rPr>
          <w:rFonts w:hint="eastAsia" w:ascii="宋体" w:hAnsi="宋体"/>
          <w:color w:val="auto"/>
          <w:szCs w:val="21"/>
          <w:highlight w:val="none"/>
          <w:lang w:val="en-US" w:eastAsia="zh-CN"/>
        </w:rPr>
        <w:t>3</w:t>
      </w:r>
      <w:r>
        <w:rPr>
          <w:rFonts w:hint="eastAsia" w:ascii="宋体" w:hAnsi="宋体"/>
          <w:color w:val="auto"/>
          <w:szCs w:val="21"/>
          <w:highlight w:val="none"/>
        </w:rPr>
        <w:t>）情形之一的，评标委员会应当书面要求投标人在规定的时间内予以澄清、说明或补正。</w:t>
      </w:r>
    </w:p>
    <w:p>
      <w:pPr>
        <w:spacing w:line="360" w:lineRule="auto"/>
        <w:ind w:firstLine="422" w:firstLineChars="200"/>
        <w:rPr>
          <w:rFonts w:hint="eastAsia" w:ascii="楷体" w:hAnsi="楷体" w:eastAsia="楷体" w:cs="宋体"/>
          <w:color w:val="auto"/>
          <w:kern w:val="0"/>
          <w:sz w:val="24"/>
          <w:highlight w:val="none"/>
        </w:rPr>
      </w:pPr>
      <w:r>
        <w:rPr>
          <w:rFonts w:hint="eastAsia" w:ascii="宋体" w:hAnsi="宋体"/>
          <w:b/>
          <w:color w:val="auto"/>
          <w:szCs w:val="21"/>
          <w:highlight w:val="none"/>
        </w:rPr>
        <w:t>1.2.6 未通过符合性检查的投标文件，不得进入后续评标环节。</w:t>
      </w:r>
    </w:p>
    <w:p>
      <w:pPr>
        <w:spacing w:before="120" w:beforeLines="50"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1.3 投标文件的澄清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1.3.2投标人的澄清、说明或者补正应当通过</w:t>
      </w:r>
      <w:r>
        <w:rPr>
          <w:rFonts w:hint="eastAsia" w:ascii="宋体" w:hAnsi="宋体"/>
          <w:color w:val="auto"/>
          <w:szCs w:val="21"/>
          <w:highlight w:val="none"/>
          <w:lang w:eastAsia="zh-CN"/>
        </w:rPr>
        <w:t>全国公共资源交易平台（陕西省·西安市）</w:t>
      </w:r>
      <w:r>
        <w:rPr>
          <w:rFonts w:hint="eastAsia" w:ascii="宋体" w:hAnsi="宋体"/>
          <w:color w:val="auto"/>
          <w:szCs w:val="21"/>
          <w:highlight w:val="none"/>
        </w:rPr>
        <w:t>“不见面”开标大厅进行，投标人的澄清、说明或者补正不得超出投标文件的范围或者改变投标文件的实质性内容，并构成为投标文件的组成部分。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1.3.3对投标人提交的澄清、说明或者补正有疑问的，可以要求投标人进一步澄清、说明或者补正，直至满足资格审查小组或评标委员会的要求。</w:t>
      </w:r>
    </w:p>
    <w:p>
      <w:pPr>
        <w:spacing w:before="120" w:beforeLines="50" w:after="120" w:afterLines="50" w:line="360" w:lineRule="auto"/>
        <w:rPr>
          <w:rFonts w:hint="eastAsia" w:ascii="宋体" w:hAnsi="宋体"/>
          <w:color w:val="auto"/>
          <w:szCs w:val="21"/>
          <w:highlight w:val="none"/>
        </w:rPr>
      </w:pPr>
      <w:r>
        <w:rPr>
          <w:rFonts w:hint="eastAsia" w:ascii="宋体" w:hAnsi="宋体"/>
          <w:color w:val="auto"/>
          <w:szCs w:val="21"/>
          <w:highlight w:val="none"/>
        </w:rPr>
        <w:t>1.3.4 资格审查小组和评标委员会不得暗示或诱导投标人作出澄清、说明或者更正，不得接受投标人主动提出的澄清、说明或者补正。</w:t>
      </w:r>
    </w:p>
    <w:p>
      <w:pPr>
        <w:spacing w:before="120" w:beforeLines="50"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1.4 投标文件比较与评价</w:t>
      </w:r>
    </w:p>
    <w:p>
      <w:pPr>
        <w:tabs>
          <w:tab w:val="left" w:pos="0"/>
        </w:tabs>
        <w:adjustRightInd w:val="0"/>
        <w:snapToGrid w:val="0"/>
        <w:spacing w:before="120" w:beforeLines="50"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 xml:space="preserve">1.4.1 </w:t>
      </w:r>
      <w:r>
        <w:rPr>
          <w:rFonts w:hint="eastAsia" w:ascii="宋体" w:hAnsi="宋体"/>
          <w:bCs/>
          <w:color w:val="auto"/>
          <w:szCs w:val="21"/>
          <w:highlight w:val="none"/>
        </w:rPr>
        <w:t>评标委员会应按照招标文件中规定的评标方法</w:t>
      </w:r>
      <w:r>
        <w:rPr>
          <w:rFonts w:hint="eastAsia" w:ascii="宋体" w:hAnsi="宋体"/>
          <w:color w:val="auto"/>
          <w:szCs w:val="21"/>
          <w:highlight w:val="none"/>
        </w:rPr>
        <w:t>和标准，</w:t>
      </w:r>
      <w:r>
        <w:rPr>
          <w:rFonts w:hint="eastAsia" w:ascii="宋体" w:hAnsi="宋体"/>
          <w:bCs/>
          <w:color w:val="auto"/>
          <w:szCs w:val="21"/>
          <w:highlight w:val="none"/>
        </w:rPr>
        <w:t>对</w:t>
      </w:r>
      <w:r>
        <w:rPr>
          <w:rFonts w:hint="eastAsia" w:ascii="宋体" w:hAnsi="宋体"/>
          <w:color w:val="auto"/>
          <w:szCs w:val="21"/>
          <w:highlight w:val="none"/>
        </w:rPr>
        <w:t>符合性检查</w:t>
      </w:r>
      <w:r>
        <w:rPr>
          <w:rFonts w:hint="eastAsia" w:ascii="宋体" w:hAnsi="宋体"/>
          <w:bCs/>
          <w:color w:val="auto"/>
          <w:szCs w:val="21"/>
          <w:highlight w:val="none"/>
        </w:rPr>
        <w:t>通过的投标文件进行商务和技术评估，综合比较与评价。</w:t>
      </w:r>
    </w:p>
    <w:p>
      <w:pPr>
        <w:pStyle w:val="15"/>
        <w:adjustRightInd w:val="0"/>
        <w:snapToGrid w:val="0"/>
        <w:spacing w:line="360" w:lineRule="auto"/>
        <w:ind w:firstLine="420" w:firstLineChars="200"/>
        <w:rPr>
          <w:rFonts w:hint="eastAsia" w:hAnsi="宋体"/>
          <w:bCs/>
          <w:color w:val="auto"/>
          <w:highlight w:val="none"/>
        </w:rPr>
      </w:pPr>
      <w:r>
        <w:rPr>
          <w:rFonts w:hint="eastAsia" w:hAnsi="宋体"/>
          <w:color w:val="auto"/>
          <w:highlight w:val="none"/>
        </w:rPr>
        <w:t xml:space="preserve">1.4.2 </w:t>
      </w:r>
      <w:r>
        <w:rPr>
          <w:rFonts w:hint="eastAsia" w:hAnsi="宋体"/>
          <w:bCs/>
          <w:color w:val="auto"/>
          <w:highlight w:val="none"/>
        </w:rPr>
        <w:t>评标委员会将综合分析投标人的各项评审因素，而不以单项评审因素的优劣评选出中标人。对所有投标人的投标评价，都采用相同的程序和标准，严格按照招标文件的要求和条件进行。</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1.4.3 如果投标文件没有实质性响应招标文件的要求，评标委员会将予以拒绝。投标人不得通过修正或撤销不合要求的偏离或保留，从而使其投标成为实质性响应的投标。</w:t>
      </w:r>
    </w:p>
    <w:p>
      <w:pPr>
        <w:spacing w:before="120" w:beforeLines="50"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1.5 复核与核对评标结果</w:t>
      </w:r>
    </w:p>
    <w:p>
      <w:pPr>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1.5.1 评分汇总结束后，评标委员会应当进行复核，特别要对拟推荐中标候选人的、报价最低的、投标文件被认定无效的进行重点复核。</w:t>
      </w:r>
    </w:p>
    <w:p>
      <w:pPr>
        <w:pStyle w:val="67"/>
        <w:spacing w:line="360" w:lineRule="auto"/>
        <w:ind w:firstLine="420" w:firstLineChars="200"/>
        <w:rPr>
          <w:rFonts w:hint="eastAsia" w:ascii="宋体" w:hAnsi="宋体"/>
          <w:color w:val="auto"/>
          <w:highlight w:val="none"/>
        </w:rPr>
      </w:pPr>
      <w:r>
        <w:rPr>
          <w:rFonts w:hint="eastAsia" w:ascii="宋体" w:hAnsi="宋体"/>
          <w:color w:val="auto"/>
          <w:highlight w:val="none"/>
        </w:rPr>
        <w:t>1.5.2 评标结果汇总完成后，</w:t>
      </w:r>
      <w:r>
        <w:rPr>
          <w:rFonts w:ascii="宋体" w:hAnsi="宋体"/>
          <w:color w:val="auto"/>
          <w:highlight w:val="none"/>
        </w:rPr>
        <w:t>评标报告签署前，</w:t>
      </w:r>
      <w:r>
        <w:rPr>
          <w:rFonts w:hint="eastAsia" w:ascii="宋体" w:hAnsi="宋体"/>
          <w:color w:val="auto"/>
          <w:highlight w:val="none"/>
        </w:rPr>
        <w:t>采购代理机构应当</w:t>
      </w:r>
      <w:r>
        <w:rPr>
          <w:rFonts w:ascii="宋体" w:hAnsi="宋体"/>
          <w:bCs/>
          <w:color w:val="auto"/>
          <w:highlight w:val="none"/>
        </w:rPr>
        <w:t>核对评标结果，</w:t>
      </w:r>
      <w:r>
        <w:rPr>
          <w:rFonts w:ascii="宋体" w:hAnsi="宋体"/>
          <w:color w:val="auto"/>
          <w:highlight w:val="none"/>
        </w:rPr>
        <w:t>除下列情形外，任何人不得修改评标结果：</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）分值汇总计算错误的；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）分项评分超出评分标准范围的；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）评标委员会对客观评审因素评分不一致的；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）经评标委员会认定评分畸高、畸低的。</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经复核发现存在以上情形之一的，评标委员会应当当场修改评标结果，并在评标报告中记载</w:t>
      </w:r>
      <w:r>
        <w:rPr>
          <w:rFonts w:hint="eastAsia" w:ascii="宋体" w:hAnsi="宋体"/>
          <w:color w:val="auto"/>
          <w:szCs w:val="21"/>
          <w:highlight w:val="none"/>
        </w:rPr>
        <w:t>。</w:t>
      </w:r>
    </w:p>
    <w:p>
      <w:pPr>
        <w:spacing w:before="120" w:beforeLines="50"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1.6 确定中标候选人名单</w:t>
      </w:r>
    </w:p>
    <w:p>
      <w:pPr>
        <w:spacing w:before="120"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定标及定标程序详见第二章第9.1、9.2条款。</w:t>
      </w:r>
    </w:p>
    <w:p>
      <w:pPr>
        <w:spacing w:before="120" w:beforeLines="50"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1.7 编写评标报告</w:t>
      </w:r>
    </w:p>
    <w:p>
      <w:pPr>
        <w:spacing w:before="120" w:beforeLines="50" w:line="360" w:lineRule="auto"/>
        <w:ind w:firstLine="482"/>
        <w:rPr>
          <w:rFonts w:hint="eastAsia" w:ascii="宋体" w:hAnsi="宋体"/>
          <w:color w:val="auto"/>
          <w:szCs w:val="21"/>
          <w:highlight w:val="none"/>
        </w:rPr>
      </w:pPr>
      <w:bookmarkStart w:id="153" w:name="_Toc426"/>
      <w:r>
        <w:rPr>
          <w:rFonts w:hint="eastAsia" w:ascii="宋体" w:hAnsi="宋体"/>
          <w:color w:val="auto"/>
          <w:szCs w:val="21"/>
          <w:highlight w:val="none"/>
        </w:rPr>
        <w:t>1.7.1 评标委员会在确定中标候选人名单后，应当编写评标报告并向采购人出具。评标报告应当包括以下内容：</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（1）招标公告刊登的媒体名称、开标日期和地点；</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（2）投标人名单和评标委员会成员名单；</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（3）评标方法和标准；</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（4）开标记录和评标情况及说明，包括无效投标人名单及原因；</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（5）评标结果，确定的中标候选人名单；</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（6）其他需要说明的情况，包括评标过程中投标人根据评标委员会要求进行的澄清、说明或者补正，评标委员会成员的更换等，报价最高的投标人为第一中标候选人的，对其报价合理性予以特别书面。</w:t>
      </w:r>
    </w:p>
    <w:p>
      <w:pPr>
        <w:widowControl/>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pPr>
        <w:pStyle w:val="4"/>
        <w:spacing w:after="120" w:afterLines="50" w:line="360" w:lineRule="auto"/>
        <w:jc w:val="left"/>
        <w:rPr>
          <w:rFonts w:hint="eastAsia" w:ascii="宋体" w:hAnsi="宋体" w:eastAsia="宋体" w:cs="宋体"/>
          <w:bCs/>
          <w:color w:val="auto"/>
          <w:szCs w:val="28"/>
          <w:highlight w:val="none"/>
        </w:rPr>
      </w:pPr>
      <w:bookmarkStart w:id="154" w:name="_Toc14971"/>
      <w:r>
        <w:rPr>
          <w:rFonts w:hint="eastAsia" w:ascii="宋体" w:hAnsi="宋体" w:eastAsia="宋体" w:cs="宋体"/>
          <w:bCs/>
          <w:color w:val="auto"/>
          <w:szCs w:val="28"/>
          <w:highlight w:val="none"/>
        </w:rPr>
        <w:t>2.评标方法</w:t>
      </w:r>
      <w:bookmarkEnd w:id="153"/>
      <w:bookmarkEnd w:id="154"/>
    </w:p>
    <w:p>
      <w:pPr>
        <w:spacing w:before="120" w:beforeLines="50" w:after="120" w:afterLines="50" w:line="360" w:lineRule="auto"/>
        <w:rPr>
          <w:rFonts w:hint="eastAsia" w:ascii="宋体" w:hAnsi="宋体" w:cs="宋体"/>
          <w:b/>
          <w:color w:val="auto"/>
          <w:sz w:val="24"/>
          <w:highlight w:val="none"/>
        </w:rPr>
      </w:pPr>
      <w:r>
        <w:rPr>
          <w:rFonts w:hint="eastAsia" w:ascii="宋体" w:hAnsi="宋体" w:cs="宋体"/>
          <w:b/>
          <w:color w:val="auto"/>
          <w:sz w:val="24"/>
          <w:highlight w:val="none"/>
        </w:rPr>
        <w:t>2.1综合评分法</w:t>
      </w:r>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2.1.1 投标人须知前附表规定综合评分法的，适用本条款。</w:t>
      </w:r>
    </w:p>
    <w:p>
      <w:pPr>
        <w:pStyle w:val="6"/>
        <w:spacing w:line="360" w:lineRule="auto"/>
        <w:ind w:firstLineChars="200"/>
        <w:rPr>
          <w:rFonts w:hint="eastAsia" w:ascii="宋体" w:hAnsi="宋体" w:cs="宋体"/>
          <w:color w:val="auto"/>
          <w:kern w:val="0"/>
          <w:szCs w:val="21"/>
          <w:highlight w:val="none"/>
        </w:rPr>
      </w:pPr>
      <w:r>
        <w:rPr>
          <w:rFonts w:hint="eastAsia" w:ascii="宋体" w:hAnsi="宋体"/>
          <w:color w:val="auto"/>
          <w:szCs w:val="21"/>
          <w:highlight w:val="none"/>
        </w:rPr>
        <w:t>2.1.2 综合评分法，是指</w:t>
      </w:r>
      <w:r>
        <w:rPr>
          <w:rFonts w:hint="eastAsia" w:ascii="宋体" w:hAnsi="宋体" w:cs="宋体"/>
          <w:color w:val="auto"/>
          <w:kern w:val="0"/>
          <w:szCs w:val="21"/>
          <w:highlight w:val="none"/>
        </w:rPr>
        <w:t>投标文件满足招标文件全部实质性要求，且按照评审因素的量化指标评审得分最高的投标人为中标候选人的评标方法。</w:t>
      </w:r>
    </w:p>
    <w:p>
      <w:pPr>
        <w:tabs>
          <w:tab w:val="left" w:pos="0"/>
        </w:tabs>
        <w:adjustRightInd w:val="0"/>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2.1.3 评审因素</w:t>
      </w:r>
    </w:p>
    <w:p>
      <w:pPr>
        <w:adjustRightInd w:val="0"/>
        <w:snapToGrid w:val="0"/>
        <w:spacing w:before="120" w:beforeLines="50"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本采购项目评审因素包括：</w:t>
      </w:r>
      <w:r>
        <w:rPr>
          <w:rFonts w:hint="eastAsia" w:ascii="宋体" w:hAnsi="宋体" w:cs="宋体"/>
          <w:b/>
          <w:color w:val="auto"/>
          <w:kern w:val="0"/>
          <w:szCs w:val="21"/>
          <w:highlight w:val="none"/>
        </w:rPr>
        <w:t>投标报价、技术要求、商务要求</w:t>
      </w:r>
      <w:r>
        <w:rPr>
          <w:rFonts w:hint="eastAsia" w:ascii="宋体" w:hAnsi="宋体" w:cs="宋体"/>
          <w:color w:val="auto"/>
          <w:kern w:val="0"/>
          <w:szCs w:val="21"/>
          <w:highlight w:val="none"/>
        </w:rPr>
        <w:t>等</w:t>
      </w:r>
      <w:r>
        <w:rPr>
          <w:rFonts w:hint="eastAsia" w:ascii="宋体" w:hAnsi="宋体"/>
          <w:color w:val="auto"/>
          <w:szCs w:val="21"/>
          <w:highlight w:val="none"/>
        </w:rPr>
        <w:t>对招标文件的响应程度，以及相应的比重或者权值等，但不包括第二章第3.1条</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w:t>
      </w:r>
      <w:r>
        <w:rPr>
          <w:rFonts w:hint="eastAsia" w:ascii="宋体" w:hAnsi="宋体"/>
          <w:bCs/>
          <w:color w:val="auto"/>
          <w:szCs w:val="21"/>
          <w:highlight w:val="none"/>
        </w:rPr>
        <w:t>项目的评标因素和标准见 “综合评分明细表”。</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2.1.4 投标报价评价</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投标人的价格分，按照《政府采购货物和服务招标投标管理办法》（财政部令第87号）第五十五条的规定，采用低价优先法计算，以本次满足招标文件要求的</w:t>
      </w:r>
      <w:r>
        <w:rPr>
          <w:rFonts w:hint="eastAsia" w:ascii="宋体" w:hAnsi="宋体"/>
          <w:b/>
          <w:color w:val="auto"/>
          <w:szCs w:val="21"/>
          <w:highlight w:val="none"/>
        </w:rPr>
        <w:t>最低投标报价为评标基准价</w:t>
      </w:r>
      <w:r>
        <w:rPr>
          <w:rFonts w:hint="eastAsia" w:ascii="宋体" w:hAnsi="宋体"/>
          <w:color w:val="auto"/>
          <w:szCs w:val="21"/>
          <w:highlight w:val="none"/>
        </w:rPr>
        <w:t>，其价格为满分，其他投标人的价格分，统一按照下列公式计算：</w:t>
      </w:r>
    </w:p>
    <w:p>
      <w:pPr>
        <w:spacing w:line="360" w:lineRule="auto"/>
        <w:ind w:firstLine="1054" w:firstLineChars="500"/>
        <w:rPr>
          <w:rFonts w:hint="default" w:ascii="宋体" w:hAnsi="宋体" w:eastAsia="宋体"/>
          <w:b/>
          <w:color w:val="auto"/>
          <w:szCs w:val="21"/>
          <w:highlight w:val="none"/>
          <w:lang w:val="en-US" w:eastAsia="zh-CN"/>
        </w:rPr>
      </w:pPr>
      <w:r>
        <w:rPr>
          <w:rFonts w:hint="eastAsia" w:ascii="宋体" w:hAnsi="宋体"/>
          <w:b/>
          <w:color w:val="auto"/>
          <w:szCs w:val="21"/>
          <w:highlight w:val="none"/>
        </w:rPr>
        <w:t>投标报价得分=(评标基准价／投标报价)×</w:t>
      </w:r>
      <w:r>
        <w:rPr>
          <w:rFonts w:hint="eastAsia" w:ascii="宋体" w:hAnsi="宋体"/>
          <w:b/>
          <w:color w:val="auto"/>
          <w:szCs w:val="21"/>
          <w:highlight w:val="none"/>
          <w:lang w:val="en-US" w:eastAsia="zh-CN"/>
        </w:rPr>
        <w:t>15</w:t>
      </w:r>
    </w:p>
    <w:p>
      <w:pPr>
        <w:pStyle w:val="17"/>
        <w:widowControl/>
        <w:tabs>
          <w:tab w:val="left" w:pos="1506"/>
        </w:tabs>
        <w:adjustRightInd w:val="0"/>
        <w:snapToGrid w:val="0"/>
        <w:spacing w:line="360" w:lineRule="auto"/>
        <w:ind w:firstLine="413" w:firstLineChars="196"/>
        <w:rPr>
          <w:rFonts w:hint="eastAsia" w:ascii="宋体" w:hAnsi="宋体"/>
          <w:b/>
          <w:bCs/>
          <w:color w:val="auto"/>
          <w:sz w:val="21"/>
          <w:szCs w:val="21"/>
          <w:highlight w:val="none"/>
        </w:rPr>
      </w:pPr>
      <w:r>
        <w:rPr>
          <w:rFonts w:hint="eastAsia" w:ascii="宋体" w:hAnsi="宋体"/>
          <w:b/>
          <w:bCs/>
          <w:color w:val="auto"/>
          <w:sz w:val="21"/>
          <w:szCs w:val="21"/>
          <w:highlight w:val="none"/>
        </w:rPr>
        <w:t>2.1.5  技术、商务评价及政府采购政策评分</w:t>
      </w:r>
    </w:p>
    <w:p>
      <w:pPr>
        <w:pStyle w:val="17"/>
        <w:widowControl/>
        <w:tabs>
          <w:tab w:val="left" w:pos="1506"/>
        </w:tabs>
        <w:adjustRightInd w:val="0"/>
        <w:snapToGrid w:val="0"/>
        <w:spacing w:line="360" w:lineRule="auto"/>
        <w:ind w:firstLine="735" w:firstLineChars="350"/>
        <w:rPr>
          <w:rFonts w:hint="eastAsia" w:ascii="宋体" w:hAnsi="宋体"/>
          <w:bCs/>
          <w:color w:val="auto"/>
          <w:sz w:val="21"/>
          <w:szCs w:val="21"/>
          <w:highlight w:val="none"/>
        </w:rPr>
      </w:pPr>
      <w:r>
        <w:rPr>
          <w:rFonts w:hint="eastAsia" w:ascii="宋体" w:hAnsi="宋体"/>
          <w:bCs/>
          <w:color w:val="auto"/>
          <w:sz w:val="21"/>
          <w:szCs w:val="21"/>
          <w:highlight w:val="none"/>
        </w:rPr>
        <w:t>2.1.5.1 按照 “综合评分明细表”规定的评审因素和标准，对技术、商务进行逐项评价并进行赋分。</w:t>
      </w:r>
    </w:p>
    <w:p>
      <w:pPr>
        <w:pStyle w:val="17"/>
        <w:widowControl/>
        <w:tabs>
          <w:tab w:val="left" w:pos="1506"/>
        </w:tabs>
        <w:adjustRightInd w:val="0"/>
        <w:snapToGrid w:val="0"/>
        <w:spacing w:line="360" w:lineRule="auto"/>
        <w:ind w:firstLine="735" w:firstLineChars="350"/>
        <w:rPr>
          <w:rFonts w:hint="eastAsia" w:ascii="宋体" w:hAnsi="宋体"/>
          <w:bCs/>
          <w:color w:val="auto"/>
          <w:sz w:val="21"/>
          <w:szCs w:val="21"/>
          <w:highlight w:val="none"/>
        </w:rPr>
      </w:pPr>
      <w:r>
        <w:rPr>
          <w:rFonts w:hint="eastAsia" w:ascii="宋体" w:hAnsi="宋体"/>
          <w:bCs/>
          <w:color w:val="auto"/>
          <w:sz w:val="21"/>
          <w:szCs w:val="21"/>
          <w:highlight w:val="none"/>
        </w:rPr>
        <w:t>2.1.5.2 如本采购项目（包）含有货物采购的，且投标产品</w:t>
      </w:r>
      <w:r>
        <w:rPr>
          <w:rFonts w:hint="eastAsia" w:ascii="宋体" w:hAnsi="宋体"/>
          <w:color w:val="auto"/>
          <w:sz w:val="21"/>
          <w:szCs w:val="21"/>
          <w:highlight w:val="none"/>
        </w:rPr>
        <w:t>需落实政府采购政策（优先采购）的，对符合第二章第3.4.1条款规定条件的投标人，</w:t>
      </w:r>
      <w:r>
        <w:rPr>
          <w:rFonts w:hint="eastAsia" w:ascii="宋体" w:hAnsi="宋体"/>
          <w:bCs/>
          <w:color w:val="auto"/>
          <w:sz w:val="21"/>
          <w:szCs w:val="21"/>
          <w:highlight w:val="none"/>
        </w:rPr>
        <w:t>按照 “综合评分明细表”的</w:t>
      </w:r>
      <w:r>
        <w:rPr>
          <w:rFonts w:hint="eastAsia" w:ascii="宋体" w:hAnsi="宋体"/>
          <w:color w:val="auto"/>
          <w:sz w:val="21"/>
          <w:szCs w:val="21"/>
          <w:highlight w:val="none"/>
        </w:rPr>
        <w:t>相关标准进行赋分。</w:t>
      </w:r>
    </w:p>
    <w:p>
      <w:pPr>
        <w:pStyle w:val="17"/>
        <w:widowControl/>
        <w:tabs>
          <w:tab w:val="left" w:pos="1506"/>
        </w:tabs>
        <w:adjustRightInd w:val="0"/>
        <w:snapToGrid w:val="0"/>
        <w:spacing w:line="360" w:lineRule="auto"/>
        <w:ind w:firstLine="413" w:firstLineChars="196"/>
        <w:rPr>
          <w:rFonts w:ascii="宋体" w:hAnsi="宋体"/>
          <w:b/>
          <w:bCs/>
          <w:color w:val="auto"/>
          <w:sz w:val="21"/>
          <w:szCs w:val="21"/>
          <w:highlight w:val="none"/>
        </w:rPr>
      </w:pPr>
      <w:r>
        <w:rPr>
          <w:rFonts w:hint="eastAsia" w:ascii="宋体" w:hAnsi="宋体"/>
          <w:b/>
          <w:bCs/>
          <w:color w:val="auto"/>
          <w:sz w:val="21"/>
          <w:szCs w:val="21"/>
          <w:highlight w:val="none"/>
        </w:rPr>
        <w:t>2.1.6  评审总得分</w:t>
      </w:r>
    </w:p>
    <w:p>
      <w:pPr>
        <w:pStyle w:val="17"/>
        <w:widowControl/>
        <w:tabs>
          <w:tab w:val="left" w:pos="1506"/>
        </w:tabs>
        <w:adjustRightInd w:val="0"/>
        <w:snapToGrid w:val="0"/>
        <w:spacing w:line="360" w:lineRule="auto"/>
        <w:ind w:firstLine="735" w:firstLineChars="350"/>
        <w:rPr>
          <w:rFonts w:hint="eastAsia" w:ascii="宋体" w:hAnsi="宋体"/>
          <w:color w:val="auto"/>
          <w:sz w:val="21"/>
          <w:szCs w:val="21"/>
          <w:highlight w:val="none"/>
        </w:rPr>
      </w:pPr>
      <w:r>
        <w:rPr>
          <w:rFonts w:hint="eastAsia" w:ascii="宋体" w:hAnsi="宋体"/>
          <w:bCs/>
          <w:color w:val="auto"/>
          <w:sz w:val="21"/>
          <w:szCs w:val="21"/>
          <w:highlight w:val="none"/>
        </w:rPr>
        <w:t>2.1.6.1评标委员会成员应当独立对每个投标人的投标文件进行评价，并汇总每个投标人的得分，</w:t>
      </w:r>
      <w:r>
        <w:rPr>
          <w:rFonts w:hint="eastAsia" w:ascii="宋体" w:hAnsi="宋体"/>
          <w:color w:val="auto"/>
          <w:sz w:val="21"/>
          <w:szCs w:val="21"/>
          <w:highlight w:val="none"/>
        </w:rPr>
        <w:t>每个投标人的最终得分为所有评标委员会成员评分的算术平均值。</w:t>
      </w:r>
    </w:p>
    <w:p>
      <w:pPr>
        <w:spacing w:line="360" w:lineRule="auto"/>
        <w:ind w:firstLine="1052" w:firstLineChars="499"/>
        <w:rPr>
          <w:rFonts w:hint="eastAsia" w:ascii="宋体" w:hAnsi="宋体"/>
          <w:b/>
          <w:color w:val="auto"/>
          <w:szCs w:val="21"/>
          <w:highlight w:val="none"/>
        </w:rPr>
      </w:pPr>
      <w:r>
        <w:rPr>
          <w:rFonts w:hint="eastAsia" w:ascii="宋体" w:hAnsi="宋体"/>
          <w:b/>
          <w:color w:val="auto"/>
          <w:szCs w:val="21"/>
          <w:highlight w:val="none"/>
        </w:rPr>
        <w:t>评审总得分＝F1＋F2＋……＋Fn</w:t>
      </w:r>
    </w:p>
    <w:p>
      <w:pPr>
        <w:pStyle w:val="17"/>
        <w:widowControl/>
        <w:tabs>
          <w:tab w:val="left" w:pos="1506"/>
        </w:tabs>
        <w:adjustRightInd w:val="0"/>
        <w:snapToGrid w:val="0"/>
        <w:spacing w:line="360" w:lineRule="auto"/>
        <w:ind w:firstLine="1052" w:firstLineChars="499"/>
        <w:rPr>
          <w:rFonts w:hint="eastAsia" w:ascii="宋体" w:hAnsi="宋体"/>
          <w:b/>
          <w:bCs/>
          <w:color w:val="auto"/>
          <w:sz w:val="21"/>
          <w:szCs w:val="21"/>
          <w:highlight w:val="none"/>
        </w:rPr>
      </w:pPr>
      <w:r>
        <w:rPr>
          <w:rFonts w:hint="eastAsia" w:ascii="宋体" w:hAnsi="宋体"/>
          <w:b/>
          <w:bCs/>
          <w:color w:val="auto"/>
          <w:sz w:val="21"/>
          <w:szCs w:val="21"/>
          <w:highlight w:val="none"/>
        </w:rPr>
        <w:t>F1、F2……Fn分别为各项评审因素的汇总得分</w:t>
      </w:r>
    </w:p>
    <w:p>
      <w:pPr>
        <w:tabs>
          <w:tab w:val="left" w:pos="7665"/>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2.1.6.2评标过程中，不得去掉有效投标中的最高报价和最低报价。</w:t>
      </w:r>
    </w:p>
    <w:p>
      <w:pPr>
        <w:tabs>
          <w:tab w:val="left" w:pos="7665"/>
        </w:tabs>
        <w:spacing w:line="360" w:lineRule="auto"/>
        <w:ind w:firstLine="422" w:firstLineChars="200"/>
        <w:rPr>
          <w:rFonts w:hint="eastAsia" w:ascii="宋体"/>
          <w:b/>
          <w:color w:val="auto"/>
          <w:szCs w:val="21"/>
          <w:highlight w:val="none"/>
        </w:rPr>
      </w:pPr>
      <w:r>
        <w:rPr>
          <w:rFonts w:hint="eastAsia" w:ascii="宋体" w:hAnsi="宋体"/>
          <w:b/>
          <w:color w:val="auto"/>
          <w:szCs w:val="21"/>
          <w:highlight w:val="none"/>
        </w:rPr>
        <w:t>2.1.7</w:t>
      </w:r>
      <w:r>
        <w:rPr>
          <w:rFonts w:hint="eastAsia" w:ascii="宋体"/>
          <w:b/>
          <w:color w:val="auto"/>
          <w:szCs w:val="21"/>
          <w:highlight w:val="none"/>
        </w:rPr>
        <w:t>综合评分明细表</w:t>
      </w:r>
    </w:p>
    <w:p>
      <w:pPr>
        <w:tabs>
          <w:tab w:val="left" w:pos="7665"/>
        </w:tabs>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2.1.7.1 综合评分明细表的制定以科学合理、评审因素与量化指标相对应为原则。</w:t>
      </w:r>
    </w:p>
    <w:p>
      <w:pPr>
        <w:tabs>
          <w:tab w:val="left" w:pos="7665"/>
        </w:tabs>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2.1.7.2 综合评分明细表如下：</w:t>
      </w:r>
    </w:p>
    <w:p>
      <w:pPr>
        <w:pStyle w:val="14"/>
        <w:tabs>
          <w:tab w:val="left" w:pos="600"/>
        </w:tabs>
        <w:spacing w:before="240" w:beforeLines="100" w:line="360" w:lineRule="auto"/>
        <w:ind w:firstLine="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综合评分明细表</w:t>
      </w:r>
    </w:p>
    <w:tbl>
      <w:tblPr>
        <w:tblStyle w:val="2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76"/>
        <w:gridCol w:w="531"/>
        <w:gridCol w:w="5909"/>
        <w:gridCol w:w="66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905" w:type="dxa"/>
            <w:noWrap w:val="0"/>
            <w:vAlign w:val="center"/>
          </w:tcPr>
          <w:p>
            <w:pPr>
              <w:pStyle w:val="16"/>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类别</w:t>
            </w:r>
          </w:p>
        </w:tc>
        <w:tc>
          <w:tcPr>
            <w:tcW w:w="776"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总分</w:t>
            </w:r>
          </w:p>
        </w:tc>
        <w:tc>
          <w:tcPr>
            <w:tcW w:w="6440" w:type="dxa"/>
            <w:gridSpan w:val="2"/>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评标因素</w:t>
            </w:r>
          </w:p>
        </w:tc>
        <w:tc>
          <w:tcPr>
            <w:tcW w:w="667"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最高</w:t>
            </w:r>
          </w:p>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得分</w:t>
            </w:r>
          </w:p>
        </w:tc>
        <w:tc>
          <w:tcPr>
            <w:tcW w:w="732"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05" w:type="dxa"/>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报价评审</w:t>
            </w:r>
          </w:p>
        </w:tc>
        <w:tc>
          <w:tcPr>
            <w:tcW w:w="776"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cs="宋体"/>
                <w:b/>
                <w:color w:val="auto"/>
                <w:szCs w:val="24"/>
                <w:highlight w:val="none"/>
                <w:lang w:val="en-US" w:eastAsia="zh-CN"/>
              </w:rPr>
              <w:t>5</w:t>
            </w:r>
            <w:r>
              <w:rPr>
                <w:rFonts w:hint="eastAsia" w:ascii="宋体" w:hAnsi="宋体" w:eastAsia="宋体" w:cs="宋体"/>
                <w:b/>
                <w:color w:val="auto"/>
                <w:szCs w:val="24"/>
                <w:highlight w:val="none"/>
              </w:rPr>
              <w:t>分</w:t>
            </w:r>
          </w:p>
        </w:tc>
        <w:tc>
          <w:tcPr>
            <w:tcW w:w="6440" w:type="dxa"/>
            <w:gridSpan w:val="2"/>
            <w:noWrap w:val="0"/>
            <w:vAlign w:val="center"/>
          </w:tcPr>
          <w:p>
            <w:pPr>
              <w:pStyle w:val="2"/>
              <w:rPr>
                <w:rFonts w:hint="eastAsia"/>
                <w:color w:val="auto"/>
                <w:highlight w:val="none"/>
              </w:rPr>
            </w:pPr>
            <w:r>
              <w:rPr>
                <w:rFonts w:hint="eastAsia" w:ascii="宋体" w:hAnsi="宋体" w:eastAsia="宋体" w:cs="宋体"/>
                <w:color w:val="auto"/>
                <w:sz w:val="21"/>
                <w:szCs w:val="21"/>
                <w:highlight w:val="none"/>
              </w:rPr>
              <w:t>按本章第2</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条款规定进行评审</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w:t>
            </w:r>
          </w:p>
        </w:tc>
        <w:tc>
          <w:tcPr>
            <w:tcW w:w="73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根</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据</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件</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的</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响</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应</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程  度</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按</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差</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别</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计</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05" w:type="dxa"/>
            <w:vMerge w:val="restart"/>
            <w:noWrap w:val="0"/>
            <w:vAlign w:val="center"/>
          </w:tcPr>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cs="宋体"/>
                <w:b/>
                <w:color w:val="auto"/>
                <w:szCs w:val="24"/>
                <w:highlight w:val="none"/>
                <w:lang w:val="en-US" w:eastAsia="zh-CN"/>
              </w:rPr>
            </w:pPr>
            <w:r>
              <w:rPr>
                <w:rFonts w:hint="eastAsia" w:ascii="宋体" w:hAnsi="宋体" w:cs="宋体"/>
                <w:b/>
                <w:color w:val="auto"/>
                <w:szCs w:val="24"/>
                <w:highlight w:val="none"/>
                <w:lang w:val="en-US" w:eastAsia="zh-CN"/>
              </w:rPr>
              <w:t>服务</w:t>
            </w:r>
          </w:p>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b/>
                <w:color w:val="auto"/>
                <w:szCs w:val="24"/>
                <w:highlight w:val="none"/>
                <w:lang w:val="en-US" w:eastAsia="zh-CN"/>
              </w:rPr>
            </w:pPr>
            <w:r>
              <w:rPr>
                <w:rFonts w:hint="eastAsia" w:ascii="宋体" w:hAnsi="宋体" w:cs="宋体"/>
                <w:b/>
                <w:color w:val="auto"/>
                <w:szCs w:val="24"/>
                <w:highlight w:val="none"/>
                <w:lang w:val="en-US" w:eastAsia="zh-CN"/>
              </w:rPr>
              <w:t>方案</w:t>
            </w:r>
          </w:p>
        </w:tc>
        <w:tc>
          <w:tcPr>
            <w:tcW w:w="77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6</w:t>
            </w:r>
            <w:r>
              <w:rPr>
                <w:rFonts w:hint="eastAsia" w:ascii="宋体" w:hAnsi="宋体" w:cs="宋体"/>
                <w:b/>
                <w:bCs/>
                <w:color w:val="auto"/>
                <w:szCs w:val="24"/>
                <w:highlight w:val="none"/>
                <w:lang w:val="en-US" w:eastAsia="zh-CN"/>
              </w:rPr>
              <w:t>5</w:t>
            </w:r>
            <w:r>
              <w:rPr>
                <w:rFonts w:hint="eastAsia" w:ascii="宋体" w:hAnsi="宋体" w:eastAsia="宋体" w:cs="宋体"/>
                <w:b/>
                <w:bCs/>
                <w:color w:val="auto"/>
                <w:szCs w:val="24"/>
                <w:highlight w:val="none"/>
              </w:rPr>
              <w:t>分</w:t>
            </w: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eastAsia="zh-CN"/>
              </w:rPr>
              <w:t>整体保洁服务方案：</w:t>
            </w:r>
            <w:r>
              <w:rPr>
                <w:rFonts w:hint="eastAsia" w:ascii="宋体" w:hAnsi="宋体" w:eastAsia="宋体" w:cs="宋体"/>
                <w:color w:val="auto"/>
                <w:szCs w:val="24"/>
                <w:highlight w:val="none"/>
              </w:rPr>
              <w:t>针对本项目</w:t>
            </w:r>
            <w:r>
              <w:rPr>
                <w:rFonts w:hint="eastAsia" w:ascii="宋体" w:hAnsi="宋体" w:cs="宋体"/>
                <w:color w:val="auto"/>
                <w:szCs w:val="24"/>
                <w:highlight w:val="none"/>
                <w:lang w:eastAsia="zh-CN"/>
              </w:rPr>
              <w:t>整体</w:t>
            </w:r>
            <w:r>
              <w:rPr>
                <w:rFonts w:hint="eastAsia" w:ascii="宋体" w:hAnsi="宋体" w:eastAsia="宋体" w:cs="宋体"/>
                <w:color w:val="auto"/>
                <w:szCs w:val="24"/>
                <w:highlight w:val="none"/>
              </w:rPr>
              <w:t>保洁服务方案，所列服务内容详细、合理、规范，且满足招标文件的要求。方案详细合理，可行性强得</w:t>
            </w:r>
            <w:r>
              <w:rPr>
                <w:rFonts w:hint="eastAsia" w:ascii="宋体" w:hAnsi="宋体" w:cs="宋体"/>
                <w:color w:val="auto"/>
                <w:szCs w:val="24"/>
                <w:highlight w:val="none"/>
                <w:lang w:val="en-US" w:eastAsia="zh-CN"/>
              </w:rPr>
              <w:t>10</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分，方案较详细，可行性较强得</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eastAsia="宋体" w:cs="宋体"/>
                <w:color w:val="auto"/>
                <w:szCs w:val="24"/>
                <w:highlight w:val="none"/>
              </w:rPr>
              <w:t>分，方案混乱，可行性差得0-</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w:t>
            </w:r>
          </w:p>
        </w:tc>
        <w:tc>
          <w:tcPr>
            <w:tcW w:w="7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color w:val="auto"/>
                <w:szCs w:val="24"/>
                <w:highlight w:val="none"/>
              </w:rPr>
            </w:pPr>
          </w:p>
        </w:tc>
        <w:tc>
          <w:tcPr>
            <w:tcW w:w="77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Cs w:val="24"/>
                <w:highlight w:val="none"/>
              </w:rPr>
            </w:pP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eastAsia="zh-CN"/>
              </w:rPr>
              <w:t>人员配备方案：</w:t>
            </w:r>
            <w:r>
              <w:rPr>
                <w:rFonts w:hint="eastAsia" w:ascii="宋体" w:hAnsi="宋体" w:eastAsia="宋体" w:cs="宋体"/>
                <w:color w:val="auto"/>
                <w:szCs w:val="24"/>
                <w:highlight w:val="none"/>
              </w:rPr>
              <w:t>人员配备优于招标文件服务需求、人员休息休假制度、员工社保及福利保障方案、巡查制度、人员绩效考核办法、人员培训方案针对性、可行性强得</w:t>
            </w:r>
            <w:r>
              <w:rPr>
                <w:rFonts w:hint="eastAsia" w:ascii="宋体" w:hAnsi="宋体" w:cs="宋体"/>
                <w:color w:val="auto"/>
                <w:szCs w:val="24"/>
                <w:highlight w:val="none"/>
                <w:lang w:val="en-US" w:eastAsia="zh-CN"/>
              </w:rPr>
              <w:t>10</w:t>
            </w:r>
            <w:r>
              <w:rPr>
                <w:rFonts w:hint="eastAsia" w:ascii="宋体" w:hAnsi="宋体" w:eastAsia="宋体" w:cs="宋体"/>
                <w:color w:val="auto"/>
                <w:szCs w:val="24"/>
                <w:highlight w:val="none"/>
              </w:rPr>
              <w:t>-1</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分；人员配备满足招标文件服务需求，人员休息休假制度、员工社保及福利保障方案、巡查制度、人员绩效考核办法、人员培训方案可行性较强得</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eastAsia="宋体" w:cs="宋体"/>
                <w:color w:val="auto"/>
                <w:szCs w:val="24"/>
                <w:highlight w:val="none"/>
              </w:rPr>
              <w:t>分；人员配备不合理，各项方案可行性差得0-</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w:t>
            </w:r>
          </w:p>
        </w:tc>
        <w:tc>
          <w:tcPr>
            <w:tcW w:w="7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color w:val="auto"/>
                <w:szCs w:val="24"/>
                <w:highlight w:val="none"/>
              </w:rPr>
            </w:pPr>
          </w:p>
        </w:tc>
        <w:tc>
          <w:tcPr>
            <w:tcW w:w="77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Cs w:val="24"/>
                <w:highlight w:val="none"/>
              </w:rPr>
            </w:pP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3</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设施设备配置维护、车辆运行情况优秀无隐患，垃圾清运处置情况以及作业方案的作业方式、时间、频次、程序、垃圾收集方式详细合理，可行性强得</w:t>
            </w:r>
            <w:r>
              <w:rPr>
                <w:rFonts w:hint="eastAsia" w:ascii="宋体" w:hAnsi="宋体" w:cs="宋体"/>
                <w:color w:val="auto"/>
                <w:szCs w:val="24"/>
                <w:highlight w:val="none"/>
                <w:lang w:val="en-US" w:eastAsia="zh-CN"/>
              </w:rPr>
              <w:t>9</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13</w:t>
            </w:r>
            <w:r>
              <w:rPr>
                <w:rFonts w:hint="eastAsia" w:ascii="宋体" w:hAnsi="宋体" w:eastAsia="宋体" w:cs="宋体"/>
                <w:color w:val="auto"/>
                <w:szCs w:val="24"/>
                <w:highlight w:val="none"/>
              </w:rPr>
              <w:t>分；设施设备配置维护、车辆运行情况平稳无异常状况，垃圾清运处置情况以及作业方案的作业方式、时间、频次、程序、垃圾收集方式较详细，可行性较强得</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9</w:t>
            </w:r>
            <w:r>
              <w:rPr>
                <w:rFonts w:hint="eastAsia" w:ascii="宋体" w:hAnsi="宋体" w:eastAsia="宋体" w:cs="宋体"/>
                <w:color w:val="auto"/>
                <w:szCs w:val="24"/>
                <w:highlight w:val="none"/>
              </w:rPr>
              <w:t>分；设施设备配置维护、车辆运行情况较差，垃圾清运处置情况以及作业方案的作业方式、时间、频次、程序、垃圾收集方式较差得0-</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rPr>
              <w:t>分</w:t>
            </w:r>
          </w:p>
        </w:tc>
        <w:tc>
          <w:tcPr>
            <w:tcW w:w="7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color w:val="auto"/>
                <w:szCs w:val="24"/>
                <w:highlight w:val="none"/>
              </w:rPr>
            </w:pPr>
          </w:p>
        </w:tc>
        <w:tc>
          <w:tcPr>
            <w:tcW w:w="77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Cs w:val="24"/>
                <w:highlight w:val="none"/>
              </w:rPr>
            </w:pP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4</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 w:val="22"/>
                <w:szCs w:val="22"/>
                <w:highlight w:val="none"/>
                <w:lang w:val="en-US" w:eastAsia="zh-CN"/>
              </w:rPr>
              <w:t>道路清洁</w:t>
            </w:r>
            <w:r>
              <w:rPr>
                <w:rFonts w:hint="eastAsia" w:ascii="宋体" w:hAnsi="宋体" w:eastAsia="宋体" w:cs="宋体"/>
                <w:color w:val="auto"/>
                <w:sz w:val="22"/>
                <w:szCs w:val="22"/>
                <w:highlight w:val="none"/>
              </w:rPr>
              <w:t>提升方案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Cs w:val="24"/>
                <w:highlight w:val="none"/>
              </w:rPr>
              <w:t>迎检和处理方案、安全保证措施详细合理，针对性、可行性强得</w:t>
            </w:r>
            <w:r>
              <w:rPr>
                <w:rFonts w:hint="eastAsia" w:ascii="宋体" w:hAnsi="宋体" w:cs="宋体"/>
                <w:color w:val="auto"/>
                <w:szCs w:val="24"/>
                <w:highlight w:val="none"/>
                <w:lang w:val="en-US" w:eastAsia="zh-CN"/>
              </w:rPr>
              <w:t>8</w:t>
            </w:r>
            <w:r>
              <w:rPr>
                <w:rFonts w:hint="eastAsia" w:ascii="宋体" w:hAnsi="宋体" w:eastAsia="宋体" w:cs="宋体"/>
                <w:color w:val="auto"/>
                <w:szCs w:val="24"/>
                <w:highlight w:val="none"/>
              </w:rPr>
              <w:t>-1</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rPr>
              <w:t>分；迎检和处理方案、安全保证措施较详细，可行性较强得4-</w:t>
            </w:r>
            <w:r>
              <w:rPr>
                <w:rFonts w:hint="eastAsia" w:ascii="宋体" w:hAnsi="宋体" w:cs="宋体"/>
                <w:color w:val="auto"/>
                <w:szCs w:val="24"/>
                <w:highlight w:val="none"/>
                <w:lang w:val="en-US" w:eastAsia="zh-CN"/>
              </w:rPr>
              <w:t>8</w:t>
            </w:r>
            <w:r>
              <w:rPr>
                <w:rFonts w:hint="eastAsia" w:ascii="宋体" w:hAnsi="宋体" w:eastAsia="宋体" w:cs="宋体"/>
                <w:color w:val="auto"/>
                <w:szCs w:val="24"/>
                <w:highlight w:val="none"/>
              </w:rPr>
              <w:t>分；迎检和处理方案、安全保证措施较差，可行性差得0-4分。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rPr>
              <w:t>分</w:t>
            </w:r>
          </w:p>
        </w:tc>
        <w:tc>
          <w:tcPr>
            <w:tcW w:w="7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color w:val="auto"/>
                <w:szCs w:val="24"/>
                <w:highlight w:val="none"/>
              </w:rPr>
            </w:pPr>
          </w:p>
        </w:tc>
        <w:tc>
          <w:tcPr>
            <w:tcW w:w="77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Cs w:val="24"/>
                <w:highlight w:val="none"/>
              </w:rPr>
            </w:pP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5</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应急预案全面、方案详尽、可操作性强得</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分；应急预案较详细，有一定可行性得</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lang w:val="en-US" w:eastAsia="zh-CN"/>
              </w:rPr>
              <w:t>-</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分；应急预案简略，无可行性得0-</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lang w:val="en-US" w:eastAsia="zh-CN"/>
              </w:rPr>
              <w:t>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w:t>
            </w:r>
          </w:p>
        </w:tc>
        <w:tc>
          <w:tcPr>
            <w:tcW w:w="7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color w:val="auto"/>
                <w:szCs w:val="24"/>
                <w:highlight w:val="none"/>
              </w:rPr>
            </w:pPr>
          </w:p>
        </w:tc>
        <w:tc>
          <w:tcPr>
            <w:tcW w:w="77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Cs w:val="24"/>
                <w:highlight w:val="none"/>
              </w:rPr>
            </w:pP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6</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合同交接过渡期（含合同始、止两个交接期）及合同期内配合业主工作的方案；方案合理可行性强得</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分，方案较合理，有一定可行性得</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分，方案混乱无实质内容得0-</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w:t>
            </w:r>
          </w:p>
        </w:tc>
        <w:tc>
          <w:tcPr>
            <w:tcW w:w="732"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履约能力及服务承诺</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4"/>
                <w:highlight w:val="none"/>
              </w:rPr>
            </w:pPr>
          </w:p>
        </w:tc>
        <w:tc>
          <w:tcPr>
            <w:tcW w:w="77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2</w:t>
            </w:r>
            <w:r>
              <w:rPr>
                <w:rFonts w:hint="eastAsia" w:ascii="宋体" w:hAnsi="宋体" w:cs="宋体"/>
                <w:b/>
                <w:bCs/>
                <w:color w:val="auto"/>
                <w:szCs w:val="24"/>
                <w:highlight w:val="none"/>
                <w:lang w:val="en-US" w:eastAsia="zh-CN"/>
              </w:rPr>
              <w:t>0</w:t>
            </w:r>
            <w:r>
              <w:rPr>
                <w:rFonts w:hint="eastAsia" w:ascii="宋体" w:hAnsi="宋体" w:eastAsia="宋体" w:cs="宋体"/>
                <w:b/>
                <w:bCs/>
                <w:color w:val="auto"/>
                <w:szCs w:val="24"/>
                <w:highlight w:val="none"/>
              </w:rPr>
              <w:t>分</w:t>
            </w: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1</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供应商20</w:t>
            </w:r>
            <w:r>
              <w:rPr>
                <w:rFonts w:hint="eastAsia" w:ascii="宋体" w:hAnsi="宋体" w:cs="宋体"/>
                <w:color w:val="auto"/>
                <w:szCs w:val="24"/>
                <w:highlight w:val="none"/>
                <w:lang w:val="en-US" w:eastAsia="zh-CN"/>
              </w:rPr>
              <w:t>20</w:t>
            </w:r>
            <w:r>
              <w:rPr>
                <w:rFonts w:hint="eastAsia" w:ascii="宋体" w:hAnsi="宋体" w:eastAsia="宋体" w:cs="宋体"/>
                <w:color w:val="auto"/>
                <w:szCs w:val="24"/>
                <w:highlight w:val="none"/>
              </w:rPr>
              <w:t>年至今</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以合同签订时间为准</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类似</w:t>
            </w:r>
            <w:r>
              <w:rPr>
                <w:rFonts w:hint="eastAsia" w:ascii="宋体" w:hAnsi="宋体" w:eastAsia="宋体" w:cs="宋体"/>
                <w:color w:val="auto"/>
                <w:szCs w:val="24"/>
                <w:highlight w:val="none"/>
                <w:lang w:eastAsia="zh-CN"/>
              </w:rPr>
              <w:t>项目</w:t>
            </w:r>
            <w:r>
              <w:rPr>
                <w:rFonts w:hint="eastAsia" w:ascii="宋体" w:hAnsi="宋体" w:eastAsia="宋体" w:cs="宋体"/>
                <w:color w:val="auto"/>
                <w:szCs w:val="24"/>
                <w:highlight w:val="none"/>
              </w:rPr>
              <w:t>业绩，每提供1份得</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分，最高得</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分；</w:t>
            </w:r>
          </w:p>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业绩证明</w:t>
            </w:r>
            <w:r>
              <w:rPr>
                <w:rFonts w:hint="eastAsia" w:ascii="宋体" w:hAnsi="宋体" w:cs="宋体"/>
                <w:color w:val="auto"/>
                <w:szCs w:val="24"/>
                <w:highlight w:val="none"/>
                <w:lang w:val="en-US" w:eastAsia="zh-CN"/>
              </w:rPr>
              <w:t>文件</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提供</w:t>
            </w:r>
            <w:r>
              <w:rPr>
                <w:rFonts w:hint="eastAsia" w:ascii="宋体" w:hAnsi="宋体" w:eastAsia="宋体" w:cs="宋体"/>
                <w:color w:val="auto"/>
                <w:szCs w:val="24"/>
                <w:highlight w:val="none"/>
              </w:rPr>
              <w:t>合同</w:t>
            </w:r>
            <w:r>
              <w:rPr>
                <w:rFonts w:hint="eastAsia" w:ascii="宋体" w:hAnsi="宋体" w:cs="宋体"/>
                <w:color w:val="auto"/>
                <w:szCs w:val="24"/>
                <w:highlight w:val="none"/>
                <w:lang w:val="en-US" w:eastAsia="zh-CN"/>
              </w:rPr>
              <w:t>及</w:t>
            </w:r>
            <w:r>
              <w:rPr>
                <w:rFonts w:hint="eastAsia" w:ascii="宋体" w:hAnsi="宋体" w:eastAsia="宋体" w:cs="宋体"/>
                <w:color w:val="auto"/>
                <w:szCs w:val="24"/>
                <w:highlight w:val="none"/>
              </w:rPr>
              <w:t>中标通知书扫描件加盖单位公章</w:t>
            </w:r>
            <w:r>
              <w:rPr>
                <w:rFonts w:hint="eastAsia" w:ascii="宋体" w:hAnsi="宋体" w:cs="宋体"/>
                <w:color w:val="auto"/>
                <w:szCs w:val="24"/>
                <w:highlight w:val="none"/>
                <w:lang w:val="en-US" w:eastAsia="zh-CN"/>
              </w:rPr>
              <w:t>装订于投标文件中</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分</w:t>
            </w:r>
          </w:p>
        </w:tc>
        <w:tc>
          <w:tcPr>
            <w:tcW w:w="7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color w:val="auto"/>
                <w:szCs w:val="24"/>
                <w:highlight w:val="none"/>
              </w:rPr>
            </w:pPr>
          </w:p>
        </w:tc>
        <w:tc>
          <w:tcPr>
            <w:tcW w:w="77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bCs/>
                <w:color w:val="auto"/>
                <w:szCs w:val="24"/>
                <w:highlight w:val="none"/>
              </w:rPr>
            </w:pP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2</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供应商</w:t>
            </w:r>
            <w:r>
              <w:rPr>
                <w:rFonts w:hint="eastAsia" w:ascii="宋体" w:hAnsi="宋体" w:cs="宋体"/>
                <w:color w:val="auto"/>
                <w:szCs w:val="24"/>
                <w:highlight w:val="none"/>
                <w:lang w:val="en-US" w:eastAsia="zh-CN"/>
              </w:rPr>
              <w:t>针对</w:t>
            </w:r>
            <w:r>
              <w:rPr>
                <w:rFonts w:hint="eastAsia" w:ascii="宋体" w:hAnsi="宋体" w:eastAsia="宋体" w:cs="宋体"/>
                <w:color w:val="auto"/>
                <w:szCs w:val="24"/>
                <w:highlight w:val="none"/>
              </w:rPr>
              <w:t>本项目</w:t>
            </w:r>
            <w:r>
              <w:rPr>
                <w:rFonts w:hint="eastAsia" w:ascii="宋体" w:hAnsi="宋体" w:cs="宋体"/>
                <w:color w:val="auto"/>
                <w:szCs w:val="24"/>
                <w:highlight w:val="none"/>
                <w:lang w:val="en-US" w:eastAsia="zh-CN"/>
              </w:rPr>
              <w:t>的</w:t>
            </w:r>
            <w:r>
              <w:rPr>
                <w:rFonts w:hint="eastAsia" w:ascii="宋体" w:hAnsi="宋体" w:eastAsia="宋体" w:cs="宋体"/>
                <w:color w:val="auto"/>
                <w:szCs w:val="24"/>
                <w:highlight w:val="none"/>
              </w:rPr>
              <w:t>服务</w:t>
            </w:r>
            <w:r>
              <w:rPr>
                <w:rFonts w:hint="eastAsia" w:ascii="宋体" w:hAnsi="宋体" w:cs="宋体"/>
                <w:color w:val="auto"/>
                <w:szCs w:val="24"/>
                <w:highlight w:val="none"/>
                <w:lang w:val="en-US" w:eastAsia="zh-CN"/>
              </w:rPr>
              <w:t>质量保障</w:t>
            </w:r>
            <w:r>
              <w:rPr>
                <w:rFonts w:hint="eastAsia" w:ascii="宋体" w:hAnsi="宋体" w:eastAsia="宋体" w:cs="宋体"/>
                <w:color w:val="auto"/>
                <w:szCs w:val="24"/>
                <w:highlight w:val="none"/>
              </w:rPr>
              <w:t>承诺</w:t>
            </w:r>
            <w:r>
              <w:rPr>
                <w:rFonts w:hint="eastAsia" w:ascii="宋体" w:hAnsi="宋体" w:cs="宋体"/>
                <w:color w:val="auto"/>
                <w:szCs w:val="24"/>
                <w:highlight w:val="none"/>
                <w:lang w:val="en-US" w:eastAsia="zh-CN"/>
              </w:rPr>
              <w:t>及相关实施措施</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内容完整、</w:t>
            </w:r>
            <w:r>
              <w:rPr>
                <w:rFonts w:hint="eastAsia" w:ascii="宋体" w:hAnsi="宋体" w:eastAsia="宋体" w:cs="宋体"/>
                <w:color w:val="auto"/>
                <w:szCs w:val="24"/>
                <w:highlight w:val="none"/>
              </w:rPr>
              <w:t>合理可行</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针对性强得</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6</w:t>
            </w:r>
            <w:r>
              <w:rPr>
                <w:rFonts w:hint="eastAsia" w:ascii="宋体" w:hAnsi="宋体" w:eastAsia="宋体" w:cs="宋体"/>
                <w:color w:val="auto"/>
                <w:szCs w:val="24"/>
                <w:highlight w:val="none"/>
              </w:rPr>
              <w:t>分；服务质量标准较合理，</w:t>
            </w:r>
            <w:r>
              <w:rPr>
                <w:rFonts w:hint="eastAsia" w:ascii="宋体" w:hAnsi="宋体" w:cs="宋体"/>
                <w:color w:val="auto"/>
                <w:szCs w:val="24"/>
                <w:highlight w:val="none"/>
                <w:lang w:val="en-US" w:eastAsia="zh-CN"/>
              </w:rPr>
              <w:t>具有针对性得2</w:t>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rPr>
              <w:t>分</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内容较少，针对性较弱得0-2分。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6</w:t>
            </w:r>
            <w:r>
              <w:rPr>
                <w:rFonts w:hint="eastAsia" w:ascii="宋体" w:hAnsi="宋体" w:eastAsia="宋体" w:cs="宋体"/>
                <w:color w:val="auto"/>
                <w:szCs w:val="24"/>
                <w:highlight w:val="none"/>
              </w:rPr>
              <w:t>分</w:t>
            </w:r>
          </w:p>
        </w:tc>
        <w:tc>
          <w:tcPr>
            <w:tcW w:w="7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color w:val="auto"/>
                <w:szCs w:val="24"/>
                <w:highlight w:val="none"/>
              </w:rPr>
            </w:pPr>
          </w:p>
        </w:tc>
        <w:tc>
          <w:tcPr>
            <w:tcW w:w="77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bCs/>
                <w:color w:val="auto"/>
                <w:szCs w:val="24"/>
                <w:highlight w:val="none"/>
              </w:rPr>
            </w:pP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3</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用工渠道保障</w:t>
            </w:r>
            <w:r>
              <w:rPr>
                <w:rFonts w:hint="eastAsia" w:ascii="宋体" w:hAnsi="宋体" w:eastAsia="宋体" w:cs="宋体"/>
                <w:color w:val="auto"/>
                <w:szCs w:val="24"/>
                <w:highlight w:val="none"/>
                <w:lang w:val="en-US" w:eastAsia="zh-CN"/>
              </w:rPr>
              <w:t>方案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信息化的管理手段</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管理制度详细合理，针对性、可行性强得</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分，较为</w:t>
            </w:r>
            <w:r>
              <w:rPr>
                <w:rFonts w:hint="eastAsia" w:ascii="宋体" w:hAnsi="宋体" w:eastAsia="宋体" w:cs="宋体"/>
                <w:color w:val="auto"/>
                <w:szCs w:val="24"/>
                <w:highlight w:val="none"/>
              </w:rPr>
              <w:t>详细合理，针对性、可行性</w:t>
            </w:r>
            <w:r>
              <w:rPr>
                <w:rFonts w:hint="eastAsia" w:ascii="宋体" w:hAnsi="宋体" w:eastAsia="宋体" w:cs="宋体"/>
                <w:color w:val="auto"/>
                <w:szCs w:val="24"/>
                <w:highlight w:val="none"/>
                <w:lang w:val="en-US" w:eastAsia="zh-CN"/>
              </w:rPr>
              <w:t>较</w:t>
            </w:r>
            <w:r>
              <w:rPr>
                <w:rFonts w:hint="eastAsia" w:ascii="宋体" w:hAnsi="宋体" w:eastAsia="宋体" w:cs="宋体"/>
                <w:color w:val="auto"/>
                <w:szCs w:val="24"/>
                <w:highlight w:val="none"/>
              </w:rPr>
              <w:t>强得</w:t>
            </w:r>
            <w:r>
              <w:rPr>
                <w:rFonts w:hint="eastAsia" w:ascii="宋体" w:hAnsi="宋体" w:eastAsia="宋体" w:cs="宋体"/>
                <w:color w:val="auto"/>
                <w:szCs w:val="24"/>
                <w:highlight w:val="none"/>
                <w:lang w:val="en-US" w:eastAsia="zh-CN"/>
              </w:rPr>
              <w:t>2-</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分，差得0-2分。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rPr>
              <w:t>分</w:t>
            </w:r>
          </w:p>
        </w:tc>
        <w:tc>
          <w:tcPr>
            <w:tcW w:w="7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color w:val="auto"/>
                <w:szCs w:val="24"/>
                <w:highlight w:val="none"/>
              </w:rPr>
            </w:pPr>
          </w:p>
        </w:tc>
        <w:tc>
          <w:tcPr>
            <w:tcW w:w="77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bCs/>
                <w:color w:val="auto"/>
                <w:szCs w:val="24"/>
                <w:highlight w:val="none"/>
              </w:rPr>
            </w:pPr>
          </w:p>
        </w:tc>
        <w:tc>
          <w:tcPr>
            <w:tcW w:w="531"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4</w:t>
            </w:r>
          </w:p>
        </w:tc>
        <w:tc>
          <w:tcPr>
            <w:tcW w:w="5909" w:type="dxa"/>
            <w:noWrap w:val="0"/>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人员服装、工具及耗材等配置</w:t>
            </w:r>
            <w:r>
              <w:rPr>
                <w:rFonts w:hint="eastAsia" w:ascii="宋体" w:hAnsi="宋体" w:eastAsia="宋体" w:cs="宋体"/>
                <w:color w:val="auto"/>
                <w:szCs w:val="24"/>
                <w:highlight w:val="none"/>
                <w:lang w:eastAsia="zh-CN"/>
              </w:rPr>
              <w:t>合理齐全得</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人员服装、工具及耗材等</w:t>
            </w:r>
            <w:r>
              <w:rPr>
                <w:rFonts w:hint="eastAsia" w:ascii="宋体" w:hAnsi="宋体" w:eastAsia="宋体" w:cs="宋体"/>
                <w:color w:val="auto"/>
                <w:szCs w:val="24"/>
                <w:highlight w:val="none"/>
                <w:lang w:eastAsia="zh-CN"/>
              </w:rPr>
              <w:t>配置较合理，准备较齐全得</w:t>
            </w:r>
            <w:r>
              <w:rPr>
                <w:rFonts w:hint="eastAsia" w:ascii="宋体" w:hAnsi="宋体" w:eastAsia="宋体" w:cs="宋体"/>
                <w:color w:val="auto"/>
                <w:szCs w:val="24"/>
                <w:highlight w:val="none"/>
                <w:lang w:val="en-US" w:eastAsia="zh-CN"/>
              </w:rPr>
              <w:t>2-</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分，</w:t>
            </w:r>
            <w:r>
              <w:rPr>
                <w:rFonts w:hint="eastAsia" w:ascii="宋体" w:hAnsi="宋体" w:eastAsia="宋体" w:cs="宋体"/>
                <w:color w:val="auto"/>
                <w:szCs w:val="24"/>
                <w:highlight w:val="none"/>
              </w:rPr>
              <w:t>人员服装、工具及耗材等</w:t>
            </w:r>
            <w:r>
              <w:rPr>
                <w:rFonts w:hint="eastAsia" w:ascii="宋体" w:hAnsi="宋体" w:eastAsia="宋体" w:cs="宋体"/>
                <w:color w:val="auto"/>
                <w:szCs w:val="24"/>
                <w:highlight w:val="none"/>
                <w:lang w:eastAsia="zh-CN"/>
              </w:rPr>
              <w:t>配置差得</w:t>
            </w:r>
            <w:r>
              <w:rPr>
                <w:rFonts w:hint="eastAsia" w:ascii="宋体" w:hAnsi="宋体" w:eastAsia="宋体" w:cs="宋体"/>
                <w:color w:val="auto"/>
                <w:szCs w:val="24"/>
                <w:highlight w:val="none"/>
                <w:lang w:val="en-US" w:eastAsia="zh-CN"/>
              </w:rPr>
              <w:t>0-2分。</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分</w:t>
            </w:r>
          </w:p>
        </w:tc>
        <w:tc>
          <w:tcPr>
            <w:tcW w:w="73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905"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c>
          <w:tcPr>
            <w:tcW w:w="8615" w:type="dxa"/>
            <w:gridSpan w:val="5"/>
            <w:tcBorders>
              <w:top w:val="single" w:color="auto" w:sz="4" w:space="0"/>
              <w:bottom w:val="single" w:color="auto" w:sz="4" w:space="0"/>
            </w:tcBorders>
            <w:noWrap w:val="0"/>
            <w:vAlign w:val="top"/>
          </w:tcPr>
          <w:p>
            <w:pPr>
              <w:keepNext w:val="0"/>
              <w:keepLines w:val="0"/>
              <w:pageBreakBefore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各评委应按照本评标方法独立打分。</w:t>
            </w:r>
          </w:p>
          <w:p>
            <w:pPr>
              <w:keepNext w:val="0"/>
              <w:keepLines w:val="0"/>
              <w:pageBreakBefore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分项评分超出评分标准范围或评标委员会成员对客观评审因素评分不一致时，采购代理机构可以要求评标委员会复核或者书面说明理由，评标委员会拒绝的，应予记录并向本级财政部门报告。</w:t>
            </w:r>
          </w:p>
          <w:p>
            <w:pPr>
              <w:keepNext w:val="0"/>
              <w:keepLines w:val="0"/>
              <w:pageBreakBefore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若出现综合得分并列时，比较价格得分，此分项得分高者排序在前；若价格得分仍相同，比较技术得分，此分项得分高者排序在前；若技术得分仍相同，则由全体评标委员会成员无记名投票，得票高者排序在前。</w:t>
            </w:r>
          </w:p>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 xml:space="preserve">、评标过程中，若出现特殊情况时，由评标委员会决定暂停评标，并提出具体处理意见。 </w:t>
            </w:r>
          </w:p>
        </w:tc>
      </w:tr>
    </w:tbl>
    <w:p>
      <w:pPr>
        <w:widowControl/>
        <w:autoSpaceDE w:val="0"/>
        <w:autoSpaceDN w:val="0"/>
        <w:spacing w:before="360" w:beforeLines="150" w:after="120" w:afterLines="50" w:line="360" w:lineRule="auto"/>
        <w:ind w:right="51"/>
        <w:textAlignment w:val="bottom"/>
        <w:rPr>
          <w:rFonts w:hint="eastAsia" w:ascii="宋体" w:hAnsi="宋体"/>
          <w:b/>
          <w:color w:val="auto"/>
          <w:sz w:val="30"/>
          <w:szCs w:val="30"/>
          <w:highlight w:val="none"/>
        </w:rPr>
      </w:pPr>
      <w:r>
        <w:rPr>
          <w:rFonts w:hint="eastAsia" w:ascii="宋体" w:hAnsi="宋体"/>
          <w:b/>
          <w:color w:val="auto"/>
          <w:sz w:val="30"/>
          <w:szCs w:val="30"/>
          <w:highlight w:val="none"/>
        </w:rPr>
        <w:t>2.</w:t>
      </w:r>
      <w:r>
        <w:rPr>
          <w:rFonts w:hint="eastAsia" w:ascii="宋体" w:hAnsi="宋体"/>
          <w:b/>
          <w:color w:val="auto"/>
          <w:sz w:val="30"/>
          <w:szCs w:val="30"/>
          <w:highlight w:val="none"/>
          <w:lang w:val="en-US" w:eastAsia="zh-CN"/>
        </w:rPr>
        <w:t>2</w:t>
      </w:r>
      <w:r>
        <w:rPr>
          <w:rFonts w:hint="eastAsia" w:ascii="宋体" w:hAnsi="宋体"/>
          <w:b/>
          <w:color w:val="auto"/>
          <w:sz w:val="30"/>
          <w:szCs w:val="30"/>
          <w:highlight w:val="none"/>
        </w:rPr>
        <w:t xml:space="preserve"> 特殊情况的处理</w:t>
      </w:r>
    </w:p>
    <w:p>
      <w:pPr>
        <w:widowControl/>
        <w:autoSpaceDE w:val="0"/>
        <w:autoSpaceDN w:val="0"/>
        <w:spacing w:line="360" w:lineRule="auto"/>
        <w:ind w:right="53"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.1 投标文件中如果出现计算错误，可按以下原则进行修正：</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（1）投标文件中的大写金额与小写金额不一致的，以大写金额为准；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（2）投标文件中的总价金额与按单价计算的汇总金额不一致的，以单价计算的汇总金额为准；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（3）投标文件中的单价金额有明显小数点错误的，以总价为准，并修改单价；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（4）投标文件中有关分项表内容与“开标一览表”不一致的，以“开标一览表”为准；</w:t>
      </w:r>
    </w:p>
    <w:p>
      <w:pPr>
        <w:pStyle w:val="23"/>
        <w:ind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（5）投标文件中图表与文字表述不一致的，以文字表述为准；</w:t>
      </w:r>
    </w:p>
    <w:p>
      <w:pPr>
        <w:widowControl/>
        <w:autoSpaceDE w:val="0"/>
        <w:autoSpaceDN w:val="0"/>
        <w:spacing w:line="360" w:lineRule="auto"/>
        <w:ind w:right="53"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（6）投标文件正本与副本不一致的，以正本为准；</w:t>
      </w:r>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（7）对不同文字文本投标文件的解释发生异议的，以中文文本为准。</w:t>
      </w:r>
    </w:p>
    <w:p>
      <w:pPr>
        <w:widowControl/>
        <w:autoSpaceDE w:val="0"/>
        <w:autoSpaceDN w:val="0"/>
        <w:spacing w:line="360" w:lineRule="auto"/>
        <w:ind w:right="51" w:firstLine="422" w:firstLineChars="200"/>
        <w:textAlignment w:val="bottom"/>
        <w:rPr>
          <w:rFonts w:hint="eastAsia" w:ascii="宋体" w:hAnsi="宋体"/>
          <w:b/>
          <w:color w:val="auto"/>
          <w:szCs w:val="21"/>
          <w:highlight w:val="none"/>
        </w:rPr>
      </w:pPr>
      <w:r>
        <w:rPr>
          <w:rFonts w:hint="eastAsia" w:ascii="宋体" w:hAnsi="宋体"/>
          <w:b/>
          <w:color w:val="auto"/>
          <w:szCs w:val="21"/>
          <w:highlight w:val="none"/>
        </w:rPr>
        <w:t>按上述修正错误的方法调整的投标报价应对投标人具有约束力。如果投标人不接受修正后的价格，其投标将被拒绝。</w:t>
      </w:r>
    </w:p>
    <w:p>
      <w:pPr>
        <w:adjustRightInd w:val="0"/>
        <w:snapToGrid w:val="0"/>
        <w:spacing w:line="360" w:lineRule="auto"/>
        <w:ind w:firstLine="420" w:firstLineChars="200"/>
        <w:rPr>
          <w:rFonts w:hint="eastAsia" w:ascii="宋体" w:hAnsi="宋体" w:cs="宋体"/>
          <w:b/>
          <w:color w:val="auto"/>
          <w:kern w:val="0"/>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.2</w:t>
      </w:r>
      <w:r>
        <w:rPr>
          <w:rFonts w:hint="eastAsia" w:ascii="宋体" w:hAnsi="宋体" w:cs="宋体"/>
          <w:b/>
          <w:color w:val="auto"/>
          <w:kern w:val="0"/>
          <w:szCs w:val="21"/>
          <w:highlight w:val="none"/>
        </w:rPr>
        <w:t>报价异常处理</w:t>
      </w:r>
    </w:p>
    <w:p>
      <w:pPr>
        <w:widowControl/>
        <w:tabs>
          <w:tab w:val="left" w:pos="709"/>
        </w:tabs>
        <w:autoSpaceDE w:val="0"/>
        <w:autoSpaceDN w:val="0"/>
        <w:spacing w:line="360" w:lineRule="auto"/>
        <w:ind w:right="53" w:firstLine="420" w:firstLineChars="200"/>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.2.1 评标委员会认为投标人的报价明显低于其他通过符合性审查投标人的报价，有可能影响产品质量或者不能诚信履约的，应当要求其在评标现场合理的时间内提供书面说明，</w:t>
      </w:r>
      <w:r>
        <w:rPr>
          <w:rFonts w:hint="eastAsia" w:ascii="宋体" w:hAnsi="宋体" w:cs="宋体"/>
          <w:b/>
          <w:color w:val="auto"/>
          <w:kern w:val="0"/>
          <w:szCs w:val="21"/>
          <w:highlight w:val="none"/>
        </w:rPr>
        <w:t>必要时</w:t>
      </w:r>
      <w:r>
        <w:rPr>
          <w:rFonts w:hint="eastAsia" w:ascii="宋体" w:hAnsi="宋体" w:cs="宋体"/>
          <w:color w:val="auto"/>
          <w:kern w:val="0"/>
          <w:szCs w:val="21"/>
          <w:highlight w:val="none"/>
        </w:rPr>
        <w:t xml:space="preserve">提交相关证明材料。 </w:t>
      </w:r>
    </w:p>
    <w:p>
      <w:pPr>
        <w:widowControl/>
        <w:autoSpaceDE w:val="0"/>
        <w:autoSpaceDN w:val="0"/>
        <w:spacing w:line="360" w:lineRule="auto"/>
        <w:ind w:right="53" w:firstLine="735" w:firstLineChars="350"/>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.2.2 投标人证明其能够诚信履约并承诺中标后提供招标文件规定以外的履约担保的，可以继续参加评审，否则评标委员会应当将其作为无效投标处理。</w:t>
      </w:r>
    </w:p>
    <w:p>
      <w:pPr>
        <w:widowControl/>
        <w:autoSpaceDE w:val="0"/>
        <w:autoSpaceDN w:val="0"/>
        <w:spacing w:line="360" w:lineRule="auto"/>
        <w:ind w:right="53"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.3 评标过程中，各种数值的计算结果，均保留两位小数，第三位“四舍五入”，但计算百分数时应精确到千分位，万分位“四舍五入”。</w:t>
      </w:r>
    </w:p>
    <w:p>
      <w:pPr>
        <w:widowControl/>
        <w:autoSpaceDE w:val="0"/>
        <w:autoSpaceDN w:val="0"/>
        <w:spacing w:line="360" w:lineRule="auto"/>
        <w:ind w:right="53" w:firstLine="420" w:firstLineChars="200"/>
        <w:textAlignment w:val="bottom"/>
        <w:rPr>
          <w:rFonts w:hint="eastAsia" w:ascii="宋体" w:hAnsi="宋体"/>
          <w:color w:val="auto"/>
          <w:szCs w:val="21"/>
          <w:highlight w:val="none"/>
        </w:rPr>
      </w:pPr>
      <w:r>
        <w:rPr>
          <w:rFonts w:hint="eastAsia" w:ascii="宋体" w:hAnsi="宋体" w:cs="宋体"/>
          <w:color w:val="auto"/>
          <w:kern w:val="0"/>
          <w:szCs w:val="21"/>
          <w:highlight w:val="none"/>
        </w:rPr>
        <w:t>采购综合评分法的，</w:t>
      </w:r>
      <w:r>
        <w:rPr>
          <w:rFonts w:hint="eastAsia" w:ascii="宋体" w:hAnsi="宋体"/>
          <w:color w:val="auto"/>
          <w:szCs w:val="21"/>
          <w:highlight w:val="none"/>
        </w:rPr>
        <w:t>评标委员会成员打分超过得分界限或未按本办法赋分时，该评标委员会成员的打分，按废票处理。</w:t>
      </w:r>
    </w:p>
    <w:p>
      <w:pPr>
        <w:pStyle w:val="47"/>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val="en-US" w:eastAsia="zh-CN"/>
        </w:rPr>
        <w:t>2</w:t>
      </w:r>
      <w:r>
        <w:rPr>
          <w:rFonts w:hint="eastAsia" w:hAnsi="宋体"/>
          <w:color w:val="auto"/>
          <w:sz w:val="21"/>
          <w:szCs w:val="21"/>
          <w:highlight w:val="none"/>
        </w:rPr>
        <w:t>.4 评标过程中，若出现本评标办法以外的特殊情况时，将暂停评标，待评委会商榷后，再进行评定。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.5 </w:t>
      </w:r>
      <w:r>
        <w:rPr>
          <w:rFonts w:ascii="宋体" w:hAnsi="宋体"/>
          <w:color w:val="auto"/>
          <w:szCs w:val="21"/>
          <w:highlight w:val="none"/>
        </w:rPr>
        <w:t>评标报告签署后，采购人或者采购代理机构发现存在</w:t>
      </w:r>
      <w:r>
        <w:rPr>
          <w:rFonts w:hint="eastAsia" w:ascii="宋体" w:hAnsi="宋体"/>
          <w:color w:val="auto"/>
          <w:szCs w:val="21"/>
          <w:highlight w:val="none"/>
        </w:rPr>
        <w:t>本章第1.5.2条款</w:t>
      </w:r>
      <w:r>
        <w:rPr>
          <w:rFonts w:ascii="宋体" w:hAnsi="宋体"/>
          <w:color w:val="auto"/>
          <w:szCs w:val="21"/>
          <w:highlight w:val="none"/>
        </w:rPr>
        <w:t>情形之一的，应当组织原评标委员会进行重新评审，重新评审改变中标结果的，书面报</w:t>
      </w:r>
      <w:r>
        <w:rPr>
          <w:rFonts w:hint="eastAsia" w:ascii="宋体" w:hAnsi="宋体"/>
          <w:color w:val="auto"/>
          <w:szCs w:val="21"/>
          <w:highlight w:val="none"/>
        </w:rPr>
        <w:t>告</w:t>
      </w:r>
      <w:r>
        <w:rPr>
          <w:rFonts w:ascii="宋体" w:hAnsi="宋体"/>
          <w:color w:val="auto"/>
          <w:szCs w:val="21"/>
          <w:highlight w:val="none"/>
        </w:rPr>
        <w:t>本级财政部门。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对本</w:t>
      </w:r>
      <w:r>
        <w:rPr>
          <w:rFonts w:hint="eastAsia" w:ascii="宋体" w:hAnsi="宋体"/>
          <w:color w:val="auto"/>
          <w:szCs w:val="21"/>
          <w:highlight w:val="none"/>
        </w:rPr>
        <w:t>章第1.5.2</w:t>
      </w:r>
      <w:r>
        <w:rPr>
          <w:rFonts w:ascii="宋体" w:hAnsi="宋体"/>
          <w:color w:val="auto"/>
          <w:szCs w:val="21"/>
          <w:highlight w:val="none"/>
        </w:rPr>
        <w:t>条</w:t>
      </w:r>
      <w:r>
        <w:rPr>
          <w:rFonts w:hint="eastAsia" w:ascii="宋体" w:hAnsi="宋体"/>
          <w:color w:val="auto"/>
          <w:szCs w:val="21"/>
          <w:highlight w:val="none"/>
        </w:rPr>
        <w:t>（1）</w:t>
      </w:r>
      <w:r>
        <w:rPr>
          <w:rFonts w:ascii="宋体" w:hAnsi="宋体"/>
          <w:color w:val="auto"/>
          <w:szCs w:val="21"/>
          <w:highlight w:val="none"/>
        </w:rPr>
        <w:t>情形提出质疑的，采购代理机构应当组织原评标委员会进行重新评审，重新评审改变中标结果的，应当</w:t>
      </w:r>
      <w:r>
        <w:rPr>
          <w:rFonts w:hint="eastAsia" w:ascii="宋体" w:hAnsi="宋体"/>
          <w:color w:val="auto"/>
          <w:szCs w:val="21"/>
          <w:highlight w:val="none"/>
        </w:rPr>
        <w:t>书面</w:t>
      </w:r>
      <w:r>
        <w:rPr>
          <w:rFonts w:ascii="宋体" w:hAnsi="宋体"/>
          <w:color w:val="auto"/>
          <w:szCs w:val="21"/>
          <w:highlight w:val="none"/>
        </w:rPr>
        <w:t>报</w:t>
      </w:r>
      <w:r>
        <w:rPr>
          <w:rFonts w:hint="eastAsia" w:ascii="宋体" w:hAnsi="宋体"/>
          <w:color w:val="auto"/>
          <w:szCs w:val="21"/>
          <w:highlight w:val="none"/>
        </w:rPr>
        <w:t>告</w:t>
      </w:r>
      <w:r>
        <w:rPr>
          <w:rFonts w:ascii="宋体" w:hAnsi="宋体"/>
          <w:color w:val="auto"/>
          <w:szCs w:val="21"/>
          <w:highlight w:val="none"/>
        </w:rPr>
        <w:t>本级财政部门。</w:t>
      </w:r>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.6评标过程中，若出现合格投标人只有2家时，采购人可以选择以下任意一种方式：</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（1）本次招标按废标处理；</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（2）按照《政府采购货物和服务招标投标管理办法》（财政部令第87号）第43条规定，改作竞争性谈判采购方式，继续采购活动。</w:t>
      </w:r>
    </w:p>
    <w:p>
      <w:pPr>
        <w:pStyle w:val="6"/>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.7 采购人若选择竞争性谈判采购方式继续采购活动时，应当按下列程序进行：</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（1）由评标委员会出具招标文件没有不合理条款、招标程序符合规定的书面意见并签署；</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（2）由采购人按规定向财政部门提出申请变更采购方式；</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（3）采购代理机构根据财政部门批准的竞争性谈判采购方式，编制竞争性谈判文件，并直接向这2家合格投标人提供竞争性谈判文件；</w:t>
      </w:r>
    </w:p>
    <w:p>
      <w:pPr>
        <w:pStyle w:val="6"/>
        <w:spacing w:line="360" w:lineRule="auto"/>
        <w:ind w:firstLine="525"/>
        <w:rPr>
          <w:rFonts w:hint="eastAsia" w:ascii="宋体" w:hAnsi="宋体"/>
          <w:color w:val="auto"/>
          <w:szCs w:val="21"/>
          <w:highlight w:val="none"/>
        </w:rPr>
      </w:pPr>
      <w:r>
        <w:rPr>
          <w:rFonts w:hint="eastAsia" w:ascii="宋体" w:hAnsi="宋体"/>
          <w:color w:val="auto"/>
          <w:szCs w:val="21"/>
          <w:highlight w:val="none"/>
        </w:rPr>
        <w:t>（4）采购代理机构将根据竞争性谈判文件规定的时间、地点组织竞争性谈判小组直接与这2家合格投标人进行竞争性谈判。</w:t>
      </w:r>
    </w:p>
    <w:p>
      <w:pPr>
        <w:pStyle w:val="6"/>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2.</w:t>
      </w:r>
      <w:r>
        <w:rPr>
          <w:rFonts w:hint="eastAsia" w:ascii="宋体" w:hAnsi="宋体"/>
          <w:b/>
          <w:color w:val="auto"/>
          <w:szCs w:val="21"/>
          <w:highlight w:val="none"/>
        </w:rPr>
        <w:t>8评标争议处理原则</w:t>
      </w:r>
    </w:p>
    <w:p>
      <w:pPr>
        <w:pStyle w:val="14"/>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pPr>
        <w:pStyle w:val="6"/>
        <w:spacing w:line="360" w:lineRule="auto"/>
        <w:ind w:firstLine="422" w:firstLineChars="200"/>
        <w:rPr>
          <w:rFonts w:ascii="宋体" w:hAnsi="宋体"/>
          <w:b/>
          <w:color w:val="auto"/>
          <w:szCs w:val="21"/>
          <w:highlight w:val="none"/>
        </w:rPr>
      </w:pPr>
      <w:bookmarkStart w:id="155" w:name="_Toc20651224"/>
      <w:r>
        <w:rPr>
          <w:rFonts w:hint="eastAsia" w:ascii="宋体" w:hAnsi="宋体"/>
          <w:b/>
          <w:color w:val="auto"/>
          <w:szCs w:val="21"/>
          <w:highlight w:val="none"/>
        </w:rPr>
        <w:t>2.</w:t>
      </w:r>
      <w:r>
        <w:rPr>
          <w:rFonts w:hint="eastAsia" w:ascii="宋体" w:hAnsi="宋体"/>
          <w:b/>
          <w:color w:val="auto"/>
          <w:szCs w:val="21"/>
          <w:highlight w:val="none"/>
          <w:lang w:val="en-US" w:eastAsia="zh-CN"/>
        </w:rPr>
        <w:t>2</w:t>
      </w:r>
      <w:r>
        <w:rPr>
          <w:rFonts w:hint="eastAsia" w:ascii="宋体" w:hAnsi="宋体"/>
          <w:b/>
          <w:color w:val="auto"/>
          <w:szCs w:val="21"/>
          <w:highlight w:val="none"/>
        </w:rPr>
        <w:t>.9停止评标</w:t>
      </w:r>
      <w:bookmarkEnd w:id="155"/>
    </w:p>
    <w:p>
      <w:pPr>
        <w:pStyle w:val="14"/>
        <w:tabs>
          <w:tab w:val="left" w:pos="600"/>
        </w:tabs>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pPr>
        <w:pStyle w:val="6"/>
        <w:spacing w:line="360" w:lineRule="auto"/>
        <w:ind w:firstLine="422" w:firstLineChars="200"/>
        <w:rPr>
          <w:rFonts w:ascii="宋体" w:hAnsi="宋体"/>
          <w:b/>
          <w:color w:val="auto"/>
          <w:szCs w:val="21"/>
          <w:highlight w:val="none"/>
        </w:rPr>
      </w:pPr>
      <w:bookmarkStart w:id="156" w:name="_Toc20651225"/>
      <w:r>
        <w:rPr>
          <w:rFonts w:hint="eastAsia" w:ascii="宋体" w:hAnsi="宋体"/>
          <w:b/>
          <w:color w:val="auto"/>
          <w:szCs w:val="21"/>
          <w:highlight w:val="none"/>
        </w:rPr>
        <w:t>2.</w:t>
      </w:r>
      <w:r>
        <w:rPr>
          <w:rFonts w:hint="eastAsia" w:ascii="宋体" w:hAnsi="宋体"/>
          <w:b/>
          <w:color w:val="auto"/>
          <w:szCs w:val="21"/>
          <w:highlight w:val="none"/>
          <w:lang w:val="en-US" w:eastAsia="zh-CN"/>
        </w:rPr>
        <w:t>2</w:t>
      </w:r>
      <w:r>
        <w:rPr>
          <w:rFonts w:hint="eastAsia" w:ascii="宋体" w:hAnsi="宋体"/>
          <w:b/>
          <w:color w:val="auto"/>
          <w:szCs w:val="21"/>
          <w:highlight w:val="none"/>
        </w:rPr>
        <w:t>.10 重新组建评标委员会进行评标</w:t>
      </w:r>
      <w:bookmarkEnd w:id="156"/>
    </w:p>
    <w:p>
      <w:pPr>
        <w:pStyle w:val="14"/>
        <w:tabs>
          <w:tab w:val="left" w:pos="600"/>
        </w:tabs>
        <w:spacing w:line="360" w:lineRule="auto"/>
        <w:ind w:firstLineChars="300"/>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.10.1评标委员会或者其成员存在下列情形导致评标结果无效的，采购人、采购代理机构可以重新组建评标委员会进行评标，并书面报告本级财政部门，但采购合同已经履行的除外：</w:t>
      </w:r>
    </w:p>
    <w:p>
      <w:pPr>
        <w:pStyle w:val="14"/>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（1）评标委员会组成不符合《政府采购货物和服务招标投标管理办法》规定的；</w:t>
      </w:r>
    </w:p>
    <w:p>
      <w:pPr>
        <w:pStyle w:val="14"/>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（2）有《政府采购货物和服务招标投标管理办法》第六十二条第一至五项情形的；</w:t>
      </w:r>
    </w:p>
    <w:p>
      <w:pPr>
        <w:pStyle w:val="14"/>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（3）评标委员会及其成员独立评标受到非法干预的；</w:t>
      </w:r>
    </w:p>
    <w:p>
      <w:pPr>
        <w:pStyle w:val="14"/>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（4）有政府采购法实施条例第七十五条规定的违法行为的。</w:t>
      </w:r>
    </w:p>
    <w:p>
      <w:pPr>
        <w:pStyle w:val="14"/>
        <w:tabs>
          <w:tab w:val="left" w:pos="600"/>
        </w:tabs>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.10.2有违法违规行为的原评标委员会成员不得参加重新组建的评标委员会。</w:t>
      </w:r>
    </w:p>
    <w:p>
      <w:pPr>
        <w:pStyle w:val="14"/>
        <w:tabs>
          <w:tab w:val="left" w:pos="600"/>
        </w:tabs>
        <w:spacing w:line="360" w:lineRule="auto"/>
        <w:ind w:firstLine="420" w:firstLineChars="200"/>
        <w:rPr>
          <w:rFonts w:hint="eastAsia" w:ascii="宋体" w:hAnsi="宋体" w:cs="宋体"/>
          <w:color w:val="auto"/>
          <w:sz w:val="21"/>
          <w:szCs w:val="21"/>
          <w:highlight w:val="none"/>
        </w:rPr>
      </w:pPr>
    </w:p>
    <w:p>
      <w:pPr>
        <w:rPr>
          <w:rFonts w:hint="eastAsia" w:ascii="宋体" w:hAnsi="宋体" w:cs="宋体"/>
          <w:color w:val="auto"/>
          <w:sz w:val="36"/>
          <w:szCs w:val="36"/>
          <w:highlight w:val="none"/>
        </w:rPr>
        <w:sectPr>
          <w:pgSz w:w="11907" w:h="16840"/>
          <w:pgMar w:top="1440" w:right="1474" w:bottom="1440" w:left="1474" w:header="1134" w:footer="992" w:gutter="0"/>
          <w:pgBorders>
            <w:top w:val="none" w:sz="0" w:space="0"/>
            <w:left w:val="none" w:sz="0" w:space="0"/>
            <w:bottom w:val="none" w:sz="0" w:space="0"/>
            <w:right w:val="none" w:sz="0" w:space="0"/>
          </w:pgBorders>
          <w:pgNumType w:fmt="decimal"/>
          <w:cols w:space="720" w:num="1"/>
          <w:titlePg/>
          <w:rtlGutter w:val="1"/>
        </w:sectPr>
      </w:pPr>
    </w:p>
    <w:p>
      <w:pPr>
        <w:spacing w:before="156" w:beforeLines="50" w:after="312" w:afterLines="100"/>
        <w:jc w:val="center"/>
        <w:outlineLvl w:val="0"/>
        <w:rPr>
          <w:rFonts w:hint="eastAsia" w:ascii="宋体" w:hAnsi="宋体" w:eastAsia="宋体" w:cs="宋体"/>
          <w:b/>
          <w:color w:val="auto"/>
          <w:kern w:val="44"/>
          <w:sz w:val="44"/>
          <w:szCs w:val="44"/>
          <w:highlight w:val="none"/>
          <w:lang w:eastAsia="zh-CN"/>
        </w:rPr>
      </w:pPr>
      <w:bookmarkStart w:id="157" w:name="_Toc27830"/>
      <w:bookmarkStart w:id="158" w:name="_Toc1508"/>
      <w:bookmarkStart w:id="159" w:name="_Toc26316"/>
      <w:r>
        <w:rPr>
          <w:rFonts w:hint="eastAsia" w:ascii="宋体" w:hAnsi="宋体" w:cs="宋体"/>
          <w:b/>
          <w:color w:val="auto"/>
          <w:kern w:val="44"/>
          <w:sz w:val="44"/>
          <w:szCs w:val="44"/>
          <w:highlight w:val="none"/>
        </w:rPr>
        <w:t>第</w:t>
      </w:r>
      <w:r>
        <w:rPr>
          <w:rFonts w:hint="eastAsia" w:ascii="宋体" w:hAnsi="宋体" w:cs="宋体"/>
          <w:b/>
          <w:color w:val="auto"/>
          <w:kern w:val="44"/>
          <w:sz w:val="44"/>
          <w:szCs w:val="44"/>
          <w:highlight w:val="none"/>
          <w:lang w:eastAsia="zh-CN"/>
        </w:rPr>
        <w:t>五</w:t>
      </w:r>
      <w:r>
        <w:rPr>
          <w:rFonts w:hint="eastAsia" w:ascii="宋体" w:hAnsi="宋体" w:cs="宋体"/>
          <w:b/>
          <w:color w:val="auto"/>
          <w:kern w:val="44"/>
          <w:sz w:val="44"/>
          <w:szCs w:val="44"/>
          <w:highlight w:val="none"/>
        </w:rPr>
        <w:t>章 采购</w:t>
      </w:r>
      <w:bookmarkEnd w:id="150"/>
      <w:bookmarkEnd w:id="157"/>
      <w:r>
        <w:rPr>
          <w:rFonts w:hint="eastAsia" w:ascii="宋体" w:hAnsi="宋体" w:cs="宋体"/>
          <w:b/>
          <w:color w:val="auto"/>
          <w:kern w:val="44"/>
          <w:sz w:val="44"/>
          <w:szCs w:val="44"/>
          <w:highlight w:val="none"/>
          <w:lang w:eastAsia="zh-CN"/>
        </w:rPr>
        <w:t>需求</w:t>
      </w:r>
      <w:bookmarkEnd w:id="158"/>
      <w:bookmarkEnd w:id="159"/>
    </w:p>
    <w:p>
      <w:pPr>
        <w:pStyle w:val="2"/>
        <w:numPr>
          <w:ilvl w:val="0"/>
          <w:numId w:val="0"/>
        </w:numP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一、项目概况</w:t>
      </w:r>
    </w:p>
    <w:p>
      <w:pPr>
        <w:widowControl/>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根据莲湖区政府办公室《</w:t>
      </w:r>
      <w:r>
        <w:rPr>
          <w:rFonts w:hint="eastAsia" w:ascii="仿宋" w:hAnsi="仿宋" w:eastAsia="仿宋" w:cs="仿宋"/>
          <w:kern w:val="0"/>
          <w:sz w:val="28"/>
          <w:szCs w:val="28"/>
          <w:lang w:eastAsia="zh-CN"/>
        </w:rPr>
        <w:t>第</w:t>
      </w:r>
      <w:r>
        <w:rPr>
          <w:rFonts w:hint="eastAsia" w:ascii="仿宋" w:hAnsi="仿宋" w:eastAsia="仿宋" w:cs="仿宋"/>
          <w:kern w:val="0"/>
          <w:sz w:val="28"/>
          <w:szCs w:val="28"/>
          <w:lang w:val="en-US" w:eastAsia="zh-CN"/>
        </w:rPr>
        <w:t>12次区政府常务会议</w:t>
      </w:r>
      <w:r>
        <w:rPr>
          <w:rFonts w:hint="eastAsia" w:ascii="仿宋" w:hAnsi="仿宋" w:eastAsia="仿宋" w:cs="仿宋"/>
          <w:kern w:val="0"/>
          <w:sz w:val="28"/>
          <w:szCs w:val="28"/>
        </w:rPr>
        <w:t>》文件要求，积极引入市场竞争机制和现代管理手段。探索市容园林市场化运作方法，推进城市治理长效化，以社会化承包模式对北院门街道辖区107条道路、6块绿地清扫保洁项目进行招标。</w:t>
      </w:r>
    </w:p>
    <w:p>
      <w:pPr>
        <w:pStyle w:val="2"/>
        <w:numPr>
          <w:ilvl w:val="0"/>
          <w:numId w:val="6"/>
        </w:numP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服务内容</w:t>
      </w:r>
    </w:p>
    <w:p>
      <w:pPr>
        <w:widowControl/>
        <w:ind w:firstLine="562" w:firstLineChars="200"/>
        <w:jc w:val="left"/>
        <w:rPr>
          <w:rFonts w:hint="eastAsia" w:ascii="仿宋" w:hAnsi="仿宋" w:eastAsia="仿宋" w:cs="仿宋"/>
          <w:kern w:val="0"/>
          <w:sz w:val="28"/>
          <w:szCs w:val="28"/>
        </w:rPr>
      </w:pPr>
      <w:r>
        <w:rPr>
          <w:rFonts w:hint="eastAsia" w:ascii="仿宋" w:hAnsi="仿宋" w:eastAsia="仿宋" w:cs="仿宋"/>
          <w:b/>
          <w:kern w:val="0"/>
          <w:sz w:val="28"/>
          <w:szCs w:val="28"/>
        </w:rPr>
        <w:t>区域、范围：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lang w:eastAsia="zh-CN"/>
        </w:rPr>
      </w:pPr>
      <w:r>
        <w:rPr>
          <w:rFonts w:hint="eastAsia" w:ascii="仿宋" w:hAnsi="仿宋" w:eastAsia="仿宋" w:cs="仿宋"/>
          <w:kern w:val="0"/>
          <w:sz w:val="28"/>
          <w:szCs w:val="28"/>
        </w:rPr>
        <w:t>北院门街道辖区道路清扫保洁作业项目为，107条道路，6块绿地，具体内容如下表：</w:t>
      </w:r>
    </w:p>
    <w:tbl>
      <w:tblPr>
        <w:tblStyle w:val="29"/>
        <w:tblW w:w="8960" w:type="dxa"/>
        <w:tblInd w:w="93" w:type="dxa"/>
        <w:tblLayout w:type="fixed"/>
        <w:tblCellMar>
          <w:top w:w="0" w:type="dxa"/>
          <w:left w:w="108" w:type="dxa"/>
          <w:bottom w:w="0" w:type="dxa"/>
          <w:right w:w="108" w:type="dxa"/>
        </w:tblCellMar>
      </w:tblPr>
      <w:tblGrid>
        <w:gridCol w:w="637"/>
        <w:gridCol w:w="1801"/>
        <w:gridCol w:w="1310"/>
        <w:gridCol w:w="1330"/>
        <w:gridCol w:w="1040"/>
        <w:gridCol w:w="1379"/>
        <w:gridCol w:w="1463"/>
      </w:tblGrid>
      <w:tr>
        <w:tblPrEx>
          <w:tblCellMar>
            <w:top w:w="0" w:type="dxa"/>
            <w:left w:w="108" w:type="dxa"/>
            <w:bottom w:w="0" w:type="dxa"/>
            <w:right w:w="108" w:type="dxa"/>
          </w:tblCellMar>
        </w:tblPrEx>
        <w:trPr>
          <w:trHeight w:val="709" w:hRule="atLeast"/>
        </w:trPr>
        <w:tc>
          <w:tcPr>
            <w:tcW w:w="8960" w:type="dxa"/>
            <w:gridSpan w:val="7"/>
            <w:tcBorders>
              <w:top w:val="nil"/>
              <w:left w:val="nil"/>
              <w:bottom w:val="single" w:color="auto" w:sz="4" w:space="0"/>
              <w:right w:val="nil"/>
            </w:tcBorders>
            <w:noWrap/>
            <w:vAlign w:val="bottom"/>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北院门街办道路清扫统计表  </w:t>
            </w:r>
          </w:p>
        </w:tc>
      </w:tr>
      <w:tr>
        <w:tblPrEx>
          <w:tblCellMar>
            <w:top w:w="0" w:type="dxa"/>
            <w:left w:w="108" w:type="dxa"/>
            <w:bottom w:w="0" w:type="dxa"/>
            <w:right w:w="108" w:type="dxa"/>
          </w:tblCellMar>
        </w:tblPrEx>
        <w:trPr>
          <w:trHeight w:val="322" w:hRule="atLeast"/>
        </w:trPr>
        <w:tc>
          <w:tcPr>
            <w:tcW w:w="63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80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区  域</w:t>
            </w:r>
          </w:p>
        </w:tc>
        <w:tc>
          <w:tcPr>
            <w:tcW w:w="1310"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330"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040"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84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人工清扫、保洁</w:t>
            </w:r>
          </w:p>
        </w:tc>
      </w:tr>
      <w:tr>
        <w:trPr>
          <w:trHeight w:val="1650" w:hRule="atLeast"/>
        </w:trPr>
        <w:tc>
          <w:tcPr>
            <w:tcW w:w="63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8"/>
                <w:szCs w:val="28"/>
              </w:rPr>
            </w:pPr>
          </w:p>
        </w:tc>
        <w:tc>
          <w:tcPr>
            <w:tcW w:w="18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道路</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长度</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(米)</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道路</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面积</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(米</w:t>
            </w:r>
            <w:r>
              <w:rPr>
                <w:rFonts w:hint="eastAsia" w:ascii="仿宋" w:hAnsi="仿宋" w:eastAsia="仿宋" w:cs="仿宋"/>
                <w:kern w:val="0"/>
                <w:sz w:val="28"/>
                <w:szCs w:val="28"/>
                <w:vertAlign w:val="superscript"/>
              </w:rPr>
              <w:t>2</w:t>
            </w:r>
            <w:r>
              <w:rPr>
                <w:rFonts w:hint="eastAsia" w:ascii="仿宋" w:hAnsi="仿宋" w:eastAsia="仿宋" w:cs="仿宋"/>
                <w:kern w:val="0"/>
                <w:sz w:val="28"/>
                <w:szCs w:val="28"/>
              </w:rPr>
              <w:t>)</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道路</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级别</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路</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面</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(米</w:t>
            </w:r>
            <w:r>
              <w:rPr>
                <w:rFonts w:hint="eastAsia" w:ascii="仿宋" w:hAnsi="仿宋" w:eastAsia="仿宋" w:cs="仿宋"/>
                <w:kern w:val="0"/>
                <w:sz w:val="28"/>
                <w:szCs w:val="28"/>
                <w:vertAlign w:val="superscript"/>
              </w:rPr>
              <w:t>2</w:t>
            </w:r>
            <w:r>
              <w:rPr>
                <w:rFonts w:hint="eastAsia" w:ascii="仿宋" w:hAnsi="仿宋" w:eastAsia="仿宋" w:cs="仿宋"/>
                <w:kern w:val="0"/>
                <w:sz w:val="28"/>
                <w:szCs w:val="28"/>
              </w:rPr>
              <w:t>)</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人行道</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(米</w:t>
            </w:r>
            <w:r>
              <w:rPr>
                <w:rFonts w:hint="eastAsia" w:ascii="仿宋" w:hAnsi="仿宋" w:eastAsia="仿宋" w:cs="仿宋"/>
                <w:kern w:val="0"/>
                <w:sz w:val="28"/>
                <w:szCs w:val="28"/>
                <w:vertAlign w:val="superscript"/>
              </w:rPr>
              <w:t>2</w:t>
            </w:r>
            <w:r>
              <w:rPr>
                <w:rFonts w:hint="eastAsia" w:ascii="仿宋" w:hAnsi="仿宋" w:eastAsia="仿宋" w:cs="仿宋"/>
                <w:kern w:val="0"/>
                <w:sz w:val="28"/>
                <w:szCs w:val="28"/>
              </w:rPr>
              <w:t>)</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北院门</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780</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33967</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2A</w:t>
            </w:r>
          </w:p>
        </w:tc>
        <w:tc>
          <w:tcPr>
            <w:tcW w:w="1379"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15247</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18720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南马道巷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306</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6732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2B</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1774.8</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4957.2</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西梆子市街</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409</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9079.8</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2B</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6544</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2535.8</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五星街</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343</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7477.4</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2B</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5488</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1989.4</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桥梓口</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189.5</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6064</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2B</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4263.75</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1800.25</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含光街</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736</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23552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2B</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16560</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6992</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东梆子市街</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242</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5372.4</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2B</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3872</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1500.4</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红埠街</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388</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4644</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2328</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2316</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二府街</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371.4</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5185.2</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2228.4</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2956.8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麦苋街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2580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1620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960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北广济街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573</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4978</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3438</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1540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狮子庙街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509.7</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4579.2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3058.2</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1521</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小皮院</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380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2117.2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1520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597.2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大皮院</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3240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2160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1080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西羊市</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580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2836</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2030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806</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社会北路</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912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912</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17</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社会南路</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680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5180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3740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1440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化觉巷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920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5360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4600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760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19</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八家巷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1997</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1575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422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小坤院</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840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840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土车巷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682.8</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3796.6</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3072.6</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724</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二府园</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297.8</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1042.3</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1042.3</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石头巷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304.4</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1217.6</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1217.6</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庙后街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11820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3600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8220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光明巷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2625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1470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1155</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桃胡巷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27</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大学习巷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3480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2040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1440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28</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建华东巷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230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920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920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29</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建华西巷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780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780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小学习北巷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1152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1152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小学习东巷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630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630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小学习西巷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洒金桥</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6600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3240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3360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西仓北巷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2938</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1456</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1482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西仓东巷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2352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1200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1152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西仓南巷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1554</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854</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37</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西仓西巷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1245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795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38</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琉璃街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189.5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4661.7</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966.45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3695.25</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39</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四府街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577</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14910.6</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3434</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11476.6</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小南门</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128.2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4435.72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743.56</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3692.16</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牌楼巷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949</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689</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解放军巷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西举院西巷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2880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1440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1440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44</w:t>
            </w:r>
          </w:p>
        </w:tc>
        <w:tc>
          <w:tcPr>
            <w:tcW w:w="180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北马道巷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9000</w:t>
            </w:r>
          </w:p>
        </w:tc>
        <w:tc>
          <w:tcPr>
            <w:tcW w:w="1040"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6390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2610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香米园</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3285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1710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1575</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46</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香米园西巷北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1600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47</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香米园西巷南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2016</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1608</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408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48</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香米园北巷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1365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777</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588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49</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香米园东巷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1642.5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1642.5</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小学习南巷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1008</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白家坑</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大麦市街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4935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1785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3150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新寺巷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54</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新寺北巷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东举院南巷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2970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1320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1650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56</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东举院北巷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57</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早慈巷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6900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3300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3600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58</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西举院巷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4709</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1921</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2788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59</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贡院门</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2299</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583</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1716</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双仁府</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358.5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12260.7</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2186.85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10073.85</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柴家什字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218.5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7824.15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1749.85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6074.3</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北夏家什字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189.5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5779.75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909.6</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4870.15</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菜坑岸</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218</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7137.4</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1573.6</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5563.8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64</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龙渠湾</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101.5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1613.85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619.15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994.7</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骆驼巷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108</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1728</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518.4</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1209.6</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66</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西顺城</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652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7628.4</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2086.4</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5542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67</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报恩寺街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343</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8369.2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1989.4</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6379.8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68</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梁家牌楼</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343</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8677.9</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1920.8</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6757.1</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69</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东西甜水井</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197</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3962.9</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2462.5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1500.4</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东夏家什字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6824.4</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1500.4</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5324</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迎春巷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319.1</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3254.82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2265.61</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989.21</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南油巷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2295.2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2295.2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冰窖巷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211</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3502.6</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1287.1</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2215.5</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74</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白鹭湾</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218.5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2403.5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1507.65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895.85</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火药局巷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148.2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2800.98</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755.82</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2045.16</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76</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草场巷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148.5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861.3</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861.3</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77</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六和巷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98.7</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1312.71</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1312.71</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78</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大有巷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80.5</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748.65</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410.55</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338.1</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79</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东顺城</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342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4001.4</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1094.4</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2907</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琉璃巷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49.2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241.08</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241.08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西五台过道</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412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1648</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1648</w:t>
            </w:r>
          </w:p>
        </w:tc>
      </w:tr>
      <w:tr>
        <w:tblPrEx>
          <w:tblCellMar>
            <w:top w:w="0" w:type="dxa"/>
            <w:left w:w="108" w:type="dxa"/>
            <w:bottom w:w="0" w:type="dxa"/>
            <w:right w:w="108" w:type="dxa"/>
          </w:tblCellMar>
        </w:tblPrEx>
        <w:trPr>
          <w:trHeight w:val="6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香米园西小过道</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w:t>
            </w:r>
          </w:p>
        </w:tc>
      </w:tr>
      <w:tr>
        <w:tblPrEx>
          <w:tblCellMar>
            <w:top w:w="0" w:type="dxa"/>
            <w:left w:w="108" w:type="dxa"/>
            <w:bottom w:w="0" w:type="dxa"/>
            <w:right w:w="108" w:type="dxa"/>
          </w:tblCellMar>
        </w:tblPrEx>
        <w:trPr>
          <w:trHeight w:val="633"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香米园北巷后台过道</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1800</w:t>
            </w:r>
          </w:p>
        </w:tc>
      </w:tr>
      <w:tr>
        <w:tblPrEx>
          <w:tblCellMar>
            <w:top w:w="0" w:type="dxa"/>
            <w:left w:w="108" w:type="dxa"/>
            <w:bottom w:w="0" w:type="dxa"/>
            <w:right w:w="108" w:type="dxa"/>
          </w:tblCellMar>
        </w:tblPrEx>
        <w:trPr>
          <w:trHeight w:val="633"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84</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香米园北巷小过道</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龙渠巷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71.2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719.12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719.12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86</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冰窖巷北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162</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988.2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988.2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87</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冰窖巷南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131</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1598.2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799.1</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799.1</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88</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甘露巷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151</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770.1</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770.1</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89</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公安巷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153.1</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2265.88</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2265.88</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90</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公安局东巷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260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910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910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91</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汇鑫正街</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1050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750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92</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西仓南巷东</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390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390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93</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西仓南巷西</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590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390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94</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新寺东小巷</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238</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952</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952</w:t>
            </w:r>
          </w:p>
        </w:tc>
      </w:tr>
      <w:tr>
        <w:tblPrEx>
          <w:tblCellMar>
            <w:top w:w="0" w:type="dxa"/>
            <w:left w:w="108" w:type="dxa"/>
            <w:bottom w:w="0" w:type="dxa"/>
            <w:right w:w="108" w:type="dxa"/>
          </w:tblCellMar>
        </w:tblPrEx>
        <w:trPr>
          <w:trHeight w:val="322" w:hRule="atLeast"/>
        </w:trPr>
        <w:tc>
          <w:tcPr>
            <w:tcW w:w="6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95</w:t>
            </w:r>
          </w:p>
        </w:tc>
        <w:tc>
          <w:tcPr>
            <w:tcW w:w="18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王家菜园</w:t>
            </w:r>
          </w:p>
        </w:tc>
        <w:tc>
          <w:tcPr>
            <w:tcW w:w="13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3000</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single" w:color="auto" w:sz="4" w:space="0"/>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1440</w:t>
            </w:r>
          </w:p>
        </w:tc>
        <w:tc>
          <w:tcPr>
            <w:tcW w:w="14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1560</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96</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迎祥观</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480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480</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97</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化工研究所</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r>
      <w:tr>
        <w:tblPrEx>
          <w:tblCellMar>
            <w:top w:w="0" w:type="dxa"/>
            <w:left w:w="108" w:type="dxa"/>
            <w:bottom w:w="0" w:type="dxa"/>
            <w:right w:w="108" w:type="dxa"/>
          </w:tblCellMar>
        </w:tblPrEx>
        <w:trPr>
          <w:trHeight w:val="3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98</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谷家巷</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120</w:t>
            </w:r>
          </w:p>
        </w:tc>
      </w:tr>
      <w:tr>
        <w:tblPrEx>
          <w:tblCellMar>
            <w:top w:w="0" w:type="dxa"/>
            <w:left w:w="108" w:type="dxa"/>
            <w:bottom w:w="0" w:type="dxa"/>
            <w:right w:w="108" w:type="dxa"/>
          </w:tblCellMar>
        </w:tblPrEx>
        <w:trPr>
          <w:trHeight w:val="633"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99</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小学习北巷西胡同</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180</w:t>
            </w:r>
          </w:p>
        </w:tc>
      </w:tr>
      <w:tr>
        <w:tblPrEx>
          <w:tblCellMar>
            <w:top w:w="0" w:type="dxa"/>
            <w:left w:w="108" w:type="dxa"/>
            <w:bottom w:w="0" w:type="dxa"/>
            <w:right w:w="108" w:type="dxa"/>
          </w:tblCellMar>
        </w:tblPrEx>
        <w:trPr>
          <w:trHeight w:val="633"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100</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庙后街派出所东道</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210</w:t>
            </w:r>
          </w:p>
        </w:tc>
      </w:tr>
      <w:tr>
        <w:tblPrEx>
          <w:tblCellMar>
            <w:top w:w="0" w:type="dxa"/>
            <w:left w:w="108" w:type="dxa"/>
            <w:bottom w:w="0" w:type="dxa"/>
            <w:right w:w="108" w:type="dxa"/>
          </w:tblCellMar>
        </w:tblPrEx>
        <w:trPr>
          <w:trHeight w:val="6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101</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庙后街西刘家巷</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80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240</w:t>
            </w:r>
          </w:p>
        </w:tc>
      </w:tr>
      <w:tr>
        <w:tblPrEx>
          <w:tblCellMar>
            <w:top w:w="0" w:type="dxa"/>
            <w:left w:w="108" w:type="dxa"/>
            <w:bottom w:w="0" w:type="dxa"/>
            <w:right w:w="108" w:type="dxa"/>
          </w:tblCellMar>
        </w:tblPrEx>
        <w:trPr>
          <w:trHeight w:val="6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102</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西仓东小胡同</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600</w:t>
            </w:r>
          </w:p>
        </w:tc>
      </w:tr>
      <w:tr>
        <w:tblPrEx>
          <w:tblCellMar>
            <w:top w:w="0" w:type="dxa"/>
            <w:left w:w="108" w:type="dxa"/>
            <w:bottom w:w="0" w:type="dxa"/>
            <w:right w:w="108" w:type="dxa"/>
          </w:tblCellMar>
        </w:tblPrEx>
        <w:trPr>
          <w:trHeight w:val="6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103</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西仓西小胡同</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1200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1200</w:t>
            </w:r>
          </w:p>
        </w:tc>
      </w:tr>
      <w:tr>
        <w:tblPrEx>
          <w:tblCellMar>
            <w:top w:w="0" w:type="dxa"/>
            <w:left w:w="108" w:type="dxa"/>
            <w:bottom w:w="0" w:type="dxa"/>
            <w:right w:w="108" w:type="dxa"/>
          </w:tblCellMar>
        </w:tblPrEx>
        <w:trPr>
          <w:trHeight w:val="6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104</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小学习半截巷</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210</w:t>
            </w:r>
          </w:p>
        </w:tc>
      </w:tr>
      <w:tr>
        <w:tblPrEx>
          <w:tblCellMar>
            <w:top w:w="0" w:type="dxa"/>
            <w:left w:w="108" w:type="dxa"/>
            <w:bottom w:w="0" w:type="dxa"/>
            <w:right w:w="108" w:type="dxa"/>
          </w:tblCellMar>
        </w:tblPrEx>
        <w:trPr>
          <w:trHeight w:val="622"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105</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小学习布袋巷</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210</w:t>
            </w:r>
          </w:p>
        </w:tc>
      </w:tr>
      <w:tr>
        <w:tblPrEx>
          <w:tblCellMar>
            <w:top w:w="0" w:type="dxa"/>
            <w:left w:w="108" w:type="dxa"/>
            <w:bottom w:w="0" w:type="dxa"/>
            <w:right w:w="108" w:type="dxa"/>
          </w:tblCellMar>
        </w:tblPrEx>
        <w:trPr>
          <w:trHeight w:val="633" w:hRule="atLeast"/>
        </w:trPr>
        <w:tc>
          <w:tcPr>
            <w:tcW w:w="63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106</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小学习东巷小过道</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420</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420</w:t>
            </w:r>
          </w:p>
        </w:tc>
      </w:tr>
      <w:tr>
        <w:tblPrEx>
          <w:tblCellMar>
            <w:top w:w="0" w:type="dxa"/>
            <w:left w:w="108" w:type="dxa"/>
            <w:bottom w:w="0" w:type="dxa"/>
            <w:right w:w="108" w:type="dxa"/>
          </w:tblCellMar>
        </w:tblPrEx>
        <w:trPr>
          <w:trHeight w:val="622" w:hRule="atLeast"/>
        </w:trPr>
        <w:tc>
          <w:tcPr>
            <w:tcW w:w="637" w:type="dxa"/>
            <w:tcBorders>
              <w:top w:val="nil"/>
              <w:left w:val="single" w:color="auto" w:sz="4" w:space="0"/>
              <w:bottom w:val="single" w:color="auto" w:sz="4" w:space="0"/>
              <w:right w:val="nil"/>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107</w:t>
            </w:r>
          </w:p>
        </w:tc>
        <w:tc>
          <w:tcPr>
            <w:tcW w:w="180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安定广场</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5469</w:t>
            </w:r>
          </w:p>
        </w:tc>
        <w:tc>
          <w:tcPr>
            <w:tcW w:w="104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2A</w:t>
            </w:r>
          </w:p>
        </w:tc>
        <w:tc>
          <w:tcPr>
            <w:tcW w:w="1379" w:type="dxa"/>
            <w:tcBorders>
              <w:top w:val="nil"/>
              <w:left w:val="nil"/>
              <w:bottom w:val="single" w:color="auto" w:sz="4" w:space="0"/>
              <w:right w:val="single" w:color="auto" w:sz="4" w:space="0"/>
            </w:tcBorders>
            <w:noWrap/>
            <w:vAlign w:val="bottom"/>
          </w:tcPr>
          <w:p>
            <w:pPr>
              <w:widowControl/>
              <w:jc w:val="center"/>
              <w:rPr>
                <w:rFonts w:hint="eastAsia" w:ascii="仿宋" w:hAnsi="仿宋" w:eastAsia="仿宋" w:cs="仿宋"/>
                <w:kern w:val="0"/>
                <w:sz w:val="28"/>
                <w:szCs w:val="28"/>
              </w:rPr>
            </w:pP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5469</w:t>
            </w:r>
          </w:p>
        </w:tc>
      </w:tr>
      <w:tr>
        <w:tblPrEx>
          <w:tblCellMar>
            <w:top w:w="0" w:type="dxa"/>
            <w:left w:w="108" w:type="dxa"/>
            <w:bottom w:w="0" w:type="dxa"/>
            <w:right w:w="108" w:type="dxa"/>
          </w:tblCellMar>
        </w:tblPrEx>
        <w:trPr>
          <w:trHeight w:val="642" w:hRule="atLeast"/>
        </w:trPr>
        <w:tc>
          <w:tcPr>
            <w:tcW w:w="2438"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合计</w:t>
            </w:r>
          </w:p>
        </w:tc>
        <w:tc>
          <w:tcPr>
            <w:tcW w:w="131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29631.3</w:t>
            </w:r>
          </w:p>
        </w:tc>
        <w:tc>
          <w:tcPr>
            <w:tcW w:w="133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377161.61</w:t>
            </w:r>
          </w:p>
        </w:tc>
        <w:tc>
          <w:tcPr>
            <w:tcW w:w="1040"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p>
        </w:tc>
        <w:tc>
          <w:tcPr>
            <w:tcW w:w="137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162200.84</w:t>
            </w:r>
          </w:p>
        </w:tc>
        <w:tc>
          <w:tcPr>
            <w:tcW w:w="1463"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214960.77</w:t>
            </w:r>
          </w:p>
        </w:tc>
      </w:tr>
    </w:tbl>
    <w:p>
      <w:pPr>
        <w:widowControl/>
        <w:ind w:firstLine="560" w:firstLineChars="200"/>
        <w:jc w:val="left"/>
        <w:rPr>
          <w:rFonts w:hint="eastAsia" w:ascii="仿宋" w:hAnsi="仿宋" w:eastAsia="仿宋" w:cs="仿宋"/>
          <w:kern w:val="0"/>
          <w:sz w:val="28"/>
          <w:szCs w:val="28"/>
        </w:rPr>
      </w:pPr>
    </w:p>
    <w:tbl>
      <w:tblPr>
        <w:tblStyle w:val="29"/>
        <w:tblW w:w="8979" w:type="dxa"/>
        <w:tblInd w:w="93" w:type="dxa"/>
        <w:tblLayout w:type="autofit"/>
        <w:tblCellMar>
          <w:top w:w="0" w:type="dxa"/>
          <w:left w:w="108" w:type="dxa"/>
          <w:bottom w:w="0" w:type="dxa"/>
          <w:right w:w="108" w:type="dxa"/>
        </w:tblCellMar>
      </w:tblPr>
      <w:tblGrid>
        <w:gridCol w:w="1250"/>
        <w:gridCol w:w="6206"/>
        <w:gridCol w:w="1523"/>
      </w:tblGrid>
      <w:tr>
        <w:tblPrEx>
          <w:tblCellMar>
            <w:top w:w="0" w:type="dxa"/>
            <w:left w:w="108" w:type="dxa"/>
            <w:bottom w:w="0" w:type="dxa"/>
            <w:right w:w="108" w:type="dxa"/>
          </w:tblCellMar>
        </w:tblPrEx>
        <w:trPr>
          <w:trHeight w:val="258" w:hRule="atLeast"/>
        </w:trPr>
        <w:tc>
          <w:tcPr>
            <w:tcW w:w="125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7729"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绿地</w:t>
            </w:r>
          </w:p>
        </w:tc>
      </w:tr>
      <w:tr>
        <w:tblPrEx>
          <w:tblCellMar>
            <w:top w:w="0" w:type="dxa"/>
            <w:left w:w="108" w:type="dxa"/>
            <w:bottom w:w="0" w:type="dxa"/>
            <w:right w:w="108" w:type="dxa"/>
          </w:tblCellMar>
        </w:tblPrEx>
        <w:trPr>
          <w:trHeight w:val="445" w:hRule="atLeast"/>
        </w:trPr>
        <w:tc>
          <w:tcPr>
            <w:tcW w:w="12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8"/>
                <w:szCs w:val="28"/>
              </w:rPr>
            </w:pPr>
          </w:p>
        </w:tc>
        <w:tc>
          <w:tcPr>
            <w:tcW w:w="6206"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道路绿化带（广场、林带）位置</w:t>
            </w:r>
          </w:p>
        </w:tc>
        <w:tc>
          <w:tcPr>
            <w:tcW w:w="152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面积（㎡）</w:t>
            </w:r>
          </w:p>
        </w:tc>
      </w:tr>
      <w:tr>
        <w:tblPrEx>
          <w:tblCellMar>
            <w:top w:w="0" w:type="dxa"/>
            <w:left w:w="108" w:type="dxa"/>
            <w:bottom w:w="0" w:type="dxa"/>
            <w:right w:w="108" w:type="dxa"/>
          </w:tblCellMar>
        </w:tblPrEx>
        <w:trPr>
          <w:trHeight w:val="389" w:hRule="atLeast"/>
        </w:trPr>
        <w:tc>
          <w:tcPr>
            <w:tcW w:w="125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6206"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甜水井大街（西大街-含光门）</w:t>
            </w:r>
          </w:p>
        </w:tc>
        <w:tc>
          <w:tcPr>
            <w:tcW w:w="152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1486.04</w:t>
            </w:r>
          </w:p>
        </w:tc>
      </w:tr>
      <w:tr>
        <w:tblPrEx>
          <w:tblCellMar>
            <w:top w:w="0" w:type="dxa"/>
            <w:left w:w="108" w:type="dxa"/>
            <w:bottom w:w="0" w:type="dxa"/>
            <w:right w:w="108" w:type="dxa"/>
          </w:tblCellMar>
        </w:tblPrEx>
        <w:trPr>
          <w:trHeight w:val="389" w:hRule="atLeast"/>
        </w:trPr>
        <w:tc>
          <w:tcPr>
            <w:tcW w:w="125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6206"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含光门内两侧绿地</w:t>
            </w:r>
          </w:p>
        </w:tc>
        <w:tc>
          <w:tcPr>
            <w:tcW w:w="152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w:t>
            </w:r>
          </w:p>
        </w:tc>
      </w:tr>
      <w:tr>
        <w:tblPrEx>
          <w:tblCellMar>
            <w:top w:w="0" w:type="dxa"/>
            <w:left w:w="108" w:type="dxa"/>
            <w:bottom w:w="0" w:type="dxa"/>
            <w:right w:w="108" w:type="dxa"/>
          </w:tblCellMar>
        </w:tblPrEx>
        <w:trPr>
          <w:trHeight w:val="389" w:hRule="atLeast"/>
        </w:trPr>
        <w:tc>
          <w:tcPr>
            <w:tcW w:w="125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6206"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北院门牌楼下绿地广场</w:t>
            </w:r>
          </w:p>
        </w:tc>
        <w:tc>
          <w:tcPr>
            <w:tcW w:w="152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450</w:t>
            </w:r>
          </w:p>
        </w:tc>
      </w:tr>
      <w:tr>
        <w:tblPrEx>
          <w:tblCellMar>
            <w:top w:w="0" w:type="dxa"/>
            <w:left w:w="108" w:type="dxa"/>
            <w:bottom w:w="0" w:type="dxa"/>
            <w:right w:w="108" w:type="dxa"/>
          </w:tblCellMar>
        </w:tblPrEx>
        <w:trPr>
          <w:trHeight w:val="389" w:hRule="atLeast"/>
        </w:trPr>
        <w:tc>
          <w:tcPr>
            <w:tcW w:w="125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6206"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社会路绿地广场（宏府嘉会）</w:t>
            </w:r>
          </w:p>
        </w:tc>
        <w:tc>
          <w:tcPr>
            <w:tcW w:w="152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300</w:t>
            </w:r>
          </w:p>
        </w:tc>
      </w:tr>
      <w:tr>
        <w:tblPrEx>
          <w:tblCellMar>
            <w:top w:w="0" w:type="dxa"/>
            <w:left w:w="108" w:type="dxa"/>
            <w:bottom w:w="0" w:type="dxa"/>
            <w:right w:w="108" w:type="dxa"/>
          </w:tblCellMar>
        </w:tblPrEx>
        <w:trPr>
          <w:trHeight w:val="389" w:hRule="atLeast"/>
        </w:trPr>
        <w:tc>
          <w:tcPr>
            <w:tcW w:w="125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6206"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儿童医院西门外绿地广场</w:t>
            </w:r>
          </w:p>
        </w:tc>
        <w:tc>
          <w:tcPr>
            <w:tcW w:w="152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1100</w:t>
            </w:r>
          </w:p>
        </w:tc>
      </w:tr>
      <w:tr>
        <w:tblPrEx>
          <w:tblCellMar>
            <w:top w:w="0" w:type="dxa"/>
            <w:left w:w="108" w:type="dxa"/>
            <w:bottom w:w="0" w:type="dxa"/>
            <w:right w:w="108" w:type="dxa"/>
          </w:tblCellMar>
        </w:tblPrEx>
        <w:trPr>
          <w:trHeight w:val="402" w:hRule="atLeast"/>
        </w:trPr>
        <w:tc>
          <w:tcPr>
            <w:tcW w:w="125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6206"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顺城巷绿地（含附属绿地小广场）</w:t>
            </w:r>
          </w:p>
        </w:tc>
        <w:tc>
          <w:tcPr>
            <w:tcW w:w="152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27000</w:t>
            </w:r>
          </w:p>
        </w:tc>
      </w:tr>
    </w:tbl>
    <w:p>
      <w:pPr>
        <w:spacing w:line="660" w:lineRule="exact"/>
        <w:ind w:firstLine="560" w:firstLineChars="200"/>
        <w:rPr>
          <w:rFonts w:hint="eastAsia" w:ascii="仿宋" w:hAnsi="仿宋" w:eastAsia="仿宋" w:cs="仿宋"/>
          <w:b/>
          <w:sz w:val="28"/>
          <w:szCs w:val="28"/>
          <w:lang w:val="en-US" w:eastAsia="zh-CN"/>
        </w:rPr>
      </w:pPr>
      <w:r>
        <w:rPr>
          <w:rFonts w:hint="eastAsia" w:ascii="仿宋" w:hAnsi="仿宋" w:eastAsia="仿宋" w:cs="仿宋"/>
          <w:kern w:val="0"/>
          <w:sz w:val="28"/>
          <w:szCs w:val="28"/>
        </w:rPr>
        <w:t>107条道路，6块绿地</w:t>
      </w:r>
      <w:r>
        <w:rPr>
          <w:rFonts w:hint="eastAsia" w:ascii="仿宋" w:hAnsi="仿宋" w:eastAsia="仿宋" w:cs="仿宋"/>
          <w:sz w:val="28"/>
          <w:szCs w:val="28"/>
        </w:rPr>
        <w:t>，共需配备保洁员</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305</w:t>
      </w:r>
      <w:r>
        <w:rPr>
          <w:rFonts w:hint="eastAsia" w:ascii="仿宋" w:hAnsi="仿宋" w:eastAsia="仿宋" w:cs="仿宋"/>
          <w:sz w:val="28"/>
          <w:szCs w:val="28"/>
        </w:rPr>
        <w:t xml:space="preserve"> 名。根据西安市“以克论净 深度保洁”提标增效作业要求及本项目特点、工作量、工作标准、服务要求，承</w:t>
      </w:r>
      <w:r>
        <w:rPr>
          <w:rFonts w:hint="eastAsia" w:ascii="仿宋" w:hAnsi="仿宋" w:eastAsia="仿宋" w:cs="仿宋"/>
          <w:sz w:val="28"/>
          <w:szCs w:val="28"/>
          <w:highlight w:val="none"/>
        </w:rPr>
        <w:t>包企业应</w:t>
      </w:r>
      <w:r>
        <w:rPr>
          <w:rFonts w:hint="eastAsia" w:ascii="仿宋" w:hAnsi="仿宋" w:eastAsia="仿宋" w:cs="仿宋"/>
          <w:sz w:val="28"/>
          <w:szCs w:val="28"/>
          <w:highlight w:val="none"/>
          <w:u w:val="none"/>
        </w:rPr>
        <w:t>装备或租赁洒水车</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 xml:space="preserve">辆， </w:t>
      </w:r>
      <w:r>
        <w:rPr>
          <w:rFonts w:hint="eastAsia" w:ascii="仿宋" w:hAnsi="仿宋" w:eastAsia="仿宋" w:cs="仿宋"/>
          <w:sz w:val="28"/>
          <w:szCs w:val="28"/>
          <w:highlight w:val="none"/>
          <w:u w:val="none"/>
          <w:lang w:val="en-US" w:eastAsia="zh-CN"/>
        </w:rPr>
        <w:t>机</w:t>
      </w:r>
      <w:r>
        <w:rPr>
          <w:rFonts w:hint="eastAsia" w:ascii="仿宋" w:hAnsi="仿宋" w:eastAsia="仿宋" w:cs="仿宋"/>
          <w:sz w:val="28"/>
          <w:szCs w:val="28"/>
          <w:highlight w:val="none"/>
          <w:u w:val="none"/>
        </w:rPr>
        <w:t>扫车</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 xml:space="preserve"> 辆，</w:t>
      </w:r>
      <w:r>
        <w:rPr>
          <w:rFonts w:hint="eastAsia" w:ascii="仿宋" w:hAnsi="仿宋" w:eastAsia="仿宋" w:cs="仿宋"/>
          <w:sz w:val="28"/>
          <w:szCs w:val="28"/>
          <w:highlight w:val="none"/>
          <w:u w:val="none"/>
          <w:lang w:val="en-US" w:eastAsia="zh-CN"/>
        </w:rPr>
        <w:t>人力三轮车128辆，秦霸电动三轮车16辆</w:t>
      </w:r>
      <w:r>
        <w:rPr>
          <w:rFonts w:hint="eastAsia" w:ascii="仿宋" w:hAnsi="仿宋" w:eastAsia="仿宋" w:cs="仿宋"/>
          <w:sz w:val="28"/>
          <w:szCs w:val="28"/>
          <w:highlight w:val="none"/>
          <w:u w:val="none"/>
        </w:rPr>
        <w:t>，</w:t>
      </w:r>
      <w:r>
        <w:rPr>
          <w:rFonts w:hint="eastAsia" w:ascii="仿宋" w:hAnsi="仿宋" w:eastAsia="仿宋" w:cs="仿宋"/>
          <w:sz w:val="28"/>
          <w:szCs w:val="28"/>
        </w:rPr>
        <w:t>以上车辆必须保证在本项目路段运行，用于开展道路清扫保洁作业。</w:t>
      </w:r>
    </w:p>
    <w:p>
      <w:pPr>
        <w:widowControl/>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、服务要求</w:t>
      </w:r>
    </w:p>
    <w:p>
      <w:pPr>
        <w:widowControl/>
        <w:numPr>
          <w:ilvl w:val="0"/>
          <w:numId w:val="0"/>
        </w:numPr>
        <w:ind w:firstLine="562" w:firstLineChars="200"/>
        <w:jc w:val="left"/>
        <w:rPr>
          <w:rFonts w:hint="eastAsia" w:ascii="仿宋" w:hAnsi="仿宋" w:eastAsia="仿宋" w:cs="仿宋"/>
          <w:sz w:val="28"/>
          <w:szCs w:val="28"/>
          <w:lang w:eastAsia="zh-CN"/>
        </w:rPr>
      </w:pPr>
      <w:r>
        <w:rPr>
          <w:rFonts w:hint="eastAsia" w:ascii="仿宋" w:hAnsi="仿宋" w:eastAsia="仿宋" w:cs="仿宋"/>
          <w:b/>
          <w:kern w:val="0"/>
          <w:sz w:val="28"/>
          <w:szCs w:val="28"/>
        </w:rPr>
        <w:t>（</w:t>
      </w:r>
      <w:r>
        <w:rPr>
          <w:rFonts w:hint="eastAsia" w:ascii="仿宋" w:hAnsi="仿宋" w:eastAsia="仿宋" w:cs="仿宋"/>
          <w:b/>
          <w:kern w:val="0"/>
          <w:sz w:val="28"/>
          <w:szCs w:val="28"/>
          <w:lang w:val="en-US" w:eastAsia="zh-CN"/>
        </w:rPr>
        <w:t>一</w:t>
      </w:r>
      <w:r>
        <w:rPr>
          <w:rFonts w:hint="eastAsia" w:ascii="仿宋" w:hAnsi="仿宋" w:eastAsia="仿宋" w:cs="仿宋"/>
          <w:b/>
          <w:kern w:val="0"/>
          <w:sz w:val="28"/>
          <w:szCs w:val="28"/>
        </w:rPr>
        <w:t>）道路清扫保洁作业内容</w:t>
      </w:r>
      <w:r>
        <w:rPr>
          <w:rFonts w:hint="eastAsia" w:ascii="仿宋" w:hAnsi="仿宋" w:eastAsia="仿宋" w:cs="仿宋"/>
          <w:kern w:val="0"/>
          <w:sz w:val="28"/>
          <w:szCs w:val="28"/>
        </w:rPr>
        <w:t>：</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快慢车行道、人行道、人行过街天桥、地下通道、绿化带、树池及绿地小广场的机械化和人工清扫保洁作业。</w:t>
      </w:r>
    </w:p>
    <w:p>
      <w:pPr>
        <w:widowControl/>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保洁垃圾的定时收集、转运、处置。</w:t>
      </w:r>
    </w:p>
    <w:p>
      <w:pPr>
        <w:widowControl/>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道路两侧、广场大件垃圾、堆积杂物及空中废弃悬挂物的清理，道路路面及两侧立面各类“野广告”清理。</w:t>
      </w:r>
    </w:p>
    <w:p>
      <w:pPr>
        <w:widowControl/>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休闲座椅、路名牌、候车亭、灯杆、绿地雕塑景观、人行隔离护栏、道路围墙脊瓦等城市家具、公共设施的清洁、保洁工作。</w:t>
      </w:r>
    </w:p>
    <w:p>
      <w:pPr>
        <w:widowControl/>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市政道路果皮箱内垃圾清掏、分类、清运及果皮箱维护、擦拭等日常管护工作。</w:t>
      </w:r>
    </w:p>
    <w:p>
      <w:pPr>
        <w:widowControl/>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本区域内道路冲洒水作业和道路扬尘污染防治管控工作。</w:t>
      </w:r>
    </w:p>
    <w:p>
      <w:pPr>
        <w:widowControl/>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道路抛洒、污染、积水、扫雪除冰、极端天气等突发应急事件处置和重大活动保障。</w:t>
      </w:r>
    </w:p>
    <w:p>
      <w:pPr>
        <w:widowControl/>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b/>
          <w:kern w:val="0"/>
          <w:sz w:val="28"/>
          <w:szCs w:val="28"/>
        </w:rPr>
        <w:t>（</w:t>
      </w:r>
      <w:r>
        <w:rPr>
          <w:rFonts w:hint="eastAsia" w:ascii="仿宋" w:hAnsi="仿宋" w:eastAsia="仿宋" w:cs="仿宋"/>
          <w:b/>
          <w:kern w:val="0"/>
          <w:sz w:val="28"/>
          <w:szCs w:val="28"/>
          <w:lang w:val="en-US" w:eastAsia="zh-CN"/>
        </w:rPr>
        <w:t>二</w:t>
      </w:r>
      <w:r>
        <w:rPr>
          <w:rFonts w:hint="eastAsia" w:ascii="仿宋" w:hAnsi="仿宋" w:eastAsia="仿宋" w:cs="仿宋"/>
          <w:b/>
          <w:kern w:val="0"/>
          <w:sz w:val="28"/>
          <w:szCs w:val="28"/>
        </w:rPr>
        <w:t>）道路清扫保洁作业要求</w:t>
      </w:r>
      <w:r>
        <w:rPr>
          <w:rFonts w:hint="eastAsia" w:ascii="仿宋" w:hAnsi="仿宋" w:eastAsia="仿宋" w:cs="仿宋"/>
          <w:kern w:val="0"/>
          <w:sz w:val="28"/>
          <w:szCs w:val="28"/>
        </w:rPr>
        <w:t>：</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w:t>
      </w:r>
      <w:r>
        <w:rPr>
          <w:rFonts w:hint="eastAsia" w:ascii="仿宋" w:hAnsi="仿宋" w:eastAsia="仿宋" w:cs="仿宋"/>
          <w:b w:val="0"/>
          <w:bCs w:val="0"/>
          <w:kern w:val="0"/>
          <w:sz w:val="28"/>
          <w:szCs w:val="28"/>
        </w:rPr>
        <w:t xml:space="preserve">  1.作业方式：道路清扫保洁按照“五步工作法”进行。</w:t>
      </w:r>
      <w:r>
        <w:rPr>
          <w:rFonts w:hint="eastAsia" w:ascii="仿宋" w:hAnsi="仿宋" w:eastAsia="仿宋" w:cs="仿宋"/>
          <w:b w:val="0"/>
          <w:bCs w:val="0"/>
          <w:kern w:val="0"/>
          <w:sz w:val="28"/>
          <w:szCs w:val="28"/>
        </w:rPr>
        <w:br w:type="textWrapping"/>
      </w:r>
      <w:r>
        <w:rPr>
          <w:rFonts w:hint="eastAsia" w:ascii="仿宋" w:hAnsi="仿宋" w:eastAsia="仿宋" w:cs="仿宋"/>
          <w:b w:val="0"/>
          <w:bCs w:val="0"/>
          <w:kern w:val="0"/>
          <w:sz w:val="28"/>
          <w:szCs w:val="28"/>
        </w:rPr>
        <w:t xml:space="preserve">    2.道路灰带治理：每日上、下午分别对道沿下、隔车带、黄白线的积尘灰带实施冲、洗、刷、拖综合作业。每半月组织一次大冲洗活动，连续作业三天。冬季作业时间原则上，为13：00至15:00气温高于0℃的时段。</w:t>
      </w:r>
      <w:r>
        <w:rPr>
          <w:rFonts w:hint="eastAsia" w:ascii="仿宋" w:hAnsi="仿宋" w:eastAsia="仿宋" w:cs="仿宋"/>
          <w:b w:val="0"/>
          <w:bCs w:val="0"/>
          <w:kern w:val="0"/>
          <w:sz w:val="28"/>
          <w:szCs w:val="28"/>
        </w:rPr>
        <w:br w:type="textWrapping"/>
      </w:r>
      <w:r>
        <w:rPr>
          <w:rFonts w:hint="eastAsia" w:ascii="仿宋" w:hAnsi="仿宋" w:eastAsia="仿宋" w:cs="仿宋"/>
          <w:b w:val="0"/>
          <w:bCs w:val="0"/>
          <w:kern w:val="0"/>
          <w:sz w:val="28"/>
          <w:szCs w:val="28"/>
        </w:rPr>
        <w:t xml:space="preserve">    3.保洁垃圾处置：保洁垃圾就近清运至指定的垃圾收集点，不得倒入下水井内等设施内。秋季落叶装入专用收集袋，统一清运、严禁焚烧。</w:t>
      </w:r>
      <w:r>
        <w:rPr>
          <w:rFonts w:hint="eastAsia" w:ascii="仿宋" w:hAnsi="仿宋" w:eastAsia="仿宋" w:cs="仿宋"/>
          <w:b w:val="0"/>
          <w:bCs w:val="0"/>
          <w:kern w:val="0"/>
          <w:sz w:val="28"/>
          <w:szCs w:val="28"/>
        </w:rPr>
        <w:br w:type="textWrapping"/>
      </w:r>
      <w:r>
        <w:rPr>
          <w:rFonts w:hint="eastAsia" w:ascii="仿宋" w:hAnsi="仿宋" w:eastAsia="仿宋" w:cs="仿宋"/>
          <w:b w:val="0"/>
          <w:bCs w:val="0"/>
          <w:kern w:val="0"/>
          <w:sz w:val="28"/>
          <w:szCs w:val="28"/>
        </w:rPr>
        <w:t xml:space="preserve">     4.清雪作业：保洁单位制定的清雪预案，储备融雪剂等物资和工具；以雪为令，全员上岗。一类道路在雪停后四小时内清除完毕，二类道路在雪停后八小时内清除完毕，三类道路在雪停后12小时内清除完毕。积雪（冰）不得长期堆积，适时清运处置，混有融雪剂的积雪不得倾倒绿化带内。</w:t>
      </w:r>
      <w:r>
        <w:rPr>
          <w:rFonts w:hint="eastAsia" w:ascii="仿宋" w:hAnsi="仿宋" w:eastAsia="仿宋" w:cs="仿宋"/>
          <w:b w:val="0"/>
          <w:bCs w:val="0"/>
          <w:kern w:val="0"/>
          <w:sz w:val="28"/>
          <w:szCs w:val="28"/>
        </w:rPr>
        <w:br w:type="textWrapping"/>
      </w:r>
      <w:r>
        <w:rPr>
          <w:rFonts w:hint="eastAsia" w:ascii="仿宋" w:hAnsi="仿宋" w:eastAsia="仿宋" w:cs="仿宋"/>
          <w:b w:val="0"/>
          <w:bCs w:val="0"/>
          <w:kern w:val="0"/>
          <w:sz w:val="28"/>
          <w:szCs w:val="28"/>
        </w:rPr>
        <w:t xml:space="preserve">    5.及时清除作业区平面及立面各类“野广告”，做到对小张贴及时铲除，对乱贴乱画及时覆盖，并与底色</w:t>
      </w:r>
      <w:r>
        <w:rPr>
          <w:rFonts w:hint="eastAsia" w:ascii="仿宋" w:hAnsi="仿宋" w:eastAsia="仿宋" w:cs="仿宋"/>
          <w:kern w:val="0"/>
          <w:sz w:val="28"/>
          <w:szCs w:val="28"/>
        </w:rPr>
        <w:t>相一致。</w:t>
      </w:r>
    </w:p>
    <w:p>
      <w:pPr>
        <w:widowControl/>
        <w:ind w:firstLine="562" w:firstLineChars="200"/>
        <w:jc w:val="left"/>
        <w:rPr>
          <w:rFonts w:hint="eastAsia" w:ascii="仿宋" w:hAnsi="仿宋" w:eastAsia="仿宋" w:cs="仿宋"/>
          <w:kern w:val="0"/>
          <w:sz w:val="28"/>
          <w:szCs w:val="28"/>
        </w:rPr>
      </w:pPr>
      <w:r>
        <w:rPr>
          <w:rFonts w:hint="eastAsia" w:ascii="仿宋" w:hAnsi="仿宋" w:eastAsia="仿宋" w:cs="仿宋"/>
          <w:b/>
          <w:kern w:val="0"/>
          <w:sz w:val="28"/>
          <w:szCs w:val="28"/>
        </w:rPr>
        <w:t>6.</w:t>
      </w:r>
      <w:r>
        <w:rPr>
          <w:rFonts w:hint="eastAsia" w:ascii="仿宋" w:hAnsi="仿宋" w:eastAsia="仿宋" w:cs="仿宋"/>
          <w:kern w:val="0"/>
          <w:sz w:val="28"/>
          <w:szCs w:val="28"/>
        </w:rPr>
        <w:t>无主垃圾清运：对于沿街发现的无主垃圾、废旧家具及时组织人员进行清运，不得堆积过夜。</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w:t>
      </w:r>
      <w:r>
        <w:rPr>
          <w:rFonts w:hint="eastAsia" w:ascii="仿宋" w:hAnsi="仿宋" w:eastAsia="仿宋" w:cs="仿宋"/>
          <w:b/>
          <w:kern w:val="0"/>
          <w:sz w:val="28"/>
          <w:szCs w:val="28"/>
        </w:rPr>
        <w:t>7</w:t>
      </w:r>
      <w:r>
        <w:rPr>
          <w:rFonts w:hint="eastAsia" w:ascii="仿宋" w:hAnsi="仿宋" w:eastAsia="仿宋" w:cs="仿宋"/>
          <w:kern w:val="0"/>
          <w:sz w:val="28"/>
          <w:szCs w:val="28"/>
        </w:rPr>
        <w:t>.承包人应严格按照《西安市城市市容和环境卫生管理条例》相关内容，规范管理，做好道路清扫保洁工作。</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w:t>
      </w:r>
      <w:r>
        <w:rPr>
          <w:rFonts w:hint="eastAsia" w:ascii="仿宋" w:hAnsi="仿宋" w:eastAsia="仿宋" w:cs="仿宋"/>
          <w:b/>
          <w:kern w:val="0"/>
          <w:sz w:val="28"/>
          <w:szCs w:val="28"/>
        </w:rPr>
        <w:t>（</w:t>
      </w:r>
      <w:r>
        <w:rPr>
          <w:rFonts w:hint="eastAsia" w:ascii="仿宋" w:hAnsi="仿宋" w:eastAsia="仿宋" w:cs="仿宋"/>
          <w:b/>
          <w:kern w:val="0"/>
          <w:sz w:val="28"/>
          <w:szCs w:val="28"/>
          <w:lang w:val="en-US" w:eastAsia="zh-CN"/>
        </w:rPr>
        <w:t>三</w:t>
      </w:r>
      <w:r>
        <w:rPr>
          <w:rFonts w:hint="eastAsia" w:ascii="仿宋" w:hAnsi="仿宋" w:eastAsia="仿宋" w:cs="仿宋"/>
          <w:b/>
          <w:kern w:val="0"/>
          <w:sz w:val="28"/>
          <w:szCs w:val="28"/>
        </w:rPr>
        <w:t>）保洁人员行为规范要求</w:t>
      </w:r>
      <w:r>
        <w:rPr>
          <w:rFonts w:hint="eastAsia" w:ascii="仿宋" w:hAnsi="仿宋" w:eastAsia="仿宋" w:cs="仿宋"/>
          <w:kern w:val="0"/>
          <w:sz w:val="28"/>
          <w:szCs w:val="28"/>
        </w:rPr>
        <w:t>：</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1.保洁员上岗时间，必须穿着配有反光标志保洁服，并保持干净整洁。</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2.男保洁员不得留胡须、长发，女保洁员不得留披肩发。</w:t>
      </w:r>
    </w:p>
    <w:p>
      <w:pPr>
        <w:widowControl/>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3.夏季作业，保洁员不得敞胸露背、赤脚或穿拖鞋，做到文明作业。</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4.工作时间内严禁聚堆、闲谈或干与工作无关的事。</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5.保洁工作过程中，严禁将扫把等工具挂在树上、放在护栏上或靠在墙上。</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6.经常检查、维修、更新清扫保洁工具，保证处于良好状态。</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7.严禁将垃圾倾倒在非垃圾收集等区域。</w:t>
      </w:r>
    </w:p>
    <w:p>
      <w:pPr>
        <w:widowControl/>
        <w:ind w:firstLine="562" w:firstLineChars="200"/>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（四）车辆及人员配备</w:t>
      </w:r>
    </w:p>
    <w:p>
      <w:pPr>
        <w:spacing w:line="520" w:lineRule="exact"/>
        <w:ind w:firstLine="645"/>
        <w:contextualSpacing/>
        <w:rPr>
          <w:rFonts w:hint="eastAsia" w:ascii="仿宋" w:hAnsi="仿宋" w:eastAsia="仿宋" w:cs="仿宋"/>
          <w:sz w:val="28"/>
          <w:szCs w:val="28"/>
          <w:highlight w:val="none"/>
          <w:u w:val="none"/>
          <w:lang w:val="en-US" w:eastAsia="zh-CN"/>
        </w:rPr>
      </w:pPr>
      <w:r>
        <w:rPr>
          <w:rFonts w:hint="eastAsia" w:ascii="仿宋" w:hAnsi="仿宋" w:eastAsia="仿宋" w:cs="仿宋"/>
          <w:kern w:val="0"/>
          <w:sz w:val="28"/>
          <w:szCs w:val="28"/>
          <w:highlight w:val="none"/>
          <w:lang w:val="en-US" w:eastAsia="zh-CN"/>
        </w:rPr>
        <w:t>1、甲方将现有</w:t>
      </w:r>
      <w:r>
        <w:rPr>
          <w:rFonts w:hint="eastAsia" w:ascii="仿宋" w:hAnsi="仿宋" w:eastAsia="仿宋" w:cs="仿宋"/>
          <w:kern w:val="0"/>
          <w:sz w:val="28"/>
          <w:szCs w:val="28"/>
          <w:highlight w:val="none"/>
        </w:rPr>
        <w:t>洒水车</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 xml:space="preserve"> 辆， </w:t>
      </w:r>
      <w:r>
        <w:rPr>
          <w:rFonts w:hint="eastAsia" w:ascii="仿宋" w:hAnsi="仿宋" w:eastAsia="仿宋" w:cs="仿宋"/>
          <w:kern w:val="0"/>
          <w:sz w:val="28"/>
          <w:szCs w:val="28"/>
          <w:highlight w:val="none"/>
          <w:lang w:val="en-US" w:eastAsia="zh-CN"/>
        </w:rPr>
        <w:t>机</w:t>
      </w:r>
      <w:r>
        <w:rPr>
          <w:rFonts w:hint="eastAsia" w:ascii="仿宋" w:hAnsi="仿宋" w:eastAsia="仿宋" w:cs="仿宋"/>
          <w:kern w:val="0"/>
          <w:sz w:val="28"/>
          <w:szCs w:val="28"/>
          <w:highlight w:val="none"/>
        </w:rPr>
        <w:t xml:space="preserve">扫车 </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 xml:space="preserve"> 辆，</w:t>
      </w:r>
      <w:r>
        <w:rPr>
          <w:rFonts w:hint="eastAsia" w:ascii="仿宋" w:hAnsi="仿宋" w:eastAsia="仿宋" w:cs="仿宋"/>
          <w:kern w:val="0"/>
          <w:sz w:val="28"/>
          <w:szCs w:val="28"/>
          <w:highlight w:val="none"/>
          <w:lang w:val="en-US" w:eastAsia="zh-CN"/>
        </w:rPr>
        <w:t>人力三轮车128辆，秦霸电动三轮车16辆</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val="en-US" w:eastAsia="zh-CN"/>
        </w:rPr>
        <w:t>以有偿租赁的方式交给乙方，按照莲湖区财政局《西安市莲湖区保洁清扫车辆有偿使用管理暂行办法（试行）》相关规定，租赁费为40万元/年，租赁费按月收取，于使用的次月甲方支付乙方承包费时直接从承包费中扣除，合同期内乙方应承担车辆的维修维护责任。投标人须在投标时明确响应。</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保洁员配备</w:t>
      </w:r>
    </w:p>
    <w:p>
      <w:pPr>
        <w:spacing w:line="520" w:lineRule="exact"/>
        <w:ind w:firstLine="645"/>
        <w:contextualSpacing/>
        <w:rPr>
          <w:rFonts w:hint="eastAsia" w:ascii="仿宋" w:hAnsi="仿宋" w:eastAsia="仿宋" w:cs="仿宋"/>
          <w:sz w:val="28"/>
          <w:szCs w:val="28"/>
        </w:rPr>
      </w:pPr>
      <w:r>
        <w:rPr>
          <w:rFonts w:hint="eastAsia" w:eastAsia="仿宋" w:cs="Calibri"/>
          <w:sz w:val="28"/>
          <w:szCs w:val="28"/>
          <w:lang w:eastAsia="zh-CN"/>
        </w:rPr>
        <w:t>（</w:t>
      </w:r>
      <w:r>
        <w:rPr>
          <w:rFonts w:hint="eastAsia" w:eastAsia="仿宋" w:cs="Calibri"/>
          <w:sz w:val="28"/>
          <w:szCs w:val="28"/>
          <w:lang w:val="en-US" w:eastAsia="zh-CN"/>
        </w:rPr>
        <w:t>1</w:t>
      </w:r>
      <w:r>
        <w:rPr>
          <w:rFonts w:hint="eastAsia" w:eastAsia="仿宋" w:cs="Calibri"/>
          <w:sz w:val="28"/>
          <w:szCs w:val="28"/>
          <w:lang w:eastAsia="zh-CN"/>
        </w:rPr>
        <w:t>）</w:t>
      </w:r>
      <w:r>
        <w:rPr>
          <w:rFonts w:hint="eastAsia" w:ascii="仿宋" w:hAnsi="仿宋" w:eastAsia="仿宋" w:cs="仿宋"/>
          <w:sz w:val="28"/>
          <w:szCs w:val="28"/>
        </w:rPr>
        <w:t>保洁员配备数</w:t>
      </w:r>
      <w:r>
        <w:rPr>
          <w:rFonts w:hint="eastAsia" w:ascii="仿宋" w:hAnsi="仿宋" w:eastAsia="仿宋" w:cs="仿宋"/>
          <w:sz w:val="28"/>
          <w:szCs w:val="28"/>
          <w:highlight w:val="none"/>
        </w:rPr>
        <w:t>量</w:t>
      </w:r>
      <w:r>
        <w:rPr>
          <w:rFonts w:hint="eastAsia" w:ascii="仿宋" w:hAnsi="仿宋" w:eastAsia="仿宋" w:cs="仿宋"/>
          <w:sz w:val="28"/>
          <w:szCs w:val="28"/>
          <w:highlight w:val="none"/>
          <w:u w:val="single"/>
          <w:lang w:val="en-US" w:eastAsia="zh-CN"/>
        </w:rPr>
        <w:t>305</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，每月划拨</w:t>
      </w:r>
      <w:r>
        <w:rPr>
          <w:rFonts w:hint="eastAsia" w:ascii="仿宋" w:hAnsi="仿宋" w:eastAsia="仿宋" w:cs="仿宋"/>
          <w:sz w:val="28"/>
          <w:szCs w:val="28"/>
        </w:rPr>
        <w:t>经费时，按缺配人数扣除相应的保洁员月用工费用，保证保洁员合理配置，足额上岗。</w:t>
      </w:r>
    </w:p>
    <w:p>
      <w:pPr>
        <w:numPr>
          <w:ilvl w:val="0"/>
          <w:numId w:val="0"/>
        </w:numPr>
        <w:ind w:firstLine="560" w:firstLineChars="200"/>
        <w:jc w:val="left"/>
        <w:rPr>
          <w:rFonts w:hint="eastAsia" w:ascii="仿宋" w:hAnsi="仿宋" w:eastAsia="仿宋" w:cs="仿宋"/>
          <w:kern w:val="0"/>
          <w:sz w:val="28"/>
          <w:szCs w:val="28"/>
        </w:rPr>
      </w:pPr>
      <w:r>
        <w:rPr>
          <w:rFonts w:hint="eastAsia" w:eastAsia="仿宋" w:cs="Calibri"/>
          <w:sz w:val="28"/>
          <w:szCs w:val="28"/>
          <w:lang w:eastAsia="zh-CN"/>
        </w:rPr>
        <w:t>（</w:t>
      </w:r>
      <w:r>
        <w:rPr>
          <w:rFonts w:hint="eastAsia" w:eastAsia="仿宋" w:cs="Calibri"/>
          <w:sz w:val="28"/>
          <w:szCs w:val="28"/>
          <w:lang w:val="en-US" w:eastAsia="zh-CN"/>
        </w:rPr>
        <w:t>2</w:t>
      </w:r>
      <w:r>
        <w:rPr>
          <w:rFonts w:hint="eastAsia" w:eastAsia="仿宋" w:cs="Calibri"/>
          <w:sz w:val="28"/>
          <w:szCs w:val="28"/>
          <w:lang w:eastAsia="zh-CN"/>
        </w:rPr>
        <w:t>）</w:t>
      </w:r>
      <w:r>
        <w:rPr>
          <w:rFonts w:hint="eastAsia" w:ascii="仿宋" w:hAnsi="仿宋" w:eastAsia="仿宋" w:cs="仿宋"/>
          <w:kern w:val="0"/>
          <w:sz w:val="28"/>
          <w:szCs w:val="28"/>
        </w:rPr>
        <w:t>乙方需抽调20名保洁员交由街道城管委作为市容应急保障队进行人员统一管理和工作安排。</w:t>
      </w:r>
    </w:p>
    <w:p>
      <w:pPr>
        <w:widowControl/>
        <w:ind w:firstLine="562" w:firstLineChars="200"/>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（五）劳动保障</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中标人须与保洁员签订劳动合同。劳动合同须在相关街办留存备案备查；</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中标人应向保洁员按时全额发放工资、福利。按照市、区相关文件，保洁员工资</w:t>
      </w:r>
      <w:r>
        <w:rPr>
          <w:rFonts w:hint="eastAsia" w:ascii="仿宋" w:hAnsi="仿宋" w:eastAsia="仿宋" w:cs="仿宋"/>
          <w:sz w:val="28"/>
          <w:szCs w:val="28"/>
          <w:lang w:val="en-US" w:eastAsia="zh-CN"/>
        </w:rPr>
        <w:t>2805</w:t>
      </w:r>
      <w:r>
        <w:rPr>
          <w:rFonts w:hint="eastAsia" w:ascii="仿宋" w:hAnsi="仿宋" w:eastAsia="仿宋" w:cs="仿宋"/>
          <w:sz w:val="28"/>
          <w:szCs w:val="28"/>
        </w:rPr>
        <w:t>元/人/月，降温费1350元/人/年，取暖费900元/人/年（11月15日至次年3月15日），劳保费350元/人/年。春秋装、冬装、夏装等工作服及手套、口罩等劳保用品。保洁员法定节假日加班的应按规定发放相应的报酬；高温津贴、社会保险由承包企业先行垫付，实报实销；</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机械化作业运行费用：含燃油、保险、维修、保养、租赁费等。</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中标人须按照市级部门要求为保洁员购买社会保险及雇主责任险：</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中标人必须按照要求给保洁人员办理社会保险。个人承担部分由中标人从保洁员当月工资中扣除，代扣代缴；企业应当承担部分，由承包企业先垫付，每月据实结算，实报实销；</w:t>
      </w:r>
    </w:p>
    <w:p>
      <w:pPr>
        <w:spacing w:line="520" w:lineRule="exact"/>
        <w:ind w:left="0" w:leftChars="0" w:firstLine="638" w:firstLineChars="228"/>
        <w:contextualSpacing/>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保洁员实行“7天休1天”工作制；</w:t>
      </w:r>
    </w:p>
    <w:p>
      <w:pPr>
        <w:keepNext w:val="0"/>
        <w:keepLines w:val="0"/>
        <w:pageBreakBefore w:val="0"/>
        <w:widowControl w:val="0"/>
        <w:kinsoku/>
        <w:wordWrap/>
        <w:overflowPunct/>
        <w:topLinePunct w:val="0"/>
        <w:autoSpaceDE/>
        <w:autoSpaceDN/>
        <w:bidi w:val="0"/>
        <w:adjustRightInd/>
        <w:snapToGrid/>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投标单位须执行《劳动法》有关员工保障的其他规定。</w:t>
      </w:r>
    </w:p>
    <w:p>
      <w:pPr>
        <w:spacing w:line="520" w:lineRule="exact"/>
        <w:ind w:firstLine="562" w:firstLineChars="200"/>
        <w:contextualSpacing/>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（六）经费构成</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人工费用：含人员工资、社保、福利待遇、商业险及工服、工具、法定节假日加班费等（人员社保费、</w:t>
      </w:r>
      <w:r>
        <w:rPr>
          <w:rFonts w:hint="eastAsia" w:ascii="仿宋" w:hAnsi="仿宋" w:eastAsia="仿宋" w:cs="仿宋"/>
          <w:sz w:val="28"/>
          <w:szCs w:val="28"/>
          <w:lang w:eastAsia="zh-CN"/>
        </w:rPr>
        <w:t>商业险、</w:t>
      </w:r>
      <w:r>
        <w:rPr>
          <w:rFonts w:hint="eastAsia" w:ascii="仿宋" w:hAnsi="仿宋" w:eastAsia="仿宋" w:cs="仿宋"/>
          <w:sz w:val="28"/>
          <w:szCs w:val="28"/>
        </w:rPr>
        <w:t>保洁员夏季高温津贴等费用根据实际发生情况单独核算）。</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机械化作业运行费用：含燃油、保险、维修、保养、租赁费等。</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税费。</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运营管理费及利润：不得超过总承包费的10%。</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政策性增资执行市上有关调资政策，由区城管局、</w:t>
      </w:r>
      <w:r>
        <w:rPr>
          <w:rFonts w:hint="eastAsia" w:ascii="仿宋" w:hAnsi="仿宋" w:eastAsia="仿宋" w:cs="仿宋"/>
          <w:sz w:val="28"/>
          <w:szCs w:val="28"/>
          <w:lang w:eastAsia="zh-CN"/>
        </w:rPr>
        <w:t>北院门街道办事处</w:t>
      </w:r>
      <w:r>
        <w:rPr>
          <w:rFonts w:hint="eastAsia" w:ascii="仿宋" w:hAnsi="仿宋" w:eastAsia="仿宋" w:cs="仿宋"/>
          <w:sz w:val="28"/>
          <w:szCs w:val="28"/>
        </w:rPr>
        <w:t>与承包方共同研究确定，予以追加补发；因发包单位工作需要，增加临时性工作所产生的费用，由甲、乙双方自行协商解决。</w:t>
      </w:r>
    </w:p>
    <w:p>
      <w:pPr>
        <w:spacing w:line="520" w:lineRule="exact"/>
        <w:ind w:firstLine="562" w:firstLineChars="200"/>
        <w:contextualSpacing/>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、监管依据</w:t>
      </w:r>
      <w:r>
        <w:rPr>
          <w:rFonts w:hint="eastAsia" w:ascii="仿宋" w:hAnsi="仿宋" w:eastAsia="仿宋" w:cs="仿宋"/>
          <w:b/>
          <w:bCs/>
          <w:sz w:val="28"/>
          <w:szCs w:val="28"/>
          <w:lang w:val="en-US" w:eastAsia="zh-CN"/>
        </w:rPr>
        <w:t>与考核</w:t>
      </w:r>
    </w:p>
    <w:p>
      <w:pPr>
        <w:pStyle w:val="109"/>
        <w:keepNext w:val="0"/>
        <w:keepLines w:val="0"/>
        <w:pageBreakBefore w:val="0"/>
        <w:widowControl w:val="0"/>
        <w:kinsoku/>
        <w:wordWrap/>
        <w:overflowPunct/>
        <w:topLinePunct w:val="0"/>
        <w:bidi w:val="0"/>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1、监管依据：依据《西安市城市道路“以克论净 深度保洁”作业标准（试行）》（市政办发〔2017〕7 号）、《城市道路清扫保洁技术规范》（DB 6101/T 3057-2019）、《西安市莲湖区道路清扫保洁第三轮服务外包工作实施方案》（莲城管办发〔2023〕4号）和《莲湖区道路清扫保洁工作管理规范》（莲城管发〔2020〕74号）相关工作规范、标准，坚持道路清扫保洁质量量化和综合评价原则，对考核对象进行量化打分、考核排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2、考核办法、评分及奖罚标准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《西安市莲湖区道路清扫保洁考核办法》；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《西安市莲湖区道路清扫保洁考核评分标准》；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仿宋"/>
          <w:lang w:eastAsia="zh-CN"/>
        </w:rPr>
      </w:pPr>
      <w:r>
        <w:rPr>
          <w:rFonts w:hint="eastAsia" w:ascii="仿宋" w:hAnsi="仿宋" w:eastAsia="仿宋" w:cs="仿宋"/>
          <w:kern w:val="2"/>
          <w:sz w:val="28"/>
          <w:szCs w:val="28"/>
          <w:lang w:val="en-US" w:eastAsia="zh-CN" w:bidi="ar-SA"/>
        </w:rPr>
        <w:t>《西安市莲湖区道路清扫保洁考核奖罚标准》。</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检查考核</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分为行业监督考核和属地管理考核。</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行业监督考核由区城管局负责，采取第三方日巡检与业务科室督导检查并行的方式进行，量化打分，每月排名，每年总评。每月对</w:t>
      </w:r>
      <w:r>
        <w:rPr>
          <w:rFonts w:hint="eastAsia" w:ascii="仿宋" w:hAnsi="仿宋" w:eastAsia="仿宋" w:cs="仿宋"/>
          <w:sz w:val="28"/>
          <w:szCs w:val="28"/>
          <w:lang w:eastAsia="zh-CN"/>
        </w:rPr>
        <w:t>北院门街道办事处</w:t>
      </w:r>
      <w:r>
        <w:rPr>
          <w:rFonts w:hint="eastAsia" w:ascii="仿宋" w:hAnsi="仿宋" w:eastAsia="仿宋" w:cs="仿宋"/>
          <w:sz w:val="28"/>
          <w:szCs w:val="28"/>
        </w:rPr>
        <w:t>排名前两位的予以表扬，排名后两位的予以通报批评；对各项目部进行考核，排名前两位的分别奖励3万元、2万元，排名后两位的，从外包服务费中分别扣缴5万元、3万元；每年对总评成绩排名前两位的项目部分别奖励20万元、10万元，奖励资金由区财政列支。</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rPr>
        <w:t>属地管理考核由各发包单位负责，实行百分制评定，达标分值设为80-90分，高于90分的，每高1分奖励5000元；低于80分的，每低1分处罚5000元，每月兑现，奖励资金由区财政列支。</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退出机制</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黄牌警告。对不按时发放保洁员工资、福利待遇、购买社会保险，在重大活动保障和应急处置中因工作失误造成重大影响的，以及在单项考核工作中因清扫保洁不到位造成我区排名靠后或恶劣影响的，给予书面警示。</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单项终止。在一年内月度考评中，外包公司项目部连续3次或累计4次列末位的，以及未切实履行合同，年度内被2次黄牌警告的，</w:t>
      </w:r>
      <w:r>
        <w:rPr>
          <w:rFonts w:hint="eastAsia" w:ascii="仿宋" w:hAnsi="仿宋" w:eastAsia="仿宋" w:cs="仿宋"/>
          <w:sz w:val="28"/>
          <w:szCs w:val="28"/>
          <w:lang w:eastAsia="zh-CN"/>
        </w:rPr>
        <w:t>北院门街道办事处</w:t>
      </w:r>
      <w:r>
        <w:rPr>
          <w:rFonts w:hint="eastAsia" w:ascii="仿宋" w:hAnsi="仿宋" w:eastAsia="仿宋" w:cs="仿宋"/>
          <w:sz w:val="28"/>
          <w:szCs w:val="28"/>
        </w:rPr>
        <w:t>可终止承包合同。</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联片退出。在承包期内，外包公司出现偷税漏税、劳务纠纷、违法失信等行为，或因管理不善，发生重大群体性事件，造成恶劣影响的，区城管局提交区政府，申请终止中标企业所有中标合同，纳入城管征信体系，3年内不得在莲湖辖区承担道路清扫保洁服务外包项目。</w:t>
      </w:r>
    </w:p>
    <w:p>
      <w:pPr>
        <w:spacing w:line="520" w:lineRule="exact"/>
        <w:ind w:firstLine="645"/>
        <w:contextualSpacing/>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末位淘汰。在服务期限内，承担道路清扫保洁任务的公司年度综合考评总评成绩列末位的，不得参与下一轮服务外包。当出现单项终止和整体退出导致合同终止时，提出终止合同方需报告区政府，经区政府研究审定，由区环卫应急保障中心管理。</w:t>
      </w:r>
    </w:p>
    <w:p>
      <w:pPr>
        <w:keepNext w:val="0"/>
        <w:keepLines w:val="0"/>
        <w:pageBreakBefore w:val="0"/>
        <w:widowControl w:val="0"/>
        <w:kinsoku/>
        <w:wordWrap/>
        <w:overflowPunct/>
        <w:topLinePunct w:val="0"/>
        <w:bidi w:val="0"/>
        <w:spacing w:line="360" w:lineRule="auto"/>
        <w:ind w:firstLine="480"/>
        <w:jc w:val="center"/>
        <w:textAlignment w:val="auto"/>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商务要求</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1、质量要求：</w:t>
      </w:r>
      <w:r>
        <w:rPr>
          <w:rFonts w:hint="eastAsia" w:ascii="仿宋" w:hAnsi="仿宋" w:eastAsia="仿宋" w:cs="仿宋"/>
          <w:color w:val="auto"/>
          <w:sz w:val="28"/>
          <w:szCs w:val="28"/>
          <w:highlight w:val="none"/>
          <w:lang w:eastAsia="zh-CN"/>
        </w:rPr>
        <w:t>符合《西安市城市道路“以克论净 深度保洁”作业标准（试行）》、莲湖区财政局《西安市莲湖区保洁清扫车辆有偿使用管理暂行办法（试行）》、</w:t>
      </w:r>
      <w:r>
        <w:rPr>
          <w:rFonts w:hint="eastAsia" w:ascii="仿宋" w:hAnsi="仿宋" w:eastAsia="仿宋" w:cs="仿宋"/>
          <w:color w:val="auto"/>
          <w:sz w:val="28"/>
          <w:szCs w:val="28"/>
          <w:highlight w:val="none"/>
          <w:lang w:val="en-US" w:eastAsia="zh-CN"/>
        </w:rPr>
        <w:t>西安市莲湖区城市管理工作委员会办公室关于印发《西安市莲湖区第三轮道路清扫保洁服务工作实施方案》通知（莲城管发〔2023〕4号）</w:t>
      </w:r>
      <w:r>
        <w:rPr>
          <w:rFonts w:hint="eastAsia" w:ascii="仿宋" w:hAnsi="仿宋" w:eastAsia="仿宋" w:cs="仿宋"/>
          <w:color w:val="auto"/>
          <w:sz w:val="28"/>
          <w:szCs w:val="28"/>
          <w:highlight w:val="none"/>
          <w:lang w:eastAsia="zh-CN"/>
        </w:rPr>
        <w:t>以及行业管理相关规定和承包合同规定条款。</w:t>
      </w:r>
    </w:p>
    <w:p>
      <w:pPr>
        <w:keepNext w:val="0"/>
        <w:keepLines w:val="0"/>
        <w:pageBreakBefore w:val="0"/>
        <w:widowControl w:val="0"/>
        <w:kinsoku/>
        <w:wordWrap/>
        <w:overflowPunct/>
        <w:topLinePunct w:val="0"/>
        <w:bidi w:val="0"/>
        <w:spacing w:line="360" w:lineRule="auto"/>
        <w:ind w:firstLine="482"/>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rPr>
        <w:t>2</w:t>
      </w:r>
      <w:r>
        <w:rPr>
          <w:rFonts w:hint="eastAsia" w:ascii="仿宋" w:hAnsi="仿宋" w:eastAsia="仿宋" w:cs="仿宋"/>
          <w:b/>
          <w:color w:val="auto"/>
          <w:sz w:val="28"/>
          <w:szCs w:val="28"/>
          <w:highlight w:val="none"/>
        </w:rPr>
        <w:t>、项目实施地点：</w:t>
      </w:r>
      <w:r>
        <w:rPr>
          <w:rFonts w:hint="eastAsia" w:ascii="仿宋" w:hAnsi="仿宋" w:eastAsia="仿宋" w:cs="仿宋"/>
          <w:color w:val="auto"/>
          <w:sz w:val="28"/>
          <w:szCs w:val="28"/>
          <w:highlight w:val="none"/>
        </w:rPr>
        <w:t>北院门街办辖区。</w:t>
      </w:r>
      <w:r>
        <w:rPr>
          <w:rFonts w:hint="eastAsia" w:ascii="仿宋" w:hAnsi="仿宋" w:eastAsia="仿宋" w:cs="仿宋"/>
          <w:b/>
          <w:color w:val="auto"/>
          <w:sz w:val="28"/>
          <w:szCs w:val="28"/>
          <w:highlight w:val="none"/>
        </w:rPr>
        <w:t xml:space="preserve"> </w:t>
      </w:r>
    </w:p>
    <w:p>
      <w:pPr>
        <w:keepNext w:val="0"/>
        <w:keepLines w:val="0"/>
        <w:pageBreakBefore w:val="0"/>
        <w:widowControl w:val="0"/>
        <w:kinsoku/>
        <w:wordWrap/>
        <w:overflowPunct/>
        <w:topLinePunct w:val="0"/>
        <w:bidi w:val="0"/>
        <w:spacing w:line="360" w:lineRule="auto"/>
        <w:ind w:firstLine="482"/>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lang w:val="en-US"/>
        </w:rPr>
        <w:t>3</w:t>
      </w:r>
      <w:r>
        <w:rPr>
          <w:rFonts w:hint="eastAsia" w:ascii="仿宋" w:hAnsi="仿宋" w:eastAsia="仿宋" w:cs="仿宋"/>
          <w:b/>
          <w:color w:val="auto"/>
          <w:sz w:val="28"/>
          <w:szCs w:val="28"/>
          <w:highlight w:val="none"/>
        </w:rPr>
        <w:t>、服务</w:t>
      </w:r>
      <w:r>
        <w:rPr>
          <w:rFonts w:hint="eastAsia" w:ascii="仿宋" w:hAnsi="仿宋" w:eastAsia="仿宋" w:cs="仿宋"/>
          <w:b/>
          <w:color w:val="auto"/>
          <w:sz w:val="28"/>
          <w:szCs w:val="28"/>
          <w:highlight w:val="none"/>
          <w:lang w:val="en-US" w:eastAsia="zh-CN"/>
        </w:rPr>
        <w:t>期限</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年</w:t>
      </w:r>
      <w:r>
        <w:rPr>
          <w:rFonts w:hint="eastAsia" w:ascii="仿宋" w:hAnsi="仿宋" w:eastAsia="仿宋" w:cs="仿宋"/>
          <w:color w:val="auto"/>
          <w:sz w:val="28"/>
          <w:szCs w:val="28"/>
          <w:highlight w:val="none"/>
        </w:rPr>
        <w:t>（从合同签订</w:t>
      </w:r>
      <w:r>
        <w:rPr>
          <w:rFonts w:hint="eastAsia" w:ascii="仿宋" w:hAnsi="仿宋" w:eastAsia="仿宋" w:cs="仿宋"/>
          <w:color w:val="auto"/>
          <w:sz w:val="28"/>
          <w:szCs w:val="28"/>
          <w:highlight w:val="none"/>
          <w:lang w:val="en-US" w:eastAsia="zh-CN"/>
        </w:rPr>
        <w:t>之日起至服务期满</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bidi w:val="0"/>
        <w:spacing w:line="360" w:lineRule="auto"/>
        <w:ind w:firstLine="482"/>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、付款方式：</w:t>
      </w:r>
    </w:p>
    <w:p>
      <w:pPr>
        <w:keepNext w:val="0"/>
        <w:keepLines w:val="0"/>
        <w:pageBreakBefore w:val="0"/>
        <w:widowControl w:val="0"/>
        <w:kinsoku/>
        <w:wordWrap/>
        <w:overflowPunct/>
        <w:topLinePunct w:val="0"/>
        <w:bidi w:val="0"/>
        <w:spacing w:line="360" w:lineRule="auto"/>
        <w:ind w:firstLine="48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由</w:t>
      </w:r>
      <w:r>
        <w:rPr>
          <w:rFonts w:hint="eastAsia" w:ascii="仿宋" w:hAnsi="仿宋" w:eastAsia="仿宋" w:cs="仿宋"/>
          <w:color w:val="auto"/>
          <w:sz w:val="28"/>
          <w:szCs w:val="28"/>
          <w:highlight w:val="none"/>
          <w:lang w:val="en-US" w:eastAsia="zh-CN"/>
        </w:rPr>
        <w:t>莲湖</w:t>
      </w:r>
      <w:r>
        <w:rPr>
          <w:rFonts w:hint="eastAsia" w:ascii="仿宋" w:hAnsi="仿宋" w:eastAsia="仿宋" w:cs="仿宋"/>
          <w:color w:val="auto"/>
          <w:sz w:val="28"/>
          <w:szCs w:val="28"/>
          <w:highlight w:val="none"/>
          <w:lang w:eastAsia="zh-CN"/>
        </w:rPr>
        <w:t>区财政局按各区域经费基数价逐月拨付至</w:t>
      </w:r>
      <w:r>
        <w:rPr>
          <w:rFonts w:hint="eastAsia" w:ascii="仿宋" w:hAnsi="仿宋" w:eastAsia="仿宋" w:cs="仿宋"/>
          <w:color w:val="auto"/>
          <w:sz w:val="28"/>
          <w:szCs w:val="28"/>
          <w:highlight w:val="none"/>
          <w:lang w:val="en-US" w:eastAsia="zh-CN"/>
        </w:rPr>
        <w:t>北院门街道办事处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北院门街道办事处</w:t>
      </w:r>
      <w:r>
        <w:rPr>
          <w:rFonts w:hint="eastAsia" w:ascii="仿宋" w:hAnsi="仿宋" w:eastAsia="仿宋" w:cs="仿宋"/>
          <w:color w:val="auto"/>
          <w:sz w:val="28"/>
          <w:szCs w:val="28"/>
          <w:highlight w:val="none"/>
          <w:lang w:eastAsia="zh-CN"/>
        </w:rPr>
        <w:t>于每月10日前依据中标价向</w:t>
      </w:r>
      <w:r>
        <w:rPr>
          <w:rFonts w:hint="eastAsia" w:ascii="仿宋" w:hAnsi="仿宋" w:eastAsia="仿宋" w:cs="仿宋"/>
          <w:color w:val="auto"/>
          <w:sz w:val="28"/>
          <w:szCs w:val="28"/>
          <w:highlight w:val="none"/>
          <w:lang w:val="en-US" w:eastAsia="zh-CN"/>
        </w:rPr>
        <w:t>中标单位</w:t>
      </w:r>
      <w:r>
        <w:rPr>
          <w:rFonts w:hint="eastAsia" w:ascii="仿宋" w:hAnsi="仿宋" w:eastAsia="仿宋" w:cs="仿宋"/>
          <w:color w:val="auto"/>
          <w:sz w:val="28"/>
          <w:szCs w:val="28"/>
          <w:highlight w:val="none"/>
          <w:lang w:eastAsia="zh-CN"/>
        </w:rPr>
        <w:t>支付（逢节假日顺延）上月费用，企业于每月 15 日前将工资发放至保洁员。该项目纳入 2023 年财政重点绩效评价范围，项目运行 3-4 个月后进行事中绩效评价，评价结果将作为后续安排资金的依据。</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bidi w:val="0"/>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.2结算方式：采购人与中标供应商直接结算，发票直开采购人。</w:t>
      </w:r>
    </w:p>
    <w:p>
      <w:pPr>
        <w:keepNext w:val="0"/>
        <w:keepLines w:val="0"/>
        <w:pageBreakBefore w:val="0"/>
        <w:widowControl w:val="0"/>
        <w:kinsoku/>
        <w:wordWrap/>
        <w:overflowPunct/>
        <w:topLinePunct w:val="0"/>
        <w:bidi w:val="0"/>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.3支付方式：银行转账。</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4"/>
          <w:highlight w:val="cyan"/>
          <w:lang w:val="en-US" w:eastAsia="zh-CN"/>
        </w:rPr>
      </w:pPr>
    </w:p>
    <w:p>
      <w:pPr>
        <w:pStyle w:val="2"/>
        <w:rPr>
          <w:rFonts w:hint="eastAsia" w:ascii="宋体" w:hAnsi="宋体" w:eastAsia="宋体" w:cs="宋体"/>
          <w:color w:val="auto"/>
          <w:sz w:val="24"/>
          <w:highlight w:val="cyan"/>
          <w:lang w:val="en-US" w:eastAsia="zh-CN"/>
        </w:rPr>
      </w:pPr>
    </w:p>
    <w:p>
      <w:pPr>
        <w:rPr>
          <w:rFonts w:hint="eastAsia" w:ascii="宋体" w:hAnsi="宋体" w:eastAsia="宋体" w:cs="宋体"/>
          <w:color w:val="auto"/>
          <w:sz w:val="24"/>
          <w:highlight w:val="cyan"/>
          <w:lang w:val="en-US" w:eastAsia="zh-CN"/>
        </w:rPr>
      </w:pPr>
    </w:p>
    <w:p>
      <w:pPr>
        <w:pStyle w:val="2"/>
        <w:rPr>
          <w:rFonts w:hint="eastAsia"/>
          <w:lang w:val="en-US" w:eastAsia="zh-CN"/>
        </w:rPr>
      </w:pPr>
    </w:p>
    <w:p>
      <w:pP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pPr>
        <w:spacing w:before="156" w:beforeLines="50" w:after="312" w:afterLines="100"/>
        <w:jc w:val="center"/>
        <w:outlineLvl w:val="0"/>
        <w:rPr>
          <w:rFonts w:hint="eastAsia" w:ascii="宋体" w:hAnsi="宋体" w:cs="宋体"/>
          <w:b/>
          <w:color w:val="auto"/>
          <w:kern w:val="44"/>
          <w:sz w:val="44"/>
          <w:szCs w:val="44"/>
          <w:highlight w:val="none"/>
        </w:rPr>
      </w:pPr>
      <w:bookmarkStart w:id="160" w:name="_Toc24324"/>
      <w:bookmarkStart w:id="161" w:name="_Toc24696"/>
      <w:bookmarkStart w:id="162" w:name="_Toc8544"/>
      <w:r>
        <w:rPr>
          <w:rFonts w:hint="eastAsia" w:ascii="宋体" w:hAnsi="宋体" w:cs="宋体"/>
          <w:b/>
          <w:color w:val="auto"/>
          <w:kern w:val="44"/>
          <w:sz w:val="44"/>
          <w:szCs w:val="44"/>
          <w:highlight w:val="none"/>
        </w:rPr>
        <w:t>第</w:t>
      </w:r>
      <w:r>
        <w:rPr>
          <w:rFonts w:hint="eastAsia" w:ascii="宋体" w:hAnsi="宋体" w:cs="宋体"/>
          <w:b/>
          <w:color w:val="auto"/>
          <w:kern w:val="44"/>
          <w:sz w:val="44"/>
          <w:szCs w:val="44"/>
          <w:highlight w:val="none"/>
          <w:lang w:eastAsia="zh-CN"/>
        </w:rPr>
        <w:t>六</w:t>
      </w:r>
      <w:r>
        <w:rPr>
          <w:rFonts w:hint="eastAsia" w:ascii="宋体" w:hAnsi="宋体" w:cs="宋体"/>
          <w:b/>
          <w:color w:val="auto"/>
          <w:kern w:val="44"/>
          <w:sz w:val="44"/>
          <w:szCs w:val="44"/>
          <w:highlight w:val="none"/>
        </w:rPr>
        <w:t>章 政府采购合同格式</w:t>
      </w:r>
      <w:bookmarkEnd w:id="160"/>
      <w:bookmarkEnd w:id="161"/>
      <w:bookmarkEnd w:id="162"/>
    </w:p>
    <w:p>
      <w:pPr>
        <w:spacing w:line="58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20</w:t>
      </w:r>
      <w:r>
        <w:rPr>
          <w:rFonts w:hint="eastAsia" w:ascii="宋体" w:hAnsi="宋体" w:eastAsia="宋体" w:cs="宋体"/>
          <w:sz w:val="24"/>
          <w:highlight w:val="none"/>
          <w:lang w:val="en-US" w:eastAsia="zh-CN"/>
        </w:rPr>
        <w:t>23</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月，甲方经面向社会公开招标，由乙方竞得西安市莲湖区</w:t>
      </w:r>
      <w:r>
        <w:rPr>
          <w:rFonts w:hint="eastAsia" w:ascii="宋体" w:hAnsi="宋体" w:cs="宋体"/>
          <w:sz w:val="24"/>
          <w:highlight w:val="none"/>
          <w:lang w:eastAsia="zh-CN"/>
        </w:rPr>
        <w:t>北院门街道办事处辖区</w:t>
      </w:r>
      <w:r>
        <w:rPr>
          <w:rFonts w:hint="eastAsia" w:ascii="宋体" w:hAnsi="宋体" w:eastAsia="宋体" w:cs="宋体"/>
          <w:sz w:val="24"/>
          <w:highlight w:val="none"/>
        </w:rPr>
        <w:t>道路清扫保洁市场化运作项目承包权，依据《中华人民共和国招标投标法》《中华人民共和国合同法》以及招标文件等，就西安市莲湖区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街道办事处辖区的保洁工作，经甲、乙、丙三方共同协商，签订此合同，达成以下条款：</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一、承包范围</w:t>
      </w:r>
    </w:p>
    <w:p>
      <w:pPr>
        <w:spacing w:line="580" w:lineRule="exact"/>
        <w:ind w:left="0" w:leftChars="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街道办事处辖区内全部道路，包含一类道路</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条，二类道路</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条，三类道路</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条及其余无名道路。清扫保洁面积约</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万平方米，绿化带保洁面积约</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万平方米。</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二、承包期限</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承包期限为</w:t>
      </w:r>
      <w:r>
        <w:rPr>
          <w:rFonts w:hint="eastAsia" w:ascii="宋体" w:hAnsi="宋体" w:cs="宋体"/>
          <w:sz w:val="24"/>
          <w:highlight w:val="none"/>
          <w:lang w:val="en-US" w:eastAsia="zh-CN"/>
        </w:rPr>
        <w:t>一</w:t>
      </w:r>
      <w:r>
        <w:rPr>
          <w:rFonts w:hint="eastAsia" w:ascii="宋体" w:hAnsi="宋体" w:eastAsia="宋体" w:cs="宋体"/>
          <w:sz w:val="24"/>
          <w:highlight w:val="none"/>
        </w:rPr>
        <w:t>年，自</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日起至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日止。</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三、承包工作内容及要求</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承包内容</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1道路车行道、人行道、人行过街天桥、绿化带及绿地小广场的机械化和人工清扫保洁作业。</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2道路冲洒水作业。</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3应对极端天气的清雪除冰、清扫落叶、清理积水作业。</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4道路保洁垃圾的定时收集、清运。</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5道路两侧、广场大件垃圾、堆积杂物及空中废弃悬挂物的清理。</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6果皮箱清掏及日常清洗、擦拭及维护。</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7道路路面及两侧立面各类“野广告”清理。</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8重大活动保障及突发事件处置。</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工作标准</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2.1</w:t>
      </w:r>
      <w:r>
        <w:rPr>
          <w:rFonts w:hint="eastAsia" w:ascii="宋体" w:hAnsi="宋体" w:eastAsia="宋体" w:cs="宋体"/>
          <w:sz w:val="24"/>
          <w:highlight w:val="none"/>
        </w:rPr>
        <w:t>人工清扫保洁作业实行“两扫全保”。秋冬季早普扫7:00前完成，春夏季提前半小时；晚普扫20:00后进行。重点区域巡回保洁至24:00，其他道路春夏季巡回保洁至22:00，秋冬季巡回保洁至21:00，节假日或重大活动期间保洁时间可适当延长。</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2机械化清扫达到“应扫尽扫”，清扫作业从凌晨开始至6:50前完成，快速巡回保洁在7:00-22:00时段进行，避开交通高峰时段，做到文明作业，安全行车。</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具有排水条件的道路均应实施道路冲洗、洒水（喷雾）作业。道路冲洗作业应夜间进行，作业时段为当日23：00—次日6:50；道路洒水、喷雾作业应避开车行高峰期，按照市局要求的时间进行。冬季气温低于3℃时，禁止任何冲洗、洒水作业；夏季气温高于35℃时可适当增加洒水或喷雾作业。</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清雪除冰作业应按照“机械为主、人工为辅、边下边清、边清边运”的原则进行，重点区域“雪停路净”，其他区域“雪停量减”。清扫落叶作业应根据落叶情况加大保洁力度，加强落叶清扫、清运，严禁焚烧。清理积水作业，雨后应先清除雨水井口各类杂物，清理路面垃圾、树枝，再对积水处进行推扫，对地面泥污尘土进行冲洗清洁作业。</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5道路保洁垃圾应倒入保洁三轮车，定时转运至垃圾中转站。</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6集中保洁力量，定期开展专项整治活动，对大件垃圾、堆积杂物及空中废弃悬挂物进行清理。</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7每日早“普扫”时，集中对果皮箱垃圾进行清掏；在保洁时段随满随掏，并对箱体进行擦拭或清洗。</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8道路清扫保洁时段，依次对道路路面、立面及公共设施上的非法张贴、喷涂乱写及散发落地的宣传品进行清理。</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9要组建成立20人的应急队伍，主要用于完成重大活动保障或突发事件应急处置，也可用于完成甲方交由的临时性保洁任务。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其他要求</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1保洁员行为规范</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上岗时间，必须穿着配有反光标志保洁服，并保持干净整洁。夏季作业时，不得敞胸露背，赤脚或穿拖鞋。</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工作时间内严禁聚堆闲谈或干与工作无关的事。</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工作过程中，严禁将扫把等工具挂在树上、放在护栏上或靠在墙上。</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经常检查、维护、更新保洁工具，保证其处于良好状态。</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禁止将垃圾倾倒在非垃圾收集点等区域。</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2保洁员配备</w:t>
      </w:r>
    </w:p>
    <w:p>
      <w:pPr>
        <w:spacing w:line="58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以甲方发包总价扣除机械化作业运行费、税费、运营管理费及利润后，除以单个保洁员年核定用工费的数量，为实际应配备的保洁员人数。核定</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项目部应配备人数为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人。实际人数低于应配备人数时，人数不足部分每人按保洁员月均总收入扣除相应的服务费用。</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3工具及劳保用品配备</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应为每名保洁员配发大扫帚、小扫帚各1把、保洁簸箕1个、杂物捡拾夹1个、小铲刀1把。</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每年为保洁员配备春秋装、夏装和冬季保洁服各一套。</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定期发放劳保用品及福利，每人不得少于350元/年。</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车辆配备</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3.4.1</w:t>
      </w:r>
      <w:r>
        <w:rPr>
          <w:rFonts w:hint="eastAsia" w:ascii="宋体" w:hAnsi="宋体" w:eastAsia="宋体" w:cs="宋体"/>
          <w:sz w:val="24"/>
          <w:highlight w:val="none"/>
        </w:rPr>
        <w:t>甲方现有车辆、设施处置</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 xml:space="preserve">甲方将现有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车</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车</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辆</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以有偿租赁的方式交由乙方，按照莲湖区财政局《西安市莲湖区保洁清扫车辆有偿使用管理暂行办法（试行）》相关规定，租赁费为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80" w:lineRule="exact"/>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甲方将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保洁员道班房交由乙方无偿使用,乙方应承担该道班房的维修维护责任。</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3.4.2</w:t>
      </w:r>
      <w:r>
        <w:rPr>
          <w:rFonts w:hint="eastAsia" w:ascii="宋体" w:hAnsi="宋体" w:eastAsia="宋体" w:cs="宋体"/>
          <w:sz w:val="24"/>
          <w:highlight w:val="none"/>
        </w:rPr>
        <w:t>乙方自购车辆、设备种类及数量</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根据西安市“以克论净 深度保洁”提标增效作业要求或上级主管部门要求完成的车辆购置任务，乙方还需购置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车</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车</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辆、带有干湿切换模式的纯吸式道路吸尘车</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，用于开展道路清扫保洁作业。</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四、服务费及付款方式</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服务费</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本期合同承包费（大写）为：人民币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元/年），总价包括但不限于以下费用：人员工资、法定节假日加班费</w:t>
      </w:r>
      <w:r>
        <w:rPr>
          <w:rFonts w:hint="eastAsia" w:ascii="宋体" w:hAnsi="宋体" w:eastAsia="宋体" w:cs="宋体"/>
          <w:sz w:val="24"/>
          <w:highlight w:val="none"/>
          <w:lang w:eastAsia="zh-CN"/>
        </w:rPr>
        <w:t>、</w:t>
      </w:r>
      <w:r>
        <w:rPr>
          <w:rFonts w:hint="eastAsia" w:ascii="宋体" w:hAnsi="宋体" w:eastAsia="宋体" w:cs="宋体"/>
          <w:sz w:val="24"/>
          <w:highlight w:val="none"/>
        </w:rPr>
        <w:t>工具、劳保费、取暖费、降温费、</w:t>
      </w:r>
      <w:r>
        <w:rPr>
          <w:rFonts w:hint="eastAsia" w:ascii="宋体" w:hAnsi="宋体" w:eastAsia="宋体" w:cs="宋体"/>
          <w:sz w:val="24"/>
          <w:highlight w:val="none"/>
          <w:lang w:val="en-US" w:eastAsia="zh-CN"/>
        </w:rPr>
        <w:t>社会保险、</w:t>
      </w:r>
      <w:r>
        <w:rPr>
          <w:rFonts w:hint="eastAsia" w:ascii="宋体" w:hAnsi="宋体" w:eastAsia="宋体" w:cs="宋体"/>
          <w:sz w:val="24"/>
          <w:highlight w:val="none"/>
        </w:rPr>
        <w:t>商业保险、早餐补贴及车辆运行维护费、管理费、税金、利润等其他一切相关费用。</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社保费用及保洁员夏季高温津贴根据实际发生情况单独核算，由外包公司提供缴纳或发放凭证，经甲方审核后定期报区财政局，待区财政局拨付相关社保和高温津贴经费后进行支付。</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政策性增资执行市有关调资政策，由甲、乙、丙三方共同研究确定，予以追加补发。</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付款方式</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甲方每月支付一次，依据每月考核情况计算出当月应得经费，考核结果于次月的10日前告知承包单位，当月15日前支付上月的服务承包费。</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五、甲、乙、丙三方的权利和义务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甲方的权利和义务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1甲方是发包主体，负责对乙方承包的项目进行日常监管。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2甲方应对乙方的工作进行指导、协调和考核奖罚。甲方按照作业内容和标准制定量化检查考核办法，实行百分制，达标分值设为80-90分（其中80-85分将下发警告提示单），高于90分的，每高1分奖励5000元；低于80分的，每低1分处罚5000元，每月兑现。</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3甲方对乙方出现下列情况之一的，有权终止合同：</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企业中标后，两个月内未按规定配齐保洁员和机械设备的。</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在甲方的检查考核中，考核结果连续三个月低于80分的；在丙方的月度综合考评中，连续3次或累计4次列末位或年度内2次黄牌警告的。</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在承包期内，出现偷税漏税、劳务纠纷、违法失信行为，或因管理不善，发生重大群体性事件，造成恶劣影响的。</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3</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恶意拖欠保洁员工资及劳保福利的。</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4甲方有权安排除承包内容以外，确实需要乙方承担的其它工作任务，所产生的费用由甲方承担。</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5甲方应按时拨付乙方月服务费用，不得无故拖欠。</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乙方的权利和义务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1乙方为承包主体，承担项目的运行管理。</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2乙方必须落实“以克论净”工作标准，建立质量保证体系，不断提高工作水平。</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3乙方依法管理队伍，必须与保洁员签订劳动合同，办理社会保险，购买人身意外伤害险，按时足额发放保洁员工资，落实相应的保洁员福利待遇，按标准配备作业工具和制式服装，处理相应的劳务纠纷。</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乙方在承租甲方的环卫设施设备时，应按月缴纳租赁费用，负责设施设备的维护和保养，如有丢失、损坏，按评估价格赔付；如乙方在使用甲方的环卫设施设备时发生安全事故，除设备本身的原因外，其余责任均由乙方承担。</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5乙方在承包期间内所需要的作业、管理、机具停放场地等用房用地由乙方自行解决。</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6乙方对其开展的所有生产经营活动承担安全生产主体责任。</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7乙方应自觉接受甲方日常监管和丙方的行业监管。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丙方的权利和义务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1丙方作为行业主管部门，对甲、乙双方履行本合同予以监管。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2丙方负责对全区道路清扫保洁工作提供政策指导，协调解决甲、乙双方在合同期内出现的问题。</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3丙方应定期组织管理人员业务培训和“互学互看互比”等保洁员岗位练兵活动。</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4丙方有权对甲方设备租赁、承包费用支付情况以及乙方的人员配备、经营利润比例等情况进行监管。</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5丙方每月组织行业监督考核，对排名前两名和后两名的服务外包企业进行奖罚。</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六、</w:t>
      </w:r>
      <w:r>
        <w:rPr>
          <w:rFonts w:hint="eastAsia" w:ascii="宋体" w:hAnsi="宋体" w:eastAsia="宋体" w:cs="宋体"/>
          <w:sz w:val="24"/>
          <w:highlight w:val="none"/>
        </w:rPr>
        <w:t>项目检验与验收</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中标供应商向采购人提交项目实施过程中的所有资料。</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w:t>
      </w:r>
      <w:r>
        <w:rPr>
          <w:rFonts w:hint="eastAsia" w:ascii="宋体" w:hAnsi="宋体" w:eastAsia="宋体" w:cs="宋体"/>
          <w:sz w:val="24"/>
          <w:highlight w:val="none"/>
        </w:rPr>
        <w:t>验收须以合同、招标文件及投标文件、澄清、及国家相应的标准、规范等为依据。</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w:t>
      </w:r>
      <w:r>
        <w:rPr>
          <w:rFonts w:hint="eastAsia" w:ascii="宋体" w:hAnsi="宋体" w:eastAsia="宋体" w:cs="宋体"/>
          <w:sz w:val="24"/>
          <w:highlight w:val="none"/>
        </w:rPr>
        <w:t>最终验收：最终验收结果作为付款依据，乙方填写验收单，并向甲方提交实施过程中的所有资料，以便甲方日后管理和维护。</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rPr>
        <w:t>4</w:t>
      </w:r>
      <w:r>
        <w:rPr>
          <w:rFonts w:hint="eastAsia" w:ascii="宋体" w:hAnsi="宋体" w:cs="宋体"/>
          <w:sz w:val="24"/>
          <w:highlight w:val="none"/>
          <w:lang w:val="en-US" w:eastAsia="zh-CN"/>
        </w:rPr>
        <w:t>.</w:t>
      </w:r>
      <w:r>
        <w:rPr>
          <w:rFonts w:hint="eastAsia" w:ascii="宋体" w:hAnsi="宋体" w:eastAsia="宋体" w:cs="宋体"/>
          <w:sz w:val="24"/>
          <w:highlight w:val="none"/>
        </w:rPr>
        <w:t>以招标文件、投标文件、澄清表（函）、合同和随服务的相关文件为准。合同期满一年后，由第三方机构对履行合同情况进行验收，第三方验收费用由中标供应商承担</w:t>
      </w:r>
      <w:r>
        <w:rPr>
          <w:rFonts w:hint="eastAsia" w:ascii="宋体" w:hAnsi="宋体" w:eastAsia="宋体" w:cs="宋体"/>
          <w:sz w:val="24"/>
          <w:highlight w:val="none"/>
          <w:lang w:val="en-US" w:eastAsia="zh-CN"/>
        </w:rPr>
        <w:t>。</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七</w:t>
      </w:r>
      <w:r>
        <w:rPr>
          <w:rFonts w:hint="eastAsia" w:ascii="宋体" w:hAnsi="宋体" w:eastAsia="宋体" w:cs="宋体"/>
          <w:sz w:val="24"/>
          <w:highlight w:val="none"/>
        </w:rPr>
        <w:t>、违约责任</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承包期内，任何一方无正当理由不得单方终止合同。如确需终止，须提前两月通知对方，并向对方支付年度服务费用的10%作为违约金。</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承包期内，如因自然灾害、城市建设、政策调整或者不可抗力导致合同无法履行的，三方应该互相理解，妥善处理终止合同所涉及的相关事宜，互不追究对方责任。</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七、争议解决方式</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对在合同履行中发生的争议，三方先行友好协商解决，协商无果时，可向有管辖权的甲方所在地人民法院起诉。</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八、其他事项</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1.如遇行业政策性调整，根据政策执行，签订补充协议，补充协议与本合同具有同等法律效力。</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2.本合同未尽事宜，由三方友好协商解决，可另行签订协议。</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3.本合同一式六份，甲、乙、丙双方各执贰份。</w:t>
      </w:r>
    </w:p>
    <w:p>
      <w:pPr>
        <w:spacing w:line="580" w:lineRule="exact"/>
        <w:ind w:firstLine="480"/>
        <w:rPr>
          <w:rFonts w:hint="eastAsia" w:ascii="宋体" w:hAnsi="宋体" w:eastAsia="宋体" w:cs="宋体"/>
          <w:sz w:val="24"/>
          <w:highlight w:val="none"/>
        </w:rPr>
      </w:pPr>
      <w:r>
        <w:rPr>
          <w:rFonts w:hint="eastAsia" w:ascii="宋体" w:hAnsi="宋体" w:eastAsia="宋体" w:cs="宋体"/>
          <w:sz w:val="24"/>
          <w:highlight w:val="none"/>
        </w:rPr>
        <w:t>4.本合同自三方签章后生效。</w:t>
      </w:r>
    </w:p>
    <w:p>
      <w:pPr>
        <w:pStyle w:val="2"/>
        <w:rPr>
          <w:rFonts w:hint="eastAsia" w:ascii="宋体" w:hAnsi="宋体" w:eastAsia="宋体" w:cs="宋体"/>
          <w:sz w:val="24"/>
          <w:highlight w:val="none"/>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0"/>
        <w:gridCol w:w="2755"/>
        <w:gridCol w:w="3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2430" w:type="dxa"/>
            <w:tcBorders>
              <w:tl2br w:val="nil"/>
              <w:tr2bl w:val="nil"/>
            </w:tcBorders>
          </w:tcPr>
          <w:p>
            <w:pPr>
              <w:spacing w:line="360" w:lineRule="auto"/>
              <w:rPr>
                <w:rFonts w:hint="eastAsia" w:ascii="宋体" w:hAnsi="宋体" w:eastAsia="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甲方（公章）：</w:t>
            </w:r>
          </w:p>
        </w:tc>
        <w:tc>
          <w:tcPr>
            <w:tcW w:w="2755" w:type="dxa"/>
            <w:tcBorders>
              <w:tl2br w:val="nil"/>
              <w:tr2bl w:val="nil"/>
            </w:tcBorders>
          </w:tcPr>
          <w:p>
            <w:pPr>
              <w:spacing w:line="360" w:lineRule="auto"/>
              <w:rPr>
                <w:rFonts w:hint="eastAsia" w:ascii="宋体" w:hAnsi="宋体" w:eastAsia="宋体" w:cs="宋体"/>
                <w:color w:val="auto"/>
                <w:szCs w:val="21"/>
                <w:highlight w:val="none"/>
                <w:vertAlign w:val="baseline"/>
              </w:rPr>
            </w:pPr>
          </w:p>
        </w:tc>
        <w:tc>
          <w:tcPr>
            <w:tcW w:w="3851" w:type="dxa"/>
            <w:tcBorders>
              <w:tl2br w:val="nil"/>
              <w:tr2bl w:val="nil"/>
            </w:tcBorders>
            <w:vAlign w:val="top"/>
          </w:tcPr>
          <w:p>
            <w:pPr>
              <w:spacing w:line="360" w:lineRule="auto"/>
              <w:rPr>
                <w:rFonts w:hint="eastAsia" w:ascii="宋体" w:hAnsi="宋体" w:eastAsia="宋体" w:cs="宋体"/>
                <w:color w:val="auto"/>
                <w:szCs w:val="21"/>
                <w:highlight w:val="none"/>
                <w:vertAlign w:val="baseline"/>
              </w:rPr>
            </w:pPr>
            <w:r>
              <w:rPr>
                <w:rFonts w:hint="eastAsia" w:ascii="宋体" w:hAnsi="宋体" w:cs="宋体"/>
                <w:color w:val="auto"/>
                <w:szCs w:val="21"/>
                <w:highlight w:val="none"/>
                <w:vertAlign w:val="baseline"/>
                <w:lang w:eastAsia="zh-CN"/>
              </w:rPr>
              <w:t>乙方（公章）：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2430" w:type="dxa"/>
            <w:tcBorders>
              <w:tl2br w:val="nil"/>
              <w:tr2bl w:val="nil"/>
            </w:tcBorders>
          </w:tcPr>
          <w:p>
            <w:pPr>
              <w:spacing w:line="360" w:lineRule="auto"/>
              <w:rPr>
                <w:rFonts w:hint="eastAsia" w:ascii="宋体" w:hAnsi="宋体" w:eastAsia="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甲方代表人（签章）：</w:t>
            </w:r>
          </w:p>
        </w:tc>
        <w:tc>
          <w:tcPr>
            <w:tcW w:w="2755" w:type="dxa"/>
            <w:tcBorders>
              <w:tl2br w:val="nil"/>
              <w:tr2bl w:val="nil"/>
            </w:tcBorders>
          </w:tcPr>
          <w:p>
            <w:pPr>
              <w:spacing w:line="360" w:lineRule="auto"/>
              <w:rPr>
                <w:rFonts w:hint="eastAsia" w:ascii="宋体" w:hAnsi="宋体" w:eastAsia="宋体" w:cs="宋体"/>
                <w:color w:val="auto"/>
                <w:szCs w:val="21"/>
                <w:highlight w:val="none"/>
                <w:vertAlign w:val="baseline"/>
              </w:rPr>
            </w:pPr>
          </w:p>
        </w:tc>
        <w:tc>
          <w:tcPr>
            <w:tcW w:w="3851" w:type="dxa"/>
            <w:tcBorders>
              <w:tl2br w:val="nil"/>
              <w:tr2bl w:val="nil"/>
            </w:tcBorders>
            <w:vAlign w:val="top"/>
          </w:tcPr>
          <w:p>
            <w:pPr>
              <w:spacing w:line="360" w:lineRule="auto"/>
              <w:rPr>
                <w:rFonts w:hint="eastAsia" w:ascii="宋体" w:hAnsi="宋体" w:eastAsia="宋体" w:cs="宋体"/>
                <w:color w:val="auto"/>
                <w:szCs w:val="21"/>
                <w:highlight w:val="none"/>
                <w:vertAlign w:val="baseline"/>
              </w:rPr>
            </w:pPr>
            <w:r>
              <w:rPr>
                <w:rFonts w:hint="eastAsia" w:ascii="宋体" w:hAnsi="宋体" w:cs="宋体"/>
                <w:color w:val="auto"/>
                <w:szCs w:val="21"/>
                <w:highlight w:val="none"/>
                <w:vertAlign w:val="baseline"/>
                <w:lang w:eastAsia="zh-CN"/>
              </w:rPr>
              <w:t>乙方代表人（签章）：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2430" w:type="dxa"/>
            <w:tcBorders>
              <w:tl2br w:val="nil"/>
              <w:tr2bl w:val="nil"/>
            </w:tcBorders>
          </w:tcPr>
          <w:p>
            <w:pPr>
              <w:spacing w:line="360" w:lineRule="auto"/>
              <w:ind w:firstLine="630" w:firstLineChars="300"/>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eastAsia="zh-CN"/>
              </w:rPr>
              <w:t>年</w:t>
            </w:r>
            <w:r>
              <w:rPr>
                <w:rFonts w:hint="eastAsia" w:ascii="宋体" w:hAnsi="宋体" w:cs="宋体"/>
                <w:color w:val="auto"/>
                <w:szCs w:val="21"/>
                <w:highlight w:val="none"/>
                <w:vertAlign w:val="baseline"/>
                <w:lang w:val="en-US" w:eastAsia="zh-CN"/>
              </w:rPr>
              <w:t xml:space="preserve">  月  日</w:t>
            </w:r>
          </w:p>
        </w:tc>
        <w:tc>
          <w:tcPr>
            <w:tcW w:w="2755" w:type="dxa"/>
            <w:tcBorders>
              <w:tl2br w:val="nil"/>
              <w:tr2bl w:val="nil"/>
            </w:tcBorders>
          </w:tcPr>
          <w:p>
            <w:pPr>
              <w:spacing w:line="360" w:lineRule="auto"/>
              <w:rPr>
                <w:rFonts w:hint="eastAsia" w:ascii="宋体" w:hAnsi="宋体" w:eastAsia="宋体" w:cs="宋体"/>
                <w:color w:val="auto"/>
                <w:szCs w:val="21"/>
                <w:highlight w:val="none"/>
                <w:vertAlign w:val="baseline"/>
              </w:rPr>
            </w:pPr>
          </w:p>
        </w:tc>
        <w:tc>
          <w:tcPr>
            <w:tcW w:w="3851" w:type="dxa"/>
            <w:tcBorders>
              <w:tl2br w:val="nil"/>
              <w:tr2bl w:val="nil"/>
            </w:tcBorders>
            <w:vAlign w:val="top"/>
          </w:tcPr>
          <w:p>
            <w:pPr>
              <w:spacing w:line="360" w:lineRule="auto"/>
              <w:ind w:firstLine="840" w:firstLineChars="400"/>
              <w:rPr>
                <w:rFonts w:hint="eastAsia" w:ascii="宋体" w:hAnsi="宋体" w:eastAsia="宋体" w:cs="宋体"/>
                <w:color w:val="auto"/>
                <w:szCs w:val="21"/>
                <w:highlight w:val="none"/>
                <w:vertAlign w:val="baseline"/>
              </w:rPr>
            </w:pPr>
            <w:r>
              <w:rPr>
                <w:rFonts w:hint="eastAsia" w:ascii="宋体" w:hAnsi="宋体" w:cs="宋体"/>
                <w:color w:val="auto"/>
                <w:szCs w:val="21"/>
                <w:highlight w:val="none"/>
                <w:vertAlign w:val="baseline"/>
                <w:lang w:eastAsia="zh-CN"/>
              </w:rPr>
              <w:t>年</w:t>
            </w:r>
            <w:r>
              <w:rPr>
                <w:rFonts w:hint="eastAsia" w:ascii="宋体" w:hAnsi="宋体" w:cs="宋体"/>
                <w:color w:val="auto"/>
                <w:szCs w:val="21"/>
                <w:highlight w:val="none"/>
                <w:vertAlign w:val="baseline"/>
                <w:lang w:val="en-US" w:eastAsia="zh-CN"/>
              </w:rPr>
              <w:t xml:space="preserve">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430" w:type="dxa"/>
            <w:tcBorders>
              <w:tl2br w:val="nil"/>
              <w:tr2bl w:val="nil"/>
            </w:tcBorders>
            <w:vAlign w:val="top"/>
          </w:tcPr>
          <w:p>
            <w:pPr>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eastAsia="zh-CN"/>
              </w:rPr>
              <w:t>丙方（公章）：</w:t>
            </w:r>
          </w:p>
        </w:tc>
        <w:tc>
          <w:tcPr>
            <w:tcW w:w="2755" w:type="dxa"/>
            <w:tcBorders>
              <w:tl2br w:val="nil"/>
              <w:tr2bl w:val="nil"/>
            </w:tcBorders>
          </w:tcPr>
          <w:p>
            <w:pPr>
              <w:spacing w:line="360" w:lineRule="auto"/>
              <w:rPr>
                <w:rFonts w:hint="eastAsia" w:ascii="宋体" w:hAnsi="宋体" w:eastAsia="宋体" w:cs="宋体"/>
                <w:color w:val="auto"/>
                <w:szCs w:val="21"/>
                <w:highlight w:val="none"/>
                <w:vertAlign w:val="baseline"/>
              </w:rPr>
            </w:pPr>
          </w:p>
        </w:tc>
        <w:tc>
          <w:tcPr>
            <w:tcW w:w="3851" w:type="dxa"/>
            <w:tcBorders>
              <w:tl2br w:val="nil"/>
              <w:tr2bl w:val="nil"/>
            </w:tcBorders>
            <w:vAlign w:val="top"/>
          </w:tcPr>
          <w:p>
            <w:pPr>
              <w:spacing w:line="360" w:lineRule="auto"/>
              <w:ind w:firstLine="420" w:firstLineChars="200"/>
              <w:rPr>
                <w:rFonts w:hint="eastAsia" w:ascii="宋体" w:hAnsi="宋体" w:cs="宋体"/>
                <w:color w:val="auto"/>
                <w:szCs w:val="21"/>
                <w:highlight w:val="none"/>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2430" w:type="dxa"/>
            <w:tcBorders>
              <w:tl2br w:val="nil"/>
              <w:tr2bl w:val="nil"/>
            </w:tcBorders>
            <w:vAlign w:val="top"/>
          </w:tcPr>
          <w:p>
            <w:pPr>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eastAsia="zh-CN"/>
              </w:rPr>
              <w:t>丙方代表人（签章）：</w:t>
            </w:r>
          </w:p>
        </w:tc>
        <w:tc>
          <w:tcPr>
            <w:tcW w:w="2755" w:type="dxa"/>
            <w:tcBorders>
              <w:tl2br w:val="nil"/>
              <w:tr2bl w:val="nil"/>
            </w:tcBorders>
          </w:tcPr>
          <w:p>
            <w:pPr>
              <w:spacing w:line="360" w:lineRule="auto"/>
              <w:rPr>
                <w:rFonts w:hint="eastAsia" w:ascii="宋体" w:hAnsi="宋体" w:eastAsia="宋体" w:cs="宋体"/>
                <w:color w:val="auto"/>
                <w:szCs w:val="21"/>
                <w:highlight w:val="none"/>
                <w:vertAlign w:val="baseline"/>
              </w:rPr>
            </w:pPr>
          </w:p>
        </w:tc>
        <w:tc>
          <w:tcPr>
            <w:tcW w:w="3851" w:type="dxa"/>
            <w:tcBorders>
              <w:tl2br w:val="nil"/>
              <w:tr2bl w:val="nil"/>
            </w:tcBorders>
            <w:vAlign w:val="top"/>
          </w:tcPr>
          <w:p>
            <w:pPr>
              <w:spacing w:line="360" w:lineRule="auto"/>
              <w:ind w:firstLine="420" w:firstLineChars="200"/>
              <w:rPr>
                <w:rFonts w:hint="eastAsia" w:ascii="宋体" w:hAnsi="宋体" w:cs="宋体"/>
                <w:color w:val="auto"/>
                <w:szCs w:val="21"/>
                <w:highlight w:val="none"/>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430" w:type="dxa"/>
            <w:tcBorders>
              <w:tl2br w:val="nil"/>
              <w:tr2bl w:val="nil"/>
            </w:tcBorders>
            <w:vAlign w:val="top"/>
          </w:tcPr>
          <w:p>
            <w:pPr>
              <w:spacing w:line="360" w:lineRule="auto"/>
              <w:ind w:firstLine="420" w:firstLineChars="200"/>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eastAsia="zh-CN"/>
              </w:rPr>
              <w:t>年</w:t>
            </w:r>
            <w:r>
              <w:rPr>
                <w:rFonts w:hint="eastAsia" w:ascii="宋体" w:hAnsi="宋体" w:cs="宋体"/>
                <w:color w:val="auto"/>
                <w:szCs w:val="21"/>
                <w:highlight w:val="none"/>
                <w:vertAlign w:val="baseline"/>
                <w:lang w:val="en-US" w:eastAsia="zh-CN"/>
              </w:rPr>
              <w:t xml:space="preserve">  月  日</w:t>
            </w:r>
          </w:p>
        </w:tc>
        <w:tc>
          <w:tcPr>
            <w:tcW w:w="2755" w:type="dxa"/>
            <w:tcBorders>
              <w:tl2br w:val="nil"/>
              <w:tr2bl w:val="nil"/>
            </w:tcBorders>
          </w:tcPr>
          <w:p>
            <w:pPr>
              <w:spacing w:line="360" w:lineRule="auto"/>
              <w:rPr>
                <w:rFonts w:hint="eastAsia" w:ascii="宋体" w:hAnsi="宋体" w:eastAsia="宋体" w:cs="宋体"/>
                <w:color w:val="auto"/>
                <w:szCs w:val="21"/>
                <w:highlight w:val="none"/>
                <w:vertAlign w:val="baseline"/>
              </w:rPr>
            </w:pPr>
          </w:p>
        </w:tc>
        <w:tc>
          <w:tcPr>
            <w:tcW w:w="3851" w:type="dxa"/>
            <w:tcBorders>
              <w:tl2br w:val="nil"/>
              <w:tr2bl w:val="nil"/>
            </w:tcBorders>
            <w:vAlign w:val="top"/>
          </w:tcPr>
          <w:p>
            <w:pPr>
              <w:spacing w:line="360" w:lineRule="auto"/>
              <w:ind w:firstLine="420" w:firstLineChars="200"/>
              <w:rPr>
                <w:rFonts w:hint="eastAsia" w:ascii="宋体" w:hAnsi="宋体" w:cs="宋体"/>
                <w:color w:val="auto"/>
                <w:szCs w:val="21"/>
                <w:highlight w:val="none"/>
                <w:vertAlign w:val="baseline"/>
                <w:lang w:eastAsia="zh-CN"/>
              </w:rPr>
            </w:pP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sectPr>
          <w:footerReference r:id="rId12" w:type="first"/>
          <w:pgSz w:w="11906" w:h="16838"/>
          <w:pgMar w:top="1418" w:right="1555" w:bottom="1418" w:left="1531" w:header="1191" w:footer="992" w:gutter="0"/>
          <w:pgBorders>
            <w:top w:val="none" w:sz="0" w:space="0"/>
            <w:left w:val="none" w:sz="0" w:space="0"/>
            <w:bottom w:val="none" w:sz="0" w:space="0"/>
            <w:right w:val="none" w:sz="0" w:space="0"/>
          </w:pgBorders>
          <w:pgNumType w:fmt="decimal"/>
          <w:cols w:space="720" w:num="1"/>
          <w:titlePg/>
          <w:rtlGutter w:val="1"/>
          <w:docGrid w:type="lines" w:linePitch="312" w:charSpace="0"/>
        </w:sectPr>
      </w:pPr>
    </w:p>
    <w:p>
      <w:pPr>
        <w:spacing w:before="120" w:beforeLines="50" w:after="240" w:afterLines="100"/>
        <w:jc w:val="center"/>
        <w:outlineLvl w:val="0"/>
        <w:rPr>
          <w:rFonts w:hint="eastAsia" w:ascii="宋体" w:hAnsi="宋体" w:cs="宋体"/>
          <w:b/>
          <w:color w:val="auto"/>
          <w:kern w:val="44"/>
          <w:sz w:val="44"/>
          <w:szCs w:val="44"/>
          <w:highlight w:val="none"/>
        </w:rPr>
      </w:pPr>
      <w:bookmarkStart w:id="163" w:name="_Toc27527"/>
      <w:bookmarkStart w:id="164" w:name="_Toc7662"/>
      <w:bookmarkStart w:id="165" w:name="_Toc16409"/>
      <w:r>
        <w:rPr>
          <w:rFonts w:hint="eastAsia" w:ascii="宋体" w:hAnsi="宋体" w:cs="宋体"/>
          <w:b/>
          <w:color w:val="auto"/>
          <w:kern w:val="44"/>
          <w:sz w:val="44"/>
          <w:szCs w:val="44"/>
          <w:highlight w:val="none"/>
        </w:rPr>
        <w:t>第</w:t>
      </w:r>
      <w:r>
        <w:rPr>
          <w:rFonts w:hint="eastAsia" w:ascii="宋体" w:hAnsi="宋体" w:cs="宋体"/>
          <w:b/>
          <w:color w:val="auto"/>
          <w:kern w:val="44"/>
          <w:sz w:val="44"/>
          <w:szCs w:val="44"/>
          <w:highlight w:val="none"/>
          <w:lang w:eastAsia="zh-CN"/>
        </w:rPr>
        <w:t>七</w:t>
      </w:r>
      <w:r>
        <w:rPr>
          <w:rFonts w:hint="eastAsia" w:ascii="宋体" w:hAnsi="宋体" w:cs="宋体"/>
          <w:b/>
          <w:color w:val="auto"/>
          <w:kern w:val="44"/>
          <w:sz w:val="44"/>
          <w:szCs w:val="44"/>
          <w:highlight w:val="none"/>
        </w:rPr>
        <w:t>章 投标文件格式</w:t>
      </w:r>
      <w:bookmarkEnd w:id="146"/>
      <w:bookmarkEnd w:id="163"/>
      <w:bookmarkEnd w:id="164"/>
      <w:bookmarkEnd w:id="165"/>
    </w:p>
    <w:p>
      <w:pPr>
        <w:spacing w:line="400" w:lineRule="exact"/>
        <w:jc w:val="center"/>
        <w:rPr>
          <w:rFonts w:hint="eastAsia" w:ascii="宋体" w:hAnsi="宋体" w:cs="宋体"/>
          <w:b/>
          <w:color w:val="auto"/>
          <w:sz w:val="32"/>
          <w:szCs w:val="32"/>
          <w:highlight w:val="none"/>
        </w:rPr>
      </w:pPr>
    </w:p>
    <w:p>
      <w:pPr>
        <w:spacing w:line="360" w:lineRule="auto"/>
        <w:ind w:firstLine="411" w:firstLineChars="196"/>
        <w:rPr>
          <w:rFonts w:hint="eastAsia" w:ascii="宋体" w:hAnsi="宋体" w:cs="宋体"/>
          <w:b/>
          <w:color w:val="auto"/>
          <w:sz w:val="28"/>
          <w:szCs w:val="28"/>
          <w:highlight w:val="none"/>
        </w:rPr>
      </w:pPr>
      <w:r>
        <w:rPr>
          <w:rFonts w:hint="eastAsia" w:ascii="宋体" w:hAnsi="宋体" w:cs="宋体"/>
          <w:color w:val="auto"/>
          <w:szCs w:val="21"/>
          <w:highlight w:val="none"/>
        </w:rPr>
        <w:t>投标文件格式是投标人的部分投标文件格式，投标人应当严格按照这些格式编制投标文件。编制投标文件前，请详细阅读招标文件，理解文件中的每一项要求，做出逐一实质性响应，认为有必要，可做补充说明。</w:t>
      </w: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spacing w:line="400" w:lineRule="exact"/>
        <w:ind w:firstLine="570"/>
        <w:rPr>
          <w:rFonts w:hint="eastAsia" w:ascii="宋体" w:hAnsi="宋体" w:cs="宋体"/>
          <w:b/>
          <w:color w:val="auto"/>
          <w:sz w:val="28"/>
          <w:szCs w:val="28"/>
          <w:highlight w:val="none"/>
        </w:rPr>
      </w:pPr>
    </w:p>
    <w:p>
      <w:pPr>
        <w:rPr>
          <w:rFonts w:ascii="宋体" w:hAnsi="宋体" w:cs="宋体"/>
          <w:color w:val="auto"/>
          <w:sz w:val="28"/>
          <w:szCs w:val="28"/>
          <w:highlight w:val="none"/>
        </w:rPr>
        <w:sectPr>
          <w:headerReference r:id="rId13" w:type="first"/>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bookmarkStart w:id="166" w:name="_Toc217446082"/>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政府采购项目</w:t>
      </w: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采购项目编号：</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Cs w:val="28"/>
          <w:highlight w:val="none"/>
        </w:rPr>
      </w:pPr>
      <w:r>
        <w:rPr>
          <w:rFonts w:hint="eastAsia" w:ascii="宋体" w:hAnsi="宋体" w:cs="宋体"/>
          <w:color w:val="auto"/>
          <w:szCs w:val="28"/>
          <w:highlight w:val="none"/>
        </w:rPr>
        <w:t xml:space="preserve">                           </w:t>
      </w:r>
    </w:p>
    <w:p>
      <w:pPr>
        <w:rPr>
          <w:rFonts w:hint="eastAsia" w:ascii="宋体" w:hAnsi="宋体" w:cs="宋体"/>
          <w:color w:val="auto"/>
          <w:szCs w:val="28"/>
          <w:highlight w:val="none"/>
        </w:rPr>
      </w:pPr>
    </w:p>
    <w:p>
      <w:pPr>
        <w:jc w:val="center"/>
        <w:rPr>
          <w:rFonts w:hint="eastAsia" w:ascii="宋体" w:hAnsi="宋体" w:cs="宋体"/>
          <w:b/>
          <w:color w:val="auto"/>
          <w:sz w:val="56"/>
          <w:szCs w:val="56"/>
          <w:highlight w:val="none"/>
          <w:lang w:eastAsia="zh-CN"/>
        </w:rPr>
      </w:pPr>
    </w:p>
    <w:p>
      <w:pPr>
        <w:jc w:val="center"/>
        <w:rPr>
          <w:rFonts w:hint="eastAsia" w:ascii="宋体" w:hAnsi="宋体" w:cs="宋体"/>
          <w:b/>
          <w:color w:val="auto"/>
          <w:sz w:val="56"/>
          <w:szCs w:val="56"/>
          <w:highlight w:val="none"/>
          <w:lang w:eastAsia="zh-CN"/>
        </w:rPr>
      </w:pPr>
    </w:p>
    <w:p>
      <w:pPr>
        <w:jc w:val="center"/>
        <w:rPr>
          <w:rFonts w:hint="eastAsia" w:ascii="宋体" w:hAnsi="宋体" w:cs="宋体"/>
          <w:b/>
          <w:color w:val="auto"/>
          <w:sz w:val="56"/>
          <w:szCs w:val="56"/>
          <w:highlight w:val="none"/>
          <w:lang w:eastAsia="zh-CN"/>
        </w:rPr>
      </w:pPr>
    </w:p>
    <w:p>
      <w:pPr>
        <w:jc w:val="center"/>
        <w:outlineLvl w:val="9"/>
        <w:rPr>
          <w:rFonts w:hint="eastAsia" w:ascii="宋体" w:hAnsi="宋体" w:eastAsia="宋体" w:cs="宋体"/>
          <w:b/>
          <w:color w:val="auto"/>
          <w:sz w:val="56"/>
          <w:szCs w:val="56"/>
          <w:highlight w:val="none"/>
          <w:lang w:eastAsia="zh-CN"/>
        </w:rPr>
      </w:pPr>
      <w:r>
        <w:rPr>
          <w:rFonts w:hint="eastAsia" w:ascii="宋体" w:hAnsi="宋体" w:cs="宋体"/>
          <w:b/>
          <w:color w:val="auto"/>
          <w:sz w:val="56"/>
          <w:szCs w:val="56"/>
          <w:highlight w:val="none"/>
          <w:lang w:eastAsia="zh-CN"/>
        </w:rPr>
        <w:t>西安市莲湖区北院门街道办事处保洁公司服务外包项目</w:t>
      </w:r>
    </w:p>
    <w:p>
      <w:pPr>
        <w:jc w:val="center"/>
        <w:rPr>
          <w:rFonts w:hint="eastAsia" w:ascii="宋体" w:hAnsi="宋体" w:cs="宋体"/>
          <w:color w:val="auto"/>
          <w:sz w:val="32"/>
          <w:szCs w:val="32"/>
          <w:highlight w:val="none"/>
        </w:rPr>
      </w:pPr>
    </w:p>
    <w:p>
      <w:pPr>
        <w:jc w:val="center"/>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ind w:firstLine="0"/>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rPr>
          <w:rFonts w:hint="eastAsia" w:ascii="宋体" w:hAnsi="宋体" w:cs="宋体"/>
          <w:color w:val="auto"/>
          <w:sz w:val="28"/>
          <w:szCs w:val="28"/>
          <w:highlight w:val="none"/>
        </w:rPr>
      </w:pPr>
    </w:p>
    <w:p>
      <w:pPr>
        <w:pStyle w:val="6"/>
        <w:spacing w:before="120" w:beforeLines="50"/>
        <w:ind w:firstLine="1630" w:firstLineChars="580"/>
        <w:rPr>
          <w:rFonts w:hint="eastAsia" w:ascii="宋体" w:hAnsi="宋体" w:cs="宋体"/>
          <w:b/>
          <w:color w:val="auto"/>
          <w:sz w:val="28"/>
          <w:szCs w:val="28"/>
          <w:highlight w:val="none"/>
        </w:rPr>
      </w:pPr>
    </w:p>
    <w:p>
      <w:pPr>
        <w:pStyle w:val="6"/>
        <w:spacing w:before="120" w:beforeLines="50"/>
        <w:ind w:firstLine="1630" w:firstLineChars="580"/>
        <w:rPr>
          <w:rFonts w:hint="eastAsia" w:ascii="宋体" w:hAnsi="宋体" w:cs="宋体"/>
          <w:b/>
          <w:color w:val="auto"/>
          <w:sz w:val="28"/>
          <w:szCs w:val="28"/>
          <w:highlight w:val="none"/>
        </w:rPr>
      </w:pPr>
    </w:p>
    <w:p>
      <w:pPr>
        <w:pStyle w:val="6"/>
        <w:spacing w:before="120" w:beforeLines="50"/>
        <w:ind w:firstLine="1630" w:firstLineChars="580"/>
        <w:rPr>
          <w:rFonts w:hint="eastAsia" w:ascii="宋体" w:hAnsi="宋体" w:cs="宋体"/>
          <w:color w:val="auto"/>
          <w:sz w:val="28"/>
          <w:szCs w:val="28"/>
          <w:highlight w:val="none"/>
        </w:rPr>
      </w:pPr>
      <w:r>
        <w:rPr>
          <w:rFonts w:hint="eastAsia" w:ascii="宋体" w:hAnsi="宋体" w:cs="宋体"/>
          <w:b/>
          <w:color w:val="auto"/>
          <w:sz w:val="28"/>
          <w:szCs w:val="28"/>
          <w:highlight w:val="none"/>
        </w:rPr>
        <w:t xml:space="preserve">投标人：                        </w:t>
      </w:r>
      <w:r>
        <w:rPr>
          <w:rFonts w:hint="eastAsia" w:ascii="宋体" w:hAnsi="宋体" w:cs="宋体"/>
          <w:color w:val="auto"/>
          <w:sz w:val="28"/>
          <w:szCs w:val="28"/>
          <w:highlight w:val="none"/>
        </w:rPr>
        <w:t>（盖单位章）</w:t>
      </w:r>
    </w:p>
    <w:p>
      <w:pPr>
        <w:pStyle w:val="6"/>
        <w:spacing w:before="120" w:beforeLines="50"/>
        <w:ind w:firstLine="1630" w:firstLineChars="580"/>
        <w:rPr>
          <w:rFonts w:hint="eastAsia" w:ascii="宋体" w:hAnsi="宋体" w:cs="宋体"/>
          <w:color w:val="auto"/>
          <w:sz w:val="28"/>
          <w:szCs w:val="28"/>
          <w:highlight w:val="none"/>
        </w:rPr>
      </w:pPr>
      <w:r>
        <w:rPr>
          <w:rFonts w:hint="eastAsia" w:ascii="宋体" w:hAnsi="宋体" w:cs="宋体"/>
          <w:b/>
          <w:color w:val="auto"/>
          <w:sz w:val="28"/>
          <w:szCs w:val="28"/>
          <w:highlight w:val="none"/>
        </w:rPr>
        <w:t xml:space="preserve">法定代表人或其委托代理人：       </w:t>
      </w:r>
      <w:r>
        <w:rPr>
          <w:rFonts w:hint="eastAsia" w:ascii="宋体" w:hAnsi="宋体" w:cs="宋体"/>
          <w:color w:val="auto"/>
          <w:sz w:val="28"/>
          <w:szCs w:val="28"/>
          <w:highlight w:val="none"/>
        </w:rPr>
        <w:t>（签</w:t>
      </w:r>
      <w:r>
        <w:rPr>
          <w:rFonts w:hint="eastAsia" w:ascii="宋体" w:hAnsi="宋体" w:cs="宋体"/>
          <w:color w:val="auto"/>
          <w:sz w:val="28"/>
          <w:szCs w:val="28"/>
          <w:highlight w:val="none"/>
          <w:lang w:eastAsia="zh-CN"/>
        </w:rPr>
        <w:t>名</w:t>
      </w:r>
      <w:r>
        <w:rPr>
          <w:rFonts w:hint="eastAsia" w:ascii="宋体" w:hAnsi="宋体" w:cs="宋体"/>
          <w:color w:val="auto"/>
          <w:sz w:val="28"/>
          <w:szCs w:val="28"/>
          <w:highlight w:val="none"/>
        </w:rPr>
        <w:t>）</w:t>
      </w:r>
    </w:p>
    <w:p>
      <w:pPr>
        <w:pStyle w:val="6"/>
        <w:spacing w:before="120" w:beforeLines="50"/>
        <w:ind w:firstLine="1630" w:firstLineChars="580"/>
        <w:rPr>
          <w:rFonts w:hint="eastAsia" w:ascii="宋体" w:hAnsi="宋体" w:cs="宋体"/>
          <w:b/>
          <w:color w:val="auto"/>
          <w:sz w:val="28"/>
          <w:szCs w:val="28"/>
          <w:highlight w:val="none"/>
        </w:rPr>
      </w:pPr>
      <w:r>
        <w:rPr>
          <w:rFonts w:hint="eastAsia" w:ascii="宋体" w:hAnsi="宋体" w:cs="宋体"/>
          <w:b/>
          <w:color w:val="auto"/>
          <w:sz w:val="28"/>
          <w:szCs w:val="28"/>
          <w:highlight w:val="none"/>
        </w:rPr>
        <w:t>时  间：         年  月  日</w:t>
      </w:r>
    </w:p>
    <w:p>
      <w:pPr>
        <w:pStyle w:val="6"/>
        <w:spacing w:before="120" w:beforeLines="50"/>
        <w:ind w:firstLine="1630" w:firstLineChars="580"/>
        <w:rPr>
          <w:rFonts w:hint="eastAsia" w:ascii="宋体" w:hAnsi="宋体" w:cs="宋体"/>
          <w:b/>
          <w:color w:val="auto"/>
          <w:sz w:val="28"/>
          <w:szCs w:val="28"/>
          <w:highlight w:val="none"/>
        </w:rPr>
      </w:pPr>
    </w:p>
    <w:p>
      <w:pPr>
        <w:pStyle w:val="6"/>
        <w:spacing w:before="120" w:beforeLines="50" w:after="120" w:afterLines="50"/>
        <w:ind w:firstLine="0"/>
        <w:jc w:val="center"/>
        <w:rPr>
          <w:rFonts w:ascii="宋体" w:hAnsi="宋体" w:cs="宋体"/>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pStyle w:val="6"/>
        <w:spacing w:before="120" w:beforeLines="50" w:after="120" w:afterLines="50"/>
        <w:ind w:firstLine="0"/>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目  录</w:t>
      </w:r>
    </w:p>
    <w:p>
      <w:pPr>
        <w:tabs>
          <w:tab w:val="left" w:pos="1701"/>
          <w:tab w:val="left" w:pos="1843"/>
        </w:tabs>
        <w:spacing w:line="360" w:lineRule="auto"/>
        <w:rPr>
          <w:rFonts w:hint="eastAsia" w:ascii="宋体" w:hAnsi="宋体"/>
          <w:color w:val="auto"/>
          <w:sz w:val="21"/>
          <w:szCs w:val="21"/>
          <w:highlight w:val="none"/>
        </w:rPr>
      </w:pPr>
      <w:r>
        <w:rPr>
          <w:rFonts w:hint="eastAsia"/>
          <w:b/>
          <w:color w:val="auto"/>
          <w:sz w:val="21"/>
          <w:szCs w:val="21"/>
          <w:highlight w:val="none"/>
        </w:rPr>
        <w:t xml:space="preserve">资格证明文件  </w:t>
      </w:r>
      <w:r>
        <w:rPr>
          <w:rFonts w:hint="eastAsia" w:ascii="宋体" w:hAnsi="宋体"/>
          <w:color w:val="auto"/>
          <w:sz w:val="21"/>
          <w:szCs w:val="21"/>
          <w:highlight w:val="none"/>
        </w:rPr>
        <w:t>……………………………………………………………………………………页码</w:t>
      </w:r>
    </w:p>
    <w:p>
      <w:pPr>
        <w:tabs>
          <w:tab w:val="left" w:pos="1701"/>
          <w:tab w:val="left" w:pos="1843"/>
        </w:tabs>
        <w:spacing w:line="360" w:lineRule="auto"/>
        <w:ind w:firstLine="632" w:firstLineChars="300"/>
        <w:outlineLvl w:val="9"/>
        <w:rPr>
          <w:rFonts w:hint="eastAsia" w:ascii="宋体" w:hAnsi="宋体"/>
          <w:color w:val="auto"/>
          <w:szCs w:val="21"/>
          <w:highlight w:val="none"/>
        </w:rPr>
      </w:pPr>
      <w:bookmarkStart w:id="167" w:name="_Toc7143"/>
      <w:r>
        <w:rPr>
          <w:rFonts w:hint="eastAsia"/>
          <w:b/>
          <w:color w:val="auto"/>
          <w:szCs w:val="21"/>
          <w:highlight w:val="none"/>
        </w:rPr>
        <w:t>一、投标人基本资格条件证明材料</w:t>
      </w:r>
      <w:r>
        <w:rPr>
          <w:rFonts w:hint="eastAsia" w:ascii="宋体" w:hAnsi="宋体"/>
          <w:color w:val="auto"/>
          <w:szCs w:val="21"/>
          <w:highlight w:val="none"/>
        </w:rPr>
        <w:t>………………………………………………………</w:t>
      </w:r>
      <w:bookmarkEnd w:id="167"/>
    </w:p>
    <w:p>
      <w:pPr>
        <w:tabs>
          <w:tab w:val="left" w:pos="851"/>
          <w:tab w:val="left" w:pos="1701"/>
          <w:tab w:val="left" w:pos="1843"/>
        </w:tabs>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    1.投标人基本情况表……………………………………………………………………</w:t>
      </w:r>
    </w:p>
    <w:p>
      <w:pPr>
        <w:tabs>
          <w:tab w:val="left" w:pos="1701"/>
          <w:tab w:val="left" w:pos="1843"/>
        </w:tabs>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2.法定代表人身份证明…………………………………………………………………</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3.法定代表人授权书……………………………………………………………………</w:t>
      </w:r>
    </w:p>
    <w:p>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olor w:val="auto"/>
          <w:szCs w:val="21"/>
          <w:highlight w:val="none"/>
        </w:rPr>
        <w:t xml:space="preserve">    4.投标人</w:t>
      </w:r>
      <w:r>
        <w:rPr>
          <w:rFonts w:hint="eastAsia" w:ascii="宋体" w:hAnsi="宋体" w:cs="宋体"/>
          <w:color w:val="auto"/>
          <w:kern w:val="0"/>
          <w:szCs w:val="21"/>
          <w:highlight w:val="none"/>
          <w:lang w:val="zh-CN"/>
        </w:rPr>
        <w:t>营业执照等证明文件，自然人的身份证明</w:t>
      </w:r>
      <w:r>
        <w:rPr>
          <w:rFonts w:hint="eastAsia" w:ascii="宋体" w:hAnsi="宋体"/>
          <w:color w:val="auto"/>
          <w:szCs w:val="21"/>
          <w:highlight w:val="none"/>
        </w:rPr>
        <w:t>…………………………………</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 5.财务状况报告…………………………………………………………………………</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6.税收缴纳证明…………………………………………………………………………</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7.社会保障资金缴纳证明………………………………………………………………</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8.</w:t>
      </w:r>
      <w:r>
        <w:rPr>
          <w:rFonts w:hint="eastAsia" w:ascii="宋体" w:hAnsi="宋体" w:cs="宋体"/>
          <w:color w:val="auto"/>
          <w:kern w:val="0"/>
          <w:szCs w:val="21"/>
          <w:highlight w:val="none"/>
          <w:lang w:val="zh-CN"/>
        </w:rPr>
        <w:t>具备履行合同所必需的设备和专业技术能力的证明</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9.投标声明书……………………………………………………………………………</w:t>
      </w:r>
    </w:p>
    <w:p>
      <w:pPr>
        <w:tabs>
          <w:tab w:val="left" w:pos="1701"/>
          <w:tab w:val="left" w:pos="1843"/>
        </w:tabs>
        <w:spacing w:line="360" w:lineRule="auto"/>
        <w:ind w:firstLine="632" w:firstLineChars="300"/>
        <w:outlineLvl w:val="9"/>
        <w:rPr>
          <w:rFonts w:hint="eastAsia"/>
          <w:b/>
          <w:color w:val="auto"/>
          <w:szCs w:val="21"/>
          <w:highlight w:val="none"/>
        </w:rPr>
      </w:pPr>
      <w:bookmarkStart w:id="168" w:name="_Toc2932"/>
      <w:r>
        <w:rPr>
          <w:rFonts w:hint="eastAsia"/>
          <w:b/>
          <w:color w:val="auto"/>
          <w:szCs w:val="21"/>
          <w:highlight w:val="none"/>
        </w:rPr>
        <w:t>二、投标人落实政府采购政策资格条件证明材料</w:t>
      </w:r>
      <w:bookmarkEnd w:id="168"/>
    </w:p>
    <w:p>
      <w:pPr>
        <w:tabs>
          <w:tab w:val="left" w:pos="1701"/>
          <w:tab w:val="left" w:pos="1843"/>
        </w:tabs>
        <w:spacing w:line="360" w:lineRule="auto"/>
        <w:ind w:firstLine="632" w:firstLineChars="300"/>
        <w:rPr>
          <w:rFonts w:hint="eastAsia" w:ascii="宋体" w:hAnsi="宋体"/>
          <w:color w:val="auto"/>
          <w:szCs w:val="21"/>
          <w:highlight w:val="none"/>
        </w:rPr>
      </w:pPr>
      <w:r>
        <w:rPr>
          <w:rFonts w:hint="eastAsia"/>
          <w:b/>
          <w:color w:val="auto"/>
          <w:szCs w:val="21"/>
          <w:highlight w:val="none"/>
        </w:rPr>
        <w:t xml:space="preserve">  </w:t>
      </w:r>
      <w:r>
        <w:rPr>
          <w:rFonts w:hint="eastAsia" w:ascii="宋体" w:hAnsi="宋体"/>
          <w:color w:val="auto"/>
          <w:szCs w:val="21"/>
          <w:highlight w:val="none"/>
        </w:rPr>
        <w:t>10.中小企业声明函 ……………………………………………………………………</w:t>
      </w:r>
    </w:p>
    <w:p>
      <w:pPr>
        <w:tabs>
          <w:tab w:val="left" w:pos="1701"/>
          <w:tab w:val="left" w:pos="1843"/>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11.残疾人福利性单位声明函 …………………………………………………………</w:t>
      </w:r>
    </w:p>
    <w:p>
      <w:pPr>
        <w:tabs>
          <w:tab w:val="left" w:pos="1701"/>
          <w:tab w:val="left" w:pos="1843"/>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13.监狱企业证明 ………………………………………………………………………</w:t>
      </w:r>
    </w:p>
    <w:p>
      <w:pPr>
        <w:spacing w:line="360" w:lineRule="auto"/>
        <w:ind w:firstLine="211" w:firstLineChars="100"/>
        <w:rPr>
          <w:rFonts w:hint="eastAsia" w:ascii="宋体" w:hAnsi="宋体"/>
          <w:color w:val="auto"/>
          <w:szCs w:val="21"/>
          <w:highlight w:val="none"/>
        </w:rPr>
      </w:pPr>
      <w:r>
        <w:rPr>
          <w:rFonts w:hint="eastAsia" w:ascii="宋体" w:hAnsi="宋体"/>
          <w:b/>
          <w:color w:val="auto"/>
          <w:szCs w:val="21"/>
          <w:highlight w:val="none"/>
        </w:rPr>
        <w:t xml:space="preserve">商务技术文件  </w:t>
      </w:r>
      <w:r>
        <w:rPr>
          <w:rFonts w:hint="eastAsia" w:ascii="宋体" w:hAnsi="宋体"/>
          <w:color w:val="auto"/>
          <w:szCs w:val="21"/>
          <w:highlight w:val="none"/>
        </w:rPr>
        <w:t>…………………………………………………………………………………</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一、投标函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二、开标一览表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三、分项报价</w:t>
      </w:r>
      <w:r>
        <w:rPr>
          <w:rFonts w:hint="eastAsia"/>
          <w:color w:val="auto"/>
          <w:szCs w:val="21"/>
          <w:highlight w:val="none"/>
          <w:lang w:eastAsia="zh-CN"/>
        </w:rPr>
        <w:t>明细</w:t>
      </w:r>
      <w:r>
        <w:rPr>
          <w:rFonts w:hint="eastAsia"/>
          <w:color w:val="auto"/>
          <w:szCs w:val="21"/>
          <w:highlight w:val="none"/>
        </w:rPr>
        <w:t>表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lang w:eastAsia="zh-CN"/>
        </w:rPr>
        <w:t>四</w:t>
      </w:r>
      <w:r>
        <w:rPr>
          <w:rFonts w:hint="eastAsia"/>
          <w:color w:val="auto"/>
          <w:szCs w:val="21"/>
          <w:highlight w:val="none"/>
        </w:rPr>
        <w:t>、商务条款偏离表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lang w:eastAsia="zh-CN"/>
        </w:rPr>
        <w:t>五</w:t>
      </w:r>
      <w:r>
        <w:rPr>
          <w:rFonts w:hint="eastAsia"/>
          <w:color w:val="auto"/>
          <w:szCs w:val="21"/>
          <w:highlight w:val="none"/>
        </w:rPr>
        <w:t>、合同条款偏离表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lang w:eastAsia="zh-CN"/>
        </w:rPr>
        <w:t>六</w:t>
      </w:r>
      <w:r>
        <w:rPr>
          <w:rFonts w:hint="eastAsia"/>
          <w:color w:val="auto"/>
          <w:szCs w:val="21"/>
          <w:highlight w:val="none"/>
        </w:rPr>
        <w:t>、承诺文件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lang w:eastAsia="zh-CN"/>
        </w:rPr>
        <w:t>七</w:t>
      </w:r>
      <w:r>
        <w:rPr>
          <w:rFonts w:hint="eastAsia"/>
          <w:color w:val="auto"/>
          <w:szCs w:val="21"/>
          <w:highlight w:val="none"/>
        </w:rPr>
        <w:t>、售后服务文件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lang w:eastAsia="zh-CN"/>
        </w:rPr>
        <w:t>八</w:t>
      </w:r>
      <w:r>
        <w:rPr>
          <w:rFonts w:hint="eastAsia"/>
          <w:color w:val="auto"/>
          <w:szCs w:val="21"/>
          <w:highlight w:val="none"/>
        </w:rPr>
        <w:t>、享受政府采购优惠政策的证明材料…………………………………………………</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lang w:eastAsia="zh-CN"/>
        </w:rPr>
        <w:t>九</w:t>
      </w:r>
      <w:r>
        <w:rPr>
          <w:rFonts w:hint="eastAsia"/>
          <w:color w:val="auto"/>
          <w:szCs w:val="21"/>
          <w:highlight w:val="none"/>
        </w:rPr>
        <w:t>、其他证明材料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十、技术文件 ……………………………………………………………………………</w:t>
      </w:r>
    </w:p>
    <w:p>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w:t>
      </w:r>
      <w:r>
        <w:rPr>
          <w:rFonts w:hint="eastAsia"/>
          <w:color w:val="auto"/>
          <w:szCs w:val="21"/>
          <w:highlight w:val="none"/>
          <w:lang w:eastAsia="zh-CN"/>
        </w:rPr>
        <w:t>一</w:t>
      </w:r>
      <w:r>
        <w:rPr>
          <w:rFonts w:hint="eastAsia"/>
          <w:color w:val="auto"/>
          <w:szCs w:val="21"/>
          <w:highlight w:val="none"/>
        </w:rPr>
        <w:t>、</w:t>
      </w:r>
      <w:r>
        <w:rPr>
          <w:rFonts w:hint="eastAsia"/>
          <w:color w:val="auto"/>
          <w:szCs w:val="21"/>
          <w:highlight w:val="none"/>
          <w:lang w:eastAsia="zh-CN"/>
        </w:rPr>
        <w:t>服务要求</w:t>
      </w:r>
      <w:r>
        <w:rPr>
          <w:rFonts w:hint="eastAsia"/>
          <w:color w:val="auto"/>
          <w:szCs w:val="21"/>
          <w:highlight w:val="none"/>
        </w:rPr>
        <w:t>偏离表 ……………………………………………………………………</w:t>
      </w:r>
    </w:p>
    <w:p>
      <w:pPr>
        <w:tabs>
          <w:tab w:val="left" w:pos="1701"/>
          <w:tab w:val="left" w:pos="1843"/>
        </w:tabs>
        <w:spacing w:line="360" w:lineRule="auto"/>
        <w:ind w:firstLine="630" w:firstLineChars="300"/>
        <w:rPr>
          <w:rFonts w:hint="eastAsia" w:ascii="宋体" w:hAnsi="宋体"/>
          <w:color w:val="auto"/>
          <w:szCs w:val="21"/>
          <w:highlight w:val="none"/>
        </w:rPr>
      </w:pPr>
      <w:r>
        <w:rPr>
          <w:rFonts w:hint="eastAsia"/>
          <w:color w:val="auto"/>
          <w:szCs w:val="21"/>
          <w:highlight w:val="none"/>
        </w:rPr>
        <w:t>十</w:t>
      </w:r>
      <w:r>
        <w:rPr>
          <w:rFonts w:hint="eastAsia"/>
          <w:color w:val="auto"/>
          <w:szCs w:val="21"/>
          <w:highlight w:val="none"/>
          <w:lang w:eastAsia="zh-CN"/>
        </w:rPr>
        <w:t>二</w:t>
      </w:r>
      <w:r>
        <w:rPr>
          <w:rFonts w:hint="eastAsia"/>
          <w:color w:val="auto"/>
          <w:szCs w:val="21"/>
          <w:highlight w:val="none"/>
        </w:rPr>
        <w:t>、投标人认为有必要补充说明的事项 ………………………………………………</w:t>
      </w:r>
    </w:p>
    <w:p>
      <w:pPr>
        <w:spacing w:line="360" w:lineRule="auto"/>
        <w:ind w:firstLine="960" w:firstLineChars="400"/>
        <w:rPr>
          <w:rFonts w:hint="eastAsia" w:ascii="宋体" w:hAnsi="宋体" w:cs="宋体"/>
          <w:color w:val="auto"/>
          <w:sz w:val="24"/>
          <w:highlight w:val="none"/>
        </w:rPr>
      </w:pPr>
    </w:p>
    <w:p>
      <w:pPr>
        <w:pStyle w:val="6"/>
        <w:spacing w:before="120" w:beforeLines="50" w:after="120" w:afterLines="50"/>
        <w:ind w:firstLine="0"/>
        <w:rPr>
          <w:rFonts w:ascii="宋体" w:hAnsi="宋体" w:cs="宋体"/>
          <w:b/>
          <w:color w:val="auto"/>
          <w:szCs w:val="21"/>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adjustRightInd w:val="0"/>
        <w:snapToGrid w:val="0"/>
        <w:spacing w:line="360" w:lineRule="auto"/>
        <w:jc w:val="center"/>
        <w:rPr>
          <w:rFonts w:hint="eastAsia" w:ascii="黑体" w:hAnsi="宋体" w:eastAsia="黑体"/>
          <w:color w:val="auto"/>
          <w:sz w:val="44"/>
          <w:szCs w:val="44"/>
          <w:highlight w:val="none"/>
        </w:rPr>
      </w:pPr>
    </w:p>
    <w:p>
      <w:pPr>
        <w:adjustRightInd w:val="0"/>
        <w:snapToGrid w:val="0"/>
        <w:spacing w:line="360" w:lineRule="auto"/>
        <w:jc w:val="center"/>
        <w:rPr>
          <w:rFonts w:hint="eastAsia" w:ascii="黑体" w:hAnsi="宋体" w:eastAsia="黑体"/>
          <w:color w:val="auto"/>
          <w:sz w:val="44"/>
          <w:szCs w:val="44"/>
          <w:highlight w:val="none"/>
        </w:rPr>
      </w:pPr>
    </w:p>
    <w:p>
      <w:pPr>
        <w:adjustRightInd w:val="0"/>
        <w:snapToGrid w:val="0"/>
        <w:spacing w:line="360" w:lineRule="auto"/>
        <w:jc w:val="center"/>
        <w:rPr>
          <w:rFonts w:hint="eastAsia" w:ascii="黑体" w:hAnsi="宋体" w:eastAsia="黑体"/>
          <w:color w:val="auto"/>
          <w:sz w:val="44"/>
          <w:szCs w:val="44"/>
          <w:highlight w:val="none"/>
        </w:rPr>
      </w:pPr>
    </w:p>
    <w:p>
      <w:pPr>
        <w:adjustRightInd w:val="0"/>
        <w:snapToGrid w:val="0"/>
        <w:spacing w:line="360" w:lineRule="auto"/>
        <w:jc w:val="center"/>
        <w:rPr>
          <w:rFonts w:hint="eastAsia" w:ascii="黑体" w:hAnsi="宋体" w:eastAsia="黑体"/>
          <w:color w:val="auto"/>
          <w:sz w:val="44"/>
          <w:szCs w:val="44"/>
          <w:highlight w:val="none"/>
        </w:rPr>
      </w:pPr>
    </w:p>
    <w:p>
      <w:pPr>
        <w:spacing w:before="240" w:beforeLines="100" w:after="480" w:afterLines="200"/>
        <w:jc w:val="center"/>
        <w:rPr>
          <w:rFonts w:hint="eastAsia" w:ascii="方正小标宋简体" w:eastAsia="方正小标宋简体"/>
          <w:color w:val="auto"/>
          <w:sz w:val="72"/>
          <w:szCs w:val="72"/>
          <w:highlight w:val="none"/>
        </w:rPr>
      </w:pPr>
      <w:r>
        <w:rPr>
          <w:rFonts w:hint="eastAsia" w:ascii="方正小标宋简体" w:eastAsia="方正小标宋简体"/>
          <w:color w:val="auto"/>
          <w:sz w:val="72"/>
          <w:szCs w:val="72"/>
          <w:highlight w:val="none"/>
        </w:rPr>
        <w:t>资格证明文件</w:t>
      </w:r>
    </w:p>
    <w:p>
      <w:pPr>
        <w:adjustRightInd w:val="0"/>
        <w:snapToGrid w:val="0"/>
        <w:spacing w:line="360" w:lineRule="auto"/>
        <w:jc w:val="center"/>
        <w:rPr>
          <w:rFonts w:hint="eastAsia" w:ascii="黑体" w:hAnsi="宋体" w:eastAsia="黑体"/>
          <w:color w:val="auto"/>
          <w:sz w:val="44"/>
          <w:szCs w:val="44"/>
          <w:highlight w:val="none"/>
        </w:rPr>
      </w:pPr>
    </w:p>
    <w:p>
      <w:pPr>
        <w:adjustRightInd w:val="0"/>
        <w:snapToGrid w:val="0"/>
        <w:spacing w:line="360" w:lineRule="auto"/>
        <w:jc w:val="center"/>
        <w:outlineLvl w:val="9"/>
        <w:rPr>
          <w:rFonts w:hint="eastAsia" w:ascii="黑体" w:hAnsi="宋体" w:eastAsia="黑体"/>
          <w:color w:val="auto"/>
          <w:sz w:val="44"/>
          <w:szCs w:val="44"/>
          <w:highlight w:val="none"/>
        </w:rPr>
      </w:pPr>
      <w:r>
        <w:rPr>
          <w:rFonts w:hint="eastAsia" w:ascii="黑体" w:hAnsi="宋体" w:eastAsia="黑体"/>
          <w:color w:val="auto"/>
          <w:sz w:val="44"/>
          <w:szCs w:val="44"/>
          <w:highlight w:val="none"/>
        </w:rPr>
        <w:br w:type="page"/>
      </w:r>
      <w:bookmarkStart w:id="169" w:name="_Toc17763"/>
      <w:r>
        <w:rPr>
          <w:rFonts w:hint="eastAsia" w:ascii="黑体" w:hAnsi="宋体" w:eastAsia="黑体"/>
          <w:color w:val="auto"/>
          <w:sz w:val="44"/>
          <w:szCs w:val="44"/>
          <w:highlight w:val="none"/>
          <w:lang w:eastAsia="zh-CN"/>
        </w:rPr>
        <w:t>一、</w:t>
      </w:r>
      <w:r>
        <w:rPr>
          <w:rFonts w:hint="eastAsia" w:ascii="黑体" w:hAnsi="宋体" w:eastAsia="黑体"/>
          <w:color w:val="auto"/>
          <w:sz w:val="44"/>
          <w:szCs w:val="44"/>
          <w:highlight w:val="none"/>
        </w:rPr>
        <w:t>投标人基本资格条件证明材料</w:t>
      </w:r>
      <w:bookmarkEnd w:id="169"/>
    </w:p>
    <w:p>
      <w:pPr>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投标人基本情况表</w:t>
      </w:r>
    </w:p>
    <w:tbl>
      <w:tblPr>
        <w:tblStyle w:val="29"/>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名称</w:t>
            </w:r>
          </w:p>
        </w:tc>
        <w:tc>
          <w:tcPr>
            <w:tcW w:w="7016" w:type="dxa"/>
            <w:gridSpan w:val="9"/>
            <w:noWrap w:val="0"/>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1416" w:type="dxa"/>
            <w:noWrap w:val="0"/>
            <w:vAlign w:val="center"/>
          </w:tcPr>
          <w:p>
            <w:pPr>
              <w:topLinePunct/>
              <w:spacing w:line="440" w:lineRule="exact"/>
              <w:jc w:val="center"/>
              <w:rPr>
                <w:rFonts w:ascii="宋体" w:hAnsi="宋体"/>
                <w:color w:val="auto"/>
                <w:szCs w:val="21"/>
                <w:highlight w:val="none"/>
              </w:rPr>
            </w:pPr>
          </w:p>
        </w:tc>
        <w:tc>
          <w:tcPr>
            <w:tcW w:w="1419"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注册资金</w:t>
            </w:r>
          </w:p>
        </w:tc>
        <w:tc>
          <w:tcPr>
            <w:tcW w:w="1418" w:type="dxa"/>
            <w:noWrap w:val="0"/>
            <w:vAlign w:val="center"/>
          </w:tcPr>
          <w:p>
            <w:pPr>
              <w:topLinePunct/>
              <w:jc w:val="center"/>
              <w:rPr>
                <w:rFonts w:ascii="宋体" w:hAnsi="宋体"/>
                <w:color w:val="auto"/>
                <w:szCs w:val="21"/>
                <w:highlight w:val="none"/>
              </w:rPr>
            </w:pPr>
          </w:p>
        </w:tc>
        <w:tc>
          <w:tcPr>
            <w:tcW w:w="1381"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成立时间</w:t>
            </w:r>
          </w:p>
        </w:tc>
        <w:tc>
          <w:tcPr>
            <w:tcW w:w="1382" w:type="dxa"/>
            <w:noWrap w:val="0"/>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4253" w:type="dxa"/>
            <w:gridSpan w:val="5"/>
            <w:noWrap w:val="0"/>
            <w:vAlign w:val="center"/>
          </w:tcPr>
          <w:p>
            <w:pPr>
              <w:topLinePunct/>
              <w:spacing w:line="440" w:lineRule="exact"/>
              <w:jc w:val="center"/>
              <w:rPr>
                <w:rFonts w:ascii="宋体" w:hAnsi="宋体"/>
                <w:color w:val="auto"/>
                <w:szCs w:val="21"/>
                <w:highlight w:val="none"/>
              </w:rPr>
            </w:pPr>
          </w:p>
        </w:tc>
        <w:tc>
          <w:tcPr>
            <w:tcW w:w="1381"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资产总额</w:t>
            </w:r>
          </w:p>
        </w:tc>
        <w:tc>
          <w:tcPr>
            <w:tcW w:w="1382" w:type="dxa"/>
            <w:noWrap w:val="0"/>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上年营业额</w:t>
            </w:r>
          </w:p>
        </w:tc>
        <w:tc>
          <w:tcPr>
            <w:tcW w:w="1416" w:type="dxa"/>
            <w:noWrap w:val="0"/>
            <w:vAlign w:val="center"/>
          </w:tcPr>
          <w:p>
            <w:pPr>
              <w:topLinePunct/>
              <w:jc w:val="center"/>
              <w:rPr>
                <w:rFonts w:hint="eastAsia" w:ascii="宋体" w:hAnsi="宋体"/>
                <w:color w:val="auto"/>
                <w:szCs w:val="21"/>
                <w:highlight w:val="none"/>
              </w:rPr>
            </w:pPr>
          </w:p>
        </w:tc>
        <w:tc>
          <w:tcPr>
            <w:tcW w:w="1419" w:type="dxa"/>
            <w:gridSpan w:val="3"/>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员工总人数</w:t>
            </w:r>
          </w:p>
        </w:tc>
        <w:tc>
          <w:tcPr>
            <w:tcW w:w="1418" w:type="dxa"/>
            <w:noWrap w:val="0"/>
            <w:vAlign w:val="center"/>
          </w:tcPr>
          <w:p>
            <w:pPr>
              <w:topLinePunct/>
              <w:jc w:val="center"/>
              <w:rPr>
                <w:rFonts w:hint="eastAsia" w:ascii="宋体" w:hAnsi="宋体"/>
                <w:color w:val="auto"/>
                <w:szCs w:val="21"/>
                <w:highlight w:val="none"/>
              </w:rPr>
            </w:pPr>
          </w:p>
        </w:tc>
        <w:tc>
          <w:tcPr>
            <w:tcW w:w="1381" w:type="dxa"/>
            <w:gridSpan w:val="3"/>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企业类型</w:t>
            </w:r>
          </w:p>
        </w:tc>
        <w:tc>
          <w:tcPr>
            <w:tcW w:w="1382" w:type="dxa"/>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法定代表人</w:t>
            </w:r>
          </w:p>
          <w:p>
            <w:pPr>
              <w:topLinePunct/>
              <w:jc w:val="center"/>
              <w:rPr>
                <w:rFonts w:hint="eastAsia" w:ascii="宋体" w:hAnsi="宋体"/>
                <w:color w:val="auto"/>
                <w:szCs w:val="21"/>
                <w:highlight w:val="none"/>
              </w:rPr>
            </w:pPr>
            <w:r>
              <w:rPr>
                <w:rFonts w:hint="eastAsia" w:ascii="宋体" w:hAnsi="宋体"/>
                <w:color w:val="auto"/>
                <w:szCs w:val="21"/>
                <w:highlight w:val="none"/>
              </w:rPr>
              <w:t xml:space="preserve"> （单位负责人）</w:t>
            </w:r>
          </w:p>
        </w:tc>
        <w:tc>
          <w:tcPr>
            <w:tcW w:w="1416"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姓名</w:t>
            </w:r>
          </w:p>
        </w:tc>
        <w:tc>
          <w:tcPr>
            <w:tcW w:w="1419" w:type="dxa"/>
            <w:gridSpan w:val="3"/>
            <w:vMerge w:val="restart"/>
            <w:noWrap w:val="0"/>
            <w:vAlign w:val="center"/>
          </w:tcPr>
          <w:p>
            <w:pPr>
              <w:topLinePunct/>
              <w:jc w:val="center"/>
              <w:rPr>
                <w:rFonts w:hint="eastAsia" w:ascii="宋体" w:hAnsi="宋体"/>
                <w:color w:val="auto"/>
                <w:szCs w:val="21"/>
                <w:highlight w:val="none"/>
              </w:rPr>
            </w:pPr>
          </w:p>
        </w:tc>
        <w:tc>
          <w:tcPr>
            <w:tcW w:w="1418"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1381" w:type="dxa"/>
            <w:gridSpan w:val="3"/>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手机</w:t>
            </w:r>
          </w:p>
        </w:tc>
        <w:tc>
          <w:tcPr>
            <w:tcW w:w="1382" w:type="dxa"/>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pPr>
              <w:topLinePunct/>
              <w:jc w:val="center"/>
              <w:rPr>
                <w:rFonts w:hint="eastAsia" w:ascii="宋体" w:hAnsi="宋体"/>
                <w:color w:val="auto"/>
                <w:szCs w:val="21"/>
                <w:highlight w:val="none"/>
              </w:rPr>
            </w:pPr>
          </w:p>
        </w:tc>
        <w:tc>
          <w:tcPr>
            <w:tcW w:w="1416" w:type="dxa"/>
            <w:vMerge w:val="continue"/>
            <w:noWrap w:val="0"/>
            <w:vAlign w:val="center"/>
          </w:tcPr>
          <w:p>
            <w:pPr>
              <w:topLinePunct/>
              <w:jc w:val="center"/>
              <w:rPr>
                <w:rFonts w:hint="eastAsia" w:ascii="宋体" w:hAnsi="宋体"/>
                <w:color w:val="auto"/>
                <w:szCs w:val="21"/>
                <w:highlight w:val="none"/>
              </w:rPr>
            </w:pPr>
          </w:p>
        </w:tc>
        <w:tc>
          <w:tcPr>
            <w:tcW w:w="1419" w:type="dxa"/>
            <w:gridSpan w:val="3"/>
            <w:vMerge w:val="continue"/>
            <w:noWrap w:val="0"/>
            <w:vAlign w:val="center"/>
          </w:tcPr>
          <w:p>
            <w:pPr>
              <w:topLinePunct/>
              <w:jc w:val="center"/>
              <w:rPr>
                <w:rFonts w:hint="eastAsia" w:ascii="宋体" w:hAnsi="宋体"/>
                <w:color w:val="auto"/>
                <w:szCs w:val="21"/>
                <w:highlight w:val="none"/>
              </w:rPr>
            </w:pPr>
          </w:p>
        </w:tc>
        <w:tc>
          <w:tcPr>
            <w:tcW w:w="1418" w:type="dxa"/>
            <w:vMerge w:val="continue"/>
            <w:noWrap w:val="0"/>
            <w:vAlign w:val="center"/>
          </w:tcPr>
          <w:p>
            <w:pPr>
              <w:topLinePunct/>
              <w:jc w:val="center"/>
              <w:rPr>
                <w:rFonts w:hint="eastAsia" w:ascii="宋体" w:hAnsi="宋体"/>
                <w:color w:val="auto"/>
                <w:szCs w:val="21"/>
                <w:highlight w:val="none"/>
              </w:rPr>
            </w:pPr>
          </w:p>
        </w:tc>
        <w:tc>
          <w:tcPr>
            <w:tcW w:w="1381" w:type="dxa"/>
            <w:gridSpan w:val="3"/>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办公</w:t>
            </w:r>
          </w:p>
        </w:tc>
        <w:tc>
          <w:tcPr>
            <w:tcW w:w="1382" w:type="dxa"/>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1416" w:type="dxa"/>
            <w:vMerge w:val="restart"/>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联系人</w:t>
            </w:r>
          </w:p>
        </w:tc>
        <w:tc>
          <w:tcPr>
            <w:tcW w:w="1419" w:type="dxa"/>
            <w:gridSpan w:val="3"/>
            <w:vMerge w:val="restart"/>
            <w:noWrap w:val="0"/>
            <w:vAlign w:val="center"/>
          </w:tcPr>
          <w:p>
            <w:pPr>
              <w:topLinePunct/>
              <w:jc w:val="center"/>
              <w:rPr>
                <w:rFonts w:hint="eastAsia" w:ascii="宋体" w:hAnsi="宋体"/>
                <w:color w:val="auto"/>
                <w:szCs w:val="21"/>
                <w:highlight w:val="none"/>
              </w:rPr>
            </w:pPr>
          </w:p>
        </w:tc>
        <w:tc>
          <w:tcPr>
            <w:tcW w:w="1418"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2763" w:type="dxa"/>
            <w:gridSpan w:val="4"/>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pPr>
              <w:topLinePunct/>
              <w:jc w:val="center"/>
              <w:rPr>
                <w:rFonts w:hint="eastAsia" w:ascii="宋体" w:hAnsi="宋体"/>
                <w:color w:val="auto"/>
                <w:szCs w:val="21"/>
                <w:highlight w:val="none"/>
              </w:rPr>
            </w:pPr>
          </w:p>
        </w:tc>
        <w:tc>
          <w:tcPr>
            <w:tcW w:w="1416" w:type="dxa"/>
            <w:vMerge w:val="continue"/>
            <w:noWrap w:val="0"/>
            <w:vAlign w:val="center"/>
          </w:tcPr>
          <w:p>
            <w:pPr>
              <w:topLinePunct/>
              <w:jc w:val="center"/>
              <w:rPr>
                <w:rFonts w:hint="eastAsia" w:ascii="宋体" w:hAnsi="宋体"/>
                <w:color w:val="auto"/>
                <w:szCs w:val="21"/>
                <w:highlight w:val="none"/>
              </w:rPr>
            </w:pPr>
          </w:p>
        </w:tc>
        <w:tc>
          <w:tcPr>
            <w:tcW w:w="1419" w:type="dxa"/>
            <w:gridSpan w:val="3"/>
            <w:vMerge w:val="continue"/>
            <w:noWrap w:val="0"/>
            <w:vAlign w:val="center"/>
          </w:tcPr>
          <w:p>
            <w:pPr>
              <w:topLinePunct/>
              <w:jc w:val="center"/>
              <w:rPr>
                <w:rFonts w:hint="eastAsia" w:ascii="宋体" w:hAnsi="宋体"/>
                <w:color w:val="auto"/>
                <w:szCs w:val="21"/>
                <w:highlight w:val="none"/>
              </w:rPr>
            </w:pPr>
          </w:p>
        </w:tc>
        <w:tc>
          <w:tcPr>
            <w:tcW w:w="1418"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邮箱</w:t>
            </w:r>
          </w:p>
        </w:tc>
        <w:tc>
          <w:tcPr>
            <w:tcW w:w="2763" w:type="dxa"/>
            <w:gridSpan w:val="4"/>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基本账户开户银行</w:t>
            </w:r>
          </w:p>
        </w:tc>
        <w:tc>
          <w:tcPr>
            <w:tcW w:w="2835" w:type="dxa"/>
            <w:gridSpan w:val="4"/>
            <w:noWrap w:val="0"/>
            <w:vAlign w:val="center"/>
          </w:tcPr>
          <w:p>
            <w:pPr>
              <w:topLinePunct/>
              <w:spacing w:line="440" w:lineRule="exact"/>
              <w:jc w:val="center"/>
              <w:rPr>
                <w:rFonts w:hint="eastAsia" w:ascii="宋体" w:hAnsi="宋体"/>
                <w:color w:val="auto"/>
                <w:szCs w:val="21"/>
                <w:highlight w:val="none"/>
              </w:rPr>
            </w:pPr>
          </w:p>
        </w:tc>
        <w:tc>
          <w:tcPr>
            <w:tcW w:w="1985" w:type="dxa"/>
            <w:gridSpan w:val="3"/>
            <w:noWrap w:val="0"/>
            <w:vAlign w:val="center"/>
          </w:tcPr>
          <w:p>
            <w:pPr>
              <w:topLinePunct/>
              <w:jc w:val="center"/>
              <w:rPr>
                <w:rFonts w:hint="eastAsia" w:ascii="宋体" w:hAnsi="宋体"/>
                <w:color w:val="auto"/>
                <w:szCs w:val="21"/>
                <w:highlight w:val="none"/>
              </w:rPr>
            </w:pPr>
            <w:r>
              <w:rPr>
                <w:rFonts w:hint="eastAsia" w:ascii="宋体" w:hAnsi="宋体"/>
                <w:color w:val="auto"/>
                <w:szCs w:val="21"/>
                <w:highlight w:val="none"/>
              </w:rPr>
              <w:t>基本账户银行账号</w:t>
            </w:r>
          </w:p>
        </w:tc>
        <w:tc>
          <w:tcPr>
            <w:tcW w:w="2196" w:type="dxa"/>
            <w:gridSpan w:val="2"/>
            <w:noWrap w:val="0"/>
            <w:vAlign w:val="center"/>
          </w:tcPr>
          <w:p>
            <w:pPr>
              <w:topLinePunct/>
              <w:spacing w:line="440" w:lineRule="exact"/>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0"/>
            <w:vAlign w:val="center"/>
          </w:tcPr>
          <w:p>
            <w:pPr>
              <w:topLinePunct/>
              <w:spacing w:line="360" w:lineRule="exact"/>
              <w:rPr>
                <w:rFonts w:hint="eastAsia" w:ascii="宋体" w:hAnsi="宋体"/>
                <w:color w:val="auto"/>
                <w:szCs w:val="21"/>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7016" w:type="dxa"/>
            <w:gridSpan w:val="9"/>
            <w:noWrap w:val="0"/>
            <w:vAlign w:val="top"/>
          </w:tcPr>
          <w:p>
            <w:pPr>
              <w:topLinePunct/>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投标人应具备的</w:t>
            </w:r>
            <w:r>
              <w:rPr>
                <w:rFonts w:ascii="宋体" w:hAnsi="宋体"/>
                <w:color w:val="auto"/>
                <w:szCs w:val="21"/>
                <w:highlight w:val="none"/>
              </w:rPr>
              <w:t>资质</w:t>
            </w:r>
            <w:r>
              <w:rPr>
                <w:rFonts w:hint="eastAsia" w:ascii="宋体" w:hAnsi="宋体"/>
                <w:color w:val="auto"/>
                <w:szCs w:val="21"/>
                <w:highlight w:val="none"/>
              </w:rPr>
              <w:t>证书</w:t>
            </w:r>
          </w:p>
        </w:tc>
        <w:tc>
          <w:tcPr>
            <w:tcW w:w="1068" w:type="dxa"/>
            <w:noWrap w:val="0"/>
            <w:vAlign w:val="center"/>
          </w:tcPr>
          <w:p>
            <w:pPr>
              <w:topLinePunct/>
              <w:jc w:val="center"/>
              <w:rPr>
                <w:rFonts w:ascii="宋体" w:hAnsi="宋体"/>
                <w:color w:val="auto"/>
                <w:szCs w:val="21"/>
                <w:highlight w:val="none"/>
              </w:rPr>
            </w:pPr>
            <w:r>
              <w:rPr>
                <w:rFonts w:ascii="宋体" w:hAnsi="宋体"/>
                <w:color w:val="auto"/>
                <w:szCs w:val="21"/>
                <w:highlight w:val="none"/>
              </w:rPr>
              <w:t>等级</w:t>
            </w:r>
          </w:p>
        </w:tc>
        <w:tc>
          <w:tcPr>
            <w:tcW w:w="1701"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3608"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投标产品制造商名称</w:t>
            </w:r>
          </w:p>
        </w:tc>
        <w:tc>
          <w:tcPr>
            <w:tcW w:w="5392" w:type="dxa"/>
            <w:gridSpan w:val="7"/>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投标产品制造商应具备的资质证书</w:t>
            </w:r>
          </w:p>
        </w:tc>
        <w:tc>
          <w:tcPr>
            <w:tcW w:w="1068" w:type="dxa"/>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等级</w:t>
            </w:r>
          </w:p>
        </w:tc>
        <w:tc>
          <w:tcPr>
            <w:tcW w:w="1701"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pPr>
              <w:topLinePunct/>
              <w:jc w:val="center"/>
              <w:rPr>
                <w:rFonts w:ascii="宋体" w:hAnsi="宋体"/>
                <w:color w:val="auto"/>
                <w:szCs w:val="21"/>
                <w:highlight w:val="none"/>
              </w:rPr>
            </w:pPr>
            <w:r>
              <w:rPr>
                <w:rFonts w:hint="eastAsia" w:ascii="宋体" w:hAnsi="宋体"/>
                <w:color w:val="auto"/>
                <w:szCs w:val="21"/>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pPr>
              <w:topLinePunct/>
              <w:jc w:val="center"/>
              <w:rPr>
                <w:rFonts w:ascii="宋体" w:hAnsi="宋体"/>
                <w:color w:val="auto"/>
                <w:szCs w:val="21"/>
                <w:highlight w:val="none"/>
              </w:rPr>
            </w:pPr>
          </w:p>
        </w:tc>
        <w:tc>
          <w:tcPr>
            <w:tcW w:w="1068" w:type="dxa"/>
            <w:noWrap w:val="0"/>
            <w:vAlign w:val="center"/>
          </w:tcPr>
          <w:p>
            <w:pPr>
              <w:topLinePunct/>
              <w:jc w:val="center"/>
              <w:rPr>
                <w:rFonts w:ascii="宋体" w:hAnsi="宋体"/>
                <w:color w:val="auto"/>
                <w:szCs w:val="21"/>
                <w:highlight w:val="none"/>
              </w:rPr>
            </w:pPr>
          </w:p>
        </w:tc>
        <w:tc>
          <w:tcPr>
            <w:tcW w:w="1701" w:type="dxa"/>
            <w:gridSpan w:val="3"/>
            <w:noWrap w:val="0"/>
            <w:vAlign w:val="center"/>
          </w:tcPr>
          <w:p>
            <w:pPr>
              <w:topLinePunct/>
              <w:jc w:val="center"/>
              <w:rPr>
                <w:rFonts w:ascii="宋体" w:hAnsi="宋体"/>
                <w:color w:val="auto"/>
                <w:szCs w:val="21"/>
                <w:highlight w:val="none"/>
              </w:rPr>
            </w:pPr>
          </w:p>
        </w:tc>
        <w:tc>
          <w:tcPr>
            <w:tcW w:w="2623" w:type="dxa"/>
            <w:gridSpan w:val="3"/>
            <w:noWrap w:val="0"/>
            <w:vAlign w:val="center"/>
          </w:tcPr>
          <w:p>
            <w:pPr>
              <w:topLinePunct/>
              <w:jc w:val="center"/>
              <w:rPr>
                <w:rFonts w:ascii="宋体" w:hAnsi="宋体"/>
                <w:color w:val="auto"/>
                <w:szCs w:val="21"/>
                <w:highlight w:val="none"/>
              </w:rPr>
            </w:pPr>
          </w:p>
        </w:tc>
      </w:tr>
    </w:tbl>
    <w:p>
      <w:pPr>
        <w:spacing w:before="120" w:beforeLines="50" w:line="200" w:lineRule="exact"/>
        <w:ind w:left="412" w:hanging="411" w:hangingChars="196"/>
        <w:jc w:val="left"/>
        <w:rPr>
          <w:rFonts w:hint="eastAsia" w:ascii="楷体" w:hAnsi="楷体" w:eastAsia="楷体"/>
          <w:color w:val="auto"/>
          <w:szCs w:val="21"/>
          <w:highlight w:val="none"/>
        </w:rPr>
      </w:pPr>
    </w:p>
    <w:p>
      <w:pPr>
        <w:adjustRightInd w:val="0"/>
        <w:snapToGrid w:val="0"/>
        <w:spacing w:before="120" w:beforeLines="50"/>
        <w:ind w:left="630" w:hanging="630" w:hangingChars="300"/>
        <w:rPr>
          <w:rFonts w:hint="eastAsia" w:ascii="宋体" w:hAnsi="宋体"/>
          <w:color w:val="auto"/>
          <w:szCs w:val="21"/>
          <w:highlight w:val="none"/>
        </w:rPr>
      </w:pPr>
      <w:r>
        <w:rPr>
          <w:rFonts w:hint="eastAsia" w:ascii="宋体" w:hAnsi="宋体"/>
          <w:color w:val="auto"/>
          <w:szCs w:val="21"/>
          <w:highlight w:val="none"/>
        </w:rPr>
        <w:t>注：1.企业类型指大型、中型、小型、微型；2.至投标截止日成立不足1年的可不填写上年营业额</w:t>
      </w:r>
    </w:p>
    <w:p>
      <w:pPr>
        <w:adjustRightInd w:val="0"/>
        <w:snapToGrid w:val="0"/>
        <w:ind w:left="630" w:leftChars="200" w:hanging="210" w:hangingChars="100"/>
        <w:rPr>
          <w:rFonts w:hint="eastAsia" w:ascii="宋体" w:hAnsi="宋体"/>
          <w:color w:val="auto"/>
          <w:szCs w:val="21"/>
          <w:highlight w:val="none"/>
        </w:rPr>
      </w:pPr>
      <w:r>
        <w:rPr>
          <w:rFonts w:hint="eastAsia" w:ascii="宋体" w:hAnsi="宋体"/>
          <w:color w:val="auto"/>
          <w:szCs w:val="21"/>
          <w:highlight w:val="none"/>
        </w:rPr>
        <w:t>3.表格空间不足时可自行扩展。</w:t>
      </w:r>
    </w:p>
    <w:p>
      <w:pPr>
        <w:adjustRightInd w:val="0"/>
        <w:snapToGrid w:val="0"/>
        <w:spacing w:before="240" w:beforeLines="100" w:line="360" w:lineRule="auto"/>
        <w:ind w:firstLine="388" w:firstLineChars="185"/>
        <w:rPr>
          <w:rFonts w:hint="eastAsia" w:ascii="宋体" w:hAnsi="宋体" w:cs="宋体"/>
          <w:color w:val="auto"/>
          <w:szCs w:val="21"/>
          <w:highlight w:val="none"/>
        </w:rPr>
      </w:pPr>
      <w:r>
        <w:rPr>
          <w:rFonts w:hint="eastAsia" w:ascii="宋体" w:hAnsi="宋体" w:cs="宋体"/>
          <w:bCs/>
          <w:color w:val="auto"/>
          <w:szCs w:val="21"/>
          <w:highlight w:val="none"/>
        </w:rPr>
        <w:t>投  标  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（盖单位章）</w:t>
      </w:r>
    </w:p>
    <w:p>
      <w:pPr>
        <w:adjustRightInd w:val="0"/>
        <w:spacing w:line="360" w:lineRule="auto"/>
        <w:ind w:firstLine="367" w:firstLineChars="175"/>
        <w:jc w:val="left"/>
        <w:rPr>
          <w:rFonts w:hint="eastAsia" w:ascii="宋体" w:hAnsi="宋体" w:cs="宋体"/>
          <w:bCs/>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签名</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pPr>
        <w:adjustRightInd w:val="0"/>
        <w:spacing w:line="360" w:lineRule="auto"/>
        <w:ind w:firstLine="367" w:firstLineChars="175"/>
        <w:jc w:val="left"/>
        <w:rPr>
          <w:rFonts w:hint="eastAsia" w:ascii="宋体" w:hAnsi="宋体" w:cs="宋体"/>
          <w:bCs/>
          <w:color w:val="auto"/>
          <w:szCs w:val="21"/>
          <w:highlight w:val="none"/>
        </w:rPr>
      </w:pPr>
      <w:r>
        <w:rPr>
          <w:rFonts w:hint="eastAsia" w:ascii="宋体" w:hAnsi="宋体" w:cs="宋体"/>
          <w:bCs/>
          <w:color w:val="auto"/>
          <w:szCs w:val="21"/>
          <w:highlight w:val="none"/>
        </w:rPr>
        <w:t>日      期:20</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pPr>
        <w:adjustRightInd w:val="0"/>
        <w:snapToGrid w:val="0"/>
        <w:spacing w:line="360" w:lineRule="auto"/>
        <w:jc w:val="center"/>
        <w:rPr>
          <w:rFonts w:ascii="宋体" w:hAnsi="宋体" w:cs="宋体"/>
          <w:b/>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b/>
          <w:color w:val="auto"/>
          <w:sz w:val="36"/>
          <w:szCs w:val="36"/>
          <w:highlight w:val="none"/>
        </w:rPr>
        <w:t>法定代表人（单位负责人）身份证明</w:t>
      </w:r>
    </w:p>
    <w:p>
      <w:pPr>
        <w:snapToGrid w:val="0"/>
        <w:spacing w:line="480" w:lineRule="auto"/>
        <w:rPr>
          <w:rFonts w:hint="eastAsia" w:ascii="宋体" w:hAnsi="宋体" w:cs="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投标人</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统一社会信用代码：</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w:t>
      </w:r>
      <w:r>
        <w:rPr>
          <w:rFonts w:hint="eastAsia" w:ascii="宋体" w:hAnsi="宋体" w:cs="宋体"/>
          <w:color w:val="auto"/>
          <w:szCs w:val="21"/>
          <w:highlight w:val="none"/>
        </w:rPr>
        <w:t>人</w:t>
      </w:r>
      <w:r>
        <w:rPr>
          <w:rFonts w:hint="eastAsia" w:ascii="宋体" w:hAnsi="宋体" w:cs="宋体"/>
          <w:color w:val="auto"/>
          <w:kern w:val="0"/>
          <w:szCs w:val="21"/>
          <w:highlight w:val="none"/>
        </w:rPr>
        <w:t>名称）的法定代表人（单位负责人）。</w:t>
      </w: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before="120" w:beforeLines="50" w:line="360" w:lineRule="auto"/>
        <w:jc w:val="left"/>
        <w:rPr>
          <w:rFonts w:hint="eastAsia" w:ascii="宋体" w:hAnsi="宋体" w:cs="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附：法定代表人身份证（正反面）复印件</w:t>
      </w:r>
    </w:p>
    <w:p>
      <w:pPr>
        <w:snapToGrid w:val="0"/>
        <w:spacing w:line="480" w:lineRule="auto"/>
        <w:rPr>
          <w:rFonts w:hint="eastAsia" w:ascii="宋体" w:hAnsi="宋体" w:cs="宋体"/>
          <w:color w:val="auto"/>
          <w:szCs w:val="21"/>
          <w:highlight w:val="none"/>
        </w:rPr>
      </w:pPr>
    </w:p>
    <w:tbl>
      <w:tblPr>
        <w:tblStyle w:val="29"/>
        <w:tblpPr w:leftFromText="180" w:rightFromText="180" w:vertAnchor="text" w:horzAnchor="margin" w:tblpXSpec="center" w:tblpY="10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6"/>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2500" w:type="pct"/>
            <w:noWrap w:val="0"/>
            <w:vAlign w:val="center"/>
          </w:tcPr>
          <w:p>
            <w:pPr>
              <w:snapToGrid w:val="0"/>
              <w:spacing w:line="480" w:lineRule="auto"/>
              <w:jc w:val="center"/>
              <w:rPr>
                <w:rFonts w:hint="eastAsia" w:ascii="宋体" w:hAnsi="宋体" w:cs="宋体"/>
                <w:color w:val="auto"/>
                <w:szCs w:val="21"/>
                <w:highlight w:val="none"/>
              </w:rPr>
            </w:pPr>
          </w:p>
          <w:p>
            <w:pPr>
              <w:snapToGrid w:val="0"/>
              <w:spacing w:line="480" w:lineRule="auto"/>
              <w:jc w:val="center"/>
              <w:rPr>
                <w:rFonts w:hint="eastAsia" w:ascii="宋体" w:hAnsi="宋体" w:cs="宋体"/>
                <w:color w:val="auto"/>
                <w:szCs w:val="21"/>
                <w:highlight w:val="none"/>
              </w:rPr>
            </w:pPr>
          </w:p>
          <w:p>
            <w:pPr>
              <w:autoSpaceDE w:val="0"/>
              <w:autoSpaceDN w:val="0"/>
              <w:adjustRightInd w:val="0"/>
              <w:snapToGrid w:val="0"/>
              <w:spacing w:before="120" w:beforeLines="50"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法定代表人（单位负责人）身份证复印件粘贴处</w:t>
            </w:r>
          </w:p>
          <w:p>
            <w:pPr>
              <w:snapToGrid w:val="0"/>
              <w:spacing w:line="480" w:lineRule="auto"/>
              <w:jc w:val="center"/>
              <w:rPr>
                <w:rFonts w:hint="eastAsia" w:ascii="宋体" w:hAnsi="宋体" w:cs="宋体"/>
                <w:color w:val="auto"/>
                <w:szCs w:val="21"/>
                <w:highlight w:val="none"/>
              </w:rPr>
            </w:pPr>
          </w:p>
          <w:p>
            <w:pPr>
              <w:snapToGrid w:val="0"/>
              <w:spacing w:line="480" w:lineRule="auto"/>
              <w:jc w:val="center"/>
              <w:rPr>
                <w:rFonts w:hint="eastAsia" w:ascii="宋体" w:hAnsi="宋体" w:cs="宋体"/>
                <w:color w:val="auto"/>
                <w:szCs w:val="21"/>
                <w:highlight w:val="none"/>
              </w:rPr>
            </w:pPr>
          </w:p>
        </w:tc>
        <w:tc>
          <w:tcPr>
            <w:tcW w:w="2500" w:type="pct"/>
            <w:noWrap w:val="0"/>
            <w:vAlign w:val="center"/>
          </w:tcPr>
          <w:p>
            <w:pPr>
              <w:autoSpaceDE w:val="0"/>
              <w:autoSpaceDN w:val="0"/>
              <w:adjustRightInd w:val="0"/>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法定代表人（单位负责人）身份证复印件粘贴处</w:t>
            </w:r>
          </w:p>
        </w:tc>
      </w:tr>
    </w:tbl>
    <w:p>
      <w:pPr>
        <w:snapToGrid w:val="0"/>
        <w:spacing w:line="480" w:lineRule="auto"/>
        <w:rPr>
          <w:rFonts w:hint="eastAsia" w:ascii="宋体" w:hAnsi="宋体" w:cs="宋体"/>
          <w:color w:val="auto"/>
          <w:szCs w:val="21"/>
          <w:highlight w:val="none"/>
        </w:rPr>
      </w:pPr>
    </w:p>
    <w:p>
      <w:pPr>
        <w:adjustRightInd w:val="0"/>
        <w:snapToGrid w:val="0"/>
        <w:spacing w:line="360" w:lineRule="auto"/>
        <w:ind w:right="420"/>
        <w:rPr>
          <w:rFonts w:hint="eastAsia" w:ascii="宋体" w:hAnsi="宋体" w:cs="宋体"/>
          <w:color w:val="auto"/>
          <w:szCs w:val="21"/>
          <w:highlight w:val="none"/>
        </w:rPr>
      </w:pPr>
    </w:p>
    <w:p>
      <w:pPr>
        <w:adjustRightInd w:val="0"/>
        <w:snapToGrid w:val="0"/>
        <w:spacing w:line="360" w:lineRule="auto"/>
        <w:ind w:right="420" w:firstLine="210" w:firstLineChars="100"/>
        <w:rPr>
          <w:rFonts w:hint="eastAsia" w:ascii="宋体" w:hAnsi="宋体" w:cs="宋体"/>
          <w:color w:val="auto"/>
          <w:szCs w:val="21"/>
          <w:highlight w:val="none"/>
        </w:rPr>
      </w:pPr>
    </w:p>
    <w:p>
      <w:pPr>
        <w:adjustRightInd w:val="0"/>
        <w:snapToGrid w:val="0"/>
        <w:spacing w:line="360" w:lineRule="auto"/>
        <w:ind w:right="420" w:firstLine="3255" w:firstLineChars="1550"/>
        <w:rPr>
          <w:rFonts w:hint="eastAsia" w:ascii="宋体" w:hAnsi="宋体" w:cs="宋体"/>
          <w:color w:val="auto"/>
          <w:szCs w:val="21"/>
          <w:highlight w:val="none"/>
        </w:rPr>
      </w:pPr>
    </w:p>
    <w:p>
      <w:pPr>
        <w:adjustRightInd w:val="0"/>
        <w:snapToGrid w:val="0"/>
        <w:spacing w:line="360" w:lineRule="auto"/>
        <w:ind w:right="420" w:firstLine="3255" w:firstLineChars="155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adjustRightInd w:val="0"/>
        <w:snapToGrid w:val="0"/>
        <w:spacing w:line="360" w:lineRule="auto"/>
        <w:ind w:right="420" w:firstLine="4830" w:firstLineChars="2300"/>
        <w:rPr>
          <w:rFonts w:hint="eastAsia" w:ascii="宋体" w:hAnsi="宋体" w:cs="宋体"/>
          <w:color w:val="auto"/>
          <w:szCs w:val="21"/>
          <w:highlight w:val="none"/>
        </w:rPr>
      </w:pPr>
    </w:p>
    <w:p>
      <w:pPr>
        <w:adjustRightInd w:val="0"/>
        <w:snapToGrid w:val="0"/>
        <w:spacing w:line="360" w:lineRule="auto"/>
        <w:ind w:right="420" w:firstLine="4252" w:firstLineChars="2025"/>
        <w:rPr>
          <w:rFonts w:hint="eastAsia" w:ascii="宋体" w:hAnsi="宋体" w:cs="宋体"/>
          <w:color w:val="auto"/>
          <w:szCs w:val="21"/>
          <w:highlight w:val="none"/>
        </w:rPr>
      </w:pPr>
      <w:r>
        <w:rPr>
          <w:rFonts w:hint="eastAsia" w:ascii="宋体" w:hAnsi="宋体" w:cs="宋体"/>
          <w:color w:val="auto"/>
          <w:szCs w:val="21"/>
          <w:highlight w:val="none"/>
        </w:rPr>
        <w:t>日期：20  年  月  日</w:t>
      </w:r>
    </w:p>
    <w:p>
      <w:pPr>
        <w:adjustRightInd w:val="0"/>
        <w:snapToGrid w:val="0"/>
        <w:spacing w:line="360" w:lineRule="auto"/>
        <w:ind w:right="420" w:firstLine="210" w:firstLineChars="100"/>
        <w:rPr>
          <w:rFonts w:hint="eastAsia" w:ascii="宋体" w:hAnsi="宋体" w:cs="宋体"/>
          <w:color w:val="auto"/>
          <w:szCs w:val="21"/>
          <w:highlight w:val="none"/>
        </w:rPr>
      </w:pPr>
    </w:p>
    <w:p>
      <w:pPr>
        <w:adjustRightInd w:val="0"/>
        <w:snapToGrid w:val="0"/>
        <w:spacing w:line="360" w:lineRule="auto"/>
        <w:ind w:right="420" w:firstLine="210" w:firstLineChars="100"/>
        <w:rPr>
          <w:rFonts w:hint="eastAsia" w:ascii="宋体" w:hAnsi="宋体" w:cs="宋体"/>
          <w:color w:val="auto"/>
          <w:szCs w:val="21"/>
          <w:highlight w:val="none"/>
        </w:rPr>
      </w:pPr>
    </w:p>
    <w:p>
      <w:pPr>
        <w:adjustRightInd w:val="0"/>
        <w:snapToGrid w:val="0"/>
        <w:spacing w:line="360" w:lineRule="auto"/>
        <w:ind w:right="420" w:firstLine="210" w:firstLineChars="100"/>
        <w:rPr>
          <w:rFonts w:hint="eastAsia" w:ascii="宋体" w:hAnsi="宋体" w:cs="宋体"/>
          <w:color w:val="auto"/>
          <w:szCs w:val="21"/>
          <w:highlight w:val="none"/>
        </w:rPr>
      </w:pPr>
    </w:p>
    <w:p>
      <w:pPr>
        <w:adjustRightInd w:val="0"/>
        <w:snapToGrid w:val="0"/>
        <w:spacing w:line="360" w:lineRule="auto"/>
        <w:ind w:right="42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授权委托书</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本人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（姓名）系</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（投标人名称）的法定代表人（单位负责人），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现委托</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（姓名）为我方代理人。代理人根据授权，以我方的名义签署、澄清确认、递交、撤回、修改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（采购项目）投标文件、签订合同和全权处理一切与之有关的事宜，</w:t>
      </w:r>
      <w:r>
        <w:rPr>
          <w:rFonts w:hint="eastAsia" w:ascii="宋体" w:hAnsi="宋体" w:cs="宋体"/>
          <w:color w:val="auto"/>
          <w:kern w:val="0"/>
          <w:szCs w:val="21"/>
          <w:highlight w:val="none"/>
        </w:rPr>
        <w:t>其法律后果由我方承担。</w:t>
      </w:r>
    </w:p>
    <w:p>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委托期限</w:t>
      </w:r>
      <w:r>
        <w:rPr>
          <w:rFonts w:hint="eastAsia" w:ascii="宋体" w:hAnsi="宋体" w:cs="宋体"/>
          <w:color w:val="auto"/>
          <w:szCs w:val="21"/>
          <w:highlight w:val="none"/>
        </w:rPr>
        <w:t>：投标有效期为投标截止日起90日历天</w:t>
      </w:r>
      <w:r>
        <w:rPr>
          <w:rFonts w:hint="eastAsia" w:ascii="宋体" w:hAnsi="宋体" w:cs="宋体"/>
          <w:color w:val="auto"/>
          <w:szCs w:val="21"/>
          <w:highlight w:val="none"/>
          <w:lang w:val="zh-CN"/>
        </w:rPr>
        <w:t>。</w:t>
      </w:r>
    </w:p>
    <w:p>
      <w:pPr>
        <w:spacing w:line="48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代理人无转委托权。</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lang w:val="zh-CN"/>
        </w:rPr>
        <w:t>附：法定代表人（单位负责人）身份证</w:t>
      </w:r>
      <w:r>
        <w:rPr>
          <w:rFonts w:hint="eastAsia" w:ascii="宋体" w:hAnsi="宋体" w:cs="宋体"/>
          <w:color w:val="auto"/>
          <w:szCs w:val="21"/>
          <w:highlight w:val="none"/>
        </w:rPr>
        <w:t>（正反面）</w:t>
      </w:r>
      <w:r>
        <w:rPr>
          <w:rFonts w:hint="eastAsia" w:ascii="宋体" w:hAnsi="宋体" w:cs="宋体"/>
          <w:color w:val="auto"/>
          <w:szCs w:val="21"/>
          <w:highlight w:val="none"/>
          <w:lang w:val="zh-CN"/>
        </w:rPr>
        <w:t>复印件</w:t>
      </w:r>
      <w:r>
        <w:rPr>
          <w:rFonts w:hint="eastAsia" w:ascii="宋体" w:hAnsi="宋体" w:cs="宋体"/>
          <w:color w:val="auto"/>
          <w:szCs w:val="21"/>
          <w:highlight w:val="none"/>
        </w:rPr>
        <w:t>、</w:t>
      </w:r>
      <w:r>
        <w:rPr>
          <w:rFonts w:hint="eastAsia" w:ascii="宋体" w:hAnsi="宋体" w:cs="宋体"/>
          <w:color w:val="auto"/>
          <w:szCs w:val="21"/>
          <w:highlight w:val="none"/>
          <w:lang w:val="zh-CN"/>
        </w:rPr>
        <w:t>委托代理人身份证</w:t>
      </w:r>
      <w:r>
        <w:rPr>
          <w:rFonts w:hint="eastAsia" w:ascii="宋体" w:hAnsi="宋体" w:cs="宋体"/>
          <w:color w:val="auto"/>
          <w:szCs w:val="21"/>
          <w:highlight w:val="none"/>
        </w:rPr>
        <w:t>（正反面）</w:t>
      </w:r>
      <w:r>
        <w:rPr>
          <w:rFonts w:hint="eastAsia" w:ascii="宋体" w:hAnsi="宋体" w:cs="宋体"/>
          <w:color w:val="auto"/>
          <w:szCs w:val="21"/>
          <w:highlight w:val="none"/>
          <w:lang w:val="zh-CN"/>
        </w:rPr>
        <w:t>复印件</w:t>
      </w:r>
    </w:p>
    <w:tbl>
      <w:tblPr>
        <w:tblStyle w:val="29"/>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Cs w:val="21"/>
                <w:highlight w:val="none"/>
                <w:u w:val="single"/>
              </w:rPr>
            </w:pPr>
            <w:r>
              <w:rPr>
                <w:rFonts w:hint="eastAsia" w:ascii="宋体" w:hAnsi="宋体"/>
                <w:color w:val="auto"/>
                <w:szCs w:val="21"/>
                <w:highlight w:val="none"/>
                <w:lang w:val="zh-CN"/>
              </w:rPr>
              <w:t>法定代表人（单位负责人）</w:t>
            </w:r>
            <w:r>
              <w:rPr>
                <w:rFonts w:hint="eastAsia" w:ascii="宋体" w:hAnsi="宋体" w:cs="宋体"/>
                <w:color w:val="auto"/>
                <w:szCs w:val="21"/>
                <w:highlight w:val="none"/>
                <w:lang w:val="zh-CN"/>
              </w:rPr>
              <w:t>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lang w:val="zh-CN"/>
              </w:rPr>
              <w:t>身份证复印件</w:t>
            </w:r>
          </w:p>
        </w:tc>
      </w:tr>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olor w:val="auto"/>
                <w:szCs w:val="21"/>
                <w:highlight w:val="none"/>
                <w:lang w:val="zh-CN"/>
              </w:rPr>
            </w:pPr>
            <w:r>
              <w:rPr>
                <w:rFonts w:hint="eastAsia" w:ascii="宋体" w:hAnsi="宋体"/>
                <w:color w:val="auto"/>
                <w:szCs w:val="21"/>
                <w:highlight w:val="none"/>
                <w:lang w:val="zh-CN"/>
              </w:rPr>
              <w:t>法定代表人（单位负责人）</w:t>
            </w:r>
            <w:r>
              <w:rPr>
                <w:rFonts w:hint="eastAsia" w:ascii="宋体" w:hAnsi="宋体" w:cs="宋体"/>
                <w:color w:val="auto"/>
                <w:szCs w:val="21"/>
                <w:highlight w:val="none"/>
                <w:lang w:val="zh-CN"/>
              </w:rPr>
              <w:t>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lang w:val="zh-CN"/>
              </w:rPr>
              <w:t>身份证复印件</w:t>
            </w:r>
          </w:p>
        </w:tc>
      </w:tr>
    </w:tbl>
    <w:p>
      <w:pPr>
        <w:ind w:firstLine="2835" w:firstLineChars="1350"/>
        <w:rPr>
          <w:rFonts w:hint="eastAsia" w:ascii="宋体" w:hAnsi="宋体" w:cs="宋体"/>
          <w:color w:val="auto"/>
          <w:szCs w:val="21"/>
          <w:highlight w:val="none"/>
        </w:rPr>
      </w:pPr>
    </w:p>
    <w:p>
      <w:pPr>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w:t>
      </w:r>
    </w:p>
    <w:p>
      <w:pPr>
        <w:ind w:firstLine="420" w:firstLineChars="200"/>
        <w:rPr>
          <w:rFonts w:hint="eastAsia" w:ascii="宋体" w:hAnsi="宋体" w:cs="宋体"/>
          <w:color w:val="auto"/>
          <w:szCs w:val="21"/>
          <w:highlight w:val="none"/>
        </w:rPr>
      </w:pPr>
    </w:p>
    <w:p>
      <w:pPr>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 xml:space="preserve">法定代表人（单位负责人）: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签名</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pPr>
        <w:ind w:firstLine="3465" w:firstLineChars="1650"/>
        <w:rPr>
          <w:rFonts w:hint="eastAsia" w:ascii="宋体" w:hAnsi="宋体" w:cs="宋体"/>
          <w:color w:val="auto"/>
          <w:szCs w:val="21"/>
          <w:highlight w:val="none"/>
        </w:rPr>
      </w:pPr>
    </w:p>
    <w:p>
      <w:pPr>
        <w:ind w:firstLine="2835" w:firstLineChars="1350"/>
        <w:jc w:val="left"/>
        <w:rPr>
          <w:rFonts w:hint="eastAsia" w:ascii="宋体" w:hAnsi="宋体" w:cs="宋体"/>
          <w:color w:val="auto"/>
          <w:szCs w:val="21"/>
          <w:highlight w:val="none"/>
          <w:u w:val="single"/>
        </w:rPr>
      </w:pPr>
      <w:r>
        <w:rPr>
          <w:rFonts w:hint="eastAsia" w:ascii="宋体" w:hAnsi="宋体" w:cs="宋体"/>
          <w:color w:val="auto"/>
          <w:szCs w:val="21"/>
          <w:highlight w:val="none"/>
        </w:rPr>
        <w:t>身 份 证 号：</w:t>
      </w:r>
      <w:r>
        <w:rPr>
          <w:rFonts w:hint="eastAsia" w:ascii="宋体" w:hAnsi="宋体" w:cs="宋体"/>
          <w:color w:val="auto"/>
          <w:szCs w:val="21"/>
          <w:highlight w:val="none"/>
          <w:u w:val="single"/>
        </w:rPr>
        <w:t xml:space="preserve">                               </w:t>
      </w:r>
    </w:p>
    <w:p>
      <w:pPr>
        <w:ind w:firstLine="3465" w:firstLineChars="1650"/>
        <w:rPr>
          <w:rFonts w:hint="eastAsia" w:ascii="宋体" w:hAnsi="宋体" w:cs="宋体"/>
          <w:color w:val="auto"/>
          <w:szCs w:val="21"/>
          <w:highlight w:val="none"/>
        </w:rPr>
      </w:pPr>
    </w:p>
    <w:p>
      <w:pPr>
        <w:ind w:firstLine="2835" w:firstLineChars="135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签名</w:t>
      </w:r>
      <w:r>
        <w:rPr>
          <w:rFonts w:hint="eastAsia" w:ascii="宋体" w:hAnsi="宋体" w:cs="宋体"/>
          <w:color w:val="auto"/>
          <w:szCs w:val="21"/>
          <w:highlight w:val="none"/>
        </w:rPr>
        <w:t xml:space="preserve">）     </w:t>
      </w:r>
    </w:p>
    <w:p>
      <w:pPr>
        <w:ind w:firstLine="2835" w:firstLineChars="1350"/>
        <w:jc w:val="left"/>
        <w:rPr>
          <w:rFonts w:hint="eastAsia" w:ascii="宋体" w:hAnsi="宋体" w:cs="宋体"/>
          <w:color w:val="auto"/>
          <w:szCs w:val="21"/>
          <w:highlight w:val="none"/>
        </w:rPr>
      </w:pPr>
    </w:p>
    <w:p>
      <w:pPr>
        <w:ind w:firstLine="2835" w:firstLineChars="1350"/>
        <w:jc w:val="left"/>
        <w:rPr>
          <w:rFonts w:hint="eastAsia" w:ascii="宋体" w:hAnsi="宋体" w:cs="宋体"/>
          <w:color w:val="auto"/>
          <w:szCs w:val="21"/>
          <w:highlight w:val="none"/>
          <w:u w:val="single"/>
        </w:rPr>
      </w:pPr>
      <w:r>
        <w:rPr>
          <w:rFonts w:hint="eastAsia" w:ascii="宋体" w:hAnsi="宋体" w:cs="宋体"/>
          <w:color w:val="auto"/>
          <w:szCs w:val="21"/>
          <w:highlight w:val="none"/>
        </w:rPr>
        <w:t>身 份 证 号：</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szCs w:val="21"/>
          <w:highlight w:val="none"/>
        </w:rPr>
      </w:pPr>
    </w:p>
    <w:p>
      <w:pPr>
        <w:ind w:firstLine="2730" w:firstLineChars="1300"/>
        <w:rPr>
          <w:rFonts w:hint="eastAsia" w:ascii="宋体" w:hAnsi="宋体" w:cs="宋体"/>
          <w:color w:val="auto"/>
          <w:szCs w:val="21"/>
          <w:highlight w:val="none"/>
          <w:lang w:val="zh-CN"/>
        </w:rPr>
      </w:pPr>
      <w:r>
        <w:rPr>
          <w:rFonts w:hint="eastAsia" w:ascii="宋体" w:hAnsi="宋体" w:cs="宋体"/>
          <w:color w:val="auto"/>
          <w:szCs w:val="21"/>
          <w:highlight w:val="none"/>
        </w:rPr>
        <w:t xml:space="preserve"> 授权委托日期：20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pPr>
        <w:spacing w:before="120" w:beforeLines="50" w:line="200" w:lineRule="exact"/>
        <w:ind w:left="412" w:hanging="411" w:hangingChars="196"/>
        <w:jc w:val="left"/>
        <w:rPr>
          <w:rFonts w:hint="eastAsia" w:ascii="楷体" w:hAnsi="楷体" w:eastAsia="楷体"/>
          <w:color w:val="auto"/>
          <w:szCs w:val="21"/>
          <w:highlight w:val="none"/>
          <w:lang w:val="zh-CN"/>
        </w:rPr>
      </w:pPr>
      <w:r>
        <w:rPr>
          <w:rFonts w:hint="eastAsia" w:ascii="楷体" w:hAnsi="楷体" w:eastAsia="楷体"/>
          <w:color w:val="auto"/>
          <w:szCs w:val="21"/>
          <w:highlight w:val="none"/>
          <w:lang w:val="zh-CN"/>
        </w:rPr>
        <w:t>说明：仅限委托代理人参加投标时提供。</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4.</w:t>
      </w:r>
      <w:r>
        <w:rPr>
          <w:rFonts w:hint="eastAsia" w:ascii="黑体" w:hAnsi="宋体" w:eastAsia="黑体" w:cs="宋体"/>
          <w:color w:val="auto"/>
          <w:kern w:val="0"/>
          <w:sz w:val="36"/>
          <w:szCs w:val="36"/>
          <w:highlight w:val="none"/>
          <w:lang w:val="zh-CN"/>
        </w:rPr>
        <w:t>投标人的营业执照等证明文件</w:t>
      </w:r>
    </w:p>
    <w:p>
      <w:pPr>
        <w:pStyle w:val="15"/>
        <w:adjustRightInd w:val="0"/>
        <w:snapToGrid w:val="0"/>
        <w:spacing w:line="360" w:lineRule="auto"/>
        <w:jc w:val="left"/>
        <w:rPr>
          <w:rFonts w:hint="eastAsia" w:hAnsi="宋体" w:cs="宋体"/>
          <w:color w:val="auto"/>
          <w:sz w:val="24"/>
          <w:szCs w:val="24"/>
          <w:highlight w:val="none"/>
        </w:rPr>
      </w:pPr>
    </w:p>
    <w:p>
      <w:pPr>
        <w:pStyle w:val="15"/>
        <w:adjustRightInd w:val="0"/>
        <w:snapToGrid w:val="0"/>
        <w:spacing w:line="360" w:lineRule="auto"/>
        <w:rPr>
          <w:rFonts w:hint="eastAsia" w:hAnsi="宋体"/>
          <w:color w:val="auto"/>
          <w:highlight w:val="none"/>
        </w:rPr>
      </w:pPr>
      <w:r>
        <w:rPr>
          <w:rFonts w:hint="eastAsia" w:hAnsi="宋体"/>
          <w:color w:val="auto"/>
          <w:highlight w:val="none"/>
        </w:rPr>
        <w:t>说明：</w:t>
      </w:r>
    </w:p>
    <w:p>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（1）企业单位投标提供有效的营业执照；</w:t>
      </w:r>
    </w:p>
    <w:p>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（2）个体工商户投标提供有效的营业执照；</w:t>
      </w:r>
    </w:p>
    <w:p>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（3）以上提供原件的扫描件或电子证书，并加盖投标人单位章。</w:t>
      </w: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Ansi="宋体" w:cs="宋体"/>
          <w:b/>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pStyle w:val="15"/>
        <w:adjustRightInd w:val="0"/>
        <w:snapToGrid w:val="0"/>
        <w:spacing w:line="360" w:lineRule="auto"/>
        <w:jc w:val="center"/>
        <w:rPr>
          <w:rFonts w:hint="eastAsia" w:hAnsi="宋体" w:cs="宋体"/>
          <w:b/>
          <w:color w:val="auto"/>
          <w:sz w:val="36"/>
          <w:szCs w:val="36"/>
          <w:highlight w:val="none"/>
        </w:rPr>
      </w:pPr>
      <w:r>
        <w:rPr>
          <w:rFonts w:hint="eastAsia" w:hAnsi="宋体" w:cs="宋体"/>
          <w:b/>
          <w:color w:val="auto"/>
          <w:sz w:val="36"/>
          <w:szCs w:val="36"/>
          <w:highlight w:val="none"/>
        </w:rPr>
        <w:t>5.财务状况报告</w:t>
      </w:r>
    </w:p>
    <w:p>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pPr>
        <w:pStyle w:val="15"/>
        <w:adjustRightInd w:val="0"/>
        <w:snapToGrid w:val="0"/>
        <w:spacing w:line="360" w:lineRule="auto"/>
        <w:ind w:firstLine="420" w:firstLineChars="200"/>
        <w:jc w:val="left"/>
        <w:rPr>
          <w:rFonts w:hint="eastAsia" w:ascii="宋体" w:hAnsi="宋体" w:eastAsia="宋体" w:cs="Courier New"/>
          <w:color w:val="auto"/>
          <w:highlight w:val="none"/>
        </w:rPr>
      </w:pPr>
      <w:r>
        <w:rPr>
          <w:rFonts w:hint="eastAsia" w:ascii="宋体" w:hAnsi="宋体" w:eastAsia="宋体" w:cs="Courier New"/>
          <w:color w:val="auto"/>
          <w:highlight w:val="none"/>
        </w:rPr>
        <w:t>（1）投标人是法人的，应提供2021年度经审计的投标人财务报告，包括 “四表一注”即《资产负债表》《利润表》《现金流量表》《所有者权益变动表》及其附注复印件或者提供开标前1个月内由银行出具的资信证明（附件2基本存款账户信息）。</w:t>
      </w:r>
    </w:p>
    <w:p>
      <w:pPr>
        <w:pStyle w:val="15"/>
        <w:adjustRightInd w:val="0"/>
        <w:snapToGrid w:val="0"/>
        <w:spacing w:line="360" w:lineRule="auto"/>
        <w:ind w:firstLine="420" w:firstLineChars="200"/>
        <w:jc w:val="left"/>
        <w:rPr>
          <w:rFonts w:hint="eastAsia" w:ascii="宋体" w:hAnsi="宋体" w:eastAsia="宋体" w:cs="Courier New"/>
          <w:color w:val="auto"/>
          <w:highlight w:val="none"/>
        </w:rPr>
      </w:pPr>
      <w:r>
        <w:rPr>
          <w:rFonts w:hint="eastAsia" w:ascii="宋体" w:hAnsi="宋体" w:eastAsia="宋体" w:cs="Courier New"/>
          <w:color w:val="auto"/>
          <w:highlight w:val="none"/>
        </w:rPr>
        <w:t>（2）投标人成立不到1年的，提供开标前1个月内由银行出具的资信证明。</w:t>
      </w:r>
    </w:p>
    <w:p>
      <w:pPr>
        <w:pStyle w:val="15"/>
        <w:adjustRightInd w:val="0"/>
        <w:snapToGrid w:val="0"/>
        <w:spacing w:line="360" w:lineRule="auto"/>
        <w:ind w:firstLine="420" w:firstLineChars="200"/>
        <w:jc w:val="left"/>
        <w:rPr>
          <w:rFonts w:hint="eastAsia" w:ascii="宋体" w:hAnsi="宋体" w:eastAsia="宋体" w:cs="Courier New"/>
          <w:color w:val="auto"/>
          <w:highlight w:val="none"/>
          <w:lang w:eastAsia="zh-CN"/>
        </w:rPr>
      </w:pPr>
      <w:r>
        <w:rPr>
          <w:rFonts w:hint="eastAsia" w:ascii="宋体" w:hAnsi="宋体" w:eastAsia="宋体" w:cs="Courier New"/>
          <w:color w:val="auto"/>
          <w:highlight w:val="none"/>
        </w:rPr>
        <w:t>（3）部分其他组织和自然人，提供开标前1个月内由银行出具的资信证明</w:t>
      </w:r>
      <w:r>
        <w:rPr>
          <w:rFonts w:hint="eastAsia" w:ascii="宋体" w:hAnsi="宋体" w:eastAsia="宋体" w:cs="Courier New"/>
          <w:color w:val="auto"/>
          <w:highlight w:val="none"/>
          <w:lang w:eastAsia="zh-CN"/>
        </w:rPr>
        <w:t>。</w:t>
      </w:r>
    </w:p>
    <w:p>
      <w:pPr>
        <w:pStyle w:val="15"/>
        <w:adjustRightInd w:val="0"/>
        <w:snapToGrid w:val="0"/>
        <w:spacing w:line="360" w:lineRule="auto"/>
        <w:ind w:firstLine="420" w:firstLineChars="200"/>
        <w:jc w:val="left"/>
        <w:rPr>
          <w:rFonts w:hint="eastAsia" w:ascii="宋体" w:hAnsi="宋体" w:eastAsia="宋体" w:cs="Courier New"/>
          <w:color w:val="auto"/>
          <w:highlight w:val="none"/>
        </w:rPr>
      </w:pPr>
      <w:r>
        <w:rPr>
          <w:rFonts w:hint="eastAsia" w:ascii="宋体" w:hAnsi="宋体" w:eastAsia="宋体" w:cs="Courier New"/>
          <w:color w:val="auto"/>
          <w:highlight w:val="none"/>
        </w:rPr>
        <w:t>（</w:t>
      </w:r>
      <w:r>
        <w:rPr>
          <w:rFonts w:hint="eastAsia" w:ascii="宋体" w:hAnsi="宋体" w:eastAsia="宋体" w:cs="Courier New"/>
          <w:color w:val="auto"/>
          <w:highlight w:val="none"/>
          <w:lang w:val="en-US" w:eastAsia="zh-CN"/>
        </w:rPr>
        <w:t>4</w:t>
      </w:r>
      <w:r>
        <w:rPr>
          <w:rFonts w:hint="eastAsia" w:ascii="宋体" w:hAnsi="宋体" w:eastAsia="宋体" w:cs="Courier New"/>
          <w:color w:val="auto"/>
          <w:highlight w:val="none"/>
        </w:rPr>
        <w:t>）以上提供原件的扫描件，并加盖投标人单位章。</w:t>
      </w:r>
    </w:p>
    <w:p>
      <w:pPr>
        <w:pStyle w:val="15"/>
        <w:adjustRightInd w:val="0"/>
        <w:snapToGrid w:val="0"/>
        <w:spacing w:line="360" w:lineRule="auto"/>
        <w:ind w:firstLine="420" w:firstLineChars="200"/>
        <w:rPr>
          <w:rFonts w:hint="eastAsia" w:hAnsi="宋体" w:cs="宋体"/>
          <w:color w:val="auto"/>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附件2:</w:t>
      </w:r>
    </w:p>
    <w:p>
      <w:pPr>
        <w:pStyle w:val="15"/>
        <w:adjustRightInd w:val="0"/>
        <w:snapToGrid w:val="0"/>
        <w:spacing w:line="360" w:lineRule="auto"/>
        <w:ind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基本存款</w:t>
      </w:r>
      <w:r>
        <w:rPr>
          <w:rFonts w:ascii="黑体" w:hAnsi="黑体" w:eastAsia="黑体"/>
          <w:color w:val="auto"/>
          <w:sz w:val="32"/>
          <w:szCs w:val="32"/>
          <w:highlight w:val="none"/>
        </w:rPr>
        <w:t>账户信息</w:t>
      </w:r>
    </w:p>
    <w:p>
      <w:pPr>
        <w:pStyle w:val="15"/>
        <w:adjustRightInd w:val="0"/>
        <w:snapToGrid w:val="0"/>
        <w:spacing w:line="360" w:lineRule="auto"/>
        <w:ind w:firstLine="420" w:firstLineChars="200"/>
        <w:rPr>
          <w:rFonts w:hint="eastAsia" w:hAnsi="宋体"/>
          <w:color w:val="auto"/>
          <w:highlight w:val="none"/>
        </w:rPr>
      </w:pP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账户</w:t>
      </w:r>
      <w:r>
        <w:rPr>
          <w:rFonts w:hAnsi="宋体"/>
          <w:color w:val="auto"/>
          <w:highlight w:val="none"/>
        </w:rPr>
        <w:t>名称：</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账户</w:t>
      </w:r>
      <w:r>
        <w:rPr>
          <w:rFonts w:hAnsi="宋体"/>
          <w:color w:val="auto"/>
          <w:highlight w:val="none"/>
        </w:rPr>
        <w:t>号码：</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开户银行</w:t>
      </w:r>
      <w:r>
        <w:rPr>
          <w:rFonts w:hAnsi="宋体"/>
          <w:color w:val="auto"/>
          <w:highlight w:val="none"/>
        </w:rPr>
        <w:t>：</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法定代表人：                （签名</w:t>
      </w:r>
      <w:r>
        <w:rPr>
          <w:rFonts w:hint="eastAsia" w:hAnsi="宋体"/>
          <w:color w:val="auto"/>
          <w:highlight w:val="none"/>
          <w:lang w:val="en-US" w:eastAsia="zh-CN"/>
        </w:rPr>
        <w:t>或盖章</w:t>
      </w:r>
      <w:r>
        <w:rPr>
          <w:rFonts w:hint="eastAsia" w:hAnsi="宋体"/>
          <w:color w:val="auto"/>
          <w:highlight w:val="none"/>
        </w:rPr>
        <w:t>）</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基本</w:t>
      </w:r>
      <w:r>
        <w:rPr>
          <w:rFonts w:hAnsi="宋体"/>
          <w:color w:val="auto"/>
          <w:highlight w:val="none"/>
        </w:rPr>
        <w:t xml:space="preserve">存款账户编号： </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 xml:space="preserve">投标人名称：                </w:t>
      </w:r>
      <w:r>
        <w:rPr>
          <w:rFonts w:hAnsi="宋体"/>
          <w:color w:val="auto"/>
          <w:highlight w:val="none"/>
        </w:rPr>
        <w:t>（加盖单位章）</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日期：    年  月  日</w:t>
      </w: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center"/>
        <w:rPr>
          <w:rFonts w:hAnsi="宋体" w:cs="宋体"/>
          <w:b/>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pStyle w:val="15"/>
        <w:adjustRightInd w:val="0"/>
        <w:snapToGrid w:val="0"/>
        <w:spacing w:line="360" w:lineRule="auto"/>
        <w:jc w:val="center"/>
        <w:rPr>
          <w:rFonts w:hint="eastAsia" w:hAnsi="宋体" w:cs="宋体"/>
          <w:b/>
          <w:color w:val="auto"/>
          <w:sz w:val="36"/>
          <w:szCs w:val="36"/>
          <w:highlight w:val="none"/>
        </w:rPr>
      </w:pPr>
      <w:r>
        <w:rPr>
          <w:rFonts w:hint="eastAsia" w:hAnsi="宋体" w:cs="宋体"/>
          <w:b/>
          <w:color w:val="auto"/>
          <w:sz w:val="36"/>
          <w:szCs w:val="36"/>
          <w:highlight w:val="none"/>
        </w:rPr>
        <w:t>6.税收缴纳证明</w:t>
      </w:r>
    </w:p>
    <w:p>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pPr>
        <w:pStyle w:val="15"/>
        <w:adjustRightInd w:val="0"/>
        <w:snapToGrid w:val="0"/>
        <w:spacing w:line="360" w:lineRule="auto"/>
        <w:ind w:firstLine="482"/>
        <w:rPr>
          <w:rFonts w:hint="eastAsia" w:hAnsi="宋体"/>
          <w:color w:val="auto"/>
          <w:highlight w:val="none"/>
          <w:lang w:val="en-US" w:eastAsia="zh-CN"/>
        </w:rPr>
      </w:pPr>
      <w:r>
        <w:rPr>
          <w:rFonts w:hint="eastAsia" w:hAnsi="宋体"/>
          <w:color w:val="auto"/>
          <w:highlight w:val="none"/>
        </w:rPr>
        <w:t>（</w:t>
      </w:r>
      <w:r>
        <w:rPr>
          <w:rFonts w:hint="eastAsia" w:hAnsi="宋体"/>
          <w:color w:val="auto"/>
          <w:highlight w:val="none"/>
          <w:lang w:val="en-US" w:eastAsia="zh-CN"/>
        </w:rPr>
        <w:t>1）提供投标人2022年6月至今至少三个月已缴纳完税凭证或税务机关开具的完税证明（任意税种）；</w:t>
      </w:r>
    </w:p>
    <w:p>
      <w:pPr>
        <w:pStyle w:val="15"/>
        <w:adjustRightInd w:val="0"/>
        <w:snapToGrid w:val="0"/>
        <w:spacing w:line="360" w:lineRule="auto"/>
        <w:ind w:firstLine="482"/>
        <w:rPr>
          <w:rFonts w:hint="eastAsia" w:hAnsi="宋体"/>
          <w:color w:val="auto"/>
          <w:highlight w:val="none"/>
          <w:lang w:val="en-US" w:eastAsia="zh-CN"/>
        </w:rPr>
      </w:pPr>
      <w:r>
        <w:rPr>
          <w:rFonts w:hint="eastAsia" w:hAnsi="宋体"/>
          <w:color w:val="auto"/>
          <w:highlight w:val="none"/>
          <w:lang w:val="en-US" w:eastAsia="zh-CN"/>
        </w:rPr>
        <w:t>（2）依法免税的应提供相关文件证明；</w:t>
      </w:r>
    </w:p>
    <w:p>
      <w:pPr>
        <w:pStyle w:val="15"/>
        <w:adjustRightInd w:val="0"/>
        <w:snapToGrid w:val="0"/>
        <w:spacing w:line="360" w:lineRule="auto"/>
        <w:ind w:firstLine="482"/>
        <w:rPr>
          <w:rFonts w:hint="eastAsia" w:hAnsi="宋体"/>
          <w:color w:val="auto"/>
          <w:highlight w:val="none"/>
          <w:lang w:val="en-US" w:eastAsia="zh-CN"/>
        </w:rPr>
      </w:pPr>
      <w:r>
        <w:rPr>
          <w:rFonts w:hint="eastAsia" w:hAnsi="宋体"/>
          <w:color w:val="auto"/>
          <w:highlight w:val="none"/>
          <w:lang w:val="en-US" w:eastAsia="zh-CN"/>
        </w:rPr>
        <w:t>（3）公益类事业单位无需提供；</w:t>
      </w:r>
    </w:p>
    <w:p>
      <w:pPr>
        <w:pStyle w:val="15"/>
        <w:adjustRightInd w:val="0"/>
        <w:snapToGrid w:val="0"/>
        <w:spacing w:line="360" w:lineRule="auto"/>
        <w:ind w:firstLine="482"/>
        <w:rPr>
          <w:rFonts w:hint="eastAsia" w:hAnsi="宋体"/>
          <w:color w:val="auto"/>
          <w:highlight w:val="none"/>
        </w:rPr>
      </w:pPr>
      <w:r>
        <w:rPr>
          <w:rFonts w:hint="eastAsia" w:hAnsi="宋体"/>
          <w:color w:val="auto"/>
          <w:highlight w:val="none"/>
          <w:lang w:val="en-US" w:eastAsia="zh-CN"/>
        </w:rPr>
        <w:t>（4）</w:t>
      </w:r>
      <w:r>
        <w:rPr>
          <w:rFonts w:hint="eastAsia" w:hAnsi="宋体"/>
          <w:color w:val="auto"/>
          <w:highlight w:val="none"/>
        </w:rPr>
        <w:t>新成立未发生缴纳社保资金事项的投标人，应按附件4格式提供缴纳社保资金的书面承诺；</w:t>
      </w:r>
    </w:p>
    <w:p>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hAnsi="宋体"/>
          <w:color w:val="auto"/>
          <w:highlight w:val="none"/>
          <w:lang w:val="en-US" w:eastAsia="zh-CN"/>
        </w:rPr>
        <w:t>5</w:t>
      </w:r>
      <w:r>
        <w:rPr>
          <w:rFonts w:hint="eastAsia" w:hAnsi="宋体"/>
          <w:color w:val="auto"/>
          <w:highlight w:val="none"/>
        </w:rPr>
        <w:t>）以上（1）-（2）项提供原件的扫描件，并加盖投标人单位章。</w:t>
      </w:r>
    </w:p>
    <w:p>
      <w:pPr>
        <w:pStyle w:val="15"/>
        <w:adjustRightInd w:val="0"/>
        <w:snapToGrid w:val="0"/>
        <w:spacing w:line="360" w:lineRule="auto"/>
        <w:ind w:firstLine="420" w:firstLineChars="200"/>
        <w:rPr>
          <w:rFonts w:hint="eastAsia" w:ascii="楷体" w:hAnsi="楷体" w:eastAsia="楷体" w:cs="Times New Roman"/>
          <w:color w:val="auto"/>
          <w:highlight w:val="none"/>
        </w:rPr>
      </w:pPr>
    </w:p>
    <w:p>
      <w:pPr>
        <w:pStyle w:val="15"/>
        <w:adjustRightInd w:val="0"/>
        <w:snapToGrid w:val="0"/>
        <w:spacing w:line="360" w:lineRule="auto"/>
        <w:jc w:val="left"/>
        <w:rPr>
          <w:rFonts w:hint="eastAsia" w:ascii="黑体" w:hAnsi="黑体" w:eastAsia="黑体"/>
          <w:color w:val="auto"/>
          <w:sz w:val="28"/>
          <w:szCs w:val="28"/>
          <w:highlight w:val="none"/>
        </w:rPr>
      </w:pPr>
    </w:p>
    <w:p>
      <w:pPr>
        <w:pStyle w:val="15"/>
        <w:adjustRightInd w:val="0"/>
        <w:snapToGrid w:val="0"/>
        <w:spacing w:line="360" w:lineRule="auto"/>
        <w:jc w:val="left"/>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rPr>
        <w:br w:type="page"/>
      </w:r>
      <w:r>
        <w:rPr>
          <w:rFonts w:hint="eastAsia" w:ascii="黑体" w:hAnsi="黑体" w:eastAsia="黑体"/>
          <w:color w:val="auto"/>
          <w:sz w:val="28"/>
          <w:szCs w:val="28"/>
          <w:highlight w:val="none"/>
        </w:rPr>
        <w:t>附件</w:t>
      </w:r>
      <w:r>
        <w:rPr>
          <w:rFonts w:hint="eastAsia" w:ascii="黑体" w:hAnsi="黑体" w:eastAsia="黑体"/>
          <w:color w:val="auto"/>
          <w:sz w:val="28"/>
          <w:szCs w:val="28"/>
          <w:highlight w:val="none"/>
          <w:lang w:val="en-US" w:eastAsia="zh-CN"/>
        </w:rPr>
        <w:t>3</w:t>
      </w:r>
    </w:p>
    <w:p>
      <w:pPr>
        <w:spacing w:line="560" w:lineRule="exact"/>
        <w:jc w:val="center"/>
        <w:outlineLvl w:val="9"/>
        <w:rPr>
          <w:rFonts w:ascii="黑体" w:hAnsi="黑体" w:cs="仿宋_GB2312"/>
          <w:b w:val="0"/>
          <w:color w:val="auto"/>
          <w:sz w:val="36"/>
          <w:szCs w:val="36"/>
          <w:highlight w:val="none"/>
        </w:rPr>
      </w:pPr>
      <w:bookmarkStart w:id="170" w:name="_Toc3907"/>
      <w:r>
        <w:rPr>
          <w:rFonts w:hint="eastAsia" w:ascii="黑体" w:hAnsi="黑体" w:cs="仿宋_GB2312"/>
          <w:b w:val="0"/>
          <w:color w:val="auto"/>
          <w:sz w:val="36"/>
          <w:szCs w:val="36"/>
          <w:highlight w:val="none"/>
        </w:rPr>
        <w:t>依法缴纳税收承诺书</w:t>
      </w:r>
      <w:bookmarkEnd w:id="170"/>
    </w:p>
    <w:p>
      <w:pPr>
        <w:pStyle w:val="6"/>
        <w:spacing w:before="720" w:beforeLines="300" w:after="120" w:afterLines="50" w:line="360" w:lineRule="auto"/>
        <w:ind w:firstLine="0"/>
        <w:rPr>
          <w:rFonts w:ascii="宋体" w:hAnsi="宋体"/>
          <w:color w:val="auto"/>
          <w:szCs w:val="21"/>
          <w:highlight w:val="none"/>
        </w:rPr>
      </w:pPr>
      <w:r>
        <w:rPr>
          <w:rFonts w:hint="eastAsia" w:ascii="宋体" w:hAnsi="宋体"/>
          <w:color w:val="auto"/>
          <w:szCs w:val="21"/>
          <w:highlight w:val="none"/>
          <w:lang w:eastAsia="zh-CN"/>
        </w:rPr>
        <w:t>陕西诺尔信项目管理有限公司</w:t>
      </w:r>
      <w:r>
        <w:rPr>
          <w:rFonts w:hint="eastAsia" w:ascii="宋体" w:hAnsi="宋体"/>
          <w:color w:val="auto"/>
          <w:szCs w:val="21"/>
          <w:highlight w:val="none"/>
        </w:rPr>
        <w:t>：</w:t>
      </w:r>
      <w:r>
        <w:rPr>
          <w:rFonts w:ascii="宋体" w:hAnsi="宋体"/>
          <w:color w:val="auto"/>
          <w:szCs w:val="21"/>
          <w:highlight w:val="none"/>
        </w:rPr>
        <w:t xml:space="preserve"> </w:t>
      </w:r>
    </w:p>
    <w:p>
      <w:pPr>
        <w:pStyle w:val="6"/>
        <w:spacing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pPr>
        <w:pStyle w:val="6"/>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我方承诺将依法缴纳税收，并符合《中华人民共和国政府采购法》及其实施条例和招标文件资格要求的规定。</w:t>
      </w:r>
    </w:p>
    <w:p>
      <w:pPr>
        <w:pStyle w:val="6"/>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若我方以上承诺不实，自愿承担提供虚假材料谋取中标的法律责任。</w:t>
      </w:r>
    </w:p>
    <w:p>
      <w:pPr>
        <w:pStyle w:val="6"/>
        <w:spacing w:line="360" w:lineRule="auto"/>
        <w:ind w:firstLine="573"/>
        <w:rPr>
          <w:rFonts w:ascii="宋体" w:hAnsi="宋体"/>
          <w:color w:val="auto"/>
          <w:szCs w:val="21"/>
          <w:highlight w:val="none"/>
        </w:rPr>
      </w:pPr>
    </w:p>
    <w:p>
      <w:pPr>
        <w:pStyle w:val="6"/>
        <w:spacing w:line="360" w:lineRule="auto"/>
        <w:ind w:firstLine="573"/>
        <w:rPr>
          <w:rFonts w:ascii="宋体" w:hAnsi="宋体"/>
          <w:color w:val="auto"/>
          <w:szCs w:val="21"/>
          <w:highlight w:val="none"/>
        </w:rPr>
      </w:pPr>
    </w:p>
    <w:p>
      <w:pPr>
        <w:pStyle w:val="6"/>
        <w:spacing w:line="360" w:lineRule="auto"/>
        <w:ind w:firstLine="573"/>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（投标人名称、盖单位章）</w:t>
      </w:r>
    </w:p>
    <w:p>
      <w:pPr>
        <w:pStyle w:val="6"/>
        <w:spacing w:line="360" w:lineRule="auto"/>
        <w:ind w:firstLine="573"/>
        <w:rPr>
          <w:rFonts w:hint="eastAsia" w:ascii="宋体" w:hAnsi="宋体"/>
          <w:color w:val="auto"/>
          <w:szCs w:val="21"/>
          <w:highlight w:val="none"/>
        </w:rPr>
      </w:pPr>
    </w:p>
    <w:p>
      <w:pPr>
        <w:pStyle w:val="6"/>
        <w:spacing w:line="360" w:lineRule="auto"/>
        <w:ind w:firstLine="573"/>
        <w:rPr>
          <w:rFonts w:hint="eastAsia" w:ascii="宋体" w:hAnsi="宋体"/>
          <w:color w:val="auto"/>
          <w:szCs w:val="21"/>
          <w:highlight w:val="none"/>
        </w:rPr>
      </w:pPr>
    </w:p>
    <w:p>
      <w:pPr>
        <w:pStyle w:val="6"/>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pPr>
        <w:pStyle w:val="6"/>
        <w:spacing w:line="360" w:lineRule="auto"/>
        <w:ind w:firstLine="573"/>
        <w:rPr>
          <w:rFonts w:hint="eastAsia" w:ascii="宋体" w:hAnsi="宋体"/>
          <w:color w:val="auto"/>
          <w:szCs w:val="21"/>
          <w:highlight w:val="none"/>
        </w:rPr>
      </w:pPr>
    </w:p>
    <w:p>
      <w:pPr>
        <w:pStyle w:val="6"/>
        <w:spacing w:line="360" w:lineRule="auto"/>
        <w:ind w:firstLine="573"/>
        <w:rPr>
          <w:rFonts w:hint="eastAsia" w:ascii="宋体" w:hAnsi="宋体"/>
          <w:color w:val="auto"/>
          <w:szCs w:val="21"/>
          <w:highlight w:val="none"/>
        </w:rPr>
      </w:pPr>
    </w:p>
    <w:p>
      <w:pPr>
        <w:pStyle w:val="6"/>
        <w:spacing w:line="360" w:lineRule="auto"/>
        <w:ind w:firstLine="573"/>
        <w:rPr>
          <w:rFonts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15"/>
        <w:adjustRightInd w:val="0"/>
        <w:snapToGrid w:val="0"/>
        <w:spacing w:line="360" w:lineRule="auto"/>
        <w:jc w:val="left"/>
        <w:rPr>
          <w:rFonts w:hint="eastAsia" w:hAnsi="宋体" w:cs="宋体"/>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left"/>
        <w:rPr>
          <w:rFonts w:hint="eastAsia" w:hAnsi="宋体" w:cs="宋体"/>
          <w:b/>
          <w:color w:val="auto"/>
          <w:sz w:val="24"/>
          <w:szCs w:val="24"/>
          <w:highlight w:val="none"/>
        </w:rPr>
      </w:pPr>
    </w:p>
    <w:p>
      <w:pPr>
        <w:pStyle w:val="15"/>
        <w:adjustRightInd w:val="0"/>
        <w:snapToGrid w:val="0"/>
        <w:spacing w:line="360" w:lineRule="auto"/>
        <w:jc w:val="center"/>
        <w:rPr>
          <w:rFonts w:hint="eastAsia" w:hAnsi="宋体" w:cs="宋体"/>
          <w:b/>
          <w:color w:val="auto"/>
          <w:sz w:val="36"/>
          <w:szCs w:val="36"/>
          <w:highlight w:val="none"/>
        </w:rPr>
      </w:pPr>
    </w:p>
    <w:p>
      <w:pPr>
        <w:pStyle w:val="15"/>
        <w:adjustRightInd w:val="0"/>
        <w:snapToGrid w:val="0"/>
        <w:spacing w:line="360" w:lineRule="auto"/>
        <w:jc w:val="center"/>
        <w:rPr>
          <w:rFonts w:hAnsi="宋体" w:cs="宋体"/>
          <w:b/>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pStyle w:val="15"/>
        <w:adjustRightInd w:val="0"/>
        <w:snapToGrid w:val="0"/>
        <w:spacing w:line="360" w:lineRule="auto"/>
        <w:jc w:val="center"/>
        <w:rPr>
          <w:rFonts w:hint="eastAsia" w:hAnsi="宋体" w:cs="宋体"/>
          <w:b/>
          <w:color w:val="auto"/>
          <w:sz w:val="36"/>
          <w:szCs w:val="36"/>
          <w:highlight w:val="none"/>
        </w:rPr>
      </w:pPr>
      <w:r>
        <w:rPr>
          <w:rFonts w:hint="eastAsia" w:hAnsi="宋体" w:cs="宋体"/>
          <w:b/>
          <w:color w:val="auto"/>
          <w:sz w:val="36"/>
          <w:szCs w:val="36"/>
          <w:highlight w:val="none"/>
        </w:rPr>
        <w:t>7.缴纳社会保障资金证明</w:t>
      </w:r>
    </w:p>
    <w:p>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pPr>
        <w:pStyle w:val="15"/>
        <w:adjustRightInd w:val="0"/>
        <w:snapToGrid w:val="0"/>
        <w:spacing w:line="360" w:lineRule="auto"/>
        <w:ind w:firstLine="482"/>
        <w:rPr>
          <w:rFonts w:hint="eastAsia" w:hAnsi="宋体"/>
          <w:color w:val="auto"/>
          <w:highlight w:val="none"/>
          <w:lang w:val="en-US" w:eastAsia="zh-CN"/>
        </w:rPr>
      </w:pPr>
      <w:r>
        <w:rPr>
          <w:rFonts w:hint="eastAsia" w:hAnsi="宋体"/>
          <w:color w:val="auto"/>
          <w:highlight w:val="none"/>
          <w:lang w:val="en-US" w:eastAsia="zh-CN"/>
        </w:rPr>
        <w:t>（1）提供投标人2022年6月至今至少三个月已缴纳的社会保障资金缴存单据或社保机构开具的社会保险参保缴费情况证明；</w:t>
      </w:r>
    </w:p>
    <w:p>
      <w:pPr>
        <w:pStyle w:val="15"/>
        <w:adjustRightInd w:val="0"/>
        <w:snapToGrid w:val="0"/>
        <w:spacing w:line="360" w:lineRule="auto"/>
        <w:ind w:firstLine="482"/>
        <w:rPr>
          <w:rFonts w:hint="eastAsia" w:hAnsi="宋体"/>
          <w:color w:val="auto"/>
          <w:highlight w:val="none"/>
          <w:lang w:val="en-US" w:eastAsia="zh-CN"/>
        </w:rPr>
      </w:pPr>
      <w:r>
        <w:rPr>
          <w:rFonts w:hint="eastAsia" w:hAnsi="宋体"/>
          <w:color w:val="auto"/>
          <w:highlight w:val="none"/>
          <w:lang w:val="en-US" w:eastAsia="zh-CN"/>
        </w:rPr>
        <w:t>（2）依法不需要缴纳社会保障资金的投标人应提供相关文件证明；</w:t>
      </w:r>
    </w:p>
    <w:p>
      <w:pPr>
        <w:pStyle w:val="15"/>
        <w:adjustRightInd w:val="0"/>
        <w:snapToGrid w:val="0"/>
        <w:spacing w:line="360" w:lineRule="auto"/>
        <w:ind w:firstLine="482"/>
        <w:rPr>
          <w:rFonts w:hint="eastAsia" w:hAnsi="宋体"/>
          <w:color w:val="auto"/>
          <w:highlight w:val="none"/>
          <w:lang w:val="en-US" w:eastAsia="zh-CN"/>
        </w:rPr>
      </w:pPr>
      <w:r>
        <w:rPr>
          <w:rFonts w:hint="eastAsia" w:hAnsi="宋体"/>
          <w:color w:val="auto"/>
          <w:highlight w:val="none"/>
          <w:lang w:val="en-US" w:eastAsia="zh-CN"/>
        </w:rPr>
        <w:t>（3）公益类事业单位无需提供；</w:t>
      </w:r>
    </w:p>
    <w:p>
      <w:pPr>
        <w:pStyle w:val="15"/>
        <w:adjustRightInd w:val="0"/>
        <w:snapToGrid w:val="0"/>
        <w:spacing w:line="360" w:lineRule="auto"/>
        <w:ind w:firstLine="482"/>
        <w:rPr>
          <w:rFonts w:hint="eastAsia" w:hAnsi="宋体"/>
          <w:color w:val="auto"/>
          <w:highlight w:val="none"/>
        </w:rPr>
      </w:pPr>
      <w:r>
        <w:rPr>
          <w:rFonts w:hint="eastAsia" w:hAnsi="宋体"/>
          <w:color w:val="auto"/>
          <w:highlight w:val="none"/>
          <w:lang w:val="en-US" w:eastAsia="zh-CN"/>
        </w:rPr>
        <w:t>（4）</w:t>
      </w:r>
      <w:r>
        <w:rPr>
          <w:rFonts w:hint="eastAsia" w:hAnsi="宋体"/>
          <w:color w:val="auto"/>
          <w:highlight w:val="none"/>
        </w:rPr>
        <w:t>新成立未发生缴纳社保资金事项的投标人，应按附件4格式提供缴纳社保资金的书面承诺；</w:t>
      </w:r>
    </w:p>
    <w:p>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hAnsi="宋体"/>
          <w:color w:val="auto"/>
          <w:highlight w:val="none"/>
          <w:lang w:val="en-US" w:eastAsia="zh-CN"/>
        </w:rPr>
        <w:t>5</w:t>
      </w:r>
      <w:r>
        <w:rPr>
          <w:rFonts w:hint="eastAsia" w:hAnsi="宋体"/>
          <w:color w:val="auto"/>
          <w:highlight w:val="none"/>
        </w:rPr>
        <w:t>）以上（1）-（2）项提供原件的扫描件，并加盖投标人单位章。</w:t>
      </w:r>
    </w:p>
    <w:p>
      <w:pPr>
        <w:pStyle w:val="15"/>
        <w:adjustRightInd w:val="0"/>
        <w:snapToGrid w:val="0"/>
        <w:spacing w:line="360" w:lineRule="auto"/>
        <w:jc w:val="both"/>
        <w:rPr>
          <w:rFonts w:hint="eastAsia" w:ascii="黑体" w:hAnsi="黑体" w:eastAsia="黑体"/>
          <w:color w:val="auto"/>
          <w:sz w:val="28"/>
          <w:szCs w:val="28"/>
          <w:highlight w:val="none"/>
          <w:lang w:val="en-US" w:eastAsia="zh-CN"/>
        </w:rPr>
      </w:pPr>
      <w:r>
        <w:rPr>
          <w:rFonts w:hint="eastAsia" w:hAnsi="宋体" w:cs="宋体"/>
          <w:b/>
          <w:color w:val="auto"/>
          <w:sz w:val="36"/>
          <w:szCs w:val="36"/>
          <w:highlight w:val="none"/>
        </w:rPr>
        <w:br w:type="page"/>
      </w:r>
      <w:r>
        <w:rPr>
          <w:rFonts w:hint="eastAsia" w:ascii="黑体" w:hAnsi="黑体" w:eastAsia="黑体"/>
          <w:color w:val="auto"/>
          <w:sz w:val="28"/>
          <w:szCs w:val="28"/>
          <w:highlight w:val="none"/>
        </w:rPr>
        <w:t>附件</w:t>
      </w:r>
      <w:r>
        <w:rPr>
          <w:rFonts w:hint="eastAsia" w:ascii="黑体" w:hAnsi="黑体" w:eastAsia="黑体"/>
          <w:color w:val="auto"/>
          <w:sz w:val="28"/>
          <w:szCs w:val="28"/>
          <w:highlight w:val="none"/>
          <w:lang w:val="en-US" w:eastAsia="zh-CN"/>
        </w:rPr>
        <w:t>4</w:t>
      </w:r>
    </w:p>
    <w:p>
      <w:pPr>
        <w:spacing w:line="560" w:lineRule="exact"/>
        <w:jc w:val="center"/>
        <w:outlineLvl w:val="9"/>
        <w:rPr>
          <w:rFonts w:ascii="黑体" w:hAnsi="黑体" w:cs="仿宋_GB2312"/>
          <w:b w:val="0"/>
          <w:color w:val="auto"/>
          <w:sz w:val="36"/>
          <w:szCs w:val="36"/>
          <w:highlight w:val="none"/>
        </w:rPr>
      </w:pPr>
      <w:bookmarkStart w:id="171" w:name="_Toc22087"/>
      <w:r>
        <w:rPr>
          <w:rFonts w:hint="eastAsia" w:ascii="黑体" w:hAnsi="黑体" w:cs="仿宋_GB2312"/>
          <w:b w:val="0"/>
          <w:color w:val="auto"/>
          <w:sz w:val="36"/>
          <w:szCs w:val="36"/>
          <w:highlight w:val="none"/>
        </w:rPr>
        <w:t>依法缴纳社会保障资金承诺书</w:t>
      </w:r>
      <w:bookmarkEnd w:id="171"/>
    </w:p>
    <w:p>
      <w:pPr>
        <w:pStyle w:val="6"/>
        <w:spacing w:before="600" w:beforeLines="250" w:line="360" w:lineRule="auto"/>
        <w:ind w:firstLine="0"/>
        <w:rPr>
          <w:rFonts w:ascii="宋体" w:hAnsi="宋体"/>
          <w:color w:val="auto"/>
          <w:szCs w:val="21"/>
          <w:highlight w:val="none"/>
        </w:rPr>
      </w:pPr>
      <w:r>
        <w:rPr>
          <w:rFonts w:hint="eastAsia" w:ascii="宋体" w:hAnsi="宋体"/>
          <w:color w:val="auto"/>
          <w:szCs w:val="21"/>
          <w:highlight w:val="none"/>
          <w:lang w:eastAsia="zh-CN"/>
        </w:rPr>
        <w:t>陕西诺尔信项目管理有限公司</w:t>
      </w:r>
      <w:r>
        <w:rPr>
          <w:rFonts w:hint="eastAsia" w:ascii="宋体" w:hAnsi="宋体"/>
          <w:color w:val="auto"/>
          <w:szCs w:val="21"/>
          <w:highlight w:val="none"/>
        </w:rPr>
        <w:t>：</w:t>
      </w:r>
      <w:r>
        <w:rPr>
          <w:rFonts w:ascii="宋体" w:hAnsi="宋体"/>
          <w:color w:val="auto"/>
          <w:szCs w:val="21"/>
          <w:highlight w:val="none"/>
        </w:rPr>
        <w:t xml:space="preserve"> </w:t>
      </w:r>
    </w:p>
    <w:p>
      <w:pPr>
        <w:pStyle w:val="6"/>
        <w:spacing w:before="120" w:beforeLines="50"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pPr>
        <w:pStyle w:val="6"/>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我方承诺将依法缴纳社会保障资金，并符合《中华人民共和国政府采购法》及其实施条例和招标文件资格要求的规定。</w:t>
      </w:r>
    </w:p>
    <w:p>
      <w:pPr>
        <w:pStyle w:val="6"/>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若我方以上承诺不实，自愿承担提供虚假材料谋取中标的法律责任。</w:t>
      </w:r>
    </w:p>
    <w:p>
      <w:pPr>
        <w:pStyle w:val="6"/>
        <w:spacing w:line="360" w:lineRule="auto"/>
        <w:ind w:firstLine="573"/>
        <w:rPr>
          <w:rFonts w:ascii="宋体" w:hAnsi="宋体"/>
          <w:color w:val="auto"/>
          <w:szCs w:val="21"/>
          <w:highlight w:val="none"/>
        </w:rPr>
      </w:pPr>
    </w:p>
    <w:p>
      <w:pPr>
        <w:pStyle w:val="6"/>
        <w:spacing w:line="360" w:lineRule="auto"/>
        <w:ind w:firstLine="573"/>
        <w:rPr>
          <w:rFonts w:ascii="宋体" w:hAnsi="宋体"/>
          <w:color w:val="auto"/>
          <w:szCs w:val="21"/>
          <w:highlight w:val="none"/>
        </w:rPr>
      </w:pPr>
    </w:p>
    <w:p>
      <w:pPr>
        <w:pStyle w:val="6"/>
        <w:spacing w:line="360" w:lineRule="auto"/>
        <w:ind w:firstLine="573"/>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（投标人名称、盖单位章）</w:t>
      </w:r>
    </w:p>
    <w:p>
      <w:pPr>
        <w:pStyle w:val="6"/>
        <w:spacing w:line="360" w:lineRule="auto"/>
        <w:ind w:firstLine="573"/>
        <w:rPr>
          <w:rFonts w:hint="eastAsia" w:ascii="宋体" w:hAnsi="宋体"/>
          <w:color w:val="auto"/>
          <w:szCs w:val="21"/>
          <w:highlight w:val="none"/>
        </w:rPr>
      </w:pPr>
    </w:p>
    <w:p>
      <w:pPr>
        <w:pStyle w:val="6"/>
        <w:spacing w:line="360" w:lineRule="auto"/>
        <w:ind w:firstLine="573"/>
        <w:rPr>
          <w:rFonts w:hint="eastAsia" w:ascii="宋体" w:hAnsi="宋体"/>
          <w:color w:val="auto"/>
          <w:szCs w:val="21"/>
          <w:highlight w:val="none"/>
        </w:rPr>
      </w:pPr>
    </w:p>
    <w:p>
      <w:pPr>
        <w:pStyle w:val="6"/>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pPr>
        <w:pStyle w:val="6"/>
        <w:spacing w:line="360" w:lineRule="auto"/>
        <w:ind w:firstLine="573"/>
        <w:rPr>
          <w:rFonts w:hint="eastAsia" w:ascii="宋体" w:hAnsi="宋体"/>
          <w:color w:val="auto"/>
          <w:szCs w:val="21"/>
          <w:highlight w:val="none"/>
        </w:rPr>
      </w:pPr>
    </w:p>
    <w:p>
      <w:pPr>
        <w:pStyle w:val="6"/>
        <w:spacing w:line="360" w:lineRule="auto"/>
        <w:ind w:firstLine="573"/>
        <w:rPr>
          <w:rFonts w:hint="eastAsia" w:ascii="宋体" w:hAnsi="宋体"/>
          <w:color w:val="auto"/>
          <w:szCs w:val="21"/>
          <w:highlight w:val="none"/>
        </w:rPr>
      </w:pPr>
    </w:p>
    <w:p>
      <w:pPr>
        <w:pStyle w:val="6"/>
        <w:spacing w:line="360" w:lineRule="auto"/>
        <w:ind w:firstLine="573"/>
        <w:rPr>
          <w:rFonts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6"/>
        <w:spacing w:line="360" w:lineRule="auto"/>
        <w:ind w:firstLine="573"/>
        <w:rPr>
          <w:rFonts w:hint="eastAsia" w:ascii="宋体" w:hAnsi="宋体"/>
          <w:color w:val="auto"/>
          <w:szCs w:val="21"/>
          <w:highlight w:val="none"/>
        </w:rPr>
      </w:pPr>
    </w:p>
    <w:p>
      <w:pPr>
        <w:pStyle w:val="15"/>
        <w:adjustRightInd w:val="0"/>
        <w:snapToGrid w:val="0"/>
        <w:spacing w:line="360" w:lineRule="auto"/>
        <w:rPr>
          <w:rFonts w:hint="eastAsia" w:hAnsi="宋体" w:cs="宋体"/>
          <w:b/>
          <w:color w:val="auto"/>
          <w:sz w:val="36"/>
          <w:szCs w:val="36"/>
          <w:highlight w:val="none"/>
        </w:rPr>
      </w:pPr>
      <w:r>
        <w:rPr>
          <w:rFonts w:hint="eastAsia" w:hAnsi="宋体" w:cs="宋体"/>
          <w:b/>
          <w:color w:val="auto"/>
          <w:sz w:val="36"/>
          <w:szCs w:val="36"/>
          <w:highlight w:val="none"/>
        </w:rPr>
        <w:br w:type="page"/>
      </w:r>
      <w:r>
        <w:rPr>
          <w:rFonts w:hint="eastAsia" w:hAnsi="宋体" w:cs="宋体"/>
          <w:b/>
          <w:color w:val="auto"/>
          <w:sz w:val="36"/>
          <w:szCs w:val="36"/>
          <w:highlight w:val="none"/>
        </w:rPr>
        <w:t>8.</w:t>
      </w:r>
      <w:r>
        <w:rPr>
          <w:rFonts w:hint="eastAsia" w:hAnsi="宋体" w:cs="宋体"/>
          <w:b/>
          <w:color w:val="auto"/>
          <w:kern w:val="0"/>
          <w:sz w:val="36"/>
          <w:szCs w:val="36"/>
          <w:highlight w:val="none"/>
          <w:lang w:val="zh-CN"/>
        </w:rPr>
        <w:t>具备履行合同所必需的设备和专业技术能力的证明</w:t>
      </w:r>
    </w:p>
    <w:p>
      <w:pPr>
        <w:pStyle w:val="6"/>
        <w:spacing w:line="360" w:lineRule="auto"/>
        <w:ind w:firstLine="0"/>
        <w:jc w:val="left"/>
        <w:rPr>
          <w:rFonts w:hint="eastAsia" w:ascii="宋体" w:hAnsi="宋体" w:cs="宋体"/>
          <w:b/>
          <w:color w:val="auto"/>
          <w:sz w:val="24"/>
          <w:szCs w:val="24"/>
          <w:highlight w:val="none"/>
        </w:rPr>
      </w:pPr>
    </w:p>
    <w:p>
      <w:pPr>
        <w:pStyle w:val="6"/>
        <w:spacing w:after="240" w:afterLines="100"/>
        <w:ind w:firstLine="0"/>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（一）完成本项目必须的设备清单</w:t>
      </w:r>
    </w:p>
    <w:p>
      <w:pPr>
        <w:pStyle w:val="6"/>
        <w:spacing w:after="120" w:afterLines="50"/>
        <w:ind w:firstLine="0"/>
        <w:jc w:val="left"/>
        <w:rPr>
          <w:rFonts w:hint="eastAsia" w:ascii="宋体" w:hAnsi="宋体" w:cs="宋体"/>
          <w:color w:val="auto"/>
          <w:szCs w:val="21"/>
          <w:highlight w:val="none"/>
        </w:rPr>
      </w:pPr>
      <w:r>
        <w:rPr>
          <w:rFonts w:hint="eastAsia" w:ascii="宋体" w:hAnsi="宋体" w:cs="宋体"/>
          <w:color w:val="auto"/>
          <w:szCs w:val="21"/>
          <w:highlight w:val="none"/>
        </w:rPr>
        <w:t>投标人：                                           采购项目编号：</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241"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b/>
                <w:color w:val="auto"/>
                <w:szCs w:val="21"/>
                <w:highlight w:val="none"/>
              </w:rPr>
              <w:t>设备名称</w:t>
            </w:r>
          </w:p>
        </w:tc>
        <w:tc>
          <w:tcPr>
            <w:tcW w:w="1445"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b/>
                <w:color w:val="auto"/>
                <w:szCs w:val="21"/>
                <w:highlight w:val="none"/>
              </w:rPr>
              <w:t>计量单位</w:t>
            </w:r>
          </w:p>
        </w:tc>
        <w:tc>
          <w:tcPr>
            <w:tcW w:w="992"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2410"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b/>
                <w:color w:val="auto"/>
                <w:szCs w:val="21"/>
                <w:highlight w:val="none"/>
              </w:rPr>
              <w:t>生产企业</w:t>
            </w:r>
          </w:p>
        </w:tc>
        <w:tc>
          <w:tcPr>
            <w:tcW w:w="1270"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b/>
                <w:color w:val="auto"/>
                <w:szCs w:val="21"/>
                <w:highlight w:val="none"/>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noWrap w:val="0"/>
            <w:vAlign w:val="top"/>
          </w:tcPr>
          <w:p>
            <w:pPr>
              <w:pStyle w:val="6"/>
              <w:ind w:firstLine="0"/>
              <w:jc w:val="left"/>
              <w:rPr>
                <w:rFonts w:hint="eastAsia" w:ascii="宋体" w:hAnsi="宋体" w:cs="宋体"/>
                <w:b/>
                <w:color w:val="auto"/>
                <w:sz w:val="28"/>
                <w:szCs w:val="28"/>
                <w:highlight w:val="none"/>
              </w:rPr>
            </w:pPr>
          </w:p>
        </w:tc>
        <w:tc>
          <w:tcPr>
            <w:tcW w:w="2241" w:type="dxa"/>
            <w:noWrap w:val="0"/>
            <w:vAlign w:val="top"/>
          </w:tcPr>
          <w:p>
            <w:pPr>
              <w:pStyle w:val="6"/>
              <w:ind w:firstLine="0"/>
              <w:jc w:val="left"/>
              <w:rPr>
                <w:rFonts w:hint="eastAsia" w:ascii="宋体" w:hAnsi="宋体" w:cs="宋体"/>
                <w:b/>
                <w:color w:val="auto"/>
                <w:sz w:val="28"/>
                <w:szCs w:val="28"/>
                <w:highlight w:val="none"/>
              </w:rPr>
            </w:pPr>
          </w:p>
        </w:tc>
        <w:tc>
          <w:tcPr>
            <w:tcW w:w="1445" w:type="dxa"/>
            <w:noWrap w:val="0"/>
            <w:vAlign w:val="top"/>
          </w:tcPr>
          <w:p>
            <w:pPr>
              <w:pStyle w:val="6"/>
              <w:ind w:firstLine="0"/>
              <w:jc w:val="left"/>
              <w:rPr>
                <w:rFonts w:hint="eastAsia" w:ascii="宋体" w:hAnsi="宋体" w:cs="宋体"/>
                <w:b/>
                <w:color w:val="auto"/>
                <w:sz w:val="28"/>
                <w:szCs w:val="28"/>
                <w:highlight w:val="none"/>
              </w:rPr>
            </w:pPr>
          </w:p>
        </w:tc>
        <w:tc>
          <w:tcPr>
            <w:tcW w:w="992" w:type="dxa"/>
            <w:noWrap w:val="0"/>
            <w:vAlign w:val="top"/>
          </w:tcPr>
          <w:p>
            <w:pPr>
              <w:pStyle w:val="6"/>
              <w:ind w:firstLine="0"/>
              <w:jc w:val="left"/>
              <w:rPr>
                <w:rFonts w:hint="eastAsia" w:ascii="宋体" w:hAnsi="宋体" w:cs="宋体"/>
                <w:b/>
                <w:color w:val="auto"/>
                <w:sz w:val="28"/>
                <w:szCs w:val="28"/>
                <w:highlight w:val="none"/>
              </w:rPr>
            </w:pPr>
          </w:p>
        </w:tc>
        <w:tc>
          <w:tcPr>
            <w:tcW w:w="2410" w:type="dxa"/>
            <w:noWrap w:val="0"/>
            <w:vAlign w:val="top"/>
          </w:tcPr>
          <w:p>
            <w:pPr>
              <w:pStyle w:val="6"/>
              <w:ind w:firstLine="0"/>
              <w:jc w:val="left"/>
              <w:rPr>
                <w:rFonts w:hint="eastAsia" w:ascii="宋体" w:hAnsi="宋体" w:cs="宋体"/>
                <w:b/>
                <w:color w:val="auto"/>
                <w:sz w:val="28"/>
                <w:szCs w:val="28"/>
                <w:highlight w:val="none"/>
              </w:rPr>
            </w:pPr>
          </w:p>
        </w:tc>
        <w:tc>
          <w:tcPr>
            <w:tcW w:w="1270" w:type="dxa"/>
            <w:noWrap w:val="0"/>
            <w:vAlign w:val="top"/>
          </w:tcPr>
          <w:p>
            <w:pPr>
              <w:pStyle w:val="6"/>
              <w:ind w:firstLine="0"/>
              <w:jc w:val="left"/>
              <w:rPr>
                <w:rFonts w:hint="eastAsia" w:ascii="宋体" w:hAnsi="宋体" w:cs="宋体"/>
                <w:b/>
                <w:color w:val="auto"/>
                <w:sz w:val="28"/>
                <w:szCs w:val="28"/>
                <w:highlight w:val="none"/>
              </w:rPr>
            </w:pPr>
          </w:p>
        </w:tc>
      </w:tr>
    </w:tbl>
    <w:p>
      <w:pPr>
        <w:spacing w:before="120" w:beforeLines="50" w:line="200" w:lineRule="exact"/>
        <w:ind w:left="412" w:hanging="411" w:hangingChars="196"/>
        <w:jc w:val="left"/>
        <w:rPr>
          <w:rFonts w:hint="eastAsia" w:ascii="楷体" w:hAnsi="楷体" w:eastAsia="楷体"/>
          <w:color w:val="auto"/>
          <w:szCs w:val="21"/>
          <w:highlight w:val="none"/>
        </w:rPr>
      </w:pPr>
      <w:r>
        <w:rPr>
          <w:rFonts w:hint="eastAsia" w:ascii="楷体" w:hAnsi="楷体" w:eastAsia="楷体"/>
          <w:color w:val="auto"/>
          <w:szCs w:val="21"/>
          <w:highlight w:val="none"/>
        </w:rPr>
        <w:t>说明：设备可以填写单台设备，也可以填写成套设备。</w:t>
      </w:r>
    </w:p>
    <w:p>
      <w:pPr>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（盖单位章）</w:t>
      </w: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b/>
          <w:color w:val="auto"/>
          <w:szCs w:val="21"/>
          <w:highlight w:val="none"/>
        </w:rPr>
      </w:pPr>
      <w:r>
        <w:rPr>
          <w:rFonts w:hint="eastAsia" w:ascii="宋体" w:hAnsi="宋体" w:cs="宋体"/>
          <w:color w:val="auto"/>
          <w:szCs w:val="21"/>
          <w:highlight w:val="none"/>
        </w:rPr>
        <w:t>日    期：20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pPr>
        <w:rPr>
          <w:rFonts w:ascii="宋体" w:hAnsi="宋体" w:cs="宋体"/>
          <w:b/>
          <w:color w:val="auto"/>
          <w:sz w:val="32"/>
          <w:szCs w:val="32"/>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（二）本项目组织实施人员</w:t>
      </w:r>
    </w:p>
    <w:p>
      <w:pPr>
        <w:pStyle w:val="6"/>
        <w:spacing w:after="120" w:afterLines="50"/>
        <w:ind w:firstLine="0"/>
        <w:jc w:val="left"/>
        <w:rPr>
          <w:rFonts w:hint="eastAsia" w:ascii="宋体" w:hAnsi="宋体" w:cs="宋体"/>
          <w:color w:val="auto"/>
          <w:szCs w:val="21"/>
          <w:highlight w:val="none"/>
        </w:rPr>
      </w:pPr>
    </w:p>
    <w:p>
      <w:pPr>
        <w:pStyle w:val="6"/>
        <w:spacing w:after="120" w:afterLines="50"/>
        <w:ind w:firstLine="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采购项目编号：</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0"/>
            <w:vAlign w:val="center"/>
          </w:tcPr>
          <w:p>
            <w:pPr>
              <w:pStyle w:val="6"/>
              <w:ind w:firstLine="0"/>
              <w:rPr>
                <w:rFonts w:hint="eastAsia" w:ascii="宋体" w:hAnsi="宋体" w:cs="宋体"/>
                <w:b/>
                <w:color w:val="auto"/>
                <w:sz w:val="28"/>
                <w:szCs w:val="28"/>
                <w:highlight w:val="none"/>
              </w:rPr>
            </w:pPr>
            <w:r>
              <w:rPr>
                <w:rFonts w:hint="eastAsia" w:ascii="宋体" w:hAnsi="宋体" w:cs="宋体"/>
                <w:b/>
                <w:color w:val="auto"/>
                <w:sz w:val="28"/>
                <w:szCs w:val="28"/>
                <w:highlight w:val="none"/>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50"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134"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560"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资格/职称</w:t>
            </w:r>
          </w:p>
        </w:tc>
        <w:tc>
          <w:tcPr>
            <w:tcW w:w="1701" w:type="dxa"/>
            <w:noWrap w:val="0"/>
            <w:vAlign w:val="top"/>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在本行业从业 工作年限</w:t>
            </w:r>
          </w:p>
        </w:tc>
        <w:tc>
          <w:tcPr>
            <w:tcW w:w="2971" w:type="dxa"/>
            <w:gridSpan w:val="2"/>
            <w:tcBorders>
              <w:right w:val="single" w:color="auto" w:sz="12" w:space="0"/>
            </w:tcBorders>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134"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560"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701"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2971" w:type="dxa"/>
            <w:gridSpan w:val="2"/>
            <w:tcBorders>
              <w:bottom w:val="single" w:color="auto" w:sz="4" w:space="0"/>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134"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560"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701"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2971" w:type="dxa"/>
            <w:gridSpan w:val="2"/>
            <w:tcBorders>
              <w:bottom w:val="single" w:color="auto" w:sz="12" w:space="0"/>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0"/>
            <w:vAlign w:val="center"/>
          </w:tcPr>
          <w:p>
            <w:pPr>
              <w:pStyle w:val="6"/>
              <w:ind w:firstLine="0"/>
              <w:rPr>
                <w:rFonts w:hint="eastAsia" w:ascii="宋体" w:hAnsi="宋体" w:cs="宋体"/>
                <w:b/>
                <w:color w:val="auto"/>
                <w:sz w:val="28"/>
                <w:szCs w:val="28"/>
                <w:highlight w:val="none"/>
              </w:rPr>
            </w:pPr>
            <w:r>
              <w:rPr>
                <w:rFonts w:hint="eastAsia" w:ascii="宋体" w:hAnsi="宋体" w:cs="宋体"/>
                <w:b/>
                <w:color w:val="auto"/>
                <w:sz w:val="28"/>
                <w:szCs w:val="28"/>
                <w:highlight w:val="none"/>
              </w:rPr>
              <w:t>2.管理人员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50"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134"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560"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资格/职称</w:t>
            </w:r>
          </w:p>
        </w:tc>
        <w:tc>
          <w:tcPr>
            <w:tcW w:w="1701"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color w:val="auto"/>
                <w:szCs w:val="21"/>
                <w:highlight w:val="none"/>
              </w:rPr>
              <w:t>在本行业从业 工作年限</w:t>
            </w:r>
          </w:p>
        </w:tc>
        <w:tc>
          <w:tcPr>
            <w:tcW w:w="1984"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color w:val="auto"/>
                <w:szCs w:val="21"/>
                <w:highlight w:val="none"/>
              </w:rPr>
              <w:t>主要工作业绩</w:t>
            </w:r>
          </w:p>
        </w:tc>
        <w:tc>
          <w:tcPr>
            <w:tcW w:w="987" w:type="dxa"/>
            <w:tcBorders>
              <w:right w:val="single" w:color="auto" w:sz="12" w:space="0"/>
            </w:tcBorders>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当前</w:t>
            </w:r>
          </w:p>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noWrap w:val="0"/>
            <w:vAlign w:val="top"/>
          </w:tcPr>
          <w:p>
            <w:pPr>
              <w:pStyle w:val="6"/>
              <w:ind w:firstLine="0"/>
              <w:jc w:val="left"/>
              <w:rPr>
                <w:rFonts w:hint="eastAsia" w:ascii="宋体" w:hAnsi="宋体" w:cs="宋体"/>
                <w:b/>
                <w:color w:val="auto"/>
                <w:sz w:val="28"/>
                <w:szCs w:val="28"/>
                <w:highlight w:val="none"/>
              </w:rPr>
            </w:pPr>
          </w:p>
        </w:tc>
        <w:tc>
          <w:tcPr>
            <w:tcW w:w="1134" w:type="dxa"/>
            <w:noWrap w:val="0"/>
            <w:vAlign w:val="top"/>
          </w:tcPr>
          <w:p>
            <w:pPr>
              <w:pStyle w:val="6"/>
              <w:ind w:firstLine="0"/>
              <w:jc w:val="left"/>
              <w:rPr>
                <w:rFonts w:hint="eastAsia" w:ascii="宋体" w:hAnsi="宋体" w:cs="宋体"/>
                <w:b/>
                <w:color w:val="auto"/>
                <w:sz w:val="28"/>
                <w:szCs w:val="28"/>
                <w:highlight w:val="none"/>
              </w:rPr>
            </w:pPr>
          </w:p>
        </w:tc>
        <w:tc>
          <w:tcPr>
            <w:tcW w:w="1560" w:type="dxa"/>
            <w:noWrap w:val="0"/>
            <w:vAlign w:val="top"/>
          </w:tcPr>
          <w:p>
            <w:pPr>
              <w:pStyle w:val="6"/>
              <w:ind w:firstLine="0"/>
              <w:jc w:val="left"/>
              <w:rPr>
                <w:rFonts w:hint="eastAsia" w:ascii="宋体" w:hAnsi="宋体" w:cs="宋体"/>
                <w:b/>
                <w:color w:val="auto"/>
                <w:sz w:val="28"/>
                <w:szCs w:val="28"/>
                <w:highlight w:val="none"/>
              </w:rPr>
            </w:pPr>
          </w:p>
        </w:tc>
        <w:tc>
          <w:tcPr>
            <w:tcW w:w="1701" w:type="dxa"/>
            <w:noWrap w:val="0"/>
            <w:vAlign w:val="top"/>
          </w:tcPr>
          <w:p>
            <w:pPr>
              <w:pStyle w:val="6"/>
              <w:ind w:firstLine="0"/>
              <w:jc w:val="left"/>
              <w:rPr>
                <w:rFonts w:hint="eastAsia" w:ascii="宋体" w:hAnsi="宋体" w:cs="宋体"/>
                <w:b/>
                <w:color w:val="auto"/>
                <w:sz w:val="28"/>
                <w:szCs w:val="28"/>
                <w:highlight w:val="none"/>
              </w:rPr>
            </w:pPr>
          </w:p>
        </w:tc>
        <w:tc>
          <w:tcPr>
            <w:tcW w:w="1984" w:type="dxa"/>
            <w:noWrap w:val="0"/>
            <w:vAlign w:val="top"/>
          </w:tcPr>
          <w:p>
            <w:pPr>
              <w:pStyle w:val="6"/>
              <w:ind w:firstLine="0"/>
              <w:jc w:val="left"/>
              <w:rPr>
                <w:rFonts w:hint="eastAsia" w:ascii="宋体" w:hAnsi="宋体" w:cs="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noWrap w:val="0"/>
            <w:vAlign w:val="top"/>
          </w:tcPr>
          <w:p>
            <w:pPr>
              <w:pStyle w:val="6"/>
              <w:ind w:firstLine="0"/>
              <w:jc w:val="left"/>
              <w:rPr>
                <w:rFonts w:hint="eastAsia" w:ascii="宋体" w:hAnsi="宋体" w:cs="宋体"/>
                <w:b/>
                <w:color w:val="auto"/>
                <w:sz w:val="28"/>
                <w:szCs w:val="28"/>
                <w:highlight w:val="none"/>
              </w:rPr>
            </w:pPr>
          </w:p>
        </w:tc>
        <w:tc>
          <w:tcPr>
            <w:tcW w:w="1134" w:type="dxa"/>
            <w:noWrap w:val="0"/>
            <w:vAlign w:val="top"/>
          </w:tcPr>
          <w:p>
            <w:pPr>
              <w:pStyle w:val="6"/>
              <w:ind w:firstLine="0"/>
              <w:jc w:val="left"/>
              <w:rPr>
                <w:rFonts w:hint="eastAsia" w:ascii="宋体" w:hAnsi="宋体" w:cs="宋体"/>
                <w:b/>
                <w:color w:val="auto"/>
                <w:sz w:val="28"/>
                <w:szCs w:val="28"/>
                <w:highlight w:val="none"/>
              </w:rPr>
            </w:pPr>
          </w:p>
        </w:tc>
        <w:tc>
          <w:tcPr>
            <w:tcW w:w="1560" w:type="dxa"/>
            <w:noWrap w:val="0"/>
            <w:vAlign w:val="top"/>
          </w:tcPr>
          <w:p>
            <w:pPr>
              <w:pStyle w:val="6"/>
              <w:ind w:firstLine="0"/>
              <w:jc w:val="left"/>
              <w:rPr>
                <w:rFonts w:hint="eastAsia" w:ascii="宋体" w:hAnsi="宋体" w:cs="宋体"/>
                <w:b/>
                <w:color w:val="auto"/>
                <w:sz w:val="28"/>
                <w:szCs w:val="28"/>
                <w:highlight w:val="none"/>
              </w:rPr>
            </w:pPr>
          </w:p>
        </w:tc>
        <w:tc>
          <w:tcPr>
            <w:tcW w:w="1701" w:type="dxa"/>
            <w:noWrap w:val="0"/>
            <w:vAlign w:val="top"/>
          </w:tcPr>
          <w:p>
            <w:pPr>
              <w:pStyle w:val="6"/>
              <w:ind w:firstLine="0"/>
              <w:jc w:val="left"/>
              <w:rPr>
                <w:rFonts w:hint="eastAsia" w:ascii="宋体" w:hAnsi="宋体" w:cs="宋体"/>
                <w:b/>
                <w:color w:val="auto"/>
                <w:sz w:val="28"/>
                <w:szCs w:val="28"/>
                <w:highlight w:val="none"/>
              </w:rPr>
            </w:pPr>
          </w:p>
        </w:tc>
        <w:tc>
          <w:tcPr>
            <w:tcW w:w="1984" w:type="dxa"/>
            <w:noWrap w:val="0"/>
            <w:vAlign w:val="top"/>
          </w:tcPr>
          <w:p>
            <w:pPr>
              <w:pStyle w:val="6"/>
              <w:ind w:firstLine="0"/>
              <w:jc w:val="left"/>
              <w:rPr>
                <w:rFonts w:hint="eastAsia" w:ascii="宋体" w:hAnsi="宋体" w:cs="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noWrap w:val="0"/>
            <w:vAlign w:val="top"/>
          </w:tcPr>
          <w:p>
            <w:pPr>
              <w:pStyle w:val="6"/>
              <w:ind w:firstLine="0"/>
              <w:jc w:val="left"/>
              <w:rPr>
                <w:rFonts w:hint="eastAsia" w:ascii="宋体" w:hAnsi="宋体" w:cs="宋体"/>
                <w:b/>
                <w:color w:val="auto"/>
                <w:sz w:val="28"/>
                <w:szCs w:val="28"/>
                <w:highlight w:val="none"/>
              </w:rPr>
            </w:pPr>
          </w:p>
        </w:tc>
        <w:tc>
          <w:tcPr>
            <w:tcW w:w="1134" w:type="dxa"/>
            <w:noWrap w:val="0"/>
            <w:vAlign w:val="top"/>
          </w:tcPr>
          <w:p>
            <w:pPr>
              <w:pStyle w:val="6"/>
              <w:ind w:firstLine="0"/>
              <w:jc w:val="left"/>
              <w:rPr>
                <w:rFonts w:hint="eastAsia" w:ascii="宋体" w:hAnsi="宋体" w:cs="宋体"/>
                <w:b/>
                <w:color w:val="auto"/>
                <w:sz w:val="28"/>
                <w:szCs w:val="28"/>
                <w:highlight w:val="none"/>
              </w:rPr>
            </w:pPr>
          </w:p>
        </w:tc>
        <w:tc>
          <w:tcPr>
            <w:tcW w:w="1560" w:type="dxa"/>
            <w:noWrap w:val="0"/>
            <w:vAlign w:val="top"/>
          </w:tcPr>
          <w:p>
            <w:pPr>
              <w:pStyle w:val="6"/>
              <w:ind w:firstLine="0"/>
              <w:jc w:val="left"/>
              <w:rPr>
                <w:rFonts w:hint="eastAsia" w:ascii="宋体" w:hAnsi="宋体" w:cs="宋体"/>
                <w:b/>
                <w:color w:val="auto"/>
                <w:sz w:val="28"/>
                <w:szCs w:val="28"/>
                <w:highlight w:val="none"/>
              </w:rPr>
            </w:pPr>
          </w:p>
        </w:tc>
        <w:tc>
          <w:tcPr>
            <w:tcW w:w="1701" w:type="dxa"/>
            <w:noWrap w:val="0"/>
            <w:vAlign w:val="top"/>
          </w:tcPr>
          <w:p>
            <w:pPr>
              <w:pStyle w:val="6"/>
              <w:ind w:firstLine="0"/>
              <w:jc w:val="left"/>
              <w:rPr>
                <w:rFonts w:hint="eastAsia" w:ascii="宋体" w:hAnsi="宋体" w:cs="宋体"/>
                <w:b/>
                <w:color w:val="auto"/>
                <w:sz w:val="28"/>
                <w:szCs w:val="28"/>
                <w:highlight w:val="none"/>
              </w:rPr>
            </w:pPr>
          </w:p>
        </w:tc>
        <w:tc>
          <w:tcPr>
            <w:tcW w:w="1984" w:type="dxa"/>
            <w:noWrap w:val="0"/>
            <w:vAlign w:val="top"/>
          </w:tcPr>
          <w:p>
            <w:pPr>
              <w:pStyle w:val="6"/>
              <w:ind w:firstLine="0"/>
              <w:jc w:val="left"/>
              <w:rPr>
                <w:rFonts w:hint="eastAsia" w:ascii="宋体" w:hAnsi="宋体" w:cs="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noWrap w:val="0"/>
            <w:vAlign w:val="top"/>
          </w:tcPr>
          <w:p>
            <w:pPr>
              <w:pStyle w:val="6"/>
              <w:ind w:firstLine="0"/>
              <w:jc w:val="left"/>
              <w:rPr>
                <w:rFonts w:hint="eastAsia" w:ascii="宋体" w:hAnsi="宋体" w:cs="宋体"/>
                <w:b/>
                <w:color w:val="auto"/>
                <w:sz w:val="28"/>
                <w:szCs w:val="28"/>
                <w:highlight w:val="none"/>
              </w:rPr>
            </w:pPr>
          </w:p>
        </w:tc>
        <w:tc>
          <w:tcPr>
            <w:tcW w:w="1134" w:type="dxa"/>
            <w:noWrap w:val="0"/>
            <w:vAlign w:val="top"/>
          </w:tcPr>
          <w:p>
            <w:pPr>
              <w:pStyle w:val="6"/>
              <w:ind w:firstLine="0"/>
              <w:jc w:val="left"/>
              <w:rPr>
                <w:rFonts w:hint="eastAsia" w:ascii="宋体" w:hAnsi="宋体" w:cs="宋体"/>
                <w:b/>
                <w:color w:val="auto"/>
                <w:sz w:val="28"/>
                <w:szCs w:val="28"/>
                <w:highlight w:val="none"/>
              </w:rPr>
            </w:pPr>
          </w:p>
        </w:tc>
        <w:tc>
          <w:tcPr>
            <w:tcW w:w="1560" w:type="dxa"/>
            <w:noWrap w:val="0"/>
            <w:vAlign w:val="top"/>
          </w:tcPr>
          <w:p>
            <w:pPr>
              <w:pStyle w:val="6"/>
              <w:ind w:firstLine="0"/>
              <w:jc w:val="left"/>
              <w:rPr>
                <w:rFonts w:hint="eastAsia" w:ascii="宋体" w:hAnsi="宋体" w:cs="宋体"/>
                <w:b/>
                <w:color w:val="auto"/>
                <w:sz w:val="28"/>
                <w:szCs w:val="28"/>
                <w:highlight w:val="none"/>
              </w:rPr>
            </w:pPr>
          </w:p>
        </w:tc>
        <w:tc>
          <w:tcPr>
            <w:tcW w:w="1701" w:type="dxa"/>
            <w:noWrap w:val="0"/>
            <w:vAlign w:val="top"/>
          </w:tcPr>
          <w:p>
            <w:pPr>
              <w:pStyle w:val="6"/>
              <w:ind w:firstLine="0"/>
              <w:jc w:val="left"/>
              <w:rPr>
                <w:rFonts w:hint="eastAsia" w:ascii="宋体" w:hAnsi="宋体" w:cs="宋体"/>
                <w:b/>
                <w:color w:val="auto"/>
                <w:sz w:val="28"/>
                <w:szCs w:val="28"/>
                <w:highlight w:val="none"/>
              </w:rPr>
            </w:pPr>
          </w:p>
        </w:tc>
        <w:tc>
          <w:tcPr>
            <w:tcW w:w="1984" w:type="dxa"/>
            <w:noWrap w:val="0"/>
            <w:vAlign w:val="top"/>
          </w:tcPr>
          <w:p>
            <w:pPr>
              <w:pStyle w:val="6"/>
              <w:ind w:firstLine="0"/>
              <w:jc w:val="left"/>
              <w:rPr>
                <w:rFonts w:hint="eastAsia" w:ascii="宋体" w:hAnsi="宋体" w:cs="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3.技术人员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50"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134"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560"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资格/职称</w:t>
            </w:r>
          </w:p>
        </w:tc>
        <w:tc>
          <w:tcPr>
            <w:tcW w:w="1701"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color w:val="auto"/>
                <w:szCs w:val="21"/>
                <w:highlight w:val="none"/>
              </w:rPr>
              <w:t>在本行业从业 工作年限</w:t>
            </w:r>
          </w:p>
        </w:tc>
        <w:tc>
          <w:tcPr>
            <w:tcW w:w="1984"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color w:val="auto"/>
                <w:szCs w:val="21"/>
                <w:highlight w:val="none"/>
              </w:rPr>
              <w:t>主要工作业绩</w:t>
            </w:r>
          </w:p>
        </w:tc>
        <w:tc>
          <w:tcPr>
            <w:tcW w:w="987" w:type="dxa"/>
            <w:tcBorders>
              <w:right w:val="single" w:color="auto" w:sz="12" w:space="0"/>
            </w:tcBorders>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当前</w:t>
            </w:r>
          </w:p>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134"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560"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701"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984"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134"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560"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701"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984"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134"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560"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701"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1984" w:type="dxa"/>
            <w:tcBorders>
              <w:bottom w:val="single" w:color="auto" w:sz="4" w:space="0"/>
            </w:tcBorders>
            <w:noWrap w:val="0"/>
            <w:vAlign w:val="top"/>
          </w:tcPr>
          <w:p>
            <w:pPr>
              <w:pStyle w:val="6"/>
              <w:ind w:firstLine="0"/>
              <w:jc w:val="left"/>
              <w:rPr>
                <w:rFonts w:hint="eastAsia" w:ascii="宋体" w:hAnsi="宋体" w:cs="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134"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560"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701"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984"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987" w:type="dxa"/>
            <w:tcBorders>
              <w:bottom w:val="single" w:color="auto" w:sz="12" w:space="0"/>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0"/>
            <w:vAlign w:val="center"/>
          </w:tcPr>
          <w:p>
            <w:pPr>
              <w:pStyle w:val="6"/>
              <w:ind w:firstLine="0"/>
              <w:rPr>
                <w:rFonts w:hint="eastAsia" w:ascii="宋体" w:hAnsi="宋体" w:cs="宋体"/>
                <w:b/>
                <w:color w:val="auto"/>
                <w:sz w:val="28"/>
                <w:szCs w:val="28"/>
                <w:highlight w:val="none"/>
              </w:rPr>
            </w:pPr>
            <w:r>
              <w:rPr>
                <w:rFonts w:hint="eastAsia" w:ascii="宋体" w:hAnsi="宋体" w:cs="宋体"/>
                <w:b/>
                <w:color w:val="auto"/>
                <w:sz w:val="28"/>
                <w:szCs w:val="28"/>
                <w:highlight w:val="none"/>
              </w:rPr>
              <w:t>4.辅助人员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50"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134"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560" w:type="dxa"/>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资格/职称</w:t>
            </w:r>
          </w:p>
        </w:tc>
        <w:tc>
          <w:tcPr>
            <w:tcW w:w="1701"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color w:val="auto"/>
                <w:szCs w:val="21"/>
                <w:highlight w:val="none"/>
              </w:rPr>
              <w:t>在本行业从业 工作年限</w:t>
            </w:r>
          </w:p>
        </w:tc>
        <w:tc>
          <w:tcPr>
            <w:tcW w:w="1984" w:type="dxa"/>
            <w:noWrap w:val="0"/>
            <w:vAlign w:val="center"/>
          </w:tcPr>
          <w:p>
            <w:pPr>
              <w:pStyle w:val="6"/>
              <w:ind w:firstLine="0"/>
              <w:jc w:val="center"/>
              <w:rPr>
                <w:rFonts w:hint="eastAsia" w:ascii="宋体" w:hAnsi="宋体" w:cs="宋体"/>
                <w:b/>
                <w:color w:val="auto"/>
                <w:szCs w:val="21"/>
                <w:highlight w:val="none"/>
              </w:rPr>
            </w:pPr>
            <w:r>
              <w:rPr>
                <w:rFonts w:hint="eastAsia" w:ascii="宋体" w:hAnsi="宋体" w:cs="宋体"/>
                <w:color w:val="auto"/>
                <w:szCs w:val="21"/>
                <w:highlight w:val="none"/>
              </w:rPr>
              <w:t>主要工作业绩</w:t>
            </w:r>
          </w:p>
        </w:tc>
        <w:tc>
          <w:tcPr>
            <w:tcW w:w="987" w:type="dxa"/>
            <w:tcBorders>
              <w:right w:val="single" w:color="auto" w:sz="12" w:space="0"/>
            </w:tcBorders>
            <w:noWrap w:val="0"/>
            <w:vAlign w:val="center"/>
          </w:tcPr>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当前</w:t>
            </w:r>
          </w:p>
          <w:p>
            <w:pPr>
              <w:pStyle w:val="6"/>
              <w:ind w:firstLine="0"/>
              <w:jc w:val="center"/>
              <w:rPr>
                <w:rFonts w:hint="eastAsia" w:ascii="宋体" w:hAnsi="宋体" w:cs="宋体"/>
                <w:color w:val="auto"/>
                <w:szCs w:val="21"/>
                <w:highlight w:val="none"/>
              </w:rPr>
            </w:pPr>
            <w:r>
              <w:rPr>
                <w:rFonts w:hint="eastAsia" w:ascii="宋体" w:hAnsi="宋体" w:cs="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noWrap w:val="0"/>
            <w:vAlign w:val="top"/>
          </w:tcPr>
          <w:p>
            <w:pPr>
              <w:pStyle w:val="6"/>
              <w:ind w:firstLine="0"/>
              <w:jc w:val="left"/>
              <w:rPr>
                <w:rFonts w:hint="eastAsia" w:ascii="宋体" w:hAnsi="宋体" w:cs="宋体"/>
                <w:b/>
                <w:color w:val="auto"/>
                <w:sz w:val="28"/>
                <w:szCs w:val="28"/>
                <w:highlight w:val="none"/>
              </w:rPr>
            </w:pPr>
          </w:p>
        </w:tc>
        <w:tc>
          <w:tcPr>
            <w:tcW w:w="1134" w:type="dxa"/>
            <w:noWrap w:val="0"/>
            <w:vAlign w:val="top"/>
          </w:tcPr>
          <w:p>
            <w:pPr>
              <w:pStyle w:val="6"/>
              <w:ind w:firstLine="0"/>
              <w:jc w:val="left"/>
              <w:rPr>
                <w:rFonts w:hint="eastAsia" w:ascii="宋体" w:hAnsi="宋体" w:cs="宋体"/>
                <w:b/>
                <w:color w:val="auto"/>
                <w:sz w:val="28"/>
                <w:szCs w:val="28"/>
                <w:highlight w:val="none"/>
              </w:rPr>
            </w:pPr>
          </w:p>
        </w:tc>
        <w:tc>
          <w:tcPr>
            <w:tcW w:w="1560" w:type="dxa"/>
            <w:noWrap w:val="0"/>
            <w:vAlign w:val="top"/>
          </w:tcPr>
          <w:p>
            <w:pPr>
              <w:pStyle w:val="6"/>
              <w:ind w:firstLine="0"/>
              <w:jc w:val="left"/>
              <w:rPr>
                <w:rFonts w:hint="eastAsia" w:ascii="宋体" w:hAnsi="宋体" w:cs="宋体"/>
                <w:b/>
                <w:color w:val="auto"/>
                <w:sz w:val="28"/>
                <w:szCs w:val="28"/>
                <w:highlight w:val="none"/>
              </w:rPr>
            </w:pPr>
          </w:p>
        </w:tc>
        <w:tc>
          <w:tcPr>
            <w:tcW w:w="1701" w:type="dxa"/>
            <w:noWrap w:val="0"/>
            <w:vAlign w:val="top"/>
          </w:tcPr>
          <w:p>
            <w:pPr>
              <w:pStyle w:val="6"/>
              <w:ind w:firstLine="0"/>
              <w:jc w:val="left"/>
              <w:rPr>
                <w:rFonts w:hint="eastAsia" w:ascii="宋体" w:hAnsi="宋体" w:cs="宋体"/>
                <w:b/>
                <w:color w:val="auto"/>
                <w:sz w:val="28"/>
                <w:szCs w:val="28"/>
                <w:highlight w:val="none"/>
              </w:rPr>
            </w:pPr>
          </w:p>
        </w:tc>
        <w:tc>
          <w:tcPr>
            <w:tcW w:w="1984" w:type="dxa"/>
            <w:noWrap w:val="0"/>
            <w:vAlign w:val="top"/>
          </w:tcPr>
          <w:p>
            <w:pPr>
              <w:pStyle w:val="6"/>
              <w:ind w:firstLine="0"/>
              <w:jc w:val="left"/>
              <w:rPr>
                <w:rFonts w:hint="eastAsia" w:ascii="宋体" w:hAnsi="宋体" w:cs="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noWrap w:val="0"/>
            <w:vAlign w:val="top"/>
          </w:tcPr>
          <w:p>
            <w:pPr>
              <w:pStyle w:val="6"/>
              <w:ind w:firstLine="0"/>
              <w:jc w:val="left"/>
              <w:rPr>
                <w:rFonts w:hint="eastAsia" w:ascii="宋体" w:hAnsi="宋体" w:cs="宋体"/>
                <w:b/>
                <w:color w:val="auto"/>
                <w:sz w:val="28"/>
                <w:szCs w:val="28"/>
                <w:highlight w:val="none"/>
              </w:rPr>
            </w:pPr>
          </w:p>
        </w:tc>
        <w:tc>
          <w:tcPr>
            <w:tcW w:w="1134" w:type="dxa"/>
            <w:noWrap w:val="0"/>
            <w:vAlign w:val="top"/>
          </w:tcPr>
          <w:p>
            <w:pPr>
              <w:pStyle w:val="6"/>
              <w:ind w:firstLine="0"/>
              <w:jc w:val="left"/>
              <w:rPr>
                <w:rFonts w:hint="eastAsia" w:ascii="宋体" w:hAnsi="宋体" w:cs="宋体"/>
                <w:b/>
                <w:color w:val="auto"/>
                <w:sz w:val="28"/>
                <w:szCs w:val="28"/>
                <w:highlight w:val="none"/>
              </w:rPr>
            </w:pPr>
          </w:p>
        </w:tc>
        <w:tc>
          <w:tcPr>
            <w:tcW w:w="1560" w:type="dxa"/>
            <w:noWrap w:val="0"/>
            <w:vAlign w:val="top"/>
          </w:tcPr>
          <w:p>
            <w:pPr>
              <w:pStyle w:val="6"/>
              <w:ind w:firstLine="0"/>
              <w:jc w:val="left"/>
              <w:rPr>
                <w:rFonts w:hint="eastAsia" w:ascii="宋体" w:hAnsi="宋体" w:cs="宋体"/>
                <w:b/>
                <w:color w:val="auto"/>
                <w:sz w:val="28"/>
                <w:szCs w:val="28"/>
                <w:highlight w:val="none"/>
              </w:rPr>
            </w:pPr>
          </w:p>
        </w:tc>
        <w:tc>
          <w:tcPr>
            <w:tcW w:w="1701" w:type="dxa"/>
            <w:noWrap w:val="0"/>
            <w:vAlign w:val="top"/>
          </w:tcPr>
          <w:p>
            <w:pPr>
              <w:pStyle w:val="6"/>
              <w:ind w:firstLine="0"/>
              <w:jc w:val="left"/>
              <w:rPr>
                <w:rFonts w:hint="eastAsia" w:ascii="宋体" w:hAnsi="宋体" w:cs="宋体"/>
                <w:b/>
                <w:color w:val="auto"/>
                <w:sz w:val="28"/>
                <w:szCs w:val="28"/>
                <w:highlight w:val="none"/>
              </w:rPr>
            </w:pPr>
          </w:p>
        </w:tc>
        <w:tc>
          <w:tcPr>
            <w:tcW w:w="1984" w:type="dxa"/>
            <w:noWrap w:val="0"/>
            <w:vAlign w:val="top"/>
          </w:tcPr>
          <w:p>
            <w:pPr>
              <w:pStyle w:val="6"/>
              <w:ind w:firstLine="0"/>
              <w:jc w:val="left"/>
              <w:rPr>
                <w:rFonts w:hint="eastAsia" w:ascii="宋体" w:hAnsi="宋体" w:cs="宋体"/>
                <w:b/>
                <w:color w:val="auto"/>
                <w:sz w:val="28"/>
                <w:szCs w:val="28"/>
                <w:highlight w:val="none"/>
              </w:rPr>
            </w:pPr>
          </w:p>
        </w:tc>
        <w:tc>
          <w:tcPr>
            <w:tcW w:w="987" w:type="dxa"/>
            <w:tcBorders>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850"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134"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560"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701"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1984" w:type="dxa"/>
            <w:tcBorders>
              <w:bottom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c>
          <w:tcPr>
            <w:tcW w:w="987" w:type="dxa"/>
            <w:tcBorders>
              <w:bottom w:val="single" w:color="auto" w:sz="12" w:space="0"/>
              <w:right w:val="single" w:color="auto" w:sz="12" w:space="0"/>
            </w:tcBorders>
            <w:noWrap w:val="0"/>
            <w:vAlign w:val="top"/>
          </w:tcPr>
          <w:p>
            <w:pPr>
              <w:pStyle w:val="6"/>
              <w:ind w:firstLine="0"/>
              <w:jc w:val="left"/>
              <w:rPr>
                <w:rFonts w:hint="eastAsia" w:ascii="宋体" w:hAnsi="宋体" w:cs="宋体"/>
                <w:b/>
                <w:color w:val="auto"/>
                <w:sz w:val="28"/>
                <w:szCs w:val="28"/>
                <w:highlight w:val="none"/>
              </w:rPr>
            </w:pPr>
          </w:p>
        </w:tc>
      </w:tr>
    </w:tbl>
    <w:p>
      <w:pPr>
        <w:pStyle w:val="6"/>
        <w:ind w:firstLine="0"/>
        <w:jc w:val="left"/>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pStyle w:val="6"/>
        <w:ind w:firstLine="0"/>
        <w:jc w:val="left"/>
        <w:rPr>
          <w:rFonts w:hint="eastAsia" w:ascii="宋体" w:hAnsi="宋体" w:cs="宋体"/>
          <w:b/>
          <w:color w:val="auto"/>
          <w:sz w:val="24"/>
          <w:szCs w:val="24"/>
          <w:highlight w:val="none"/>
        </w:rPr>
      </w:pPr>
      <w:r>
        <w:rPr>
          <w:rFonts w:hint="eastAsia" w:ascii="楷体" w:hAnsi="楷体" w:eastAsia="楷体"/>
          <w:color w:val="auto"/>
          <w:szCs w:val="21"/>
          <w:highlight w:val="none"/>
        </w:rPr>
        <w:t xml:space="preserve"> 1.职务是指在本单位所担任的职务；2.附投标人依据《中华人民共和国劳动法》与项目组实施人员订立的劳动合同复印件，若人员超过15人时，可以提供承诺书；3.需要补充的材料可另纸说明。</w:t>
      </w:r>
    </w:p>
    <w:p>
      <w:pPr>
        <w:rPr>
          <w:rFonts w:hint="eastAsia" w:ascii="宋体" w:hAnsi="宋体" w:cs="宋体"/>
          <w:b/>
          <w:color w:val="auto"/>
          <w:sz w:val="24"/>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（盖单位章）</w:t>
      </w: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u w:val="single"/>
        </w:rPr>
      </w:pPr>
      <w:r>
        <w:rPr>
          <w:rFonts w:hint="eastAsia" w:ascii="宋体" w:hAnsi="宋体" w:cs="宋体"/>
          <w:color w:val="auto"/>
          <w:szCs w:val="21"/>
          <w:highlight w:val="none"/>
        </w:rPr>
        <w:t>日    期：20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p>
    <w:p>
      <w:pPr>
        <w:rPr>
          <w:rFonts w:ascii="宋体" w:hAnsi="宋体" w:cs="宋体"/>
          <w:b/>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spacing w:line="480" w:lineRule="auto"/>
        <w:jc w:val="center"/>
        <w:rPr>
          <w:rFonts w:hint="eastAsia" w:ascii="宋体" w:hAnsi="宋体" w:cs="宋体"/>
          <w:b/>
          <w:color w:val="auto"/>
          <w:szCs w:val="21"/>
          <w:highlight w:val="none"/>
        </w:rPr>
      </w:pPr>
      <w:r>
        <w:rPr>
          <w:rFonts w:hint="eastAsia" w:ascii="宋体" w:hAnsi="宋体" w:cs="宋体"/>
          <w:b/>
          <w:color w:val="auto"/>
          <w:sz w:val="36"/>
          <w:szCs w:val="36"/>
          <w:highlight w:val="none"/>
        </w:rPr>
        <w:t>9.投标声明书</w:t>
      </w:r>
    </w:p>
    <w:p>
      <w:pPr>
        <w:spacing w:line="480" w:lineRule="auto"/>
        <w:rPr>
          <w:rFonts w:hint="eastAsia" w:ascii="宋体" w:hAnsi="宋体" w:cs="宋体"/>
          <w:b/>
          <w:color w:val="auto"/>
          <w:szCs w:val="21"/>
          <w:highlight w:val="none"/>
        </w:rPr>
      </w:pPr>
      <w:r>
        <w:rPr>
          <w:rFonts w:hint="eastAsia" w:ascii="宋体" w:hAnsi="宋体" w:cs="宋体"/>
          <w:b/>
          <w:color w:val="auto"/>
          <w:szCs w:val="21"/>
          <w:highlight w:val="none"/>
          <w:lang w:eastAsia="zh-CN"/>
        </w:rPr>
        <w:t>陕西诺尔信项目管理有限公司</w:t>
      </w:r>
      <w:r>
        <w:rPr>
          <w:rFonts w:hint="eastAsia" w:ascii="宋体" w:hAnsi="宋体" w:cs="宋体"/>
          <w:b/>
          <w:color w:val="auto"/>
          <w:szCs w:val="21"/>
          <w:highlight w:val="none"/>
        </w:rPr>
        <w:t>：</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（投标人），就参加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采购项目（采购项目编号：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）投标事宜，在此郑重声明：</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rPr>
        <w:t>1.我方所提交的投标文件全部真实有效；</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.我方近3年来无违规违法经营受到责令停产(或停止经营)、吊销生产许可证（或经营许可证）、较大数额罚款（举行听证会）等行政处罚的情形存在；</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.我方无企业财产被查封、冻结或处于破产状态或严重亏损状态等情形存在；</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我方承诺在投标过程中，保证不予其他单位围标、串标，不出让投标资格，不采取不正当手段诋毁、排挤其他投标人，不向招标人、招标代理机构、评标委员会成员行贿；</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.我方参加政府采购活动近3年内，在经营活动中没有重大违法记录；</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olor w:val="auto"/>
          <w:szCs w:val="21"/>
          <w:highlight w:val="none"/>
        </w:rPr>
        <w:t xml:space="preserve"> 我方在投标时未列入政府采购严重违法失信行为记录名单、失信被执行人、重大税收违法案件当事人名单</w:t>
      </w:r>
      <w:r>
        <w:rPr>
          <w:rFonts w:hint="eastAsia" w:ascii="宋体" w:hAnsi="宋体" w:cs="宋体"/>
          <w:color w:val="auto"/>
          <w:szCs w:val="21"/>
          <w:highlight w:val="none"/>
        </w:rPr>
        <w:t>。</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rPr>
        <w:t>以上声明若有违反，一经查实，我方愿意接受政府有关部门的相应处罚，并愿意承担由此带来的法律后果。</w:t>
      </w:r>
    </w:p>
    <w:p>
      <w:pPr>
        <w:pStyle w:val="6"/>
        <w:spacing w:line="480" w:lineRule="auto"/>
        <w:ind w:firstLine="570"/>
        <w:rPr>
          <w:rFonts w:hint="eastAsia" w:ascii="宋体" w:hAnsi="宋体" w:cs="宋体"/>
          <w:color w:val="auto"/>
          <w:szCs w:val="21"/>
          <w:highlight w:val="none"/>
        </w:rPr>
      </w:pPr>
    </w:p>
    <w:p>
      <w:pPr>
        <w:pStyle w:val="6"/>
        <w:spacing w:line="480" w:lineRule="auto"/>
        <w:ind w:firstLine="570"/>
        <w:rPr>
          <w:rFonts w:hint="eastAsia" w:ascii="宋体" w:hAnsi="宋体" w:cs="宋体"/>
          <w:color w:val="auto"/>
          <w:szCs w:val="21"/>
          <w:highlight w:val="none"/>
        </w:rPr>
      </w:pPr>
      <w:r>
        <w:rPr>
          <w:rFonts w:hint="eastAsia" w:ascii="宋体" w:hAnsi="宋体" w:cs="宋体"/>
          <w:color w:val="auto"/>
          <w:szCs w:val="21"/>
          <w:highlight w:val="none"/>
        </w:rPr>
        <w:t>特此声明！</w:t>
      </w:r>
    </w:p>
    <w:p>
      <w:pPr>
        <w:pStyle w:val="6"/>
        <w:spacing w:line="480" w:lineRule="auto"/>
        <w:ind w:firstLine="570"/>
        <w:rPr>
          <w:rFonts w:hint="eastAsia" w:ascii="宋体" w:hAnsi="宋体" w:cs="宋体"/>
          <w:color w:val="auto"/>
          <w:szCs w:val="21"/>
          <w:highlight w:val="none"/>
        </w:rPr>
      </w:pPr>
    </w:p>
    <w:p>
      <w:pPr>
        <w:pStyle w:val="6"/>
        <w:spacing w:line="480" w:lineRule="auto"/>
        <w:ind w:firstLine="570"/>
        <w:rPr>
          <w:rFonts w:hint="eastAsia" w:ascii="宋体" w:hAnsi="宋体" w:cs="宋体"/>
          <w:color w:val="auto"/>
          <w:szCs w:val="21"/>
          <w:highlight w:val="none"/>
        </w:rPr>
      </w:pPr>
      <w:r>
        <w:rPr>
          <w:rFonts w:hint="eastAsia" w:ascii="宋体" w:hAnsi="宋体" w:cs="宋体"/>
          <w:color w:val="auto"/>
          <w:szCs w:val="21"/>
          <w:highlight w:val="none"/>
        </w:rPr>
        <w:t>声  明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(投标人名称、盖单位章)</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w:t>
      </w:r>
      <w:r>
        <w:rPr>
          <w:rFonts w:hint="eastAsia" w:ascii="宋体" w:hAnsi="宋体" w:cs="宋体"/>
          <w:color w:val="auto"/>
          <w:szCs w:val="21"/>
          <w:highlight w:val="none"/>
          <w:lang w:eastAsia="zh-CN"/>
        </w:rPr>
        <w:t>名</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pPr>
        <w:pStyle w:val="6"/>
        <w:spacing w:line="480" w:lineRule="auto"/>
        <w:ind w:firstLine="573"/>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auto"/>
        <w:ind w:firstLine="420" w:firstLineChars="200"/>
        <w:rPr>
          <w:rFonts w:hint="eastAsia" w:ascii="宋体" w:hAnsi="宋体" w:cs="宋体"/>
          <w:color w:val="auto"/>
          <w:szCs w:val="21"/>
          <w:highlight w:val="none"/>
        </w:rPr>
      </w:pPr>
    </w:p>
    <w:p>
      <w:pPr>
        <w:tabs>
          <w:tab w:val="left" w:pos="3600"/>
        </w:tabs>
        <w:adjustRightInd w:val="0"/>
        <w:snapToGrid w:val="0"/>
        <w:jc w:val="center"/>
        <w:rPr>
          <w:rFonts w:ascii="宋体" w:hAnsi="宋体" w:cs="宋体"/>
          <w:b/>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adjustRightInd w:val="0"/>
        <w:snapToGrid w:val="0"/>
        <w:spacing w:line="360" w:lineRule="auto"/>
        <w:jc w:val="center"/>
        <w:outlineLvl w:val="9"/>
        <w:rPr>
          <w:rFonts w:hint="eastAsia" w:ascii="方正小标宋简体" w:hAnsi="宋体" w:eastAsia="方正小标宋简体"/>
          <w:color w:val="auto"/>
          <w:sz w:val="40"/>
          <w:szCs w:val="40"/>
          <w:highlight w:val="none"/>
        </w:rPr>
      </w:pPr>
      <w:bookmarkStart w:id="172" w:name="_Toc12355"/>
      <w:r>
        <w:rPr>
          <w:rFonts w:hint="eastAsia" w:ascii="方正小标宋简体" w:hAnsi="宋体" w:eastAsia="方正小标宋简体"/>
          <w:color w:val="auto"/>
          <w:sz w:val="40"/>
          <w:szCs w:val="40"/>
          <w:highlight w:val="none"/>
          <w:lang w:eastAsia="zh-CN"/>
        </w:rPr>
        <w:t>二、</w:t>
      </w:r>
      <w:r>
        <w:rPr>
          <w:rFonts w:hint="eastAsia" w:ascii="方正小标宋简体" w:hAnsi="宋体" w:eastAsia="方正小标宋简体"/>
          <w:color w:val="auto"/>
          <w:sz w:val="40"/>
          <w:szCs w:val="40"/>
          <w:highlight w:val="none"/>
        </w:rPr>
        <w:t>投标人落实政府采购政策资格条件证明材料</w:t>
      </w:r>
      <w:bookmarkEnd w:id="172"/>
    </w:p>
    <w:p>
      <w:pPr>
        <w:tabs>
          <w:tab w:val="left" w:pos="3600"/>
        </w:tabs>
        <w:adjustRightInd w:val="0"/>
        <w:snapToGrid w:val="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val="en-US" w:eastAsia="zh-CN"/>
        </w:rPr>
        <w:t>0</w:t>
      </w:r>
      <w:r>
        <w:rPr>
          <w:rFonts w:hint="eastAsia" w:ascii="黑体" w:hAnsi="宋体" w:eastAsia="黑体"/>
          <w:color w:val="auto"/>
          <w:sz w:val="36"/>
          <w:szCs w:val="36"/>
          <w:highlight w:val="none"/>
        </w:rPr>
        <w:t>.中小企业声明函</w:t>
      </w:r>
    </w:p>
    <w:p>
      <w:pPr>
        <w:spacing w:before="480"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本公司(联合体)郑重声明，根据《政府采购促进中小企业发展管理办法》(财库〔2020〕46 号)的规定，本公司(联合体)参加(</w:t>
      </w:r>
      <w:r>
        <w:rPr>
          <w:rFonts w:ascii="宋体" w:hAnsi="宋体"/>
          <w:color w:val="auto"/>
          <w:spacing w:val="6"/>
          <w:szCs w:val="21"/>
          <w:highlight w:val="none"/>
          <w:u w:val="single"/>
        </w:rPr>
        <w:t>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购</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人</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)的(</w:t>
      </w:r>
      <w:r>
        <w:rPr>
          <w:rFonts w:ascii="宋体" w:hAnsi="宋体"/>
          <w:color w:val="auto"/>
          <w:spacing w:val="6"/>
          <w:szCs w:val="21"/>
          <w:highlight w:val="none"/>
          <w:u w:val="single"/>
        </w:rPr>
        <w:t>项</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目</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)采购活动，服务全部由符合政策要求的中小企业承接。相关企业(含联合体中的中小企业)的具体情况如下:</w:t>
      </w:r>
    </w:p>
    <w:p>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 ，属于(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);承接企业为(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万元，属于(中型企业、小型企业、微型企业);</w:t>
      </w: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2</w:t>
      </w:r>
      <w:r>
        <w:rPr>
          <w:rFonts w:ascii="宋体" w:hAnsi="宋体"/>
          <w:color w:val="auto"/>
          <w:spacing w:val="6"/>
          <w:szCs w:val="21"/>
          <w:highlight w:val="none"/>
        </w:rPr>
        <w:t>.(</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 ，属于(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);承接企业为(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万元，属于(中型企业、小型企业、微型企业);</w:t>
      </w:r>
    </w:p>
    <w:p>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pPr>
        <w:spacing w:before="480"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 以上企业，不属于大企业的分支机构，不存在控股股东为大企业的情形，也不存在与大企业的负责人为同一人的情形。</w:t>
      </w:r>
    </w:p>
    <w:p>
      <w:pPr>
        <w:spacing w:before="480"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本企业对上述声明内容的真实性负责。如有虚假，将依法承担相应责任。</w:t>
      </w:r>
    </w:p>
    <w:p>
      <w:pPr>
        <w:spacing w:before="480" w:beforeLines="200" w:line="360" w:lineRule="auto"/>
        <w:rPr>
          <w:rFonts w:ascii="宋体" w:hAnsi="宋体"/>
          <w:color w:val="auto"/>
          <w:spacing w:val="6"/>
          <w:szCs w:val="21"/>
          <w:highlight w:val="none"/>
        </w:rPr>
      </w:pPr>
      <w:r>
        <w:rPr>
          <w:rFonts w:ascii="宋体" w:hAnsi="宋体"/>
          <w:color w:val="auto"/>
          <w:spacing w:val="6"/>
          <w:szCs w:val="21"/>
          <w:highlight w:val="none"/>
        </w:rPr>
        <w:t>企业名称：</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 xml:space="preserve">(盖章): </w:t>
      </w:r>
    </w:p>
    <w:p>
      <w:pPr>
        <w:spacing w:before="480" w:beforeLines="200" w:line="360" w:lineRule="auto"/>
        <w:rPr>
          <w:rFonts w:ascii="宋体" w:hAnsi="宋体"/>
          <w:color w:val="auto"/>
          <w:spacing w:val="6"/>
          <w:szCs w:val="21"/>
          <w:highlight w:val="none"/>
        </w:rPr>
      </w:pPr>
      <w:r>
        <w:rPr>
          <w:rFonts w:ascii="宋体" w:hAnsi="宋体"/>
          <w:color w:val="auto"/>
          <w:spacing w:val="6"/>
          <w:szCs w:val="21"/>
          <w:highlight w:val="none"/>
        </w:rPr>
        <w:t>日</w:t>
      </w:r>
      <w:r>
        <w:rPr>
          <w:rFonts w:hint="eastAsia" w:ascii="宋体" w:hAnsi="宋体"/>
          <w:color w:val="auto"/>
          <w:spacing w:val="6"/>
          <w:szCs w:val="21"/>
          <w:highlight w:val="none"/>
        </w:rPr>
        <w:t xml:space="preserve">   </w:t>
      </w:r>
      <w:r>
        <w:rPr>
          <w:rFonts w:ascii="宋体" w:hAnsi="宋体"/>
          <w:color w:val="auto"/>
          <w:spacing w:val="6"/>
          <w:szCs w:val="21"/>
          <w:highlight w:val="none"/>
        </w:rPr>
        <w:t>期:</w:t>
      </w:r>
    </w:p>
    <w:p>
      <w:pPr>
        <w:rPr>
          <w:rFonts w:hint="eastAsia"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pPr>
        <w:adjustRightInd w:val="0"/>
        <w:snapToGrid w:val="0"/>
        <w:spacing w:line="300" w:lineRule="exact"/>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exact"/>
        <w:ind w:firstLine="420" w:firstLineChars="200"/>
        <w:rPr>
          <w:rFonts w:hint="eastAsia" w:ascii="楷体" w:hAnsi="楷体" w:eastAsia="楷体"/>
          <w:color w:val="auto"/>
          <w:szCs w:val="21"/>
          <w:highlight w:val="none"/>
        </w:rPr>
      </w:pPr>
      <w:r>
        <w:rPr>
          <w:rFonts w:hint="eastAsia" w:ascii="楷体" w:hAnsi="楷体" w:eastAsia="楷体"/>
          <w:color w:val="auto"/>
          <w:szCs w:val="21"/>
          <w:highlight w:val="none"/>
        </w:rPr>
        <w:t>（1）填报前请认真阅读</w:t>
      </w:r>
      <w:r>
        <w:rPr>
          <w:rFonts w:hint="eastAsia" w:ascii="楷体" w:hAnsi="楷体" w:eastAsia="楷体" w:cs="宋体"/>
          <w:color w:val="auto"/>
          <w:spacing w:val="6"/>
          <w:kern w:val="0"/>
          <w:szCs w:val="21"/>
          <w:highlight w:val="none"/>
        </w:rPr>
        <w:t>《中小企业划型标准规定》（工信部联企业[2011]300号）、</w:t>
      </w:r>
      <w:r>
        <w:rPr>
          <w:rFonts w:hint="eastAsia" w:ascii="楷体" w:hAnsi="楷体" w:eastAsia="楷体" w:cs="宋体"/>
          <w:color w:val="auto"/>
          <w:kern w:val="0"/>
          <w:szCs w:val="21"/>
          <w:highlight w:val="none"/>
        </w:rPr>
        <w:t>《金融业企业划型标准规定》（</w:t>
      </w:r>
      <w:r>
        <w:rPr>
          <w:rFonts w:hint="eastAsia" w:ascii="楷体" w:hAnsi="楷体" w:eastAsia="楷体" w:cs="宋体"/>
          <w:bCs/>
          <w:color w:val="auto"/>
          <w:kern w:val="0"/>
          <w:szCs w:val="21"/>
          <w:highlight w:val="none"/>
        </w:rPr>
        <w:t>银发〔2015〕309号）和</w:t>
      </w:r>
      <w:r>
        <w:rPr>
          <w:rFonts w:hint="eastAsia" w:ascii="楷体" w:hAnsi="楷体" w:eastAsia="楷体"/>
          <w:color w:val="auto"/>
          <w:spacing w:val="6"/>
          <w:szCs w:val="21"/>
          <w:highlight w:val="none"/>
        </w:rPr>
        <w:t>《</w:t>
      </w:r>
      <w:r>
        <w:rPr>
          <w:rFonts w:hint="eastAsia" w:ascii="楷体" w:hAnsi="楷体" w:eastAsia="楷体"/>
          <w:bCs/>
          <w:color w:val="auto"/>
          <w:szCs w:val="21"/>
          <w:highlight w:val="none"/>
        </w:rPr>
        <w:t>政府采购促进中小企业发展管理办法》(</w:t>
      </w:r>
      <w:r>
        <w:rPr>
          <w:rFonts w:hint="eastAsia" w:ascii="楷体" w:hAnsi="楷体" w:eastAsia="楷体"/>
          <w:color w:val="auto"/>
          <w:szCs w:val="21"/>
          <w:highlight w:val="none"/>
        </w:rPr>
        <w:t>财库[2020]46号)相关规定。</w:t>
      </w:r>
    </w:p>
    <w:p>
      <w:pPr>
        <w:adjustRightInd w:val="0"/>
        <w:snapToGrid w:val="0"/>
        <w:spacing w:line="360" w:lineRule="exact"/>
        <w:ind w:firstLine="420" w:firstLineChars="200"/>
        <w:rPr>
          <w:rFonts w:hint="eastAsia" w:ascii="楷体" w:hAnsi="楷体" w:eastAsia="楷体"/>
          <w:color w:val="auto"/>
          <w:szCs w:val="21"/>
          <w:highlight w:val="none"/>
        </w:rPr>
      </w:pPr>
      <w:r>
        <w:rPr>
          <w:rFonts w:ascii="楷体" w:hAnsi="楷体" w:eastAsia="楷体"/>
          <w:color w:val="auto"/>
          <w:szCs w:val="21"/>
          <w:highlight w:val="none"/>
        </w:rPr>
        <w:t>（</w:t>
      </w:r>
      <w:r>
        <w:rPr>
          <w:rFonts w:hint="eastAsia" w:ascii="楷体" w:hAnsi="楷体" w:eastAsia="楷体"/>
          <w:color w:val="auto"/>
          <w:szCs w:val="21"/>
          <w:highlight w:val="none"/>
        </w:rPr>
        <w:t>2</w:t>
      </w:r>
      <w:r>
        <w:rPr>
          <w:rFonts w:ascii="楷体" w:hAnsi="楷体" w:eastAsia="楷体"/>
          <w:color w:val="auto"/>
          <w:szCs w:val="21"/>
          <w:highlight w:val="none"/>
        </w:rPr>
        <w:t>）从业人员、营业收入、资产总额填报上一年度数据，无上一年度数据的新成立企业可不填报。投标文件其他地方与《中小企业声明函》数据不一致的，以《中小企业声明函》为准。</w:t>
      </w:r>
    </w:p>
    <w:p>
      <w:pPr>
        <w:adjustRightInd w:val="0"/>
        <w:snapToGrid w:val="0"/>
        <w:spacing w:line="360" w:lineRule="exact"/>
        <w:ind w:firstLine="420" w:firstLineChars="200"/>
        <w:rPr>
          <w:rFonts w:hint="eastAsia" w:ascii="楷体" w:hAnsi="楷体" w:eastAsia="楷体"/>
          <w:color w:val="auto"/>
          <w:szCs w:val="21"/>
          <w:highlight w:val="none"/>
        </w:rPr>
      </w:pPr>
      <w:r>
        <w:rPr>
          <w:rFonts w:hint="eastAsia" w:ascii="楷体" w:hAnsi="楷体" w:eastAsia="楷体"/>
          <w:color w:val="auto"/>
          <w:szCs w:val="21"/>
          <w:highlight w:val="none"/>
        </w:rPr>
        <w:t>投标人（含联合体）必须填报全部服务商的数据，</w:t>
      </w:r>
      <w:r>
        <w:rPr>
          <w:rFonts w:hint="eastAsia" w:ascii="楷体" w:hAnsi="楷体" w:eastAsia="楷体"/>
          <w:bCs/>
          <w:color w:val="auto"/>
          <w:szCs w:val="21"/>
          <w:highlight w:val="none"/>
        </w:rPr>
        <w:t>未按要求提供或者有大型企业承接服务的，其投标无效。</w:t>
      </w:r>
    </w:p>
    <w:p>
      <w:pPr>
        <w:adjustRightInd w:val="0"/>
        <w:snapToGrid w:val="0"/>
        <w:spacing w:line="360" w:lineRule="exact"/>
        <w:ind w:firstLine="420" w:firstLineChars="200"/>
        <w:rPr>
          <w:rFonts w:hint="eastAsia" w:ascii="楷体" w:hAnsi="楷体" w:eastAsia="楷体"/>
          <w:color w:val="auto"/>
          <w:szCs w:val="21"/>
          <w:highlight w:val="none"/>
        </w:rPr>
      </w:pPr>
      <w:r>
        <w:rPr>
          <w:rFonts w:hint="eastAsia" w:ascii="楷体" w:hAnsi="楷体" w:eastAsia="楷体"/>
          <w:color w:val="auto"/>
          <w:szCs w:val="21"/>
          <w:highlight w:val="none"/>
        </w:rPr>
        <w:t>（3）横线以下只做填报说明，投标文件可不要。</w:t>
      </w:r>
    </w:p>
    <w:p>
      <w:pPr>
        <w:tabs>
          <w:tab w:val="left" w:pos="6300"/>
        </w:tabs>
        <w:snapToGrid w:val="0"/>
        <w:spacing w:line="420" w:lineRule="exact"/>
        <w:jc w:val="center"/>
        <w:rPr>
          <w:rFonts w:hint="eastAsia" w:ascii="宋体" w:hAnsi="宋体" w:eastAsia="宋体" w:cs="宋体"/>
          <w:color w:val="auto"/>
          <w:sz w:val="21"/>
          <w:szCs w:val="21"/>
          <w:highlight w:val="none"/>
        </w:rPr>
      </w:pPr>
      <w:r>
        <w:rPr>
          <w:rFonts w:hint="eastAsia" w:ascii="黑体" w:hAnsi="宋体" w:eastAsia="黑体"/>
          <w:color w:val="auto"/>
          <w:spacing w:val="6"/>
          <w:sz w:val="36"/>
          <w:szCs w:val="36"/>
          <w:highlight w:val="none"/>
        </w:rPr>
        <w:br w:type="page"/>
      </w:r>
      <w:r>
        <w:rPr>
          <w:rFonts w:hint="eastAsia" w:ascii="宋体" w:hAnsi="宋体" w:eastAsia="宋体" w:cs="宋体"/>
          <w:color w:val="auto"/>
          <w:kern w:val="0"/>
          <w:sz w:val="21"/>
          <w:szCs w:val="21"/>
          <w:highlight w:val="none"/>
        </w:rPr>
        <w:t>中小企业划型标准规定</w:t>
      </w:r>
      <w:r>
        <w:rPr>
          <w:rFonts w:hint="eastAsia" w:ascii="宋体" w:hAnsi="宋体" w:eastAsia="宋体" w:cs="宋体"/>
          <w:color w:val="auto"/>
          <w:sz w:val="21"/>
          <w:szCs w:val="21"/>
          <w:highlight w:val="none"/>
        </w:rPr>
        <w:t>：</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spacing w:line="588" w:lineRule="exact"/>
        <w:jc w:val="center"/>
        <w:rPr>
          <w:rFonts w:hint="eastAsia" w:ascii="黑体" w:hAnsi="宋体" w:eastAsia="黑体"/>
          <w:color w:val="auto"/>
          <w:spacing w:val="6"/>
          <w:sz w:val="36"/>
          <w:szCs w:val="36"/>
          <w:highlight w:val="none"/>
        </w:rPr>
      </w:pPr>
      <w:r>
        <w:rPr>
          <w:rFonts w:hint="eastAsia" w:ascii="黑体" w:hAnsi="宋体" w:eastAsia="黑体"/>
          <w:color w:val="auto"/>
          <w:spacing w:val="6"/>
          <w:sz w:val="36"/>
          <w:szCs w:val="36"/>
          <w:highlight w:val="none"/>
        </w:rPr>
        <w:br w:type="page"/>
      </w:r>
      <w:r>
        <w:rPr>
          <w:rFonts w:hint="eastAsia" w:ascii="黑体" w:hAnsi="宋体" w:eastAsia="黑体"/>
          <w:color w:val="auto"/>
          <w:spacing w:val="6"/>
          <w:sz w:val="36"/>
          <w:szCs w:val="36"/>
          <w:highlight w:val="none"/>
        </w:rPr>
        <w:t>1</w:t>
      </w:r>
      <w:r>
        <w:rPr>
          <w:rFonts w:hint="eastAsia" w:ascii="黑体" w:hAnsi="宋体" w:eastAsia="黑体"/>
          <w:color w:val="auto"/>
          <w:spacing w:val="6"/>
          <w:sz w:val="36"/>
          <w:szCs w:val="36"/>
          <w:highlight w:val="none"/>
          <w:lang w:val="en-US" w:eastAsia="zh-CN"/>
        </w:rPr>
        <w:t>1</w:t>
      </w:r>
      <w:r>
        <w:rPr>
          <w:rFonts w:hint="eastAsia" w:ascii="黑体" w:hAnsi="宋体" w:eastAsia="黑体"/>
          <w:color w:val="auto"/>
          <w:spacing w:val="6"/>
          <w:sz w:val="36"/>
          <w:szCs w:val="36"/>
          <w:highlight w:val="none"/>
        </w:rPr>
        <w:t>.残疾人福利性单位声明函</w:t>
      </w:r>
    </w:p>
    <w:p>
      <w:pPr>
        <w:spacing w:before="480" w:beforeLines="200"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号）的规定，本单位</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为符合条件的残疾人福利性单位，且本单位参加（</w:t>
      </w:r>
      <w:r>
        <w:rPr>
          <w:rFonts w:hint="eastAsia" w:ascii="宋体" w:hAnsi="宋体"/>
          <w:color w:val="auto"/>
          <w:spacing w:val="6"/>
          <w:szCs w:val="21"/>
          <w:highlight w:val="none"/>
          <w:u w:val="single"/>
        </w:rPr>
        <w:t xml:space="preserve">采 购 人 名 称） </w:t>
      </w:r>
      <w:r>
        <w:rPr>
          <w:rFonts w:hint="eastAsia" w:ascii="宋体" w:hAnsi="宋体"/>
          <w:color w:val="auto"/>
          <w:spacing w:val="6"/>
          <w:szCs w:val="21"/>
          <w:highlight w:val="none"/>
        </w:rPr>
        <w:t>的（</w:t>
      </w:r>
      <w:r>
        <w:rPr>
          <w:rFonts w:hint="eastAsia" w:ascii="宋体" w:hAnsi="宋体"/>
          <w:color w:val="auto"/>
          <w:spacing w:val="6"/>
          <w:szCs w:val="21"/>
          <w:highlight w:val="none"/>
          <w:u w:val="single"/>
        </w:rPr>
        <w:t>项 目 名  称</w:t>
      </w:r>
      <w:r>
        <w:rPr>
          <w:rFonts w:hint="eastAsia" w:ascii="宋体" w:hAnsi="宋体"/>
          <w:color w:val="auto"/>
          <w:spacing w:val="6"/>
          <w:szCs w:val="21"/>
          <w:highlight w:val="none"/>
        </w:rPr>
        <w:t>）采购活动由本单位提供服务。</w:t>
      </w:r>
    </w:p>
    <w:p>
      <w:pPr>
        <w:spacing w:line="360" w:lineRule="auto"/>
        <w:ind w:firstLine="444" w:firstLineChars="200"/>
        <w:rPr>
          <w:rFonts w:hint="eastAsia" w:ascii="宋体" w:hAnsi="宋体"/>
          <w:color w:val="auto"/>
          <w:spacing w:val="6"/>
          <w:szCs w:val="21"/>
          <w:highlight w:val="none"/>
        </w:rPr>
      </w:pPr>
    </w:p>
    <w:p>
      <w:pPr>
        <w:spacing w:line="360" w:lineRule="auto"/>
        <w:ind w:firstLine="444" w:firstLineChars="200"/>
        <w:rPr>
          <w:rFonts w:hint="eastAsia"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spacing w:line="360" w:lineRule="auto"/>
        <w:ind w:firstLine="444" w:firstLineChars="200"/>
        <w:rPr>
          <w:rFonts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p>
    <w:p>
      <w:pPr>
        <w:tabs>
          <w:tab w:val="left" w:pos="4860"/>
        </w:tabs>
        <w:spacing w:line="360" w:lineRule="auto"/>
        <w:ind w:right="1560" w:firstLine="444" w:firstLineChars="200"/>
        <w:jc w:val="left"/>
        <w:rPr>
          <w:rFonts w:ascii="宋体" w:hAnsi="宋体"/>
          <w:color w:val="auto"/>
          <w:spacing w:val="6"/>
          <w:szCs w:val="21"/>
          <w:highlight w:val="none"/>
        </w:rPr>
      </w:pPr>
      <w:r>
        <w:rPr>
          <w:rFonts w:hint="eastAsia" w:ascii="宋体" w:hAnsi="宋体"/>
          <w:color w:val="auto"/>
          <w:spacing w:val="6"/>
          <w:szCs w:val="21"/>
          <w:highlight w:val="none"/>
        </w:rPr>
        <w:t>单位名称：</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（盖单位章）</w:t>
      </w:r>
    </w:p>
    <w:p>
      <w:pPr>
        <w:tabs>
          <w:tab w:val="left" w:pos="4860"/>
        </w:tabs>
        <w:spacing w:line="360" w:lineRule="auto"/>
        <w:ind w:right="1560" w:firstLine="444" w:firstLineChars="200"/>
        <w:jc w:val="left"/>
        <w:rPr>
          <w:rFonts w:hint="eastAsia" w:ascii="宋体" w:hAnsi="宋体"/>
          <w:color w:val="auto"/>
          <w:spacing w:val="6"/>
          <w:szCs w:val="21"/>
          <w:highlight w:val="none"/>
        </w:rPr>
      </w:pPr>
      <w:r>
        <w:rPr>
          <w:rFonts w:ascii="宋体" w:hAnsi="宋体"/>
          <w:color w:val="auto"/>
          <w:spacing w:val="6"/>
          <w:szCs w:val="21"/>
          <w:highlight w:val="none"/>
        </w:rPr>
        <w:t xml:space="preserve"> </w:t>
      </w:r>
    </w:p>
    <w:p>
      <w:pPr>
        <w:tabs>
          <w:tab w:val="left" w:pos="4860"/>
        </w:tabs>
        <w:spacing w:line="360" w:lineRule="auto"/>
        <w:ind w:right="1560" w:firstLine="444" w:firstLineChars="200"/>
        <w:jc w:val="left"/>
        <w:rPr>
          <w:rFonts w:hint="eastAsia" w:ascii="宋体" w:hAnsi="宋体"/>
          <w:color w:val="auto"/>
          <w:spacing w:val="6"/>
          <w:szCs w:val="21"/>
          <w:highlight w:val="none"/>
        </w:rPr>
      </w:pPr>
      <w:r>
        <w:rPr>
          <w:rFonts w:hint="eastAsia" w:ascii="宋体" w:hAnsi="宋体"/>
          <w:color w:val="auto"/>
          <w:spacing w:val="6"/>
          <w:szCs w:val="21"/>
          <w:highlight w:val="none"/>
        </w:rPr>
        <w:t>日</w:t>
      </w: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w:t>
      </w:r>
      <w:r>
        <w:rPr>
          <w:rFonts w:ascii="宋体" w:hAnsi="宋体"/>
          <w:color w:val="auto"/>
          <w:spacing w:val="6"/>
          <w:szCs w:val="21"/>
          <w:highlight w:val="none"/>
        </w:rPr>
        <w:t xml:space="preserve"> </w:t>
      </w:r>
      <w:r>
        <w:rPr>
          <w:rFonts w:hint="eastAsia" w:ascii="宋体" w:hAnsi="宋体"/>
          <w:color w:val="auto"/>
          <w:spacing w:val="6"/>
          <w:szCs w:val="21"/>
          <w:highlight w:val="none"/>
        </w:rPr>
        <w:t>期：    年   月  日</w:t>
      </w: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tabs>
          <w:tab w:val="left" w:pos="4860"/>
        </w:tabs>
        <w:spacing w:line="360" w:lineRule="auto"/>
        <w:ind w:right="1560" w:firstLine="444" w:firstLineChars="200"/>
        <w:jc w:val="left"/>
        <w:rPr>
          <w:rFonts w:hint="eastAsia" w:ascii="宋体" w:hAnsi="宋体"/>
          <w:color w:val="auto"/>
          <w:spacing w:val="6"/>
          <w:szCs w:val="21"/>
          <w:highlight w:val="none"/>
        </w:rPr>
      </w:pPr>
    </w:p>
    <w:p>
      <w:pPr>
        <w:rPr>
          <w:rFonts w:hint="eastAsia"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pPr>
        <w:tabs>
          <w:tab w:val="left" w:pos="4860"/>
        </w:tabs>
        <w:ind w:right="1559"/>
        <w:jc w:val="left"/>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exact"/>
        <w:ind w:firstLine="525" w:firstLineChars="250"/>
        <w:rPr>
          <w:rFonts w:hint="eastAsia" w:ascii="楷体" w:hAnsi="楷体" w:eastAsia="楷体"/>
          <w:color w:val="auto"/>
          <w:szCs w:val="21"/>
          <w:highlight w:val="none"/>
        </w:rPr>
      </w:pPr>
      <w:r>
        <w:rPr>
          <w:rFonts w:hint="eastAsia" w:ascii="楷体" w:hAnsi="楷体" w:eastAsia="楷体"/>
          <w:color w:val="auto"/>
          <w:szCs w:val="21"/>
          <w:highlight w:val="none"/>
        </w:rPr>
        <w:t>（1）填报前请认真阅读</w:t>
      </w:r>
      <w:r>
        <w:rPr>
          <w:rFonts w:hint="eastAsia" w:ascii="楷体" w:hAnsi="楷体" w:eastAsia="楷体"/>
          <w:color w:val="auto"/>
          <w:spacing w:val="6"/>
          <w:szCs w:val="21"/>
          <w:highlight w:val="none"/>
        </w:rPr>
        <w:t>《财政部、民政部、中国残疾人联合会关于促进残疾人就业政府采购政策的通知》（财库</w:t>
      </w:r>
      <w:r>
        <w:rPr>
          <w:rFonts w:hint="eastAsia" w:ascii="楷体" w:hAnsi="楷体" w:eastAsia="楷体"/>
          <w:color w:val="auto"/>
          <w:szCs w:val="21"/>
          <w:highlight w:val="none"/>
        </w:rPr>
        <w:t>〔</w:t>
      </w:r>
      <w:r>
        <w:rPr>
          <w:rFonts w:ascii="楷体" w:hAnsi="楷体" w:eastAsia="楷体"/>
          <w:color w:val="auto"/>
          <w:szCs w:val="21"/>
          <w:highlight w:val="none"/>
        </w:rPr>
        <w:t>2017</w:t>
      </w:r>
      <w:r>
        <w:rPr>
          <w:rFonts w:hint="eastAsia" w:ascii="楷体" w:hAnsi="楷体" w:eastAsia="楷体"/>
          <w:color w:val="auto"/>
          <w:szCs w:val="21"/>
          <w:highlight w:val="none"/>
        </w:rPr>
        <w:t>〕</w:t>
      </w:r>
      <w:r>
        <w:rPr>
          <w:rFonts w:ascii="楷体" w:hAnsi="楷体" w:eastAsia="楷体"/>
          <w:color w:val="auto"/>
          <w:szCs w:val="21"/>
          <w:highlight w:val="none"/>
        </w:rPr>
        <w:t>14</w:t>
      </w:r>
      <w:r>
        <w:rPr>
          <w:rFonts w:hint="eastAsia" w:ascii="楷体" w:hAnsi="楷体" w:eastAsia="楷体"/>
          <w:color w:val="auto"/>
          <w:szCs w:val="21"/>
          <w:highlight w:val="none"/>
        </w:rPr>
        <w:t>1</w:t>
      </w:r>
      <w:r>
        <w:rPr>
          <w:rFonts w:hint="eastAsia" w:ascii="楷体" w:hAnsi="楷体" w:eastAsia="楷体"/>
          <w:color w:val="auto"/>
          <w:spacing w:val="6"/>
          <w:szCs w:val="21"/>
          <w:highlight w:val="none"/>
        </w:rPr>
        <w:t>号）的规定。</w:t>
      </w:r>
    </w:p>
    <w:p>
      <w:pPr>
        <w:adjustRightInd w:val="0"/>
        <w:snapToGrid w:val="0"/>
        <w:spacing w:line="360" w:lineRule="exact"/>
        <w:ind w:firstLine="525" w:firstLineChars="250"/>
        <w:rPr>
          <w:rFonts w:hint="eastAsia" w:ascii="楷体" w:hAnsi="楷体" w:eastAsia="楷体"/>
          <w:bCs/>
          <w:color w:val="auto"/>
          <w:szCs w:val="21"/>
          <w:highlight w:val="none"/>
        </w:rPr>
      </w:pPr>
      <w:r>
        <w:rPr>
          <w:rFonts w:hint="eastAsia" w:ascii="楷体" w:hAnsi="楷体" w:eastAsia="楷体"/>
          <w:color w:val="auto"/>
          <w:szCs w:val="21"/>
          <w:highlight w:val="none"/>
        </w:rPr>
        <w:t>（2）投标人属于残疾人福利性单位的，必须填报全部的数据，</w:t>
      </w:r>
      <w:r>
        <w:rPr>
          <w:rFonts w:hint="eastAsia" w:ascii="楷体" w:hAnsi="楷体" w:eastAsia="楷体"/>
          <w:bCs/>
          <w:color w:val="auto"/>
          <w:szCs w:val="21"/>
          <w:highlight w:val="none"/>
        </w:rPr>
        <w:t>未按要求提供或者非残疾人福利性单位承接服务的，其投标无效。</w:t>
      </w:r>
    </w:p>
    <w:p>
      <w:pPr>
        <w:adjustRightInd w:val="0"/>
        <w:snapToGrid w:val="0"/>
        <w:spacing w:line="360" w:lineRule="exact"/>
        <w:ind w:firstLine="525" w:firstLineChars="250"/>
        <w:rPr>
          <w:rFonts w:hint="eastAsia" w:ascii="楷体" w:hAnsi="楷体" w:eastAsia="楷体"/>
          <w:color w:val="auto"/>
          <w:szCs w:val="21"/>
          <w:highlight w:val="none"/>
        </w:rPr>
      </w:pPr>
      <w:r>
        <w:rPr>
          <w:rFonts w:hint="eastAsia" w:ascii="楷体" w:hAnsi="楷体" w:eastAsia="楷体"/>
          <w:color w:val="auto"/>
          <w:szCs w:val="21"/>
          <w:highlight w:val="none"/>
        </w:rPr>
        <w:t>（3）横线以下只做填报说明，投标文件可不要。</w:t>
      </w:r>
    </w:p>
    <w:p>
      <w:pPr>
        <w:adjustRightInd w:val="0"/>
        <w:snapToGrid w:val="0"/>
        <w:spacing w:before="50"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val="en-US" w:eastAsia="zh-CN"/>
        </w:rPr>
        <w:t>2</w:t>
      </w:r>
      <w:r>
        <w:rPr>
          <w:rFonts w:hint="eastAsia" w:ascii="黑体" w:hAnsi="宋体" w:eastAsia="黑体"/>
          <w:color w:val="auto"/>
          <w:sz w:val="36"/>
          <w:szCs w:val="36"/>
          <w:highlight w:val="none"/>
        </w:rPr>
        <w:t>.监狱企业证明</w:t>
      </w:r>
    </w:p>
    <w:p>
      <w:pPr>
        <w:adjustRightInd w:val="0"/>
        <w:snapToGrid w:val="0"/>
        <w:spacing w:before="240" w:beforeLines="100"/>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exact"/>
        <w:ind w:firstLine="525" w:firstLineChars="250"/>
        <w:rPr>
          <w:rFonts w:hint="eastAsia" w:ascii="楷体" w:hAnsi="楷体" w:eastAsia="楷体"/>
          <w:color w:val="auto"/>
          <w:szCs w:val="21"/>
          <w:highlight w:val="none"/>
        </w:rPr>
      </w:pPr>
      <w:r>
        <w:rPr>
          <w:rFonts w:hint="eastAsia" w:ascii="楷体" w:hAnsi="楷体" w:eastAsia="楷体"/>
          <w:bCs/>
          <w:color w:val="auto"/>
          <w:szCs w:val="21"/>
          <w:highlight w:val="none"/>
        </w:rPr>
        <w:t>（1）</w:t>
      </w:r>
      <w:r>
        <w:rPr>
          <w:rFonts w:hint="eastAsia" w:ascii="楷体" w:hAnsi="楷体" w:eastAsia="楷体"/>
          <w:color w:val="auto"/>
          <w:szCs w:val="21"/>
          <w:highlight w:val="none"/>
        </w:rPr>
        <w:t>填报前请认真阅读</w:t>
      </w:r>
      <w:r>
        <w:rPr>
          <w:rFonts w:hint="eastAsia" w:ascii="楷体" w:hAnsi="楷体" w:eastAsia="楷体"/>
          <w:color w:val="auto"/>
          <w:spacing w:val="6"/>
          <w:szCs w:val="21"/>
          <w:highlight w:val="none"/>
        </w:rPr>
        <w:t>《财政部、司法部关于政府采购支持监狱企业发展有关问题的通知》（财库</w:t>
      </w:r>
      <w:r>
        <w:rPr>
          <w:rFonts w:hint="eastAsia" w:ascii="楷体" w:hAnsi="楷体" w:eastAsia="楷体"/>
          <w:color w:val="auto"/>
          <w:szCs w:val="21"/>
          <w:highlight w:val="none"/>
        </w:rPr>
        <w:t>〔</w:t>
      </w:r>
      <w:r>
        <w:rPr>
          <w:rFonts w:ascii="楷体" w:hAnsi="楷体" w:eastAsia="楷体"/>
          <w:color w:val="auto"/>
          <w:szCs w:val="21"/>
          <w:highlight w:val="none"/>
        </w:rPr>
        <w:t>201</w:t>
      </w:r>
      <w:r>
        <w:rPr>
          <w:rFonts w:hint="eastAsia" w:ascii="楷体" w:hAnsi="楷体" w:eastAsia="楷体"/>
          <w:color w:val="auto"/>
          <w:szCs w:val="21"/>
          <w:highlight w:val="none"/>
        </w:rPr>
        <w:t>4〕68</w:t>
      </w:r>
      <w:r>
        <w:rPr>
          <w:rFonts w:hint="eastAsia" w:ascii="楷体" w:hAnsi="楷体" w:eastAsia="楷体"/>
          <w:color w:val="auto"/>
          <w:spacing w:val="6"/>
          <w:szCs w:val="21"/>
          <w:highlight w:val="none"/>
        </w:rPr>
        <w:t>号）的规定。</w:t>
      </w:r>
    </w:p>
    <w:p>
      <w:pPr>
        <w:adjustRightInd w:val="0"/>
        <w:snapToGrid w:val="0"/>
        <w:spacing w:line="360" w:lineRule="exact"/>
        <w:ind w:firstLine="527"/>
        <w:rPr>
          <w:rFonts w:hint="eastAsia" w:ascii="楷体" w:hAnsi="楷体" w:eastAsia="楷体"/>
          <w:bCs/>
          <w:color w:val="auto"/>
          <w:szCs w:val="21"/>
          <w:highlight w:val="none"/>
        </w:rPr>
      </w:pPr>
      <w:r>
        <w:rPr>
          <w:rFonts w:hint="eastAsia" w:ascii="楷体" w:hAnsi="楷体" w:eastAsia="楷体"/>
          <w:bCs/>
          <w:color w:val="auto"/>
          <w:szCs w:val="21"/>
          <w:highlight w:val="none"/>
        </w:rPr>
        <w:t>（2）证明文件无格式要求，由出具监狱企业证明的单位自行拟定，出具证明的单位应符合“</w:t>
      </w:r>
      <w:r>
        <w:rPr>
          <w:rFonts w:hint="eastAsia" w:ascii="楷体" w:hAnsi="楷体" w:eastAsia="楷体"/>
          <w:bCs/>
          <w:color w:val="auto"/>
          <w:szCs w:val="21"/>
          <w:highlight w:val="none"/>
          <w:lang w:eastAsia="zh-CN"/>
        </w:rPr>
        <w:t>投标人</w:t>
      </w:r>
      <w:r>
        <w:rPr>
          <w:rFonts w:hint="eastAsia" w:ascii="楷体" w:hAnsi="楷体" w:eastAsia="楷体"/>
          <w:bCs/>
          <w:color w:val="auto"/>
          <w:szCs w:val="21"/>
          <w:highlight w:val="none"/>
        </w:rPr>
        <w:t>须知”第</w:t>
      </w:r>
      <w:r>
        <w:rPr>
          <w:rFonts w:hint="eastAsia" w:ascii="楷体" w:hAnsi="楷体" w:eastAsia="楷体"/>
          <w:color w:val="auto"/>
          <w:highlight w:val="none"/>
        </w:rPr>
        <w:t>3.4.2.3条款的规定。</w:t>
      </w:r>
    </w:p>
    <w:p>
      <w:pPr>
        <w:adjustRightInd w:val="0"/>
        <w:snapToGrid w:val="0"/>
        <w:spacing w:line="360" w:lineRule="exact"/>
        <w:ind w:firstLine="525" w:firstLineChars="250"/>
        <w:rPr>
          <w:rFonts w:hint="eastAsia" w:ascii="楷体" w:hAnsi="楷体" w:eastAsia="楷体"/>
          <w:bCs/>
          <w:color w:val="auto"/>
          <w:szCs w:val="21"/>
          <w:highlight w:val="none"/>
        </w:rPr>
      </w:pPr>
      <w:r>
        <w:rPr>
          <w:rFonts w:hint="eastAsia" w:ascii="楷体" w:hAnsi="楷体" w:eastAsia="楷体"/>
          <w:color w:val="auto"/>
          <w:szCs w:val="21"/>
          <w:highlight w:val="none"/>
        </w:rPr>
        <w:t>（3）投标人属于监狱企业的，</w:t>
      </w:r>
      <w:r>
        <w:rPr>
          <w:rFonts w:hint="eastAsia" w:ascii="楷体" w:hAnsi="楷体" w:eastAsia="楷体"/>
          <w:bCs/>
          <w:color w:val="auto"/>
          <w:szCs w:val="21"/>
          <w:highlight w:val="none"/>
        </w:rPr>
        <w:t>未按上述要求提供的或者非监狱企业承接服务的，其投标无效。</w:t>
      </w:r>
    </w:p>
    <w:p>
      <w:pPr>
        <w:adjustRightInd w:val="0"/>
        <w:snapToGrid w:val="0"/>
        <w:spacing w:line="360" w:lineRule="exact"/>
        <w:ind w:firstLine="525" w:firstLineChars="250"/>
        <w:rPr>
          <w:rFonts w:hint="eastAsia" w:ascii="楷体" w:hAnsi="楷体" w:eastAsia="楷体"/>
          <w:bCs/>
          <w:color w:val="auto"/>
          <w:szCs w:val="21"/>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pStyle w:val="6"/>
        <w:ind w:firstLine="0"/>
        <w:jc w:val="left"/>
        <w:rPr>
          <w:rFonts w:hint="eastAsia" w:ascii="宋体" w:hAnsi="宋体"/>
          <w:b/>
          <w:color w:val="auto"/>
          <w:sz w:val="24"/>
          <w:szCs w:val="24"/>
          <w:highlight w:val="none"/>
        </w:rPr>
      </w:pPr>
    </w:p>
    <w:p>
      <w:pPr>
        <w:adjustRightInd w:val="0"/>
        <w:snapToGrid w:val="0"/>
        <w:spacing w:line="360" w:lineRule="auto"/>
        <w:jc w:val="left"/>
        <w:outlineLvl w:val="9"/>
        <w:rPr>
          <w:rFonts w:hint="eastAsia" w:ascii="宋体" w:hAnsi="宋体"/>
          <w:b/>
          <w:color w:val="auto"/>
          <w:sz w:val="24"/>
          <w:highlight w:val="none"/>
        </w:rPr>
      </w:pPr>
    </w:p>
    <w:p>
      <w:pPr>
        <w:adjustRightInd w:val="0"/>
        <w:snapToGrid w:val="0"/>
        <w:spacing w:line="360" w:lineRule="auto"/>
        <w:jc w:val="left"/>
        <w:outlineLvl w:val="9"/>
        <w:rPr>
          <w:rFonts w:hint="eastAsia" w:ascii="宋体" w:hAnsi="宋体"/>
          <w:b/>
          <w:color w:val="auto"/>
          <w:sz w:val="24"/>
          <w:highlight w:val="none"/>
        </w:rPr>
      </w:pPr>
    </w:p>
    <w:p>
      <w:pPr>
        <w:adjustRightInd w:val="0"/>
        <w:snapToGrid w:val="0"/>
        <w:spacing w:line="360" w:lineRule="auto"/>
        <w:jc w:val="left"/>
        <w:outlineLvl w:val="9"/>
        <w:rPr>
          <w:rFonts w:hint="eastAsia" w:ascii="宋体" w:hAnsi="宋体"/>
          <w:b/>
          <w:color w:val="auto"/>
          <w:sz w:val="24"/>
          <w:highlight w:val="none"/>
        </w:rPr>
      </w:pPr>
    </w:p>
    <w:p>
      <w:pPr>
        <w:adjustRightInd w:val="0"/>
        <w:snapToGrid w:val="0"/>
        <w:spacing w:line="360" w:lineRule="auto"/>
        <w:jc w:val="left"/>
        <w:outlineLvl w:val="9"/>
        <w:rPr>
          <w:rFonts w:hint="eastAsia" w:ascii="宋体" w:hAnsi="宋体"/>
          <w:b/>
          <w:color w:val="auto"/>
          <w:sz w:val="24"/>
          <w:highlight w:val="none"/>
        </w:rPr>
      </w:pPr>
    </w:p>
    <w:p>
      <w:pPr>
        <w:adjustRightInd w:val="0"/>
        <w:snapToGrid w:val="0"/>
        <w:spacing w:line="360" w:lineRule="auto"/>
        <w:jc w:val="left"/>
        <w:outlineLvl w:val="9"/>
        <w:rPr>
          <w:rFonts w:hint="eastAsia" w:ascii="宋体" w:hAnsi="宋体"/>
          <w:b/>
          <w:color w:val="auto"/>
          <w:sz w:val="24"/>
          <w:highlight w:val="none"/>
        </w:rPr>
      </w:pPr>
    </w:p>
    <w:p>
      <w:pPr>
        <w:adjustRightInd w:val="0"/>
        <w:snapToGrid w:val="0"/>
        <w:spacing w:line="360" w:lineRule="auto"/>
        <w:jc w:val="left"/>
        <w:outlineLvl w:val="9"/>
        <w:rPr>
          <w:rFonts w:hint="eastAsia" w:ascii="宋体" w:hAnsi="宋体"/>
          <w:b/>
          <w:color w:val="auto"/>
          <w:sz w:val="24"/>
          <w:highlight w:val="none"/>
        </w:rPr>
      </w:pPr>
    </w:p>
    <w:p>
      <w:pPr>
        <w:adjustRightInd w:val="0"/>
        <w:snapToGrid w:val="0"/>
        <w:spacing w:line="360" w:lineRule="auto"/>
        <w:jc w:val="left"/>
        <w:outlineLvl w:val="9"/>
        <w:rPr>
          <w:rFonts w:hint="eastAsia" w:ascii="宋体" w:hAnsi="宋体"/>
          <w:b/>
          <w:color w:val="auto"/>
          <w:sz w:val="24"/>
          <w:highlight w:val="none"/>
        </w:rPr>
      </w:pPr>
    </w:p>
    <w:p>
      <w:pPr>
        <w:adjustRightInd w:val="0"/>
        <w:snapToGrid w:val="0"/>
        <w:spacing w:line="360" w:lineRule="auto"/>
        <w:jc w:val="left"/>
        <w:outlineLvl w:val="9"/>
        <w:rPr>
          <w:rFonts w:hint="eastAsia" w:ascii="宋体" w:hAnsi="宋体"/>
          <w:b/>
          <w:color w:val="auto"/>
          <w:sz w:val="24"/>
          <w:highlight w:val="none"/>
        </w:rPr>
      </w:pPr>
    </w:p>
    <w:p>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pPr>
        <w:spacing w:before="240" w:beforeLines="100" w:after="480" w:afterLines="200"/>
        <w:jc w:val="center"/>
        <w:rPr>
          <w:rFonts w:hint="eastAsia" w:ascii="方正小标宋简体" w:eastAsia="方正小标宋简体"/>
          <w:color w:val="auto"/>
          <w:sz w:val="72"/>
          <w:szCs w:val="72"/>
          <w:highlight w:val="none"/>
        </w:rPr>
      </w:pPr>
    </w:p>
    <w:p>
      <w:pPr>
        <w:spacing w:before="240" w:beforeLines="100" w:after="480" w:afterLines="200"/>
        <w:jc w:val="center"/>
        <w:rPr>
          <w:rFonts w:hint="eastAsia" w:ascii="方正小标宋简体" w:eastAsia="方正小标宋简体"/>
          <w:color w:val="auto"/>
          <w:sz w:val="72"/>
          <w:szCs w:val="72"/>
          <w:highlight w:val="none"/>
        </w:rPr>
      </w:pPr>
    </w:p>
    <w:p>
      <w:pPr>
        <w:spacing w:before="240" w:beforeLines="100" w:after="480" w:afterLines="200"/>
        <w:jc w:val="center"/>
        <w:rPr>
          <w:rFonts w:hint="eastAsia" w:ascii="方正小标宋简体" w:eastAsia="方正小标宋简体"/>
          <w:color w:val="auto"/>
          <w:sz w:val="72"/>
          <w:szCs w:val="72"/>
          <w:highlight w:val="none"/>
        </w:rPr>
      </w:pPr>
    </w:p>
    <w:p>
      <w:pPr>
        <w:spacing w:before="240" w:beforeLines="100" w:after="480" w:afterLines="200"/>
        <w:jc w:val="center"/>
        <w:rPr>
          <w:rFonts w:hint="eastAsia" w:ascii="方正小标宋简体" w:eastAsia="方正小标宋简体"/>
          <w:color w:val="auto"/>
          <w:sz w:val="72"/>
          <w:szCs w:val="72"/>
          <w:highlight w:val="none"/>
        </w:rPr>
      </w:pPr>
    </w:p>
    <w:p>
      <w:pPr>
        <w:spacing w:before="240" w:beforeLines="100" w:after="480" w:afterLines="200"/>
        <w:jc w:val="center"/>
        <w:rPr>
          <w:rFonts w:hint="eastAsia" w:ascii="方正小标宋简体" w:eastAsia="方正小标宋简体"/>
          <w:color w:val="auto"/>
          <w:sz w:val="72"/>
          <w:szCs w:val="72"/>
          <w:highlight w:val="none"/>
        </w:rPr>
      </w:pPr>
      <w:r>
        <w:rPr>
          <w:rFonts w:hint="eastAsia" w:ascii="方正小标宋简体" w:eastAsia="方正小标宋简体"/>
          <w:color w:val="auto"/>
          <w:sz w:val="72"/>
          <w:szCs w:val="72"/>
          <w:highlight w:val="none"/>
        </w:rPr>
        <w:t>商务技术文件</w:t>
      </w:r>
    </w:p>
    <w:p>
      <w:pPr>
        <w:pStyle w:val="17"/>
        <w:spacing w:before="240" w:beforeLines="100" w:after="240" w:afterLines="100"/>
        <w:ind w:firstLine="0"/>
        <w:jc w:val="center"/>
        <w:outlineLvl w:val="9"/>
        <w:rPr>
          <w:rFonts w:hint="eastAsia" w:ascii="宋体" w:hAnsi="宋体" w:cs="宋体"/>
          <w:b/>
          <w:bCs/>
          <w:color w:val="auto"/>
          <w:sz w:val="28"/>
          <w:szCs w:val="28"/>
          <w:highlight w:val="none"/>
        </w:rPr>
      </w:pPr>
      <w:r>
        <w:rPr>
          <w:rFonts w:hint="eastAsia" w:ascii="宋体" w:hAnsi="宋体" w:cs="宋体"/>
          <w:color w:val="auto"/>
          <w:sz w:val="44"/>
          <w:szCs w:val="44"/>
          <w:highlight w:val="none"/>
        </w:rPr>
        <w:br w:type="page"/>
      </w:r>
      <w:bookmarkEnd w:id="166"/>
      <w:bookmarkStart w:id="173" w:name="_Toc32357"/>
      <w:r>
        <w:rPr>
          <w:rFonts w:hint="eastAsia" w:ascii="宋体" w:hAnsi="宋体" w:cs="宋体"/>
          <w:b/>
          <w:color w:val="auto"/>
          <w:sz w:val="36"/>
          <w:szCs w:val="36"/>
          <w:highlight w:val="none"/>
        </w:rPr>
        <w:t>一、投 标 函</w:t>
      </w:r>
      <w:bookmarkEnd w:id="173"/>
    </w:p>
    <w:p>
      <w:pPr>
        <w:pStyle w:val="1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cs="宋体"/>
          <w:color w:val="auto"/>
          <w:sz w:val="22"/>
          <w:szCs w:val="21"/>
          <w:highlight w:val="none"/>
        </w:rPr>
      </w:pPr>
      <w:r>
        <w:rPr>
          <w:rFonts w:hint="eastAsia" w:ascii="宋体" w:hAnsi="宋体" w:cs="宋体"/>
          <w:color w:val="auto"/>
          <w:sz w:val="22"/>
          <w:szCs w:val="21"/>
          <w:highlight w:val="none"/>
          <w:lang w:eastAsia="zh-CN"/>
        </w:rPr>
        <w:t>陕西诺尔信项目管理有限公司</w:t>
      </w:r>
      <w:r>
        <w:rPr>
          <w:rFonts w:hint="eastAsia" w:ascii="宋体" w:hAnsi="宋体" w:cs="宋体"/>
          <w:color w:val="auto"/>
          <w:sz w:val="22"/>
          <w:szCs w:val="21"/>
          <w:highlight w:val="none"/>
        </w:rPr>
        <w:t>：</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color w:val="auto"/>
          <w:sz w:val="22"/>
          <w:szCs w:val="21"/>
          <w:highlight w:val="none"/>
        </w:rPr>
      </w:pPr>
      <w:r>
        <w:rPr>
          <w:rFonts w:hint="eastAsia" w:ascii="宋体" w:hAnsi="宋体" w:cs="宋体"/>
          <w:color w:val="auto"/>
          <w:sz w:val="22"/>
          <w:szCs w:val="21"/>
          <w:highlight w:val="none"/>
        </w:rPr>
        <w:t>我方已仔细研究了</w:t>
      </w:r>
      <w:r>
        <w:rPr>
          <w:rFonts w:hint="eastAsia" w:ascii="宋体" w:hAnsi="宋体" w:cs="宋体"/>
          <w:color w:val="auto"/>
          <w:sz w:val="22"/>
          <w:szCs w:val="21"/>
          <w:highlight w:val="none"/>
          <w:u w:val="single"/>
        </w:rPr>
        <w:t xml:space="preserve">                 (</w:t>
      </w:r>
      <w:r>
        <w:rPr>
          <w:rFonts w:hint="eastAsia" w:ascii="宋体" w:hAnsi="宋体" w:cs="宋体"/>
          <w:color w:val="auto"/>
          <w:sz w:val="22"/>
          <w:szCs w:val="21"/>
          <w:highlight w:val="none"/>
        </w:rPr>
        <w:t>项目名称)的招标文件（政府</w:t>
      </w:r>
      <w:r>
        <w:rPr>
          <w:rFonts w:hint="eastAsia" w:ascii="宋体" w:hAnsi="宋体" w:cs="宋体"/>
          <w:color w:val="auto"/>
          <w:sz w:val="22"/>
          <w:szCs w:val="21"/>
          <w:highlight w:val="none"/>
          <w:lang w:eastAsia="zh-CN"/>
        </w:rPr>
        <w:t>采购项目</w:t>
      </w:r>
      <w:r>
        <w:rPr>
          <w:rFonts w:hint="eastAsia" w:ascii="宋体" w:hAnsi="宋体" w:cs="宋体"/>
          <w:color w:val="auto"/>
          <w:sz w:val="22"/>
          <w:szCs w:val="21"/>
          <w:highlight w:val="none"/>
        </w:rPr>
        <w:t>编号：</w:t>
      </w:r>
      <w:r>
        <w:rPr>
          <w:rFonts w:hint="eastAsia" w:ascii="宋体" w:hAnsi="宋体" w:cs="宋体"/>
          <w:color w:val="auto"/>
          <w:sz w:val="22"/>
          <w:szCs w:val="21"/>
          <w:highlight w:val="none"/>
          <w:u w:val="single"/>
          <w:lang w:val="en-US" w:eastAsia="zh-CN"/>
        </w:rPr>
        <w:t xml:space="preserve">    </w:t>
      </w:r>
      <w:r>
        <w:rPr>
          <w:rFonts w:hint="eastAsia" w:ascii="宋体" w:hAnsi="宋体" w:cs="宋体"/>
          <w:color w:val="auto"/>
          <w:sz w:val="22"/>
          <w:szCs w:val="21"/>
          <w:highlight w:val="none"/>
        </w:rPr>
        <w:t>）的全部内容，知悉参加投标的风险，我方承诺接受招标文件的全部条款且无任何异议，</w:t>
      </w:r>
      <w:r>
        <w:rPr>
          <w:rFonts w:hint="eastAsia" w:ascii="宋体" w:hAnsi="宋体" w:cs="宋体"/>
          <w:bCs/>
          <w:color w:val="auto"/>
          <w:sz w:val="22"/>
          <w:szCs w:val="21"/>
          <w:highlight w:val="none"/>
        </w:rPr>
        <w:t>决定参加贵单位组织的本项目招标。</w:t>
      </w:r>
    </w:p>
    <w:p>
      <w:pPr>
        <w:pStyle w:val="15"/>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40" w:firstLineChars="200"/>
        <w:textAlignment w:val="auto"/>
        <w:rPr>
          <w:rFonts w:hint="eastAsia" w:hAnsi="宋体" w:cs="宋体"/>
          <w:color w:val="auto"/>
          <w:sz w:val="22"/>
          <w:highlight w:val="none"/>
        </w:rPr>
      </w:pPr>
      <w:r>
        <w:rPr>
          <w:rFonts w:hint="eastAsia" w:hAnsi="宋体" w:cs="宋体"/>
          <w:color w:val="auto"/>
          <w:sz w:val="22"/>
          <w:highlight w:val="none"/>
        </w:rPr>
        <w:t>我方的</w:t>
      </w:r>
      <w:r>
        <w:rPr>
          <w:rFonts w:hint="eastAsia" w:hAnsi="宋体"/>
          <w:color w:val="auto"/>
          <w:highlight w:val="none"/>
        </w:rPr>
        <w:t>投标</w:t>
      </w:r>
      <w:r>
        <w:rPr>
          <w:rFonts w:hint="eastAsia" w:hAnsi="宋体"/>
          <w:color w:val="auto"/>
          <w:highlight w:val="none"/>
          <w:lang w:val="en-US" w:eastAsia="zh-CN"/>
        </w:rPr>
        <w:t>报价</w:t>
      </w:r>
      <w:r>
        <w:rPr>
          <w:rFonts w:hint="eastAsia" w:hAnsi="宋体" w:cs="宋体"/>
          <w:color w:val="auto"/>
          <w:sz w:val="22"/>
          <w:highlight w:val="none"/>
        </w:rPr>
        <w:t>为人民币（大写）</w:t>
      </w:r>
      <w:r>
        <w:rPr>
          <w:rFonts w:hint="eastAsia" w:hAnsi="宋体" w:cs="宋体"/>
          <w:color w:val="auto"/>
          <w:sz w:val="22"/>
          <w:highlight w:val="none"/>
          <w:u w:val="single"/>
        </w:rPr>
        <w:t xml:space="preserve">          </w:t>
      </w:r>
      <w:r>
        <w:rPr>
          <w:rFonts w:hint="eastAsia" w:hAnsi="宋体" w:cs="宋体"/>
          <w:color w:val="auto"/>
          <w:sz w:val="22"/>
          <w:highlight w:val="none"/>
        </w:rPr>
        <w:t xml:space="preserve"> 元 （￥</w:t>
      </w:r>
      <w:r>
        <w:rPr>
          <w:rFonts w:hint="eastAsia" w:hAnsi="宋体" w:cs="宋体"/>
          <w:color w:val="auto"/>
          <w:sz w:val="22"/>
          <w:highlight w:val="none"/>
          <w:u w:val="single"/>
        </w:rPr>
        <w:t xml:space="preserve">       </w:t>
      </w:r>
      <w:r>
        <w:rPr>
          <w:rFonts w:hint="eastAsia" w:hAnsi="宋体" w:cs="宋体"/>
          <w:color w:val="auto"/>
          <w:sz w:val="22"/>
          <w:highlight w:val="none"/>
        </w:rPr>
        <w:t>）；</w:t>
      </w:r>
      <w:r>
        <w:rPr>
          <w:rFonts w:hint="eastAsia" w:hAnsi="宋体"/>
          <w:color w:val="auto"/>
          <w:highlight w:val="none"/>
        </w:rPr>
        <w:t>服务期限为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b/>
          <w:color w:val="auto"/>
          <w:highlight w:val="none"/>
          <w:u w:val="single"/>
        </w:rPr>
        <w:t xml:space="preserve"> </w:t>
      </w:r>
      <w:r>
        <w:rPr>
          <w:rFonts w:hint="eastAsia" w:hAnsi="宋体"/>
          <w:b/>
          <w:color w:val="auto"/>
          <w:highlight w:val="none"/>
          <w:u w:val="none"/>
          <w:lang w:eastAsia="zh-CN"/>
        </w:rPr>
        <w:t>，</w:t>
      </w:r>
      <w:r>
        <w:rPr>
          <w:rFonts w:hint="eastAsia" w:hAnsi="宋体" w:cs="宋体"/>
          <w:color w:val="auto"/>
          <w:sz w:val="22"/>
          <w:highlight w:val="none"/>
        </w:rPr>
        <w:t>投标有效期为</w:t>
      </w:r>
      <w:r>
        <w:rPr>
          <w:rFonts w:hint="eastAsia" w:hAnsi="宋体" w:cs="宋体"/>
          <w:color w:val="auto"/>
          <w:sz w:val="22"/>
          <w:highlight w:val="none"/>
          <w:lang w:val="zh-CN"/>
        </w:rPr>
        <w:t>投标截止日起90日历</w:t>
      </w:r>
      <w:r>
        <w:rPr>
          <w:rFonts w:hint="eastAsia" w:hAnsi="宋体" w:cs="宋体"/>
          <w:color w:val="auto"/>
          <w:sz w:val="22"/>
          <w:highlight w:val="none"/>
        </w:rPr>
        <w:t>天。</w:t>
      </w:r>
    </w:p>
    <w:p>
      <w:pPr>
        <w:pStyle w:val="15"/>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hAnsi="宋体" w:cs="宋体"/>
          <w:color w:val="auto"/>
          <w:sz w:val="22"/>
          <w:highlight w:val="none"/>
        </w:rPr>
      </w:pPr>
      <w:r>
        <w:rPr>
          <w:rFonts w:hint="eastAsia" w:hAnsi="宋体" w:cs="宋体"/>
          <w:color w:val="auto"/>
          <w:sz w:val="22"/>
          <w:highlight w:val="none"/>
        </w:rPr>
        <w:t>我方已悉知并及时关注了贵方在陕西省政府采购网、全国公共资源交易平台（陕西省·</w:t>
      </w:r>
      <w:r>
        <w:rPr>
          <w:rFonts w:hint="eastAsia" w:hAnsi="宋体" w:cs="宋体"/>
          <w:color w:val="auto"/>
          <w:sz w:val="22"/>
          <w:highlight w:val="none"/>
          <w:lang w:eastAsia="zh-CN"/>
        </w:rPr>
        <w:t>西安市</w:t>
      </w:r>
      <w:r>
        <w:rPr>
          <w:rFonts w:hint="eastAsia" w:hAnsi="宋体" w:cs="宋体"/>
          <w:color w:val="auto"/>
          <w:sz w:val="22"/>
          <w:highlight w:val="none"/>
        </w:rPr>
        <w:t>）上发布的关于本招标项目的有关变更公告（包括但不限于对招标文件做出的修改或澄清、答疑纪要，以及项目暂停、重启、延期、终止等）。</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Cs/>
          <w:color w:val="auto"/>
          <w:sz w:val="21"/>
          <w:szCs w:val="21"/>
          <w:highlight w:val="none"/>
        </w:rPr>
      </w:pPr>
      <w:r>
        <w:rPr>
          <w:rFonts w:hint="eastAsia" w:ascii="宋体" w:hAnsi="宋体"/>
          <w:bCs/>
          <w:color w:val="auto"/>
          <w:sz w:val="21"/>
          <w:szCs w:val="21"/>
          <w:highlight w:val="none"/>
        </w:rPr>
        <w:t>三、我方承诺除商务和技术偏差表列出的偏差外，我方响应招标文件的全部要求。</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rPr>
        <w:t>四、我方愿意向贵方提供任何与本项采购有关的样品、数据、情况和技术资料。若贵方需要，我方愿意提供我方作出的一切承诺的证明材料。</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bCs/>
          <w:color w:val="auto"/>
          <w:sz w:val="21"/>
          <w:szCs w:val="21"/>
          <w:highlight w:val="none"/>
        </w:rPr>
      </w:pPr>
      <w:bookmarkStart w:id="174" w:name="_Toc1067"/>
      <w:r>
        <w:rPr>
          <w:rFonts w:hint="eastAsia" w:ascii="宋体" w:hAnsi="宋体"/>
          <w:color w:val="auto"/>
          <w:sz w:val="21"/>
          <w:szCs w:val="21"/>
          <w:highlight w:val="none"/>
        </w:rPr>
        <w:t>五、</w:t>
      </w:r>
      <w:r>
        <w:rPr>
          <w:rFonts w:hint="eastAsia" w:ascii="宋体" w:hAnsi="宋体"/>
          <w:bCs/>
          <w:color w:val="auto"/>
          <w:sz w:val="21"/>
          <w:szCs w:val="21"/>
          <w:highlight w:val="none"/>
        </w:rPr>
        <w:t>我方承诺在招标文件规定的投标有效期内不撤销投标文件。</w:t>
      </w:r>
      <w:bookmarkEnd w:id="174"/>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rPr>
        <w:t>六、我方承诺遵守《中华人民共和国政府采购法》及其实施条例的有关规定，保证在获得中标资格后：</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1.在收到中标通知书后，在中标通知书规定的期限内与采购人签订合同；</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2.在签订合同时不向采购人提出附加条件；</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Cs/>
          <w:color w:val="auto"/>
          <w:sz w:val="21"/>
          <w:szCs w:val="21"/>
          <w:highlight w:val="none"/>
        </w:rPr>
      </w:pPr>
      <w:r>
        <w:rPr>
          <w:rFonts w:hint="eastAsia" w:ascii="宋体" w:hAnsi="宋体"/>
          <w:color w:val="auto"/>
          <w:sz w:val="21"/>
          <w:szCs w:val="21"/>
          <w:highlight w:val="none"/>
        </w:rPr>
        <w:t>3.在合同规定期限内完成合同规定的全部义务；</w:t>
      </w:r>
      <w:r>
        <w:rPr>
          <w:rFonts w:hint="eastAsia" w:ascii="宋体" w:hAnsi="宋体"/>
          <w:bCs/>
          <w:color w:val="auto"/>
          <w:sz w:val="21"/>
          <w:szCs w:val="21"/>
          <w:highlight w:val="none"/>
        </w:rPr>
        <w:t xml:space="preserve"> </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bCs/>
          <w:color w:val="auto"/>
          <w:highlight w:val="none"/>
        </w:rPr>
      </w:pPr>
      <w:r>
        <w:rPr>
          <w:rFonts w:hint="eastAsia" w:hAnsi="宋体"/>
          <w:color w:val="auto"/>
          <w:highlight w:val="none"/>
        </w:rPr>
        <w:t>4.</w:t>
      </w:r>
      <w:r>
        <w:rPr>
          <w:rFonts w:hint="eastAsia" w:hAnsi="宋体"/>
          <w:bCs/>
          <w:color w:val="auto"/>
          <w:highlight w:val="none"/>
        </w:rPr>
        <w:t>按照招标文件规定和标准向贵方交纳招标代理服务费；</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olor w:val="auto"/>
          <w:highlight w:val="none"/>
        </w:rPr>
      </w:pPr>
      <w:r>
        <w:rPr>
          <w:rFonts w:hint="eastAsia" w:hAnsi="宋体"/>
          <w:color w:val="auto"/>
          <w:highlight w:val="none"/>
        </w:rPr>
        <w:t>5.按照招标文件规定提交履约保证金。</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Cs/>
          <w:color w:val="auto"/>
          <w:sz w:val="21"/>
          <w:szCs w:val="21"/>
          <w:highlight w:val="none"/>
        </w:rPr>
      </w:pPr>
      <w:r>
        <w:rPr>
          <w:rFonts w:hint="eastAsia" w:ascii="宋体" w:hAnsi="宋体"/>
          <w:color w:val="auto"/>
          <w:sz w:val="21"/>
          <w:szCs w:val="21"/>
          <w:highlight w:val="none"/>
        </w:rPr>
        <w:t>七、</w:t>
      </w:r>
      <w:r>
        <w:rPr>
          <w:rFonts w:hint="eastAsia" w:ascii="宋体" w:hAnsi="宋体"/>
          <w:bCs/>
          <w:color w:val="auto"/>
          <w:sz w:val="21"/>
          <w:szCs w:val="21"/>
          <w:highlight w:val="none"/>
        </w:rPr>
        <w:t>我方完全理解最低报价不是中标的唯一条件，并尊重评标委员会的评审结论和中标结果。</w:t>
      </w:r>
    </w:p>
    <w:p>
      <w:pPr>
        <w:pStyle w:val="17"/>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Cs/>
          <w:color w:val="auto"/>
          <w:sz w:val="21"/>
          <w:szCs w:val="21"/>
          <w:highlight w:val="none"/>
        </w:rPr>
      </w:pPr>
      <w:r>
        <w:rPr>
          <w:rFonts w:hint="eastAsia" w:ascii="宋体" w:hAnsi="宋体"/>
          <w:bCs/>
          <w:color w:val="auto"/>
          <w:sz w:val="21"/>
          <w:szCs w:val="21"/>
          <w:highlight w:val="none"/>
        </w:rPr>
        <w:t>八、</w:t>
      </w:r>
      <w:r>
        <w:rPr>
          <w:rFonts w:hint="eastAsia" w:hAnsi="宋体"/>
          <w:color w:val="auto"/>
          <w:sz w:val="21"/>
          <w:szCs w:val="21"/>
          <w:highlight w:val="none"/>
        </w:rPr>
        <w:t>我方在此声明，所递交的投标文件及有关资料内容完整、真实和准确，且不存在第二章“投标人须知”第</w:t>
      </w:r>
      <w:r>
        <w:rPr>
          <w:rFonts w:hint="eastAsia" w:ascii="宋体" w:hAnsi="宋体"/>
          <w:color w:val="auto"/>
          <w:sz w:val="21"/>
          <w:szCs w:val="21"/>
          <w:highlight w:val="none"/>
        </w:rPr>
        <w:t>1.3.2</w:t>
      </w:r>
      <w:r>
        <w:rPr>
          <w:rFonts w:hint="eastAsia" w:hAnsi="宋体"/>
          <w:color w:val="auto"/>
          <w:sz w:val="21"/>
          <w:szCs w:val="21"/>
          <w:highlight w:val="none"/>
        </w:rPr>
        <w:t>条款规定的任何一种情形。否则，愿承担《中华人民共和国政府采购法》</w:t>
      </w:r>
      <w:r>
        <w:rPr>
          <w:rFonts w:hint="eastAsia" w:hAnsi="宋体"/>
          <w:bCs/>
          <w:color w:val="auto"/>
          <w:sz w:val="21"/>
          <w:szCs w:val="21"/>
          <w:highlight w:val="none"/>
        </w:rPr>
        <w:t>第七十七条规定的法律责任。</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lang w:eastAsia="zh-CN"/>
        </w:rPr>
        <w:t>九</w:t>
      </w:r>
      <w:r>
        <w:rPr>
          <w:rFonts w:hint="eastAsia" w:ascii="宋体" w:hAnsi="宋体" w:cs="宋体"/>
          <w:bCs/>
          <w:color w:val="auto"/>
          <w:sz w:val="22"/>
          <w:szCs w:val="21"/>
          <w:highlight w:val="none"/>
        </w:rPr>
        <w:t>、</w:t>
      </w:r>
      <w:r>
        <w:rPr>
          <w:rFonts w:hint="eastAsia" w:ascii="宋体" w:hAnsi="宋体" w:cs="宋体"/>
          <w:bCs/>
          <w:color w:val="auto"/>
          <w:sz w:val="22"/>
          <w:szCs w:val="21"/>
          <w:highlight w:val="none"/>
          <w:u w:val="single"/>
        </w:rPr>
        <w:t xml:space="preserve">                                      </w:t>
      </w:r>
      <w:r>
        <w:rPr>
          <w:rFonts w:hint="eastAsia" w:ascii="宋体" w:hAnsi="宋体" w:cs="宋体"/>
          <w:bCs/>
          <w:color w:val="auto"/>
          <w:sz w:val="22"/>
          <w:szCs w:val="21"/>
          <w:highlight w:val="none"/>
        </w:rPr>
        <w:t>（其他补充说明）。</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outlineLvl w:val="9"/>
        <w:rPr>
          <w:rFonts w:hint="eastAsia" w:ascii="宋体" w:hAnsi="宋体" w:cs="宋体"/>
          <w:bCs/>
          <w:color w:val="auto"/>
          <w:sz w:val="22"/>
          <w:szCs w:val="21"/>
          <w:highlight w:val="none"/>
        </w:rPr>
      </w:pPr>
      <w:bookmarkStart w:id="175" w:name="_Toc21763"/>
      <w:r>
        <w:rPr>
          <w:rFonts w:hint="eastAsia" w:ascii="宋体" w:hAnsi="宋体" w:cs="宋体"/>
          <w:bCs/>
          <w:color w:val="auto"/>
          <w:sz w:val="22"/>
          <w:szCs w:val="21"/>
          <w:highlight w:val="none"/>
        </w:rPr>
        <w:t>十、有关本项目的所有函电，请按下列地址联系：</w:t>
      </w:r>
      <w:bookmarkEnd w:id="175"/>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投 标 人：</w:t>
      </w:r>
      <w:r>
        <w:rPr>
          <w:rFonts w:hint="eastAsia" w:ascii="宋体" w:hAnsi="宋体" w:cs="宋体"/>
          <w:bCs/>
          <w:color w:val="auto"/>
          <w:sz w:val="22"/>
          <w:szCs w:val="21"/>
          <w:highlight w:val="none"/>
          <w:u w:val="single"/>
        </w:rPr>
        <w:t xml:space="preserve">                                 </w:t>
      </w:r>
      <w:r>
        <w:rPr>
          <w:rFonts w:hint="eastAsia" w:ascii="宋体" w:hAnsi="宋体" w:cs="宋体"/>
          <w:bCs/>
          <w:color w:val="auto"/>
          <w:sz w:val="22"/>
          <w:szCs w:val="21"/>
          <w:highlight w:val="none"/>
        </w:rPr>
        <w:t>（盖单位章）</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法定代表人或委托代理人：</w:t>
      </w:r>
      <w:r>
        <w:rPr>
          <w:rFonts w:hint="eastAsia" w:ascii="宋体" w:hAnsi="宋体" w:cs="宋体"/>
          <w:bCs/>
          <w:color w:val="auto"/>
          <w:sz w:val="22"/>
          <w:szCs w:val="21"/>
          <w:highlight w:val="none"/>
          <w:u w:val="single"/>
        </w:rPr>
        <w:t xml:space="preserve">                   </w:t>
      </w:r>
      <w:r>
        <w:rPr>
          <w:rFonts w:hint="eastAsia" w:ascii="宋体" w:hAnsi="宋体" w:cs="宋体"/>
          <w:bCs/>
          <w:color w:val="auto"/>
          <w:sz w:val="22"/>
          <w:szCs w:val="21"/>
          <w:highlight w:val="none"/>
        </w:rPr>
        <w:t>（签</w:t>
      </w:r>
      <w:r>
        <w:rPr>
          <w:rFonts w:hint="eastAsia" w:ascii="宋体" w:hAnsi="宋体" w:cs="宋体"/>
          <w:bCs/>
          <w:color w:val="auto"/>
          <w:sz w:val="22"/>
          <w:szCs w:val="21"/>
          <w:highlight w:val="none"/>
          <w:lang w:eastAsia="zh-CN"/>
        </w:rPr>
        <w:t>名</w:t>
      </w:r>
      <w:r>
        <w:rPr>
          <w:rFonts w:hint="eastAsia" w:ascii="宋体" w:hAnsi="宋体" w:cs="宋体"/>
          <w:bCs/>
          <w:color w:val="auto"/>
          <w:sz w:val="22"/>
          <w:szCs w:val="21"/>
          <w:highlight w:val="none"/>
          <w:lang w:val="en-US" w:eastAsia="zh-CN"/>
        </w:rPr>
        <w:t>或盖章</w:t>
      </w:r>
      <w:r>
        <w:rPr>
          <w:rFonts w:hint="eastAsia" w:ascii="宋体" w:hAnsi="宋体" w:cs="宋体"/>
          <w:bCs/>
          <w:color w:val="auto"/>
          <w:sz w:val="22"/>
          <w:szCs w:val="21"/>
          <w:highlight w:val="none"/>
        </w:rPr>
        <w:t>）</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通讯地址：</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邮政编码：</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联 系 人：</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联系电话：</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传    真：</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电子邮件：</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开户银行:</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lang w:eastAsia="zh-CN"/>
        </w:rPr>
        <w:t>账</w:t>
      </w:r>
      <w:r>
        <w:rPr>
          <w:rFonts w:hint="eastAsia" w:ascii="宋体" w:hAnsi="宋体" w:cs="宋体"/>
          <w:bCs/>
          <w:color w:val="auto"/>
          <w:sz w:val="22"/>
          <w:szCs w:val="21"/>
          <w:highlight w:val="none"/>
        </w:rPr>
        <w:t xml:space="preserve">    号：</w:t>
      </w:r>
    </w:p>
    <w:p>
      <w:pPr>
        <w:pStyle w:val="17"/>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cs="宋体"/>
          <w:bCs/>
          <w:color w:val="auto"/>
          <w:sz w:val="22"/>
          <w:szCs w:val="21"/>
          <w:highlight w:val="none"/>
        </w:rPr>
      </w:pPr>
      <w:r>
        <w:rPr>
          <w:rFonts w:hint="eastAsia" w:ascii="宋体" w:hAnsi="宋体" w:cs="宋体"/>
          <w:bCs/>
          <w:color w:val="auto"/>
          <w:sz w:val="22"/>
          <w:szCs w:val="21"/>
          <w:highlight w:val="none"/>
        </w:rPr>
        <w:t>日    期：20   年   月   日</w:t>
      </w:r>
    </w:p>
    <w:p>
      <w:pPr>
        <w:keepNext w:val="0"/>
        <w:keepLines w:val="0"/>
        <w:pageBreakBefore w:val="0"/>
        <w:widowControl w:val="0"/>
        <w:kinsoku/>
        <w:wordWrap/>
        <w:overflowPunct/>
        <w:topLinePunct w:val="0"/>
        <w:autoSpaceDE/>
        <w:autoSpaceDN/>
        <w:bidi w:val="0"/>
        <w:spacing w:line="360" w:lineRule="auto"/>
        <w:ind w:firstLine="723" w:firstLineChars="200"/>
        <w:textAlignment w:val="auto"/>
        <w:rPr>
          <w:rFonts w:ascii="宋体" w:hAnsi="宋体" w:cs="宋体"/>
          <w:b/>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numPr>
          <w:ilvl w:val="0"/>
          <w:numId w:val="8"/>
        </w:numPr>
        <w:jc w:val="center"/>
        <w:outlineLvl w:val="9"/>
        <w:rPr>
          <w:rFonts w:hint="eastAsia" w:ascii="宋体" w:hAnsi="宋体" w:cs="宋体"/>
          <w:b/>
          <w:color w:val="auto"/>
          <w:sz w:val="36"/>
          <w:szCs w:val="36"/>
          <w:highlight w:val="none"/>
        </w:rPr>
      </w:pPr>
      <w:bookmarkStart w:id="176" w:name="_Toc25583"/>
      <w:r>
        <w:rPr>
          <w:rFonts w:hint="eastAsia" w:ascii="宋体" w:hAnsi="宋体" w:cs="宋体"/>
          <w:b/>
          <w:color w:val="auto"/>
          <w:sz w:val="36"/>
          <w:szCs w:val="36"/>
          <w:highlight w:val="none"/>
        </w:rPr>
        <w:t>开标一览表</w:t>
      </w:r>
      <w:bookmarkEnd w:id="176"/>
      <w:r>
        <w:rPr>
          <w:rFonts w:hint="eastAsia" w:ascii="宋体" w:hAnsi="宋体" w:cs="宋体"/>
          <w:b/>
          <w:color w:val="auto"/>
          <w:sz w:val="36"/>
          <w:szCs w:val="36"/>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color w:val="auto"/>
          <w:sz w:val="28"/>
          <w:szCs w:val="28"/>
          <w:highlight w:val="none"/>
          <w:lang w:eastAsia="zh-CN"/>
        </w:rPr>
      </w:pPr>
      <w:r>
        <w:rPr>
          <w:rFonts w:hint="eastAsia" w:ascii="宋体" w:hAnsi="宋体"/>
          <w:b w:val="0"/>
          <w:color w:val="auto"/>
          <w:sz w:val="28"/>
          <w:szCs w:val="28"/>
          <w:highlight w:val="none"/>
          <w:lang w:eastAsia="zh-CN"/>
        </w:rPr>
        <w:t>项目名称：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eastAsia="zh-CN"/>
        </w:rPr>
      </w:pPr>
      <w:r>
        <w:rPr>
          <w:rFonts w:hint="eastAsia"/>
          <w:color w:val="auto"/>
          <w:sz w:val="28"/>
          <w:szCs w:val="28"/>
          <w:highlight w:val="none"/>
          <w:lang w:eastAsia="zh-CN"/>
        </w:rPr>
        <w:t>项目编号：</w:t>
      </w:r>
    </w:p>
    <w:tbl>
      <w:tblPr>
        <w:tblStyle w:val="29"/>
        <w:tblW w:w="9015" w:type="dxa"/>
        <w:tblInd w:w="93" w:type="dxa"/>
        <w:tblLayout w:type="fixed"/>
        <w:tblCellMar>
          <w:top w:w="0" w:type="dxa"/>
          <w:left w:w="108" w:type="dxa"/>
          <w:bottom w:w="0" w:type="dxa"/>
          <w:right w:w="108" w:type="dxa"/>
        </w:tblCellMar>
      </w:tblPr>
      <w:tblGrid>
        <w:gridCol w:w="4020"/>
        <w:gridCol w:w="4995"/>
      </w:tblGrid>
      <w:tr>
        <w:tblPrEx>
          <w:tblCellMar>
            <w:top w:w="0" w:type="dxa"/>
            <w:left w:w="108" w:type="dxa"/>
            <w:bottom w:w="0" w:type="dxa"/>
            <w:right w:w="108" w:type="dxa"/>
          </w:tblCellMar>
        </w:tblPrEx>
        <w:trPr>
          <w:trHeight w:val="555" w:hRule="atLeast"/>
        </w:trPr>
        <w:tc>
          <w:tcPr>
            <w:tcW w:w="9015" w:type="dxa"/>
            <w:gridSpan w:val="2"/>
            <w:tcBorders>
              <w:top w:val="single" w:color="auto" w:sz="12" w:space="0"/>
              <w:left w:val="single" w:color="auto" w:sz="12" w:space="0"/>
              <w:bottom w:val="single" w:color="auto" w:sz="4" w:space="0"/>
              <w:right w:val="single" w:color="auto" w:sz="12" w:space="0"/>
            </w:tcBorders>
            <w:noWrap/>
            <w:vAlign w:val="center"/>
          </w:tcPr>
          <w:p>
            <w:pPr>
              <w:widowControl/>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投标人名称：</w:t>
            </w:r>
          </w:p>
        </w:tc>
      </w:tr>
      <w:tr>
        <w:tblPrEx>
          <w:tblCellMar>
            <w:top w:w="0" w:type="dxa"/>
            <w:left w:w="108" w:type="dxa"/>
            <w:bottom w:w="0" w:type="dxa"/>
            <w:right w:w="108" w:type="dxa"/>
          </w:tblCellMar>
        </w:tblPrEx>
        <w:trPr>
          <w:trHeight w:val="900" w:hRule="atLeast"/>
        </w:trPr>
        <w:tc>
          <w:tcPr>
            <w:tcW w:w="4020" w:type="dxa"/>
            <w:tcBorders>
              <w:top w:val="nil"/>
              <w:left w:val="single" w:color="auto" w:sz="12" w:space="0"/>
              <w:bottom w:val="single" w:color="auto" w:sz="4" w:space="0"/>
              <w:right w:val="single" w:color="auto" w:sz="4" w:space="0"/>
            </w:tcBorders>
            <w:noWrap/>
            <w:vAlign w:val="center"/>
          </w:tcPr>
          <w:p>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报价（元）</w:t>
            </w:r>
          </w:p>
        </w:tc>
        <w:tc>
          <w:tcPr>
            <w:tcW w:w="4995" w:type="dxa"/>
            <w:tcBorders>
              <w:top w:val="nil"/>
              <w:left w:val="nil"/>
              <w:bottom w:val="single" w:color="auto" w:sz="4" w:space="0"/>
              <w:right w:val="single" w:color="auto" w:sz="12" w:space="0"/>
            </w:tcBorders>
            <w:noWrap/>
            <w:vAlign w:val="center"/>
          </w:tcPr>
          <w:p>
            <w:pPr>
              <w:widowControl/>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服务期限</w:t>
            </w:r>
          </w:p>
        </w:tc>
      </w:tr>
      <w:tr>
        <w:tblPrEx>
          <w:tblCellMar>
            <w:top w:w="0" w:type="dxa"/>
            <w:left w:w="108" w:type="dxa"/>
            <w:bottom w:w="0" w:type="dxa"/>
            <w:right w:w="108" w:type="dxa"/>
          </w:tblCellMar>
        </w:tblPrEx>
        <w:trPr>
          <w:trHeight w:val="1170" w:hRule="atLeast"/>
        </w:trPr>
        <w:tc>
          <w:tcPr>
            <w:tcW w:w="4020" w:type="dxa"/>
            <w:tcBorders>
              <w:top w:val="nil"/>
              <w:left w:val="single" w:color="auto" w:sz="12" w:space="0"/>
              <w:bottom w:val="single" w:color="auto" w:sz="4" w:space="0"/>
              <w:right w:val="single" w:color="auto" w:sz="4" w:space="0"/>
            </w:tcBorders>
            <w:noWrap/>
            <w:vAlign w:val="center"/>
          </w:tcPr>
          <w:p>
            <w:pPr>
              <w:widowControl/>
              <w:jc w:val="left"/>
              <w:rPr>
                <w:rFonts w:ascii="宋体" w:hAnsi="宋体" w:cs="宋体"/>
                <w:color w:val="auto"/>
                <w:kern w:val="0"/>
                <w:sz w:val="24"/>
                <w:highlight w:val="none"/>
              </w:rPr>
            </w:pPr>
          </w:p>
        </w:tc>
        <w:tc>
          <w:tcPr>
            <w:tcW w:w="4995" w:type="dxa"/>
            <w:tcBorders>
              <w:top w:val="nil"/>
              <w:left w:val="nil"/>
              <w:bottom w:val="single" w:color="auto" w:sz="4" w:space="0"/>
              <w:right w:val="single" w:color="auto" w:sz="12" w:space="0"/>
            </w:tcBorders>
            <w:noWrap/>
            <w:vAlign w:val="center"/>
          </w:tcPr>
          <w:p>
            <w:pPr>
              <w:widowControl/>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765" w:hRule="atLeast"/>
        </w:trPr>
        <w:tc>
          <w:tcPr>
            <w:tcW w:w="9015" w:type="dxa"/>
            <w:gridSpan w:val="2"/>
            <w:tcBorders>
              <w:top w:val="single" w:color="auto" w:sz="4" w:space="0"/>
              <w:left w:val="single" w:color="auto" w:sz="12" w:space="0"/>
              <w:bottom w:val="single" w:color="auto" w:sz="12" w:space="0"/>
              <w:right w:val="single" w:color="auto" w:sz="12" w:space="0"/>
            </w:tcBorders>
            <w:noWrap/>
            <w:vAlign w:val="center"/>
          </w:tcPr>
          <w:p>
            <w:pPr>
              <w:widowControl/>
              <w:jc w:val="left"/>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投标</w:t>
            </w:r>
            <w:r>
              <w:rPr>
                <w:rFonts w:hint="eastAsia" w:ascii="宋体" w:hAnsi="宋体" w:cs="宋体"/>
                <w:b/>
                <w:bCs/>
                <w:color w:val="auto"/>
                <w:kern w:val="0"/>
                <w:sz w:val="24"/>
                <w:highlight w:val="none"/>
              </w:rPr>
              <w:t>报价（大写）：</w:t>
            </w:r>
          </w:p>
        </w:tc>
      </w:tr>
    </w:tbl>
    <w:p>
      <w:pPr>
        <w:rPr>
          <w:rFonts w:hint="eastAsia"/>
          <w:color w:val="auto"/>
          <w:highlight w:val="none"/>
        </w:rPr>
      </w:pPr>
    </w:p>
    <w:p>
      <w:pPr>
        <w:spacing w:line="360" w:lineRule="auto"/>
        <w:ind w:left="412" w:hanging="411" w:hangingChars="196"/>
        <w:jc w:val="left"/>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spacing w:line="360" w:lineRule="auto"/>
        <w:ind w:left="412" w:hanging="411" w:hangingChars="196"/>
        <w:jc w:val="left"/>
        <w:rPr>
          <w:rFonts w:hint="eastAsia" w:ascii="楷体" w:hAnsi="楷体" w:eastAsia="楷体"/>
          <w:color w:val="auto"/>
          <w:szCs w:val="21"/>
          <w:highlight w:val="none"/>
        </w:rPr>
      </w:pPr>
      <w:r>
        <w:rPr>
          <w:rFonts w:hint="eastAsia" w:ascii="楷体" w:hAnsi="楷体" w:eastAsia="楷体"/>
          <w:color w:val="auto"/>
          <w:szCs w:val="21"/>
          <w:highlight w:val="none"/>
        </w:rPr>
        <w:t>1、报价应精确到小数点后两位，大小写不一致时，以大写为准；</w:t>
      </w:r>
    </w:p>
    <w:p>
      <w:pPr>
        <w:spacing w:line="360" w:lineRule="auto"/>
        <w:ind w:left="412" w:hanging="411" w:hangingChars="196"/>
        <w:jc w:val="left"/>
        <w:rPr>
          <w:rFonts w:hint="eastAsia" w:ascii="楷体" w:hAnsi="楷体" w:eastAsia="楷体"/>
          <w:color w:val="auto"/>
          <w:szCs w:val="21"/>
          <w:highlight w:val="none"/>
        </w:rPr>
      </w:pPr>
      <w:r>
        <w:rPr>
          <w:rFonts w:hint="eastAsia" w:ascii="楷体" w:hAnsi="楷体" w:eastAsia="楷体"/>
          <w:color w:val="auto"/>
          <w:szCs w:val="21"/>
          <w:highlight w:val="none"/>
        </w:rPr>
        <w:t>2、“开标一览表”以包为单位填写；</w:t>
      </w:r>
    </w:p>
    <w:p>
      <w:pPr>
        <w:spacing w:line="360" w:lineRule="auto"/>
        <w:ind w:left="412" w:hanging="411" w:hangingChars="196"/>
        <w:jc w:val="left"/>
        <w:rPr>
          <w:rFonts w:hint="eastAsia" w:ascii="楷体" w:hAnsi="楷体" w:eastAsia="楷体"/>
          <w:color w:val="auto"/>
          <w:szCs w:val="21"/>
          <w:highlight w:val="none"/>
        </w:rPr>
      </w:pPr>
      <w:r>
        <w:rPr>
          <w:rFonts w:hint="eastAsia" w:ascii="楷体" w:hAnsi="楷体" w:eastAsia="楷体"/>
          <w:color w:val="auto"/>
          <w:szCs w:val="21"/>
          <w:highlight w:val="none"/>
        </w:rPr>
        <w:t>3、有分包的，项目名称填写分包的项目名称，无分包的填写采购项目名称；</w:t>
      </w:r>
    </w:p>
    <w:p>
      <w:pPr>
        <w:spacing w:line="360" w:lineRule="auto"/>
        <w:ind w:left="11" w:hanging="11" w:hangingChars="5"/>
        <w:jc w:val="left"/>
        <w:rPr>
          <w:rFonts w:hint="eastAsia" w:ascii="楷体" w:hAnsi="楷体" w:eastAsia="楷体"/>
          <w:b/>
          <w:bCs/>
          <w:color w:val="auto"/>
          <w:szCs w:val="21"/>
          <w:highlight w:val="none"/>
        </w:rPr>
      </w:pPr>
      <w:r>
        <w:rPr>
          <w:rFonts w:hint="eastAsia" w:ascii="楷体" w:hAnsi="楷体" w:eastAsia="楷体"/>
          <w:b/>
          <w:bCs/>
          <w:color w:val="auto"/>
          <w:szCs w:val="21"/>
          <w:highlight w:val="none"/>
        </w:rPr>
        <w:t>4、</w:t>
      </w:r>
      <w:r>
        <w:rPr>
          <w:rFonts w:hint="eastAsia" w:ascii="楷体" w:hAnsi="楷体" w:eastAsia="楷体"/>
          <w:b/>
          <w:bCs/>
          <w:color w:val="auto"/>
          <w:szCs w:val="21"/>
          <w:highlight w:val="none"/>
          <w:lang w:eastAsia="zh-CN"/>
        </w:rPr>
        <w:t>全国</w:t>
      </w:r>
      <w:r>
        <w:rPr>
          <w:rFonts w:hint="eastAsia" w:ascii="楷体" w:hAnsi="楷体" w:eastAsia="楷体"/>
          <w:b/>
          <w:bCs/>
          <w:color w:val="auto"/>
          <w:szCs w:val="21"/>
          <w:highlight w:val="none"/>
        </w:rPr>
        <w:t>公共资源交易平台（</w:t>
      </w:r>
      <w:r>
        <w:rPr>
          <w:rFonts w:hint="eastAsia" w:ascii="楷体" w:hAnsi="楷体" w:eastAsia="楷体"/>
          <w:b/>
          <w:bCs/>
          <w:color w:val="auto"/>
          <w:szCs w:val="21"/>
          <w:highlight w:val="none"/>
          <w:lang w:eastAsia="zh-CN"/>
        </w:rPr>
        <w:t>陕西省-西安市</w:t>
      </w:r>
      <w:r>
        <w:rPr>
          <w:rFonts w:hint="eastAsia" w:ascii="楷体" w:hAnsi="楷体" w:eastAsia="楷体"/>
          <w:b/>
          <w:bCs/>
          <w:color w:val="auto"/>
          <w:szCs w:val="21"/>
          <w:highlight w:val="none"/>
        </w:rPr>
        <w:t>）生成的电子招标文件中的“投标报价”应与本“开标一览表”中的“报价”金额一致。</w:t>
      </w:r>
    </w:p>
    <w:p>
      <w:pPr>
        <w:adjustRightInd w:val="0"/>
        <w:spacing w:line="400" w:lineRule="exact"/>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pPr>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w:t>
      </w:r>
      <w:r>
        <w:rPr>
          <w:rFonts w:hint="eastAsia" w:ascii="宋体" w:hAnsi="宋体" w:cs="宋体"/>
          <w:color w:val="auto"/>
          <w:szCs w:val="21"/>
          <w:highlight w:val="none"/>
          <w:lang w:eastAsia="zh-CN"/>
        </w:rPr>
        <w:t>名</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w:t>
      </w: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b/>
          <w:color w:val="auto"/>
          <w:szCs w:val="21"/>
          <w:highlight w:val="none"/>
        </w:rPr>
      </w:pPr>
      <w:r>
        <w:rPr>
          <w:rFonts w:hint="eastAsia" w:ascii="宋体" w:hAnsi="宋体" w:cs="宋体"/>
          <w:color w:val="auto"/>
          <w:szCs w:val="21"/>
          <w:highlight w:val="none"/>
        </w:rPr>
        <w:t>日     期：20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b/>
          <w:color w:val="auto"/>
          <w:sz w:val="36"/>
          <w:szCs w:val="36"/>
          <w:highlight w:val="none"/>
        </w:rPr>
        <w:sectPr>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titlePg/>
          <w:rtlGutter w:val="1"/>
        </w:sectPr>
      </w:pPr>
    </w:p>
    <w:p>
      <w:pPr>
        <w:spacing w:before="0" w:after="360" w:line="360" w:lineRule="auto"/>
        <w:jc w:val="center"/>
        <w:outlineLvl w:val="9"/>
        <w:rPr>
          <w:rFonts w:hint="eastAsia" w:ascii="宋体" w:hAnsi="宋体"/>
          <w:b w:val="0"/>
          <w:color w:val="auto"/>
          <w:sz w:val="36"/>
          <w:szCs w:val="36"/>
          <w:highlight w:val="none"/>
        </w:rPr>
      </w:pPr>
      <w:bookmarkStart w:id="177" w:name="_Toc31488"/>
      <w:bookmarkStart w:id="178" w:name="_Toc217446086"/>
      <w:r>
        <w:rPr>
          <w:rFonts w:hint="eastAsia" w:ascii="宋体" w:hAnsi="宋体" w:eastAsia="宋体"/>
          <w:bCs/>
          <w:color w:val="auto"/>
          <w:sz w:val="36"/>
          <w:szCs w:val="36"/>
          <w:highlight w:val="none"/>
        </w:rPr>
        <w:t>三、</w:t>
      </w:r>
      <w:r>
        <w:rPr>
          <w:rFonts w:hint="eastAsia" w:ascii="宋体" w:hAnsi="宋体"/>
          <w:b w:val="0"/>
          <w:bCs/>
          <w:color w:val="auto"/>
          <w:sz w:val="36"/>
          <w:szCs w:val="36"/>
          <w:highlight w:val="none"/>
        </w:rPr>
        <w:t>分项报价明细表</w:t>
      </w:r>
      <w:bookmarkEnd w:id="177"/>
    </w:p>
    <w:p>
      <w:pPr>
        <w:pStyle w:val="6"/>
        <w:spacing w:before="120" w:beforeLines="50" w:after="120" w:afterLines="50"/>
        <w:ind w:firstLine="315" w:firstLineChars="150"/>
        <w:rPr>
          <w:rFonts w:hint="eastAsia"/>
          <w:color w:val="auto"/>
          <w:highlight w:val="none"/>
        </w:rPr>
      </w:pPr>
      <w:r>
        <w:rPr>
          <w:rFonts w:hint="eastAsia"/>
          <w:color w:val="auto"/>
          <w:highlight w:val="none"/>
        </w:rPr>
        <w:t>投标人名称：                                                采购项目编号：</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268"/>
        <w:gridCol w:w="1558"/>
        <w:gridCol w:w="993"/>
        <w:gridCol w:w="1129"/>
        <w:gridCol w:w="1384"/>
        <w:gridCol w:w="1261"/>
        <w:gridCol w:w="10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94" w:type="pct"/>
            <w:noWrap w:val="0"/>
            <w:vAlign w:val="center"/>
          </w:tcPr>
          <w:p>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691" w:type="pct"/>
            <w:noWrap w:val="0"/>
            <w:vAlign w:val="center"/>
          </w:tcPr>
          <w:p>
            <w:pPr>
              <w:adjustRightInd w:val="0"/>
              <w:snapToGrid w:val="0"/>
              <w:jc w:val="center"/>
              <w:rPr>
                <w:rFonts w:hint="eastAsia" w:ascii="宋体" w:hAnsi="宋体" w:eastAsia="宋体"/>
                <w:b/>
                <w:color w:val="auto"/>
                <w:szCs w:val="21"/>
                <w:highlight w:val="none"/>
                <w:lang w:eastAsia="zh-CN"/>
              </w:rPr>
            </w:pPr>
            <w:r>
              <w:rPr>
                <w:rFonts w:hint="eastAsia" w:ascii="宋体" w:hAnsi="宋体"/>
                <w:b/>
                <w:color w:val="auto"/>
                <w:szCs w:val="21"/>
                <w:highlight w:val="none"/>
              </w:rPr>
              <w:t>服务</w:t>
            </w:r>
            <w:r>
              <w:rPr>
                <w:rFonts w:hint="eastAsia" w:ascii="宋体" w:hAnsi="宋体"/>
                <w:b/>
                <w:color w:val="auto"/>
                <w:szCs w:val="21"/>
                <w:highlight w:val="none"/>
                <w:lang w:val="en-US" w:eastAsia="zh-CN"/>
              </w:rPr>
              <w:t>内容</w:t>
            </w:r>
          </w:p>
        </w:tc>
        <w:tc>
          <w:tcPr>
            <w:tcW w:w="849" w:type="pct"/>
            <w:noWrap w:val="0"/>
            <w:vAlign w:val="center"/>
          </w:tcPr>
          <w:p>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具体要求说明</w:t>
            </w:r>
          </w:p>
        </w:tc>
        <w:tc>
          <w:tcPr>
            <w:tcW w:w="541" w:type="pct"/>
            <w:noWrap w:val="0"/>
            <w:vAlign w:val="center"/>
          </w:tcPr>
          <w:p>
            <w:pPr>
              <w:adjustRightInd w:val="0"/>
              <w:snapToGrid w:val="0"/>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数量</w:t>
            </w:r>
          </w:p>
        </w:tc>
        <w:tc>
          <w:tcPr>
            <w:tcW w:w="615" w:type="pct"/>
            <w:noWrap w:val="0"/>
            <w:vAlign w:val="center"/>
          </w:tcPr>
          <w:p>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计量单位</w:t>
            </w:r>
          </w:p>
        </w:tc>
        <w:tc>
          <w:tcPr>
            <w:tcW w:w="754" w:type="pct"/>
            <w:noWrap w:val="0"/>
            <w:vAlign w:val="center"/>
          </w:tcPr>
          <w:p>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单价（元）</w:t>
            </w:r>
          </w:p>
        </w:tc>
        <w:tc>
          <w:tcPr>
            <w:tcW w:w="687" w:type="pct"/>
            <w:noWrap w:val="0"/>
            <w:vAlign w:val="center"/>
          </w:tcPr>
          <w:p>
            <w:pPr>
              <w:snapToGrid w:val="0"/>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小计（元）</w:t>
            </w:r>
          </w:p>
        </w:tc>
        <w:tc>
          <w:tcPr>
            <w:tcW w:w="566" w:type="pct"/>
            <w:noWrap w:val="0"/>
            <w:vAlign w:val="center"/>
          </w:tcPr>
          <w:p>
            <w:pPr>
              <w:adjustRightInd w:val="0"/>
              <w:snapToGrid w:val="0"/>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pStyle w:val="2"/>
              <w:spacing w:line="360" w:lineRule="auto"/>
              <w:jc w:val="center"/>
              <w:rPr>
                <w:rFonts w:hint="eastAsia" w:ascii="宋体" w:hAnsi="宋体" w:cs="宋体"/>
                <w:b w:val="0"/>
                <w:color w:val="auto"/>
                <w:sz w:val="21"/>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pStyle w:val="2"/>
              <w:spacing w:line="360" w:lineRule="auto"/>
              <w:jc w:val="center"/>
              <w:rPr>
                <w:rFonts w:hint="eastAsia" w:ascii="宋体" w:hAnsi="宋体" w:cs="宋体"/>
                <w:b w:val="0"/>
                <w:color w:val="auto"/>
                <w:sz w:val="21"/>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adjustRightInd w:val="0"/>
              <w:snapToGrid w:val="0"/>
              <w:spacing w:line="360" w:lineRule="auto"/>
              <w:jc w:val="center"/>
              <w:rPr>
                <w:rFonts w:hint="eastAsia" w:ascii="宋体" w:hAnsi="宋体" w:cs="宋体"/>
                <w:color w:val="auto"/>
                <w:szCs w:val="21"/>
                <w:highlight w:val="none"/>
              </w:rPr>
            </w:pP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91" w:type="pct"/>
            <w:noWrap w:val="0"/>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849" w:type="pct"/>
            <w:noWrap w:val="0"/>
            <w:vAlign w:val="top"/>
          </w:tcPr>
          <w:p>
            <w:pPr>
              <w:adjustRightInd w:val="0"/>
              <w:snapToGrid w:val="0"/>
              <w:spacing w:line="360" w:lineRule="auto"/>
              <w:jc w:val="center"/>
              <w:rPr>
                <w:rFonts w:hint="eastAsia" w:ascii="宋体" w:hAnsi="宋体"/>
                <w:color w:val="auto"/>
                <w:szCs w:val="21"/>
                <w:highlight w:val="none"/>
              </w:rPr>
            </w:pPr>
          </w:p>
        </w:tc>
        <w:tc>
          <w:tcPr>
            <w:tcW w:w="541" w:type="pct"/>
            <w:noWrap w:val="0"/>
            <w:vAlign w:val="top"/>
          </w:tcPr>
          <w:p>
            <w:pPr>
              <w:adjustRightInd w:val="0"/>
              <w:snapToGrid w:val="0"/>
              <w:spacing w:line="360" w:lineRule="auto"/>
              <w:jc w:val="center"/>
              <w:rPr>
                <w:rFonts w:hint="eastAsia" w:ascii="宋体" w:hAnsi="宋体"/>
                <w:color w:val="auto"/>
                <w:szCs w:val="21"/>
                <w:highlight w:val="none"/>
              </w:rPr>
            </w:pPr>
          </w:p>
        </w:tc>
        <w:tc>
          <w:tcPr>
            <w:tcW w:w="615" w:type="pct"/>
            <w:noWrap w:val="0"/>
            <w:vAlign w:val="top"/>
          </w:tcPr>
          <w:p>
            <w:pPr>
              <w:adjustRightInd w:val="0"/>
              <w:snapToGrid w:val="0"/>
              <w:spacing w:line="360" w:lineRule="auto"/>
              <w:jc w:val="center"/>
              <w:rPr>
                <w:rFonts w:hint="eastAsia" w:ascii="宋体" w:hAnsi="宋体" w:cs="宋体"/>
                <w:color w:val="auto"/>
                <w:szCs w:val="21"/>
                <w:highlight w:val="none"/>
              </w:rPr>
            </w:pPr>
          </w:p>
        </w:tc>
        <w:tc>
          <w:tcPr>
            <w:tcW w:w="754" w:type="pct"/>
            <w:noWrap w:val="0"/>
            <w:vAlign w:val="center"/>
          </w:tcPr>
          <w:p>
            <w:pPr>
              <w:adjustRightInd w:val="0"/>
              <w:snapToGrid w:val="0"/>
              <w:spacing w:line="360" w:lineRule="auto"/>
              <w:jc w:val="center"/>
              <w:rPr>
                <w:rFonts w:hint="eastAsia" w:ascii="宋体" w:hAnsi="宋体"/>
                <w:color w:val="auto"/>
                <w:szCs w:val="21"/>
                <w:highlight w:val="none"/>
              </w:rPr>
            </w:pPr>
          </w:p>
        </w:tc>
        <w:tc>
          <w:tcPr>
            <w:tcW w:w="687" w:type="pct"/>
            <w:noWrap w:val="0"/>
            <w:vAlign w:val="top"/>
          </w:tcPr>
          <w:p>
            <w:pPr>
              <w:adjustRightInd w:val="0"/>
              <w:snapToGrid w:val="0"/>
              <w:spacing w:line="360" w:lineRule="auto"/>
              <w:jc w:val="center"/>
              <w:rPr>
                <w:rFonts w:hint="eastAsia" w:ascii="宋体" w:hAnsi="宋体"/>
                <w:color w:val="auto"/>
                <w:szCs w:val="21"/>
                <w:highlight w:val="none"/>
              </w:rPr>
            </w:pPr>
          </w:p>
        </w:tc>
        <w:tc>
          <w:tcPr>
            <w:tcW w:w="566" w:type="pct"/>
            <w:noWrap w:val="0"/>
            <w:vAlign w:val="center"/>
          </w:tcPr>
          <w:p>
            <w:pPr>
              <w:adjustRightInd w:val="0"/>
              <w:snapToGrid w:val="0"/>
              <w:spacing w:line="360" w:lineRule="auto"/>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8"/>
            <w:noWrap w:val="0"/>
            <w:vAlign w:val="center"/>
          </w:tcPr>
          <w:p>
            <w:pPr>
              <w:adjustRightInd w:val="0"/>
              <w:snapToGrid w:val="0"/>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rPr>
              <w:t>合计报价（大写）</w:t>
            </w:r>
            <w:r>
              <w:rPr>
                <w:rFonts w:hint="eastAsia" w:ascii="宋体" w:hAnsi="宋体"/>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8"/>
            <w:noWrap w:val="0"/>
            <w:vAlign w:val="center"/>
          </w:tcPr>
          <w:p>
            <w:pPr>
              <w:adjustRightInd w:val="0"/>
              <w:snapToGrid w:val="0"/>
              <w:spacing w:line="360" w:lineRule="auto"/>
              <w:jc w:val="both"/>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合计报价（小写）：</w:t>
            </w:r>
            <w:r>
              <w:rPr>
                <w:rFonts w:hint="eastAsia" w:ascii="宋体" w:hAnsi="宋体"/>
                <w:color w:val="auto"/>
                <w:szCs w:val="21"/>
                <w:highlight w:val="none"/>
              </w:rPr>
              <w:t>￥</w:t>
            </w:r>
          </w:p>
        </w:tc>
      </w:tr>
    </w:tbl>
    <w:p>
      <w:pPr>
        <w:keepNext w:val="0"/>
        <w:keepLines w:val="0"/>
        <w:pageBreakBefore w:val="0"/>
        <w:widowControl w:val="0"/>
        <w:kinsoku/>
        <w:wordWrap/>
        <w:overflowPunct/>
        <w:topLinePunct w:val="0"/>
        <w:autoSpaceDE/>
        <w:autoSpaceDN/>
        <w:bidi w:val="0"/>
        <w:adjustRightInd w:val="0"/>
        <w:snapToGrid w:val="0"/>
        <w:spacing w:before="120" w:beforeLines="50" w:line="360" w:lineRule="auto"/>
        <w:ind w:left="-88" w:leftChars="-42" w:firstLine="210" w:firstLineChars="100"/>
        <w:textAlignment w:val="auto"/>
        <w:rPr>
          <w:rFonts w:hint="eastAsia" w:ascii="宋体" w:hAnsi="宋体"/>
          <w:color w:val="auto"/>
          <w:szCs w:val="21"/>
          <w:highlight w:val="none"/>
        </w:rPr>
      </w:pPr>
      <w:r>
        <w:rPr>
          <w:rFonts w:hint="eastAsia" w:ascii="宋体" w:hAnsi="宋体" w:eastAsia="宋体" w:cs="Times New Roman"/>
          <w:color w:val="auto"/>
          <w:szCs w:val="21"/>
          <w:highlight w:val="none"/>
        </w:rPr>
        <w:t>说明：1.投标人应当按本表的格式详细报出投标报价的各个组成部分的报价，否则按无效投标处</w:t>
      </w:r>
      <w:r>
        <w:rPr>
          <w:rFonts w:hint="eastAsia" w:ascii="宋体" w:hAnsi="宋体"/>
          <w:color w:val="auto"/>
          <w:szCs w:val="21"/>
          <w:highlight w:val="none"/>
        </w:rPr>
        <w:t>理；报价精确到小数点后两位；</w:t>
      </w:r>
    </w:p>
    <w:p>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840" w:firstLineChars="400"/>
        <w:textAlignment w:val="auto"/>
        <w:rPr>
          <w:rFonts w:hint="eastAsia" w:ascii="宋体" w:hAnsi="宋体"/>
          <w:bCs/>
          <w:color w:val="auto"/>
          <w:szCs w:val="21"/>
          <w:highlight w:val="none"/>
        </w:rPr>
      </w:pPr>
      <w:r>
        <w:rPr>
          <w:rFonts w:hint="eastAsia" w:ascii="宋体" w:hAnsi="宋体"/>
          <w:color w:val="auto"/>
          <w:szCs w:val="21"/>
          <w:highlight w:val="none"/>
        </w:rPr>
        <w:t>2.本</w:t>
      </w:r>
      <w:r>
        <w:rPr>
          <w:rFonts w:hint="eastAsia" w:ascii="宋体" w:hAnsi="宋体"/>
          <w:bCs/>
          <w:color w:val="auto"/>
          <w:szCs w:val="21"/>
          <w:highlight w:val="none"/>
        </w:rPr>
        <w:t>表各分项报价合计应当与“开标一览表”投标报价</w:t>
      </w:r>
      <w:r>
        <w:rPr>
          <w:rFonts w:hint="eastAsia" w:ascii="宋体" w:hAnsi="宋体"/>
          <w:bCs/>
          <w:color w:val="auto"/>
          <w:szCs w:val="21"/>
          <w:highlight w:val="none"/>
          <w:lang w:val="en-US" w:eastAsia="zh-CN"/>
        </w:rPr>
        <w:t>相等</w:t>
      </w:r>
      <w:r>
        <w:rPr>
          <w:rFonts w:hint="eastAsia" w:ascii="宋体" w:hAnsi="宋体"/>
          <w:bCs/>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840" w:firstLineChars="400"/>
        <w:textAlignment w:val="auto"/>
        <w:rPr>
          <w:rFonts w:hint="eastAsia" w:ascii="宋体" w:hAnsi="宋体"/>
          <w:color w:val="auto"/>
          <w:highlight w:val="none"/>
        </w:rPr>
      </w:pPr>
      <w:r>
        <w:rPr>
          <w:rFonts w:hint="eastAsia" w:ascii="宋体" w:hAnsi="宋体"/>
          <w:color w:val="auto"/>
          <w:szCs w:val="21"/>
          <w:highlight w:val="none"/>
        </w:rPr>
        <w:t>3.如本项目包括采购货物的，有投标产品属于节能、环境标志产品的、不填报的，在评标时不予加分；</w:t>
      </w:r>
    </w:p>
    <w:p>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840" w:firstLineChars="400"/>
        <w:textAlignment w:val="auto"/>
        <w:rPr>
          <w:rFonts w:hint="eastAsia" w:ascii="楷体" w:hAnsi="楷体" w:eastAsia="楷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.本表行数不足的，可自行扩展。</w:t>
      </w:r>
    </w:p>
    <w:p>
      <w:pPr>
        <w:adjustRightInd w:val="0"/>
        <w:spacing w:before="480" w:beforeLines="20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adjustRightInd w:val="0"/>
        <w:spacing w:before="120"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w:t>
      </w:r>
      <w:r>
        <w:rPr>
          <w:rFonts w:hint="eastAsia" w:ascii="宋体" w:hAnsi="宋体"/>
          <w:color w:val="auto"/>
          <w:szCs w:val="21"/>
          <w:highlight w:val="none"/>
          <w:lang w:eastAsia="zh-CN"/>
        </w:rPr>
        <w:t>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pPr>
        <w:adjustRightInd w:val="0"/>
        <w:spacing w:before="120"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日  期：20     年   月   日</w:t>
      </w:r>
      <w:bookmarkEnd w:id="178"/>
      <w:bookmarkStart w:id="179" w:name="_Toc217446087"/>
    </w:p>
    <w:p>
      <w:pPr>
        <w:spacing w:before="0" w:after="100" w:afterAutospacing="1" w:line="360" w:lineRule="auto"/>
        <w:jc w:val="center"/>
        <w:outlineLvl w:val="9"/>
        <w:rPr>
          <w:rFonts w:hint="eastAsia" w:ascii="黑体" w:hAnsi="宋体"/>
          <w:b w:val="0"/>
          <w:color w:val="auto"/>
          <w:sz w:val="36"/>
          <w:szCs w:val="36"/>
          <w:highlight w:val="none"/>
        </w:rPr>
      </w:pPr>
      <w:bookmarkStart w:id="180" w:name="_Toc20931"/>
      <w:r>
        <w:rPr>
          <w:rFonts w:hint="eastAsia" w:ascii="黑体" w:hAnsi="宋体"/>
          <w:b w:val="0"/>
          <w:color w:val="auto"/>
          <w:sz w:val="36"/>
          <w:szCs w:val="36"/>
          <w:highlight w:val="none"/>
        </w:rPr>
        <w:br w:type="page"/>
      </w:r>
      <w:r>
        <w:rPr>
          <w:rFonts w:hint="eastAsia" w:ascii="黑体" w:hAnsi="宋体"/>
          <w:b w:val="0"/>
          <w:color w:val="auto"/>
          <w:sz w:val="36"/>
          <w:szCs w:val="36"/>
          <w:highlight w:val="none"/>
        </w:rPr>
        <w:t>四、商务条款偏离表</w:t>
      </w:r>
      <w:bookmarkEnd w:id="179"/>
      <w:bookmarkEnd w:id="180"/>
    </w:p>
    <w:p>
      <w:pPr>
        <w:pStyle w:val="6"/>
        <w:spacing w:after="120" w:afterLines="50"/>
        <w:ind w:firstLine="105" w:firstLineChars="50"/>
        <w:rPr>
          <w:rFonts w:hint="eastAsia" w:ascii="宋体" w:hAnsi="宋体"/>
          <w:color w:val="auto"/>
          <w:highlight w:val="none"/>
        </w:rPr>
      </w:pPr>
      <w:r>
        <w:rPr>
          <w:rFonts w:hint="eastAsia" w:ascii="宋体" w:hAnsi="宋体"/>
          <w:color w:val="auto"/>
          <w:highlight w:val="none"/>
        </w:rPr>
        <w:t xml:space="preserve">投标人名称：                                   采购项目编号： </w:t>
      </w:r>
    </w:p>
    <w:tbl>
      <w:tblPr>
        <w:tblStyle w:val="2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9"/>
        <w:gridCol w:w="1989"/>
        <w:gridCol w:w="1985"/>
        <w:gridCol w:w="846"/>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29"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989"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招标文件商务要求</w:t>
            </w:r>
          </w:p>
        </w:tc>
        <w:tc>
          <w:tcPr>
            <w:tcW w:w="1985"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投标文件商务响应</w:t>
            </w:r>
          </w:p>
        </w:tc>
        <w:tc>
          <w:tcPr>
            <w:tcW w:w="846"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2020"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846"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c>
          <w:tcPr>
            <w:tcW w:w="2020" w:type="dxa"/>
            <w:noWrap w:val="0"/>
            <w:vAlign w:val="top"/>
          </w:tcPr>
          <w:p>
            <w:pPr>
              <w:adjustRightInd w:val="0"/>
              <w:snapToGrid w:val="0"/>
              <w:spacing w:line="360" w:lineRule="auto"/>
              <w:ind w:right="24"/>
              <w:rPr>
                <w:rFonts w:hint="eastAsia"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51" w:type="dxa"/>
            <w:noWrap w:val="0"/>
            <w:vAlign w:val="center"/>
          </w:tcPr>
          <w:p>
            <w:pPr>
              <w:adjustRightInd w:val="0"/>
              <w:snapToGrid w:val="0"/>
              <w:spacing w:line="360" w:lineRule="auto"/>
              <w:ind w:right="24"/>
              <w:jc w:val="center"/>
              <w:rPr>
                <w:rFonts w:hint="eastAsia" w:ascii="宋体" w:hAnsi="宋体"/>
                <w:b/>
                <w:bCs/>
                <w:color w:val="auto"/>
                <w:szCs w:val="21"/>
                <w:highlight w:val="none"/>
              </w:rPr>
            </w:pPr>
            <w:r>
              <w:rPr>
                <w:rFonts w:hint="eastAsia" w:ascii="宋体" w:hAnsi="宋体"/>
                <w:b/>
                <w:bCs/>
                <w:color w:val="auto"/>
                <w:szCs w:val="21"/>
                <w:highlight w:val="none"/>
              </w:rPr>
              <w:t>说明</w:t>
            </w:r>
          </w:p>
        </w:tc>
        <w:tc>
          <w:tcPr>
            <w:tcW w:w="8269" w:type="dxa"/>
            <w:gridSpan w:val="5"/>
            <w:noWrap w:val="0"/>
            <w:vAlign w:val="top"/>
          </w:tcPr>
          <w:p>
            <w:pPr>
              <w:spacing w:line="300" w:lineRule="exact"/>
              <w:rPr>
                <w:rFonts w:hint="eastAsia" w:ascii="宋体" w:hAnsi="宋体"/>
                <w:color w:val="auto"/>
                <w:szCs w:val="21"/>
                <w:highlight w:val="none"/>
              </w:rPr>
            </w:pPr>
            <w:r>
              <w:rPr>
                <w:rFonts w:hint="eastAsia" w:ascii="宋体" w:hAnsi="宋体"/>
                <w:color w:val="auto"/>
                <w:szCs w:val="21"/>
                <w:highlight w:val="none"/>
              </w:rPr>
              <w:t>1.偏离应按照招标文件第二章第1.11条款定义理解，本表只填写有偏离的情况。</w:t>
            </w:r>
          </w:p>
          <w:p>
            <w:pPr>
              <w:spacing w:line="300" w:lineRule="exact"/>
              <w:rPr>
                <w:rFonts w:hint="eastAsia" w:ascii="黑体" w:hAnsi="华文中宋" w:eastAsia="黑体"/>
                <w:bCs/>
                <w:color w:val="auto"/>
                <w:sz w:val="24"/>
                <w:highlight w:val="none"/>
              </w:rPr>
            </w:pPr>
            <w:r>
              <w:rPr>
                <w:rFonts w:hint="eastAsia" w:ascii="宋体" w:hAnsi="宋体"/>
                <w:color w:val="auto"/>
                <w:szCs w:val="21"/>
                <w:highlight w:val="none"/>
              </w:rPr>
              <w:t>2.对商务条款中所有要求，除本表所列出偏离外，均视为投标人响应其余全部商务条款要求；如投标人响应招标文件所有商务条款要求的，必须提交空白表，否则，其</w:t>
            </w:r>
            <w:r>
              <w:rPr>
                <w:rFonts w:hint="eastAsia" w:ascii="宋体" w:hAnsi="宋体"/>
                <w:b/>
                <w:color w:val="auto"/>
                <w:szCs w:val="21"/>
                <w:highlight w:val="none"/>
              </w:rPr>
              <w:t>投标无效</w:t>
            </w:r>
            <w:r>
              <w:rPr>
                <w:rFonts w:hint="eastAsia" w:ascii="宋体" w:hAnsi="宋体"/>
                <w:color w:val="auto"/>
                <w:szCs w:val="21"/>
                <w:highlight w:val="none"/>
              </w:rPr>
              <w:t>。</w:t>
            </w:r>
          </w:p>
        </w:tc>
      </w:tr>
    </w:tbl>
    <w:p>
      <w:pPr>
        <w:adjustRightInd w:val="0"/>
        <w:spacing w:line="400" w:lineRule="exact"/>
        <w:ind w:firstLine="560" w:firstLineChars="200"/>
        <w:jc w:val="left"/>
        <w:rPr>
          <w:rFonts w:hint="eastAsia" w:ascii="仿宋_GB2312" w:hAnsi="宋体" w:eastAsia="仿宋_GB2312"/>
          <w:bCs/>
          <w:color w:val="auto"/>
          <w:sz w:val="28"/>
          <w:szCs w:val="28"/>
          <w:highlight w:val="none"/>
        </w:rPr>
      </w:pPr>
    </w:p>
    <w:p>
      <w:pPr>
        <w:adjustRightInd w:val="0"/>
        <w:spacing w:line="400" w:lineRule="exact"/>
        <w:ind w:firstLine="560" w:firstLineChars="200"/>
        <w:jc w:val="left"/>
        <w:rPr>
          <w:rFonts w:hint="eastAsia" w:ascii="仿宋_GB2312" w:hAnsi="宋体" w:eastAsia="仿宋_GB2312"/>
          <w:bCs/>
          <w:color w:val="auto"/>
          <w:sz w:val="28"/>
          <w:szCs w:val="28"/>
          <w:highlight w:val="none"/>
        </w:rPr>
      </w:pPr>
    </w:p>
    <w:p>
      <w:pPr>
        <w:adjustRightInd w:val="0"/>
        <w:spacing w:line="400" w:lineRule="exact"/>
        <w:jc w:val="left"/>
        <w:rPr>
          <w:rFonts w:hint="eastAsia" w:ascii="宋体" w:hAnsi="宋体"/>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pPr>
        <w:adjustRightInd w:val="0"/>
        <w:spacing w:before="240" w:beforeLines="100" w:line="360" w:lineRule="auto"/>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w:t>
      </w:r>
      <w:r>
        <w:rPr>
          <w:rFonts w:hint="eastAsia" w:ascii="宋体" w:hAnsi="宋体"/>
          <w:color w:val="auto"/>
          <w:szCs w:val="21"/>
          <w:highlight w:val="none"/>
          <w:lang w:eastAsia="zh-CN"/>
        </w:rPr>
        <w:t>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pPr>
        <w:adjustRightInd w:val="0"/>
        <w:spacing w:line="400" w:lineRule="exact"/>
        <w:jc w:val="left"/>
        <w:rPr>
          <w:rFonts w:hint="eastAsia" w:ascii="宋体" w:hAnsi="宋体"/>
          <w:bCs/>
          <w:color w:val="auto"/>
          <w:szCs w:val="21"/>
          <w:highlight w:val="none"/>
        </w:rPr>
      </w:pPr>
      <w:r>
        <w:rPr>
          <w:rFonts w:hint="eastAsia" w:ascii="宋体" w:hAnsi="宋体"/>
          <w:bCs/>
          <w:color w:val="auto"/>
          <w:szCs w:val="21"/>
          <w:highlight w:val="none"/>
        </w:rPr>
        <w:t xml:space="preserve">日    期: 20    年  月  日 </w:t>
      </w:r>
    </w:p>
    <w:p>
      <w:pPr>
        <w:spacing w:after="240" w:afterLines="100" w:line="360" w:lineRule="auto"/>
        <w:jc w:val="center"/>
        <w:outlineLvl w:val="9"/>
        <w:rPr>
          <w:rFonts w:ascii="黑体" w:hAnsi="宋体" w:eastAsia="黑体"/>
          <w:bCs/>
          <w:color w:val="auto"/>
          <w:sz w:val="36"/>
          <w:szCs w:val="36"/>
          <w:highlight w:val="none"/>
        </w:rPr>
      </w:pPr>
      <w:r>
        <w:rPr>
          <w:rFonts w:hint="eastAsia" w:ascii="黑体" w:eastAsia="黑体"/>
          <w:color w:val="auto"/>
          <w:sz w:val="36"/>
          <w:szCs w:val="36"/>
          <w:highlight w:val="none"/>
        </w:rPr>
        <w:br w:type="page"/>
      </w:r>
      <w:bookmarkStart w:id="181" w:name="_Toc839"/>
      <w:r>
        <w:rPr>
          <w:rFonts w:hint="eastAsia" w:ascii="黑体" w:hAnsi="宋体" w:eastAsia="黑体"/>
          <w:bCs/>
          <w:color w:val="auto"/>
          <w:sz w:val="36"/>
          <w:szCs w:val="36"/>
          <w:highlight w:val="none"/>
        </w:rPr>
        <w:t>五、合同条款偏离表</w:t>
      </w:r>
      <w:bookmarkEnd w:id="181"/>
    </w:p>
    <w:p>
      <w:pPr>
        <w:spacing w:after="120" w:afterLines="50"/>
        <w:ind w:firstLine="105" w:firstLineChars="50"/>
        <w:rPr>
          <w:color w:val="auto"/>
          <w:sz w:val="24"/>
          <w:szCs w:val="20"/>
          <w:highlight w:val="none"/>
        </w:rPr>
      </w:pPr>
      <w:r>
        <w:rPr>
          <w:rFonts w:hint="eastAsia" w:ascii="宋体" w:hAnsi="宋体"/>
          <w:color w:val="auto"/>
          <w:szCs w:val="20"/>
          <w:highlight w:val="none"/>
        </w:rPr>
        <w:t>投标人名称：                                    采购项目编号：</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44"/>
        <w:gridCol w:w="1701"/>
        <w:gridCol w:w="2410"/>
        <w:gridCol w:w="958"/>
        <w:gridCol w:w="18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9" w:type="dxa"/>
            <w:noWrap w:val="0"/>
            <w:vAlign w:val="center"/>
          </w:tcPr>
          <w:p>
            <w:pPr>
              <w:adjustRightInd w:val="0"/>
              <w:snapToGrid w:val="0"/>
              <w:jc w:val="center"/>
              <w:rPr>
                <w:b/>
                <w:color w:val="auto"/>
                <w:szCs w:val="21"/>
                <w:highlight w:val="none"/>
              </w:rPr>
            </w:pPr>
            <w:r>
              <w:rPr>
                <w:b/>
                <w:color w:val="auto"/>
                <w:szCs w:val="21"/>
                <w:highlight w:val="none"/>
              </w:rPr>
              <w:t>序号</w:t>
            </w:r>
          </w:p>
        </w:tc>
        <w:tc>
          <w:tcPr>
            <w:tcW w:w="1344" w:type="dxa"/>
            <w:noWrap w:val="0"/>
            <w:vAlign w:val="center"/>
          </w:tcPr>
          <w:p>
            <w:pPr>
              <w:adjustRightInd w:val="0"/>
              <w:snapToGrid w:val="0"/>
              <w:jc w:val="center"/>
              <w:rPr>
                <w:b/>
                <w:color w:val="auto"/>
                <w:szCs w:val="21"/>
                <w:highlight w:val="none"/>
              </w:rPr>
            </w:pPr>
            <w:r>
              <w:rPr>
                <w:b/>
                <w:color w:val="auto"/>
                <w:szCs w:val="21"/>
                <w:highlight w:val="none"/>
              </w:rPr>
              <w:t>文件条目号</w:t>
            </w:r>
          </w:p>
        </w:tc>
        <w:tc>
          <w:tcPr>
            <w:tcW w:w="1701" w:type="dxa"/>
            <w:noWrap w:val="0"/>
            <w:vAlign w:val="center"/>
          </w:tcPr>
          <w:p>
            <w:pPr>
              <w:adjustRightInd w:val="0"/>
              <w:snapToGrid w:val="0"/>
              <w:jc w:val="center"/>
              <w:rPr>
                <w:b/>
                <w:color w:val="auto"/>
                <w:szCs w:val="21"/>
                <w:highlight w:val="none"/>
              </w:rPr>
            </w:pPr>
            <w:r>
              <w:rPr>
                <w:b/>
                <w:color w:val="auto"/>
                <w:szCs w:val="21"/>
                <w:highlight w:val="none"/>
              </w:rPr>
              <w:t>招标文件要求</w:t>
            </w:r>
          </w:p>
        </w:tc>
        <w:tc>
          <w:tcPr>
            <w:tcW w:w="2410" w:type="dxa"/>
            <w:noWrap w:val="0"/>
            <w:vAlign w:val="center"/>
          </w:tcPr>
          <w:p>
            <w:pPr>
              <w:adjustRightInd w:val="0"/>
              <w:snapToGrid w:val="0"/>
              <w:jc w:val="center"/>
              <w:rPr>
                <w:b/>
                <w:color w:val="auto"/>
                <w:szCs w:val="21"/>
                <w:highlight w:val="none"/>
              </w:rPr>
            </w:pPr>
            <w:r>
              <w:rPr>
                <w:b/>
                <w:color w:val="auto"/>
                <w:szCs w:val="21"/>
                <w:highlight w:val="none"/>
              </w:rPr>
              <w:t>投标文件响应</w:t>
            </w:r>
          </w:p>
        </w:tc>
        <w:tc>
          <w:tcPr>
            <w:tcW w:w="958" w:type="dxa"/>
            <w:noWrap w:val="0"/>
            <w:vAlign w:val="center"/>
          </w:tcPr>
          <w:p>
            <w:pPr>
              <w:adjustRightInd w:val="0"/>
              <w:snapToGrid w:val="0"/>
              <w:jc w:val="center"/>
              <w:rPr>
                <w:b/>
                <w:color w:val="auto"/>
                <w:szCs w:val="21"/>
                <w:highlight w:val="none"/>
              </w:rPr>
            </w:pPr>
            <w:r>
              <w:rPr>
                <w:b/>
                <w:color w:val="auto"/>
                <w:szCs w:val="21"/>
                <w:highlight w:val="none"/>
              </w:rPr>
              <w:t>偏离</w:t>
            </w:r>
          </w:p>
        </w:tc>
        <w:tc>
          <w:tcPr>
            <w:tcW w:w="1877" w:type="dxa"/>
            <w:noWrap w:val="0"/>
            <w:vAlign w:val="center"/>
          </w:tcPr>
          <w:p>
            <w:pPr>
              <w:adjustRightInd w:val="0"/>
              <w:snapToGrid w:val="0"/>
              <w:jc w:val="center"/>
              <w:rPr>
                <w:b/>
                <w:color w:val="auto"/>
                <w:szCs w:val="21"/>
                <w:highlight w:val="none"/>
              </w:rPr>
            </w:pPr>
            <w:r>
              <w:rPr>
                <w:b/>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9" w:type="dxa"/>
            <w:noWrap w:val="0"/>
            <w:vAlign w:val="center"/>
          </w:tcPr>
          <w:p>
            <w:pPr>
              <w:adjustRightInd w:val="0"/>
              <w:snapToGrid w:val="0"/>
              <w:jc w:val="center"/>
              <w:rPr>
                <w:color w:val="auto"/>
                <w:sz w:val="24"/>
                <w:highlight w:val="none"/>
              </w:rPr>
            </w:pPr>
          </w:p>
        </w:tc>
        <w:tc>
          <w:tcPr>
            <w:tcW w:w="1344" w:type="dxa"/>
            <w:noWrap w:val="0"/>
            <w:vAlign w:val="center"/>
          </w:tcPr>
          <w:p>
            <w:pPr>
              <w:adjustRightInd w:val="0"/>
              <w:snapToGrid w:val="0"/>
              <w:jc w:val="center"/>
              <w:rPr>
                <w:color w:val="auto"/>
                <w:sz w:val="24"/>
                <w:highlight w:val="none"/>
              </w:rPr>
            </w:pPr>
          </w:p>
        </w:tc>
        <w:tc>
          <w:tcPr>
            <w:tcW w:w="1701" w:type="dxa"/>
            <w:noWrap w:val="0"/>
            <w:vAlign w:val="center"/>
          </w:tcPr>
          <w:p>
            <w:pPr>
              <w:adjustRightInd w:val="0"/>
              <w:snapToGrid w:val="0"/>
              <w:jc w:val="center"/>
              <w:rPr>
                <w:color w:val="auto"/>
                <w:sz w:val="24"/>
                <w:highlight w:val="none"/>
              </w:rPr>
            </w:pPr>
          </w:p>
        </w:tc>
        <w:tc>
          <w:tcPr>
            <w:tcW w:w="2410" w:type="dxa"/>
            <w:noWrap w:val="0"/>
            <w:vAlign w:val="center"/>
          </w:tcPr>
          <w:p>
            <w:pPr>
              <w:adjustRightInd w:val="0"/>
              <w:snapToGrid w:val="0"/>
              <w:jc w:val="center"/>
              <w:rPr>
                <w:color w:val="auto"/>
                <w:sz w:val="24"/>
                <w:highlight w:val="none"/>
              </w:rPr>
            </w:pPr>
          </w:p>
        </w:tc>
        <w:tc>
          <w:tcPr>
            <w:tcW w:w="958" w:type="dxa"/>
            <w:noWrap w:val="0"/>
            <w:vAlign w:val="top"/>
          </w:tcPr>
          <w:p>
            <w:pPr>
              <w:adjustRightInd w:val="0"/>
              <w:snapToGrid w:val="0"/>
              <w:jc w:val="center"/>
              <w:rPr>
                <w:color w:val="auto"/>
                <w:sz w:val="24"/>
                <w:highlight w:val="none"/>
              </w:rPr>
            </w:pPr>
          </w:p>
        </w:tc>
        <w:tc>
          <w:tcPr>
            <w:tcW w:w="1877" w:type="dxa"/>
            <w:noWrap w:val="0"/>
            <w:vAlign w:val="center"/>
          </w:tcPr>
          <w:p>
            <w:pPr>
              <w:adjustRightInd w:val="0"/>
              <w:snapToGrid w:val="0"/>
              <w:jc w:val="cente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49" w:type="dxa"/>
            <w:noWrap w:val="0"/>
            <w:vAlign w:val="center"/>
          </w:tcPr>
          <w:p>
            <w:pPr>
              <w:adjustRightInd w:val="0"/>
              <w:snapToGrid w:val="0"/>
              <w:jc w:val="center"/>
              <w:rPr>
                <w:b/>
                <w:color w:val="auto"/>
                <w:szCs w:val="21"/>
                <w:highlight w:val="none"/>
              </w:rPr>
            </w:pPr>
            <w:r>
              <w:rPr>
                <w:b/>
                <w:color w:val="auto"/>
                <w:szCs w:val="21"/>
                <w:highlight w:val="none"/>
              </w:rPr>
              <w:t>说明</w:t>
            </w:r>
          </w:p>
        </w:tc>
        <w:tc>
          <w:tcPr>
            <w:tcW w:w="8290" w:type="dxa"/>
            <w:gridSpan w:val="5"/>
            <w:noWrap w:val="0"/>
            <w:vAlign w:val="center"/>
          </w:tcPr>
          <w:p>
            <w:pPr>
              <w:spacing w:line="300" w:lineRule="exact"/>
              <w:rPr>
                <w:rFonts w:hint="eastAsia" w:ascii="宋体" w:hAnsi="宋体"/>
                <w:color w:val="auto"/>
                <w:szCs w:val="21"/>
                <w:highlight w:val="none"/>
              </w:rPr>
            </w:pPr>
            <w:r>
              <w:rPr>
                <w:rFonts w:hint="eastAsia" w:ascii="宋体" w:hAnsi="宋体"/>
                <w:color w:val="auto"/>
                <w:szCs w:val="21"/>
                <w:highlight w:val="none"/>
              </w:rPr>
              <w:t>1.偏离应按照招标文件第二章第1.11条款定义理解，本表只填写有偏离的情况。</w:t>
            </w:r>
          </w:p>
          <w:p>
            <w:pPr>
              <w:spacing w:line="300" w:lineRule="exact"/>
              <w:rPr>
                <w:color w:val="auto"/>
                <w:sz w:val="24"/>
                <w:highlight w:val="none"/>
              </w:rPr>
            </w:pPr>
            <w:r>
              <w:rPr>
                <w:rFonts w:hint="eastAsia" w:ascii="宋体" w:hAnsi="宋体"/>
                <w:color w:val="auto"/>
                <w:szCs w:val="21"/>
                <w:highlight w:val="none"/>
              </w:rPr>
              <w:t>2.对合同条款中所有要求，除本表所列出偏离外，均视为投标人响应其余全部合同条款要求；如投标人响应招标文件所有合同条款要求的，必须提交空白表，否则，其</w:t>
            </w:r>
            <w:r>
              <w:rPr>
                <w:rFonts w:hint="eastAsia" w:ascii="宋体" w:hAnsi="宋体"/>
                <w:b/>
                <w:color w:val="auto"/>
                <w:szCs w:val="21"/>
                <w:highlight w:val="none"/>
              </w:rPr>
              <w:t>投标无效</w:t>
            </w:r>
            <w:r>
              <w:rPr>
                <w:rFonts w:hint="eastAsia" w:ascii="宋体" w:hAnsi="宋体"/>
                <w:color w:val="auto"/>
                <w:szCs w:val="21"/>
                <w:highlight w:val="none"/>
              </w:rPr>
              <w:t>。</w:t>
            </w:r>
          </w:p>
        </w:tc>
      </w:tr>
    </w:tbl>
    <w:p>
      <w:pPr>
        <w:adjustRightInd w:val="0"/>
        <w:spacing w:line="400" w:lineRule="exact"/>
        <w:ind w:firstLine="420" w:firstLineChars="200"/>
        <w:jc w:val="left"/>
        <w:rPr>
          <w:rFonts w:hint="eastAsia" w:ascii="宋体" w:hAnsi="宋体"/>
          <w:bCs/>
          <w:color w:val="auto"/>
          <w:szCs w:val="21"/>
          <w:highlight w:val="none"/>
        </w:rPr>
      </w:pPr>
    </w:p>
    <w:p>
      <w:pPr>
        <w:adjustRightInd w:val="0"/>
        <w:spacing w:line="400" w:lineRule="exact"/>
        <w:ind w:firstLine="420" w:firstLineChars="200"/>
        <w:jc w:val="left"/>
        <w:rPr>
          <w:rFonts w:hint="eastAsia" w:ascii="宋体" w:hAnsi="宋体"/>
          <w:bCs/>
          <w:color w:val="auto"/>
          <w:szCs w:val="21"/>
          <w:highlight w:val="none"/>
        </w:rPr>
      </w:pPr>
    </w:p>
    <w:p>
      <w:pPr>
        <w:adjustRightIn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pPr>
        <w:adjustRightInd w:val="0"/>
        <w:spacing w:line="400" w:lineRule="exact"/>
        <w:ind w:firstLine="367" w:firstLineChars="175"/>
        <w:jc w:val="left"/>
        <w:rPr>
          <w:rFonts w:hint="eastAsia" w:ascii="宋体" w:hAnsi="宋体"/>
          <w:color w:val="auto"/>
          <w:szCs w:val="21"/>
          <w:highlight w:val="none"/>
        </w:rPr>
      </w:pPr>
    </w:p>
    <w:p>
      <w:pPr>
        <w:adjustRightInd w:val="0"/>
        <w:spacing w:line="400" w:lineRule="exact"/>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bCs/>
          <w:color w:val="auto"/>
          <w:szCs w:val="21"/>
          <w:highlight w:val="none"/>
        </w:rPr>
        <w:t xml:space="preserve"> </w:t>
      </w:r>
    </w:p>
    <w:p>
      <w:pPr>
        <w:adjustRightInd w:val="0"/>
        <w:spacing w:before="240" w:beforeLines="10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日    期: 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adjustRightInd w:val="0"/>
        <w:spacing w:line="400" w:lineRule="exact"/>
        <w:jc w:val="center"/>
        <w:outlineLvl w:val="9"/>
        <w:rPr>
          <w:rFonts w:hint="eastAsia" w:ascii="黑体" w:eastAsia="黑体"/>
          <w:color w:val="auto"/>
          <w:sz w:val="36"/>
          <w:szCs w:val="36"/>
          <w:highlight w:val="none"/>
        </w:rPr>
      </w:pPr>
      <w:r>
        <w:rPr>
          <w:rFonts w:hint="eastAsia" w:ascii="黑体" w:eastAsia="黑体"/>
          <w:color w:val="auto"/>
          <w:sz w:val="36"/>
          <w:szCs w:val="36"/>
          <w:highlight w:val="none"/>
        </w:rPr>
        <w:br w:type="page"/>
      </w:r>
      <w:bookmarkStart w:id="182" w:name="_Toc28743"/>
      <w:r>
        <w:rPr>
          <w:rFonts w:hint="eastAsia" w:ascii="黑体" w:eastAsia="黑体"/>
          <w:color w:val="auto"/>
          <w:sz w:val="36"/>
          <w:szCs w:val="36"/>
          <w:highlight w:val="none"/>
        </w:rPr>
        <w:t>六、承诺文件</w:t>
      </w:r>
      <w:bookmarkEnd w:id="182"/>
    </w:p>
    <w:p>
      <w:pPr>
        <w:spacing w:before="240" w:beforeLines="100" w:after="120" w:afterLines="50" w:line="360" w:lineRule="auto"/>
        <w:jc w:val="center"/>
        <w:outlineLvl w:val="9"/>
        <w:rPr>
          <w:rFonts w:ascii="黑体" w:hAnsi="黑体" w:eastAsia="黑体"/>
          <w:b w:val="0"/>
          <w:color w:val="auto"/>
          <w:sz w:val="36"/>
          <w:szCs w:val="36"/>
          <w:highlight w:val="none"/>
        </w:rPr>
      </w:pPr>
      <w:r>
        <w:rPr>
          <w:rFonts w:hint="eastAsia" w:ascii="黑体" w:hAnsi="黑体" w:eastAsia="黑体"/>
          <w:b w:val="0"/>
          <w:color w:val="auto"/>
          <w:sz w:val="36"/>
          <w:szCs w:val="36"/>
          <w:highlight w:val="none"/>
        </w:rPr>
        <w:t>1.质量安全责任承诺书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为保证本采购项目顺利进行，作为投标人，现郑重承诺：</w:t>
      </w:r>
    </w:p>
    <w:p>
      <w:pPr>
        <w:numPr>
          <w:ilvl w:val="0"/>
          <w:numId w:val="9"/>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我方所投产品的生产（包括设计、制造、安装、改造、维修等）、投入使用的材料等均完全符合国家现行质量、安全、环保标准和要求。</w:t>
      </w:r>
    </w:p>
    <w:p>
      <w:pPr>
        <w:numPr>
          <w:ilvl w:val="0"/>
          <w:numId w:val="9"/>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我方将严格按照国家现行相关储存、运输、安装调试技术标准及规范、服务标准及规范、施工标准及规范，在规定的时限内，保质、保量完成项目全部内容，并向采购人交付合格产品。</w:t>
      </w:r>
    </w:p>
    <w:p>
      <w:pPr>
        <w:numPr>
          <w:ilvl w:val="0"/>
          <w:numId w:val="9"/>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对于因产品生产质量以及储存、运输、安装调试、服务、施工等过程中产生的任何安全事故，我方承担全部责任。</w:t>
      </w:r>
    </w:p>
    <w:p>
      <w:pPr>
        <w:numPr>
          <w:ilvl w:val="0"/>
          <w:numId w:val="9"/>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我方提供的货物、工程、服务等符合现行的国家、行业、地区、企业标准及要求，标准不一致的，以更为严格的为准，我方对提供的货物、工程、服务等的质量、安全、环保等承担全部责任。</w:t>
      </w:r>
    </w:p>
    <w:p>
      <w:pPr>
        <w:spacing w:line="360" w:lineRule="auto"/>
        <w:rPr>
          <w:rFonts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adjustRightIn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（投标人名称，盖单位章）</w:t>
      </w:r>
    </w:p>
    <w:p>
      <w:pPr>
        <w:adjustRightInd w:val="0"/>
        <w:spacing w:line="360" w:lineRule="auto"/>
        <w:ind w:firstLine="420"/>
        <w:jc w:val="left"/>
        <w:rPr>
          <w:rFonts w:hint="eastAsia" w:ascii="宋体" w:hAnsi="宋体"/>
          <w:color w:val="auto"/>
          <w:szCs w:val="21"/>
          <w:highlight w:val="none"/>
        </w:rPr>
      </w:pPr>
    </w:p>
    <w:p>
      <w:pPr>
        <w:adjustRightIn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bCs/>
          <w:color w:val="auto"/>
          <w:szCs w:val="21"/>
          <w:highlight w:val="none"/>
        </w:rPr>
        <w:t>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adjustRightInd w:val="0"/>
        <w:spacing w:line="400" w:lineRule="exact"/>
        <w:jc w:val="left"/>
        <w:rPr>
          <w:rFonts w:hint="eastAsia"/>
          <w:b/>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color w:val="auto"/>
          <w:szCs w:val="21"/>
          <w:highlight w:val="none"/>
        </w:rPr>
      </w:pPr>
      <w:r>
        <w:rPr>
          <w:rFonts w:hint="eastAsia" w:ascii="宋体" w:hAnsi="宋体"/>
          <w:color w:val="auto"/>
          <w:szCs w:val="21"/>
          <w:highlight w:val="none"/>
        </w:rPr>
        <w:t>说明：投标人未签署承诺书的，</w:t>
      </w:r>
      <w:r>
        <w:rPr>
          <w:rFonts w:hint="eastAsia" w:ascii="宋体" w:hAnsi="宋体"/>
          <w:b/>
          <w:color w:val="auto"/>
          <w:szCs w:val="21"/>
          <w:highlight w:val="none"/>
        </w:rPr>
        <w:t>其投标无效</w:t>
      </w:r>
      <w:r>
        <w:rPr>
          <w:rFonts w:hint="eastAsia" w:ascii="宋体" w:hAnsi="宋体"/>
          <w:color w:val="auto"/>
          <w:szCs w:val="21"/>
          <w:highlight w:val="none"/>
        </w:rPr>
        <w:t>，责任由投标人自行承担。</w:t>
      </w:r>
    </w:p>
    <w:p>
      <w:pPr>
        <w:spacing w:before="0" w:after="360" w:afterLines="150" w:line="240" w:lineRule="auto"/>
        <w:jc w:val="center"/>
        <w:outlineLvl w:val="9"/>
        <w:rPr>
          <w:rFonts w:ascii="黑体" w:hAnsi="黑体" w:eastAsia="黑体"/>
          <w:b w:val="0"/>
          <w:color w:val="auto"/>
          <w:sz w:val="36"/>
          <w:szCs w:val="36"/>
          <w:highlight w:val="none"/>
        </w:rPr>
      </w:pPr>
      <w:r>
        <w:rPr>
          <w:rFonts w:hint="eastAsia" w:ascii="黑体" w:hAnsi="黑体" w:eastAsia="黑体"/>
          <w:b w:val="0"/>
          <w:color w:val="auto"/>
          <w:sz w:val="36"/>
          <w:szCs w:val="36"/>
          <w:highlight w:val="none"/>
        </w:rPr>
        <w:br w:type="page"/>
      </w:r>
      <w:r>
        <w:rPr>
          <w:rFonts w:hint="eastAsia" w:ascii="黑体" w:hAnsi="黑体" w:eastAsia="黑体"/>
          <w:b w:val="0"/>
          <w:color w:val="auto"/>
          <w:sz w:val="36"/>
          <w:szCs w:val="36"/>
          <w:highlight w:val="none"/>
        </w:rPr>
        <w:t>2.参加政府采购活动行为自律承诺书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作为参加本次政府采购项目的投标人，我方郑重承诺在参与政府采购活动中遵纪守法、公平竞争、诚实守信，如有违反愿承担一切责任及后果：</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不与采购人、采购代理机构、政府采购评审专家恶意串通，不向其行贿或提供其他不正当利益；</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不与其他投标人恶意串通，采取“围标、串标、陪标”等商业欺诈手段谋取中标、成交；</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不提供虚假或无效证明文件（包括但不限于资格证明文件、合同及验收文件、检验检测报告、从业人员资格证书、机构或所投产品的各类认证证书等）或虚假材料谋取中标；</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不采取不正当手段诋毁、排挤其他</w:t>
      </w:r>
      <w:r>
        <w:rPr>
          <w:rFonts w:hint="eastAsia" w:ascii="宋体" w:hAnsi="宋体"/>
          <w:color w:val="auto"/>
          <w:szCs w:val="21"/>
          <w:highlight w:val="none"/>
          <w:lang w:eastAsia="zh-CN"/>
        </w:rPr>
        <w:t>投标人</w:t>
      </w:r>
      <w:r>
        <w:rPr>
          <w:rFonts w:ascii="宋体" w:hAnsi="宋体"/>
          <w:color w:val="auto"/>
          <w:szCs w:val="21"/>
          <w:highlight w:val="none"/>
        </w:rPr>
        <w:t>；</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不以不正当理由拒不与采购人签订政府采购合同，或逾期签订政府采购合同，或不按照采购文件确定的事项签订政府采购合同；</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不以不正当理由拒绝履行合同义务，不会擅自变更、中止或者终止政府采购合同或将政府采购合同转包；</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不在提供商品、服务或工程施工过程中提供假冒伪劣产品，损害采购人的合法权益或公共利益；</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不采取捏造事实、提供虚假材料或者以非法手段取得证明材料进行质疑和投诉；</w:t>
      </w:r>
    </w:p>
    <w:p>
      <w:pPr>
        <w:numPr>
          <w:ilvl w:val="0"/>
          <w:numId w:val="10"/>
        </w:numPr>
        <w:spacing w:line="360" w:lineRule="auto"/>
        <w:ind w:left="57" w:leftChars="0" w:hanging="57" w:firstLineChars="0"/>
        <w:rPr>
          <w:rFonts w:ascii="宋体" w:hAnsi="宋体"/>
          <w:color w:val="auto"/>
          <w:szCs w:val="21"/>
          <w:highlight w:val="none"/>
        </w:rPr>
      </w:pPr>
      <w:r>
        <w:rPr>
          <w:rFonts w:ascii="宋体" w:hAnsi="宋体"/>
          <w:color w:val="auto"/>
          <w:szCs w:val="21"/>
          <w:highlight w:val="none"/>
        </w:rPr>
        <w:t>不发生其他有悖于政府采购公开、公平、公正和诚信原则的行为。</w:t>
      </w:r>
    </w:p>
    <w:p>
      <w:pPr>
        <w:numPr>
          <w:ilvl w:val="0"/>
          <w:numId w:val="0"/>
        </w:numPr>
        <w:spacing w:line="360" w:lineRule="auto"/>
        <w:ind w:leftChars="0"/>
        <w:rPr>
          <w:rFonts w:ascii="宋体" w:hAnsi="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尊重和接受政府采购监督管理部门的监督和采购人、采购代理机构的政府采购工作要求，愿意承担因违约行为给采购人造成的损失。</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承诺人：</w:t>
      </w:r>
      <w:r>
        <w:rPr>
          <w:rFonts w:hint="eastAsia" w:ascii="宋体" w:hAnsi="宋体"/>
          <w:color w:val="auto"/>
          <w:szCs w:val="21"/>
          <w:highlight w:val="none"/>
          <w:u w:val="single"/>
        </w:rPr>
        <w:t xml:space="preserve">                         </w:t>
      </w:r>
      <w:r>
        <w:rPr>
          <w:rFonts w:ascii="宋体" w:hAnsi="宋体"/>
          <w:color w:val="auto"/>
          <w:szCs w:val="21"/>
          <w:highlight w:val="none"/>
        </w:rPr>
        <w:t>（投标人名称、加盖单位章）</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日</w:t>
      </w:r>
      <w:r>
        <w:rPr>
          <w:rFonts w:hint="eastAsia" w:ascii="宋体" w:hAnsi="宋体"/>
          <w:color w:val="auto"/>
          <w:szCs w:val="21"/>
          <w:highlight w:val="none"/>
        </w:rPr>
        <w:t xml:space="preserve">  </w:t>
      </w:r>
      <w:r>
        <w:rPr>
          <w:rFonts w:ascii="宋体" w:hAnsi="宋体"/>
          <w:color w:val="auto"/>
          <w:szCs w:val="21"/>
          <w:highlight w:val="none"/>
        </w:rPr>
        <w:t>期：</w:t>
      </w: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ascii="黑体" w:hAnsi="黑体" w:eastAsia="黑体"/>
          <w:color w:val="auto"/>
          <w:sz w:val="36"/>
          <w:szCs w:val="36"/>
          <w:highlight w:val="none"/>
        </w:rPr>
      </w:pPr>
      <w:r>
        <w:rPr>
          <w:rFonts w:ascii="宋体" w:hAnsi="宋体"/>
          <w:color w:val="auto"/>
          <w:szCs w:val="21"/>
          <w:highlight w:val="none"/>
        </w:rPr>
        <w:br w:type="page"/>
      </w:r>
      <w:r>
        <w:rPr>
          <w:rFonts w:hint="eastAsia" w:ascii="黑体" w:hAnsi="黑体" w:eastAsia="黑体"/>
          <w:color w:val="auto"/>
          <w:sz w:val="36"/>
          <w:szCs w:val="36"/>
          <w:highlight w:val="none"/>
        </w:rPr>
        <w:t>3.其他承诺</w:t>
      </w:r>
    </w:p>
    <w:p>
      <w:pPr>
        <w:adjustRightInd w:val="0"/>
        <w:spacing w:line="400" w:lineRule="exact"/>
        <w:ind w:firstLine="420" w:firstLineChars="200"/>
        <w:jc w:val="left"/>
        <w:rPr>
          <w:rFonts w:hint="eastAsia" w:ascii="宋体" w:hAnsi="宋体"/>
          <w:color w:val="auto"/>
          <w:szCs w:val="21"/>
          <w:highlight w:val="none"/>
        </w:rPr>
      </w:pPr>
    </w:p>
    <w:p>
      <w:pPr>
        <w:adjustRightIn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说明：</w:t>
      </w:r>
    </w:p>
    <w:p>
      <w:pPr>
        <w:adjustRightInd w:val="0"/>
        <w:spacing w:line="400" w:lineRule="exact"/>
        <w:ind w:firstLine="840" w:firstLineChars="400"/>
        <w:jc w:val="left"/>
        <w:rPr>
          <w:rFonts w:hint="eastAsia" w:ascii="宋体" w:hAnsi="宋体"/>
          <w:color w:val="auto"/>
          <w:szCs w:val="21"/>
          <w:highlight w:val="none"/>
        </w:rPr>
      </w:pPr>
      <w:r>
        <w:rPr>
          <w:rFonts w:hint="eastAsia" w:ascii="宋体" w:hAnsi="宋体"/>
          <w:color w:val="auto"/>
          <w:szCs w:val="21"/>
          <w:highlight w:val="none"/>
          <w:lang w:val="en-US" w:eastAsia="zh-CN"/>
        </w:rPr>
        <w:t>包括但不限于“关于投标人承租采购人车辆的承诺”，</w:t>
      </w:r>
      <w:r>
        <w:rPr>
          <w:rFonts w:hint="eastAsia" w:ascii="宋体" w:hAnsi="宋体"/>
          <w:color w:val="auto"/>
          <w:szCs w:val="21"/>
          <w:highlight w:val="none"/>
        </w:rPr>
        <w:t>格式自定。</w:t>
      </w:r>
    </w:p>
    <w:p>
      <w:pPr>
        <w:adjustRightInd w:val="0"/>
        <w:spacing w:line="360" w:lineRule="auto"/>
        <w:rPr>
          <w:rFonts w:hint="eastAsia" w:ascii="宋体" w:hAnsi="宋体"/>
          <w:color w:val="auto"/>
          <w:szCs w:val="21"/>
          <w:highlight w:val="none"/>
        </w:rPr>
      </w:pPr>
    </w:p>
    <w:p>
      <w:pPr>
        <w:adjustRightInd w:val="0"/>
        <w:spacing w:line="400" w:lineRule="exact"/>
        <w:ind w:firstLine="525" w:firstLineChars="250"/>
        <w:jc w:val="left"/>
        <w:rPr>
          <w:rFonts w:hint="eastAsia" w:ascii="楷体" w:hAnsi="楷体" w:eastAsia="楷体"/>
          <w:color w:val="auto"/>
          <w:szCs w:val="21"/>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400" w:lineRule="exact"/>
        <w:jc w:val="left"/>
        <w:rPr>
          <w:rFonts w:hint="eastAsia" w:ascii="宋体" w:hAnsi="宋体"/>
          <w:b/>
          <w:bCs/>
          <w:color w:val="auto"/>
          <w:sz w:val="36"/>
          <w:szCs w:val="36"/>
          <w:highlight w:val="none"/>
        </w:rPr>
      </w:pPr>
    </w:p>
    <w:p>
      <w:pPr>
        <w:adjustRightInd w:val="0"/>
        <w:spacing w:line="360" w:lineRule="auto"/>
        <w:jc w:val="center"/>
        <w:outlineLvl w:val="9"/>
        <w:rPr>
          <w:rFonts w:hint="eastAsia" w:ascii="黑体" w:eastAsia="黑体"/>
          <w:color w:val="auto"/>
          <w:kern w:val="0"/>
          <w:sz w:val="36"/>
          <w:szCs w:val="36"/>
          <w:highlight w:val="none"/>
        </w:rPr>
      </w:pPr>
      <w:r>
        <w:rPr>
          <w:rFonts w:hint="eastAsia" w:ascii="黑体" w:eastAsia="黑体"/>
          <w:color w:val="auto"/>
          <w:kern w:val="0"/>
          <w:sz w:val="36"/>
          <w:szCs w:val="36"/>
          <w:highlight w:val="none"/>
        </w:rPr>
        <w:br w:type="page"/>
      </w:r>
      <w:bookmarkStart w:id="183" w:name="_Toc31698"/>
      <w:r>
        <w:rPr>
          <w:rFonts w:hint="eastAsia" w:ascii="黑体" w:eastAsia="黑体"/>
          <w:color w:val="auto"/>
          <w:kern w:val="0"/>
          <w:sz w:val="36"/>
          <w:szCs w:val="36"/>
          <w:highlight w:val="none"/>
        </w:rPr>
        <w:t>七、售后服务文件</w:t>
      </w:r>
      <w:bookmarkEnd w:id="183"/>
    </w:p>
    <w:p>
      <w:pPr>
        <w:spacing w:before="360" w:beforeLines="1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1.投标人依据服务内容特性和需求，按招标文件要求自拟售后服务方案和培训计划。</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2.投标人应提供在陕西省境内的售后服务中心证明材料或与合作方的协议书，这些服务中心和特约维修服务点的名称、地址、电话、联系人应在投标文件中一一列出（参考样式如下）。</w:t>
      </w:r>
    </w:p>
    <w:p>
      <w:pPr>
        <w:spacing w:before="240" w:beforeLines="100" w:line="360" w:lineRule="auto"/>
        <w:jc w:val="center"/>
        <w:rPr>
          <w:rFonts w:hint="eastAsia" w:ascii="宋体" w:hAnsi="宋体"/>
          <w:b/>
          <w:bCs/>
          <w:color w:val="auto"/>
          <w:sz w:val="36"/>
          <w:szCs w:val="36"/>
          <w:highlight w:val="none"/>
        </w:rPr>
      </w:pPr>
      <w:r>
        <w:rPr>
          <w:rFonts w:hint="eastAsia" w:ascii="黑体" w:hAnsi="宋体" w:eastAsia="黑体"/>
          <w:color w:val="auto"/>
          <w:sz w:val="36"/>
          <w:szCs w:val="36"/>
          <w:highlight w:val="none"/>
        </w:rPr>
        <w:t>售后服务点联系表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34"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服务机构名称</w:t>
            </w:r>
          </w:p>
        </w:tc>
        <w:tc>
          <w:tcPr>
            <w:tcW w:w="1080"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所在地</w:t>
            </w:r>
          </w:p>
        </w:tc>
        <w:tc>
          <w:tcPr>
            <w:tcW w:w="1260"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联系人</w:t>
            </w:r>
          </w:p>
        </w:tc>
        <w:tc>
          <w:tcPr>
            <w:tcW w:w="1516"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联系电话</w:t>
            </w:r>
          </w:p>
        </w:tc>
        <w:tc>
          <w:tcPr>
            <w:tcW w:w="2548" w:type="dxa"/>
            <w:noWrap w:val="0"/>
            <w:vAlign w:val="center"/>
          </w:tcPr>
          <w:p>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地 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pPr>
              <w:spacing w:line="480" w:lineRule="exact"/>
              <w:jc w:val="center"/>
              <w:rPr>
                <w:rFonts w:ascii="宋体" w:hAnsi="宋体"/>
                <w:color w:val="auto"/>
                <w:highlight w:val="none"/>
              </w:rPr>
            </w:pPr>
          </w:p>
        </w:tc>
        <w:tc>
          <w:tcPr>
            <w:tcW w:w="1080" w:type="dxa"/>
            <w:noWrap w:val="0"/>
            <w:vAlign w:val="center"/>
          </w:tcPr>
          <w:p>
            <w:pPr>
              <w:spacing w:line="480" w:lineRule="exact"/>
              <w:jc w:val="center"/>
              <w:rPr>
                <w:rFonts w:ascii="宋体" w:hAnsi="宋体"/>
                <w:color w:val="auto"/>
                <w:highlight w:val="none"/>
              </w:rPr>
            </w:pPr>
          </w:p>
        </w:tc>
        <w:tc>
          <w:tcPr>
            <w:tcW w:w="1260" w:type="dxa"/>
            <w:noWrap w:val="0"/>
            <w:vAlign w:val="center"/>
          </w:tcPr>
          <w:p>
            <w:pPr>
              <w:spacing w:line="480" w:lineRule="exact"/>
              <w:jc w:val="center"/>
              <w:rPr>
                <w:rFonts w:ascii="宋体" w:hAnsi="宋体"/>
                <w:color w:val="auto"/>
                <w:highlight w:val="none"/>
              </w:rPr>
            </w:pPr>
          </w:p>
        </w:tc>
        <w:tc>
          <w:tcPr>
            <w:tcW w:w="1516" w:type="dxa"/>
            <w:noWrap w:val="0"/>
            <w:vAlign w:val="center"/>
          </w:tcPr>
          <w:p>
            <w:pPr>
              <w:spacing w:line="480" w:lineRule="exact"/>
              <w:jc w:val="center"/>
              <w:rPr>
                <w:rFonts w:ascii="宋体" w:hAnsi="宋体"/>
                <w:color w:val="auto"/>
                <w:highlight w:val="none"/>
              </w:rPr>
            </w:pPr>
          </w:p>
        </w:tc>
        <w:tc>
          <w:tcPr>
            <w:tcW w:w="2548" w:type="dxa"/>
            <w:noWrap w:val="0"/>
            <w:vAlign w:val="center"/>
          </w:tcPr>
          <w:p>
            <w:pPr>
              <w:spacing w:line="480" w:lineRule="exact"/>
              <w:jc w:val="center"/>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838" w:type="dxa"/>
            <w:gridSpan w:val="5"/>
            <w:noWrap w:val="0"/>
            <w:vAlign w:val="center"/>
          </w:tcPr>
          <w:p>
            <w:pPr>
              <w:rPr>
                <w:rFonts w:ascii="宋体" w:hAnsi="宋体"/>
                <w:color w:val="auto"/>
                <w:highlight w:val="none"/>
              </w:rPr>
            </w:pPr>
            <w:r>
              <w:rPr>
                <w:rFonts w:hint="eastAsia" w:ascii="宋体" w:hAnsi="宋体"/>
                <w:bCs/>
                <w:iCs/>
                <w:color w:val="auto"/>
                <w:highlight w:val="none"/>
              </w:rPr>
              <w:t>注：采购人将核实中标人承诺的售后服务机构，如果不属实，则从扣除合同总额的2％作为违约处罚。</w:t>
            </w:r>
          </w:p>
        </w:tc>
      </w:tr>
    </w:tbl>
    <w:p>
      <w:pPr>
        <w:tabs>
          <w:tab w:val="left" w:pos="3600"/>
        </w:tabs>
        <w:adjustRightInd w:val="0"/>
        <w:snapToGrid w:val="0"/>
        <w:spacing w:before="240" w:beforeLines="100"/>
        <w:jc w:val="center"/>
        <w:outlineLvl w:val="9"/>
        <w:rPr>
          <w:rFonts w:hint="eastAsia" w:ascii="黑体" w:eastAsia="黑体"/>
          <w:color w:val="auto"/>
          <w:sz w:val="36"/>
          <w:szCs w:val="36"/>
          <w:highlight w:val="none"/>
        </w:rPr>
      </w:pPr>
      <w:r>
        <w:rPr>
          <w:rFonts w:hint="eastAsia" w:ascii="黑体" w:eastAsia="黑体"/>
          <w:color w:val="auto"/>
          <w:kern w:val="0"/>
          <w:sz w:val="36"/>
          <w:szCs w:val="36"/>
          <w:highlight w:val="none"/>
        </w:rPr>
        <w:br w:type="page"/>
      </w:r>
      <w:bookmarkStart w:id="184" w:name="_Toc7164"/>
      <w:r>
        <w:rPr>
          <w:rFonts w:hint="eastAsia" w:ascii="黑体" w:eastAsia="黑体"/>
          <w:color w:val="auto"/>
          <w:kern w:val="0"/>
          <w:sz w:val="36"/>
          <w:szCs w:val="36"/>
          <w:highlight w:val="none"/>
          <w:lang w:eastAsia="zh-CN"/>
        </w:rPr>
        <w:t>八</w:t>
      </w:r>
      <w:r>
        <w:rPr>
          <w:rFonts w:hint="eastAsia" w:ascii="黑体" w:eastAsia="黑体"/>
          <w:color w:val="auto"/>
          <w:kern w:val="0"/>
          <w:sz w:val="36"/>
          <w:szCs w:val="36"/>
          <w:highlight w:val="none"/>
        </w:rPr>
        <w:t>、</w:t>
      </w:r>
      <w:r>
        <w:rPr>
          <w:rFonts w:hint="eastAsia" w:ascii="黑体" w:hAnsi="宋体" w:eastAsia="黑体"/>
          <w:color w:val="auto"/>
          <w:sz w:val="36"/>
          <w:szCs w:val="36"/>
          <w:highlight w:val="none"/>
        </w:rPr>
        <w:t>享受政府采购优惠政策的证明材料</w:t>
      </w:r>
      <w:bookmarkEnd w:id="184"/>
    </w:p>
    <w:p>
      <w:pPr>
        <w:adjustRightInd w:val="0"/>
        <w:snapToGrid w:val="0"/>
        <w:spacing w:line="360" w:lineRule="auto"/>
        <w:rPr>
          <w:rFonts w:hint="eastAsia" w:ascii="仿宋_GB2312" w:hAnsi="宋体" w:eastAsia="仿宋_GB2312"/>
          <w:bCs/>
          <w:color w:val="auto"/>
          <w:szCs w:val="21"/>
          <w:highlight w:val="none"/>
        </w:rPr>
      </w:pPr>
    </w:p>
    <w:p>
      <w:pPr>
        <w:adjustRightInd w:val="0"/>
        <w:snapToGrid w:val="0"/>
        <w:spacing w:line="360" w:lineRule="auto"/>
        <w:jc w:val="center"/>
        <w:rPr>
          <w:rFonts w:hint="eastAsia" w:ascii="黑体" w:hAnsi="黑体" w:eastAsia="黑体"/>
          <w:color w:val="auto"/>
          <w:sz w:val="32"/>
          <w:szCs w:val="32"/>
          <w:highlight w:val="none"/>
        </w:rPr>
      </w:pPr>
      <w:r>
        <w:rPr>
          <w:rFonts w:hint="eastAsia" w:ascii="黑体" w:hAnsi="楷体" w:eastAsia="黑体"/>
          <w:color w:val="auto"/>
          <w:sz w:val="32"/>
          <w:szCs w:val="32"/>
          <w:highlight w:val="none"/>
        </w:rPr>
        <w:t>1.</w:t>
      </w:r>
      <w:r>
        <w:rPr>
          <w:rFonts w:hint="eastAsia" w:ascii="黑体" w:hAnsi="黑体" w:eastAsia="黑体"/>
          <w:color w:val="auto"/>
          <w:sz w:val="32"/>
          <w:szCs w:val="32"/>
          <w:highlight w:val="none"/>
        </w:rPr>
        <w:t>强制采购或者优先采购产品</w:t>
      </w:r>
      <w:r>
        <w:rPr>
          <w:rFonts w:hint="eastAsia" w:ascii="黑体" w:hAnsi="黑体" w:eastAsia="黑体"/>
          <w:bCs/>
          <w:color w:val="auto"/>
          <w:sz w:val="32"/>
          <w:szCs w:val="32"/>
          <w:highlight w:val="none"/>
        </w:rPr>
        <w:t>的</w:t>
      </w:r>
      <w:r>
        <w:rPr>
          <w:rFonts w:hint="eastAsia" w:ascii="黑体" w:hAnsi="黑体" w:eastAsia="黑体"/>
          <w:color w:val="auto"/>
          <w:sz w:val="32"/>
          <w:szCs w:val="32"/>
          <w:highlight w:val="none"/>
        </w:rPr>
        <w:t>证明材料</w:t>
      </w:r>
    </w:p>
    <w:p>
      <w:pPr>
        <w:pStyle w:val="15"/>
        <w:adjustRightInd w:val="0"/>
        <w:snapToGrid w:val="0"/>
        <w:spacing w:line="360" w:lineRule="auto"/>
        <w:rPr>
          <w:rFonts w:hint="eastAsia" w:ascii="宋体" w:hAnsi="宋体" w:eastAsia="宋体" w:cs="Courier New"/>
          <w:color w:val="auto"/>
          <w:highlight w:val="none"/>
        </w:rPr>
      </w:pPr>
      <w:r>
        <w:rPr>
          <w:rFonts w:hint="eastAsia" w:ascii="宋体" w:hAnsi="宋体" w:eastAsia="宋体" w:cs="Courier New"/>
          <w:color w:val="auto"/>
          <w:highlight w:val="none"/>
        </w:rPr>
        <w:t>说明：</w:t>
      </w:r>
    </w:p>
    <w:p>
      <w:pPr>
        <w:pStyle w:val="15"/>
        <w:adjustRightInd w:val="0"/>
        <w:snapToGrid w:val="0"/>
        <w:spacing w:line="360" w:lineRule="auto"/>
        <w:ind w:firstLine="525" w:firstLineChars="250"/>
        <w:rPr>
          <w:rFonts w:hint="eastAsia" w:hAnsi="宋体"/>
          <w:bCs/>
          <w:color w:val="auto"/>
          <w:highlight w:val="none"/>
        </w:rPr>
      </w:pPr>
      <w:r>
        <w:rPr>
          <w:rFonts w:hint="eastAsia" w:hAnsi="宋体"/>
          <w:color w:val="auto"/>
          <w:highlight w:val="none"/>
        </w:rPr>
        <w:t>（1）本项目（包）包含采购货物的，投标产品属于《节能产品、环境标志产品品目清单》中产品的，应按投标人须知第</w:t>
      </w:r>
      <w:r>
        <w:rPr>
          <w:rFonts w:hint="eastAsia" w:hAnsi="宋体"/>
          <w:b/>
          <w:color w:val="auto"/>
          <w:highlight w:val="none"/>
        </w:rPr>
        <w:t>3.4.1</w:t>
      </w:r>
      <w:r>
        <w:rPr>
          <w:rFonts w:hint="eastAsia" w:hAnsi="宋体"/>
          <w:color w:val="auto"/>
          <w:highlight w:val="none"/>
        </w:rPr>
        <w:t>项规定提供相关证明材料。</w:t>
      </w:r>
    </w:p>
    <w:p>
      <w:pPr>
        <w:adjustRightInd w:val="0"/>
        <w:snapToGrid w:val="0"/>
        <w:spacing w:line="360" w:lineRule="auto"/>
        <w:ind w:firstLine="525" w:firstLineChars="250"/>
        <w:rPr>
          <w:rFonts w:hint="eastAsia" w:ascii="宋体" w:hAnsi="宋体"/>
          <w:bCs/>
          <w:color w:val="auto"/>
          <w:szCs w:val="21"/>
          <w:highlight w:val="none"/>
        </w:rPr>
      </w:pPr>
      <w:r>
        <w:rPr>
          <w:rFonts w:hint="eastAsia" w:ascii="宋体" w:hAnsi="宋体"/>
          <w:bCs/>
          <w:color w:val="auto"/>
          <w:szCs w:val="21"/>
          <w:highlight w:val="none"/>
        </w:rPr>
        <w:t>（2）属于第五章第</w:t>
      </w:r>
      <w:r>
        <w:rPr>
          <w:rFonts w:hint="eastAsia" w:ascii="宋体" w:hAnsi="宋体"/>
          <w:b/>
          <w:bCs/>
          <w:color w:val="auto"/>
          <w:szCs w:val="21"/>
          <w:highlight w:val="none"/>
        </w:rPr>
        <w:t>2.2</w:t>
      </w:r>
      <w:r>
        <w:rPr>
          <w:rFonts w:hint="eastAsia" w:ascii="宋体" w:hAnsi="宋体"/>
          <w:bCs/>
          <w:color w:val="auto"/>
          <w:szCs w:val="21"/>
          <w:highlight w:val="none"/>
        </w:rPr>
        <w:t>条规定的强制节能产品的，投标人未按上述要求提供相应证明材料，按无效投标文件处理。</w:t>
      </w:r>
    </w:p>
    <w:p>
      <w:pPr>
        <w:pStyle w:val="15"/>
        <w:adjustRightInd w:val="0"/>
        <w:snapToGrid w:val="0"/>
        <w:spacing w:line="360" w:lineRule="auto"/>
        <w:ind w:firstLine="525" w:firstLineChars="250"/>
        <w:rPr>
          <w:rFonts w:hint="eastAsia" w:hAnsi="宋体"/>
          <w:bCs/>
          <w:color w:val="auto"/>
          <w:highlight w:val="none"/>
        </w:rPr>
      </w:pPr>
      <w:r>
        <w:rPr>
          <w:rFonts w:hint="eastAsia" w:hAnsi="宋体"/>
          <w:bCs/>
          <w:color w:val="auto"/>
          <w:highlight w:val="none"/>
        </w:rPr>
        <w:t>（3）本采购项目除强制节能产品外的</w:t>
      </w:r>
      <w:r>
        <w:rPr>
          <w:rFonts w:hint="eastAsia" w:hAnsi="宋体"/>
          <w:color w:val="auto"/>
          <w:highlight w:val="none"/>
        </w:rPr>
        <w:t>《节能产品、环境标志产品品目清单》中产品，属于优先采购产品，</w:t>
      </w:r>
      <w:r>
        <w:rPr>
          <w:rFonts w:hint="eastAsia" w:hAnsi="宋体"/>
          <w:bCs/>
          <w:color w:val="auto"/>
          <w:highlight w:val="none"/>
        </w:rPr>
        <w:t>投标人未按上述要求提供相应证明材料和未</w:t>
      </w:r>
      <w:r>
        <w:rPr>
          <w:rFonts w:hint="eastAsia" w:hAnsi="宋体"/>
          <w:color w:val="auto"/>
          <w:highlight w:val="none"/>
        </w:rPr>
        <w:t>在《分项报价明细表》中填写相应证书编号的，</w:t>
      </w:r>
      <w:r>
        <w:rPr>
          <w:rFonts w:hint="eastAsia" w:hAnsi="宋体"/>
          <w:bCs/>
          <w:color w:val="auto"/>
          <w:highlight w:val="none"/>
        </w:rPr>
        <w:t>评标时不予加分。</w:t>
      </w:r>
    </w:p>
    <w:p>
      <w:pPr>
        <w:pStyle w:val="15"/>
        <w:adjustRightInd w:val="0"/>
        <w:snapToGrid w:val="0"/>
        <w:spacing w:line="360" w:lineRule="auto"/>
        <w:ind w:firstLine="525" w:firstLineChars="250"/>
        <w:rPr>
          <w:rFonts w:hint="eastAsia" w:ascii="楷体" w:hAnsi="楷体" w:eastAsia="楷体"/>
          <w:bCs/>
          <w:color w:val="auto"/>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adjustRightInd w:val="0"/>
        <w:snapToGrid w:val="0"/>
        <w:spacing w:line="360" w:lineRule="auto"/>
        <w:ind w:firstLine="525" w:firstLineChars="250"/>
        <w:rPr>
          <w:rFonts w:hint="eastAsia" w:ascii="仿宋_GB2312" w:hAnsi="宋体" w:eastAsia="仿宋_GB2312"/>
          <w:bCs/>
          <w:color w:val="auto"/>
          <w:szCs w:val="21"/>
          <w:highlight w:val="none"/>
        </w:rPr>
      </w:pPr>
    </w:p>
    <w:p>
      <w:pPr>
        <w:spacing w:line="360" w:lineRule="auto"/>
        <w:jc w:val="center"/>
        <w:outlineLvl w:val="9"/>
        <w:rPr>
          <w:rFonts w:hint="eastAsia" w:ascii="黑体" w:hAnsi="宋体" w:eastAsia="黑体"/>
          <w:color w:val="auto"/>
          <w:sz w:val="36"/>
          <w:szCs w:val="36"/>
          <w:highlight w:val="none"/>
        </w:rPr>
      </w:pPr>
      <w:r>
        <w:rPr>
          <w:rFonts w:hint="eastAsia" w:ascii="黑体" w:hAnsi="宋体" w:eastAsia="黑体"/>
          <w:color w:val="auto"/>
          <w:sz w:val="36"/>
          <w:szCs w:val="36"/>
          <w:highlight w:val="none"/>
          <w:lang w:eastAsia="zh-CN"/>
        </w:rPr>
        <w:br w:type="page"/>
      </w:r>
      <w:bookmarkStart w:id="185" w:name="_Toc970"/>
      <w:r>
        <w:rPr>
          <w:rFonts w:hint="eastAsia" w:ascii="黑体" w:hAnsi="宋体" w:eastAsia="黑体"/>
          <w:color w:val="auto"/>
          <w:sz w:val="36"/>
          <w:szCs w:val="36"/>
          <w:highlight w:val="none"/>
          <w:lang w:val="en-US" w:eastAsia="zh-CN"/>
        </w:rPr>
        <w:t>九</w:t>
      </w:r>
      <w:r>
        <w:rPr>
          <w:rFonts w:hint="eastAsia" w:ascii="黑体" w:hAnsi="宋体" w:eastAsia="黑体"/>
          <w:color w:val="auto"/>
          <w:sz w:val="36"/>
          <w:szCs w:val="36"/>
          <w:highlight w:val="none"/>
        </w:rPr>
        <w:t>、其他证明材料</w:t>
      </w:r>
      <w:bookmarkEnd w:id="185"/>
    </w:p>
    <w:p>
      <w:pPr>
        <w:spacing w:before="240" w:beforeLines="100" w:line="360" w:lineRule="auto"/>
        <w:rPr>
          <w:rFonts w:hint="eastAsia" w:ascii="楷体" w:hAnsi="楷体" w:eastAsia="楷体"/>
          <w:color w:val="auto"/>
          <w:szCs w:val="21"/>
          <w:highlight w:val="none"/>
        </w:rPr>
      </w:pPr>
      <w:r>
        <w:rPr>
          <w:rFonts w:hint="eastAsia" w:ascii="楷体" w:hAnsi="楷体" w:eastAsia="楷体"/>
          <w:color w:val="auto"/>
          <w:szCs w:val="21"/>
          <w:highlight w:val="none"/>
        </w:rPr>
        <w:t>说明：</w:t>
      </w:r>
    </w:p>
    <w:p>
      <w:pPr>
        <w:spacing w:line="360" w:lineRule="auto"/>
        <w:ind w:firstLine="420" w:firstLineChars="200"/>
        <w:rPr>
          <w:rFonts w:hint="eastAsia" w:ascii="楷体" w:hAnsi="楷体" w:eastAsia="楷体"/>
          <w:color w:val="auto"/>
          <w:szCs w:val="21"/>
          <w:highlight w:val="none"/>
        </w:rPr>
      </w:pPr>
      <w:r>
        <w:rPr>
          <w:rFonts w:hint="eastAsia" w:ascii="楷体" w:hAnsi="楷体" w:eastAsia="楷体"/>
          <w:color w:val="auto"/>
          <w:szCs w:val="21"/>
          <w:highlight w:val="none"/>
        </w:rPr>
        <w:t>1.提供投标人近年完成的类似业绩证明材料；</w:t>
      </w:r>
    </w:p>
    <w:p>
      <w:pPr>
        <w:tabs>
          <w:tab w:val="left" w:pos="3600"/>
        </w:tabs>
        <w:adjustRightInd w:val="0"/>
        <w:snapToGrid w:val="0"/>
        <w:spacing w:line="360" w:lineRule="auto"/>
        <w:ind w:firstLine="420" w:firstLineChars="200"/>
        <w:rPr>
          <w:rFonts w:hint="eastAsia" w:ascii="楷体" w:hAnsi="楷体" w:eastAsia="楷体" w:cs="宋体"/>
          <w:bCs/>
          <w:color w:val="auto"/>
          <w:spacing w:val="6"/>
          <w:kern w:val="0"/>
          <w:szCs w:val="21"/>
          <w:highlight w:val="none"/>
        </w:rPr>
      </w:pPr>
      <w:r>
        <w:rPr>
          <w:rFonts w:hint="eastAsia" w:ascii="楷体" w:hAnsi="楷体" w:eastAsia="楷体"/>
          <w:color w:val="auto"/>
          <w:szCs w:val="21"/>
          <w:highlight w:val="none"/>
        </w:rPr>
        <w:t>2.</w:t>
      </w:r>
      <w:r>
        <w:rPr>
          <w:rFonts w:hint="eastAsia" w:ascii="楷体" w:hAnsi="楷体" w:eastAsia="楷体" w:cs="宋体"/>
          <w:bCs/>
          <w:color w:val="auto"/>
          <w:spacing w:val="6"/>
          <w:kern w:val="0"/>
          <w:szCs w:val="21"/>
          <w:highlight w:val="none"/>
        </w:rPr>
        <w:t>其他证明材料，非投标人的必备证明材料，仅作为评审的因素。</w:t>
      </w:r>
    </w:p>
    <w:p>
      <w:pPr>
        <w:adjustRightInd w:val="0"/>
        <w:snapToGrid w:val="0"/>
        <w:spacing w:line="360" w:lineRule="auto"/>
        <w:rPr>
          <w:rFonts w:hint="eastAsia" w:ascii="仿宋_GB2312" w:hAnsi="宋体" w:eastAsia="仿宋_GB2312"/>
          <w:bCs/>
          <w:color w:val="auto"/>
          <w:szCs w:val="21"/>
          <w:highlight w:val="none"/>
        </w:rPr>
      </w:pPr>
    </w:p>
    <w:p>
      <w:pPr>
        <w:adjustRightInd w:val="0"/>
        <w:spacing w:line="400" w:lineRule="exact"/>
        <w:jc w:val="left"/>
        <w:rPr>
          <w:rFonts w:hint="eastAsia" w:ascii="宋体" w:hAnsi="宋体"/>
          <w:b/>
          <w:bCs/>
          <w:color w:val="auto"/>
          <w:sz w:val="36"/>
          <w:szCs w:val="36"/>
          <w:highlight w:val="none"/>
        </w:rPr>
      </w:pPr>
    </w:p>
    <w:p>
      <w:pPr>
        <w:pStyle w:val="15"/>
        <w:adjustRightInd w:val="0"/>
        <w:snapToGrid w:val="0"/>
        <w:spacing w:before="120" w:beforeLines="50" w:line="360" w:lineRule="auto"/>
        <w:rPr>
          <w:rFonts w:hint="eastAsia" w:hAnsi="宋体"/>
          <w:color w:val="auto"/>
          <w:sz w:val="24"/>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pStyle w:val="15"/>
        <w:adjustRightInd w:val="0"/>
        <w:snapToGrid w:val="0"/>
        <w:spacing w:before="120" w:beforeLines="50" w:line="360" w:lineRule="auto"/>
        <w:ind w:firstLine="735" w:firstLineChars="350"/>
        <w:jc w:val="left"/>
        <w:rPr>
          <w:rFonts w:hint="eastAsia" w:ascii="仿宋_GB2312" w:hAnsi="宋体" w:eastAsia="仿宋_GB2312"/>
          <w:color w:val="auto"/>
          <w:highlight w:val="none"/>
        </w:rPr>
      </w:pPr>
    </w:p>
    <w:p>
      <w:pPr>
        <w:adjustRightInd w:val="0"/>
        <w:snapToGrid w:val="0"/>
        <w:spacing w:after="120" w:afterLines="50" w:line="360" w:lineRule="auto"/>
        <w:jc w:val="center"/>
        <w:rPr>
          <w:rFonts w:hint="eastAsia" w:ascii="黑体" w:hAnsi="宋体" w:eastAsia="黑体"/>
          <w:bCs/>
          <w:color w:val="auto"/>
          <w:sz w:val="36"/>
          <w:szCs w:val="36"/>
          <w:highlight w:val="none"/>
        </w:rPr>
      </w:pPr>
      <w:r>
        <w:rPr>
          <w:rFonts w:hint="eastAsia" w:ascii="黑体" w:hAnsi="宋体" w:eastAsia="黑体"/>
          <w:bCs/>
          <w:color w:val="auto"/>
          <w:sz w:val="36"/>
          <w:szCs w:val="36"/>
          <w:highlight w:val="none"/>
        </w:rPr>
        <w:br w:type="page"/>
      </w:r>
      <w:r>
        <w:rPr>
          <w:rFonts w:hint="eastAsia" w:ascii="黑体" w:hAnsi="宋体" w:eastAsia="黑体"/>
          <w:bCs/>
          <w:color w:val="auto"/>
          <w:sz w:val="36"/>
          <w:szCs w:val="36"/>
          <w:highlight w:val="none"/>
        </w:rPr>
        <w:t>1.投标人近年完成的类似业绩证明材料</w:t>
      </w:r>
    </w:p>
    <w:p>
      <w:pPr>
        <w:spacing w:before="240" w:beforeLines="100" w:line="400" w:lineRule="exact"/>
        <w:jc w:val="center"/>
        <w:outlineLvl w:val="9"/>
        <w:rPr>
          <w:rFonts w:hint="eastAsia" w:ascii="黑体" w:hAnsi="宋体" w:cs="Arial"/>
          <w:b w:val="0"/>
          <w:bCs/>
          <w:color w:val="auto"/>
          <w:sz w:val="36"/>
          <w:szCs w:val="36"/>
          <w:highlight w:val="none"/>
        </w:rPr>
      </w:pPr>
      <w:bookmarkStart w:id="186" w:name="_Toc369"/>
      <w:r>
        <w:rPr>
          <w:rFonts w:hint="eastAsia" w:ascii="黑体" w:hAnsi="宋体" w:cs="Arial"/>
          <w:b w:val="0"/>
          <w:bCs/>
          <w:color w:val="auto"/>
          <w:sz w:val="36"/>
          <w:szCs w:val="36"/>
          <w:highlight w:val="none"/>
        </w:rPr>
        <w:t>近年类似项目业绩一览表</w:t>
      </w:r>
      <w:bookmarkEnd w:id="186"/>
    </w:p>
    <w:p>
      <w:pPr>
        <w:spacing w:after="120" w:line="400" w:lineRule="exact"/>
        <w:ind w:firstLine="210" w:firstLineChars="100"/>
        <w:outlineLvl w:val="9"/>
        <w:rPr>
          <w:rFonts w:hint="eastAsia" w:ascii="宋体" w:hAnsi="宋体" w:eastAsia="宋体" w:cs="宋体"/>
          <w:b w:val="0"/>
          <w:bCs/>
          <w:color w:val="auto"/>
          <w:sz w:val="21"/>
          <w:szCs w:val="21"/>
          <w:highlight w:val="none"/>
        </w:rPr>
      </w:pPr>
      <w:bookmarkStart w:id="187" w:name="_Toc32636"/>
      <w:r>
        <w:rPr>
          <w:rFonts w:hint="eastAsia" w:ascii="宋体" w:hAnsi="宋体" w:eastAsia="宋体" w:cs="宋体"/>
          <w:b w:val="0"/>
          <w:bCs/>
          <w:color w:val="auto"/>
          <w:sz w:val="21"/>
          <w:szCs w:val="21"/>
          <w:highlight w:val="none"/>
        </w:rPr>
        <w:t>投标人名称：                                                          单位：万元</w:t>
      </w:r>
      <w:bookmarkEnd w:id="187"/>
    </w:p>
    <w:tbl>
      <w:tblPr>
        <w:tblStyle w:val="2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927"/>
        <w:gridCol w:w="2061"/>
        <w:gridCol w:w="1517"/>
        <w:gridCol w:w="1515"/>
        <w:gridCol w:w="1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82" w:type="pct"/>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年份</w:t>
            </w:r>
          </w:p>
        </w:tc>
        <w:tc>
          <w:tcPr>
            <w:tcW w:w="1051" w:type="pct"/>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用户名称</w:t>
            </w:r>
          </w:p>
        </w:tc>
        <w:tc>
          <w:tcPr>
            <w:tcW w:w="1124" w:type="pct"/>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827" w:type="pct"/>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26" w:type="pct"/>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完成时间</w:t>
            </w:r>
          </w:p>
        </w:tc>
        <w:tc>
          <w:tcPr>
            <w:tcW w:w="586" w:type="pct"/>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82" w:type="pct"/>
            <w:noWrap w:val="0"/>
            <w:vAlign w:val="top"/>
          </w:tcPr>
          <w:p>
            <w:pPr>
              <w:rPr>
                <w:rFonts w:hint="eastAsia"/>
                <w:color w:val="auto"/>
                <w:sz w:val="24"/>
                <w:highlight w:val="none"/>
              </w:rPr>
            </w:pPr>
          </w:p>
        </w:tc>
        <w:tc>
          <w:tcPr>
            <w:tcW w:w="1051" w:type="pct"/>
            <w:noWrap w:val="0"/>
            <w:vAlign w:val="top"/>
          </w:tcPr>
          <w:p>
            <w:pPr>
              <w:rPr>
                <w:rFonts w:hint="eastAsia"/>
                <w:color w:val="auto"/>
                <w:sz w:val="24"/>
                <w:highlight w:val="none"/>
              </w:rPr>
            </w:pPr>
          </w:p>
        </w:tc>
        <w:tc>
          <w:tcPr>
            <w:tcW w:w="1124" w:type="pct"/>
            <w:noWrap w:val="0"/>
            <w:vAlign w:val="top"/>
          </w:tcPr>
          <w:p>
            <w:pPr>
              <w:rPr>
                <w:rFonts w:hint="eastAsia"/>
                <w:color w:val="auto"/>
                <w:sz w:val="24"/>
                <w:highlight w:val="none"/>
              </w:rPr>
            </w:pPr>
          </w:p>
        </w:tc>
        <w:tc>
          <w:tcPr>
            <w:tcW w:w="827" w:type="pct"/>
            <w:noWrap w:val="0"/>
            <w:vAlign w:val="top"/>
          </w:tcPr>
          <w:p>
            <w:pPr>
              <w:rPr>
                <w:rFonts w:hint="eastAsia"/>
                <w:color w:val="auto"/>
                <w:sz w:val="24"/>
                <w:highlight w:val="none"/>
              </w:rPr>
            </w:pPr>
          </w:p>
        </w:tc>
        <w:tc>
          <w:tcPr>
            <w:tcW w:w="826" w:type="pct"/>
            <w:noWrap w:val="0"/>
            <w:vAlign w:val="top"/>
          </w:tcPr>
          <w:p>
            <w:pPr>
              <w:rPr>
                <w:rFonts w:hint="eastAsia"/>
                <w:color w:val="auto"/>
                <w:sz w:val="24"/>
                <w:highlight w:val="none"/>
              </w:rPr>
            </w:pPr>
          </w:p>
        </w:tc>
        <w:tc>
          <w:tcPr>
            <w:tcW w:w="586" w:type="pct"/>
            <w:noWrap w:val="0"/>
            <w:vAlign w:val="top"/>
          </w:tcPr>
          <w:p>
            <w:pPr>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6"/>
            <w:noWrap w:val="0"/>
            <w:vAlign w:val="top"/>
          </w:tcPr>
          <w:p>
            <w:pPr>
              <w:rPr>
                <w:rFonts w:hint="eastAsia"/>
                <w:color w:val="auto"/>
                <w:sz w:val="24"/>
                <w:highlight w:val="none"/>
              </w:rPr>
            </w:pPr>
            <w:r>
              <w:rPr>
                <w:rFonts w:hint="eastAsia" w:ascii="宋体" w:hAnsi="宋体" w:cs="Arial"/>
                <w:color w:val="auto"/>
                <w:szCs w:val="21"/>
                <w:highlight w:val="none"/>
              </w:rPr>
              <w:t>1.</w:t>
            </w:r>
            <w:r>
              <w:rPr>
                <w:rFonts w:hint="eastAsia" w:ascii="宋体" w:hAnsi="宋体" w:cs="宋体"/>
                <w:color w:val="auto"/>
                <w:kern w:val="0"/>
                <w:highlight w:val="none"/>
                <w:lang w:val="zh-CN"/>
              </w:rPr>
              <w:t>提供类似业绩证明材料。类似业绩是指与采购项目在服务或产品类型、使用功能等方面相同或相近的项目；2.</w:t>
            </w:r>
            <w:r>
              <w:rPr>
                <w:rFonts w:hint="eastAsia" w:ascii="宋体" w:hAnsi="宋体" w:cs="Arial"/>
                <w:color w:val="auto"/>
                <w:szCs w:val="21"/>
                <w:highlight w:val="none"/>
              </w:rPr>
              <w:t>“合同金额”需提供合同扫描件；3.投标人</w:t>
            </w:r>
            <w:r>
              <w:rPr>
                <w:rFonts w:hint="eastAsia" w:ascii="宋体" w:hAnsi="宋体"/>
                <w:bCs/>
                <w:color w:val="auto"/>
                <w:szCs w:val="21"/>
                <w:highlight w:val="none"/>
              </w:rPr>
              <w:t>未按上述要求提供、</w:t>
            </w:r>
            <w:r>
              <w:rPr>
                <w:rFonts w:hint="eastAsia" w:ascii="宋体" w:hAnsi="宋体"/>
                <w:color w:val="auto"/>
                <w:szCs w:val="21"/>
                <w:highlight w:val="none"/>
              </w:rPr>
              <w:t>填写</w:t>
            </w:r>
            <w:r>
              <w:rPr>
                <w:rFonts w:hint="eastAsia" w:ascii="宋体" w:hAnsi="宋体"/>
                <w:bCs/>
                <w:color w:val="auto"/>
                <w:szCs w:val="21"/>
                <w:highlight w:val="none"/>
              </w:rPr>
              <w:t>的，评标时不予加分。</w:t>
            </w:r>
          </w:p>
        </w:tc>
      </w:tr>
    </w:tbl>
    <w:p>
      <w:pPr>
        <w:pStyle w:val="6"/>
        <w:rPr>
          <w:rFonts w:hint="eastAsia"/>
          <w:color w:val="auto"/>
          <w:highlight w:val="none"/>
        </w:rPr>
      </w:pPr>
    </w:p>
    <w:p>
      <w:pPr>
        <w:adjustRightInd w:val="0"/>
        <w:spacing w:before="360" w:beforeLines="150" w:line="360" w:lineRule="auto"/>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（单位盖章）</w:t>
      </w:r>
    </w:p>
    <w:p>
      <w:pPr>
        <w:pStyle w:val="91"/>
        <w:spacing w:before="360" w:beforeLines="150" w:line="360" w:lineRule="auto"/>
        <w:rPr>
          <w:rFonts w:hint="eastAsia" w:ascii="宋体" w:hAnsi="宋体"/>
          <w:color w:val="auto"/>
          <w:highlight w:val="none"/>
        </w:rPr>
      </w:pPr>
      <w:r>
        <w:rPr>
          <w:rFonts w:hint="eastAsia" w:ascii="宋体" w:hAnsi="宋体"/>
          <w:color w:val="auto"/>
          <w:highlight w:val="none"/>
        </w:rPr>
        <w:t>法定代表人或委托代理人</w:t>
      </w:r>
      <w:r>
        <w:rPr>
          <w:rFonts w:hint="eastAsia" w:ascii="宋体" w:hAnsi="宋体"/>
          <w:color w:val="auto"/>
          <w:highlight w:val="none"/>
          <w:u w:val="single"/>
        </w:rPr>
        <w:t xml:space="preserve">                </w:t>
      </w:r>
      <w:r>
        <w:rPr>
          <w:rFonts w:hint="eastAsia" w:ascii="宋体" w:hAnsi="宋体"/>
          <w:color w:val="auto"/>
          <w:highlight w:val="none"/>
        </w:rPr>
        <w:t>（签</w:t>
      </w:r>
      <w:r>
        <w:rPr>
          <w:rFonts w:hint="eastAsia" w:ascii="宋体" w:hAnsi="宋体"/>
          <w:color w:val="auto"/>
          <w:highlight w:val="none"/>
          <w:lang w:eastAsia="zh-CN"/>
        </w:rPr>
        <w:t>名</w:t>
      </w:r>
      <w:r>
        <w:rPr>
          <w:rFonts w:hint="eastAsia" w:ascii="宋体" w:hAnsi="宋体"/>
          <w:color w:val="auto"/>
          <w:highlight w:val="none"/>
          <w:lang w:val="en-US" w:eastAsia="zh-CN"/>
        </w:rPr>
        <w:t>或盖章</w:t>
      </w:r>
      <w:r>
        <w:rPr>
          <w:rFonts w:hint="eastAsia" w:ascii="宋体" w:hAnsi="宋体"/>
          <w:color w:val="auto"/>
          <w:highlight w:val="none"/>
        </w:rPr>
        <w:t>）</w:t>
      </w:r>
    </w:p>
    <w:p>
      <w:pPr>
        <w:pStyle w:val="91"/>
        <w:spacing w:before="360" w:beforeLines="150" w:line="360" w:lineRule="auto"/>
        <w:rPr>
          <w:rFonts w:hint="eastAsia" w:ascii="宋体" w:hAnsi="宋体"/>
          <w:color w:val="auto"/>
          <w:highlight w:val="none"/>
        </w:rPr>
      </w:pPr>
      <w:r>
        <w:rPr>
          <w:rFonts w:hint="eastAsia" w:ascii="宋体" w:hAnsi="宋体"/>
          <w:bCs/>
          <w:color w:val="auto"/>
          <w:highlight w:val="none"/>
        </w:rPr>
        <w:t xml:space="preserve">日    期:  20   年   月   日   </w:t>
      </w:r>
    </w:p>
    <w:p>
      <w:pPr>
        <w:adjustRightInd w:val="0"/>
        <w:spacing w:line="400" w:lineRule="exact"/>
        <w:jc w:val="center"/>
        <w:outlineLvl w:val="9"/>
        <w:rPr>
          <w:rFonts w:hint="eastAsia" w:ascii="黑体" w:hAnsi="宋体" w:eastAsia="黑体"/>
          <w:bCs/>
          <w:color w:val="auto"/>
          <w:sz w:val="36"/>
          <w:szCs w:val="36"/>
          <w:highlight w:val="none"/>
        </w:rPr>
      </w:pPr>
      <w:r>
        <w:rPr>
          <w:rFonts w:hint="eastAsia" w:ascii="黑体" w:hAnsi="宋体" w:eastAsia="黑体"/>
          <w:bCs/>
          <w:color w:val="auto"/>
          <w:sz w:val="36"/>
          <w:szCs w:val="36"/>
          <w:highlight w:val="none"/>
        </w:rPr>
        <w:br w:type="page"/>
      </w:r>
      <w:bookmarkStart w:id="188" w:name="_Toc7625"/>
      <w:r>
        <w:rPr>
          <w:rFonts w:hint="eastAsia" w:ascii="黑体" w:hAnsi="宋体" w:eastAsia="黑体"/>
          <w:bCs/>
          <w:color w:val="auto"/>
          <w:sz w:val="36"/>
          <w:szCs w:val="36"/>
          <w:highlight w:val="none"/>
        </w:rPr>
        <w:t>十、技术文件</w:t>
      </w:r>
      <w:bookmarkEnd w:id="188"/>
    </w:p>
    <w:p>
      <w:pPr>
        <w:spacing w:line="360" w:lineRule="auto"/>
        <w:ind w:firstLine="480" w:firstLineChars="200"/>
        <w:rPr>
          <w:rFonts w:hint="eastAsia" w:ascii="宋体" w:hAnsi="宋体"/>
          <w:bCs/>
          <w:color w:val="auto"/>
          <w:sz w:val="24"/>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说明：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格式自定。应当</w:t>
      </w:r>
      <w:r>
        <w:rPr>
          <w:rFonts w:hint="eastAsia" w:ascii="宋体" w:hAnsi="宋体"/>
          <w:color w:val="auto"/>
          <w:szCs w:val="21"/>
          <w:highlight w:val="none"/>
          <w:lang w:val="en-US" w:eastAsia="zh-CN"/>
        </w:rPr>
        <w:t xml:space="preserve">依据《第二章 </w:t>
      </w:r>
      <w:r>
        <w:rPr>
          <w:rFonts w:hint="eastAsia" w:ascii="宋体" w:hAnsi="宋体"/>
          <w:color w:val="auto"/>
          <w:szCs w:val="21"/>
          <w:highlight w:val="none"/>
        </w:rPr>
        <w:t>投标人须知</w:t>
      </w:r>
      <w:r>
        <w:rPr>
          <w:rFonts w:hint="eastAsia" w:ascii="宋体" w:hAnsi="宋体"/>
          <w:color w:val="auto"/>
          <w:szCs w:val="21"/>
          <w:highlight w:val="none"/>
          <w:lang w:val="en-US" w:eastAsia="zh-CN"/>
        </w:rPr>
        <w:t>》“</w:t>
      </w:r>
      <w:r>
        <w:rPr>
          <w:rFonts w:hint="eastAsia" w:ascii="宋体" w:hAnsi="宋体"/>
          <w:color w:val="auto"/>
          <w:szCs w:val="21"/>
          <w:highlight w:val="none"/>
        </w:rPr>
        <w:t>第4.2.4条款</w:t>
      </w:r>
      <w:r>
        <w:rPr>
          <w:rFonts w:hint="eastAsia" w:ascii="宋体" w:hAnsi="宋体"/>
          <w:color w:val="auto"/>
          <w:szCs w:val="21"/>
          <w:highlight w:val="none"/>
          <w:lang w:val="en-US" w:eastAsia="zh-CN"/>
        </w:rPr>
        <w:t>”</w:t>
      </w:r>
      <w:r>
        <w:rPr>
          <w:rFonts w:hint="eastAsia" w:ascii="宋体" w:hAnsi="宋体"/>
          <w:color w:val="auto"/>
          <w:szCs w:val="21"/>
          <w:highlight w:val="none"/>
        </w:rPr>
        <w:t>内容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第五章 采购需求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、《第四章 评标办法》“2.1.7综合评分明细表”中的评审因素编写</w:t>
      </w:r>
      <w:r>
        <w:rPr>
          <w:rFonts w:hint="eastAsia" w:ascii="宋体" w:hAnsi="宋体"/>
          <w:color w:val="auto"/>
          <w:szCs w:val="21"/>
          <w:highlight w:val="none"/>
        </w:rPr>
        <w:t>。</w:t>
      </w:r>
    </w:p>
    <w:p>
      <w:pPr>
        <w:spacing w:line="360" w:lineRule="auto"/>
        <w:ind w:firstLine="420" w:firstLineChars="200"/>
        <w:rPr>
          <w:rFonts w:hint="eastAsia" w:ascii="楷体" w:hAnsi="楷体" w:eastAsia="楷体"/>
          <w:color w:val="auto"/>
          <w:szCs w:val="21"/>
          <w:highlight w:val="none"/>
        </w:rPr>
      </w:pPr>
    </w:p>
    <w:p>
      <w:pPr>
        <w:spacing w:line="360" w:lineRule="auto"/>
        <w:ind w:firstLine="480" w:firstLineChars="200"/>
        <w:rPr>
          <w:rFonts w:hint="eastAsia"/>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4"/>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adjustRightInd w:val="0"/>
        <w:spacing w:line="400" w:lineRule="exact"/>
        <w:jc w:val="left"/>
        <w:rPr>
          <w:rFonts w:hint="eastAsia" w:ascii="宋体" w:hAnsi="宋体"/>
          <w:bCs/>
          <w:color w:val="auto"/>
          <w:sz w:val="28"/>
          <w:szCs w:val="28"/>
          <w:highlight w:val="none"/>
        </w:rPr>
      </w:pPr>
    </w:p>
    <w:p>
      <w:pPr>
        <w:pStyle w:val="4"/>
        <w:spacing w:before="0" w:after="0" w:line="240" w:lineRule="auto"/>
        <w:outlineLvl w:val="9"/>
        <w:rPr>
          <w:rFonts w:hint="eastAsia" w:ascii="宋体" w:hAnsi="宋体" w:eastAsia="宋体"/>
          <w:bCs/>
          <w:color w:val="auto"/>
          <w:kern w:val="0"/>
          <w:sz w:val="36"/>
          <w:szCs w:val="36"/>
          <w:highlight w:val="none"/>
        </w:rPr>
      </w:pPr>
    </w:p>
    <w:p>
      <w:pPr>
        <w:pStyle w:val="6"/>
        <w:rPr>
          <w:rFonts w:hint="eastAsia"/>
          <w:color w:val="auto"/>
          <w:highlight w:val="none"/>
        </w:rPr>
      </w:pPr>
    </w:p>
    <w:p>
      <w:pPr>
        <w:pStyle w:val="6"/>
        <w:rPr>
          <w:rFonts w:hint="eastAsia"/>
          <w:color w:val="auto"/>
          <w:highlight w:val="none"/>
        </w:rPr>
      </w:pPr>
    </w:p>
    <w:p>
      <w:pPr>
        <w:spacing w:before="0" w:after="0" w:line="360" w:lineRule="auto"/>
        <w:jc w:val="center"/>
        <w:outlineLvl w:val="9"/>
        <w:rPr>
          <w:rFonts w:hint="eastAsia" w:ascii="黑体" w:hAnsi="宋体"/>
          <w:b w:val="0"/>
          <w:bCs/>
          <w:color w:val="auto"/>
          <w:kern w:val="0"/>
          <w:sz w:val="36"/>
          <w:szCs w:val="36"/>
          <w:highlight w:val="none"/>
        </w:rPr>
      </w:pPr>
      <w:r>
        <w:rPr>
          <w:rFonts w:hint="eastAsia" w:ascii="黑体" w:hAnsi="宋体"/>
          <w:b w:val="0"/>
          <w:bCs/>
          <w:color w:val="auto"/>
          <w:kern w:val="0"/>
          <w:sz w:val="36"/>
          <w:szCs w:val="36"/>
          <w:highlight w:val="none"/>
        </w:rPr>
        <w:br w:type="page"/>
      </w:r>
      <w:bookmarkStart w:id="189" w:name="_Toc16711"/>
      <w:r>
        <w:rPr>
          <w:rFonts w:hint="eastAsia" w:ascii="黑体" w:hAnsi="宋体"/>
          <w:b w:val="0"/>
          <w:bCs/>
          <w:color w:val="auto"/>
          <w:kern w:val="0"/>
          <w:sz w:val="36"/>
          <w:szCs w:val="36"/>
          <w:highlight w:val="none"/>
          <w:lang w:val="en-US" w:eastAsia="zh-CN"/>
        </w:rPr>
        <w:t>十一</w:t>
      </w:r>
      <w:r>
        <w:rPr>
          <w:rFonts w:hint="eastAsia" w:ascii="黑体" w:hAnsi="宋体"/>
          <w:b w:val="0"/>
          <w:bCs/>
          <w:color w:val="auto"/>
          <w:kern w:val="0"/>
          <w:sz w:val="36"/>
          <w:szCs w:val="36"/>
          <w:highlight w:val="none"/>
        </w:rPr>
        <w:t>、服务要求偏离表</w:t>
      </w:r>
      <w:bookmarkEnd w:id="189"/>
    </w:p>
    <w:p>
      <w:pPr>
        <w:pStyle w:val="6"/>
        <w:spacing w:before="120" w:beforeLines="50" w:after="120" w:afterLines="50"/>
        <w:ind w:firstLine="0"/>
        <w:rPr>
          <w:rFonts w:hint="eastAsia" w:ascii="宋体" w:hAnsi="宋体"/>
          <w:color w:val="auto"/>
          <w:highlight w:val="none"/>
        </w:rPr>
      </w:pPr>
      <w:r>
        <w:rPr>
          <w:rFonts w:hint="eastAsia"/>
          <w:color w:val="auto"/>
          <w:highlight w:val="none"/>
        </w:rPr>
        <w:t xml:space="preserve">投标人名称：                          </w:t>
      </w:r>
      <w:r>
        <w:rPr>
          <w:rFonts w:hint="eastAsia" w:ascii="宋体" w:hAnsi="宋体"/>
          <w:color w:val="auto"/>
          <w:highlight w:val="none"/>
        </w:rPr>
        <w:t xml:space="preserve">       采购项目编号：</w:t>
      </w:r>
    </w:p>
    <w:tbl>
      <w:tblPr>
        <w:tblStyle w:val="29"/>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74"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865" w:type="dxa"/>
            <w:noWrap w:val="0"/>
            <w:vAlign w:val="center"/>
          </w:tcPr>
          <w:p>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rPr>
              <w:t>招标文件服务</w:t>
            </w:r>
          </w:p>
          <w:p>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w:t>
            </w:r>
            <w:r>
              <w:rPr>
                <w:rFonts w:hint="eastAsia" w:ascii="宋体" w:hAnsi="宋体"/>
                <w:b/>
                <w:bCs/>
                <w:color w:val="auto"/>
                <w:szCs w:val="21"/>
                <w:highlight w:val="none"/>
              </w:rPr>
              <w:t>要求</w:t>
            </w:r>
          </w:p>
        </w:tc>
        <w:tc>
          <w:tcPr>
            <w:tcW w:w="2542" w:type="dxa"/>
            <w:noWrap w:val="0"/>
            <w:vAlign w:val="center"/>
          </w:tcPr>
          <w:p>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rPr>
              <w:t>投标文件服务</w:t>
            </w:r>
          </w:p>
          <w:p>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（技术）响应</w:t>
            </w:r>
          </w:p>
        </w:tc>
        <w:tc>
          <w:tcPr>
            <w:tcW w:w="841"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1684" w:type="dxa"/>
            <w:noWrap w:val="0"/>
            <w:vAlign w:val="center"/>
          </w:tcPr>
          <w:p>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41" w:type="dxa"/>
            <w:noWrap w:val="0"/>
            <w:vAlign w:val="center"/>
          </w:tcPr>
          <w:p>
            <w:pPr>
              <w:adjustRightInd w:val="0"/>
              <w:snapToGrid w:val="0"/>
              <w:spacing w:line="360" w:lineRule="auto"/>
              <w:ind w:right="24"/>
              <w:jc w:val="center"/>
              <w:rPr>
                <w:rFonts w:hint="eastAsia" w:ascii="宋体" w:hAnsi="宋体"/>
                <w:b/>
                <w:bCs/>
                <w:color w:val="auto"/>
                <w:szCs w:val="21"/>
                <w:highlight w:val="none"/>
              </w:rPr>
            </w:pPr>
            <w:r>
              <w:rPr>
                <w:rFonts w:hint="eastAsia" w:ascii="宋体" w:hAnsi="宋体"/>
                <w:b/>
                <w:bCs/>
                <w:color w:val="auto"/>
                <w:szCs w:val="21"/>
                <w:highlight w:val="none"/>
              </w:rPr>
              <w:t>说明</w:t>
            </w:r>
          </w:p>
        </w:tc>
        <w:tc>
          <w:tcPr>
            <w:tcW w:w="8406" w:type="dxa"/>
            <w:gridSpan w:val="5"/>
            <w:noWrap w:val="0"/>
            <w:vAlign w:val="center"/>
          </w:tcPr>
          <w:p>
            <w:pPr>
              <w:rPr>
                <w:rFonts w:hint="eastAsia" w:ascii="宋体" w:hAnsi="宋体"/>
                <w:color w:val="auto"/>
                <w:szCs w:val="21"/>
                <w:highlight w:val="none"/>
              </w:rPr>
            </w:pPr>
            <w:r>
              <w:rPr>
                <w:rFonts w:hint="eastAsia" w:ascii="宋体" w:hAnsi="宋体"/>
                <w:color w:val="auto"/>
                <w:szCs w:val="21"/>
                <w:highlight w:val="none"/>
              </w:rPr>
              <w:t>1.偏离应按照招标文件第二章第1.11条款定义理解，本表只填写有偏离的情况。</w:t>
            </w:r>
          </w:p>
          <w:p>
            <w:pPr>
              <w:adjustRightInd w:val="0"/>
              <w:snapToGrid w:val="0"/>
              <w:ind w:right="24"/>
              <w:rPr>
                <w:rFonts w:hint="eastAsia" w:ascii="宋体" w:hAnsi="宋体"/>
                <w:bCs/>
                <w:color w:val="auto"/>
                <w:sz w:val="24"/>
                <w:highlight w:val="none"/>
              </w:rPr>
            </w:pPr>
            <w:r>
              <w:rPr>
                <w:rFonts w:hint="eastAsia" w:ascii="宋体" w:hAnsi="宋体"/>
                <w:color w:val="auto"/>
                <w:szCs w:val="21"/>
                <w:highlight w:val="none"/>
              </w:rPr>
              <w:t>2.对技术条款中所有要求，除本表所列出偏离外，均视为投标人响应其余全部技术条款要求；如投标人响应招标文件所有技术条款要求的，必须提交空白表，否则，其</w:t>
            </w:r>
            <w:r>
              <w:rPr>
                <w:rFonts w:hint="eastAsia" w:ascii="宋体" w:hAnsi="宋体"/>
                <w:b/>
                <w:color w:val="auto"/>
                <w:szCs w:val="21"/>
                <w:highlight w:val="none"/>
              </w:rPr>
              <w:t>投标无效</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41" w:type="dxa"/>
            <w:noWrap w:val="0"/>
            <w:vAlign w:val="center"/>
          </w:tcPr>
          <w:p>
            <w:pPr>
              <w:adjustRightInd w:val="0"/>
              <w:snapToGrid w:val="0"/>
              <w:spacing w:line="360" w:lineRule="auto"/>
              <w:ind w:right="24"/>
              <w:jc w:val="center"/>
              <w:rPr>
                <w:rFonts w:hint="eastAsia" w:ascii="宋体" w:hAnsi="宋体"/>
                <w:b/>
                <w:bCs/>
                <w:color w:val="auto"/>
                <w:szCs w:val="21"/>
                <w:highlight w:val="none"/>
              </w:rPr>
            </w:pPr>
          </w:p>
        </w:tc>
        <w:tc>
          <w:tcPr>
            <w:tcW w:w="8406" w:type="dxa"/>
            <w:gridSpan w:val="5"/>
            <w:noWrap w:val="0"/>
            <w:vAlign w:val="center"/>
          </w:tcPr>
          <w:p>
            <w:pPr>
              <w:adjustRightInd w:val="0"/>
              <w:snapToGrid w:val="0"/>
              <w:ind w:right="24"/>
              <w:rPr>
                <w:rFonts w:hint="eastAsia" w:ascii="宋体" w:hAnsi="宋体"/>
                <w:color w:val="auto"/>
                <w:szCs w:val="21"/>
                <w:highlight w:val="none"/>
              </w:rPr>
            </w:pPr>
          </w:p>
        </w:tc>
      </w:tr>
    </w:tbl>
    <w:p>
      <w:pPr>
        <w:adjustRightInd w:val="0"/>
        <w:spacing w:line="400" w:lineRule="exact"/>
        <w:ind w:firstLine="367" w:firstLineChars="175"/>
        <w:jc w:val="left"/>
        <w:rPr>
          <w:rFonts w:hint="eastAsia" w:ascii="仿宋_GB2312" w:hAnsi="宋体" w:eastAsia="仿宋_GB2312"/>
          <w:bCs/>
          <w:color w:val="auto"/>
          <w:szCs w:val="21"/>
          <w:highlight w:val="none"/>
        </w:rPr>
      </w:pPr>
    </w:p>
    <w:p>
      <w:pPr>
        <w:adjustRightInd w:val="0"/>
        <w:spacing w:after="240" w:afterLines="100" w:line="400" w:lineRule="exact"/>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（单位盖章）</w:t>
      </w:r>
    </w:p>
    <w:p>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w:t>
      </w:r>
      <w:r>
        <w:rPr>
          <w:rFonts w:hint="eastAsia" w:ascii="宋体" w:hAnsi="宋体"/>
          <w:color w:val="auto"/>
          <w:szCs w:val="21"/>
          <w:highlight w:val="none"/>
          <w:lang w:eastAsia="zh-CN"/>
        </w:rPr>
        <w:t>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pPr>
        <w:adjustRightInd w:val="0"/>
        <w:spacing w:before="360" w:beforeLines="150"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日   期:20   年  月  日</w:t>
      </w:r>
    </w:p>
    <w:p>
      <w:pPr>
        <w:adjustRightInd w:val="0"/>
        <w:spacing w:before="360" w:beforeLines="150"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bookmarkStart w:id="190" w:name="_Toc17548"/>
      <w:r>
        <w:rPr>
          <w:rFonts w:hint="eastAsia" w:ascii="黑体" w:hAnsi="宋体" w:eastAsia="黑体"/>
          <w:color w:val="auto"/>
          <w:sz w:val="36"/>
          <w:szCs w:val="36"/>
          <w:highlight w:val="none"/>
        </w:rPr>
        <w:t>十</w:t>
      </w:r>
      <w:r>
        <w:rPr>
          <w:rFonts w:hint="eastAsia" w:ascii="黑体" w:hAnsi="宋体" w:eastAsia="黑体"/>
          <w:color w:val="auto"/>
          <w:sz w:val="36"/>
          <w:szCs w:val="36"/>
          <w:highlight w:val="none"/>
          <w:lang w:val="en-US" w:eastAsia="zh-CN"/>
        </w:rPr>
        <w:t>二</w:t>
      </w:r>
      <w:r>
        <w:rPr>
          <w:rFonts w:hint="eastAsia" w:ascii="黑体" w:hAnsi="宋体" w:eastAsia="黑体"/>
          <w:color w:val="auto"/>
          <w:sz w:val="36"/>
          <w:szCs w:val="36"/>
          <w:highlight w:val="none"/>
        </w:rPr>
        <w:t>、投标人认为有必要补充说明的事项</w:t>
      </w:r>
      <w:bookmarkEnd w:id="190"/>
    </w:p>
    <w:sectPr>
      <w:headerReference r:id="rId14" w:type="default"/>
      <w:pgSz w:w="11907" w:h="16840"/>
      <w:pgMar w:top="1440" w:right="1474" w:bottom="1440" w:left="1474" w:header="1191" w:footer="992" w:gutter="0"/>
      <w:pgBorders>
        <w:top w:val="none" w:sz="0" w:space="0"/>
        <w:left w:val="none" w:sz="0" w:space="0"/>
        <w:bottom w:val="none" w:sz="0" w:space="0"/>
        <w:right w:val="none" w:sz="0" w:space="0"/>
      </w:pgBorders>
      <w:pgNumType w:fmt="decimal"/>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方正仿宋_GBK">
    <w:altName w:val="黑体"/>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Align="top"/>
      <w:rPr>
        <w:rStyle w:val="33"/>
      </w:rPr>
    </w:pPr>
    <w:r>
      <w:fldChar w:fldCharType="begin"/>
    </w:r>
    <w:r>
      <w:rPr>
        <w:rStyle w:val="33"/>
      </w:rPr>
      <w:instrText xml:space="preserve">PAGE  </w:instrText>
    </w:r>
    <w:r>
      <w:fldChar w:fldCharType="separate"/>
    </w:r>
    <w:r>
      <w:rPr>
        <w:rStyle w:val="33"/>
      </w:rPr>
      <w:t>4</w:t>
    </w:r>
    <w:r>
      <w:fldChar w:fldCharType="end"/>
    </w:r>
  </w:p>
  <w:p>
    <w:pPr>
      <w:pStyle w:val="19"/>
      <w:pBdr>
        <w:bottom w:val="single" w:color="auto" w:sz="6" w:space="1"/>
      </w:pBdr>
      <w:ind w:right="360"/>
      <w:rPr>
        <w:rFonts w:hint="eastAsia"/>
        <w:kern w:val="0"/>
        <w:szCs w:val="21"/>
      </w:rPr>
    </w:pPr>
  </w:p>
  <w:p>
    <w:pPr>
      <w:pStyle w:val="19"/>
      <w:jc w:val="center"/>
      <w:rPr>
        <w:rFonts w:hint="eastAsia"/>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98</w:t>
    </w:r>
    <w:r>
      <w:rPr>
        <w:kern w:val="0"/>
        <w:szCs w:val="21"/>
      </w:rPr>
      <w:fldChar w:fldCharType="end"/>
    </w:r>
    <w:r>
      <w:rPr>
        <w:rFonts w:hint="eastAsia"/>
        <w:kern w:val="0"/>
        <w:szCs w:val="21"/>
      </w:rPr>
      <w:t xml:space="preserve"> 页</w:t>
    </w:r>
  </w:p>
  <w:p>
    <w:pPr>
      <w:pStyle w:val="19"/>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rFonts w:hint="eastAsia"/>
        <w:kern w:val="0"/>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r>
      <w:rPr>
        <w:rFonts w:hint="eastAsia"/>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rFonts w:hint="eastAsia"/>
        <w:kern w:val="0"/>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default" w:eastAsia="宋体"/>
        <w:lang w:val="en-US" w:eastAsia="zh-CN"/>
      </w:rPr>
    </w:pPr>
    <w:r>
      <w:rPr>
        <w:rFonts w:hint="eastAsia"/>
        <w:lang w:eastAsia="zh-CN"/>
      </w:rPr>
      <w:t>西安市莲湖区北院门街道办事处保洁公司服务外包项目</w:t>
    </w:r>
    <w:r>
      <w:rPr>
        <w:rFonts w:hint="eastAsia"/>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eastAsia" w:ascii="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default" w:eastAsia="宋体"/>
        <w:lang w:val="en-US" w:eastAsia="zh-CN"/>
      </w:rPr>
    </w:pPr>
    <w:r>
      <w:rPr>
        <w:rFonts w:hint="eastAsia"/>
        <w:highlight w:val="none"/>
        <w:lang w:eastAsia="zh-CN"/>
      </w:rPr>
      <w:t>西安市莲湖区北院门街道办事处保洁公司服务外包项目</w:t>
    </w:r>
    <w:r>
      <w:rPr>
        <w:rFonts w:hint="eastAsia"/>
        <w:highlight w:val="none"/>
        <w:lang w:val="en-US" w:eastAsia="zh-CN"/>
      </w:rPr>
      <w:t xml:space="preserve">    </w:t>
    </w:r>
    <w:r>
      <w:rPr>
        <w:rFonts w:hint="eastAsia"/>
        <w:lang w:val="en-US" w:eastAsia="zh-CN"/>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default" w:eastAsia="宋体"/>
        <w:lang w:val="en-US" w:eastAsia="zh-CN"/>
      </w:rPr>
    </w:pPr>
    <w:r>
      <w:rPr>
        <w:rFonts w:hint="eastAsia"/>
        <w:lang w:eastAsia="zh-CN"/>
      </w:rPr>
      <w:t>西安市莲湖区北院门街道办事处保洁公司服务外包项目</w:t>
    </w:r>
    <w:r>
      <w:rPr>
        <w:rFonts w:hint="eastAsia"/>
        <w:lang w:val="en-US" w:eastAsia="zh-CN"/>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default" w:eastAsia="宋体"/>
        <w:lang w:val="en-US" w:eastAsia="zh-CN"/>
      </w:rPr>
    </w:pPr>
    <w:r>
      <w:rPr>
        <w:rFonts w:hint="eastAsia"/>
        <w:lang w:eastAsia="zh-CN"/>
      </w:rPr>
      <w:t>西安市莲湖区北院门街道办事处保洁公司服务外包项目</w:t>
    </w:r>
    <w:r>
      <w:rPr>
        <w:rFonts w:hint="eastAsia"/>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DA0A1"/>
    <w:multiLevelType w:val="singleLevel"/>
    <w:tmpl w:val="8FDDA0A1"/>
    <w:lvl w:ilvl="0" w:tentative="0">
      <w:start w:val="1"/>
      <w:numFmt w:val="decimal"/>
      <w:suff w:val="nothing"/>
      <w:lvlText w:val="%1、"/>
      <w:lvlJc w:val="left"/>
    </w:lvl>
  </w:abstractNum>
  <w:abstractNum w:abstractNumId="1">
    <w:nsid w:val="A3E3B848"/>
    <w:multiLevelType w:val="singleLevel"/>
    <w:tmpl w:val="A3E3B848"/>
    <w:lvl w:ilvl="0" w:tentative="0">
      <w:start w:val="1"/>
      <w:numFmt w:val="chineseCounting"/>
      <w:suff w:val="nothing"/>
      <w:lvlText w:val="%1、"/>
      <w:lvlJc w:val="left"/>
      <w:rPr>
        <w:rFonts w:hint="eastAsia"/>
      </w:rPr>
    </w:lvl>
  </w:abstractNum>
  <w:abstractNum w:abstractNumId="2">
    <w:nsid w:val="C0DED1BE"/>
    <w:multiLevelType w:val="singleLevel"/>
    <w:tmpl w:val="C0DED1BE"/>
    <w:lvl w:ilvl="0" w:tentative="0">
      <w:start w:val="1"/>
      <w:numFmt w:val="decimal"/>
      <w:lvlText w:val="(%1)"/>
      <w:lvlJc w:val="left"/>
      <w:pPr>
        <w:ind w:left="57" w:leftChars="0" w:hanging="57" w:firstLineChars="0"/>
      </w:pPr>
      <w:rPr>
        <w:rFonts w:hint="default"/>
      </w:rPr>
    </w:lvl>
  </w:abstractNum>
  <w:abstractNum w:abstractNumId="3">
    <w:nsid w:val="C521110E"/>
    <w:multiLevelType w:val="singleLevel"/>
    <w:tmpl w:val="C521110E"/>
    <w:lvl w:ilvl="0" w:tentative="0">
      <w:start w:val="1"/>
      <w:numFmt w:val="decimal"/>
      <w:lvlText w:val="(%1)"/>
      <w:lvlJc w:val="left"/>
      <w:pPr>
        <w:ind w:left="57" w:leftChars="0" w:hanging="57" w:firstLineChars="0"/>
      </w:pPr>
      <w:rPr>
        <w:rFonts w:hint="default"/>
      </w:rPr>
    </w:lvl>
  </w:abstractNum>
  <w:abstractNum w:abstractNumId="4">
    <w:nsid w:val="E523E257"/>
    <w:multiLevelType w:val="singleLevel"/>
    <w:tmpl w:val="E523E257"/>
    <w:lvl w:ilvl="0" w:tentative="0">
      <w:start w:val="2"/>
      <w:numFmt w:val="chineseCounting"/>
      <w:suff w:val="nothing"/>
      <w:lvlText w:val="%1、"/>
      <w:lvlJc w:val="left"/>
      <w:rPr>
        <w:rFonts w:hint="eastAsia"/>
      </w:rPr>
    </w:lvl>
  </w:abstractNum>
  <w:abstractNum w:abstractNumId="5">
    <w:nsid w:val="F4534249"/>
    <w:multiLevelType w:val="singleLevel"/>
    <w:tmpl w:val="F4534249"/>
    <w:lvl w:ilvl="0" w:tentative="0">
      <w:start w:val="1"/>
      <w:numFmt w:val="chineseCounting"/>
      <w:suff w:val="space"/>
      <w:lvlText w:val="第%1章"/>
      <w:lvlJc w:val="left"/>
      <w:rPr>
        <w:rFonts w:hint="eastAsia"/>
      </w:rPr>
    </w:lvl>
  </w:abstractNum>
  <w:abstractNum w:abstractNumId="6">
    <w:nsid w:val="055D57E1"/>
    <w:multiLevelType w:val="singleLevel"/>
    <w:tmpl w:val="055D57E1"/>
    <w:lvl w:ilvl="0" w:tentative="0">
      <w:start w:val="1"/>
      <w:numFmt w:val="decimal"/>
      <w:lvlText w:val="(%1)"/>
      <w:lvlJc w:val="left"/>
      <w:pPr>
        <w:ind w:left="57" w:leftChars="0" w:hanging="57" w:firstLineChars="0"/>
      </w:pPr>
      <w:rPr>
        <w:rFonts w:hint="default"/>
      </w:rPr>
    </w:lvl>
  </w:abstractNum>
  <w:abstractNum w:abstractNumId="7">
    <w:nsid w:val="22B150A0"/>
    <w:multiLevelType w:val="singleLevel"/>
    <w:tmpl w:val="22B150A0"/>
    <w:lvl w:ilvl="0" w:tentative="0">
      <w:start w:val="2"/>
      <w:numFmt w:val="chineseCounting"/>
      <w:suff w:val="nothing"/>
      <w:lvlText w:val="%1、"/>
      <w:lvlJc w:val="left"/>
      <w:rPr>
        <w:rFonts w:hint="eastAsia"/>
      </w:rPr>
    </w:lvl>
  </w:abstractNum>
  <w:abstractNum w:abstractNumId="8">
    <w:nsid w:val="3E4A5899"/>
    <w:multiLevelType w:val="multilevel"/>
    <w:tmpl w:val="3E4A5899"/>
    <w:lvl w:ilvl="0" w:tentative="0">
      <w:start w:val="4"/>
      <w:numFmt w:val="bullet"/>
      <w:lvlText w:val="□"/>
      <w:lvlJc w:val="left"/>
      <w:pPr>
        <w:tabs>
          <w:tab w:val="left" w:pos="570"/>
        </w:tabs>
        <w:ind w:left="570" w:hanging="360"/>
      </w:pPr>
      <w:rPr>
        <w:rFonts w:hint="eastAsia" w:ascii="宋体" w:hAnsi="宋体" w:eastAsia="宋体"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9">
    <w:nsid w:val="69B1AF9C"/>
    <w:multiLevelType w:val="singleLevel"/>
    <w:tmpl w:val="69B1AF9C"/>
    <w:lvl w:ilvl="0" w:tentative="0">
      <w:start w:val="1"/>
      <w:numFmt w:val="decimal"/>
      <w:lvlText w:val="%1."/>
      <w:lvlJc w:val="left"/>
      <w:pPr>
        <w:ind w:left="425" w:hanging="425"/>
      </w:pPr>
      <w:rPr>
        <w:rFonts w:hint="default"/>
      </w:rPr>
    </w:lvl>
  </w:abstractNum>
  <w:num w:numId="1">
    <w:abstractNumId w:val="5"/>
  </w:num>
  <w:num w:numId="2">
    <w:abstractNumId w:val="9"/>
  </w:num>
  <w:num w:numId="3">
    <w:abstractNumId w:val="8"/>
  </w:num>
  <w:num w:numId="4">
    <w:abstractNumId w:val="3"/>
  </w:num>
  <w:num w:numId="5">
    <w:abstractNumId w:val="0"/>
  </w:num>
  <w:num w:numId="6">
    <w:abstractNumId w:val="4"/>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mQ4YWQzODJhZTY2YTdlZjA5NmRhMWZhOTIxNmQifQ=="/>
  </w:docVars>
  <w:rsids>
    <w:rsidRoot w:val="00172A27"/>
    <w:rsid w:val="0006758A"/>
    <w:rsid w:val="000E5026"/>
    <w:rsid w:val="00101AE9"/>
    <w:rsid w:val="00121909"/>
    <w:rsid w:val="0019149F"/>
    <w:rsid w:val="00214861"/>
    <w:rsid w:val="00236EBC"/>
    <w:rsid w:val="00372DB9"/>
    <w:rsid w:val="004F231C"/>
    <w:rsid w:val="0057079D"/>
    <w:rsid w:val="00592DED"/>
    <w:rsid w:val="00595DB9"/>
    <w:rsid w:val="00626D4E"/>
    <w:rsid w:val="00683569"/>
    <w:rsid w:val="00685590"/>
    <w:rsid w:val="00823558"/>
    <w:rsid w:val="00866AFA"/>
    <w:rsid w:val="00872AB6"/>
    <w:rsid w:val="00886709"/>
    <w:rsid w:val="00904666"/>
    <w:rsid w:val="00905750"/>
    <w:rsid w:val="00933707"/>
    <w:rsid w:val="009C16F9"/>
    <w:rsid w:val="00B5584F"/>
    <w:rsid w:val="00B66733"/>
    <w:rsid w:val="00B67B97"/>
    <w:rsid w:val="00B975B8"/>
    <w:rsid w:val="00C54AE8"/>
    <w:rsid w:val="00CD7D3C"/>
    <w:rsid w:val="00E020A2"/>
    <w:rsid w:val="00E7687C"/>
    <w:rsid w:val="00F8462D"/>
    <w:rsid w:val="0126428D"/>
    <w:rsid w:val="012854D1"/>
    <w:rsid w:val="012C038B"/>
    <w:rsid w:val="01395070"/>
    <w:rsid w:val="014B589D"/>
    <w:rsid w:val="01541F6F"/>
    <w:rsid w:val="01660066"/>
    <w:rsid w:val="01733811"/>
    <w:rsid w:val="018A642A"/>
    <w:rsid w:val="01A30DC7"/>
    <w:rsid w:val="01E23B0C"/>
    <w:rsid w:val="01F359AE"/>
    <w:rsid w:val="02130A48"/>
    <w:rsid w:val="022F4644"/>
    <w:rsid w:val="02362B61"/>
    <w:rsid w:val="025D4202"/>
    <w:rsid w:val="02844EF3"/>
    <w:rsid w:val="0290157F"/>
    <w:rsid w:val="02BE043F"/>
    <w:rsid w:val="02DB193B"/>
    <w:rsid w:val="02EF307F"/>
    <w:rsid w:val="03237366"/>
    <w:rsid w:val="032D331F"/>
    <w:rsid w:val="03432D9D"/>
    <w:rsid w:val="0345113E"/>
    <w:rsid w:val="035D1988"/>
    <w:rsid w:val="03612769"/>
    <w:rsid w:val="03663624"/>
    <w:rsid w:val="03952DBD"/>
    <w:rsid w:val="03984C04"/>
    <w:rsid w:val="03E8044D"/>
    <w:rsid w:val="03F16A70"/>
    <w:rsid w:val="0419166A"/>
    <w:rsid w:val="042360DA"/>
    <w:rsid w:val="043566C5"/>
    <w:rsid w:val="046118A3"/>
    <w:rsid w:val="046E311F"/>
    <w:rsid w:val="046F0F5B"/>
    <w:rsid w:val="047413F4"/>
    <w:rsid w:val="04793328"/>
    <w:rsid w:val="047A4461"/>
    <w:rsid w:val="048072F2"/>
    <w:rsid w:val="04A71600"/>
    <w:rsid w:val="04A8522E"/>
    <w:rsid w:val="05021315"/>
    <w:rsid w:val="0514042D"/>
    <w:rsid w:val="051C067F"/>
    <w:rsid w:val="05302A7E"/>
    <w:rsid w:val="056A40FF"/>
    <w:rsid w:val="057C6855"/>
    <w:rsid w:val="05866B6C"/>
    <w:rsid w:val="0594723C"/>
    <w:rsid w:val="05A34DA9"/>
    <w:rsid w:val="05DB2FD1"/>
    <w:rsid w:val="05DF17F1"/>
    <w:rsid w:val="05E951D5"/>
    <w:rsid w:val="061D59FC"/>
    <w:rsid w:val="06237A0D"/>
    <w:rsid w:val="062620C4"/>
    <w:rsid w:val="0642587D"/>
    <w:rsid w:val="06706C99"/>
    <w:rsid w:val="06785E97"/>
    <w:rsid w:val="06915B21"/>
    <w:rsid w:val="06C41F4F"/>
    <w:rsid w:val="06D84A40"/>
    <w:rsid w:val="06F967C6"/>
    <w:rsid w:val="0714702A"/>
    <w:rsid w:val="071535E2"/>
    <w:rsid w:val="07454756"/>
    <w:rsid w:val="07685151"/>
    <w:rsid w:val="078A27A2"/>
    <w:rsid w:val="079D1606"/>
    <w:rsid w:val="07A336D2"/>
    <w:rsid w:val="07AC1022"/>
    <w:rsid w:val="07AD0479"/>
    <w:rsid w:val="07B52AB5"/>
    <w:rsid w:val="07BC2991"/>
    <w:rsid w:val="07BE40DF"/>
    <w:rsid w:val="07C71F7E"/>
    <w:rsid w:val="07D600C3"/>
    <w:rsid w:val="07DE4843"/>
    <w:rsid w:val="07E34733"/>
    <w:rsid w:val="07F228AB"/>
    <w:rsid w:val="07F341CA"/>
    <w:rsid w:val="0802487B"/>
    <w:rsid w:val="08110E6D"/>
    <w:rsid w:val="08246C7F"/>
    <w:rsid w:val="083767DA"/>
    <w:rsid w:val="083C3ABA"/>
    <w:rsid w:val="08444B36"/>
    <w:rsid w:val="084F018C"/>
    <w:rsid w:val="0853238B"/>
    <w:rsid w:val="087B5EAE"/>
    <w:rsid w:val="089B3922"/>
    <w:rsid w:val="08A37E5D"/>
    <w:rsid w:val="08A66D90"/>
    <w:rsid w:val="08AF0865"/>
    <w:rsid w:val="08CA6FBE"/>
    <w:rsid w:val="08E60339"/>
    <w:rsid w:val="08EE5A80"/>
    <w:rsid w:val="0900076A"/>
    <w:rsid w:val="09060AA9"/>
    <w:rsid w:val="090D7C09"/>
    <w:rsid w:val="09161750"/>
    <w:rsid w:val="09163015"/>
    <w:rsid w:val="09231852"/>
    <w:rsid w:val="0968742B"/>
    <w:rsid w:val="096F40E8"/>
    <w:rsid w:val="098D78F0"/>
    <w:rsid w:val="09A6787F"/>
    <w:rsid w:val="09B07E99"/>
    <w:rsid w:val="09BF673D"/>
    <w:rsid w:val="09C0369B"/>
    <w:rsid w:val="09C62ABE"/>
    <w:rsid w:val="09E30B0F"/>
    <w:rsid w:val="09EF7EA4"/>
    <w:rsid w:val="0A082E3C"/>
    <w:rsid w:val="0A3168E3"/>
    <w:rsid w:val="0A3204B2"/>
    <w:rsid w:val="0A5266BC"/>
    <w:rsid w:val="0A5F6ADA"/>
    <w:rsid w:val="0A75124E"/>
    <w:rsid w:val="0A7B1B85"/>
    <w:rsid w:val="0A7C4D39"/>
    <w:rsid w:val="0AB423B8"/>
    <w:rsid w:val="0AC95657"/>
    <w:rsid w:val="0ACD4D2F"/>
    <w:rsid w:val="0ACF2F11"/>
    <w:rsid w:val="0AD334B5"/>
    <w:rsid w:val="0AD7227B"/>
    <w:rsid w:val="0B021BE3"/>
    <w:rsid w:val="0B4D183F"/>
    <w:rsid w:val="0B5E3EC3"/>
    <w:rsid w:val="0B750BAB"/>
    <w:rsid w:val="0B8259FB"/>
    <w:rsid w:val="0B826019"/>
    <w:rsid w:val="0BA80E28"/>
    <w:rsid w:val="0BB52649"/>
    <w:rsid w:val="0BDE530A"/>
    <w:rsid w:val="0BE56E20"/>
    <w:rsid w:val="0BE758A6"/>
    <w:rsid w:val="0BEE4317"/>
    <w:rsid w:val="0BFC6EEE"/>
    <w:rsid w:val="0C0C6209"/>
    <w:rsid w:val="0C351DB8"/>
    <w:rsid w:val="0C357B08"/>
    <w:rsid w:val="0C375E72"/>
    <w:rsid w:val="0C3A1672"/>
    <w:rsid w:val="0C526DB6"/>
    <w:rsid w:val="0C677E48"/>
    <w:rsid w:val="0C714699"/>
    <w:rsid w:val="0CC406BA"/>
    <w:rsid w:val="0CCC428C"/>
    <w:rsid w:val="0CD95758"/>
    <w:rsid w:val="0CDC4F6D"/>
    <w:rsid w:val="0CDF79AA"/>
    <w:rsid w:val="0D146BF1"/>
    <w:rsid w:val="0D837D9E"/>
    <w:rsid w:val="0D8F42C5"/>
    <w:rsid w:val="0D8F6706"/>
    <w:rsid w:val="0DA02774"/>
    <w:rsid w:val="0DBE5FFD"/>
    <w:rsid w:val="0DE31543"/>
    <w:rsid w:val="0DFA26D6"/>
    <w:rsid w:val="0E935529"/>
    <w:rsid w:val="0EB24BAA"/>
    <w:rsid w:val="0ED0774F"/>
    <w:rsid w:val="0EE26841"/>
    <w:rsid w:val="0EE54864"/>
    <w:rsid w:val="0F084A86"/>
    <w:rsid w:val="0F09201C"/>
    <w:rsid w:val="0F1748D6"/>
    <w:rsid w:val="0F1A6D4D"/>
    <w:rsid w:val="0F564004"/>
    <w:rsid w:val="0F6B44D9"/>
    <w:rsid w:val="0F7C5093"/>
    <w:rsid w:val="0FC2328E"/>
    <w:rsid w:val="0FC523D0"/>
    <w:rsid w:val="0FC55FEE"/>
    <w:rsid w:val="0FC67896"/>
    <w:rsid w:val="0FEB17CD"/>
    <w:rsid w:val="1002743D"/>
    <w:rsid w:val="10224C74"/>
    <w:rsid w:val="102A316B"/>
    <w:rsid w:val="104770FC"/>
    <w:rsid w:val="104D3C00"/>
    <w:rsid w:val="1050011D"/>
    <w:rsid w:val="10603634"/>
    <w:rsid w:val="106F684D"/>
    <w:rsid w:val="107C5BEC"/>
    <w:rsid w:val="1088655E"/>
    <w:rsid w:val="10932CEE"/>
    <w:rsid w:val="109B170D"/>
    <w:rsid w:val="10AC3C55"/>
    <w:rsid w:val="10BB2BAA"/>
    <w:rsid w:val="10BE5D51"/>
    <w:rsid w:val="10C81BBD"/>
    <w:rsid w:val="10D34525"/>
    <w:rsid w:val="10E405CE"/>
    <w:rsid w:val="10F62F6F"/>
    <w:rsid w:val="11004291"/>
    <w:rsid w:val="1115207D"/>
    <w:rsid w:val="11163E0C"/>
    <w:rsid w:val="111F7DDE"/>
    <w:rsid w:val="1173351C"/>
    <w:rsid w:val="11BB712B"/>
    <w:rsid w:val="11C0680E"/>
    <w:rsid w:val="12227D36"/>
    <w:rsid w:val="124452C3"/>
    <w:rsid w:val="12453654"/>
    <w:rsid w:val="124C09B0"/>
    <w:rsid w:val="1255544E"/>
    <w:rsid w:val="12685B94"/>
    <w:rsid w:val="12700EC6"/>
    <w:rsid w:val="12744DAC"/>
    <w:rsid w:val="129261F0"/>
    <w:rsid w:val="129652CB"/>
    <w:rsid w:val="12A1631A"/>
    <w:rsid w:val="12A56FDD"/>
    <w:rsid w:val="12A66336"/>
    <w:rsid w:val="12B276AC"/>
    <w:rsid w:val="12EE333C"/>
    <w:rsid w:val="12F83AF6"/>
    <w:rsid w:val="1326777A"/>
    <w:rsid w:val="132E4BED"/>
    <w:rsid w:val="13311996"/>
    <w:rsid w:val="134D088F"/>
    <w:rsid w:val="13591990"/>
    <w:rsid w:val="13A244F9"/>
    <w:rsid w:val="13BC057B"/>
    <w:rsid w:val="13C7650B"/>
    <w:rsid w:val="13F05EC9"/>
    <w:rsid w:val="13F450BB"/>
    <w:rsid w:val="13FC345F"/>
    <w:rsid w:val="14075611"/>
    <w:rsid w:val="140F7303"/>
    <w:rsid w:val="14206EB4"/>
    <w:rsid w:val="14445BAA"/>
    <w:rsid w:val="145C4B7D"/>
    <w:rsid w:val="1477633E"/>
    <w:rsid w:val="1480225E"/>
    <w:rsid w:val="149C4029"/>
    <w:rsid w:val="149E30B3"/>
    <w:rsid w:val="14A4264B"/>
    <w:rsid w:val="14A62329"/>
    <w:rsid w:val="14C702DB"/>
    <w:rsid w:val="14EC4540"/>
    <w:rsid w:val="14F50B48"/>
    <w:rsid w:val="15085FF3"/>
    <w:rsid w:val="15265D9B"/>
    <w:rsid w:val="152F2F3E"/>
    <w:rsid w:val="155F363F"/>
    <w:rsid w:val="156C1C53"/>
    <w:rsid w:val="156D6BB8"/>
    <w:rsid w:val="15902B94"/>
    <w:rsid w:val="15AA6ECC"/>
    <w:rsid w:val="15AC1B58"/>
    <w:rsid w:val="15B46755"/>
    <w:rsid w:val="15D92121"/>
    <w:rsid w:val="160F7504"/>
    <w:rsid w:val="16134897"/>
    <w:rsid w:val="1617035A"/>
    <w:rsid w:val="162300A7"/>
    <w:rsid w:val="1637226A"/>
    <w:rsid w:val="16535F66"/>
    <w:rsid w:val="16596CE1"/>
    <w:rsid w:val="167916ED"/>
    <w:rsid w:val="16BE66F5"/>
    <w:rsid w:val="16C5385E"/>
    <w:rsid w:val="16C765E6"/>
    <w:rsid w:val="16E24BFC"/>
    <w:rsid w:val="16EF57E9"/>
    <w:rsid w:val="17006B7A"/>
    <w:rsid w:val="17186BE0"/>
    <w:rsid w:val="172708B2"/>
    <w:rsid w:val="174A20E7"/>
    <w:rsid w:val="17695D86"/>
    <w:rsid w:val="176D6CCE"/>
    <w:rsid w:val="17701A78"/>
    <w:rsid w:val="17854713"/>
    <w:rsid w:val="1788731D"/>
    <w:rsid w:val="178D6EF8"/>
    <w:rsid w:val="1792098F"/>
    <w:rsid w:val="17AE1A29"/>
    <w:rsid w:val="17F134C4"/>
    <w:rsid w:val="17F23C28"/>
    <w:rsid w:val="17F32954"/>
    <w:rsid w:val="180D12FF"/>
    <w:rsid w:val="1815431C"/>
    <w:rsid w:val="181B1023"/>
    <w:rsid w:val="182815B4"/>
    <w:rsid w:val="185A780D"/>
    <w:rsid w:val="185E30BB"/>
    <w:rsid w:val="18AD55BE"/>
    <w:rsid w:val="18C0012A"/>
    <w:rsid w:val="18C17BCE"/>
    <w:rsid w:val="18C91469"/>
    <w:rsid w:val="18D20E71"/>
    <w:rsid w:val="18D67AB5"/>
    <w:rsid w:val="18D74235"/>
    <w:rsid w:val="18D83B7B"/>
    <w:rsid w:val="18EE1447"/>
    <w:rsid w:val="19055FDB"/>
    <w:rsid w:val="19171E86"/>
    <w:rsid w:val="19817580"/>
    <w:rsid w:val="19A9424A"/>
    <w:rsid w:val="19C42862"/>
    <w:rsid w:val="19C93C17"/>
    <w:rsid w:val="19D8675B"/>
    <w:rsid w:val="19F65DBB"/>
    <w:rsid w:val="19F8741E"/>
    <w:rsid w:val="19FB2A6A"/>
    <w:rsid w:val="1A1E2EA6"/>
    <w:rsid w:val="1A3E76A7"/>
    <w:rsid w:val="1A4D011D"/>
    <w:rsid w:val="1A98650B"/>
    <w:rsid w:val="1AA34E56"/>
    <w:rsid w:val="1AA36A52"/>
    <w:rsid w:val="1AB9695B"/>
    <w:rsid w:val="1ABF3399"/>
    <w:rsid w:val="1AD4071A"/>
    <w:rsid w:val="1ADB269D"/>
    <w:rsid w:val="1B14078F"/>
    <w:rsid w:val="1B2E0FC5"/>
    <w:rsid w:val="1B3D7772"/>
    <w:rsid w:val="1B5A3C71"/>
    <w:rsid w:val="1B604472"/>
    <w:rsid w:val="1B8C292A"/>
    <w:rsid w:val="1B902498"/>
    <w:rsid w:val="1BA17644"/>
    <w:rsid w:val="1BB71779"/>
    <w:rsid w:val="1BB7314A"/>
    <w:rsid w:val="1BD117C8"/>
    <w:rsid w:val="1BD70E30"/>
    <w:rsid w:val="1BED0A83"/>
    <w:rsid w:val="1BEF36F8"/>
    <w:rsid w:val="1BF0441D"/>
    <w:rsid w:val="1BFE7B25"/>
    <w:rsid w:val="1C6F444E"/>
    <w:rsid w:val="1C826141"/>
    <w:rsid w:val="1C8651B5"/>
    <w:rsid w:val="1C8861D0"/>
    <w:rsid w:val="1CC6335C"/>
    <w:rsid w:val="1CD263E6"/>
    <w:rsid w:val="1D141389"/>
    <w:rsid w:val="1D245EFF"/>
    <w:rsid w:val="1D2A5865"/>
    <w:rsid w:val="1D3C0601"/>
    <w:rsid w:val="1D545D1E"/>
    <w:rsid w:val="1D714B06"/>
    <w:rsid w:val="1D886717"/>
    <w:rsid w:val="1D9B5BA0"/>
    <w:rsid w:val="1DA02CD9"/>
    <w:rsid w:val="1DB502A7"/>
    <w:rsid w:val="1DB940DD"/>
    <w:rsid w:val="1E1D5DF1"/>
    <w:rsid w:val="1E285DF8"/>
    <w:rsid w:val="1E2B5630"/>
    <w:rsid w:val="1E553107"/>
    <w:rsid w:val="1E5624C8"/>
    <w:rsid w:val="1E59708D"/>
    <w:rsid w:val="1E7812A8"/>
    <w:rsid w:val="1E8D1C04"/>
    <w:rsid w:val="1EA27C15"/>
    <w:rsid w:val="1EA33519"/>
    <w:rsid w:val="1EAA1DE1"/>
    <w:rsid w:val="1EC23260"/>
    <w:rsid w:val="1EC80241"/>
    <w:rsid w:val="1EFE15CC"/>
    <w:rsid w:val="1F1572A4"/>
    <w:rsid w:val="1F1D6CC1"/>
    <w:rsid w:val="1F23319E"/>
    <w:rsid w:val="1F316CD0"/>
    <w:rsid w:val="1F3C1BA8"/>
    <w:rsid w:val="1F4B2C22"/>
    <w:rsid w:val="1FAF2E27"/>
    <w:rsid w:val="1FB0718D"/>
    <w:rsid w:val="1FC82A6B"/>
    <w:rsid w:val="1FDD4B77"/>
    <w:rsid w:val="1FF4313D"/>
    <w:rsid w:val="1FFF0585"/>
    <w:rsid w:val="20003392"/>
    <w:rsid w:val="200B647B"/>
    <w:rsid w:val="201174EC"/>
    <w:rsid w:val="201D127F"/>
    <w:rsid w:val="202125D7"/>
    <w:rsid w:val="20332DBB"/>
    <w:rsid w:val="20382371"/>
    <w:rsid w:val="206270C6"/>
    <w:rsid w:val="207C7602"/>
    <w:rsid w:val="208828B9"/>
    <w:rsid w:val="20A13AE8"/>
    <w:rsid w:val="20BB0374"/>
    <w:rsid w:val="21297C15"/>
    <w:rsid w:val="216B194B"/>
    <w:rsid w:val="217B5529"/>
    <w:rsid w:val="218D4D5A"/>
    <w:rsid w:val="21955B3C"/>
    <w:rsid w:val="21A10D1D"/>
    <w:rsid w:val="21D003F5"/>
    <w:rsid w:val="21DC4E60"/>
    <w:rsid w:val="21E74B09"/>
    <w:rsid w:val="21F836E4"/>
    <w:rsid w:val="221072CF"/>
    <w:rsid w:val="22153F2C"/>
    <w:rsid w:val="221B05AE"/>
    <w:rsid w:val="22296248"/>
    <w:rsid w:val="22631AF5"/>
    <w:rsid w:val="226C5C0E"/>
    <w:rsid w:val="228B7F23"/>
    <w:rsid w:val="2296628B"/>
    <w:rsid w:val="22BA6280"/>
    <w:rsid w:val="22C27250"/>
    <w:rsid w:val="22CF1BDF"/>
    <w:rsid w:val="22CF2CE6"/>
    <w:rsid w:val="22D267F2"/>
    <w:rsid w:val="23021223"/>
    <w:rsid w:val="230507F7"/>
    <w:rsid w:val="230822D5"/>
    <w:rsid w:val="23334F1A"/>
    <w:rsid w:val="23466587"/>
    <w:rsid w:val="234901C3"/>
    <w:rsid w:val="23652082"/>
    <w:rsid w:val="238353A4"/>
    <w:rsid w:val="238A6E21"/>
    <w:rsid w:val="239A76E6"/>
    <w:rsid w:val="240A7C0D"/>
    <w:rsid w:val="243F049E"/>
    <w:rsid w:val="244E2EA2"/>
    <w:rsid w:val="2454744F"/>
    <w:rsid w:val="246F22D4"/>
    <w:rsid w:val="24C45C58"/>
    <w:rsid w:val="24E16D01"/>
    <w:rsid w:val="24EC0BCF"/>
    <w:rsid w:val="24EE3C23"/>
    <w:rsid w:val="24F11832"/>
    <w:rsid w:val="252F2B89"/>
    <w:rsid w:val="25572DA7"/>
    <w:rsid w:val="256242E5"/>
    <w:rsid w:val="257D6090"/>
    <w:rsid w:val="2585079C"/>
    <w:rsid w:val="258D5135"/>
    <w:rsid w:val="259C2777"/>
    <w:rsid w:val="25AF576B"/>
    <w:rsid w:val="25BA032F"/>
    <w:rsid w:val="25D86B6A"/>
    <w:rsid w:val="25E13C6A"/>
    <w:rsid w:val="25F11D58"/>
    <w:rsid w:val="260A3B6C"/>
    <w:rsid w:val="26102352"/>
    <w:rsid w:val="2610694C"/>
    <w:rsid w:val="261D62F4"/>
    <w:rsid w:val="262B0597"/>
    <w:rsid w:val="263A7B94"/>
    <w:rsid w:val="263F2363"/>
    <w:rsid w:val="26522F04"/>
    <w:rsid w:val="26612E9D"/>
    <w:rsid w:val="268B1645"/>
    <w:rsid w:val="269F226B"/>
    <w:rsid w:val="26AE79EA"/>
    <w:rsid w:val="26B65023"/>
    <w:rsid w:val="26BB55FB"/>
    <w:rsid w:val="26D630F4"/>
    <w:rsid w:val="26D6311F"/>
    <w:rsid w:val="26EA77FC"/>
    <w:rsid w:val="27013561"/>
    <w:rsid w:val="27302995"/>
    <w:rsid w:val="27667580"/>
    <w:rsid w:val="27972443"/>
    <w:rsid w:val="27A45442"/>
    <w:rsid w:val="27B6785E"/>
    <w:rsid w:val="27CB7870"/>
    <w:rsid w:val="27D004EE"/>
    <w:rsid w:val="27E947DE"/>
    <w:rsid w:val="27F13B17"/>
    <w:rsid w:val="27F44D11"/>
    <w:rsid w:val="27F96446"/>
    <w:rsid w:val="284D20A4"/>
    <w:rsid w:val="28531D38"/>
    <w:rsid w:val="28790E14"/>
    <w:rsid w:val="287B3952"/>
    <w:rsid w:val="287C5980"/>
    <w:rsid w:val="28B77EC4"/>
    <w:rsid w:val="28BA3426"/>
    <w:rsid w:val="28BC2A17"/>
    <w:rsid w:val="28F56A17"/>
    <w:rsid w:val="29160A91"/>
    <w:rsid w:val="29174FCC"/>
    <w:rsid w:val="29301BF5"/>
    <w:rsid w:val="293B5C80"/>
    <w:rsid w:val="2950762F"/>
    <w:rsid w:val="29510D26"/>
    <w:rsid w:val="29702F08"/>
    <w:rsid w:val="297C4A9D"/>
    <w:rsid w:val="297C56E8"/>
    <w:rsid w:val="29B77A17"/>
    <w:rsid w:val="29C95214"/>
    <w:rsid w:val="29DA67B3"/>
    <w:rsid w:val="2A014ADE"/>
    <w:rsid w:val="2A1D018F"/>
    <w:rsid w:val="2A2E776F"/>
    <w:rsid w:val="2A6078A1"/>
    <w:rsid w:val="2A61099B"/>
    <w:rsid w:val="2A676080"/>
    <w:rsid w:val="2A677688"/>
    <w:rsid w:val="2A762DC6"/>
    <w:rsid w:val="2A840A15"/>
    <w:rsid w:val="2A8767EA"/>
    <w:rsid w:val="2A9364C7"/>
    <w:rsid w:val="2AC444B2"/>
    <w:rsid w:val="2ACF6866"/>
    <w:rsid w:val="2AE840B0"/>
    <w:rsid w:val="2AE91CC7"/>
    <w:rsid w:val="2AF74201"/>
    <w:rsid w:val="2B032230"/>
    <w:rsid w:val="2B0823FE"/>
    <w:rsid w:val="2B275FCB"/>
    <w:rsid w:val="2B433380"/>
    <w:rsid w:val="2B4A090F"/>
    <w:rsid w:val="2B530441"/>
    <w:rsid w:val="2B5B196B"/>
    <w:rsid w:val="2B750F2A"/>
    <w:rsid w:val="2B792EB3"/>
    <w:rsid w:val="2BD21C28"/>
    <w:rsid w:val="2BD25ED5"/>
    <w:rsid w:val="2BDD7CB2"/>
    <w:rsid w:val="2BF1324D"/>
    <w:rsid w:val="2C313D93"/>
    <w:rsid w:val="2C38585C"/>
    <w:rsid w:val="2C69485B"/>
    <w:rsid w:val="2C6F6720"/>
    <w:rsid w:val="2C803989"/>
    <w:rsid w:val="2C95481C"/>
    <w:rsid w:val="2CAC6E95"/>
    <w:rsid w:val="2CAF0272"/>
    <w:rsid w:val="2CBE5480"/>
    <w:rsid w:val="2CC444C4"/>
    <w:rsid w:val="2CD71390"/>
    <w:rsid w:val="2CD94B54"/>
    <w:rsid w:val="2CDD1439"/>
    <w:rsid w:val="2CE3794B"/>
    <w:rsid w:val="2CE67325"/>
    <w:rsid w:val="2D071BE3"/>
    <w:rsid w:val="2D0F0708"/>
    <w:rsid w:val="2D0F304B"/>
    <w:rsid w:val="2D261C60"/>
    <w:rsid w:val="2D304412"/>
    <w:rsid w:val="2D4426AB"/>
    <w:rsid w:val="2D495703"/>
    <w:rsid w:val="2D657D8A"/>
    <w:rsid w:val="2D7302A0"/>
    <w:rsid w:val="2D7810F8"/>
    <w:rsid w:val="2D8172D3"/>
    <w:rsid w:val="2E033637"/>
    <w:rsid w:val="2E141810"/>
    <w:rsid w:val="2E202440"/>
    <w:rsid w:val="2E233FE9"/>
    <w:rsid w:val="2E3A7EC8"/>
    <w:rsid w:val="2E4D4D85"/>
    <w:rsid w:val="2E5B09CE"/>
    <w:rsid w:val="2E811B47"/>
    <w:rsid w:val="2EAC3CCE"/>
    <w:rsid w:val="2EB43A17"/>
    <w:rsid w:val="2F0B2C03"/>
    <w:rsid w:val="2F0F7D09"/>
    <w:rsid w:val="2F147789"/>
    <w:rsid w:val="2F37780E"/>
    <w:rsid w:val="2F4131BE"/>
    <w:rsid w:val="2F634BFA"/>
    <w:rsid w:val="2F95635F"/>
    <w:rsid w:val="2FB761D4"/>
    <w:rsid w:val="2FC74DBE"/>
    <w:rsid w:val="2FE66DE2"/>
    <w:rsid w:val="300E7FA5"/>
    <w:rsid w:val="302A5EF5"/>
    <w:rsid w:val="30667176"/>
    <w:rsid w:val="306D72BF"/>
    <w:rsid w:val="308333D3"/>
    <w:rsid w:val="30A216A9"/>
    <w:rsid w:val="30F3150E"/>
    <w:rsid w:val="30FE0805"/>
    <w:rsid w:val="30FE106A"/>
    <w:rsid w:val="310224D9"/>
    <w:rsid w:val="312179D3"/>
    <w:rsid w:val="313D205C"/>
    <w:rsid w:val="31491C7D"/>
    <w:rsid w:val="31523789"/>
    <w:rsid w:val="315D6CA7"/>
    <w:rsid w:val="31631F21"/>
    <w:rsid w:val="316E125D"/>
    <w:rsid w:val="317D29CC"/>
    <w:rsid w:val="318A03CB"/>
    <w:rsid w:val="318F3693"/>
    <w:rsid w:val="319F71BA"/>
    <w:rsid w:val="31C72B08"/>
    <w:rsid w:val="31CD2513"/>
    <w:rsid w:val="31DF7F38"/>
    <w:rsid w:val="31EB5C3F"/>
    <w:rsid w:val="31F84332"/>
    <w:rsid w:val="3227037D"/>
    <w:rsid w:val="323C4FE2"/>
    <w:rsid w:val="32556074"/>
    <w:rsid w:val="32A60130"/>
    <w:rsid w:val="32DE750E"/>
    <w:rsid w:val="32E2546F"/>
    <w:rsid w:val="32EB4D43"/>
    <w:rsid w:val="332F1DAD"/>
    <w:rsid w:val="334B36A3"/>
    <w:rsid w:val="33584E42"/>
    <w:rsid w:val="33795CF6"/>
    <w:rsid w:val="339671F1"/>
    <w:rsid w:val="339E53AE"/>
    <w:rsid w:val="33A46C4A"/>
    <w:rsid w:val="33D34514"/>
    <w:rsid w:val="33D53120"/>
    <w:rsid w:val="33DC3506"/>
    <w:rsid w:val="33F501F0"/>
    <w:rsid w:val="33FB2878"/>
    <w:rsid w:val="3465330C"/>
    <w:rsid w:val="346D514E"/>
    <w:rsid w:val="346F43E7"/>
    <w:rsid w:val="347D104D"/>
    <w:rsid w:val="347D15A2"/>
    <w:rsid w:val="348B6021"/>
    <w:rsid w:val="348C63F3"/>
    <w:rsid w:val="34A052EA"/>
    <w:rsid w:val="34B15A6C"/>
    <w:rsid w:val="34C16B26"/>
    <w:rsid w:val="34CA2F78"/>
    <w:rsid w:val="34E16D6B"/>
    <w:rsid w:val="34F36C65"/>
    <w:rsid w:val="34F43A1E"/>
    <w:rsid w:val="34FD77E0"/>
    <w:rsid w:val="351D148B"/>
    <w:rsid w:val="35563E19"/>
    <w:rsid w:val="355A2DCF"/>
    <w:rsid w:val="35606CA4"/>
    <w:rsid w:val="356227F9"/>
    <w:rsid w:val="3568443A"/>
    <w:rsid w:val="35875C89"/>
    <w:rsid w:val="35BD1A11"/>
    <w:rsid w:val="35F53D40"/>
    <w:rsid w:val="35FB5272"/>
    <w:rsid w:val="36646E90"/>
    <w:rsid w:val="367B5207"/>
    <w:rsid w:val="367F5F6E"/>
    <w:rsid w:val="36A10FC9"/>
    <w:rsid w:val="36A55992"/>
    <w:rsid w:val="36B85B13"/>
    <w:rsid w:val="36C9243E"/>
    <w:rsid w:val="36E67615"/>
    <w:rsid w:val="36F015EA"/>
    <w:rsid w:val="373B634C"/>
    <w:rsid w:val="37425EAE"/>
    <w:rsid w:val="37693AB3"/>
    <w:rsid w:val="376E0E47"/>
    <w:rsid w:val="37B679BD"/>
    <w:rsid w:val="37C2252E"/>
    <w:rsid w:val="37D24ED1"/>
    <w:rsid w:val="37D76B07"/>
    <w:rsid w:val="37D857E4"/>
    <w:rsid w:val="37E969CE"/>
    <w:rsid w:val="37FE39FA"/>
    <w:rsid w:val="382E2FA6"/>
    <w:rsid w:val="385B2ED1"/>
    <w:rsid w:val="387A211C"/>
    <w:rsid w:val="388543E7"/>
    <w:rsid w:val="38AF20DF"/>
    <w:rsid w:val="38AF4DF6"/>
    <w:rsid w:val="38B26036"/>
    <w:rsid w:val="38C2043B"/>
    <w:rsid w:val="38D233C2"/>
    <w:rsid w:val="38D3057C"/>
    <w:rsid w:val="38D35DBC"/>
    <w:rsid w:val="38E24E2A"/>
    <w:rsid w:val="38EC2F9B"/>
    <w:rsid w:val="38F27F4A"/>
    <w:rsid w:val="39277864"/>
    <w:rsid w:val="39294E48"/>
    <w:rsid w:val="39337F98"/>
    <w:rsid w:val="395A16DF"/>
    <w:rsid w:val="396D67EA"/>
    <w:rsid w:val="397011AC"/>
    <w:rsid w:val="398C4A2F"/>
    <w:rsid w:val="399436ED"/>
    <w:rsid w:val="39A51C77"/>
    <w:rsid w:val="39B62BE0"/>
    <w:rsid w:val="39B75530"/>
    <w:rsid w:val="39C95E5D"/>
    <w:rsid w:val="39CB22FB"/>
    <w:rsid w:val="39D245A8"/>
    <w:rsid w:val="39E11825"/>
    <w:rsid w:val="39F72B44"/>
    <w:rsid w:val="39F80525"/>
    <w:rsid w:val="3A1B3577"/>
    <w:rsid w:val="3A1F569F"/>
    <w:rsid w:val="3A2C77C0"/>
    <w:rsid w:val="3A3442C7"/>
    <w:rsid w:val="3A3D142F"/>
    <w:rsid w:val="3A3F33FB"/>
    <w:rsid w:val="3A783594"/>
    <w:rsid w:val="3A860F4C"/>
    <w:rsid w:val="3A88113F"/>
    <w:rsid w:val="3A8D60B9"/>
    <w:rsid w:val="3A97579A"/>
    <w:rsid w:val="3A991B45"/>
    <w:rsid w:val="3A9D2E7E"/>
    <w:rsid w:val="3AA06B7A"/>
    <w:rsid w:val="3AA448B5"/>
    <w:rsid w:val="3AAF2CF5"/>
    <w:rsid w:val="3AB824D6"/>
    <w:rsid w:val="3AC422BC"/>
    <w:rsid w:val="3AC53FC9"/>
    <w:rsid w:val="3ACE5641"/>
    <w:rsid w:val="3AD83061"/>
    <w:rsid w:val="3B094143"/>
    <w:rsid w:val="3B0D33E8"/>
    <w:rsid w:val="3B233B72"/>
    <w:rsid w:val="3B267631"/>
    <w:rsid w:val="3B294F7A"/>
    <w:rsid w:val="3B6E033B"/>
    <w:rsid w:val="3B860847"/>
    <w:rsid w:val="3B8763FC"/>
    <w:rsid w:val="3BB12C9E"/>
    <w:rsid w:val="3BB97BCE"/>
    <w:rsid w:val="3BBD070B"/>
    <w:rsid w:val="3BC934C6"/>
    <w:rsid w:val="3BCB0097"/>
    <w:rsid w:val="3BD13F8C"/>
    <w:rsid w:val="3BD46D9E"/>
    <w:rsid w:val="3BD723AD"/>
    <w:rsid w:val="3BD77B86"/>
    <w:rsid w:val="3BE23632"/>
    <w:rsid w:val="3BEA7EA9"/>
    <w:rsid w:val="3BF1707A"/>
    <w:rsid w:val="3BFF3F2E"/>
    <w:rsid w:val="3BFF709A"/>
    <w:rsid w:val="3C1339C1"/>
    <w:rsid w:val="3C291748"/>
    <w:rsid w:val="3C2A23B5"/>
    <w:rsid w:val="3C44647F"/>
    <w:rsid w:val="3C62784A"/>
    <w:rsid w:val="3C656005"/>
    <w:rsid w:val="3C683ABB"/>
    <w:rsid w:val="3C9303E4"/>
    <w:rsid w:val="3C985E22"/>
    <w:rsid w:val="3CB32BE2"/>
    <w:rsid w:val="3CCA41C4"/>
    <w:rsid w:val="3CDA31E4"/>
    <w:rsid w:val="3CE07834"/>
    <w:rsid w:val="3CE162B7"/>
    <w:rsid w:val="3CE67942"/>
    <w:rsid w:val="3D1307D4"/>
    <w:rsid w:val="3D3469BC"/>
    <w:rsid w:val="3D3900D0"/>
    <w:rsid w:val="3D3917E7"/>
    <w:rsid w:val="3D533BED"/>
    <w:rsid w:val="3D5939F9"/>
    <w:rsid w:val="3D64289A"/>
    <w:rsid w:val="3D793AB1"/>
    <w:rsid w:val="3D8D6FE7"/>
    <w:rsid w:val="3DBD6AF8"/>
    <w:rsid w:val="3E0C7F97"/>
    <w:rsid w:val="3E3E37A6"/>
    <w:rsid w:val="3E5F504A"/>
    <w:rsid w:val="3E625327"/>
    <w:rsid w:val="3E635344"/>
    <w:rsid w:val="3E8808D8"/>
    <w:rsid w:val="3EC716B4"/>
    <w:rsid w:val="3EC869D6"/>
    <w:rsid w:val="3EC95336"/>
    <w:rsid w:val="3EDF5462"/>
    <w:rsid w:val="3EF32845"/>
    <w:rsid w:val="3F0021B6"/>
    <w:rsid w:val="3F037746"/>
    <w:rsid w:val="3F044A49"/>
    <w:rsid w:val="3F162368"/>
    <w:rsid w:val="3F276B77"/>
    <w:rsid w:val="3F305E2E"/>
    <w:rsid w:val="3F486437"/>
    <w:rsid w:val="3F8078AF"/>
    <w:rsid w:val="3F9036A1"/>
    <w:rsid w:val="3F912D89"/>
    <w:rsid w:val="3FBB15DF"/>
    <w:rsid w:val="3FC03DEB"/>
    <w:rsid w:val="3FD37EC1"/>
    <w:rsid w:val="3FD9501B"/>
    <w:rsid w:val="3FDC4C52"/>
    <w:rsid w:val="3FEA30D1"/>
    <w:rsid w:val="3FF538F2"/>
    <w:rsid w:val="3FF63A0D"/>
    <w:rsid w:val="400F4BF6"/>
    <w:rsid w:val="40315AA3"/>
    <w:rsid w:val="403E3053"/>
    <w:rsid w:val="408B5F78"/>
    <w:rsid w:val="40C3728C"/>
    <w:rsid w:val="40DE256E"/>
    <w:rsid w:val="40E10F32"/>
    <w:rsid w:val="412966E9"/>
    <w:rsid w:val="413927C9"/>
    <w:rsid w:val="414E4C2B"/>
    <w:rsid w:val="4157589C"/>
    <w:rsid w:val="41575B68"/>
    <w:rsid w:val="41842CF1"/>
    <w:rsid w:val="418F7DB9"/>
    <w:rsid w:val="41A017DC"/>
    <w:rsid w:val="41A66FEE"/>
    <w:rsid w:val="41B51931"/>
    <w:rsid w:val="41B601F0"/>
    <w:rsid w:val="41BD0B37"/>
    <w:rsid w:val="41C45627"/>
    <w:rsid w:val="41CB0ED7"/>
    <w:rsid w:val="41D77B87"/>
    <w:rsid w:val="420B0C6D"/>
    <w:rsid w:val="42531180"/>
    <w:rsid w:val="4279454B"/>
    <w:rsid w:val="4296381D"/>
    <w:rsid w:val="429638D0"/>
    <w:rsid w:val="42A006D9"/>
    <w:rsid w:val="42AC7F1B"/>
    <w:rsid w:val="42BF3D3F"/>
    <w:rsid w:val="42C349C0"/>
    <w:rsid w:val="42CB0108"/>
    <w:rsid w:val="42F55BA0"/>
    <w:rsid w:val="42F63A99"/>
    <w:rsid w:val="4305251D"/>
    <w:rsid w:val="430A0A11"/>
    <w:rsid w:val="431657CD"/>
    <w:rsid w:val="432B2D1E"/>
    <w:rsid w:val="433A1A95"/>
    <w:rsid w:val="433E3572"/>
    <w:rsid w:val="434F0C07"/>
    <w:rsid w:val="43574906"/>
    <w:rsid w:val="4368633B"/>
    <w:rsid w:val="43713C1A"/>
    <w:rsid w:val="43803E5D"/>
    <w:rsid w:val="43972E4C"/>
    <w:rsid w:val="43AD5C9E"/>
    <w:rsid w:val="43C07D4B"/>
    <w:rsid w:val="43D33DE5"/>
    <w:rsid w:val="43EC3500"/>
    <w:rsid w:val="43F00ACE"/>
    <w:rsid w:val="43F44351"/>
    <w:rsid w:val="442A519B"/>
    <w:rsid w:val="446B2E9E"/>
    <w:rsid w:val="447162A7"/>
    <w:rsid w:val="447208B0"/>
    <w:rsid w:val="447656A2"/>
    <w:rsid w:val="4483668D"/>
    <w:rsid w:val="4490510D"/>
    <w:rsid w:val="44AF0E8A"/>
    <w:rsid w:val="44B7036E"/>
    <w:rsid w:val="44D3583F"/>
    <w:rsid w:val="450A207D"/>
    <w:rsid w:val="450A30A9"/>
    <w:rsid w:val="451924DA"/>
    <w:rsid w:val="453E680F"/>
    <w:rsid w:val="454D273B"/>
    <w:rsid w:val="45896EC1"/>
    <w:rsid w:val="459F1D28"/>
    <w:rsid w:val="45C04177"/>
    <w:rsid w:val="45DB31B1"/>
    <w:rsid w:val="45E23065"/>
    <w:rsid w:val="45F66EC3"/>
    <w:rsid w:val="460015F2"/>
    <w:rsid w:val="460F4CC6"/>
    <w:rsid w:val="462F1F23"/>
    <w:rsid w:val="46301F95"/>
    <w:rsid w:val="463304DB"/>
    <w:rsid w:val="4637200F"/>
    <w:rsid w:val="467A70C1"/>
    <w:rsid w:val="467B6C46"/>
    <w:rsid w:val="46896C1A"/>
    <w:rsid w:val="468A3851"/>
    <w:rsid w:val="46A33658"/>
    <w:rsid w:val="46A46A2F"/>
    <w:rsid w:val="46A8703E"/>
    <w:rsid w:val="46AE7D97"/>
    <w:rsid w:val="46E65316"/>
    <w:rsid w:val="46FC2AA0"/>
    <w:rsid w:val="47087498"/>
    <w:rsid w:val="471E3CCB"/>
    <w:rsid w:val="47212552"/>
    <w:rsid w:val="47453CF0"/>
    <w:rsid w:val="47543AA5"/>
    <w:rsid w:val="47572CCE"/>
    <w:rsid w:val="476E3913"/>
    <w:rsid w:val="47771C80"/>
    <w:rsid w:val="47A10846"/>
    <w:rsid w:val="47B26E12"/>
    <w:rsid w:val="47B26E2D"/>
    <w:rsid w:val="47B47B63"/>
    <w:rsid w:val="47CB172A"/>
    <w:rsid w:val="48041AC0"/>
    <w:rsid w:val="481B3ED9"/>
    <w:rsid w:val="483033E2"/>
    <w:rsid w:val="48421B18"/>
    <w:rsid w:val="484B038C"/>
    <w:rsid w:val="485A0B68"/>
    <w:rsid w:val="4869223B"/>
    <w:rsid w:val="488D52A9"/>
    <w:rsid w:val="489F2FCB"/>
    <w:rsid w:val="48CC5D71"/>
    <w:rsid w:val="48E40D8B"/>
    <w:rsid w:val="48F26725"/>
    <w:rsid w:val="48FC61AF"/>
    <w:rsid w:val="48FE36E7"/>
    <w:rsid w:val="49155282"/>
    <w:rsid w:val="49203C0F"/>
    <w:rsid w:val="49372158"/>
    <w:rsid w:val="49424DBF"/>
    <w:rsid w:val="49426BB5"/>
    <w:rsid w:val="494941A1"/>
    <w:rsid w:val="49565503"/>
    <w:rsid w:val="496F372E"/>
    <w:rsid w:val="498A7B51"/>
    <w:rsid w:val="498B0D73"/>
    <w:rsid w:val="499F5914"/>
    <w:rsid w:val="4A1829E9"/>
    <w:rsid w:val="4A1E01DB"/>
    <w:rsid w:val="4A2239B2"/>
    <w:rsid w:val="4A6203FD"/>
    <w:rsid w:val="4A683E51"/>
    <w:rsid w:val="4A7D22FB"/>
    <w:rsid w:val="4AA83436"/>
    <w:rsid w:val="4AAF3CE0"/>
    <w:rsid w:val="4AB36DC9"/>
    <w:rsid w:val="4AB77CE9"/>
    <w:rsid w:val="4AC769C6"/>
    <w:rsid w:val="4ACF0349"/>
    <w:rsid w:val="4ADD1AB5"/>
    <w:rsid w:val="4AF4653B"/>
    <w:rsid w:val="4B043853"/>
    <w:rsid w:val="4B045B9B"/>
    <w:rsid w:val="4B055E1D"/>
    <w:rsid w:val="4B1029AC"/>
    <w:rsid w:val="4B1358B5"/>
    <w:rsid w:val="4B2255D0"/>
    <w:rsid w:val="4B2826A8"/>
    <w:rsid w:val="4B3E33BA"/>
    <w:rsid w:val="4B436A83"/>
    <w:rsid w:val="4B5442F5"/>
    <w:rsid w:val="4B821911"/>
    <w:rsid w:val="4B86492B"/>
    <w:rsid w:val="4B9958FF"/>
    <w:rsid w:val="4BB4034A"/>
    <w:rsid w:val="4BBA05B0"/>
    <w:rsid w:val="4BCA1FA1"/>
    <w:rsid w:val="4BD00B3E"/>
    <w:rsid w:val="4BFE382E"/>
    <w:rsid w:val="4C17440F"/>
    <w:rsid w:val="4C366FD7"/>
    <w:rsid w:val="4C402AD9"/>
    <w:rsid w:val="4C857116"/>
    <w:rsid w:val="4CA46A7D"/>
    <w:rsid w:val="4CBA7A7B"/>
    <w:rsid w:val="4D127BA9"/>
    <w:rsid w:val="4D1E1AA1"/>
    <w:rsid w:val="4D352DB9"/>
    <w:rsid w:val="4D3B258D"/>
    <w:rsid w:val="4D454669"/>
    <w:rsid w:val="4D463738"/>
    <w:rsid w:val="4D612A30"/>
    <w:rsid w:val="4D783DF7"/>
    <w:rsid w:val="4D875724"/>
    <w:rsid w:val="4D9710C2"/>
    <w:rsid w:val="4DB65911"/>
    <w:rsid w:val="4DBF154F"/>
    <w:rsid w:val="4DCB26DD"/>
    <w:rsid w:val="4DE33A7B"/>
    <w:rsid w:val="4DE754E7"/>
    <w:rsid w:val="4DE91E44"/>
    <w:rsid w:val="4DF447FE"/>
    <w:rsid w:val="4DF8232C"/>
    <w:rsid w:val="4DFB4C77"/>
    <w:rsid w:val="4E0761E9"/>
    <w:rsid w:val="4E382463"/>
    <w:rsid w:val="4E6135CA"/>
    <w:rsid w:val="4E7117E6"/>
    <w:rsid w:val="4E764322"/>
    <w:rsid w:val="4ECC5A63"/>
    <w:rsid w:val="4ECD7424"/>
    <w:rsid w:val="4ECF5354"/>
    <w:rsid w:val="4EFB76AA"/>
    <w:rsid w:val="4F086D4A"/>
    <w:rsid w:val="4F30213A"/>
    <w:rsid w:val="4F5E411E"/>
    <w:rsid w:val="4F5E4DB1"/>
    <w:rsid w:val="4F71675B"/>
    <w:rsid w:val="4FBD5033"/>
    <w:rsid w:val="4FF0217E"/>
    <w:rsid w:val="4FF23423"/>
    <w:rsid w:val="500F24E4"/>
    <w:rsid w:val="5018419D"/>
    <w:rsid w:val="503269F0"/>
    <w:rsid w:val="50384256"/>
    <w:rsid w:val="506C304D"/>
    <w:rsid w:val="5070310F"/>
    <w:rsid w:val="508306CC"/>
    <w:rsid w:val="509F7922"/>
    <w:rsid w:val="50A52602"/>
    <w:rsid w:val="50C17C14"/>
    <w:rsid w:val="50E616B4"/>
    <w:rsid w:val="50E61A08"/>
    <w:rsid w:val="50FE2FE1"/>
    <w:rsid w:val="510269CE"/>
    <w:rsid w:val="51301F15"/>
    <w:rsid w:val="514A29B8"/>
    <w:rsid w:val="5156605A"/>
    <w:rsid w:val="51584434"/>
    <w:rsid w:val="517D332A"/>
    <w:rsid w:val="519D714E"/>
    <w:rsid w:val="519E07F1"/>
    <w:rsid w:val="51A85DA4"/>
    <w:rsid w:val="51AF101D"/>
    <w:rsid w:val="51CF3BBC"/>
    <w:rsid w:val="51EC2DB7"/>
    <w:rsid w:val="51EF7344"/>
    <w:rsid w:val="51F351F8"/>
    <w:rsid w:val="521A0792"/>
    <w:rsid w:val="5220255D"/>
    <w:rsid w:val="52224AD7"/>
    <w:rsid w:val="52280C3E"/>
    <w:rsid w:val="52313EBE"/>
    <w:rsid w:val="523C3E6F"/>
    <w:rsid w:val="5241703A"/>
    <w:rsid w:val="52500130"/>
    <w:rsid w:val="526379F2"/>
    <w:rsid w:val="527B150F"/>
    <w:rsid w:val="52B80D93"/>
    <w:rsid w:val="52CB61C2"/>
    <w:rsid w:val="52D23926"/>
    <w:rsid w:val="52E373EA"/>
    <w:rsid w:val="52E94EA9"/>
    <w:rsid w:val="532E7ACE"/>
    <w:rsid w:val="5368664B"/>
    <w:rsid w:val="537F71FC"/>
    <w:rsid w:val="539021C4"/>
    <w:rsid w:val="53AA6858"/>
    <w:rsid w:val="53B93625"/>
    <w:rsid w:val="53C12D98"/>
    <w:rsid w:val="53D960B7"/>
    <w:rsid w:val="53DE3D95"/>
    <w:rsid w:val="53E5132F"/>
    <w:rsid w:val="54031F8C"/>
    <w:rsid w:val="54065BF2"/>
    <w:rsid w:val="544E5ED4"/>
    <w:rsid w:val="54523630"/>
    <w:rsid w:val="54861FE7"/>
    <w:rsid w:val="549D43F6"/>
    <w:rsid w:val="54A20B8C"/>
    <w:rsid w:val="54B84BCF"/>
    <w:rsid w:val="54C941A6"/>
    <w:rsid w:val="54F46BC0"/>
    <w:rsid w:val="54FD3708"/>
    <w:rsid w:val="550200CD"/>
    <w:rsid w:val="55151A96"/>
    <w:rsid w:val="5516544B"/>
    <w:rsid w:val="551C0F9E"/>
    <w:rsid w:val="552A2474"/>
    <w:rsid w:val="552D4285"/>
    <w:rsid w:val="5538144E"/>
    <w:rsid w:val="554F0B63"/>
    <w:rsid w:val="555157F8"/>
    <w:rsid w:val="556D2882"/>
    <w:rsid w:val="557D4D82"/>
    <w:rsid w:val="55824C0F"/>
    <w:rsid w:val="55934FB1"/>
    <w:rsid w:val="559A7E21"/>
    <w:rsid w:val="55A87A20"/>
    <w:rsid w:val="55A94A4F"/>
    <w:rsid w:val="55D25666"/>
    <w:rsid w:val="55EA4982"/>
    <w:rsid w:val="562A31A0"/>
    <w:rsid w:val="56395104"/>
    <w:rsid w:val="56534B80"/>
    <w:rsid w:val="566A696C"/>
    <w:rsid w:val="568B2473"/>
    <w:rsid w:val="56927CD7"/>
    <w:rsid w:val="56947F23"/>
    <w:rsid w:val="56B250A5"/>
    <w:rsid w:val="56CF442E"/>
    <w:rsid w:val="56D624AC"/>
    <w:rsid w:val="56E63C70"/>
    <w:rsid w:val="572C6B89"/>
    <w:rsid w:val="574237EA"/>
    <w:rsid w:val="574364F1"/>
    <w:rsid w:val="57834B4F"/>
    <w:rsid w:val="578E72D3"/>
    <w:rsid w:val="57A65600"/>
    <w:rsid w:val="57C1723F"/>
    <w:rsid w:val="57CF2C9E"/>
    <w:rsid w:val="57D92FD6"/>
    <w:rsid w:val="57EC6479"/>
    <w:rsid w:val="57F10DD4"/>
    <w:rsid w:val="57F16C7F"/>
    <w:rsid w:val="57F21118"/>
    <w:rsid w:val="57F86B87"/>
    <w:rsid w:val="58050B0C"/>
    <w:rsid w:val="580B01FE"/>
    <w:rsid w:val="581904A3"/>
    <w:rsid w:val="5823517F"/>
    <w:rsid w:val="58405F5F"/>
    <w:rsid w:val="586E7784"/>
    <w:rsid w:val="587702A2"/>
    <w:rsid w:val="587D7269"/>
    <w:rsid w:val="58864ED9"/>
    <w:rsid w:val="58881BAE"/>
    <w:rsid w:val="58927134"/>
    <w:rsid w:val="58D41BFE"/>
    <w:rsid w:val="58D65DD0"/>
    <w:rsid w:val="58DE4A4B"/>
    <w:rsid w:val="58E70869"/>
    <w:rsid w:val="58E83FDC"/>
    <w:rsid w:val="58FE2E57"/>
    <w:rsid w:val="5910401A"/>
    <w:rsid w:val="5924375F"/>
    <w:rsid w:val="593C2FD0"/>
    <w:rsid w:val="594848A0"/>
    <w:rsid w:val="59526B62"/>
    <w:rsid w:val="59682060"/>
    <w:rsid w:val="59887A09"/>
    <w:rsid w:val="59911667"/>
    <w:rsid w:val="59C60889"/>
    <w:rsid w:val="59D34D80"/>
    <w:rsid w:val="59E3419E"/>
    <w:rsid w:val="59E93675"/>
    <w:rsid w:val="59FE55D5"/>
    <w:rsid w:val="5A047BD5"/>
    <w:rsid w:val="5A1811DE"/>
    <w:rsid w:val="5A226E20"/>
    <w:rsid w:val="5A2729AA"/>
    <w:rsid w:val="5A4A6142"/>
    <w:rsid w:val="5A511B46"/>
    <w:rsid w:val="5A541CFD"/>
    <w:rsid w:val="5A6044AA"/>
    <w:rsid w:val="5A902B49"/>
    <w:rsid w:val="5A9A3ADD"/>
    <w:rsid w:val="5A9D4E9D"/>
    <w:rsid w:val="5AB05077"/>
    <w:rsid w:val="5AB7215F"/>
    <w:rsid w:val="5ABD69A3"/>
    <w:rsid w:val="5AD84127"/>
    <w:rsid w:val="5AE56839"/>
    <w:rsid w:val="5B104847"/>
    <w:rsid w:val="5B42213C"/>
    <w:rsid w:val="5B4B4EA4"/>
    <w:rsid w:val="5B511D9D"/>
    <w:rsid w:val="5B8921EE"/>
    <w:rsid w:val="5B8B76FD"/>
    <w:rsid w:val="5BA27796"/>
    <w:rsid w:val="5BB955C4"/>
    <w:rsid w:val="5BE15A78"/>
    <w:rsid w:val="5C02463F"/>
    <w:rsid w:val="5C0B1033"/>
    <w:rsid w:val="5C1D430F"/>
    <w:rsid w:val="5C346CD6"/>
    <w:rsid w:val="5C653FF7"/>
    <w:rsid w:val="5C914C93"/>
    <w:rsid w:val="5C957E74"/>
    <w:rsid w:val="5CA47386"/>
    <w:rsid w:val="5CAA0847"/>
    <w:rsid w:val="5D023251"/>
    <w:rsid w:val="5D176BE8"/>
    <w:rsid w:val="5D1D0887"/>
    <w:rsid w:val="5D1E5176"/>
    <w:rsid w:val="5D2C6B77"/>
    <w:rsid w:val="5D303FB8"/>
    <w:rsid w:val="5D376F31"/>
    <w:rsid w:val="5D383A8E"/>
    <w:rsid w:val="5D3B64A0"/>
    <w:rsid w:val="5D416F8F"/>
    <w:rsid w:val="5D5714AD"/>
    <w:rsid w:val="5D81714F"/>
    <w:rsid w:val="5D9554EC"/>
    <w:rsid w:val="5DB61A6E"/>
    <w:rsid w:val="5DC42023"/>
    <w:rsid w:val="5DC42732"/>
    <w:rsid w:val="5DC65CED"/>
    <w:rsid w:val="5DC70CB1"/>
    <w:rsid w:val="5DC87F85"/>
    <w:rsid w:val="5DE20609"/>
    <w:rsid w:val="5E1024E3"/>
    <w:rsid w:val="5E394082"/>
    <w:rsid w:val="5E5007EE"/>
    <w:rsid w:val="5E6C1394"/>
    <w:rsid w:val="5E6C6417"/>
    <w:rsid w:val="5E821733"/>
    <w:rsid w:val="5E8516C7"/>
    <w:rsid w:val="5EAC4EE5"/>
    <w:rsid w:val="5EAF65F4"/>
    <w:rsid w:val="5EB86749"/>
    <w:rsid w:val="5EBA0C49"/>
    <w:rsid w:val="5EC87B8A"/>
    <w:rsid w:val="5ED601D4"/>
    <w:rsid w:val="5EFA2398"/>
    <w:rsid w:val="5F082C2E"/>
    <w:rsid w:val="5F1A32F4"/>
    <w:rsid w:val="5F1D5306"/>
    <w:rsid w:val="5F1E4BC2"/>
    <w:rsid w:val="5F273286"/>
    <w:rsid w:val="5F345CB7"/>
    <w:rsid w:val="5F5004C0"/>
    <w:rsid w:val="5F8455A5"/>
    <w:rsid w:val="5F87631A"/>
    <w:rsid w:val="5F897072"/>
    <w:rsid w:val="5FB8489E"/>
    <w:rsid w:val="5FD36DDC"/>
    <w:rsid w:val="5FF06633"/>
    <w:rsid w:val="60005875"/>
    <w:rsid w:val="600B0D02"/>
    <w:rsid w:val="60101303"/>
    <w:rsid w:val="60116CAD"/>
    <w:rsid w:val="601218D8"/>
    <w:rsid w:val="60192215"/>
    <w:rsid w:val="60306B1F"/>
    <w:rsid w:val="604F3361"/>
    <w:rsid w:val="60545486"/>
    <w:rsid w:val="6056544E"/>
    <w:rsid w:val="605D40F3"/>
    <w:rsid w:val="60690387"/>
    <w:rsid w:val="60827AB3"/>
    <w:rsid w:val="6096002F"/>
    <w:rsid w:val="609839B8"/>
    <w:rsid w:val="609A16A0"/>
    <w:rsid w:val="60CE0517"/>
    <w:rsid w:val="60D5625A"/>
    <w:rsid w:val="60DA04CC"/>
    <w:rsid w:val="60DD1819"/>
    <w:rsid w:val="60E0038C"/>
    <w:rsid w:val="60E8289A"/>
    <w:rsid w:val="60F61EC5"/>
    <w:rsid w:val="61075C6A"/>
    <w:rsid w:val="611B16B4"/>
    <w:rsid w:val="612438BA"/>
    <w:rsid w:val="612A62F9"/>
    <w:rsid w:val="6136022C"/>
    <w:rsid w:val="61641E9B"/>
    <w:rsid w:val="61667732"/>
    <w:rsid w:val="61820341"/>
    <w:rsid w:val="61821AD9"/>
    <w:rsid w:val="61881AE6"/>
    <w:rsid w:val="619E0691"/>
    <w:rsid w:val="61A54735"/>
    <w:rsid w:val="61B913AD"/>
    <w:rsid w:val="61C303D0"/>
    <w:rsid w:val="61EB3E11"/>
    <w:rsid w:val="621214B1"/>
    <w:rsid w:val="621357A8"/>
    <w:rsid w:val="624D1C61"/>
    <w:rsid w:val="62511DE7"/>
    <w:rsid w:val="62541D02"/>
    <w:rsid w:val="62862A1B"/>
    <w:rsid w:val="62967EEE"/>
    <w:rsid w:val="62B265BF"/>
    <w:rsid w:val="62B86199"/>
    <w:rsid w:val="62DA1566"/>
    <w:rsid w:val="630708A8"/>
    <w:rsid w:val="632C18F2"/>
    <w:rsid w:val="634067E6"/>
    <w:rsid w:val="634E70A1"/>
    <w:rsid w:val="635056B5"/>
    <w:rsid w:val="6362443E"/>
    <w:rsid w:val="636B7882"/>
    <w:rsid w:val="63804E3B"/>
    <w:rsid w:val="63810CB8"/>
    <w:rsid w:val="63996F35"/>
    <w:rsid w:val="639A1B0A"/>
    <w:rsid w:val="63A96660"/>
    <w:rsid w:val="63CC654A"/>
    <w:rsid w:val="63D31742"/>
    <w:rsid w:val="63DA4AC8"/>
    <w:rsid w:val="63DC68B9"/>
    <w:rsid w:val="63E37A4B"/>
    <w:rsid w:val="63EB0A27"/>
    <w:rsid w:val="643D7637"/>
    <w:rsid w:val="64431107"/>
    <w:rsid w:val="644A21E9"/>
    <w:rsid w:val="645B3A8E"/>
    <w:rsid w:val="646C76D2"/>
    <w:rsid w:val="649464CF"/>
    <w:rsid w:val="64975A82"/>
    <w:rsid w:val="64A131B8"/>
    <w:rsid w:val="64A670B7"/>
    <w:rsid w:val="64BB7241"/>
    <w:rsid w:val="64C64C55"/>
    <w:rsid w:val="64EE195B"/>
    <w:rsid w:val="65004949"/>
    <w:rsid w:val="651441E2"/>
    <w:rsid w:val="65517563"/>
    <w:rsid w:val="655A07FA"/>
    <w:rsid w:val="656958EF"/>
    <w:rsid w:val="65A358D3"/>
    <w:rsid w:val="65AB5DF8"/>
    <w:rsid w:val="65D0121B"/>
    <w:rsid w:val="66086780"/>
    <w:rsid w:val="663C65A4"/>
    <w:rsid w:val="66425DD0"/>
    <w:rsid w:val="664308FB"/>
    <w:rsid w:val="66440B27"/>
    <w:rsid w:val="666B1C4F"/>
    <w:rsid w:val="667D045B"/>
    <w:rsid w:val="669504A2"/>
    <w:rsid w:val="66AE3B69"/>
    <w:rsid w:val="66B01759"/>
    <w:rsid w:val="66B94D89"/>
    <w:rsid w:val="66DA049A"/>
    <w:rsid w:val="66E95301"/>
    <w:rsid w:val="6711732C"/>
    <w:rsid w:val="671D1DDD"/>
    <w:rsid w:val="674A6865"/>
    <w:rsid w:val="676B462F"/>
    <w:rsid w:val="677036CB"/>
    <w:rsid w:val="67793E02"/>
    <w:rsid w:val="677C6FA1"/>
    <w:rsid w:val="677D5E3A"/>
    <w:rsid w:val="6781285D"/>
    <w:rsid w:val="67872B37"/>
    <w:rsid w:val="67A95DBA"/>
    <w:rsid w:val="67B41B80"/>
    <w:rsid w:val="67D70ACD"/>
    <w:rsid w:val="67DB48A9"/>
    <w:rsid w:val="67F4018C"/>
    <w:rsid w:val="67FA0847"/>
    <w:rsid w:val="680D3146"/>
    <w:rsid w:val="681A6467"/>
    <w:rsid w:val="68235BD9"/>
    <w:rsid w:val="68522DA9"/>
    <w:rsid w:val="686474E1"/>
    <w:rsid w:val="686E559F"/>
    <w:rsid w:val="688617AE"/>
    <w:rsid w:val="688B4F60"/>
    <w:rsid w:val="68941275"/>
    <w:rsid w:val="68B93FAE"/>
    <w:rsid w:val="68BA3DFE"/>
    <w:rsid w:val="68BC05A2"/>
    <w:rsid w:val="68E60571"/>
    <w:rsid w:val="69052C9A"/>
    <w:rsid w:val="692501E3"/>
    <w:rsid w:val="69477255"/>
    <w:rsid w:val="69A55B39"/>
    <w:rsid w:val="69C81A1C"/>
    <w:rsid w:val="69EC1E6F"/>
    <w:rsid w:val="69F557A1"/>
    <w:rsid w:val="6A2B738E"/>
    <w:rsid w:val="6A3003EA"/>
    <w:rsid w:val="6A314456"/>
    <w:rsid w:val="6A384D4C"/>
    <w:rsid w:val="6A3F2595"/>
    <w:rsid w:val="6A68029B"/>
    <w:rsid w:val="6A941E18"/>
    <w:rsid w:val="6A9528B2"/>
    <w:rsid w:val="6AAE5B97"/>
    <w:rsid w:val="6AB45FF6"/>
    <w:rsid w:val="6AB66786"/>
    <w:rsid w:val="6ABC0E26"/>
    <w:rsid w:val="6ACC3865"/>
    <w:rsid w:val="6AD0042A"/>
    <w:rsid w:val="6AD51E86"/>
    <w:rsid w:val="6AE5490C"/>
    <w:rsid w:val="6B017EA2"/>
    <w:rsid w:val="6B0440DA"/>
    <w:rsid w:val="6B4731A0"/>
    <w:rsid w:val="6B804183"/>
    <w:rsid w:val="6B821BD0"/>
    <w:rsid w:val="6B9B1B23"/>
    <w:rsid w:val="6BAD0FEC"/>
    <w:rsid w:val="6BB434F1"/>
    <w:rsid w:val="6BCC55E2"/>
    <w:rsid w:val="6BE45418"/>
    <w:rsid w:val="6BF0287F"/>
    <w:rsid w:val="6C0B31C2"/>
    <w:rsid w:val="6C1071B0"/>
    <w:rsid w:val="6C16029A"/>
    <w:rsid w:val="6C21123C"/>
    <w:rsid w:val="6C43144A"/>
    <w:rsid w:val="6C573508"/>
    <w:rsid w:val="6CB00DC2"/>
    <w:rsid w:val="6CBF4FAE"/>
    <w:rsid w:val="6CE02D1E"/>
    <w:rsid w:val="6CF569AB"/>
    <w:rsid w:val="6CFC7E01"/>
    <w:rsid w:val="6D297ECC"/>
    <w:rsid w:val="6D355981"/>
    <w:rsid w:val="6D516C20"/>
    <w:rsid w:val="6D7A54EC"/>
    <w:rsid w:val="6D7F0155"/>
    <w:rsid w:val="6DAF399F"/>
    <w:rsid w:val="6DBF44C5"/>
    <w:rsid w:val="6DC60262"/>
    <w:rsid w:val="6DD248D0"/>
    <w:rsid w:val="6DD76308"/>
    <w:rsid w:val="6DD970FE"/>
    <w:rsid w:val="6DEE6483"/>
    <w:rsid w:val="6DF80060"/>
    <w:rsid w:val="6E40519A"/>
    <w:rsid w:val="6E4D64DB"/>
    <w:rsid w:val="6E523254"/>
    <w:rsid w:val="6E671A4F"/>
    <w:rsid w:val="6E781957"/>
    <w:rsid w:val="6E793459"/>
    <w:rsid w:val="6E8C7074"/>
    <w:rsid w:val="6E9B5A4C"/>
    <w:rsid w:val="6EB91329"/>
    <w:rsid w:val="6EC53902"/>
    <w:rsid w:val="6EC7399D"/>
    <w:rsid w:val="6EE17375"/>
    <w:rsid w:val="6EE671F5"/>
    <w:rsid w:val="6EEA1F55"/>
    <w:rsid w:val="6EED1DD5"/>
    <w:rsid w:val="6EEF5669"/>
    <w:rsid w:val="6EF46997"/>
    <w:rsid w:val="6F104297"/>
    <w:rsid w:val="6F3F1566"/>
    <w:rsid w:val="6F7A174F"/>
    <w:rsid w:val="6F885888"/>
    <w:rsid w:val="6F9C0647"/>
    <w:rsid w:val="6FC26FB5"/>
    <w:rsid w:val="6FDC4897"/>
    <w:rsid w:val="7013203C"/>
    <w:rsid w:val="70196941"/>
    <w:rsid w:val="704F7644"/>
    <w:rsid w:val="70A419FA"/>
    <w:rsid w:val="70B66EB2"/>
    <w:rsid w:val="70BE69A8"/>
    <w:rsid w:val="70C8281B"/>
    <w:rsid w:val="70D92180"/>
    <w:rsid w:val="70E97C6A"/>
    <w:rsid w:val="70F3286C"/>
    <w:rsid w:val="71312E45"/>
    <w:rsid w:val="714F4628"/>
    <w:rsid w:val="71570001"/>
    <w:rsid w:val="715707C6"/>
    <w:rsid w:val="716E401F"/>
    <w:rsid w:val="7186239B"/>
    <w:rsid w:val="718D43BC"/>
    <w:rsid w:val="71951A3C"/>
    <w:rsid w:val="71A36B81"/>
    <w:rsid w:val="71C86CED"/>
    <w:rsid w:val="71EA6CC3"/>
    <w:rsid w:val="72087F6C"/>
    <w:rsid w:val="721D44A4"/>
    <w:rsid w:val="722D78DE"/>
    <w:rsid w:val="72455CFC"/>
    <w:rsid w:val="72671BC0"/>
    <w:rsid w:val="727774C2"/>
    <w:rsid w:val="727B2B41"/>
    <w:rsid w:val="729F135A"/>
    <w:rsid w:val="72D94410"/>
    <w:rsid w:val="72F87DB4"/>
    <w:rsid w:val="730613D9"/>
    <w:rsid w:val="7317454B"/>
    <w:rsid w:val="7339250A"/>
    <w:rsid w:val="734D1A98"/>
    <w:rsid w:val="73A46D7A"/>
    <w:rsid w:val="73B25133"/>
    <w:rsid w:val="73C81C7D"/>
    <w:rsid w:val="73DC0A7C"/>
    <w:rsid w:val="73F03A78"/>
    <w:rsid w:val="74087790"/>
    <w:rsid w:val="74185DB6"/>
    <w:rsid w:val="742340F0"/>
    <w:rsid w:val="7442392B"/>
    <w:rsid w:val="746343B7"/>
    <w:rsid w:val="748F0295"/>
    <w:rsid w:val="74A62B15"/>
    <w:rsid w:val="74B619AF"/>
    <w:rsid w:val="74C15307"/>
    <w:rsid w:val="74C7191A"/>
    <w:rsid w:val="74F03803"/>
    <w:rsid w:val="74FD0501"/>
    <w:rsid w:val="74FD65FB"/>
    <w:rsid w:val="754D09D9"/>
    <w:rsid w:val="755B52AE"/>
    <w:rsid w:val="75656012"/>
    <w:rsid w:val="759713F8"/>
    <w:rsid w:val="759F0BB8"/>
    <w:rsid w:val="75A168E5"/>
    <w:rsid w:val="75B136A4"/>
    <w:rsid w:val="75B232DC"/>
    <w:rsid w:val="75B73185"/>
    <w:rsid w:val="75E43528"/>
    <w:rsid w:val="75E54D34"/>
    <w:rsid w:val="75F64822"/>
    <w:rsid w:val="763B2C25"/>
    <w:rsid w:val="763E6FBB"/>
    <w:rsid w:val="763F2F0A"/>
    <w:rsid w:val="764A334B"/>
    <w:rsid w:val="765069EB"/>
    <w:rsid w:val="76542B02"/>
    <w:rsid w:val="76605C79"/>
    <w:rsid w:val="7684418A"/>
    <w:rsid w:val="76871EE2"/>
    <w:rsid w:val="76922671"/>
    <w:rsid w:val="76A34B54"/>
    <w:rsid w:val="76B60AF9"/>
    <w:rsid w:val="76B75832"/>
    <w:rsid w:val="76BC4018"/>
    <w:rsid w:val="76D4532A"/>
    <w:rsid w:val="76F343F7"/>
    <w:rsid w:val="77043A05"/>
    <w:rsid w:val="771D2C59"/>
    <w:rsid w:val="77234F99"/>
    <w:rsid w:val="772B58B2"/>
    <w:rsid w:val="77322C11"/>
    <w:rsid w:val="773D12B5"/>
    <w:rsid w:val="775734C6"/>
    <w:rsid w:val="776E2960"/>
    <w:rsid w:val="776F04CC"/>
    <w:rsid w:val="776F1660"/>
    <w:rsid w:val="77890972"/>
    <w:rsid w:val="77C74AC0"/>
    <w:rsid w:val="77CB1CD9"/>
    <w:rsid w:val="77D07B21"/>
    <w:rsid w:val="77FD298F"/>
    <w:rsid w:val="7810201D"/>
    <w:rsid w:val="78167E71"/>
    <w:rsid w:val="781D1ABB"/>
    <w:rsid w:val="781E17C9"/>
    <w:rsid w:val="783961CF"/>
    <w:rsid w:val="788E300B"/>
    <w:rsid w:val="78913B14"/>
    <w:rsid w:val="78A56976"/>
    <w:rsid w:val="78AC309F"/>
    <w:rsid w:val="78B0476A"/>
    <w:rsid w:val="78C338C8"/>
    <w:rsid w:val="78C66B7D"/>
    <w:rsid w:val="79290426"/>
    <w:rsid w:val="79384F13"/>
    <w:rsid w:val="793931B9"/>
    <w:rsid w:val="79715A75"/>
    <w:rsid w:val="7973446F"/>
    <w:rsid w:val="797F43D7"/>
    <w:rsid w:val="799675A4"/>
    <w:rsid w:val="799B07F1"/>
    <w:rsid w:val="79CF61BA"/>
    <w:rsid w:val="79D96D38"/>
    <w:rsid w:val="79DC7376"/>
    <w:rsid w:val="79E2190A"/>
    <w:rsid w:val="79FB5BA6"/>
    <w:rsid w:val="7A227E69"/>
    <w:rsid w:val="7A2E272D"/>
    <w:rsid w:val="7A3F4212"/>
    <w:rsid w:val="7A432F13"/>
    <w:rsid w:val="7A5A5B75"/>
    <w:rsid w:val="7A654BF6"/>
    <w:rsid w:val="7A715B29"/>
    <w:rsid w:val="7A7E3F66"/>
    <w:rsid w:val="7A955AAC"/>
    <w:rsid w:val="7AB55F76"/>
    <w:rsid w:val="7AD0092E"/>
    <w:rsid w:val="7ADE17C8"/>
    <w:rsid w:val="7AF12EBD"/>
    <w:rsid w:val="7AFC6FB6"/>
    <w:rsid w:val="7B355CBD"/>
    <w:rsid w:val="7B503D84"/>
    <w:rsid w:val="7B69564C"/>
    <w:rsid w:val="7B7B6C6E"/>
    <w:rsid w:val="7B8D5C6C"/>
    <w:rsid w:val="7B926269"/>
    <w:rsid w:val="7BAC3C5C"/>
    <w:rsid w:val="7BB51DB0"/>
    <w:rsid w:val="7BB90D53"/>
    <w:rsid w:val="7BBD1D67"/>
    <w:rsid w:val="7BBF5407"/>
    <w:rsid w:val="7BC60691"/>
    <w:rsid w:val="7BD525C7"/>
    <w:rsid w:val="7BDE0D71"/>
    <w:rsid w:val="7BF000CF"/>
    <w:rsid w:val="7C022E98"/>
    <w:rsid w:val="7C8B40C2"/>
    <w:rsid w:val="7C936A02"/>
    <w:rsid w:val="7C9521C2"/>
    <w:rsid w:val="7C9B2D6E"/>
    <w:rsid w:val="7CAE639D"/>
    <w:rsid w:val="7CD459C7"/>
    <w:rsid w:val="7CD57A6A"/>
    <w:rsid w:val="7CFB32C9"/>
    <w:rsid w:val="7D061D28"/>
    <w:rsid w:val="7D536366"/>
    <w:rsid w:val="7D54352F"/>
    <w:rsid w:val="7D653393"/>
    <w:rsid w:val="7D706668"/>
    <w:rsid w:val="7D744D50"/>
    <w:rsid w:val="7D854B85"/>
    <w:rsid w:val="7DA92C82"/>
    <w:rsid w:val="7DCD5E4E"/>
    <w:rsid w:val="7DFF2184"/>
    <w:rsid w:val="7E091FD6"/>
    <w:rsid w:val="7E4E1D0D"/>
    <w:rsid w:val="7EA43D76"/>
    <w:rsid w:val="7ECA7DAF"/>
    <w:rsid w:val="7EDF543D"/>
    <w:rsid w:val="7EFE4562"/>
    <w:rsid w:val="7F0A2B09"/>
    <w:rsid w:val="7F3645F5"/>
    <w:rsid w:val="7F411F2E"/>
    <w:rsid w:val="7F7A5742"/>
    <w:rsid w:val="7F826288"/>
    <w:rsid w:val="7F9127F3"/>
    <w:rsid w:val="7FB264F3"/>
    <w:rsid w:val="7FBC7427"/>
    <w:rsid w:val="7FED1F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link w:val="49"/>
    <w:qFormat/>
    <w:uiPriority w:val="0"/>
    <w:pPr>
      <w:keepNext/>
      <w:keepLines/>
      <w:spacing w:before="260" w:after="260" w:line="500" w:lineRule="exact"/>
      <w:outlineLvl w:val="1"/>
    </w:pPr>
    <w:rPr>
      <w:rFonts w:ascii="Arial" w:hAnsi="Arial" w:eastAsia="黑体"/>
      <w:b/>
      <w:sz w:val="28"/>
      <w:szCs w:val="20"/>
    </w:rPr>
  </w:style>
  <w:style w:type="paragraph" w:styleId="5">
    <w:name w:val="heading 3"/>
    <w:basedOn w:val="1"/>
    <w:next w:val="6"/>
    <w:link w:val="51"/>
    <w:qFormat/>
    <w:uiPriority w:val="0"/>
    <w:pPr>
      <w:keepNext/>
      <w:keepLines/>
      <w:spacing w:before="260" w:after="260" w:line="412" w:lineRule="auto"/>
      <w:outlineLvl w:val="2"/>
    </w:pPr>
    <w:rPr>
      <w:b/>
      <w:sz w:val="32"/>
      <w:szCs w:val="20"/>
    </w:rPr>
  </w:style>
  <w:style w:type="paragraph" w:styleId="7">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52"/>
    <w:qFormat/>
    <w:uiPriority w:val="0"/>
    <w:pPr>
      <w:keepNext/>
      <w:keepLines/>
      <w:spacing w:before="280" w:after="290" w:line="372" w:lineRule="auto"/>
      <w:outlineLvl w:val="4"/>
    </w:pPr>
    <w:rPr>
      <w:b/>
      <w:sz w:val="28"/>
    </w:rPr>
  </w:style>
  <w:style w:type="paragraph" w:styleId="9">
    <w:name w:val="heading 6"/>
    <w:basedOn w:val="1"/>
    <w:next w:val="1"/>
    <w:qFormat/>
    <w:uiPriority w:val="0"/>
    <w:pPr>
      <w:keepNext/>
      <w:keepLines/>
      <w:spacing w:before="240" w:after="64" w:line="316" w:lineRule="auto"/>
      <w:outlineLvl w:val="5"/>
    </w:pPr>
    <w:rPr>
      <w:rFonts w:ascii="Arial" w:hAnsi="Arial" w:eastAsia="黑体"/>
      <w:b/>
      <w:sz w:val="24"/>
    </w:rPr>
  </w:style>
  <w:style w:type="paragraph" w:styleId="10">
    <w:name w:val="heading 7"/>
    <w:basedOn w:val="1"/>
    <w:next w:val="6"/>
    <w:qFormat/>
    <w:uiPriority w:val="0"/>
    <w:pPr>
      <w:keepNext/>
      <w:keepLines/>
      <w:spacing w:before="240" w:after="64" w:line="316" w:lineRule="auto"/>
      <w:outlineLvl w:val="6"/>
    </w:pPr>
    <w:rPr>
      <w:b/>
      <w:sz w:val="24"/>
    </w:rPr>
  </w:style>
  <w:style w:type="paragraph" w:styleId="11">
    <w:name w:val="heading 8"/>
    <w:basedOn w:val="1"/>
    <w:next w:val="6"/>
    <w:qFormat/>
    <w:uiPriority w:val="0"/>
    <w:pPr>
      <w:keepNext/>
      <w:keepLines/>
      <w:spacing w:before="240" w:after="64" w:line="316" w:lineRule="auto"/>
      <w:outlineLvl w:val="7"/>
    </w:pPr>
    <w:rPr>
      <w:rFonts w:ascii="Arial" w:hAnsi="Arial" w:eastAsia="黑体"/>
      <w:sz w:val="24"/>
    </w:rPr>
  </w:style>
  <w:style w:type="paragraph" w:styleId="12">
    <w:name w:val="heading 9"/>
    <w:basedOn w:val="1"/>
    <w:next w:val="6"/>
    <w:qFormat/>
    <w:uiPriority w:val="0"/>
    <w:pPr>
      <w:keepNext/>
      <w:keepLines/>
      <w:spacing w:before="240" w:after="64" w:line="316" w:lineRule="auto"/>
      <w:outlineLvl w:val="8"/>
    </w:pPr>
    <w:rPr>
      <w:rFonts w:ascii="Arial" w:hAnsi="Arial" w:eastAsia="黑体"/>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b/>
      <w:sz w:val="28"/>
    </w:rPr>
  </w:style>
  <w:style w:type="paragraph" w:styleId="6">
    <w:name w:val="Normal Indent"/>
    <w:basedOn w:val="1"/>
    <w:link w:val="50"/>
    <w:qFormat/>
    <w:uiPriority w:val="0"/>
    <w:pPr>
      <w:ind w:firstLine="420"/>
    </w:pPr>
    <w:rPr>
      <w:szCs w:val="20"/>
    </w:rPr>
  </w:style>
  <w:style w:type="paragraph" w:styleId="13">
    <w:name w:val="annotation text"/>
    <w:basedOn w:val="1"/>
    <w:link w:val="53"/>
    <w:qFormat/>
    <w:uiPriority w:val="0"/>
    <w:pPr>
      <w:jc w:val="left"/>
    </w:pPr>
  </w:style>
  <w:style w:type="paragraph" w:styleId="14">
    <w:name w:val="Body Text Indent"/>
    <w:basedOn w:val="1"/>
    <w:link w:val="54"/>
    <w:qFormat/>
    <w:uiPriority w:val="0"/>
    <w:pPr>
      <w:ind w:firstLine="630"/>
    </w:pPr>
    <w:rPr>
      <w:sz w:val="32"/>
      <w:szCs w:val="20"/>
    </w:rPr>
  </w:style>
  <w:style w:type="paragraph" w:styleId="15">
    <w:name w:val="Plain Text"/>
    <w:basedOn w:val="1"/>
    <w:link w:val="55"/>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link w:val="56"/>
    <w:qFormat/>
    <w:uiPriority w:val="0"/>
    <w:pPr>
      <w:ind w:firstLine="630"/>
    </w:pPr>
    <w:rPr>
      <w:sz w:val="32"/>
      <w:szCs w:val="20"/>
    </w:rPr>
  </w:style>
  <w:style w:type="paragraph" w:styleId="18">
    <w:name w:val="Balloon Text"/>
    <w:basedOn w:val="1"/>
    <w:link w:val="57"/>
    <w:qFormat/>
    <w:uiPriority w:val="0"/>
    <w:rPr>
      <w:sz w:val="18"/>
      <w:szCs w:val="18"/>
    </w:rPr>
  </w:style>
  <w:style w:type="paragraph" w:styleId="19">
    <w:name w:val="footer"/>
    <w:basedOn w:val="1"/>
    <w:link w:val="58"/>
    <w:qFormat/>
    <w:uiPriority w:val="0"/>
    <w:pPr>
      <w:tabs>
        <w:tab w:val="center" w:pos="4153"/>
        <w:tab w:val="right" w:pos="8306"/>
      </w:tabs>
      <w:snapToGrid w:val="0"/>
      <w:jc w:val="left"/>
    </w:pPr>
    <w:rPr>
      <w:sz w:val="18"/>
      <w:szCs w:val="20"/>
    </w:rPr>
  </w:style>
  <w:style w:type="paragraph" w:styleId="20">
    <w:name w:val="header"/>
    <w:basedOn w:val="1"/>
    <w:link w:val="59"/>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qFormat/>
    <w:uiPriority w:val="39"/>
  </w:style>
  <w:style w:type="paragraph" w:styleId="22">
    <w:name w:val="footnote text"/>
    <w:basedOn w:val="1"/>
    <w:link w:val="60"/>
    <w:qFormat/>
    <w:uiPriority w:val="0"/>
    <w:pPr>
      <w:snapToGrid w:val="0"/>
      <w:jc w:val="left"/>
    </w:pPr>
    <w:rPr>
      <w:sz w:val="18"/>
      <w:szCs w:val="18"/>
    </w:rPr>
  </w:style>
  <w:style w:type="paragraph" w:styleId="23">
    <w:name w:val="Body Text Indent 3"/>
    <w:basedOn w:val="1"/>
    <w:link w:val="61"/>
    <w:qFormat/>
    <w:uiPriority w:val="0"/>
    <w:pPr>
      <w:adjustRightInd w:val="0"/>
      <w:snapToGrid w:val="0"/>
      <w:spacing w:line="360" w:lineRule="auto"/>
      <w:ind w:firstLine="600" w:firstLineChars="200"/>
    </w:pPr>
    <w:rPr>
      <w:rFonts w:ascii="黑体" w:eastAsia="黑体"/>
      <w:sz w:val="30"/>
      <w:szCs w:val="28"/>
    </w:rPr>
  </w:style>
  <w:style w:type="paragraph" w:styleId="24">
    <w:name w:val="toc 2"/>
    <w:basedOn w:val="1"/>
    <w:next w:val="1"/>
    <w:qFormat/>
    <w:uiPriority w:val="39"/>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6">
    <w:name w:val="annotation subject"/>
    <w:basedOn w:val="13"/>
    <w:next w:val="13"/>
    <w:link w:val="62"/>
    <w:qFormat/>
    <w:uiPriority w:val="0"/>
    <w:rPr>
      <w:b/>
      <w:bCs/>
    </w:rPr>
  </w:style>
  <w:style w:type="paragraph" w:styleId="27">
    <w:name w:val="Body Text First Indent"/>
    <w:basedOn w:val="2"/>
    <w:next w:val="28"/>
    <w:qFormat/>
    <w:uiPriority w:val="0"/>
    <w:rPr>
      <w:rFonts w:hAnsi="宋体"/>
      <w:sz w:val="18"/>
      <w:szCs w:val="18"/>
    </w:rPr>
  </w:style>
  <w:style w:type="paragraph" w:styleId="28">
    <w:name w:val="Body Text First Indent 2"/>
    <w:basedOn w:val="14"/>
    <w:next w:val="27"/>
    <w:unhideWhenUsed/>
    <w:qFormat/>
    <w:uiPriority w:val="0"/>
    <w:pPr>
      <w:spacing w:line="360" w:lineRule="auto"/>
      <w:ind w:firstLine="420" w:firstLineChars="200"/>
    </w:pPr>
    <w:rPr>
      <w:rFonts w:eastAsia="仿宋_GB231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basedOn w:val="31"/>
    <w:qFormat/>
    <w:uiPriority w:val="0"/>
    <w:rPr>
      <w:color w:val="800080"/>
      <w:u w:val="none"/>
    </w:rPr>
  </w:style>
  <w:style w:type="character" w:styleId="35">
    <w:name w:val="Emphasis"/>
    <w:basedOn w:val="31"/>
    <w:qFormat/>
    <w:uiPriority w:val="0"/>
  </w:style>
  <w:style w:type="character" w:styleId="36">
    <w:name w:val="HTML Definition"/>
    <w:basedOn w:val="31"/>
    <w:qFormat/>
    <w:uiPriority w:val="0"/>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qFormat/>
    <w:uiPriority w:val="99"/>
    <w:rPr>
      <w:color w:val="136EC2"/>
      <w:u w:val="single"/>
    </w:rPr>
  </w:style>
  <w:style w:type="character" w:styleId="41">
    <w:name w:val="HTML Code"/>
    <w:basedOn w:val="31"/>
    <w:qFormat/>
    <w:uiPriority w:val="0"/>
    <w:rPr>
      <w:rFonts w:ascii="monospace" w:hAnsi="monospace" w:eastAsia="monospace" w:cs="monospace"/>
      <w:sz w:val="20"/>
    </w:rPr>
  </w:style>
  <w:style w:type="character" w:styleId="42">
    <w:name w:val="annotation reference"/>
    <w:qFormat/>
    <w:uiPriority w:val="0"/>
    <w:rPr>
      <w:sz w:val="21"/>
      <w:szCs w:val="21"/>
    </w:rPr>
  </w:style>
  <w:style w:type="character" w:styleId="43">
    <w:name w:val="HTML Cite"/>
    <w:basedOn w:val="31"/>
    <w:qFormat/>
    <w:uiPriority w:val="0"/>
  </w:style>
  <w:style w:type="character" w:styleId="44">
    <w:name w:val="footnote reference"/>
    <w:qFormat/>
    <w:uiPriority w:val="0"/>
    <w:rPr>
      <w:vertAlign w:val="superscript"/>
    </w:rPr>
  </w:style>
  <w:style w:type="character" w:styleId="45">
    <w:name w:val="HTML Keyboard"/>
    <w:basedOn w:val="31"/>
    <w:qFormat/>
    <w:uiPriority w:val="0"/>
    <w:rPr>
      <w:rFonts w:hint="default" w:ascii="monospace" w:hAnsi="monospace" w:eastAsia="monospace" w:cs="monospace"/>
      <w:sz w:val="20"/>
    </w:rPr>
  </w:style>
  <w:style w:type="character" w:styleId="46">
    <w:name w:val="HTML Sample"/>
    <w:basedOn w:val="31"/>
    <w:qFormat/>
    <w:uiPriority w:val="0"/>
    <w:rPr>
      <w:rFonts w:hint="default" w:ascii="monospace" w:hAnsi="monospace" w:eastAsia="monospace" w:cs="monospace"/>
    </w:rPr>
  </w:style>
  <w:style w:type="paragraph" w:customStyle="1" w:styleId="47">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48">
    <w:name w:val="标题 4 Char"/>
    <w:link w:val="7"/>
    <w:qFormat/>
    <w:locked/>
    <w:uiPriority w:val="0"/>
    <w:rPr>
      <w:rFonts w:ascii="Arial" w:hAnsi="Arial" w:eastAsia="黑体"/>
      <w:b/>
      <w:bCs/>
      <w:kern w:val="2"/>
      <w:sz w:val="28"/>
      <w:szCs w:val="28"/>
    </w:rPr>
  </w:style>
  <w:style w:type="character" w:customStyle="1" w:styleId="49">
    <w:name w:val="标题 2 Char"/>
    <w:link w:val="4"/>
    <w:qFormat/>
    <w:uiPriority w:val="0"/>
    <w:rPr>
      <w:rFonts w:ascii="Arial" w:hAnsi="Arial" w:eastAsia="黑体"/>
      <w:b/>
      <w:kern w:val="2"/>
      <w:sz w:val="28"/>
    </w:rPr>
  </w:style>
  <w:style w:type="character" w:customStyle="1" w:styleId="50">
    <w:name w:val="正文缩进 Char"/>
    <w:link w:val="6"/>
    <w:qFormat/>
    <w:uiPriority w:val="0"/>
    <w:rPr>
      <w:rFonts w:eastAsia="宋体"/>
      <w:kern w:val="2"/>
      <w:sz w:val="21"/>
      <w:lang w:val="en-US" w:eastAsia="zh-CN" w:bidi="ar-SA"/>
    </w:rPr>
  </w:style>
  <w:style w:type="character" w:customStyle="1" w:styleId="51">
    <w:name w:val="标题 3 Char"/>
    <w:link w:val="5"/>
    <w:qFormat/>
    <w:locked/>
    <w:uiPriority w:val="0"/>
    <w:rPr>
      <w:b/>
      <w:kern w:val="2"/>
      <w:sz w:val="32"/>
    </w:rPr>
  </w:style>
  <w:style w:type="character" w:customStyle="1" w:styleId="52">
    <w:name w:val="标题 5 Char"/>
    <w:link w:val="8"/>
    <w:qFormat/>
    <w:locked/>
    <w:uiPriority w:val="0"/>
    <w:rPr>
      <w:b/>
      <w:kern w:val="2"/>
      <w:sz w:val="28"/>
      <w:szCs w:val="24"/>
    </w:rPr>
  </w:style>
  <w:style w:type="character" w:customStyle="1" w:styleId="53">
    <w:name w:val="批注文字 Char"/>
    <w:link w:val="13"/>
    <w:qFormat/>
    <w:uiPriority w:val="0"/>
    <w:rPr>
      <w:kern w:val="2"/>
      <w:sz w:val="21"/>
      <w:szCs w:val="24"/>
    </w:rPr>
  </w:style>
  <w:style w:type="character" w:customStyle="1" w:styleId="54">
    <w:name w:val="正文文本缩进 Char"/>
    <w:link w:val="14"/>
    <w:qFormat/>
    <w:uiPriority w:val="0"/>
    <w:rPr>
      <w:kern w:val="2"/>
      <w:sz w:val="32"/>
    </w:rPr>
  </w:style>
  <w:style w:type="character" w:customStyle="1" w:styleId="55">
    <w:name w:val="纯文本 Char"/>
    <w:link w:val="15"/>
    <w:qFormat/>
    <w:locked/>
    <w:uiPriority w:val="0"/>
    <w:rPr>
      <w:rFonts w:ascii="宋体" w:hAnsi="Courier New" w:eastAsia="宋体" w:cs="Courier New"/>
      <w:kern w:val="2"/>
      <w:sz w:val="21"/>
      <w:szCs w:val="21"/>
      <w:lang w:val="en-US" w:eastAsia="zh-CN" w:bidi="ar-SA"/>
    </w:rPr>
  </w:style>
  <w:style w:type="character" w:customStyle="1" w:styleId="56">
    <w:name w:val="正文文本缩进 2 Char"/>
    <w:link w:val="17"/>
    <w:qFormat/>
    <w:uiPriority w:val="0"/>
    <w:rPr>
      <w:kern w:val="2"/>
      <w:sz w:val="32"/>
    </w:rPr>
  </w:style>
  <w:style w:type="character" w:customStyle="1" w:styleId="57">
    <w:name w:val="批注框文本 Char"/>
    <w:link w:val="18"/>
    <w:qFormat/>
    <w:uiPriority w:val="0"/>
    <w:rPr>
      <w:kern w:val="2"/>
      <w:sz w:val="18"/>
      <w:szCs w:val="18"/>
    </w:rPr>
  </w:style>
  <w:style w:type="character" w:customStyle="1" w:styleId="58">
    <w:name w:val="页脚 Char"/>
    <w:link w:val="19"/>
    <w:qFormat/>
    <w:uiPriority w:val="0"/>
    <w:rPr>
      <w:rFonts w:eastAsia="宋体"/>
      <w:kern w:val="2"/>
      <w:sz w:val="18"/>
      <w:lang w:val="en-US" w:eastAsia="zh-CN" w:bidi="ar-SA"/>
    </w:rPr>
  </w:style>
  <w:style w:type="character" w:customStyle="1" w:styleId="59">
    <w:name w:val="页眉 Char"/>
    <w:link w:val="20"/>
    <w:qFormat/>
    <w:uiPriority w:val="0"/>
    <w:rPr>
      <w:rFonts w:eastAsia="宋体"/>
      <w:kern w:val="2"/>
      <w:sz w:val="18"/>
      <w:lang w:val="en-US" w:eastAsia="zh-CN" w:bidi="ar-SA"/>
    </w:rPr>
  </w:style>
  <w:style w:type="character" w:customStyle="1" w:styleId="60">
    <w:name w:val="脚注文本 Char"/>
    <w:link w:val="22"/>
    <w:qFormat/>
    <w:uiPriority w:val="0"/>
    <w:rPr>
      <w:kern w:val="2"/>
      <w:sz w:val="18"/>
      <w:szCs w:val="18"/>
    </w:rPr>
  </w:style>
  <w:style w:type="character" w:customStyle="1" w:styleId="61">
    <w:name w:val="正文文本缩进 3 Char"/>
    <w:link w:val="23"/>
    <w:qFormat/>
    <w:uiPriority w:val="0"/>
    <w:rPr>
      <w:rFonts w:ascii="黑体" w:eastAsia="黑体"/>
      <w:kern w:val="2"/>
      <w:sz w:val="30"/>
      <w:szCs w:val="28"/>
    </w:rPr>
  </w:style>
  <w:style w:type="character" w:customStyle="1" w:styleId="62">
    <w:name w:val="批注主题 Char"/>
    <w:link w:val="26"/>
    <w:qFormat/>
    <w:uiPriority w:val="0"/>
    <w:rPr>
      <w:b/>
      <w:bCs/>
      <w:kern w:val="2"/>
      <w:sz w:val="21"/>
      <w:szCs w:val="24"/>
    </w:rPr>
  </w:style>
  <w:style w:type="character" w:customStyle="1" w:styleId="63">
    <w:name w:val="proollist"/>
    <w:basedOn w:val="31"/>
    <w:qFormat/>
    <w:uiPriority w:val="0"/>
  </w:style>
  <w:style w:type="character" w:customStyle="1" w:styleId="64">
    <w:name w:val="phone"/>
    <w:basedOn w:val="31"/>
    <w:qFormat/>
    <w:uiPriority w:val="0"/>
    <w:rPr>
      <w:color w:val="FF8833"/>
      <w:sz w:val="14"/>
      <w:szCs w:val="14"/>
    </w:rPr>
  </w:style>
  <w:style w:type="character" w:customStyle="1" w:styleId="65">
    <w:name w:val="font01"/>
    <w:qFormat/>
    <w:uiPriority w:val="0"/>
    <w:rPr>
      <w:rFonts w:hint="eastAsia" w:ascii="等线" w:hAnsi="等线" w:eastAsia="等线" w:cs="等线"/>
      <w:color w:val="000000"/>
      <w:sz w:val="21"/>
      <w:szCs w:val="21"/>
      <w:u w:val="none"/>
    </w:rPr>
  </w:style>
  <w:style w:type="character" w:customStyle="1" w:styleId="66">
    <w:name w:val="p0 Char"/>
    <w:link w:val="67"/>
    <w:qFormat/>
    <w:uiPriority w:val="0"/>
    <w:rPr>
      <w:rFonts w:eastAsia="宋体"/>
      <w:sz w:val="21"/>
      <w:szCs w:val="21"/>
      <w:lang w:val="en-US" w:eastAsia="zh-CN" w:bidi="ar-SA"/>
    </w:rPr>
  </w:style>
  <w:style w:type="paragraph" w:customStyle="1" w:styleId="67">
    <w:name w:val="p0"/>
    <w:basedOn w:val="1"/>
    <w:link w:val="66"/>
    <w:qFormat/>
    <w:uiPriority w:val="0"/>
    <w:pPr>
      <w:widowControl/>
    </w:pPr>
    <w:rPr>
      <w:kern w:val="0"/>
      <w:szCs w:val="21"/>
    </w:rPr>
  </w:style>
  <w:style w:type="character" w:customStyle="1" w:styleId="68">
    <w:name w:val="stclosebtn"/>
    <w:basedOn w:val="31"/>
    <w:qFormat/>
    <w:uiPriority w:val="0"/>
  </w:style>
  <w:style w:type="character" w:customStyle="1" w:styleId="69">
    <w:name w:val="style61"/>
    <w:qFormat/>
    <w:uiPriority w:val="0"/>
    <w:rPr>
      <w:color w:val="FF0000"/>
    </w:rPr>
  </w:style>
  <w:style w:type="character" w:customStyle="1" w:styleId="70">
    <w:name w:val="font112"/>
    <w:qFormat/>
    <w:uiPriority w:val="0"/>
    <w:rPr>
      <w:rFonts w:hint="default" w:ascii="Times New Roman" w:hAnsi="Times New Roman" w:cs="Times New Roman"/>
      <w:b/>
      <w:color w:val="000000"/>
      <w:sz w:val="21"/>
      <w:szCs w:val="21"/>
      <w:u w:val="none"/>
    </w:rPr>
  </w:style>
  <w:style w:type="character" w:customStyle="1" w:styleId="71">
    <w:name w:val="font81"/>
    <w:basedOn w:val="31"/>
    <w:qFormat/>
    <w:uiPriority w:val="0"/>
    <w:rPr>
      <w:rFonts w:hint="eastAsia" w:ascii="宋体" w:hAnsi="宋体" w:eastAsia="宋体" w:cs="宋体"/>
      <w:color w:val="000000"/>
      <w:sz w:val="20"/>
      <w:szCs w:val="20"/>
      <w:u w:val="none"/>
      <w:vertAlign w:val="superscript"/>
    </w:rPr>
  </w:style>
  <w:style w:type="character" w:customStyle="1" w:styleId="72">
    <w:name w:val="font221"/>
    <w:qFormat/>
    <w:uiPriority w:val="0"/>
    <w:rPr>
      <w:rFonts w:hint="default" w:ascii="Times New Roman" w:hAnsi="Times New Roman" w:cs="Times New Roman"/>
      <w:b/>
      <w:color w:val="000000"/>
      <w:sz w:val="21"/>
      <w:szCs w:val="21"/>
      <w:u w:val="none"/>
    </w:rPr>
  </w:style>
  <w:style w:type="character" w:customStyle="1" w:styleId="73">
    <w:name w:val="font51"/>
    <w:qFormat/>
    <w:uiPriority w:val="0"/>
    <w:rPr>
      <w:rFonts w:hint="eastAsia" w:ascii="等线" w:hAnsi="等线" w:eastAsia="等线" w:cs="等线"/>
      <w:color w:val="000000"/>
      <w:sz w:val="21"/>
      <w:szCs w:val="21"/>
      <w:u w:val="none"/>
    </w:rPr>
  </w:style>
  <w:style w:type="character" w:customStyle="1" w:styleId="74">
    <w:name w:val="font21"/>
    <w:qFormat/>
    <w:uiPriority w:val="0"/>
    <w:rPr>
      <w:rFonts w:ascii="仿宋" w:hAnsi="仿宋" w:eastAsia="仿宋" w:cs="仿宋"/>
      <w:b/>
      <w:color w:val="000000"/>
      <w:sz w:val="24"/>
      <w:szCs w:val="24"/>
      <w:u w:val="none"/>
    </w:rPr>
  </w:style>
  <w:style w:type="character" w:customStyle="1" w:styleId="75">
    <w:name w:val="font201"/>
    <w:qFormat/>
    <w:uiPriority w:val="0"/>
    <w:rPr>
      <w:rFonts w:hint="eastAsia" w:ascii="等线" w:hAnsi="等线" w:eastAsia="等线" w:cs="等线"/>
      <w:b/>
      <w:color w:val="000000"/>
      <w:sz w:val="24"/>
      <w:szCs w:val="24"/>
      <w:u w:val="none"/>
    </w:rPr>
  </w:style>
  <w:style w:type="character" w:customStyle="1" w:styleId="76">
    <w:name w:val="number"/>
    <w:basedOn w:val="31"/>
    <w:qFormat/>
    <w:uiPriority w:val="0"/>
    <w:rPr>
      <w:color w:val="FF8833"/>
      <w:sz w:val="14"/>
      <w:szCs w:val="14"/>
    </w:rPr>
  </w:style>
  <w:style w:type="character" w:customStyle="1" w:styleId="77">
    <w:name w:val="font231"/>
    <w:qFormat/>
    <w:uiPriority w:val="0"/>
    <w:rPr>
      <w:rFonts w:hint="eastAsia" w:ascii="宋体" w:hAnsi="宋体" w:eastAsia="宋体" w:cs="宋体"/>
      <w:b/>
      <w:color w:val="000000"/>
      <w:sz w:val="21"/>
      <w:szCs w:val="21"/>
      <w:u w:val="none"/>
    </w:rPr>
  </w:style>
  <w:style w:type="character" w:customStyle="1" w:styleId="78">
    <w:name w:val="font131"/>
    <w:qFormat/>
    <w:uiPriority w:val="0"/>
    <w:rPr>
      <w:rFonts w:hint="default" w:ascii="Times New Roman" w:hAnsi="Times New Roman" w:cs="Times New Roman"/>
      <w:color w:val="000000"/>
      <w:sz w:val="14"/>
      <w:szCs w:val="14"/>
      <w:u w:val="none"/>
    </w:rPr>
  </w:style>
  <w:style w:type="character" w:customStyle="1" w:styleId="79">
    <w:name w:val="font41"/>
    <w:basedOn w:val="31"/>
    <w:qFormat/>
    <w:uiPriority w:val="0"/>
    <w:rPr>
      <w:rFonts w:hint="eastAsia" w:ascii="宋体" w:hAnsi="宋体" w:eastAsia="宋体" w:cs="宋体"/>
      <w:color w:val="000000"/>
      <w:sz w:val="20"/>
      <w:szCs w:val="20"/>
      <w:u w:val="none"/>
    </w:rPr>
  </w:style>
  <w:style w:type="character" w:customStyle="1" w:styleId="80">
    <w:name w:val="font101"/>
    <w:qFormat/>
    <w:uiPriority w:val="0"/>
    <w:rPr>
      <w:rFonts w:hint="eastAsia" w:ascii="宋体" w:hAnsi="宋体" w:eastAsia="宋体" w:cs="宋体"/>
      <w:color w:val="000000"/>
      <w:sz w:val="21"/>
      <w:szCs w:val="21"/>
      <w:u w:val="none"/>
    </w:rPr>
  </w:style>
  <w:style w:type="character" w:customStyle="1" w:styleId="81">
    <w:name w:val="普通文字1 Char"/>
    <w:qFormat/>
    <w:uiPriority w:val="0"/>
    <w:rPr>
      <w:rFonts w:ascii="宋体" w:hAnsi="Courier New" w:eastAsia="宋体"/>
      <w:kern w:val="2"/>
      <w:sz w:val="21"/>
      <w:lang w:val="en-US" w:eastAsia="zh-CN" w:bidi="ar-SA"/>
    </w:rPr>
  </w:style>
  <w:style w:type="character" w:customStyle="1" w:styleId="82">
    <w:name w:val="bds_nopic2"/>
    <w:qFormat/>
    <w:uiPriority w:val="0"/>
    <w:rPr>
      <w:rFonts w:ascii="Times New Roman" w:hAnsi="Times New Roman" w:eastAsia="宋体"/>
    </w:rPr>
  </w:style>
  <w:style w:type="character" w:customStyle="1" w:styleId="83">
    <w:name w:val="font11"/>
    <w:qFormat/>
    <w:uiPriority w:val="0"/>
    <w:rPr>
      <w:rFonts w:hint="eastAsia" w:ascii="等线" w:hAnsi="等线" w:eastAsia="等线" w:cs="等线"/>
      <w:b/>
      <w:color w:val="000000"/>
      <w:sz w:val="21"/>
      <w:szCs w:val="21"/>
      <w:u w:val="none"/>
    </w:rPr>
  </w:style>
  <w:style w:type="character" w:customStyle="1" w:styleId="84">
    <w:name w:val="font61"/>
    <w:basedOn w:val="31"/>
    <w:qFormat/>
    <w:uiPriority w:val="0"/>
    <w:rPr>
      <w:rFonts w:hint="eastAsia" w:ascii="宋体" w:hAnsi="宋体" w:eastAsia="宋体" w:cs="宋体"/>
      <w:b/>
      <w:color w:val="404040"/>
      <w:sz w:val="20"/>
      <w:szCs w:val="20"/>
      <w:u w:val="none"/>
    </w:rPr>
  </w:style>
  <w:style w:type="character" w:customStyle="1" w:styleId="85">
    <w:name w:val="font241"/>
    <w:qFormat/>
    <w:uiPriority w:val="0"/>
    <w:rPr>
      <w:rFonts w:hint="eastAsia" w:ascii="宋体" w:hAnsi="宋体" w:eastAsia="宋体" w:cs="宋体"/>
      <w:color w:val="000000"/>
      <w:sz w:val="21"/>
      <w:szCs w:val="21"/>
      <w:u w:val="none"/>
    </w:rPr>
  </w:style>
  <w:style w:type="character" w:customStyle="1" w:styleId="86">
    <w:name w:val="beforeinfotext"/>
    <w:basedOn w:val="31"/>
    <w:qFormat/>
    <w:uiPriority w:val="0"/>
    <w:rPr>
      <w:color w:val="666666"/>
    </w:rPr>
  </w:style>
  <w:style w:type="paragraph" w:customStyle="1" w:styleId="87">
    <w:name w:val="默认段落字体 Para Char Char Char Char Char Char Char"/>
    <w:basedOn w:val="1"/>
    <w:qFormat/>
    <w:uiPriority w:val="0"/>
    <w:rPr>
      <w:rFonts w:ascii="Tahoma" w:hAnsi="Tahoma"/>
      <w:sz w:val="24"/>
      <w:szCs w:val="20"/>
    </w:rPr>
  </w:style>
  <w:style w:type="paragraph" w:customStyle="1" w:styleId="88">
    <w:name w:val="样式 首行缩进:  2 字符"/>
    <w:basedOn w:val="1"/>
    <w:qFormat/>
    <w:uiPriority w:val="0"/>
    <w:pPr>
      <w:spacing w:line="400" w:lineRule="exact"/>
      <w:ind w:firstLine="200" w:firstLineChars="200"/>
    </w:pPr>
    <w:rPr>
      <w:rFonts w:cs="宋体"/>
      <w:sz w:val="24"/>
    </w:rPr>
  </w:style>
  <w:style w:type="paragraph" w:customStyle="1" w:styleId="8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title12"/>
    <w:basedOn w:val="1"/>
    <w:qFormat/>
    <w:uiPriority w:val="0"/>
    <w:pPr>
      <w:spacing w:before="120" w:beforeAutospacing="0" w:after="0" w:afterAutospacing="0"/>
      <w:ind w:left="0" w:right="0" w:firstLine="0"/>
      <w:jc w:val="left"/>
    </w:pPr>
    <w:rPr>
      <w:b/>
      <w:kern w:val="0"/>
      <w:sz w:val="18"/>
      <w:szCs w:val="18"/>
      <w:lang w:val="en-US" w:eastAsia="zh-CN" w:bidi="ar"/>
    </w:rPr>
  </w:style>
  <w:style w:type="paragraph" w:customStyle="1" w:styleId="91">
    <w:name w:val="Char1"/>
    <w:basedOn w:val="1"/>
    <w:qFormat/>
    <w:uiPriority w:val="0"/>
    <w:rPr>
      <w:szCs w:val="21"/>
    </w:rPr>
  </w:style>
  <w:style w:type="paragraph" w:customStyle="1" w:styleId="92">
    <w:name w:val="表格"/>
    <w:basedOn w:val="1"/>
    <w:qFormat/>
    <w:uiPriority w:val="0"/>
    <w:pPr>
      <w:spacing w:line="400" w:lineRule="exact"/>
    </w:pPr>
    <w:rPr>
      <w:sz w:val="24"/>
    </w:rPr>
  </w:style>
  <w:style w:type="paragraph" w:customStyle="1" w:styleId="93">
    <w:name w:val="title1"/>
    <w:basedOn w:val="1"/>
    <w:qFormat/>
    <w:uiPriority w:val="0"/>
    <w:pPr>
      <w:spacing w:before="120" w:beforeAutospacing="0" w:after="0" w:afterAutospacing="0"/>
      <w:ind w:left="0" w:right="0" w:firstLine="0"/>
      <w:jc w:val="left"/>
    </w:pPr>
    <w:rPr>
      <w:b/>
      <w:kern w:val="0"/>
      <w:sz w:val="18"/>
      <w:szCs w:val="18"/>
      <w:lang w:val="en-US" w:eastAsia="zh-CN" w:bidi="ar"/>
    </w:rPr>
  </w:style>
  <w:style w:type="paragraph" w:customStyle="1" w:styleId="9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首行缩进两字符"/>
    <w:basedOn w:val="1"/>
    <w:qFormat/>
    <w:uiPriority w:val="0"/>
    <w:pPr>
      <w:spacing w:line="360" w:lineRule="auto"/>
      <w:ind w:firstLine="200" w:firstLineChars="200"/>
    </w:pPr>
  </w:style>
  <w:style w:type="paragraph" w:customStyle="1" w:styleId="96">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列表段落1"/>
    <w:basedOn w:val="1"/>
    <w:qFormat/>
    <w:uiPriority w:val="99"/>
    <w:pPr>
      <w:ind w:firstLine="420" w:firstLineChars="200"/>
    </w:pPr>
  </w:style>
  <w:style w:type="paragraph" w:customStyle="1" w:styleId="98">
    <w:name w:val=" Char Char Char Char"/>
    <w:basedOn w:val="1"/>
    <w:qFormat/>
    <w:uiPriority w:val="0"/>
    <w:rPr>
      <w:rFonts w:ascii="Tahoma" w:hAnsi="Tahoma"/>
      <w:sz w:val="24"/>
      <w:szCs w:val="20"/>
    </w:rPr>
  </w:style>
  <w:style w:type="paragraph" w:customStyle="1" w:styleId="9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00">
    <w:name w:val="List Paragraph"/>
    <w:basedOn w:val="1"/>
    <w:qFormat/>
    <w:uiPriority w:val="34"/>
    <w:pPr>
      <w:ind w:firstLine="420" w:firstLineChars="200"/>
    </w:pPr>
    <w:rPr>
      <w:szCs w:val="20"/>
    </w:rPr>
  </w:style>
  <w:style w:type="paragraph" w:customStyle="1" w:styleId="101">
    <w:name w:val="Normal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2">
    <w:name w:val="reader-word-layer reader-word-s12-5"/>
    <w:basedOn w:val="1"/>
    <w:qFormat/>
    <w:uiPriority w:val="0"/>
    <w:pPr>
      <w:widowControl/>
      <w:spacing w:before="100" w:beforeAutospacing="1" w:after="100" w:afterAutospacing="1"/>
      <w:jc w:val="left"/>
    </w:pPr>
    <w:rPr>
      <w:rFonts w:ascii="宋体" w:hAnsi="宋体" w:cs="宋体"/>
      <w:kern w:val="0"/>
      <w:sz w:val="24"/>
    </w:rPr>
  </w:style>
  <w:style w:type="character" w:customStyle="1" w:styleId="103">
    <w:name w:val="layui-layer-tabnow"/>
    <w:basedOn w:val="31"/>
    <w:qFormat/>
    <w:uiPriority w:val="0"/>
    <w:rPr>
      <w:bdr w:val="single" w:color="CCCCCC" w:sz="6" w:space="0"/>
      <w:shd w:val="clear" w:color="auto" w:fill="FFFFFF"/>
    </w:rPr>
  </w:style>
  <w:style w:type="character" w:customStyle="1" w:styleId="104">
    <w:name w:val="first-child"/>
    <w:basedOn w:val="31"/>
    <w:qFormat/>
    <w:uiPriority w:val="0"/>
  </w:style>
  <w:style w:type="paragraph" w:customStyle="1" w:styleId="105">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paragraph" w:customStyle="1" w:styleId="106">
    <w:name w:val="正文 New"/>
    <w:qFormat/>
    <w:uiPriority w:val="99"/>
    <w:pPr>
      <w:widowControl w:val="0"/>
      <w:jc w:val="both"/>
    </w:pPr>
    <w:rPr>
      <w:rFonts w:ascii="Calibri" w:hAnsi="Calibri" w:eastAsia="宋体" w:cs="Times New Roman"/>
      <w:lang w:val="en-US" w:eastAsia="zh-CN" w:bidi="ar-SA"/>
    </w:rPr>
  </w:style>
  <w:style w:type="paragraph" w:customStyle="1" w:styleId="107">
    <w:name w:val="WPSOffice手动目录 1"/>
    <w:qFormat/>
    <w:uiPriority w:val="0"/>
    <w:pPr>
      <w:ind w:leftChars="0"/>
    </w:pPr>
    <w:rPr>
      <w:rFonts w:ascii="Times New Roman" w:hAnsi="Times New Roman" w:eastAsia="宋体" w:cs="Times New Roman"/>
      <w:sz w:val="20"/>
      <w:szCs w:val="20"/>
    </w:rPr>
  </w:style>
  <w:style w:type="paragraph" w:customStyle="1" w:styleId="108">
    <w:name w:val="WPSOffice手动目录 2"/>
    <w:qFormat/>
    <w:uiPriority w:val="0"/>
    <w:pPr>
      <w:ind w:leftChars="200"/>
    </w:pPr>
    <w:rPr>
      <w:rFonts w:ascii="Times New Roman" w:hAnsi="Times New Roman" w:eastAsia="宋体" w:cs="Times New Roman"/>
      <w:sz w:val="20"/>
      <w:szCs w:val="20"/>
    </w:rPr>
  </w:style>
  <w:style w:type="paragraph" w:customStyle="1" w:styleId="109">
    <w:name w:val="List Paragraph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51859</Words>
  <Characters>55426</Characters>
  <Lines>372</Lines>
  <Paragraphs>104</Paragraphs>
  <TotalTime>1</TotalTime>
  <ScaleCrop>false</ScaleCrop>
  <LinksUpToDate>false</LinksUpToDate>
  <CharactersWithSpaces>58219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2016-03-01T00:55:00Z</dcterms:created>
  <dc:creator>GZB</dc:creator>
  <cp:lastModifiedBy>那拉提</cp:lastModifiedBy>
  <cp:lastPrinted>2022-09-02T10:00:00Z</cp:lastPrinted>
  <dcterms:modified xsi:type="dcterms:W3CDTF">2023-03-30T08:11:59Z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7EA221A0C36F4049A526519711BF7163</vt:lpwstr>
  </property>
</Properties>
</file>